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400"/>
        <w:rPr>
          <w:color w:val="auto"/>
          <w:sz w:val="20"/>
          <w:szCs w:val="20"/>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adjustRightInd w:val="0"/>
        <w:snapToGrid w:val="0"/>
        <w:spacing w:line="360" w:lineRule="auto"/>
        <w:jc w:val="center"/>
        <w:rPr>
          <w:rFonts w:ascii="黑体" w:eastAsia="黑体"/>
          <w:color w:val="auto"/>
          <w:sz w:val="48"/>
          <w:szCs w:val="48"/>
          <w:highlight w:val="none"/>
        </w:rPr>
      </w:pPr>
      <w:r>
        <w:rPr>
          <w:rFonts w:hint="eastAsia" w:ascii="宋体" w:hAnsi="宋体" w:eastAsia="黑体"/>
          <w:color w:val="auto"/>
          <w:sz w:val="44"/>
          <w:szCs w:val="44"/>
          <w:highlight w:val="none"/>
        </w:rPr>
        <w:t>2022NJY-9地块</w:t>
      </w:r>
      <w:r>
        <w:rPr>
          <w:rFonts w:hint="eastAsia" w:ascii="宋体" w:hAnsi="宋体" w:eastAsia="黑体"/>
          <w:color w:val="auto"/>
          <w:sz w:val="44"/>
          <w:szCs w:val="44"/>
          <w:highlight w:val="none"/>
          <w:lang w:val="en-US" w:eastAsia="zh-CN"/>
        </w:rPr>
        <w:t>首期</w:t>
      </w:r>
      <w:r>
        <w:rPr>
          <w:rFonts w:hint="eastAsia" w:ascii="宋体" w:hAnsi="宋体" w:eastAsia="黑体"/>
          <w:color w:val="auto"/>
          <w:sz w:val="44"/>
          <w:szCs w:val="44"/>
          <w:highlight w:val="none"/>
        </w:rPr>
        <w:t>基坑</w:t>
      </w:r>
      <w:r>
        <w:rPr>
          <w:rFonts w:hint="eastAsia" w:ascii="宋体" w:hAnsi="宋体" w:eastAsia="黑体"/>
          <w:color w:val="auto"/>
          <w:sz w:val="44"/>
          <w:szCs w:val="44"/>
          <w:highlight w:val="none"/>
          <w:lang w:val="en-US" w:eastAsia="zh-CN"/>
        </w:rPr>
        <w:t>支护及土方开挖工程</w:t>
      </w:r>
      <w:r>
        <w:rPr>
          <w:rFonts w:hint="eastAsia" w:ascii="宋体" w:hAnsi="宋体" w:eastAsia="黑体"/>
          <w:color w:val="auto"/>
          <w:sz w:val="44"/>
          <w:szCs w:val="44"/>
          <w:highlight w:val="none"/>
        </w:rPr>
        <w:t>设计施工总承包</w:t>
      </w:r>
    </w:p>
    <w:p>
      <w:pPr>
        <w:rPr>
          <w:color w:val="auto"/>
          <w:sz w:val="28"/>
          <w:szCs w:val="28"/>
          <w:highlight w:val="none"/>
        </w:rPr>
      </w:pPr>
    </w:p>
    <w:p>
      <w:pPr>
        <w:rPr>
          <w:color w:val="auto"/>
          <w:sz w:val="28"/>
          <w:szCs w:val="28"/>
          <w:highlight w:val="none"/>
        </w:rPr>
      </w:pPr>
    </w:p>
    <w:p>
      <w:pPr>
        <w:rPr>
          <w:color w:val="auto"/>
          <w:sz w:val="28"/>
          <w:szCs w:val="28"/>
          <w:highlight w:val="none"/>
        </w:rPr>
      </w:pPr>
    </w:p>
    <w:p>
      <w:pPr>
        <w:jc w:val="center"/>
        <w:rPr>
          <w:rFonts w:ascii="黑体" w:eastAsia="黑体"/>
          <w:color w:val="auto"/>
          <w:sz w:val="72"/>
          <w:szCs w:val="72"/>
          <w:highlight w:val="none"/>
        </w:rPr>
      </w:pPr>
      <w:r>
        <w:rPr>
          <w:rFonts w:hint="eastAsia" w:ascii="黑体" w:eastAsia="黑体"/>
          <w:color w:val="auto"/>
          <w:sz w:val="72"/>
          <w:szCs w:val="72"/>
          <w:highlight w:val="none"/>
        </w:rPr>
        <w:t>招标文件</w:t>
      </w: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tabs>
          <w:tab w:val="left" w:pos="7067"/>
        </w:tabs>
        <w:spacing w:line="360" w:lineRule="auto"/>
        <w:ind w:firstLine="1506" w:firstLineChars="500"/>
        <w:rPr>
          <w:rFonts w:hint="eastAsia" w:ascii="宋体" w:hAnsi="宋体" w:eastAsia="宋体" w:cs="宋体"/>
          <w:b/>
          <w:color w:val="auto"/>
          <w:sz w:val="30"/>
          <w:szCs w:val="30"/>
          <w:highlight w:val="none"/>
          <w:lang w:eastAsia="zh-CN"/>
        </w:rPr>
      </w:pPr>
      <w:bookmarkStart w:id="0" w:name="_Toc28091"/>
      <w:bookmarkStart w:id="1" w:name="_Toc23644"/>
      <w:bookmarkStart w:id="2" w:name="_Toc144974478"/>
      <w:bookmarkStart w:id="3" w:name="_Toc20398"/>
      <w:bookmarkStart w:id="4" w:name="_Toc19474"/>
      <w:bookmarkStart w:id="5" w:name="_Toc300834926"/>
      <w:bookmarkStart w:id="6" w:name="_Toc24129"/>
      <w:bookmarkStart w:id="7" w:name="_Toc152042286"/>
      <w:bookmarkStart w:id="8" w:name="_Toc247527532"/>
      <w:bookmarkStart w:id="9" w:name="_Toc17935"/>
      <w:bookmarkStart w:id="10" w:name="_Toc363"/>
      <w:bookmarkStart w:id="11" w:name="_Toc494371510"/>
      <w:bookmarkStart w:id="12" w:name="_Toc27659"/>
      <w:bookmarkStart w:id="13" w:name="_Toc24489"/>
      <w:bookmarkStart w:id="14" w:name="_Toc726"/>
      <w:r>
        <w:rPr>
          <w:rFonts w:hint="eastAsia" w:ascii="宋体" w:hAnsi="宋体" w:cs="宋体"/>
          <w:b/>
          <w:color w:val="auto"/>
          <w:sz w:val="30"/>
          <w:szCs w:val="30"/>
          <w:highlight w:val="none"/>
        </w:rPr>
        <w:t>招标单位：广州南沙盛龙房地产开发有限公司</w:t>
      </w:r>
      <w:r>
        <w:rPr>
          <w:rFonts w:hint="eastAsia" w:ascii="宋体" w:hAnsi="宋体" w:cs="宋体"/>
          <w:b/>
          <w:color w:val="auto"/>
          <w:sz w:val="30"/>
          <w:szCs w:val="30"/>
          <w:highlight w:val="none"/>
          <w:lang w:eastAsia="zh-CN"/>
        </w:rPr>
        <w:t>（建设单位）</w:t>
      </w:r>
    </w:p>
    <w:p>
      <w:pPr>
        <w:tabs>
          <w:tab w:val="left" w:pos="7067"/>
        </w:tabs>
        <w:spacing w:line="360" w:lineRule="auto"/>
        <w:ind w:firstLine="1506" w:firstLineChars="5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rPr>
        <w:t>广州南沙建设维护管理有限公司</w:t>
      </w:r>
      <w:r>
        <w:rPr>
          <w:rFonts w:hint="eastAsia" w:ascii="宋体" w:hAnsi="宋体" w:cs="宋体"/>
          <w:b/>
          <w:color w:val="auto"/>
          <w:sz w:val="30"/>
          <w:szCs w:val="30"/>
          <w:highlight w:val="none"/>
          <w:lang w:eastAsia="zh-CN"/>
        </w:rPr>
        <w:t>（</w:t>
      </w:r>
      <w:r>
        <w:rPr>
          <w:rFonts w:hint="eastAsia" w:ascii="宋体" w:hAnsi="宋体" w:cs="宋体"/>
          <w:b/>
          <w:color w:val="auto"/>
          <w:sz w:val="30"/>
          <w:szCs w:val="30"/>
          <w:highlight w:val="none"/>
        </w:rPr>
        <w:t>建设管理单位</w:t>
      </w:r>
      <w:r>
        <w:rPr>
          <w:rFonts w:hint="eastAsia" w:ascii="宋体" w:hAnsi="宋体" w:cs="宋体"/>
          <w:b/>
          <w:color w:val="auto"/>
          <w:sz w:val="30"/>
          <w:szCs w:val="30"/>
          <w:highlight w:val="none"/>
          <w:lang w:eastAsia="zh-CN"/>
        </w:rPr>
        <w:t>）</w:t>
      </w:r>
    </w:p>
    <w:p>
      <w:pPr>
        <w:tabs>
          <w:tab w:val="left" w:pos="7067"/>
        </w:tabs>
        <w:spacing w:line="360" w:lineRule="auto"/>
        <w:ind w:firstLine="1506" w:firstLineChars="500"/>
        <w:rPr>
          <w:rFonts w:ascii="宋体" w:hAnsi="宋体" w:cs="宋体"/>
          <w:b/>
          <w:color w:val="auto"/>
          <w:sz w:val="30"/>
          <w:szCs w:val="30"/>
          <w:highlight w:val="none"/>
        </w:rPr>
      </w:pPr>
      <w:r>
        <w:rPr>
          <w:rFonts w:hint="eastAsia" w:ascii="宋体" w:hAnsi="宋体" w:cs="宋体"/>
          <w:b/>
          <w:color w:val="auto"/>
          <w:sz w:val="30"/>
          <w:szCs w:val="30"/>
          <w:highlight w:val="none"/>
        </w:rPr>
        <w:t>日    期：2023年</w:t>
      </w:r>
      <w:r>
        <w:rPr>
          <w:rFonts w:hint="eastAsia" w:ascii="宋体" w:hAnsi="宋体" w:cs="宋体"/>
          <w:b/>
          <w:color w:val="auto"/>
          <w:sz w:val="30"/>
          <w:szCs w:val="30"/>
          <w:highlight w:val="none"/>
          <w:lang w:val="en-US" w:eastAsia="zh-CN"/>
        </w:rPr>
        <w:t>7</w:t>
      </w:r>
      <w:r>
        <w:rPr>
          <w:rFonts w:hint="eastAsia" w:ascii="宋体" w:hAnsi="宋体" w:cs="宋体"/>
          <w:b/>
          <w:color w:val="auto"/>
          <w:sz w:val="30"/>
          <w:szCs w:val="30"/>
          <w:highlight w:val="none"/>
        </w:rPr>
        <w:t>月</w:t>
      </w:r>
    </w:p>
    <w:p>
      <w:pPr>
        <w:pStyle w:val="33"/>
        <w:ind w:firstLine="405"/>
        <w:jc w:val="center"/>
        <w:rPr>
          <w:b/>
          <w:color w:val="auto"/>
          <w:sz w:val="32"/>
          <w:szCs w:val="32"/>
          <w:highlight w:val="none"/>
        </w:rPr>
        <w:sectPr>
          <w:headerReference r:id="rId3" w:type="default"/>
          <w:endnotePr>
            <w:numFmt w:val="decimal"/>
          </w:endnotePr>
          <w:pgSz w:w="11906" w:h="16838"/>
          <w:pgMar w:top="1361" w:right="1304" w:bottom="1247" w:left="1304" w:header="851" w:footer="992" w:gutter="0"/>
          <w:cols w:space="720" w:num="1"/>
          <w:docGrid w:type="lines" w:linePitch="312" w:charSpace="0"/>
        </w:sectPr>
      </w:pPr>
    </w:p>
    <w:p>
      <w:pPr>
        <w:pStyle w:val="3"/>
        <w:jc w:val="center"/>
        <w:rPr>
          <w:color w:val="auto"/>
          <w:highlight w:val="none"/>
        </w:rPr>
      </w:pPr>
      <w:bookmarkStart w:id="15" w:name="_Toc816"/>
      <w:r>
        <w:rPr>
          <w:rFonts w:hint="eastAsia"/>
          <w:color w:val="auto"/>
          <w:highlight w:val="none"/>
        </w:rPr>
        <w:t>目录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27"/>
        <w:tabs>
          <w:tab w:val="right" w:leader="dot" w:pos="9411"/>
        </w:tabs>
        <w:rPr>
          <w:color w:val="auto"/>
          <w:highlight w:val="none"/>
        </w:rPr>
      </w:pPr>
      <w:bookmarkStart w:id="16" w:name="_Toc247513932"/>
      <w:bookmarkStart w:id="17" w:name="_Toc247527533"/>
      <w:bookmarkStart w:id="18" w:name="_Toc144974479"/>
      <w:bookmarkStart w:id="19" w:name="_Toc152042287"/>
      <w:bookmarkStart w:id="20" w:name="_Toc152045511"/>
      <w:r>
        <w:rPr>
          <w:caps w:val="0"/>
          <w:color w:val="auto"/>
          <w:sz w:val="28"/>
          <w:szCs w:val="28"/>
          <w:highlight w:val="none"/>
        </w:rPr>
        <w:fldChar w:fldCharType="begin"/>
      </w:r>
      <w:r>
        <w:rPr>
          <w:caps w:val="0"/>
          <w:color w:val="auto"/>
          <w:sz w:val="28"/>
          <w:szCs w:val="28"/>
          <w:highlight w:val="none"/>
        </w:rPr>
        <w:instrText xml:space="preserve">TOC \o "1-2" \h \u </w:instrText>
      </w:r>
      <w:r>
        <w:rPr>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"_Toc816" </w:instrText>
      </w:r>
      <w:r>
        <w:rPr>
          <w:color w:val="auto"/>
          <w:highlight w:val="none"/>
        </w:rPr>
        <w:fldChar w:fldCharType="separate"/>
      </w:r>
      <w:r>
        <w:rPr>
          <w:rFonts w:hint="eastAsia"/>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_Toc816 </w:instrText>
      </w:r>
      <w:r>
        <w:rPr>
          <w:color w:val="auto"/>
          <w:highlight w:val="none"/>
        </w:rPr>
        <w:fldChar w:fldCharType="separate"/>
      </w:r>
      <w:r>
        <w:rPr>
          <w:color w:val="auto"/>
          <w:highlight w:val="none"/>
        </w:rPr>
        <w:t>I</w:t>
      </w:r>
      <w:r>
        <w:rPr>
          <w:color w:val="auto"/>
          <w:highlight w:val="none"/>
        </w:rPr>
        <w:fldChar w:fldCharType="end"/>
      </w:r>
      <w:r>
        <w:rPr>
          <w:color w:val="auto"/>
          <w:highlight w:val="none"/>
        </w:rPr>
        <w:fldChar w:fldCharType="end"/>
      </w:r>
    </w:p>
    <w:p>
      <w:pPr>
        <w:pStyle w:val="27"/>
        <w:tabs>
          <w:tab w:val="right" w:leader="dot" w:pos="9411"/>
        </w:tabs>
        <w:rPr>
          <w:color w:val="auto"/>
          <w:highlight w:val="none"/>
        </w:rPr>
      </w:pPr>
      <w:r>
        <w:rPr>
          <w:color w:val="auto"/>
          <w:highlight w:val="none"/>
        </w:rPr>
        <w:fldChar w:fldCharType="begin"/>
      </w:r>
      <w:r>
        <w:rPr>
          <w:color w:val="auto"/>
          <w:highlight w:val="none"/>
        </w:rPr>
        <w:instrText xml:space="preserve"> HYPERLINK \l "_Toc9829" </w:instrText>
      </w:r>
      <w:r>
        <w:rPr>
          <w:color w:val="auto"/>
          <w:highlight w:val="none"/>
        </w:rPr>
        <w:fldChar w:fldCharType="separate"/>
      </w:r>
      <w:r>
        <w:rPr>
          <w:rFonts w:hint="eastAsia"/>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_Toc9829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7"/>
        <w:tabs>
          <w:tab w:val="right" w:leader="dot" w:pos="9411"/>
        </w:tabs>
        <w:rPr>
          <w:color w:val="auto"/>
          <w:highlight w:val="none"/>
        </w:rPr>
      </w:pPr>
      <w:r>
        <w:rPr>
          <w:color w:val="auto"/>
          <w:highlight w:val="none"/>
        </w:rPr>
        <w:fldChar w:fldCharType="begin"/>
      </w:r>
      <w:r>
        <w:rPr>
          <w:color w:val="auto"/>
          <w:highlight w:val="none"/>
        </w:rPr>
        <w:instrText xml:space="preserve"> HYPERLINK \l "_Toc16845" </w:instrText>
      </w:r>
      <w:r>
        <w:rPr>
          <w:color w:val="auto"/>
          <w:highlight w:val="none"/>
        </w:rPr>
        <w:fldChar w:fldCharType="separate"/>
      </w:r>
      <w:r>
        <w:rPr>
          <w:rFonts w:hint="eastAsia"/>
          <w:color w:val="auto"/>
          <w:kern w:val="44"/>
          <w:szCs w:val="44"/>
          <w:highlight w:val="none"/>
        </w:rPr>
        <w:t>第一章招标公告（另册）</w:t>
      </w:r>
      <w:r>
        <w:rPr>
          <w:color w:val="auto"/>
          <w:highlight w:val="none"/>
        </w:rPr>
        <w:tab/>
      </w:r>
      <w:r>
        <w:rPr>
          <w:color w:val="auto"/>
          <w:highlight w:val="none"/>
        </w:rPr>
        <w:fldChar w:fldCharType="begin"/>
      </w:r>
      <w:r>
        <w:rPr>
          <w:color w:val="auto"/>
          <w:highlight w:val="none"/>
        </w:rPr>
        <w:instrText xml:space="preserve"> PAGEREF _Toc16845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7"/>
        <w:tabs>
          <w:tab w:val="right" w:leader="dot" w:pos="9411"/>
        </w:tabs>
        <w:rPr>
          <w:color w:val="auto"/>
          <w:highlight w:val="none"/>
        </w:rPr>
      </w:pPr>
      <w:r>
        <w:rPr>
          <w:color w:val="auto"/>
          <w:highlight w:val="none"/>
        </w:rPr>
        <w:fldChar w:fldCharType="begin"/>
      </w:r>
      <w:r>
        <w:rPr>
          <w:color w:val="auto"/>
          <w:highlight w:val="none"/>
        </w:rPr>
        <w:instrText xml:space="preserve"> HYPERLINK \l "_Toc29549" </w:instrText>
      </w:r>
      <w:r>
        <w:rPr>
          <w:color w:val="auto"/>
          <w:highlight w:val="none"/>
        </w:rPr>
        <w:fldChar w:fldCharType="separate"/>
      </w:r>
      <w:r>
        <w:rPr>
          <w:rFonts w:hint="eastAsia"/>
          <w:color w:val="auto"/>
          <w:kern w:val="44"/>
          <w:szCs w:val="44"/>
          <w:highlight w:val="none"/>
        </w:rPr>
        <w:t>第二章投标人须知</w:t>
      </w:r>
      <w:r>
        <w:rPr>
          <w:color w:val="auto"/>
          <w:highlight w:val="none"/>
        </w:rPr>
        <w:tab/>
      </w:r>
      <w:r>
        <w:rPr>
          <w:color w:val="auto"/>
          <w:highlight w:val="none"/>
        </w:rPr>
        <w:fldChar w:fldCharType="begin"/>
      </w:r>
      <w:r>
        <w:rPr>
          <w:color w:val="auto"/>
          <w:highlight w:val="none"/>
        </w:rPr>
        <w:instrText xml:space="preserve"> PAGEREF _Toc29549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1"/>
        <w:tabs>
          <w:tab w:val="right" w:leader="dot" w:pos="9411"/>
        </w:tabs>
        <w:rPr>
          <w:color w:val="auto"/>
          <w:highlight w:val="none"/>
        </w:rPr>
      </w:pPr>
      <w:r>
        <w:rPr>
          <w:color w:val="auto"/>
          <w:highlight w:val="none"/>
        </w:rPr>
        <w:fldChar w:fldCharType="begin"/>
      </w:r>
      <w:r>
        <w:rPr>
          <w:color w:val="auto"/>
          <w:highlight w:val="none"/>
        </w:rPr>
        <w:instrText xml:space="preserve"> HYPERLINK \l "_Toc23094" </w:instrText>
      </w:r>
      <w:r>
        <w:rPr>
          <w:color w:val="auto"/>
          <w:highlight w:val="none"/>
        </w:rPr>
        <w:fldChar w:fldCharType="separate"/>
      </w:r>
      <w:r>
        <w:rPr>
          <w:rFonts w:hint="eastAsia"/>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_Toc23094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1"/>
        <w:tabs>
          <w:tab w:val="right" w:leader="dot" w:pos="9411"/>
        </w:tabs>
        <w:rPr>
          <w:color w:val="auto"/>
          <w:highlight w:val="none"/>
        </w:rPr>
      </w:pPr>
      <w:r>
        <w:rPr>
          <w:color w:val="auto"/>
          <w:highlight w:val="none"/>
        </w:rPr>
        <w:fldChar w:fldCharType="begin"/>
      </w:r>
      <w:r>
        <w:rPr>
          <w:color w:val="auto"/>
          <w:highlight w:val="none"/>
        </w:rPr>
        <w:instrText xml:space="preserve"> HYPERLINK \l "_Toc23892" </w:instrText>
      </w:r>
      <w:r>
        <w:rPr>
          <w:color w:val="auto"/>
          <w:highlight w:val="none"/>
        </w:rPr>
        <w:fldChar w:fldCharType="separate"/>
      </w:r>
      <w:r>
        <w:rPr>
          <w:color w:val="auto"/>
          <w:highlight w:val="none"/>
        </w:rPr>
        <w:t xml:space="preserve">1. </w:t>
      </w:r>
      <w:r>
        <w:rPr>
          <w:rFonts w:hint="eastAsia"/>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_Toc23892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1"/>
        <w:tabs>
          <w:tab w:val="right" w:leader="dot" w:pos="9411"/>
        </w:tabs>
        <w:rPr>
          <w:color w:val="auto"/>
          <w:highlight w:val="none"/>
        </w:rPr>
      </w:pPr>
      <w:r>
        <w:rPr>
          <w:color w:val="auto"/>
          <w:highlight w:val="none"/>
        </w:rPr>
        <w:fldChar w:fldCharType="begin"/>
      </w:r>
      <w:r>
        <w:rPr>
          <w:color w:val="auto"/>
          <w:highlight w:val="none"/>
        </w:rPr>
        <w:instrText xml:space="preserve"> HYPERLINK \l "_Toc28224" </w:instrText>
      </w:r>
      <w:r>
        <w:rPr>
          <w:color w:val="auto"/>
          <w:highlight w:val="none"/>
        </w:rPr>
        <w:fldChar w:fldCharType="separate"/>
      </w:r>
      <w:r>
        <w:rPr>
          <w:color w:val="auto"/>
          <w:highlight w:val="none"/>
        </w:rPr>
        <w:t xml:space="preserve">2. </w:t>
      </w:r>
      <w:r>
        <w:rPr>
          <w:rFonts w:hint="eastAsia"/>
          <w:color w:val="auto"/>
          <w:highlight w:val="none"/>
        </w:rPr>
        <w:t>招标文件</w:t>
      </w:r>
      <w:r>
        <w:rPr>
          <w:color w:val="auto"/>
          <w:highlight w:val="none"/>
        </w:rPr>
        <w:tab/>
      </w:r>
      <w:r>
        <w:rPr>
          <w:color w:val="auto"/>
          <w:highlight w:val="none"/>
        </w:rPr>
        <w:fldChar w:fldCharType="begin"/>
      </w:r>
      <w:r>
        <w:rPr>
          <w:color w:val="auto"/>
          <w:highlight w:val="none"/>
        </w:rPr>
        <w:instrText xml:space="preserve"> PAGEREF _Toc28224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1"/>
        <w:tabs>
          <w:tab w:val="right" w:leader="dot" w:pos="9411"/>
        </w:tabs>
        <w:rPr>
          <w:color w:val="auto"/>
          <w:highlight w:val="none"/>
        </w:rPr>
      </w:pPr>
      <w:r>
        <w:rPr>
          <w:color w:val="auto"/>
          <w:highlight w:val="none"/>
        </w:rPr>
        <w:fldChar w:fldCharType="begin"/>
      </w:r>
      <w:r>
        <w:rPr>
          <w:color w:val="auto"/>
          <w:highlight w:val="none"/>
        </w:rPr>
        <w:instrText xml:space="preserve"> HYPERLINK \l "_Toc27286" </w:instrText>
      </w:r>
      <w:r>
        <w:rPr>
          <w:color w:val="auto"/>
          <w:highlight w:val="none"/>
        </w:rPr>
        <w:fldChar w:fldCharType="separate"/>
      </w:r>
      <w:r>
        <w:rPr>
          <w:color w:val="auto"/>
          <w:highlight w:val="none"/>
        </w:rPr>
        <w:t xml:space="preserve">3. </w:t>
      </w:r>
      <w:r>
        <w:rPr>
          <w:rFonts w:hint="eastAsia"/>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_Toc27286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1"/>
        <w:tabs>
          <w:tab w:val="right" w:leader="dot" w:pos="9411"/>
        </w:tabs>
        <w:rPr>
          <w:color w:val="auto"/>
          <w:highlight w:val="none"/>
        </w:rPr>
      </w:pPr>
      <w:r>
        <w:rPr>
          <w:color w:val="auto"/>
          <w:highlight w:val="none"/>
        </w:rPr>
        <w:fldChar w:fldCharType="begin"/>
      </w:r>
      <w:r>
        <w:rPr>
          <w:color w:val="auto"/>
          <w:highlight w:val="none"/>
        </w:rPr>
        <w:instrText xml:space="preserve"> HYPERLINK \l "_Toc11889" </w:instrText>
      </w:r>
      <w:r>
        <w:rPr>
          <w:color w:val="auto"/>
          <w:highlight w:val="none"/>
        </w:rPr>
        <w:fldChar w:fldCharType="separate"/>
      </w:r>
      <w:r>
        <w:rPr>
          <w:color w:val="auto"/>
          <w:highlight w:val="none"/>
        </w:rPr>
        <w:t xml:space="preserve">4. </w:t>
      </w:r>
      <w:r>
        <w:rPr>
          <w:rFonts w:hint="eastAsia"/>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_Toc11889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1"/>
        <w:tabs>
          <w:tab w:val="right" w:leader="dot" w:pos="9411"/>
        </w:tabs>
        <w:rPr>
          <w:color w:val="auto"/>
          <w:highlight w:val="none"/>
        </w:rPr>
      </w:pPr>
      <w:r>
        <w:rPr>
          <w:color w:val="auto"/>
          <w:highlight w:val="none"/>
        </w:rPr>
        <w:fldChar w:fldCharType="begin"/>
      </w:r>
      <w:r>
        <w:rPr>
          <w:color w:val="auto"/>
          <w:highlight w:val="none"/>
        </w:rPr>
        <w:instrText xml:space="preserve"> HYPERLINK \l "_Toc9659" </w:instrText>
      </w:r>
      <w:r>
        <w:rPr>
          <w:color w:val="auto"/>
          <w:highlight w:val="none"/>
        </w:rPr>
        <w:fldChar w:fldCharType="separate"/>
      </w:r>
      <w:r>
        <w:rPr>
          <w:color w:val="auto"/>
          <w:highlight w:val="none"/>
        </w:rPr>
        <w:t xml:space="preserve">5. </w:t>
      </w:r>
      <w:r>
        <w:rPr>
          <w:rFonts w:hint="eastAsia"/>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_Toc9659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1"/>
        <w:tabs>
          <w:tab w:val="right" w:leader="dot" w:pos="9411"/>
        </w:tabs>
        <w:rPr>
          <w:color w:val="auto"/>
          <w:highlight w:val="none"/>
        </w:rPr>
      </w:pPr>
      <w:r>
        <w:rPr>
          <w:color w:val="auto"/>
          <w:highlight w:val="none"/>
        </w:rPr>
        <w:fldChar w:fldCharType="begin"/>
      </w:r>
      <w:r>
        <w:rPr>
          <w:color w:val="auto"/>
          <w:highlight w:val="none"/>
        </w:rPr>
        <w:instrText xml:space="preserve"> HYPERLINK \l "_Toc28414" </w:instrText>
      </w:r>
      <w:r>
        <w:rPr>
          <w:color w:val="auto"/>
          <w:highlight w:val="none"/>
        </w:rPr>
        <w:fldChar w:fldCharType="separate"/>
      </w:r>
      <w:r>
        <w:rPr>
          <w:color w:val="auto"/>
          <w:highlight w:val="none"/>
        </w:rPr>
        <w:t xml:space="preserve">6. </w:t>
      </w:r>
      <w:r>
        <w:rPr>
          <w:rFonts w:hint="eastAsia"/>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_Toc28414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1"/>
        <w:tabs>
          <w:tab w:val="right" w:leader="dot" w:pos="9411"/>
        </w:tabs>
        <w:rPr>
          <w:color w:val="auto"/>
          <w:highlight w:val="none"/>
        </w:rPr>
      </w:pPr>
      <w:r>
        <w:rPr>
          <w:color w:val="auto"/>
          <w:highlight w:val="none"/>
        </w:rPr>
        <w:fldChar w:fldCharType="begin"/>
      </w:r>
      <w:r>
        <w:rPr>
          <w:color w:val="auto"/>
          <w:highlight w:val="none"/>
        </w:rPr>
        <w:instrText xml:space="preserve"> HYPERLINK \l "_Toc24255" </w:instrText>
      </w:r>
      <w:r>
        <w:rPr>
          <w:color w:val="auto"/>
          <w:highlight w:val="none"/>
        </w:rPr>
        <w:fldChar w:fldCharType="separate"/>
      </w:r>
      <w:r>
        <w:rPr>
          <w:color w:val="auto"/>
          <w:highlight w:val="none"/>
        </w:rPr>
        <w:t xml:space="preserve">7. </w:t>
      </w:r>
      <w:r>
        <w:rPr>
          <w:rFonts w:hint="eastAsia"/>
          <w:color w:val="auto"/>
          <w:highlight w:val="none"/>
        </w:rPr>
        <w:t>合同授予</w:t>
      </w:r>
      <w:r>
        <w:rPr>
          <w:color w:val="auto"/>
          <w:highlight w:val="none"/>
        </w:rPr>
        <w:tab/>
      </w:r>
      <w:r>
        <w:rPr>
          <w:color w:val="auto"/>
          <w:highlight w:val="none"/>
        </w:rPr>
        <w:fldChar w:fldCharType="begin"/>
      </w:r>
      <w:r>
        <w:rPr>
          <w:color w:val="auto"/>
          <w:highlight w:val="none"/>
        </w:rPr>
        <w:instrText xml:space="preserve"> PAGEREF _Toc24255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1"/>
        <w:tabs>
          <w:tab w:val="right" w:leader="dot" w:pos="9411"/>
        </w:tabs>
        <w:rPr>
          <w:color w:val="auto"/>
          <w:highlight w:val="none"/>
        </w:rPr>
      </w:pPr>
      <w:r>
        <w:rPr>
          <w:color w:val="auto"/>
          <w:highlight w:val="none"/>
        </w:rPr>
        <w:fldChar w:fldCharType="begin"/>
      </w:r>
      <w:r>
        <w:rPr>
          <w:color w:val="auto"/>
          <w:highlight w:val="none"/>
        </w:rPr>
        <w:instrText xml:space="preserve"> HYPERLINK \l "_Toc25097" </w:instrText>
      </w:r>
      <w:r>
        <w:rPr>
          <w:color w:val="auto"/>
          <w:highlight w:val="none"/>
        </w:rPr>
        <w:fldChar w:fldCharType="separate"/>
      </w:r>
      <w:r>
        <w:rPr>
          <w:color w:val="auto"/>
          <w:highlight w:val="none"/>
        </w:rPr>
        <w:t>8</w:t>
      </w:r>
      <w:r>
        <w:rPr>
          <w:rFonts w:hint="eastAsia"/>
          <w:color w:val="auto"/>
          <w:highlight w:val="none"/>
        </w:rPr>
        <w:t>. 纪律和监督</w:t>
      </w:r>
      <w:r>
        <w:rPr>
          <w:color w:val="auto"/>
          <w:highlight w:val="none"/>
        </w:rPr>
        <w:tab/>
      </w:r>
      <w:r>
        <w:rPr>
          <w:color w:val="auto"/>
          <w:highlight w:val="none"/>
        </w:rPr>
        <w:fldChar w:fldCharType="begin"/>
      </w:r>
      <w:r>
        <w:rPr>
          <w:color w:val="auto"/>
          <w:highlight w:val="none"/>
        </w:rPr>
        <w:instrText xml:space="preserve"> PAGEREF _Toc25097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1"/>
        <w:tabs>
          <w:tab w:val="right" w:leader="dot" w:pos="9411"/>
        </w:tabs>
        <w:rPr>
          <w:color w:val="auto"/>
          <w:highlight w:val="none"/>
        </w:rPr>
      </w:pPr>
      <w:r>
        <w:rPr>
          <w:color w:val="auto"/>
          <w:highlight w:val="none"/>
        </w:rPr>
        <w:fldChar w:fldCharType="begin"/>
      </w:r>
      <w:r>
        <w:rPr>
          <w:color w:val="auto"/>
          <w:highlight w:val="none"/>
        </w:rPr>
        <w:instrText xml:space="preserve"> HYPERLINK \l "_Toc2189" </w:instrText>
      </w:r>
      <w:r>
        <w:rPr>
          <w:color w:val="auto"/>
          <w:highlight w:val="none"/>
        </w:rPr>
        <w:fldChar w:fldCharType="separate"/>
      </w:r>
      <w:r>
        <w:rPr>
          <w:color w:val="auto"/>
          <w:highlight w:val="none"/>
        </w:rPr>
        <w:t xml:space="preserve">9. </w:t>
      </w:r>
      <w:r>
        <w:rPr>
          <w:rFonts w:hint="eastAsia"/>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_Toc2189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7"/>
        <w:tabs>
          <w:tab w:val="right" w:leader="dot" w:pos="9411"/>
        </w:tabs>
        <w:rPr>
          <w:color w:val="auto"/>
          <w:highlight w:val="none"/>
        </w:rPr>
      </w:pPr>
      <w:r>
        <w:rPr>
          <w:color w:val="auto"/>
          <w:highlight w:val="none"/>
        </w:rPr>
        <w:fldChar w:fldCharType="begin"/>
      </w:r>
      <w:r>
        <w:rPr>
          <w:color w:val="auto"/>
          <w:highlight w:val="none"/>
        </w:rPr>
        <w:instrText xml:space="preserve"> HYPERLINK \l "_Toc26793" </w:instrText>
      </w:r>
      <w:r>
        <w:rPr>
          <w:color w:val="auto"/>
          <w:highlight w:val="none"/>
        </w:rPr>
        <w:fldChar w:fldCharType="separate"/>
      </w:r>
      <w:r>
        <w:rPr>
          <w:rFonts w:hint="eastAsia" w:ascii="宋体" w:hAnsi="宋体"/>
          <w:color w:val="auto"/>
          <w:highlight w:val="none"/>
        </w:rPr>
        <w:t>第三章评标办法（综合评估法）</w:t>
      </w:r>
      <w:r>
        <w:rPr>
          <w:color w:val="auto"/>
          <w:highlight w:val="none"/>
        </w:rPr>
        <w:tab/>
      </w:r>
      <w:r>
        <w:rPr>
          <w:color w:val="auto"/>
          <w:highlight w:val="none"/>
        </w:rPr>
        <w:fldChar w:fldCharType="begin"/>
      </w:r>
      <w:r>
        <w:rPr>
          <w:color w:val="auto"/>
          <w:highlight w:val="none"/>
        </w:rPr>
        <w:instrText xml:space="preserve"> PAGEREF _Toc26793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31"/>
        <w:tabs>
          <w:tab w:val="right" w:leader="dot" w:pos="9411"/>
        </w:tabs>
        <w:rPr>
          <w:color w:val="auto"/>
          <w:highlight w:val="none"/>
        </w:rPr>
      </w:pPr>
      <w:r>
        <w:rPr>
          <w:color w:val="auto"/>
          <w:highlight w:val="none"/>
        </w:rPr>
        <w:fldChar w:fldCharType="begin"/>
      </w:r>
      <w:r>
        <w:rPr>
          <w:color w:val="auto"/>
          <w:highlight w:val="none"/>
        </w:rPr>
        <w:instrText xml:space="preserve"> HYPERLINK \l "_Toc14287" </w:instrText>
      </w:r>
      <w:r>
        <w:rPr>
          <w:color w:val="auto"/>
          <w:highlight w:val="none"/>
        </w:rPr>
        <w:fldChar w:fldCharType="separate"/>
      </w:r>
      <w:r>
        <w:rPr>
          <w:rFonts w:hint="eastAsia" w:ascii="宋体" w:hAnsi="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_Toc14287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31"/>
        <w:tabs>
          <w:tab w:val="right" w:leader="dot" w:pos="9411"/>
        </w:tabs>
        <w:rPr>
          <w:color w:val="auto"/>
          <w:highlight w:val="none"/>
        </w:rPr>
      </w:pPr>
      <w:r>
        <w:rPr>
          <w:color w:val="auto"/>
          <w:highlight w:val="none"/>
        </w:rPr>
        <w:fldChar w:fldCharType="begin"/>
      </w:r>
      <w:r>
        <w:rPr>
          <w:color w:val="auto"/>
          <w:highlight w:val="none"/>
        </w:rPr>
        <w:instrText xml:space="preserve"> HYPERLINK \l "_Toc16222" </w:instrText>
      </w:r>
      <w:r>
        <w:rPr>
          <w:color w:val="auto"/>
          <w:highlight w:val="none"/>
        </w:rPr>
        <w:fldChar w:fldCharType="separate"/>
      </w:r>
      <w:r>
        <w:rPr>
          <w:rFonts w:ascii="宋体" w:hAnsi="宋体"/>
          <w:color w:val="auto"/>
          <w:highlight w:val="none"/>
        </w:rPr>
        <w:t xml:space="preserve">1. </w:t>
      </w:r>
      <w:r>
        <w:rPr>
          <w:rFonts w:hint="eastAsia" w:ascii="宋体" w:hAnsi="宋体"/>
          <w:color w:val="auto"/>
          <w:highlight w:val="none"/>
        </w:rPr>
        <w:t>评标方法</w:t>
      </w:r>
      <w:r>
        <w:rPr>
          <w:color w:val="auto"/>
          <w:highlight w:val="none"/>
        </w:rPr>
        <w:tab/>
      </w:r>
      <w:r>
        <w:rPr>
          <w:color w:val="auto"/>
          <w:highlight w:val="none"/>
        </w:rPr>
        <w:fldChar w:fldCharType="begin"/>
      </w:r>
      <w:r>
        <w:rPr>
          <w:color w:val="auto"/>
          <w:highlight w:val="none"/>
        </w:rPr>
        <w:instrText xml:space="preserve"> PAGEREF _Toc16222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1"/>
        <w:tabs>
          <w:tab w:val="right" w:leader="dot" w:pos="9411"/>
        </w:tabs>
        <w:rPr>
          <w:color w:val="auto"/>
          <w:highlight w:val="none"/>
        </w:rPr>
      </w:pPr>
      <w:r>
        <w:rPr>
          <w:color w:val="auto"/>
          <w:highlight w:val="none"/>
        </w:rPr>
        <w:fldChar w:fldCharType="begin"/>
      </w:r>
      <w:r>
        <w:rPr>
          <w:color w:val="auto"/>
          <w:highlight w:val="none"/>
        </w:rPr>
        <w:instrText xml:space="preserve"> HYPERLINK \l "_Toc16219" </w:instrText>
      </w:r>
      <w:r>
        <w:rPr>
          <w:color w:val="auto"/>
          <w:highlight w:val="none"/>
        </w:rPr>
        <w:fldChar w:fldCharType="separate"/>
      </w:r>
      <w:r>
        <w:rPr>
          <w:rFonts w:ascii="宋体" w:hAnsi="宋体"/>
          <w:color w:val="auto"/>
          <w:highlight w:val="none"/>
        </w:rPr>
        <w:t xml:space="preserve">2. </w:t>
      </w:r>
      <w:r>
        <w:rPr>
          <w:rFonts w:hint="eastAsia" w:ascii="宋体" w:hAnsi="宋体"/>
          <w:color w:val="auto"/>
          <w:highlight w:val="none"/>
        </w:rPr>
        <w:t>评审标准</w:t>
      </w:r>
      <w:r>
        <w:rPr>
          <w:color w:val="auto"/>
          <w:highlight w:val="none"/>
        </w:rPr>
        <w:tab/>
      </w:r>
      <w:r>
        <w:rPr>
          <w:color w:val="auto"/>
          <w:highlight w:val="none"/>
        </w:rPr>
        <w:fldChar w:fldCharType="begin"/>
      </w:r>
      <w:r>
        <w:rPr>
          <w:color w:val="auto"/>
          <w:highlight w:val="none"/>
        </w:rPr>
        <w:instrText xml:space="preserve"> PAGEREF _Toc16219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1"/>
        <w:tabs>
          <w:tab w:val="right" w:leader="dot" w:pos="9411"/>
        </w:tabs>
        <w:rPr>
          <w:color w:val="auto"/>
          <w:highlight w:val="none"/>
        </w:rPr>
      </w:pPr>
      <w:r>
        <w:rPr>
          <w:color w:val="auto"/>
          <w:highlight w:val="none"/>
        </w:rPr>
        <w:fldChar w:fldCharType="begin"/>
      </w:r>
      <w:r>
        <w:rPr>
          <w:color w:val="auto"/>
          <w:highlight w:val="none"/>
        </w:rPr>
        <w:instrText xml:space="preserve"> HYPERLINK \l "_Toc23123" </w:instrText>
      </w:r>
      <w:r>
        <w:rPr>
          <w:color w:val="auto"/>
          <w:highlight w:val="none"/>
        </w:rPr>
        <w:fldChar w:fldCharType="separate"/>
      </w:r>
      <w:r>
        <w:rPr>
          <w:rFonts w:ascii="宋体" w:hAnsi="宋体"/>
          <w:color w:val="auto"/>
          <w:highlight w:val="none"/>
        </w:rPr>
        <w:t xml:space="preserve">3. </w:t>
      </w:r>
      <w:r>
        <w:rPr>
          <w:rFonts w:hint="eastAsia" w:ascii="宋体" w:hAnsi="宋体"/>
          <w:color w:val="auto"/>
          <w:highlight w:val="none"/>
        </w:rPr>
        <w:t>评标程序</w:t>
      </w:r>
      <w:r>
        <w:rPr>
          <w:color w:val="auto"/>
          <w:highlight w:val="none"/>
        </w:rPr>
        <w:tab/>
      </w:r>
      <w:r>
        <w:rPr>
          <w:color w:val="auto"/>
          <w:highlight w:val="none"/>
        </w:rPr>
        <w:fldChar w:fldCharType="begin"/>
      </w:r>
      <w:r>
        <w:rPr>
          <w:color w:val="auto"/>
          <w:highlight w:val="none"/>
        </w:rPr>
        <w:instrText xml:space="preserve"> PAGEREF _Toc23123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1"/>
        <w:tabs>
          <w:tab w:val="right" w:leader="dot" w:pos="9411"/>
        </w:tabs>
        <w:rPr>
          <w:color w:val="auto"/>
          <w:highlight w:val="none"/>
        </w:rPr>
      </w:pPr>
      <w:r>
        <w:rPr>
          <w:color w:val="auto"/>
          <w:highlight w:val="none"/>
        </w:rPr>
        <w:fldChar w:fldCharType="begin"/>
      </w:r>
      <w:r>
        <w:rPr>
          <w:color w:val="auto"/>
          <w:highlight w:val="none"/>
        </w:rPr>
        <w:instrText xml:space="preserve"> HYPERLINK \l "_Toc23502" </w:instrText>
      </w:r>
      <w:r>
        <w:rPr>
          <w:color w:val="auto"/>
          <w:highlight w:val="none"/>
        </w:rPr>
        <w:fldChar w:fldCharType="separate"/>
      </w:r>
      <w:r>
        <w:rPr>
          <w:rFonts w:ascii="宋体" w:hAnsi="宋体"/>
          <w:color w:val="auto"/>
          <w:highlight w:val="none"/>
        </w:rPr>
        <w:t xml:space="preserve">4. </w:t>
      </w:r>
      <w:r>
        <w:rPr>
          <w:rFonts w:hint="eastAsia" w:ascii="宋体" w:hAnsi="宋体"/>
          <w:color w:val="auto"/>
          <w:highlight w:val="none"/>
        </w:rPr>
        <w:t>评标表格</w:t>
      </w:r>
      <w:r>
        <w:rPr>
          <w:color w:val="auto"/>
          <w:highlight w:val="none"/>
        </w:rPr>
        <w:tab/>
      </w:r>
      <w:r>
        <w:rPr>
          <w:color w:val="auto"/>
          <w:highlight w:val="none"/>
        </w:rPr>
        <w:fldChar w:fldCharType="begin"/>
      </w:r>
      <w:r>
        <w:rPr>
          <w:color w:val="auto"/>
          <w:highlight w:val="none"/>
        </w:rPr>
        <w:instrText xml:space="preserve"> PAGEREF _Toc23502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7"/>
        <w:tabs>
          <w:tab w:val="right" w:leader="dot" w:pos="9411"/>
        </w:tabs>
        <w:rPr>
          <w:color w:val="auto"/>
          <w:highlight w:val="none"/>
        </w:rPr>
      </w:pPr>
      <w:r>
        <w:rPr>
          <w:color w:val="auto"/>
          <w:highlight w:val="none"/>
        </w:rPr>
        <w:fldChar w:fldCharType="begin"/>
      </w:r>
      <w:r>
        <w:rPr>
          <w:color w:val="auto"/>
          <w:highlight w:val="none"/>
        </w:rPr>
        <w:instrText xml:space="preserve"> HYPERLINK \l "_Toc13990" </w:instrText>
      </w:r>
      <w:r>
        <w:rPr>
          <w:color w:val="auto"/>
          <w:highlight w:val="none"/>
        </w:rPr>
        <w:fldChar w:fldCharType="separate"/>
      </w:r>
      <w:r>
        <w:rPr>
          <w:rFonts w:hint="eastAsia"/>
          <w:color w:val="auto"/>
          <w:highlight w:val="none"/>
        </w:rPr>
        <w:t>第四章合同条款及格式（另册）</w:t>
      </w:r>
      <w:r>
        <w:rPr>
          <w:color w:val="auto"/>
          <w:highlight w:val="none"/>
        </w:rPr>
        <w:tab/>
      </w:r>
      <w:r>
        <w:rPr>
          <w:color w:val="auto"/>
          <w:highlight w:val="none"/>
        </w:rPr>
        <w:fldChar w:fldCharType="begin"/>
      </w:r>
      <w:r>
        <w:rPr>
          <w:color w:val="auto"/>
          <w:highlight w:val="none"/>
        </w:rPr>
        <w:instrText xml:space="preserve"> PAGEREF _Toc13990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27"/>
        <w:tabs>
          <w:tab w:val="right" w:leader="dot" w:pos="9411"/>
        </w:tabs>
        <w:rPr>
          <w:color w:val="auto"/>
          <w:highlight w:val="none"/>
        </w:rPr>
      </w:pPr>
      <w:r>
        <w:rPr>
          <w:color w:val="auto"/>
          <w:highlight w:val="none"/>
        </w:rPr>
        <w:fldChar w:fldCharType="begin"/>
      </w:r>
      <w:r>
        <w:rPr>
          <w:color w:val="auto"/>
          <w:highlight w:val="none"/>
        </w:rPr>
        <w:instrText xml:space="preserve"> HYPERLINK \l "_Toc17655" </w:instrText>
      </w:r>
      <w:r>
        <w:rPr>
          <w:color w:val="auto"/>
          <w:highlight w:val="none"/>
        </w:rPr>
        <w:fldChar w:fldCharType="separate"/>
      </w:r>
      <w:r>
        <w:rPr>
          <w:rFonts w:hint="eastAsia"/>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_Toc17655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27"/>
        <w:tabs>
          <w:tab w:val="right" w:leader="dot" w:pos="9411"/>
        </w:tabs>
        <w:rPr>
          <w:color w:val="auto"/>
          <w:highlight w:val="none"/>
        </w:rPr>
      </w:pPr>
      <w:r>
        <w:rPr>
          <w:color w:val="auto"/>
          <w:highlight w:val="none"/>
        </w:rPr>
        <w:fldChar w:fldCharType="begin"/>
      </w:r>
      <w:r>
        <w:rPr>
          <w:color w:val="auto"/>
          <w:highlight w:val="none"/>
        </w:rPr>
        <w:instrText xml:space="preserve"> HYPERLINK \l "_Toc18278" </w:instrText>
      </w:r>
      <w:r>
        <w:rPr>
          <w:color w:val="auto"/>
          <w:highlight w:val="none"/>
        </w:rPr>
        <w:fldChar w:fldCharType="separate"/>
      </w:r>
      <w:r>
        <w:rPr>
          <w:rFonts w:hint="eastAsia"/>
          <w:color w:val="auto"/>
          <w:highlight w:val="none"/>
        </w:rPr>
        <w:t xml:space="preserve">第五章 </w:t>
      </w:r>
      <w:r>
        <w:rPr>
          <w:rFonts w:hint="eastAsia" w:ascii="Times New Roman" w:hAnsi="Times New Roman"/>
          <w:color w:val="auto"/>
          <w:highlight w:val="none"/>
        </w:rPr>
        <w:t>发包人要求（另册）</w:t>
      </w:r>
      <w:r>
        <w:rPr>
          <w:color w:val="auto"/>
          <w:highlight w:val="none"/>
        </w:rPr>
        <w:tab/>
      </w:r>
      <w:r>
        <w:rPr>
          <w:color w:val="auto"/>
          <w:highlight w:val="none"/>
        </w:rPr>
        <w:fldChar w:fldCharType="begin"/>
      </w:r>
      <w:r>
        <w:rPr>
          <w:color w:val="auto"/>
          <w:highlight w:val="none"/>
        </w:rPr>
        <w:instrText xml:space="preserve"> PAGEREF _Toc18278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27"/>
        <w:tabs>
          <w:tab w:val="right" w:leader="dot" w:pos="9411"/>
        </w:tabs>
        <w:rPr>
          <w:color w:val="auto"/>
          <w:highlight w:val="none"/>
        </w:rPr>
      </w:pPr>
      <w:r>
        <w:rPr>
          <w:color w:val="auto"/>
          <w:highlight w:val="none"/>
        </w:rPr>
        <w:fldChar w:fldCharType="begin"/>
      </w:r>
      <w:r>
        <w:rPr>
          <w:color w:val="auto"/>
          <w:highlight w:val="none"/>
        </w:rPr>
        <w:instrText xml:space="preserve"> HYPERLINK \l "_Toc23074" </w:instrText>
      </w:r>
      <w:r>
        <w:rPr>
          <w:color w:val="auto"/>
          <w:highlight w:val="none"/>
        </w:rPr>
        <w:fldChar w:fldCharType="separate"/>
      </w:r>
      <w:r>
        <w:rPr>
          <w:rFonts w:hint="eastAsia" w:ascii="Times New Roman" w:hAnsi="Times New Roman"/>
          <w:color w:val="auto"/>
          <w:highlight w:val="none"/>
        </w:rPr>
        <w:t>第六章 第六章发包人提供的资料（另册）</w:t>
      </w:r>
      <w:r>
        <w:rPr>
          <w:color w:val="auto"/>
          <w:highlight w:val="none"/>
        </w:rPr>
        <w:tab/>
      </w:r>
      <w:r>
        <w:rPr>
          <w:color w:val="auto"/>
          <w:highlight w:val="none"/>
        </w:rPr>
        <w:fldChar w:fldCharType="begin"/>
      </w:r>
      <w:r>
        <w:rPr>
          <w:color w:val="auto"/>
          <w:highlight w:val="none"/>
        </w:rPr>
        <w:instrText xml:space="preserve"> PAGEREF _Toc23074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27"/>
        <w:tabs>
          <w:tab w:val="right" w:leader="dot" w:pos="9411"/>
        </w:tabs>
        <w:rPr>
          <w:color w:val="auto"/>
          <w:highlight w:val="none"/>
        </w:rPr>
      </w:pPr>
      <w:r>
        <w:rPr>
          <w:color w:val="auto"/>
          <w:highlight w:val="none"/>
        </w:rPr>
        <w:fldChar w:fldCharType="begin"/>
      </w:r>
      <w:r>
        <w:rPr>
          <w:color w:val="auto"/>
          <w:highlight w:val="none"/>
        </w:rPr>
        <w:instrText xml:space="preserve"> HYPERLINK \l "_Toc11589" </w:instrText>
      </w:r>
      <w:r>
        <w:rPr>
          <w:color w:val="auto"/>
          <w:highlight w:val="none"/>
        </w:rPr>
        <w:fldChar w:fldCharType="separate"/>
      </w:r>
      <w:r>
        <w:rPr>
          <w:rFonts w:hint="eastAsia"/>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_Toc11589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27"/>
        <w:tabs>
          <w:tab w:val="right" w:leader="dot" w:pos="9411"/>
        </w:tabs>
        <w:rPr>
          <w:color w:val="auto"/>
          <w:highlight w:val="none"/>
        </w:rPr>
      </w:pPr>
      <w:r>
        <w:rPr>
          <w:color w:val="auto"/>
          <w:highlight w:val="none"/>
        </w:rPr>
        <w:fldChar w:fldCharType="begin"/>
      </w:r>
      <w:r>
        <w:rPr>
          <w:color w:val="auto"/>
          <w:highlight w:val="none"/>
        </w:rPr>
        <w:instrText xml:space="preserve"> HYPERLINK \l "_Toc17793" </w:instrText>
      </w:r>
      <w:r>
        <w:rPr>
          <w:color w:val="auto"/>
          <w:highlight w:val="none"/>
        </w:rPr>
        <w:fldChar w:fldCharType="separate"/>
      </w:r>
      <w:r>
        <w:rPr>
          <w:rFonts w:hint="eastAsia"/>
          <w:color w:val="auto"/>
          <w:highlight w:val="none"/>
        </w:rPr>
        <w:t>第七章投标文件格式</w:t>
      </w:r>
      <w:r>
        <w:rPr>
          <w:color w:val="auto"/>
          <w:highlight w:val="none"/>
        </w:rPr>
        <w:tab/>
      </w:r>
      <w:r>
        <w:rPr>
          <w:color w:val="auto"/>
          <w:highlight w:val="none"/>
        </w:rPr>
        <w:fldChar w:fldCharType="begin"/>
      </w:r>
      <w:r>
        <w:rPr>
          <w:color w:val="auto"/>
          <w:highlight w:val="none"/>
        </w:rPr>
        <w:instrText xml:space="preserve"> PAGEREF _Toc17793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3"/>
        <w:rPr>
          <w:color w:val="auto"/>
          <w:highlight w:val="none"/>
        </w:rPr>
        <w:sectPr>
          <w:headerReference r:id="rId4" w:type="default"/>
          <w:footerReference r:id="rId5" w:type="default"/>
          <w:pgSz w:w="11906" w:h="16838"/>
          <w:pgMar w:top="1247" w:right="1134" w:bottom="1247" w:left="1361" w:header="851" w:footer="992" w:gutter="0"/>
          <w:pgNumType w:fmt="upperRoman" w:start="1"/>
          <w:cols w:space="720" w:num="1"/>
          <w:docGrid w:type="lines" w:linePitch="312" w:charSpace="0"/>
        </w:sectPr>
      </w:pPr>
      <w:r>
        <w:rPr>
          <w:caps/>
          <w:color w:val="auto"/>
          <w:szCs w:val="28"/>
          <w:highlight w:val="none"/>
        </w:rPr>
        <w:fldChar w:fldCharType="end"/>
      </w: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pStyle w:val="3"/>
        <w:jc w:val="center"/>
        <w:rPr>
          <w:color w:val="auto"/>
          <w:highlight w:val="none"/>
        </w:rPr>
      </w:pPr>
      <w:bookmarkStart w:id="21" w:name="_Toc24226"/>
      <w:bookmarkStart w:id="22" w:name="_Toc3317"/>
      <w:bookmarkStart w:id="23" w:name="_Toc300834927"/>
      <w:bookmarkStart w:id="24" w:name="_Toc11363"/>
      <w:bookmarkStart w:id="25" w:name="_Toc11431"/>
      <w:bookmarkStart w:id="26" w:name="_Toc5664"/>
      <w:bookmarkStart w:id="27" w:name="_Toc14632"/>
      <w:bookmarkStart w:id="28" w:name="_Toc23631"/>
      <w:bookmarkStart w:id="29" w:name="_Toc494371511"/>
      <w:bookmarkStart w:id="30" w:name="_Toc1856"/>
      <w:bookmarkStart w:id="31" w:name="_Toc6648"/>
      <w:bookmarkStart w:id="32" w:name="_Toc20772"/>
      <w:bookmarkStart w:id="33" w:name="_Toc9829"/>
      <w:r>
        <w:rPr>
          <w:rFonts w:hint="eastAsia"/>
          <w:color w:val="auto"/>
          <w:highlight w:val="none"/>
        </w:rPr>
        <w:t>第一卷</w:t>
      </w:r>
      <w:bookmarkEnd w:id="16"/>
      <w:bookmarkEnd w:id="17"/>
      <w:bookmarkEnd w:id="21"/>
      <w:bookmarkEnd w:id="22"/>
      <w:bookmarkEnd w:id="23"/>
      <w:bookmarkEnd w:id="24"/>
      <w:bookmarkEnd w:id="25"/>
      <w:bookmarkEnd w:id="26"/>
      <w:bookmarkEnd w:id="27"/>
      <w:bookmarkEnd w:id="28"/>
      <w:bookmarkEnd w:id="29"/>
      <w:bookmarkEnd w:id="30"/>
      <w:bookmarkEnd w:id="31"/>
      <w:bookmarkEnd w:id="32"/>
      <w:bookmarkEnd w:id="33"/>
    </w:p>
    <w:p>
      <w:pPr>
        <w:spacing w:line="360" w:lineRule="auto"/>
        <w:jc w:val="center"/>
        <w:rPr>
          <w:rFonts w:ascii="宋体" w:hAnsi="宋体" w:cs="宋体"/>
          <w:color w:val="auto"/>
          <w:sz w:val="24"/>
          <w:highlight w:val="none"/>
        </w:rPr>
      </w:pPr>
      <w:bookmarkStart w:id="34" w:name="_Toc247513933"/>
      <w:bookmarkStart w:id="35" w:name="_Toc247527534"/>
      <w:bookmarkStart w:id="36" w:name="_Toc300834928"/>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jc w:val="center"/>
        <w:outlineLvl w:val="0"/>
        <w:rPr>
          <w:b/>
          <w:bCs/>
          <w:color w:val="auto"/>
          <w:kern w:val="44"/>
          <w:sz w:val="44"/>
          <w:szCs w:val="44"/>
          <w:highlight w:val="none"/>
        </w:rPr>
      </w:pPr>
      <w:bookmarkStart w:id="37" w:name="_Toc7616"/>
      <w:bookmarkStart w:id="38" w:name="_Toc28981"/>
      <w:bookmarkStart w:id="39" w:name="_Toc16845"/>
      <w:bookmarkStart w:id="40" w:name="_Toc494371512"/>
      <w:bookmarkStart w:id="41" w:name="_Toc7403"/>
      <w:bookmarkStart w:id="42" w:name="_Toc7717"/>
      <w:bookmarkStart w:id="43" w:name="_Toc9002"/>
      <w:r>
        <w:rPr>
          <w:rFonts w:hint="eastAsia"/>
          <w:b/>
          <w:bCs/>
          <w:color w:val="auto"/>
          <w:kern w:val="44"/>
          <w:sz w:val="44"/>
          <w:szCs w:val="44"/>
          <w:highlight w:val="none"/>
        </w:rPr>
        <w:t>第一章招标公告（另册）</w:t>
      </w:r>
      <w:bookmarkEnd w:id="37"/>
      <w:bookmarkEnd w:id="38"/>
      <w:bookmarkEnd w:id="39"/>
      <w:bookmarkEnd w:id="40"/>
      <w:bookmarkEnd w:id="41"/>
      <w:bookmarkEnd w:id="42"/>
      <w:bookmarkEnd w:id="43"/>
    </w:p>
    <w:bookmarkEnd w:id="18"/>
    <w:bookmarkEnd w:id="19"/>
    <w:bookmarkEnd w:id="20"/>
    <w:bookmarkEnd w:id="34"/>
    <w:bookmarkEnd w:id="35"/>
    <w:bookmarkEnd w:id="36"/>
    <w:p>
      <w:pPr>
        <w:jc w:val="center"/>
        <w:outlineLvl w:val="0"/>
        <w:rPr>
          <w:b/>
          <w:bCs/>
          <w:color w:val="auto"/>
          <w:kern w:val="44"/>
          <w:sz w:val="44"/>
          <w:szCs w:val="44"/>
          <w:highlight w:val="none"/>
        </w:rPr>
      </w:pPr>
      <w:bookmarkStart w:id="44" w:name="_Toc1178"/>
      <w:bookmarkStart w:id="45" w:name="_Toc300834947"/>
      <w:bookmarkStart w:id="46" w:name="_Toc144974495"/>
      <w:bookmarkStart w:id="47" w:name="_Toc152042303"/>
      <w:bookmarkStart w:id="48" w:name="_Toc247527551"/>
      <w:bookmarkStart w:id="49" w:name="_Toc18861"/>
      <w:bookmarkStart w:id="50" w:name="_Toc152045527"/>
      <w:bookmarkStart w:id="51" w:name="_Toc247513950"/>
      <w:bookmarkStart w:id="52" w:name="_Toc20453"/>
      <w:r>
        <w:rPr>
          <w:b/>
          <w:bCs/>
          <w:color w:val="auto"/>
          <w:kern w:val="44"/>
          <w:sz w:val="44"/>
          <w:szCs w:val="44"/>
          <w:highlight w:val="none"/>
        </w:rPr>
        <w:br w:type="page"/>
      </w:r>
      <w:bookmarkStart w:id="53" w:name="_Toc21868"/>
      <w:bookmarkStart w:id="54" w:name="_Toc27217"/>
      <w:bookmarkStart w:id="55" w:name="_Toc15284"/>
      <w:bookmarkStart w:id="56" w:name="_Toc494371513"/>
      <w:bookmarkStart w:id="57" w:name="_Toc8440"/>
      <w:bookmarkStart w:id="58" w:name="_Toc29549"/>
      <w:bookmarkStart w:id="59" w:name="_Toc9024"/>
      <w:bookmarkStart w:id="60" w:name="_Toc25745"/>
      <w:bookmarkStart w:id="61" w:name="_Toc3615"/>
      <w:r>
        <w:rPr>
          <w:rFonts w:hint="eastAsia"/>
          <w:b/>
          <w:bCs/>
          <w:color w:val="auto"/>
          <w:kern w:val="44"/>
          <w:sz w:val="44"/>
          <w:szCs w:val="44"/>
          <w:highlight w:val="none"/>
        </w:rPr>
        <w:t>第二章投标人须知</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4"/>
        <w:spacing w:line="240" w:lineRule="auto"/>
        <w:jc w:val="center"/>
        <w:rPr>
          <w:color w:val="auto"/>
          <w:highlight w:val="none"/>
        </w:rPr>
      </w:pPr>
      <w:bookmarkStart w:id="62" w:name="_Toc300834948"/>
      <w:bookmarkStart w:id="63" w:name="_Toc23094"/>
      <w:bookmarkStart w:id="64" w:name="_Toc144974496"/>
      <w:bookmarkStart w:id="65" w:name="_Toc23877"/>
      <w:bookmarkStart w:id="66" w:name="_Toc19769"/>
      <w:bookmarkStart w:id="67" w:name="_Toc24688"/>
      <w:bookmarkStart w:id="68" w:name="_Toc16066"/>
      <w:bookmarkStart w:id="69" w:name="_Toc20316"/>
      <w:bookmarkStart w:id="70" w:name="_Toc152045528"/>
      <w:bookmarkStart w:id="71" w:name="_Toc25706"/>
      <w:bookmarkStart w:id="72" w:name="_Toc15181"/>
      <w:bookmarkStart w:id="73" w:name="_Toc247527552"/>
      <w:bookmarkStart w:id="74" w:name="_Toc12687"/>
      <w:bookmarkStart w:id="75" w:name="_Toc152042304"/>
      <w:bookmarkStart w:id="76" w:name="_Toc3039"/>
      <w:bookmarkStart w:id="77" w:name="_Toc247513951"/>
      <w:bookmarkStart w:id="78" w:name="_Toc24123"/>
      <w:bookmarkStart w:id="79" w:name="_Toc494371514"/>
      <w:bookmarkStart w:id="80" w:name="_Toc2677"/>
      <w:r>
        <w:rPr>
          <w:rFonts w:hint="eastAsia"/>
          <w:color w:val="auto"/>
          <w:highlight w:val="none"/>
        </w:rPr>
        <w:t>投标人须知前附表</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tbl>
      <w:tblPr>
        <w:tblStyle w:val="39"/>
        <w:tblW w:w="988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816"/>
        <w:gridCol w:w="59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65" w:type="dxa"/>
            <w:tcBorders>
              <w:bottom w:val="double" w:color="auto" w:sz="4" w:space="0"/>
            </w:tcBorders>
            <w:vAlign w:val="center"/>
          </w:tcPr>
          <w:p>
            <w:pPr>
              <w:adjustRightInd w:val="0"/>
              <w:snapToGrid w:val="0"/>
              <w:spacing w:beforeLines="50"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816" w:type="dxa"/>
            <w:tcBorders>
              <w:bottom w:val="double" w:color="auto" w:sz="4" w:space="0"/>
            </w:tcBorders>
            <w:vAlign w:val="center"/>
          </w:tcPr>
          <w:p>
            <w:pPr>
              <w:adjustRightInd w:val="0"/>
              <w:snapToGrid w:val="0"/>
              <w:spacing w:beforeLines="50"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5908" w:type="dxa"/>
            <w:tcBorders>
              <w:bottom w:val="double" w:color="auto" w:sz="4" w:space="0"/>
            </w:tcBorders>
            <w:vAlign w:val="center"/>
          </w:tcPr>
          <w:p>
            <w:pPr>
              <w:adjustRightInd w:val="0"/>
              <w:snapToGrid w:val="0"/>
              <w:spacing w:beforeLines="50" w:line="360" w:lineRule="auto"/>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tcBorders>
              <w:top w:val="double" w:color="auto" w:sz="4" w:space="0"/>
            </w:tcBorders>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816" w:type="dxa"/>
            <w:tcBorders>
              <w:top w:val="double" w:color="auto" w:sz="4" w:space="0"/>
            </w:tcBorders>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招标单位、建设管理单位、招标代理机构</w:t>
            </w:r>
          </w:p>
        </w:tc>
        <w:tc>
          <w:tcPr>
            <w:tcW w:w="5908" w:type="dxa"/>
            <w:tcBorders>
              <w:top w:val="double" w:color="auto" w:sz="4" w:space="0"/>
            </w:tcBorders>
            <w:vAlign w:val="center"/>
          </w:tcPr>
          <w:p>
            <w:pPr>
              <w:widowControl/>
              <w:snapToGrid w:val="0"/>
              <w:spacing w:beforeLines="50"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招标单位：广州南沙盛龙房地产开发有限公司</w:t>
            </w:r>
            <w:r>
              <w:rPr>
                <w:rFonts w:hint="eastAsia" w:ascii="宋体" w:hAnsi="宋体" w:cs="宋体"/>
                <w:color w:val="auto"/>
                <w:szCs w:val="21"/>
                <w:highlight w:val="none"/>
                <w:lang w:eastAsia="zh-CN"/>
              </w:rPr>
              <w:t>（建设单位）</w:t>
            </w:r>
          </w:p>
          <w:p>
            <w:pPr>
              <w:widowControl/>
              <w:snapToGrid w:val="0"/>
              <w:spacing w:beforeLines="50"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广州南沙建设维护管理有限公司</w:t>
            </w:r>
            <w:r>
              <w:rPr>
                <w:rFonts w:hint="eastAsia" w:ascii="宋体" w:hAnsi="宋体" w:cs="宋体"/>
                <w:color w:val="auto"/>
                <w:szCs w:val="21"/>
                <w:highlight w:val="none"/>
                <w:lang w:eastAsia="zh-CN"/>
              </w:rPr>
              <w:t>（</w:t>
            </w:r>
            <w:r>
              <w:rPr>
                <w:rFonts w:hint="eastAsia" w:ascii="宋体" w:hAnsi="宋体" w:cs="宋体"/>
                <w:color w:val="auto"/>
                <w:szCs w:val="21"/>
                <w:highlight w:val="none"/>
              </w:rPr>
              <w:t>建设管理单位</w:t>
            </w:r>
            <w:r>
              <w:rPr>
                <w:rFonts w:hint="eastAsia" w:ascii="宋体" w:hAnsi="宋体" w:cs="宋体"/>
                <w:color w:val="auto"/>
                <w:szCs w:val="21"/>
                <w:highlight w:val="none"/>
                <w:lang w:eastAsia="zh-CN"/>
              </w:rPr>
              <w:t>）</w:t>
            </w:r>
          </w:p>
          <w:p>
            <w:pPr>
              <w:widowControl/>
              <w:snapToGrid w:val="0"/>
              <w:spacing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联系人：李工       联系电话：020-66806279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908" w:type="dxa"/>
            <w:vAlign w:val="center"/>
          </w:tcPr>
          <w:p>
            <w:pPr>
              <w:adjustRightInd w:val="0"/>
              <w:snapToGrid w:val="0"/>
              <w:spacing w:beforeLines="50" w:line="360" w:lineRule="auto"/>
              <w:rPr>
                <w:rFonts w:ascii="宋体" w:hAnsi="宋体" w:cs="宋体"/>
                <w:color w:val="auto"/>
                <w:szCs w:val="21"/>
                <w:highlight w:val="none"/>
              </w:rPr>
            </w:pPr>
            <w:r>
              <w:rPr>
                <w:rFonts w:hint="eastAsia" w:ascii="宋体" w:hAnsi="宋体" w:cs="宋体"/>
                <w:color w:val="auto"/>
                <w:kern w:val="2"/>
                <w:sz w:val="21"/>
                <w:szCs w:val="21"/>
                <w:highlight w:val="none"/>
                <w:u w:val="none"/>
              </w:rPr>
              <w:t>2022NJY-9地块</w:t>
            </w:r>
            <w:r>
              <w:rPr>
                <w:rFonts w:hint="eastAsia" w:ascii="宋体" w:hAnsi="宋体" w:cs="宋体"/>
                <w:color w:val="auto"/>
                <w:kern w:val="2"/>
                <w:sz w:val="21"/>
                <w:szCs w:val="21"/>
                <w:highlight w:val="none"/>
                <w:u w:val="none"/>
                <w:lang w:val="en-US" w:eastAsia="zh-CN"/>
              </w:rPr>
              <w:t>首期</w:t>
            </w:r>
            <w:r>
              <w:rPr>
                <w:rFonts w:hint="eastAsia" w:ascii="宋体" w:hAnsi="宋体" w:cs="宋体"/>
                <w:color w:val="auto"/>
                <w:kern w:val="2"/>
                <w:sz w:val="21"/>
                <w:szCs w:val="21"/>
                <w:highlight w:val="none"/>
                <w:u w:val="none"/>
              </w:rPr>
              <w:t>基坑</w:t>
            </w:r>
            <w:r>
              <w:rPr>
                <w:rFonts w:hint="eastAsia" w:ascii="宋体" w:hAnsi="宋体" w:cs="宋体"/>
                <w:color w:val="auto"/>
                <w:kern w:val="2"/>
                <w:sz w:val="21"/>
                <w:szCs w:val="21"/>
                <w:highlight w:val="none"/>
                <w:u w:val="none"/>
                <w:lang w:val="en-US" w:eastAsia="zh-CN"/>
              </w:rPr>
              <w:t>支护及土方开挖工程</w:t>
            </w:r>
            <w:r>
              <w:rPr>
                <w:rFonts w:hint="eastAsia" w:ascii="宋体" w:hAnsi="宋体" w:cs="宋体"/>
                <w:color w:val="auto"/>
                <w:szCs w:val="21"/>
                <w:highlight w:val="none"/>
              </w:rPr>
              <w:t>设计施工总承包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建设地点</w:t>
            </w:r>
          </w:p>
        </w:tc>
        <w:tc>
          <w:tcPr>
            <w:tcW w:w="5908" w:type="dxa"/>
            <w:vAlign w:val="center"/>
          </w:tcPr>
          <w:p>
            <w:pPr>
              <w:adjustRightInd w:val="0"/>
              <w:snapToGrid w:val="0"/>
              <w:spacing w:beforeLines="50" w:line="360" w:lineRule="auto"/>
              <w:rPr>
                <w:rFonts w:ascii="宋体" w:hAnsi="宋体" w:cs="宋体"/>
                <w:color w:val="auto"/>
                <w:szCs w:val="21"/>
                <w:highlight w:val="none"/>
              </w:rPr>
            </w:pPr>
            <w:r>
              <w:rPr>
                <w:rFonts w:hint="eastAsia" w:ascii="宋体" w:hAnsi="宋体" w:cs="宋体"/>
                <w:color w:val="auto"/>
                <w:kern w:val="0"/>
                <w:szCs w:val="21"/>
                <w:highlight w:val="none"/>
              </w:rPr>
              <w:t>广州市南沙区珠江街万泰大道南北侧、规划一横路西北侧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建设规模</w:t>
            </w:r>
          </w:p>
        </w:tc>
        <w:tc>
          <w:tcPr>
            <w:tcW w:w="5908" w:type="dxa"/>
            <w:vAlign w:val="center"/>
          </w:tcPr>
          <w:p>
            <w:pPr>
              <w:adjustRightInd w:val="0"/>
              <w:snapToGrid w:val="0"/>
              <w:spacing w:beforeLines="50" w:line="360" w:lineRule="auto"/>
              <w:rPr>
                <w:rFonts w:ascii="宋体" w:hAnsi="宋体" w:cs="宋体"/>
                <w:color w:val="auto"/>
                <w:szCs w:val="21"/>
                <w:highlight w:val="none"/>
              </w:rPr>
            </w:pPr>
            <w:r>
              <w:rPr>
                <w:rFonts w:hint="eastAsia" w:ascii="宋体" w:hAnsi="宋体" w:cs="宋体"/>
                <w:color w:val="auto"/>
                <w:szCs w:val="21"/>
                <w:highlight w:val="none"/>
                <w:lang w:eastAsia="zh-CN"/>
              </w:rPr>
              <w:t>总</w:t>
            </w:r>
            <w:r>
              <w:rPr>
                <w:rFonts w:hint="eastAsia" w:ascii="宋体" w:hAnsi="宋体" w:cs="宋体"/>
                <w:color w:val="auto"/>
                <w:szCs w:val="21"/>
                <w:highlight w:val="none"/>
              </w:rPr>
              <w:t>投资</w:t>
            </w:r>
            <w:r>
              <w:rPr>
                <w:rFonts w:hint="eastAsia" w:ascii="宋体" w:hAnsi="宋体" w:cs="宋体"/>
                <w:color w:val="auto"/>
                <w:szCs w:val="21"/>
                <w:highlight w:val="none"/>
                <w:lang w:eastAsia="zh-CN"/>
              </w:rPr>
              <w:t>额</w:t>
            </w:r>
            <w:r>
              <w:rPr>
                <w:rFonts w:hint="eastAsia" w:ascii="宋体" w:hAnsi="宋体" w:cs="宋体"/>
                <w:color w:val="auto"/>
                <w:szCs w:val="21"/>
                <w:highlight w:val="none"/>
                <w:lang w:val="en-US" w:eastAsia="zh-CN"/>
              </w:rPr>
              <w:t>393</w:t>
            </w:r>
            <w:r>
              <w:rPr>
                <w:rFonts w:hint="eastAsia" w:ascii="宋体" w:hAnsi="宋体" w:cs="宋体"/>
                <w:color w:val="auto"/>
                <w:szCs w:val="21"/>
                <w:highlight w:val="none"/>
              </w:rPr>
              <w:t>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资金来源及比例</w:t>
            </w:r>
          </w:p>
        </w:tc>
        <w:tc>
          <w:tcPr>
            <w:tcW w:w="5908" w:type="dxa"/>
            <w:vAlign w:val="center"/>
          </w:tcPr>
          <w:p>
            <w:pPr>
              <w:adjustRightInd w:val="0"/>
              <w:snapToGrid w:val="0"/>
              <w:spacing w:beforeLines="50" w:line="360" w:lineRule="auto"/>
              <w:rPr>
                <w:rFonts w:ascii="宋体" w:hAnsi="宋体" w:cs="宋体"/>
                <w:color w:val="auto"/>
                <w:szCs w:val="21"/>
                <w:highlight w:val="none"/>
              </w:rPr>
            </w:pPr>
            <w:r>
              <w:rPr>
                <w:rFonts w:hint="eastAsia" w:ascii="宋体" w:hAnsi="宋体" w:cs="宋体"/>
                <w:color w:val="auto"/>
                <w:szCs w:val="21"/>
                <w:highlight w:val="none"/>
              </w:rPr>
              <w:t>企业自筹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5908" w:type="dxa"/>
            <w:vAlign w:val="center"/>
          </w:tcPr>
          <w:p>
            <w:pPr>
              <w:adjustRightInd w:val="0"/>
              <w:snapToGrid w:val="0"/>
              <w:spacing w:beforeLines="50" w:line="360" w:lineRule="auto"/>
              <w:rPr>
                <w:rFonts w:ascii="宋体" w:hAnsi="宋体" w:cs="宋体"/>
                <w:color w:val="auto"/>
                <w:szCs w:val="21"/>
                <w:highlight w:val="none"/>
              </w:rPr>
            </w:pPr>
            <w:r>
              <w:rPr>
                <w:rFonts w:hint="eastAsia" w:ascii="宋体" w:hAnsi="宋体" w:cs="宋体"/>
                <w:color w:val="auto"/>
                <w:szCs w:val="21"/>
                <w:highlight w:val="none"/>
              </w:rPr>
              <w:t>资金已落实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承包方式</w:t>
            </w:r>
          </w:p>
        </w:tc>
        <w:tc>
          <w:tcPr>
            <w:tcW w:w="5908" w:type="dxa"/>
            <w:vAlign w:val="center"/>
          </w:tcPr>
          <w:p>
            <w:pPr>
              <w:pStyle w:val="2"/>
              <w:spacing w:line="360" w:lineRule="auto"/>
              <w:ind w:firstLineChars="200"/>
              <w:rPr>
                <w:rFonts w:hint="eastAsia" w:ascii="宋体" w:hAnsi="宋体" w:cs="宋体"/>
                <w:bCs/>
                <w:color w:val="auto"/>
                <w:sz w:val="21"/>
                <w:szCs w:val="21"/>
                <w:highlight w:val="none"/>
              </w:rPr>
            </w:pPr>
            <w:r>
              <w:rPr>
                <w:rFonts w:hint="eastAsia" w:ascii="宋体" w:hAnsi="宋体" w:cs="宋体"/>
                <w:color w:val="auto"/>
                <w:sz w:val="21"/>
                <w:szCs w:val="21"/>
                <w:highlight w:val="none"/>
                <w:u w:val="none"/>
                <w:lang w:val="en-US" w:eastAsia="zh-CN"/>
              </w:rPr>
              <w:t>本项目为设计施工总承包工程，由</w:t>
            </w:r>
            <w:r>
              <w:rPr>
                <w:rFonts w:hint="eastAsia" w:ascii="宋体" w:hAnsi="宋体" w:cs="宋体"/>
                <w:color w:val="auto"/>
                <w:sz w:val="21"/>
                <w:szCs w:val="21"/>
                <w:highlight w:val="none"/>
                <w:u w:val="none"/>
                <w:lang w:eastAsia="zh-CN"/>
              </w:rPr>
              <w:t>承包人</w:t>
            </w:r>
            <w:r>
              <w:rPr>
                <w:rFonts w:hint="eastAsia" w:ascii="宋体" w:hAnsi="宋体" w:cs="宋体"/>
                <w:color w:val="auto"/>
                <w:sz w:val="21"/>
                <w:szCs w:val="21"/>
                <w:highlight w:val="none"/>
                <w:u w:val="none"/>
              </w:rPr>
              <w:t>包设计</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rPr>
              <w:t>包工、包料、包</w:t>
            </w:r>
            <w:r>
              <w:rPr>
                <w:rFonts w:hint="eastAsia" w:ascii="宋体" w:hAnsi="宋体" w:cs="宋体"/>
                <w:color w:val="auto"/>
                <w:sz w:val="21"/>
                <w:szCs w:val="21"/>
                <w:highlight w:val="none"/>
                <w:u w:val="none"/>
                <w:lang w:val="en-US" w:eastAsia="zh-CN"/>
              </w:rPr>
              <w:t>施工机械费</w:t>
            </w:r>
            <w:r>
              <w:rPr>
                <w:rFonts w:hint="eastAsia" w:ascii="宋体" w:hAnsi="宋体" w:cs="宋体"/>
                <w:color w:val="auto"/>
                <w:sz w:val="21"/>
                <w:szCs w:val="21"/>
                <w:highlight w:val="none"/>
                <w:u w:val="none"/>
              </w:rPr>
              <w:t>、包质量、包安全生产、包文明施工、包工期、包承包范围内工程验收通过、包移交、包结算、包资料整理、包施工总承包管理和现场整体组织、包专业协调及配合等。</w:t>
            </w:r>
            <w:r>
              <w:rPr>
                <w:rFonts w:hint="eastAsia" w:ascii="宋体" w:hAnsi="宋体" w:cs="宋体"/>
                <w:color w:val="auto"/>
                <w:sz w:val="21"/>
                <w:szCs w:val="21"/>
                <w:highlight w:val="none"/>
                <w:u w:val="none"/>
                <w:lang w:val="en-US" w:eastAsia="zh-CN"/>
              </w:rPr>
              <w:t>最终以合同约定的工作内容为准。</w:t>
            </w:r>
          </w:p>
          <w:p>
            <w:pPr>
              <w:pStyle w:val="2"/>
              <w:spacing w:line="360" w:lineRule="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费用计算方式如下：</w:t>
            </w:r>
          </w:p>
          <w:p>
            <w:pPr>
              <w:spacing w:line="360" w:lineRule="auto"/>
              <w:ind w:firstLine="420" w:firstLineChars="200"/>
              <w:jc w:val="left"/>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1）设计部分：以设计施工总承包中标价中的设计费中标价作为合同中设计部分暂定价，并实施限额设计。设计费结算价按修正合同中的审定施工预算价为计费基数，结合投标下浮率计算得出，系数为：（1）工程类别</w:t>
            </w:r>
            <w:r>
              <w:rPr>
                <w:rFonts w:hint="eastAsia" w:ascii="宋体" w:hAnsi="宋体" w:cs="宋体"/>
                <w:color w:val="auto"/>
                <w:sz w:val="21"/>
                <w:szCs w:val="21"/>
                <w:highlight w:val="none"/>
                <w:u w:val="none"/>
                <w:lang w:val="en-US" w:eastAsia="zh-CN"/>
              </w:rPr>
              <w:t>为</w:t>
            </w:r>
            <w:r>
              <w:rPr>
                <w:rFonts w:hint="eastAsia" w:ascii="宋体" w:hAnsi="宋体" w:cs="宋体"/>
                <w:color w:val="auto"/>
                <w:sz w:val="21"/>
                <w:szCs w:val="21"/>
                <w:highlight w:val="none"/>
                <w:u w:val="none"/>
                <w:lang w:eastAsia="zh-CN"/>
              </w:rPr>
              <w:t>建筑、市政、电信工程，</w:t>
            </w:r>
            <w:r>
              <w:rPr>
                <w:rFonts w:hint="eastAsia" w:ascii="宋体" w:hAnsi="宋体" w:cs="宋体"/>
                <w:color w:val="auto"/>
                <w:sz w:val="21"/>
                <w:szCs w:val="21"/>
                <w:highlight w:val="none"/>
                <w:u w:val="none"/>
              </w:rPr>
              <w:t>专业调整系数</w:t>
            </w:r>
            <w:r>
              <w:rPr>
                <w:rFonts w:hint="eastAsia" w:ascii="宋体" w:hAnsi="宋体" w:cs="宋体"/>
                <w:color w:val="auto"/>
                <w:sz w:val="21"/>
                <w:szCs w:val="21"/>
                <w:highlight w:val="none"/>
                <w:u w:val="none"/>
                <w:lang w:eastAsia="zh-CN"/>
              </w:rPr>
              <w:t>：1</w:t>
            </w:r>
            <w:r>
              <w:rPr>
                <w:rFonts w:hint="eastAsia" w:ascii="宋体" w:hAnsi="宋体" w:cs="宋体"/>
                <w:color w:val="auto"/>
                <w:sz w:val="21"/>
                <w:szCs w:val="21"/>
                <w:highlight w:val="none"/>
                <w:u w:val="none"/>
                <w:lang w:val="en-US" w:eastAsia="zh-CN"/>
              </w:rPr>
              <w:t>.0</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u w:val="none"/>
                <w:lang w:eastAsia="zh-CN"/>
              </w:rPr>
              <w:t>2</w:t>
            </w:r>
            <w:r>
              <w:rPr>
                <w:rFonts w:hint="eastAsia" w:ascii="宋体" w:hAnsi="宋体" w:cs="宋体"/>
                <w:color w:val="auto"/>
                <w:sz w:val="21"/>
                <w:szCs w:val="21"/>
                <w:highlight w:val="none"/>
                <w:u w:val="none"/>
              </w:rPr>
              <w:t>）工程复杂程度调整系数：</w:t>
            </w:r>
            <w:r>
              <w:rPr>
                <w:rFonts w:hint="eastAsia" w:ascii="宋体" w:hAnsi="宋体" w:cs="宋体"/>
                <w:color w:val="auto"/>
                <w:sz w:val="21"/>
                <w:szCs w:val="21"/>
                <w:highlight w:val="none"/>
                <w:u w:val="none"/>
                <w:lang w:eastAsia="zh-CN"/>
              </w:rPr>
              <w:t>0</w:t>
            </w:r>
            <w:r>
              <w:rPr>
                <w:rFonts w:hint="eastAsia" w:ascii="宋体" w:hAnsi="宋体" w:cs="宋体"/>
                <w:color w:val="auto"/>
                <w:sz w:val="21"/>
                <w:szCs w:val="21"/>
                <w:highlight w:val="none"/>
                <w:u w:val="none"/>
                <w:lang w:val="en-US" w:eastAsia="zh-CN"/>
              </w:rPr>
              <w:t>.85</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u w:val="none"/>
                <w:lang w:eastAsia="zh-CN"/>
              </w:rPr>
              <w:t>3</w:t>
            </w:r>
            <w:r>
              <w:rPr>
                <w:rFonts w:hint="eastAsia" w:ascii="宋体" w:hAnsi="宋体" w:cs="宋体"/>
                <w:color w:val="auto"/>
                <w:sz w:val="21"/>
                <w:szCs w:val="21"/>
                <w:highlight w:val="none"/>
                <w:u w:val="none"/>
              </w:rPr>
              <w:t>）附加调整系数：</w:t>
            </w:r>
            <w:r>
              <w:rPr>
                <w:rFonts w:hint="eastAsia" w:ascii="宋体" w:hAnsi="宋体" w:cs="宋体"/>
                <w:color w:val="auto"/>
                <w:sz w:val="21"/>
                <w:szCs w:val="21"/>
                <w:highlight w:val="none"/>
                <w:u w:val="none"/>
                <w:lang w:eastAsia="zh-CN"/>
              </w:rPr>
              <w:t>1</w:t>
            </w:r>
            <w:r>
              <w:rPr>
                <w:rFonts w:hint="eastAsia" w:ascii="宋体" w:hAnsi="宋体" w:cs="宋体"/>
                <w:color w:val="auto"/>
                <w:sz w:val="21"/>
                <w:szCs w:val="21"/>
                <w:highlight w:val="none"/>
                <w:u w:val="none"/>
                <w:lang w:val="en-US" w:eastAsia="zh-CN"/>
              </w:rPr>
              <w:t>.0</w:t>
            </w:r>
            <w:r>
              <w:rPr>
                <w:rFonts w:hint="eastAsia" w:ascii="宋体" w:hAnsi="宋体" w:cs="宋体"/>
                <w:color w:val="auto"/>
                <w:sz w:val="21"/>
                <w:szCs w:val="21"/>
                <w:highlight w:val="none"/>
                <w:u w:val="none"/>
              </w:rPr>
              <w:t>。</w:t>
            </w:r>
          </w:p>
          <w:p>
            <w:pPr>
              <w:spacing w:line="360" w:lineRule="auto"/>
              <w:ind w:firstLine="420" w:firstLineChars="200"/>
              <w:jc w:val="left"/>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（2）施工部分：以设计施工总承包中标价中的</w:t>
            </w:r>
            <w:r>
              <w:rPr>
                <w:rFonts w:hint="eastAsia" w:ascii="宋体" w:hAnsi="宋体" w:cs="宋体"/>
                <w:color w:val="auto"/>
                <w:sz w:val="21"/>
                <w:szCs w:val="21"/>
                <w:highlight w:val="none"/>
                <w:u w:val="none"/>
                <w:lang w:eastAsia="zh-CN"/>
              </w:rPr>
              <w:t>建安工程费</w:t>
            </w:r>
            <w:r>
              <w:rPr>
                <w:rFonts w:hint="eastAsia" w:ascii="宋体" w:hAnsi="宋体" w:cs="宋体"/>
                <w:color w:val="auto"/>
                <w:sz w:val="21"/>
                <w:szCs w:val="21"/>
                <w:highlight w:val="none"/>
                <w:u w:val="none"/>
              </w:rPr>
              <w:t>中标价作为合同中施工部分暂定价</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最终</w:t>
            </w:r>
            <w:r>
              <w:rPr>
                <w:rFonts w:hint="eastAsia" w:ascii="宋体" w:hAnsi="宋体" w:cs="宋体"/>
                <w:color w:val="auto"/>
                <w:sz w:val="21"/>
                <w:szCs w:val="21"/>
                <w:highlight w:val="none"/>
                <w:u w:val="none"/>
              </w:rPr>
              <w:t>以经</w:t>
            </w:r>
            <w:r>
              <w:rPr>
                <w:rFonts w:hint="eastAsia" w:ascii="宋体" w:hAnsi="宋体" w:cs="宋体"/>
                <w:color w:val="auto"/>
                <w:sz w:val="21"/>
                <w:szCs w:val="21"/>
                <w:highlight w:val="none"/>
                <w:u w:val="none"/>
                <w:lang w:val="en-US" w:eastAsia="zh-CN"/>
              </w:rPr>
              <w:t>招标人</w:t>
            </w:r>
            <w:r>
              <w:rPr>
                <w:rFonts w:hint="eastAsia" w:ascii="宋体" w:hAnsi="宋体" w:cs="宋体"/>
                <w:color w:val="auto"/>
                <w:sz w:val="21"/>
                <w:szCs w:val="21"/>
                <w:highlight w:val="none"/>
                <w:u w:val="none"/>
              </w:rPr>
              <w:t>审定的工程预算为</w:t>
            </w:r>
            <w:r>
              <w:rPr>
                <w:rFonts w:hint="eastAsia" w:ascii="宋体" w:hAnsi="宋体" w:cs="宋体"/>
                <w:color w:val="auto"/>
                <w:sz w:val="21"/>
                <w:szCs w:val="21"/>
                <w:highlight w:val="none"/>
                <w:u w:val="none"/>
                <w:lang w:val="en-US" w:eastAsia="zh-CN"/>
              </w:rPr>
              <w:t>基础</w:t>
            </w:r>
            <w:r>
              <w:rPr>
                <w:rFonts w:hint="eastAsia" w:ascii="宋体" w:hAnsi="宋体" w:cs="宋体"/>
                <w:color w:val="auto"/>
                <w:sz w:val="21"/>
                <w:szCs w:val="21"/>
                <w:highlight w:val="none"/>
                <w:u w:val="none"/>
              </w:rPr>
              <w:t>，结合中标下浮率</w:t>
            </w:r>
            <w:r>
              <w:rPr>
                <w:rFonts w:hint="eastAsia" w:ascii="宋体" w:hAnsi="宋体" w:cs="宋体"/>
                <w:color w:val="auto"/>
                <w:sz w:val="21"/>
                <w:szCs w:val="21"/>
                <w:highlight w:val="none"/>
                <w:u w:val="none"/>
                <w:lang w:val="en-US" w:eastAsia="zh-CN"/>
              </w:rPr>
              <w:t>修订</w:t>
            </w:r>
            <w:r>
              <w:rPr>
                <w:rFonts w:hint="eastAsia" w:ascii="宋体" w:hAnsi="宋体" w:cs="宋体"/>
                <w:color w:val="auto"/>
                <w:sz w:val="21"/>
                <w:szCs w:val="21"/>
                <w:highlight w:val="none"/>
                <w:u w:val="none"/>
              </w:rPr>
              <w:t>合同价（其中施工图预算综合单价结合承包人投标时所报下浮率下浮后作为本工程的最终合同综合单价，工程量以</w:t>
            </w:r>
            <w:r>
              <w:rPr>
                <w:rFonts w:hint="eastAsia" w:ascii="宋体" w:hAnsi="宋体" w:cs="宋体"/>
                <w:color w:val="auto"/>
                <w:sz w:val="21"/>
                <w:szCs w:val="21"/>
                <w:highlight w:val="none"/>
                <w:u w:val="none"/>
                <w:lang w:val="en-US" w:eastAsia="zh-CN"/>
              </w:rPr>
              <w:t>招标人</w:t>
            </w:r>
            <w:r>
              <w:rPr>
                <w:rFonts w:hint="eastAsia" w:ascii="宋体" w:hAnsi="宋体" w:cs="宋体"/>
                <w:color w:val="auto"/>
                <w:sz w:val="21"/>
                <w:szCs w:val="21"/>
                <w:highlight w:val="none"/>
                <w:u w:val="none"/>
              </w:rPr>
              <w:t>审定的施工图按实计量</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rPr>
              <w:t>深化设计的建安预算价不得超过中标总价中的</w:t>
            </w:r>
            <w:r>
              <w:rPr>
                <w:rFonts w:hint="eastAsia" w:ascii="宋体" w:hAnsi="宋体" w:cs="宋体"/>
                <w:color w:val="auto"/>
                <w:sz w:val="21"/>
                <w:szCs w:val="21"/>
                <w:highlight w:val="none"/>
                <w:u w:val="none"/>
                <w:lang w:eastAsia="zh-CN"/>
              </w:rPr>
              <w:t>建安工程费</w:t>
            </w:r>
            <w:r>
              <w:rPr>
                <w:rFonts w:hint="eastAsia" w:ascii="宋体" w:hAnsi="宋体" w:cs="宋体"/>
                <w:color w:val="auto"/>
                <w:sz w:val="21"/>
                <w:szCs w:val="21"/>
                <w:highlight w:val="none"/>
                <w:u w:val="none"/>
              </w:rPr>
              <w:t>费用）</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rPr>
              <w:t>签订修正合同。合同结算价最终以</w:t>
            </w:r>
            <w:r>
              <w:rPr>
                <w:rFonts w:hint="eastAsia" w:ascii="宋体" w:hAnsi="宋体" w:cs="宋体"/>
                <w:color w:val="auto"/>
                <w:sz w:val="21"/>
                <w:szCs w:val="21"/>
                <w:highlight w:val="none"/>
                <w:u w:val="none"/>
                <w:lang w:val="en-US" w:eastAsia="zh-CN"/>
              </w:rPr>
              <w:t>招标人</w:t>
            </w:r>
            <w:r>
              <w:rPr>
                <w:rFonts w:hint="eastAsia" w:ascii="宋体" w:hAnsi="宋体" w:cs="宋体"/>
                <w:color w:val="auto"/>
                <w:sz w:val="21"/>
                <w:szCs w:val="21"/>
                <w:highlight w:val="none"/>
                <w:u w:val="none"/>
              </w:rPr>
              <w:t>评审审定金额为准。</w:t>
            </w:r>
          </w:p>
          <w:p>
            <w:pPr>
              <w:spacing w:line="360" w:lineRule="auto"/>
              <w:ind w:firstLine="0" w:firstLineChars="0"/>
              <w:jc w:val="left"/>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招标内容、规模</w:t>
            </w:r>
          </w:p>
        </w:tc>
        <w:tc>
          <w:tcPr>
            <w:tcW w:w="5908" w:type="dxa"/>
            <w:vAlign w:val="center"/>
          </w:tcPr>
          <w:p>
            <w:pPr>
              <w:snapToGrid w:val="0"/>
              <w:spacing w:beforeLines="50" w:line="360" w:lineRule="auto"/>
              <w:rPr>
                <w:rFonts w:ascii="宋体" w:hAnsi="宋体" w:cs="宋体"/>
                <w:color w:val="auto"/>
                <w:szCs w:val="21"/>
                <w:highlight w:val="none"/>
              </w:rPr>
            </w:pPr>
            <w:r>
              <w:rPr>
                <w:rFonts w:hint="eastAsia" w:ascii="宋体" w:hAnsi="宋体" w:cs="宋体"/>
                <w:color w:val="auto"/>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工期要求</w:t>
            </w:r>
          </w:p>
        </w:tc>
        <w:tc>
          <w:tcPr>
            <w:tcW w:w="5908" w:type="dxa"/>
            <w:vAlign w:val="center"/>
          </w:tcPr>
          <w:p>
            <w:pPr>
              <w:widowControl/>
              <w:numPr>
                <w:ilvl w:val="-1"/>
                <w:numId w:val="0"/>
              </w:numPr>
              <w:spacing w:line="360" w:lineRule="auto"/>
              <w:ind w:firstLine="420" w:firstLineChars="200"/>
              <w:jc w:val="left"/>
              <w:rPr>
                <w:rFonts w:hint="eastAsia" w:ascii="宋体" w:hAnsi="宋体" w:cs="宋体"/>
                <w:bCs/>
                <w:snapToGrid w:val="0"/>
                <w:color w:val="auto"/>
                <w:kern w:val="0"/>
                <w:sz w:val="21"/>
                <w:szCs w:val="21"/>
                <w:highlight w:val="none"/>
              </w:rPr>
            </w:pPr>
            <w:r>
              <w:rPr>
                <w:rFonts w:hint="eastAsia" w:ascii="宋体" w:hAnsi="宋体" w:cs="宋体"/>
                <w:bCs/>
                <w:snapToGrid w:val="0"/>
                <w:color w:val="auto"/>
                <w:kern w:val="0"/>
                <w:sz w:val="21"/>
                <w:szCs w:val="21"/>
                <w:highlight w:val="none"/>
              </w:rPr>
              <w:t>本项目</w:t>
            </w:r>
            <w:r>
              <w:rPr>
                <w:rFonts w:hint="eastAsia" w:ascii="宋体" w:hAnsi="宋体" w:cs="宋体"/>
                <w:bCs/>
                <w:snapToGrid w:val="0"/>
                <w:color w:val="auto"/>
                <w:kern w:val="0"/>
                <w:sz w:val="21"/>
                <w:szCs w:val="21"/>
                <w:highlight w:val="none"/>
                <w:lang w:val="en-US" w:eastAsia="zh-CN"/>
              </w:rPr>
              <w:t>暂定</w:t>
            </w:r>
            <w:r>
              <w:rPr>
                <w:rFonts w:hint="eastAsia" w:ascii="宋体" w:hAnsi="宋体" w:cs="宋体"/>
                <w:bCs/>
                <w:snapToGrid w:val="0"/>
                <w:color w:val="auto"/>
                <w:kern w:val="0"/>
                <w:sz w:val="21"/>
                <w:szCs w:val="21"/>
                <w:highlight w:val="none"/>
              </w:rPr>
              <w:t>工期</w:t>
            </w:r>
            <w:r>
              <w:rPr>
                <w:rFonts w:hint="eastAsia" w:ascii="宋体" w:hAnsi="宋体" w:cs="宋体"/>
                <w:bCs/>
                <w:snapToGrid w:val="0"/>
                <w:color w:val="auto"/>
                <w:kern w:val="0"/>
                <w:sz w:val="21"/>
                <w:szCs w:val="21"/>
                <w:highlight w:val="none"/>
                <w:lang w:val="en-US" w:eastAsia="zh-CN"/>
              </w:rPr>
              <w:t>为100天，</w:t>
            </w:r>
            <w:r>
              <w:rPr>
                <w:rFonts w:hint="eastAsia" w:ascii="宋体" w:hAnsi="宋体" w:cs="宋体"/>
                <w:bCs/>
                <w:snapToGrid w:val="0"/>
                <w:color w:val="auto"/>
                <w:kern w:val="0"/>
                <w:sz w:val="21"/>
                <w:szCs w:val="21"/>
                <w:highlight w:val="none"/>
              </w:rPr>
              <w:t>自发包人书面</w:t>
            </w:r>
            <w:r>
              <w:rPr>
                <w:rFonts w:hint="eastAsia" w:ascii="宋体" w:hAnsi="宋体" w:cs="宋体"/>
                <w:bCs/>
                <w:snapToGrid w:val="0"/>
                <w:color w:val="auto"/>
                <w:kern w:val="0"/>
                <w:sz w:val="21"/>
                <w:szCs w:val="21"/>
                <w:highlight w:val="none"/>
                <w:lang w:eastAsia="zh-CN"/>
              </w:rPr>
              <w:t>开工</w:t>
            </w:r>
            <w:r>
              <w:rPr>
                <w:rFonts w:hint="eastAsia" w:ascii="宋体" w:hAnsi="宋体" w:cs="宋体"/>
                <w:bCs/>
                <w:snapToGrid w:val="0"/>
                <w:color w:val="auto"/>
                <w:kern w:val="0"/>
                <w:sz w:val="21"/>
                <w:szCs w:val="21"/>
                <w:highlight w:val="none"/>
              </w:rPr>
              <w:t>通知之日起至验收之日止</w:t>
            </w:r>
            <w:r>
              <w:rPr>
                <w:rFonts w:hint="eastAsia" w:ascii="宋体" w:hAnsi="宋体" w:cs="宋体"/>
                <w:bCs/>
                <w:snapToGrid w:val="0"/>
                <w:color w:val="auto"/>
                <w:kern w:val="0"/>
                <w:sz w:val="21"/>
                <w:szCs w:val="21"/>
                <w:highlight w:val="none"/>
                <w:lang w:eastAsia="zh-CN"/>
              </w:rPr>
              <w:t>（</w:t>
            </w:r>
            <w:r>
              <w:rPr>
                <w:rFonts w:hint="eastAsia" w:ascii="宋体" w:hAnsi="宋体" w:cs="宋体"/>
                <w:bCs/>
                <w:snapToGrid w:val="0"/>
                <w:color w:val="auto"/>
                <w:kern w:val="0"/>
                <w:sz w:val="21"/>
                <w:szCs w:val="21"/>
                <w:highlight w:val="none"/>
                <w:lang w:val="en-US" w:eastAsia="zh-CN"/>
              </w:rPr>
              <w:t>具体按合同约定</w:t>
            </w:r>
            <w:r>
              <w:rPr>
                <w:rFonts w:hint="eastAsia" w:ascii="宋体" w:hAnsi="宋体" w:cs="宋体"/>
                <w:bCs/>
                <w:snapToGrid w:val="0"/>
                <w:color w:val="auto"/>
                <w:kern w:val="0"/>
                <w:sz w:val="21"/>
                <w:szCs w:val="21"/>
                <w:highlight w:val="none"/>
                <w:lang w:eastAsia="zh-CN"/>
              </w:rPr>
              <w:t>）</w:t>
            </w:r>
            <w:r>
              <w:rPr>
                <w:rFonts w:hint="eastAsia" w:ascii="宋体" w:hAnsi="宋体" w:cs="宋体"/>
                <w:bCs/>
                <w:snapToGrid w:val="0"/>
                <w:color w:val="auto"/>
                <w:kern w:val="0"/>
                <w:sz w:val="21"/>
                <w:szCs w:val="21"/>
                <w:highlight w:val="none"/>
              </w:rPr>
              <w:t>。</w:t>
            </w:r>
          </w:p>
          <w:p>
            <w:pPr>
              <w:widowControl/>
              <w:numPr>
                <w:ilvl w:val="0"/>
                <w:numId w:val="0"/>
              </w:numPr>
              <w:adjustRightInd/>
              <w:snapToGrid/>
              <w:spacing w:beforeLines="-2147483648" w:line="360" w:lineRule="auto"/>
              <w:ind w:firstLine="420" w:firstLineChars="200"/>
              <w:jc w:val="left"/>
              <w:rPr>
                <w:rFonts w:ascii="宋体" w:hAnsi="宋体" w:cs="宋体"/>
                <w:color w:val="auto"/>
                <w:szCs w:val="21"/>
                <w:highlight w:val="none"/>
              </w:rPr>
            </w:pPr>
            <w:r>
              <w:rPr>
                <w:rFonts w:hint="eastAsia" w:ascii="宋体" w:hAnsi="宋体" w:cs="宋体"/>
                <w:bCs/>
                <w:snapToGrid w:val="0"/>
                <w:color w:val="auto"/>
                <w:kern w:val="0"/>
                <w:sz w:val="21"/>
                <w:szCs w:val="21"/>
                <w:highlight w:val="none"/>
                <w:lang w:val="en-US" w:eastAsia="zh-CN"/>
              </w:rPr>
              <w:t>节点工期：（1）设计：2023年7月25日前完成方案设计，2023年7月30日前完成施工图设计。（2）施工：2023年8月10日前临时设施施工完成，设备进场、土方开挖</w:t>
            </w:r>
            <w:r>
              <w:rPr>
                <w:rFonts w:hint="eastAsia" w:ascii="宋体" w:hAnsi="宋体" w:cs="宋体"/>
                <w:bCs/>
                <w:snapToGrid w:val="0"/>
                <w:color w:val="auto"/>
                <w:kern w:val="0"/>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5908" w:type="dxa"/>
            <w:vAlign w:val="center"/>
          </w:tcPr>
          <w:p>
            <w:pPr>
              <w:snapToGrid w:val="0"/>
              <w:spacing w:beforeLines="50" w:line="360" w:lineRule="auto"/>
              <w:rPr>
                <w:rFonts w:ascii="宋体" w:hAnsi="宋体" w:cs="宋体"/>
                <w:color w:val="auto"/>
                <w:szCs w:val="21"/>
                <w:highlight w:val="none"/>
              </w:rPr>
            </w:pPr>
            <w:r>
              <w:rPr>
                <w:rFonts w:hint="eastAsia" w:ascii="宋体" w:hAnsi="宋体" w:cs="宋体"/>
                <w:color w:val="auto"/>
                <w:sz w:val="21"/>
                <w:szCs w:val="21"/>
                <w:highlight w:val="none"/>
              </w:rPr>
              <w:t>限额设计施工，投标报价包含本项目的设计费及建安</w:t>
            </w:r>
            <w:r>
              <w:rPr>
                <w:rFonts w:hint="eastAsia" w:ascii="宋体" w:hAnsi="宋体" w:cs="宋体"/>
                <w:color w:val="auto"/>
                <w:sz w:val="21"/>
                <w:szCs w:val="21"/>
                <w:highlight w:val="none"/>
                <w:lang w:eastAsia="zh-CN"/>
              </w:rPr>
              <w:t>工程</w:t>
            </w:r>
            <w:r>
              <w:rPr>
                <w:rFonts w:hint="eastAsia" w:ascii="宋体" w:hAnsi="宋体" w:cs="宋体"/>
                <w:color w:val="auto"/>
                <w:sz w:val="21"/>
                <w:szCs w:val="21"/>
                <w:highlight w:val="none"/>
              </w:rPr>
              <w:t>费</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投标人的投标总报价、设计费报价、建安工程费报价超过对应最高投标限价的为无效标。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5908" w:type="dxa"/>
            <w:vAlign w:val="center"/>
          </w:tcPr>
          <w:p>
            <w:pPr>
              <w:spacing w:beforeLines="50" w:line="360" w:lineRule="auto"/>
              <w:rPr>
                <w:rFonts w:ascii="宋体" w:hAnsi="宋体" w:cs="宋体"/>
                <w:color w:val="auto"/>
                <w:szCs w:val="21"/>
                <w:highlight w:val="none"/>
                <w:u w:val="single"/>
              </w:rPr>
            </w:pPr>
            <w:r>
              <w:rPr>
                <w:rFonts w:hint="eastAsia" w:ascii="宋体" w:hAnsi="宋体" w:cs="宋体"/>
                <w:color w:val="auto"/>
                <w:szCs w:val="21"/>
                <w:highlight w:val="none"/>
              </w:rPr>
              <w:t>1、设计质量标准：</w:t>
            </w:r>
            <w:r>
              <w:rPr>
                <w:rFonts w:hint="eastAsia" w:ascii="宋体" w:hAnsi="宋体" w:cs="宋体"/>
                <w:color w:val="auto"/>
                <w:szCs w:val="21"/>
                <w:highlight w:val="none"/>
                <w:u w:val="single"/>
              </w:rPr>
              <w:t>符合建设工程设计的相关标准、规范及本工程设计任务书的要求。</w:t>
            </w:r>
          </w:p>
          <w:p>
            <w:pPr>
              <w:spacing w:beforeLines="50" w:line="360" w:lineRule="auto"/>
              <w:rPr>
                <w:rFonts w:ascii="宋体" w:hAnsi="宋体" w:cs="宋体"/>
                <w:color w:val="auto"/>
                <w:szCs w:val="21"/>
                <w:highlight w:val="none"/>
              </w:rPr>
            </w:pPr>
            <w:r>
              <w:rPr>
                <w:rFonts w:hint="eastAsia" w:ascii="宋体" w:hAnsi="宋体" w:cs="宋体"/>
                <w:color w:val="auto"/>
                <w:szCs w:val="21"/>
                <w:highlight w:val="none"/>
                <w:u w:val="single"/>
              </w:rPr>
              <w:t>２、施工质量标准：符合国家颁发现行的《建筑工程施工质量验收统一标准》（GB50300-2013）以及其他现行工程质量检验标准、强制性条文及合同文件中所有发包人之其他相关工程质量规定，并须在存有任何标准不一致时按较高标准的要求执行，工程质量一次验收合格，验收合格以通过发包人、承包人、监理单位</w:t>
            </w:r>
            <w:r>
              <w:rPr>
                <w:rFonts w:hint="eastAsia" w:ascii="宋体" w:hAnsi="宋体" w:cs="宋体"/>
                <w:color w:val="auto"/>
                <w:szCs w:val="21"/>
                <w:highlight w:val="none"/>
                <w:u w:val="single"/>
                <w:lang w:eastAsia="zh-CN"/>
              </w:rPr>
              <w:t>等</w:t>
            </w:r>
            <w:r>
              <w:rPr>
                <w:rFonts w:hint="eastAsia" w:ascii="宋体" w:hAnsi="宋体" w:cs="宋体"/>
                <w:color w:val="auto"/>
                <w:szCs w:val="21"/>
                <w:highlight w:val="none"/>
                <w:u w:val="single"/>
                <w:lang w:val="en-US" w:eastAsia="zh-CN"/>
              </w:rPr>
              <w:t>联合验收</w:t>
            </w:r>
            <w:r>
              <w:rPr>
                <w:rFonts w:hint="eastAsia" w:ascii="宋体" w:hAnsi="宋体" w:cs="宋体"/>
                <w:color w:val="auto"/>
                <w:szCs w:val="21"/>
                <w:highlight w:val="none"/>
                <w:u w:val="single"/>
              </w:rPr>
              <w:t>为准。质量目标：符合相关规范规定和招标人要求。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5908" w:type="dxa"/>
            <w:vAlign w:val="center"/>
          </w:tcPr>
          <w:p>
            <w:pPr>
              <w:adjustRightInd w:val="0"/>
              <w:snapToGrid w:val="0"/>
              <w:spacing w:beforeLines="50" w:line="360" w:lineRule="auto"/>
              <w:rPr>
                <w:rFonts w:ascii="宋体" w:hAnsi="宋体" w:cs="宋体"/>
                <w:color w:val="auto"/>
                <w:szCs w:val="21"/>
                <w:highlight w:val="none"/>
              </w:rPr>
            </w:pPr>
            <w:r>
              <w:rPr>
                <w:rFonts w:hint="eastAsia" w:ascii="宋体" w:hAnsi="宋体" w:cs="宋体"/>
                <w:color w:val="auto"/>
                <w:szCs w:val="21"/>
                <w:highlight w:val="none"/>
              </w:rPr>
              <w:t>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投标人合格条件</w:t>
            </w:r>
          </w:p>
        </w:tc>
        <w:tc>
          <w:tcPr>
            <w:tcW w:w="5908" w:type="dxa"/>
            <w:vAlign w:val="center"/>
          </w:tcPr>
          <w:p>
            <w:pPr>
              <w:adjustRightInd w:val="0"/>
              <w:snapToGrid w:val="0"/>
              <w:spacing w:beforeLines="50" w:line="360" w:lineRule="auto"/>
              <w:rPr>
                <w:rFonts w:ascii="宋体" w:hAnsi="宋体" w:cs="宋体"/>
                <w:strike/>
                <w:color w:val="auto"/>
                <w:szCs w:val="21"/>
                <w:highlight w:val="none"/>
              </w:rPr>
            </w:pPr>
            <w:r>
              <w:rPr>
                <w:rFonts w:hint="eastAsia" w:ascii="宋体" w:hAnsi="宋体" w:cs="宋体"/>
                <w:color w:val="auto"/>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5908" w:type="dxa"/>
            <w:vAlign w:val="center"/>
          </w:tcPr>
          <w:p>
            <w:pPr>
              <w:pStyle w:val="16"/>
              <w:topLinePunct/>
              <w:adjustRightInd w:val="0"/>
              <w:snapToGrid w:val="0"/>
              <w:spacing w:beforeLines="50" w:line="360" w:lineRule="auto"/>
              <w:rPr>
                <w:rFonts w:hAnsi="宋体" w:cs="宋体"/>
                <w:color w:val="auto"/>
                <w:sz w:val="21"/>
                <w:szCs w:val="21"/>
                <w:highlight w:val="none"/>
              </w:rPr>
            </w:pPr>
            <w:r>
              <w:rPr>
                <w:rFonts w:hint="eastAsia" w:hAnsi="宋体" w:cs="宋体"/>
                <w:color w:val="auto"/>
                <w:sz w:val="21"/>
                <w:szCs w:val="21"/>
                <w:highlight w:val="none"/>
              </w:rPr>
              <w:t>□不接受</w:t>
            </w:r>
          </w:p>
          <w:p>
            <w:pPr>
              <w:pStyle w:val="16"/>
              <w:topLinePunct/>
              <w:adjustRightInd w:val="0"/>
              <w:snapToGrid w:val="0"/>
              <w:spacing w:beforeLines="50" w:line="360" w:lineRule="auto"/>
              <w:rPr>
                <w:rFonts w:hAnsi="宋体" w:cs="宋体"/>
                <w:color w:val="auto"/>
                <w:sz w:val="21"/>
                <w:szCs w:val="21"/>
                <w:highlight w:val="none"/>
              </w:rPr>
            </w:pPr>
            <w:r>
              <w:rPr>
                <w:rFonts w:hint="eastAsia" w:hAnsi="宋体" w:cs="宋体"/>
                <w:color w:val="auto"/>
                <w:kern w:val="0"/>
                <w:sz w:val="21"/>
                <w:szCs w:val="21"/>
                <w:highlight w:val="none"/>
              </w:rPr>
              <w:t>■</w:t>
            </w:r>
            <w:r>
              <w:rPr>
                <w:rFonts w:hint="eastAsia" w:hAnsi="宋体" w:cs="宋体"/>
                <w:color w:val="auto"/>
                <w:sz w:val="21"/>
                <w:szCs w:val="21"/>
                <w:highlight w:val="none"/>
              </w:rPr>
              <w:t>接受，应满足下列要求：详见本项目招标公告。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最高投标限价或其计算方法</w:t>
            </w:r>
          </w:p>
        </w:tc>
        <w:tc>
          <w:tcPr>
            <w:tcW w:w="5908" w:type="dxa"/>
            <w:vAlign w:val="center"/>
          </w:tcPr>
          <w:p>
            <w:pPr>
              <w:adjustRightInd w:val="0"/>
              <w:snapToGrid w:val="0"/>
              <w:spacing w:line="360" w:lineRule="auto"/>
              <w:jc w:val="left"/>
              <w:rPr>
                <w:rFonts w:ascii="宋体" w:hAnsi="宋体" w:cs="宋体"/>
                <w:color w:val="auto"/>
                <w:szCs w:val="21"/>
                <w:highlight w:val="none"/>
                <w:u w:val="single"/>
              </w:rPr>
            </w:pPr>
            <w:r>
              <w:rPr>
                <w:rFonts w:hint="eastAsia" w:ascii="宋体" w:hAnsi="宋体" w:cs="宋体"/>
                <w:color w:val="auto"/>
                <w:sz w:val="21"/>
                <w:szCs w:val="21"/>
                <w:highlight w:val="none"/>
              </w:rPr>
              <w:t>最高投标限价：¥</w:t>
            </w:r>
            <w:r>
              <w:rPr>
                <w:rFonts w:hint="eastAsia" w:ascii="宋体" w:hAnsi="宋体" w:cs="宋体"/>
                <w:color w:val="auto"/>
                <w:sz w:val="21"/>
                <w:szCs w:val="21"/>
                <w:highlight w:val="none"/>
                <w:lang w:val="en-US" w:eastAsia="zh-CN"/>
              </w:rPr>
              <w:t>3296000.00</w:t>
            </w:r>
            <w:r>
              <w:rPr>
                <w:rFonts w:hint="eastAsia" w:ascii="宋体" w:hAnsi="宋体" w:cs="宋体"/>
                <w:color w:val="auto"/>
                <w:sz w:val="21"/>
                <w:szCs w:val="21"/>
                <w:highlight w:val="none"/>
              </w:rPr>
              <w:t>元，其中：设计费最高投标限价¥</w:t>
            </w:r>
            <w:r>
              <w:rPr>
                <w:rFonts w:hint="eastAsia" w:ascii="宋体" w:hAnsi="宋体" w:cs="宋体"/>
                <w:color w:val="auto"/>
                <w:sz w:val="21"/>
                <w:szCs w:val="21"/>
                <w:highlight w:val="none"/>
                <w:lang w:val="en-US" w:eastAsia="zh-CN"/>
              </w:rPr>
              <w:t>96000.00</w:t>
            </w:r>
            <w:r>
              <w:rPr>
                <w:rFonts w:hint="eastAsia" w:ascii="宋体" w:hAnsi="宋体" w:cs="宋体"/>
                <w:color w:val="auto"/>
                <w:sz w:val="21"/>
                <w:szCs w:val="21"/>
                <w:highlight w:val="none"/>
              </w:rPr>
              <w:t>元，建安工程费最高投标限价¥</w:t>
            </w:r>
            <w:r>
              <w:rPr>
                <w:rFonts w:hint="eastAsia" w:ascii="宋体" w:hAnsi="宋体" w:cs="宋体"/>
                <w:color w:val="auto"/>
                <w:sz w:val="21"/>
                <w:szCs w:val="21"/>
                <w:highlight w:val="none"/>
                <w:lang w:val="en-US" w:eastAsia="zh-CN"/>
              </w:rPr>
              <w:t>3200000.00</w:t>
            </w:r>
            <w:r>
              <w:rPr>
                <w:rFonts w:hint="eastAsia" w:ascii="宋体" w:hAnsi="宋体" w:cs="宋体"/>
                <w:color w:val="auto"/>
                <w:sz w:val="21"/>
                <w:szCs w:val="21"/>
                <w:highlight w:val="none"/>
              </w:rPr>
              <w:t>元（含安全文明施工措施费）</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5908" w:type="dxa"/>
            <w:vAlign w:val="center"/>
          </w:tcPr>
          <w:p>
            <w:pPr>
              <w:adjustRightInd w:val="0"/>
              <w:snapToGrid w:val="0"/>
              <w:spacing w:beforeLines="50" w:line="360" w:lineRule="auto"/>
              <w:rPr>
                <w:rFonts w:ascii="宋体" w:hAnsi="宋体" w:cs="宋体"/>
                <w:color w:val="auto"/>
                <w:szCs w:val="21"/>
                <w:highlight w:val="none"/>
              </w:rPr>
            </w:pPr>
            <w:r>
              <w:rPr>
                <w:rFonts w:hint="eastAsia" w:ascii="宋体" w:hAnsi="宋体" w:cs="宋体"/>
                <w:color w:val="auto"/>
                <w:szCs w:val="21"/>
                <w:highlight w:val="none"/>
                <w:u w:val="single"/>
              </w:rPr>
              <w:t>60</w:t>
            </w:r>
            <w:r>
              <w:rPr>
                <w:rFonts w:hint="eastAsia" w:ascii="宋体" w:hAnsi="宋体" w:cs="宋体"/>
                <w:color w:val="auto"/>
                <w:szCs w:val="21"/>
                <w:highlight w:val="none"/>
              </w:rPr>
              <w:t>日历天（从递交投标文件截止之日计起），如出现异议或投诉，则投标有效期自动延长至异议或投诉处理结束，确定中标人并发放中标通知书为止。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17</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投标文件份数</w:t>
            </w:r>
          </w:p>
        </w:tc>
        <w:tc>
          <w:tcPr>
            <w:tcW w:w="5908" w:type="dxa"/>
            <w:vAlign w:val="center"/>
          </w:tcPr>
          <w:p>
            <w:pPr>
              <w:jc w:val="left"/>
              <w:rPr>
                <w:rFonts w:ascii="宋体" w:hAnsi="宋体" w:cs="宋体"/>
                <w:b/>
                <w:bCs/>
                <w:color w:val="auto"/>
                <w:szCs w:val="21"/>
                <w:highlight w:val="none"/>
              </w:rPr>
            </w:pPr>
            <w:r>
              <w:rPr>
                <w:rFonts w:hint="eastAsia" w:ascii="宋体" w:hAnsi="宋体" w:cs="宋体"/>
                <w:b/>
                <w:bCs/>
                <w:color w:val="auto"/>
                <w:szCs w:val="21"/>
                <w:highlight w:val="none"/>
              </w:rPr>
              <w:t>资格审查文件：</w:t>
            </w:r>
            <w:r>
              <w:rPr>
                <w:rFonts w:hint="eastAsia" w:ascii="宋体" w:hAnsi="宋体" w:cs="宋体"/>
                <w:color w:val="auto"/>
                <w:szCs w:val="21"/>
                <w:highlight w:val="none"/>
                <w:u w:val="single"/>
              </w:rPr>
              <w:t>1份正本（含电子文件一套），4份副本；</w:t>
            </w:r>
          </w:p>
          <w:p>
            <w:pPr>
              <w:jc w:val="left"/>
              <w:rPr>
                <w:rFonts w:ascii="宋体" w:hAnsi="宋体" w:cs="宋体"/>
                <w:color w:val="auto"/>
                <w:szCs w:val="21"/>
                <w:highlight w:val="none"/>
                <w:u w:val="single"/>
              </w:rPr>
            </w:pPr>
            <w:r>
              <w:rPr>
                <w:rFonts w:hint="eastAsia" w:ascii="宋体" w:hAnsi="宋体" w:cs="宋体"/>
                <w:b/>
                <w:bCs/>
                <w:color w:val="auto"/>
                <w:szCs w:val="21"/>
                <w:highlight w:val="none"/>
              </w:rPr>
              <w:t>工程总承包实施方案（含资信部分）文件</w:t>
            </w:r>
            <w:r>
              <w:rPr>
                <w:rFonts w:hint="eastAsia" w:ascii="宋体" w:hAnsi="宋体" w:cs="宋体"/>
                <w:color w:val="auto"/>
                <w:szCs w:val="21"/>
                <w:highlight w:val="none"/>
              </w:rPr>
              <w:t>：</w:t>
            </w:r>
            <w:r>
              <w:rPr>
                <w:rFonts w:hint="eastAsia" w:ascii="宋体" w:hAnsi="宋体" w:cs="宋体"/>
                <w:color w:val="auto"/>
                <w:szCs w:val="21"/>
                <w:highlight w:val="none"/>
                <w:u w:val="single"/>
              </w:rPr>
              <w:t>1份正本（含电子文件一套），4份副本；</w:t>
            </w:r>
          </w:p>
          <w:p>
            <w:pPr>
              <w:jc w:val="left"/>
              <w:rPr>
                <w:rFonts w:ascii="宋体" w:hAnsi="宋体" w:cs="宋体"/>
                <w:color w:val="auto"/>
                <w:szCs w:val="21"/>
                <w:highlight w:val="none"/>
                <w:u w:val="single"/>
              </w:rPr>
            </w:pPr>
            <w:r>
              <w:rPr>
                <w:rFonts w:hint="eastAsia" w:ascii="宋体" w:hAnsi="宋体" w:cs="宋体"/>
                <w:b/>
                <w:bCs/>
                <w:color w:val="auto"/>
                <w:szCs w:val="21"/>
                <w:highlight w:val="none"/>
              </w:rPr>
              <w:t>投标报价文件</w:t>
            </w:r>
            <w:r>
              <w:rPr>
                <w:rFonts w:hint="eastAsia" w:ascii="宋体" w:hAnsi="宋体" w:cs="宋体"/>
                <w:color w:val="auto"/>
                <w:szCs w:val="21"/>
                <w:highlight w:val="none"/>
              </w:rPr>
              <w:t>：</w:t>
            </w:r>
            <w:r>
              <w:rPr>
                <w:rFonts w:hint="eastAsia" w:ascii="宋体" w:hAnsi="宋体" w:cs="宋体"/>
                <w:color w:val="auto"/>
                <w:szCs w:val="21"/>
                <w:highlight w:val="none"/>
                <w:u w:val="single"/>
              </w:rPr>
              <w:t>1份正本（含电子文件一套），4份副本。</w:t>
            </w:r>
          </w:p>
          <w:p>
            <w:pPr>
              <w:jc w:val="left"/>
              <w:rPr>
                <w:rFonts w:ascii="宋体" w:hAnsi="宋体" w:cs="宋体"/>
                <w:color w:val="auto"/>
                <w:szCs w:val="21"/>
                <w:highlight w:val="none"/>
              </w:rPr>
            </w:pPr>
            <w:r>
              <w:rPr>
                <w:rFonts w:hint="eastAsia" w:ascii="宋体" w:hAnsi="宋体" w:cs="宋体"/>
                <w:color w:val="auto"/>
                <w:szCs w:val="21"/>
                <w:highlight w:val="none"/>
              </w:rPr>
              <w:t>独自分开的封包数共为3包：</w:t>
            </w:r>
          </w:p>
          <w:p>
            <w:pPr>
              <w:jc w:val="left"/>
              <w:rPr>
                <w:rFonts w:ascii="宋体" w:hAnsi="宋体" w:cs="宋体"/>
                <w:b/>
                <w:bCs/>
                <w:color w:val="auto"/>
                <w:szCs w:val="21"/>
                <w:highlight w:val="none"/>
                <w:u w:val="single"/>
              </w:rPr>
            </w:pPr>
            <w:r>
              <w:rPr>
                <w:rFonts w:hint="eastAsia" w:ascii="宋体" w:hAnsi="宋体" w:cs="宋体"/>
                <w:b/>
                <w:bCs/>
                <w:color w:val="auto"/>
                <w:szCs w:val="21"/>
                <w:highlight w:val="none"/>
                <w:u w:val="single"/>
              </w:rPr>
              <w:t>资格审查文件1包；</w:t>
            </w:r>
          </w:p>
          <w:p>
            <w:pPr>
              <w:jc w:val="left"/>
              <w:rPr>
                <w:rFonts w:ascii="宋体" w:hAnsi="宋体" w:cs="宋体"/>
                <w:b/>
                <w:bCs/>
                <w:color w:val="auto"/>
                <w:szCs w:val="21"/>
                <w:highlight w:val="none"/>
                <w:u w:val="single"/>
              </w:rPr>
            </w:pPr>
            <w:r>
              <w:rPr>
                <w:rFonts w:hint="eastAsia" w:ascii="宋体" w:hAnsi="宋体" w:cs="宋体"/>
                <w:b/>
                <w:bCs/>
                <w:color w:val="auto"/>
                <w:szCs w:val="21"/>
                <w:highlight w:val="none"/>
                <w:u w:val="single"/>
              </w:rPr>
              <w:t>工程总承包实施方案（含资信部分）文件1包；</w:t>
            </w:r>
          </w:p>
          <w:p>
            <w:pPr>
              <w:jc w:val="left"/>
              <w:rPr>
                <w:rFonts w:ascii="宋体" w:hAnsi="宋体" w:cs="宋体"/>
                <w:b/>
                <w:bCs/>
                <w:color w:val="auto"/>
                <w:szCs w:val="21"/>
                <w:highlight w:val="none"/>
                <w:u w:val="single"/>
              </w:rPr>
            </w:pPr>
            <w:r>
              <w:rPr>
                <w:rFonts w:hint="eastAsia" w:ascii="宋体" w:hAnsi="宋体" w:cs="宋体"/>
                <w:b/>
                <w:bCs/>
                <w:color w:val="auto"/>
                <w:szCs w:val="21"/>
                <w:highlight w:val="none"/>
                <w:u w:val="single"/>
              </w:rPr>
              <w:t>投标报价文件1包。</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要求提供的电子文件光盘（或U盘）必须无病毒、无加密、可打开、可编辑。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keepNext w:val="0"/>
              <w:keepLines w:val="0"/>
              <w:adjustRightInd w:val="0"/>
              <w:snapToGrid w:val="0"/>
              <w:spacing w:beforeLines="50" w:after="0" w:line="360" w:lineRule="auto"/>
              <w:ind w:firstLine="0" w:firstLineChars="0"/>
              <w:jc w:val="center"/>
              <w:outlineLvl w:val="9"/>
              <w:rPr>
                <w:rFonts w:hint="eastAsia" w:ascii="宋体" w:hAnsi="宋体" w:eastAsia="宋体" w:cs="宋体"/>
                <w:bCs/>
                <w:color w:val="auto"/>
                <w:sz w:val="21"/>
                <w:szCs w:val="21"/>
                <w:highlight w:val="none"/>
              </w:rPr>
            </w:pP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封套上应载明的信息</w:t>
            </w:r>
          </w:p>
        </w:tc>
        <w:tc>
          <w:tcPr>
            <w:tcW w:w="5908" w:type="dxa"/>
            <w:vAlign w:val="center"/>
          </w:tcPr>
          <w:p>
            <w:pPr>
              <w:jc w:val="left"/>
              <w:rPr>
                <w:rFonts w:ascii="宋体" w:hAnsi="宋体" w:cs="宋体"/>
                <w:b/>
                <w:bCs/>
                <w:color w:val="auto"/>
                <w:szCs w:val="21"/>
                <w:highlight w:val="none"/>
              </w:rPr>
            </w:pPr>
            <w:r>
              <w:rPr>
                <w:rFonts w:hint="eastAsia" w:ascii="宋体" w:hAnsi="宋体" w:cs="宋体"/>
                <w:b/>
                <w:bCs/>
                <w:color w:val="auto"/>
                <w:szCs w:val="21"/>
                <w:highlight w:val="none"/>
              </w:rPr>
              <w:t>1、资格审查文件/工程总承包实施方案（含资信部分）文件/投标报价文件</w:t>
            </w:r>
          </w:p>
          <w:p>
            <w:pPr>
              <w:jc w:val="left"/>
              <w:rPr>
                <w:rFonts w:ascii="宋体" w:hAnsi="宋体" w:cs="宋体"/>
                <w:color w:val="auto"/>
                <w:szCs w:val="21"/>
                <w:highlight w:val="none"/>
              </w:rPr>
            </w:pPr>
            <w:r>
              <w:rPr>
                <w:rFonts w:hint="eastAsia" w:ascii="宋体" w:hAnsi="宋体" w:cs="宋体"/>
                <w:color w:val="auto"/>
                <w:szCs w:val="21"/>
                <w:highlight w:val="none"/>
              </w:rPr>
              <w:t>招标人名称：</w:t>
            </w:r>
            <w:r>
              <w:rPr>
                <w:rFonts w:hint="eastAsia" w:ascii="宋体" w:hAnsi="宋体" w:cs="宋体"/>
                <w:color w:val="auto"/>
                <w:szCs w:val="21"/>
                <w:highlight w:val="none"/>
                <w:u w:val="single"/>
              </w:rPr>
              <w:t>广州南沙盛龙房地产开发有限公司、广州南沙建设维护管理有限公司</w:t>
            </w:r>
          </w:p>
          <w:p>
            <w:pPr>
              <w:jc w:val="left"/>
              <w:rPr>
                <w:rFonts w:ascii="宋体" w:hAnsi="宋体" w:cs="宋体"/>
                <w:color w:val="auto"/>
                <w:szCs w:val="21"/>
                <w:highlight w:val="none"/>
              </w:rPr>
            </w:pPr>
            <w:r>
              <w:rPr>
                <w:rFonts w:hint="eastAsia" w:ascii="宋体" w:hAnsi="宋体" w:cs="宋体"/>
                <w:color w:val="auto"/>
                <w:kern w:val="0"/>
                <w:sz w:val="21"/>
                <w:szCs w:val="21"/>
                <w:highlight w:val="none"/>
                <w:u w:val="single"/>
              </w:rPr>
              <w:t>2022NJY-9地块</w:t>
            </w:r>
            <w:r>
              <w:rPr>
                <w:rFonts w:hint="eastAsia" w:ascii="宋体" w:hAnsi="宋体" w:cs="宋体"/>
                <w:color w:val="auto"/>
                <w:kern w:val="0"/>
                <w:sz w:val="21"/>
                <w:szCs w:val="21"/>
                <w:highlight w:val="none"/>
                <w:u w:val="single"/>
                <w:lang w:val="en-US" w:eastAsia="zh-CN"/>
              </w:rPr>
              <w:t>首期</w:t>
            </w:r>
            <w:r>
              <w:rPr>
                <w:rFonts w:hint="eastAsia" w:ascii="宋体" w:hAnsi="宋体" w:cs="宋体"/>
                <w:color w:val="auto"/>
                <w:sz w:val="21"/>
                <w:szCs w:val="21"/>
                <w:highlight w:val="none"/>
              </w:rPr>
              <w:t>基坑</w:t>
            </w:r>
            <w:r>
              <w:rPr>
                <w:rFonts w:hint="eastAsia" w:ascii="宋体" w:hAnsi="宋体" w:cs="宋体"/>
                <w:color w:val="auto"/>
                <w:sz w:val="21"/>
                <w:szCs w:val="21"/>
                <w:highlight w:val="none"/>
                <w:lang w:val="en-US" w:eastAsia="zh-CN"/>
              </w:rPr>
              <w:t>支护及土方开挖工程</w:t>
            </w:r>
            <w:r>
              <w:rPr>
                <w:rFonts w:hint="eastAsia" w:ascii="宋体" w:hAnsi="宋体" w:cs="宋体"/>
                <w:color w:val="auto"/>
                <w:szCs w:val="21"/>
                <w:highlight w:val="none"/>
                <w:u w:val="single"/>
              </w:rPr>
              <w:t>设计施工总承包</w:t>
            </w:r>
            <w:r>
              <w:rPr>
                <w:rFonts w:hint="eastAsia" w:ascii="宋体" w:hAnsi="宋体" w:cs="宋体"/>
                <w:color w:val="auto"/>
                <w:szCs w:val="21"/>
                <w:highlight w:val="none"/>
              </w:rPr>
              <w:t>投标文件（</w:t>
            </w:r>
            <w:r>
              <w:rPr>
                <w:rFonts w:hint="eastAsia" w:ascii="宋体" w:hAnsi="宋体" w:cs="宋体"/>
                <w:b/>
                <w:bCs/>
                <w:color w:val="auto"/>
                <w:szCs w:val="21"/>
                <w:highlight w:val="none"/>
              </w:rPr>
              <w:t>资格审查文件/工程总承包实施方案（含资信部分）文件/投标报价文件</w:t>
            </w:r>
            <w:r>
              <w:rPr>
                <w:rFonts w:hint="eastAsia" w:ascii="宋体" w:hAnsi="宋体" w:cs="宋体"/>
                <w:color w:val="auto"/>
                <w:szCs w:val="21"/>
                <w:highlight w:val="none"/>
              </w:rPr>
              <w:t>）</w:t>
            </w:r>
          </w:p>
          <w:p>
            <w:pPr>
              <w:jc w:val="left"/>
              <w:rPr>
                <w:rFonts w:ascii="宋体" w:hAnsi="宋体" w:cs="宋体"/>
                <w:color w:val="auto"/>
                <w:szCs w:val="21"/>
                <w:highlight w:val="none"/>
              </w:rPr>
            </w:pPr>
            <w:r>
              <w:rPr>
                <w:rFonts w:hint="eastAsia" w:ascii="宋体" w:hAnsi="宋体" w:cs="宋体"/>
                <w:color w:val="auto"/>
                <w:szCs w:val="21"/>
                <w:highlight w:val="none"/>
                <w:u w:val="single"/>
              </w:rPr>
              <w:t>2023年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r>
              <w:rPr>
                <w:rFonts w:hint="eastAsia" w:ascii="宋体" w:hAnsi="宋体" w:cs="宋体"/>
                <w:color w:val="auto"/>
                <w:szCs w:val="21"/>
                <w:highlight w:val="none"/>
              </w:rPr>
              <w:t>前不得开启</w:t>
            </w:r>
          </w:p>
          <w:p>
            <w:pPr>
              <w:jc w:val="left"/>
              <w:rPr>
                <w:rFonts w:ascii="宋体" w:hAnsi="宋体" w:cs="宋体"/>
                <w:color w:val="auto"/>
                <w:szCs w:val="21"/>
                <w:highlight w:val="none"/>
              </w:rPr>
            </w:pPr>
            <w:r>
              <w:rPr>
                <w:rFonts w:hint="eastAsia" w:ascii="宋体" w:hAnsi="宋体" w:cs="宋体"/>
                <w:color w:val="auto"/>
                <w:szCs w:val="21"/>
                <w:highlight w:val="none"/>
                <w:u w:val="single"/>
              </w:rPr>
              <w:t>投标人名称：（并加盖公章。联合体投标的，主办方盖章即可）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ind w:firstLine="420" w:firstLineChars="200"/>
              <w:jc w:val="center"/>
              <w:rPr>
                <w:rFonts w:ascii="宋体" w:hAnsi="宋体" w:cs="宋体"/>
                <w:strike w:val="0"/>
                <w:color w:val="auto"/>
                <w:szCs w:val="21"/>
                <w:highlight w:val="none"/>
              </w:rPr>
            </w:pPr>
            <w:r>
              <w:rPr>
                <w:rFonts w:ascii="宋体" w:hAnsi="宋体" w:cs="宋体"/>
                <w:strike w:val="0"/>
                <w:color w:val="auto"/>
                <w:szCs w:val="21"/>
                <w:highlight w:val="none"/>
              </w:rPr>
              <w:t>19</w:t>
            </w:r>
          </w:p>
        </w:tc>
        <w:tc>
          <w:tcPr>
            <w:tcW w:w="2816" w:type="dxa"/>
            <w:vAlign w:val="center"/>
          </w:tcPr>
          <w:p>
            <w:pPr>
              <w:snapToGrid w:val="0"/>
              <w:spacing w:beforeLines="50" w:line="360" w:lineRule="auto"/>
              <w:ind w:firstLine="420" w:firstLineChars="200"/>
              <w:jc w:val="center"/>
              <w:rPr>
                <w:rFonts w:ascii="宋体" w:hAnsi="宋体" w:cs="宋体"/>
                <w:strike w:val="0"/>
                <w:color w:val="auto"/>
                <w:szCs w:val="21"/>
                <w:highlight w:val="none"/>
              </w:rPr>
            </w:pPr>
            <w:r>
              <w:rPr>
                <w:rFonts w:hint="eastAsia" w:ascii="宋体" w:hAnsi="宋体" w:cs="宋体"/>
                <w:strike w:val="0"/>
                <w:color w:val="auto"/>
                <w:szCs w:val="21"/>
                <w:highlight w:val="none"/>
              </w:rPr>
              <w:t>报名登记地点和时间</w:t>
            </w:r>
          </w:p>
        </w:tc>
        <w:tc>
          <w:tcPr>
            <w:tcW w:w="5908" w:type="dxa"/>
            <w:vAlign w:val="center"/>
          </w:tcPr>
          <w:p>
            <w:pPr>
              <w:snapToGrid w:val="0"/>
              <w:spacing w:beforeLines="50" w:line="360" w:lineRule="auto"/>
              <w:rPr>
                <w:rFonts w:ascii="宋体" w:hAnsi="宋体" w:cs="宋体"/>
                <w:strike w:val="0"/>
                <w:color w:val="auto"/>
                <w:szCs w:val="21"/>
                <w:highlight w:val="none"/>
              </w:rPr>
            </w:pPr>
            <w:r>
              <w:rPr>
                <w:rFonts w:hint="eastAsia" w:ascii="宋体" w:hAnsi="宋体" w:cs="宋体"/>
                <w:color w:val="auto"/>
                <w:szCs w:val="21"/>
                <w:highlight w:val="none"/>
              </w:rPr>
              <w:t>不设置报名登记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20</w:t>
            </w:r>
          </w:p>
        </w:tc>
        <w:tc>
          <w:tcPr>
            <w:tcW w:w="2816" w:type="dxa"/>
            <w:vAlign w:val="center"/>
          </w:tcPr>
          <w:p>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投标文件递交地点</w:t>
            </w:r>
          </w:p>
        </w:tc>
        <w:tc>
          <w:tcPr>
            <w:tcW w:w="5908" w:type="dxa"/>
            <w:vAlign w:val="center"/>
          </w:tcPr>
          <w:p>
            <w:pPr>
              <w:snapToGrid w:val="0"/>
              <w:spacing w:beforeLines="50" w:line="360" w:lineRule="auto"/>
              <w:rPr>
                <w:rFonts w:ascii="宋体" w:hAnsi="宋体" w:cs="宋体"/>
                <w:color w:val="auto"/>
                <w:szCs w:val="21"/>
                <w:highlight w:val="none"/>
              </w:rPr>
            </w:pPr>
            <w:r>
              <w:rPr>
                <w:rFonts w:hint="eastAsia" w:ascii="宋体" w:hAnsi="宋体" w:cs="宋体"/>
                <w:color w:val="auto"/>
                <w:szCs w:val="21"/>
                <w:highlight w:val="none"/>
              </w:rPr>
              <w:t>联系人：李工            联系电话：020-66806279</w:t>
            </w:r>
          </w:p>
          <w:p>
            <w:pPr>
              <w:snapToGrid w:val="0"/>
              <w:spacing w:beforeLines="50" w:line="360" w:lineRule="auto"/>
              <w:rPr>
                <w:rFonts w:ascii="宋体" w:hAnsi="宋体" w:cs="宋体"/>
                <w:color w:val="auto"/>
                <w:szCs w:val="21"/>
                <w:highlight w:val="none"/>
              </w:rPr>
            </w:pPr>
            <w:r>
              <w:rPr>
                <w:rFonts w:hint="eastAsia" w:ascii="宋体" w:hAnsi="宋体" w:cs="宋体"/>
                <w:color w:val="auto"/>
                <w:szCs w:val="21"/>
                <w:highlight w:val="none"/>
              </w:rPr>
              <w:t>地  点：南沙海滨路171号金融大厦1807室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5908" w:type="dxa"/>
            <w:vAlign w:val="center"/>
          </w:tcPr>
          <w:p>
            <w:pPr>
              <w:adjustRightInd w:val="0"/>
              <w:snapToGrid w:val="0"/>
              <w:spacing w:beforeLines="50" w:line="360" w:lineRule="auto"/>
              <w:rPr>
                <w:rFonts w:ascii="宋体" w:hAnsi="宋体" w:cs="宋体"/>
                <w:color w:val="auto"/>
                <w:kern w:val="0"/>
                <w:szCs w:val="21"/>
                <w:highlight w:val="none"/>
                <w:u w:val="single"/>
              </w:rPr>
            </w:pPr>
            <w:r>
              <w:rPr>
                <w:rFonts w:hint="eastAsia" w:ascii="宋体" w:hAnsi="宋体" w:cs="宋体"/>
                <w:color w:val="auto"/>
                <w:kern w:val="0"/>
                <w:szCs w:val="21"/>
                <w:highlight w:val="none"/>
              </w:rPr>
              <w:t>开始接收投标文件时间：</w:t>
            </w:r>
            <w:r>
              <w:rPr>
                <w:rFonts w:hint="eastAsia" w:ascii="宋体" w:hAnsi="宋体" w:cs="宋体"/>
                <w:color w:val="auto"/>
                <w:szCs w:val="21"/>
                <w:highlight w:val="none"/>
                <w:u w:val="single"/>
              </w:rPr>
              <w:t>2023年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w:t>
            </w:r>
            <w:r>
              <w:rPr>
                <w:rFonts w:hint="eastAsia" w:ascii="宋体" w:hAnsi="宋体" w:cs="宋体"/>
                <w:color w:val="auto"/>
                <w:kern w:val="0"/>
                <w:szCs w:val="21"/>
                <w:highlight w:val="none"/>
              </w:rPr>
              <w:t>。</w:t>
            </w:r>
          </w:p>
          <w:p>
            <w:pPr>
              <w:adjustRightInd w:val="0"/>
              <w:snapToGrid w:val="0"/>
              <w:spacing w:beforeLines="50"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szCs w:val="21"/>
                <w:highlight w:val="none"/>
                <w:u w:val="single"/>
              </w:rPr>
              <w:t>2023年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r>
              <w:rPr>
                <w:rFonts w:hint="eastAsia" w:ascii="宋体" w:hAnsi="宋体" w:cs="宋体"/>
                <w:color w:val="auto"/>
                <w:kern w:val="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5908" w:type="dxa"/>
            <w:vAlign w:val="center"/>
          </w:tcPr>
          <w:p>
            <w:pPr>
              <w:snapToGrid w:val="0"/>
              <w:spacing w:beforeLines="50" w:line="360" w:lineRule="auto"/>
              <w:rPr>
                <w:rFonts w:ascii="宋体" w:hAnsi="宋体" w:cs="宋体"/>
                <w:color w:val="auto"/>
                <w:szCs w:val="21"/>
                <w:highlight w:val="none"/>
              </w:rPr>
            </w:pPr>
            <w:r>
              <w:rPr>
                <w:rFonts w:hint="eastAsia" w:ascii="宋体" w:hAnsi="宋体" w:cs="宋体"/>
                <w:color w:val="auto"/>
                <w:szCs w:val="21"/>
                <w:highlight w:val="none"/>
              </w:rPr>
              <w:t>本项目资格审查文件、工程总承包实施方案（含资信部分）文件、投标报价文件同时开启。</w:t>
            </w:r>
          </w:p>
          <w:p>
            <w:pPr>
              <w:snapToGrid w:val="0"/>
              <w:spacing w:beforeLines="50" w:line="360" w:lineRule="auto"/>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u w:val="single"/>
              </w:rPr>
              <w:t>2023年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p>
          <w:p>
            <w:pPr>
              <w:pStyle w:val="21"/>
              <w:snapToGrid w:val="0"/>
              <w:spacing w:beforeLines="50" w:line="360" w:lineRule="auto"/>
              <w:rPr>
                <w:rFonts w:ascii="宋体" w:hAnsi="宋体" w:cs="宋体"/>
                <w:color w:val="auto"/>
                <w:sz w:val="21"/>
                <w:szCs w:val="21"/>
                <w:highlight w:val="none"/>
              </w:rPr>
            </w:pPr>
            <w:r>
              <w:rPr>
                <w:rFonts w:hint="eastAsia" w:ascii="宋体" w:hAnsi="宋体" w:cs="宋体"/>
                <w:color w:val="auto"/>
                <w:sz w:val="21"/>
                <w:szCs w:val="21"/>
                <w:highlight w:val="none"/>
              </w:rPr>
              <w:t>开标地点：南沙海滨路171号金融大厦1807室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23</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开标评标办法</w:t>
            </w:r>
          </w:p>
        </w:tc>
        <w:tc>
          <w:tcPr>
            <w:tcW w:w="5908" w:type="dxa"/>
            <w:vAlign w:val="center"/>
          </w:tcPr>
          <w:p>
            <w:pPr>
              <w:snapToGrid w:val="0"/>
              <w:spacing w:beforeLines="50"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bCs/>
                <w:color w:val="auto"/>
                <w:szCs w:val="21"/>
                <w:highlight w:val="none"/>
              </w:rPr>
            </w:pPr>
            <w:r>
              <w:rPr>
                <w:rFonts w:hint="eastAsia" w:ascii="宋体" w:hAnsi="宋体" w:cs="宋体"/>
                <w:bCs/>
                <w:color w:val="auto"/>
                <w:szCs w:val="21"/>
                <w:highlight w:val="none"/>
              </w:rPr>
              <w:t>24</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5908" w:type="dxa"/>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1、投标保证金的金额：人民币</w:t>
            </w:r>
            <w:r>
              <w:rPr>
                <w:rFonts w:hint="eastAsia" w:ascii="宋体" w:hAnsi="宋体" w:cs="宋体"/>
                <w:color w:val="auto"/>
                <w:szCs w:val="21"/>
                <w:highlight w:val="none"/>
                <w:u w:val="single"/>
              </w:rPr>
              <w:t>壹</w:t>
            </w:r>
            <w:r>
              <w:rPr>
                <w:rFonts w:hint="eastAsia" w:ascii="宋体" w:hAnsi="宋体" w:cs="宋体"/>
                <w:color w:val="auto"/>
                <w:szCs w:val="21"/>
                <w:highlight w:val="none"/>
              </w:rPr>
              <w:t>万元。</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2、缴纳方式：缴纳保证金或提供银行保函</w:t>
            </w:r>
          </w:p>
          <w:p>
            <w:pPr>
              <w:pStyle w:val="21"/>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账户名称：广州南沙建设维护管理有限公司</w:t>
            </w:r>
          </w:p>
          <w:p>
            <w:pPr>
              <w:pStyle w:val="21"/>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开户银行：中国工商银行广东自由贸易试验区南沙分行</w:t>
            </w:r>
          </w:p>
          <w:p>
            <w:pPr>
              <w:pStyle w:val="21"/>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账号：3602056909200030855</w:t>
            </w:r>
          </w:p>
          <w:p>
            <w:pPr>
              <w:numPr>
                <w:ilvl w:val="0"/>
                <w:numId w:val="1"/>
              </w:num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缴纳时间：投标单位须在</w:t>
            </w:r>
            <w:r>
              <w:rPr>
                <w:rFonts w:hint="eastAsia" w:ascii="宋体" w:hAnsi="宋体" w:cs="宋体"/>
                <w:color w:val="auto"/>
                <w:szCs w:val="21"/>
                <w:highlight w:val="none"/>
                <w:u w:val="single"/>
              </w:rPr>
              <w:t>2023年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17</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分前</w:t>
            </w:r>
            <w:r>
              <w:rPr>
                <w:rFonts w:hint="eastAsia" w:ascii="宋体" w:hAnsi="宋体" w:cs="宋体"/>
                <w:color w:val="auto"/>
                <w:szCs w:val="21"/>
                <w:highlight w:val="none"/>
              </w:rPr>
              <w:t>以投标人（或联合体主办方）转出【以招标单位查询的信息为准，汇款时备注：</w:t>
            </w:r>
            <w:r>
              <w:rPr>
                <w:rFonts w:hint="eastAsia" w:ascii="宋体" w:hAnsi="宋体" w:cs="宋体"/>
                <w:color w:val="auto"/>
                <w:szCs w:val="21"/>
                <w:highlight w:val="none"/>
                <w:lang w:eastAsia="zh-CN"/>
              </w:rPr>
              <w:t>2022NJY-9地块首期基坑支护及土方开挖工程设计施工总承包</w:t>
            </w:r>
            <w:r>
              <w:rPr>
                <w:rFonts w:hint="eastAsia" w:ascii="宋体" w:hAnsi="宋体" w:cs="宋体"/>
                <w:color w:val="auto"/>
                <w:szCs w:val="21"/>
                <w:highlight w:val="none"/>
              </w:rPr>
              <w:t>投标保证金】</w:t>
            </w:r>
          </w:p>
          <w:p>
            <w:pPr>
              <w:numPr>
                <w:ilvl w:val="0"/>
                <w:numId w:val="1"/>
              </w:num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未按规定缴纳投标保证金的正式投标人将被视为自动放弃本工程的投标资格。若为联合体，以联合体主办方递交保证金为准。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bCs/>
                <w:color w:val="auto"/>
                <w:szCs w:val="21"/>
                <w:highlight w:val="none"/>
              </w:rPr>
            </w:pPr>
            <w:r>
              <w:rPr>
                <w:rFonts w:hint="eastAsia" w:ascii="宋体" w:hAnsi="宋体" w:cs="宋体"/>
                <w:bCs/>
                <w:color w:val="auto"/>
                <w:szCs w:val="21"/>
                <w:highlight w:val="none"/>
              </w:rPr>
              <w:t>25</w:t>
            </w:r>
          </w:p>
        </w:tc>
        <w:tc>
          <w:tcPr>
            <w:tcW w:w="2816" w:type="dxa"/>
            <w:vAlign w:val="center"/>
          </w:tcPr>
          <w:p>
            <w:pPr>
              <w:pStyle w:val="38"/>
              <w:adjustRightInd w:val="0"/>
              <w:snapToGrid w:val="0"/>
              <w:spacing w:beforeLines="50" w:after="0" w:line="360" w:lineRule="auto"/>
              <w:ind w:firstLine="0"/>
              <w:jc w:val="center"/>
              <w:rPr>
                <w:rFonts w:ascii="宋体" w:hAnsi="宋体" w:cs="宋体"/>
                <w:bCs/>
                <w:color w:val="auto"/>
                <w:szCs w:val="21"/>
                <w:highlight w:val="none"/>
              </w:rPr>
            </w:pPr>
            <w:r>
              <w:rPr>
                <w:rFonts w:hint="eastAsia" w:ascii="宋体" w:hAnsi="宋体" w:cs="宋体"/>
                <w:color w:val="auto"/>
                <w:szCs w:val="21"/>
                <w:highlight w:val="none"/>
              </w:rPr>
              <w:t>保修期</w:t>
            </w:r>
          </w:p>
        </w:tc>
        <w:tc>
          <w:tcPr>
            <w:tcW w:w="5908" w:type="dxa"/>
            <w:vAlign w:val="center"/>
          </w:tcPr>
          <w:p>
            <w:pPr>
              <w:adjustRightInd w:val="0"/>
              <w:snapToGrid w:val="0"/>
              <w:spacing w:beforeLines="50" w:line="360" w:lineRule="auto"/>
              <w:rPr>
                <w:rFonts w:ascii="宋体" w:hAnsi="宋体" w:cs="宋体"/>
                <w:bCs/>
                <w:color w:val="auto"/>
                <w:szCs w:val="21"/>
                <w:highlight w:val="none"/>
              </w:rPr>
            </w:pPr>
            <w:r>
              <w:rPr>
                <w:rFonts w:hint="eastAsia" w:ascii="宋体" w:hAnsi="宋体" w:cs="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165" w:type="dxa"/>
            <w:vAlign w:val="center"/>
          </w:tcPr>
          <w:p>
            <w:pPr>
              <w:adjustRightInd w:val="0"/>
              <w:snapToGrid w:val="0"/>
              <w:spacing w:beforeLines="50" w:line="360" w:lineRule="auto"/>
              <w:jc w:val="center"/>
              <w:rPr>
                <w:rFonts w:ascii="宋体" w:hAnsi="宋体" w:cs="宋体"/>
                <w:bCs/>
                <w:color w:val="auto"/>
                <w:szCs w:val="21"/>
                <w:highlight w:val="none"/>
              </w:rPr>
            </w:pPr>
            <w:r>
              <w:rPr>
                <w:rFonts w:hint="eastAsia" w:ascii="宋体" w:hAnsi="宋体" w:cs="宋体"/>
                <w:bCs/>
                <w:color w:val="auto"/>
                <w:szCs w:val="21"/>
                <w:highlight w:val="none"/>
              </w:rPr>
              <w:t>26</w:t>
            </w:r>
          </w:p>
        </w:tc>
        <w:tc>
          <w:tcPr>
            <w:tcW w:w="2816" w:type="dxa"/>
            <w:vAlign w:val="center"/>
          </w:tcPr>
          <w:p>
            <w:pPr>
              <w:adjustRightInd w:val="0"/>
              <w:snapToGrid w:val="0"/>
              <w:spacing w:beforeLines="50"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其他</w:t>
            </w:r>
          </w:p>
        </w:tc>
        <w:tc>
          <w:tcPr>
            <w:tcW w:w="5908" w:type="dxa"/>
            <w:vAlign w:val="center"/>
          </w:tcPr>
          <w:p>
            <w:pPr>
              <w:autoSpaceDE w:val="0"/>
              <w:autoSpaceDN w:val="0"/>
              <w:adjustRightInd w:val="0"/>
              <w:snapToGrid w:val="0"/>
              <w:spacing w:beforeLines="50" w:line="360" w:lineRule="auto"/>
              <w:jc w:val="left"/>
              <w:rPr>
                <w:rFonts w:ascii="宋体" w:hAnsi="宋体" w:cs="宋体"/>
                <w:bCs/>
                <w:color w:val="auto"/>
                <w:szCs w:val="21"/>
                <w:highlight w:val="none"/>
              </w:rPr>
            </w:pPr>
            <w:r>
              <w:rPr>
                <w:rFonts w:hint="eastAsia" w:ascii="宋体" w:hAnsi="宋体" w:cs="宋体"/>
                <w:color w:val="auto"/>
                <w:szCs w:val="21"/>
                <w:highlight w:val="none"/>
              </w:rPr>
              <w:t>/</w:t>
            </w:r>
          </w:p>
        </w:tc>
      </w:tr>
    </w:tbl>
    <w:p>
      <w:pPr>
        <w:adjustRightInd w:val="0"/>
        <w:spacing w:line="440" w:lineRule="exact"/>
        <w:textAlignment w:val="baseline"/>
        <w:rPr>
          <w:rFonts w:ascii="宋体" w:hAnsi="宋体" w:cs="宋体"/>
          <w:bCs/>
          <w:color w:val="auto"/>
          <w:kern w:val="0"/>
          <w:sz w:val="24"/>
          <w:highlight w:val="none"/>
        </w:rPr>
        <w:sectPr>
          <w:footerReference r:id="rId6" w:type="default"/>
          <w:pgSz w:w="11906" w:h="16838"/>
          <w:pgMar w:top="1247" w:right="1134" w:bottom="1247" w:left="1361" w:header="851" w:footer="992" w:gutter="0"/>
          <w:pgNumType w:start="1"/>
          <w:cols w:space="720" w:num="1"/>
          <w:docGrid w:type="lines" w:linePitch="312" w:charSpace="0"/>
        </w:sectPr>
      </w:pPr>
    </w:p>
    <w:p>
      <w:pPr>
        <w:adjustRightInd w:val="0"/>
        <w:spacing w:line="440" w:lineRule="exact"/>
        <w:textAlignment w:val="baseline"/>
        <w:rPr>
          <w:rFonts w:ascii="宋体" w:hAnsi="宋体" w:cs="宋体"/>
          <w:color w:val="auto"/>
          <w:kern w:val="0"/>
          <w:sz w:val="24"/>
          <w:highlight w:val="none"/>
        </w:rPr>
      </w:pPr>
    </w:p>
    <w:p>
      <w:pPr>
        <w:pStyle w:val="4"/>
        <w:jc w:val="center"/>
        <w:rPr>
          <w:color w:val="auto"/>
          <w:highlight w:val="none"/>
        </w:rPr>
      </w:pPr>
      <w:bookmarkStart w:id="81" w:name="_Toc2174"/>
      <w:bookmarkStart w:id="82" w:name="_Toc144974497"/>
      <w:bookmarkStart w:id="83" w:name="_Toc247513952"/>
      <w:bookmarkStart w:id="84" w:name="_Toc152045529"/>
      <w:bookmarkStart w:id="85" w:name="_Toc5310"/>
      <w:bookmarkStart w:id="86" w:name="_Toc152042305"/>
      <w:bookmarkStart w:id="87" w:name="_Toc30938"/>
      <w:bookmarkStart w:id="88" w:name="_Toc376"/>
      <w:bookmarkStart w:id="89" w:name="_Toc31351"/>
      <w:bookmarkStart w:id="90" w:name="_Toc19435"/>
      <w:bookmarkStart w:id="91" w:name="_Toc300834949"/>
      <w:bookmarkStart w:id="92" w:name="_Toc22983"/>
      <w:bookmarkStart w:id="93" w:name="_Toc8466"/>
      <w:bookmarkStart w:id="94" w:name="_Toc493"/>
      <w:bookmarkStart w:id="95" w:name="_Toc5556"/>
      <w:bookmarkStart w:id="96" w:name="_Toc14621"/>
      <w:bookmarkStart w:id="97" w:name="_Toc494371515"/>
      <w:bookmarkStart w:id="98" w:name="_Toc247527553"/>
      <w:bookmarkStart w:id="99" w:name="_Toc23892"/>
      <w:r>
        <w:rPr>
          <w:color w:val="auto"/>
          <w:highlight w:val="none"/>
        </w:rPr>
        <w:t xml:space="preserve">1. </w:t>
      </w:r>
      <w:r>
        <w:rPr>
          <w:rFonts w:hint="eastAsia"/>
          <w:color w:val="auto"/>
          <w:highlight w:val="none"/>
        </w:rPr>
        <w:t>总则</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pStyle w:val="5"/>
        <w:rPr>
          <w:color w:val="auto"/>
          <w:highlight w:val="none"/>
        </w:rPr>
      </w:pPr>
      <w:bookmarkStart w:id="100" w:name="_Toc247513953"/>
      <w:bookmarkStart w:id="101" w:name="_Toc22928"/>
      <w:bookmarkStart w:id="102" w:name="_Toc3327"/>
      <w:bookmarkStart w:id="103" w:name="_Toc27599"/>
      <w:bookmarkStart w:id="104" w:name="_Toc6146"/>
      <w:bookmarkStart w:id="105" w:name="_Toc144974498"/>
      <w:bookmarkStart w:id="106" w:name="_Toc30762"/>
      <w:bookmarkStart w:id="107" w:name="_Toc494371516"/>
      <w:bookmarkStart w:id="108" w:name="_Toc247527554"/>
      <w:bookmarkStart w:id="109" w:name="_Toc16159"/>
      <w:bookmarkStart w:id="110" w:name="_Toc152045530"/>
      <w:bookmarkStart w:id="111" w:name="_Toc12263"/>
      <w:bookmarkStart w:id="112" w:name="_Toc300834950"/>
      <w:bookmarkStart w:id="113" w:name="_Toc152042306"/>
      <w:bookmarkStart w:id="114" w:name="_Toc8430"/>
      <w:bookmarkStart w:id="115" w:name="_Toc23702"/>
      <w:bookmarkStart w:id="116" w:name="_Toc16499"/>
      <w:r>
        <w:rPr>
          <w:rFonts w:ascii="Times New Roman" w:hAnsi="Times New Roman"/>
          <w:color w:val="auto"/>
          <w:highlight w:val="none"/>
        </w:rPr>
        <w:t>1.1</w:t>
      </w:r>
      <w:r>
        <w:rPr>
          <w:color w:val="auto"/>
          <w:highlight w:val="none"/>
        </w:rPr>
        <w:t xml:space="preserve"> 项目概况</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spacing w:line="400" w:lineRule="exact"/>
        <w:ind w:firstLine="420" w:firstLineChars="200"/>
        <w:rPr>
          <w:color w:val="auto"/>
          <w:highlight w:val="none"/>
        </w:rPr>
      </w:pPr>
      <w:r>
        <w:rPr>
          <w:color w:val="auto"/>
          <w:highlight w:val="none"/>
        </w:rPr>
        <w:t>1.1.1</w:t>
      </w:r>
      <w:r>
        <w:rPr>
          <w:rFonts w:hint="eastAsia"/>
          <w:color w:val="auto"/>
          <w:highlight w:val="none"/>
        </w:rPr>
        <w:t>根据《中华人民共和国招标投标法》等有关法律、法规和规章的规定，本招标项目已具备招标条件，现对该项目设计施工进行总承包招标。</w:t>
      </w:r>
    </w:p>
    <w:p>
      <w:pPr>
        <w:spacing w:line="400" w:lineRule="exact"/>
        <w:ind w:firstLine="420" w:firstLineChars="200"/>
        <w:rPr>
          <w:color w:val="auto"/>
          <w:highlight w:val="none"/>
        </w:rPr>
      </w:pPr>
      <w:r>
        <w:rPr>
          <w:color w:val="auto"/>
          <w:highlight w:val="none"/>
        </w:rPr>
        <w:t xml:space="preserve">1.1.2 </w:t>
      </w:r>
      <w:r>
        <w:rPr>
          <w:rFonts w:hint="eastAsia"/>
          <w:color w:val="auto"/>
          <w:highlight w:val="none"/>
        </w:rPr>
        <w:t>招标单位、建设管理单位、招标代理机构：见投标人须知前附表。</w:t>
      </w:r>
    </w:p>
    <w:p>
      <w:pPr>
        <w:spacing w:line="400" w:lineRule="exact"/>
        <w:ind w:firstLine="420" w:firstLineChars="200"/>
        <w:rPr>
          <w:color w:val="auto"/>
          <w:highlight w:val="none"/>
        </w:rPr>
      </w:pPr>
      <w:r>
        <w:rPr>
          <w:color w:val="auto"/>
          <w:highlight w:val="none"/>
        </w:rPr>
        <w:t>1.1.</w:t>
      </w:r>
      <w:r>
        <w:rPr>
          <w:rFonts w:hint="eastAsia"/>
          <w:color w:val="auto"/>
          <w:highlight w:val="none"/>
        </w:rPr>
        <w:t>3招标项目名称：见投标人须知前附表。</w:t>
      </w:r>
    </w:p>
    <w:p>
      <w:pPr>
        <w:spacing w:line="400" w:lineRule="exact"/>
        <w:ind w:firstLine="420" w:firstLineChars="200"/>
        <w:rPr>
          <w:color w:val="auto"/>
          <w:highlight w:val="none"/>
        </w:rPr>
      </w:pPr>
      <w:r>
        <w:rPr>
          <w:color w:val="auto"/>
          <w:highlight w:val="none"/>
        </w:rPr>
        <w:t>1.1.</w:t>
      </w:r>
      <w:r>
        <w:rPr>
          <w:rFonts w:hint="eastAsia"/>
          <w:color w:val="auto"/>
          <w:highlight w:val="none"/>
        </w:rPr>
        <w:t>4项目建设地点：见投标人须知前附表。</w:t>
      </w:r>
    </w:p>
    <w:p>
      <w:pPr>
        <w:pStyle w:val="5"/>
        <w:rPr>
          <w:color w:val="auto"/>
          <w:highlight w:val="none"/>
        </w:rPr>
      </w:pPr>
      <w:bookmarkStart w:id="117" w:name="_Toc144974499"/>
      <w:bookmarkStart w:id="118" w:name="_Toc2014"/>
      <w:bookmarkStart w:id="119" w:name="_Toc300834951"/>
      <w:bookmarkStart w:id="120" w:name="_Toc10866"/>
      <w:bookmarkStart w:id="121" w:name="_Toc28164"/>
      <w:bookmarkStart w:id="122" w:name="_Toc17611"/>
      <w:bookmarkStart w:id="123" w:name="_Toc6619"/>
      <w:bookmarkStart w:id="124" w:name="_Toc23335"/>
      <w:bookmarkStart w:id="125" w:name="_Toc247527555"/>
      <w:bookmarkStart w:id="126" w:name="_Toc247513954"/>
      <w:bookmarkStart w:id="127" w:name="_Toc24580"/>
      <w:bookmarkStart w:id="128" w:name="_Toc22426"/>
      <w:bookmarkStart w:id="129" w:name="_Toc21962"/>
      <w:bookmarkStart w:id="130" w:name="_Toc494371517"/>
      <w:bookmarkStart w:id="131" w:name="_Toc152045531"/>
      <w:bookmarkStart w:id="132" w:name="_Toc152042307"/>
      <w:bookmarkStart w:id="133" w:name="_Toc5082"/>
      <w:r>
        <w:rPr>
          <w:rFonts w:ascii="Times New Roman" w:hAnsi="Times New Roman"/>
          <w:color w:val="auto"/>
          <w:highlight w:val="none"/>
        </w:rPr>
        <w:t xml:space="preserve">1.2 </w:t>
      </w:r>
      <w:r>
        <w:rPr>
          <w:rFonts w:hint="eastAsia"/>
          <w:color w:val="auto"/>
          <w:highlight w:val="none"/>
        </w:rPr>
        <w:t>项目的资金来源和落实情况</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spacing w:line="400" w:lineRule="exact"/>
        <w:ind w:firstLine="420" w:firstLineChars="200"/>
        <w:rPr>
          <w:color w:val="auto"/>
          <w:highlight w:val="none"/>
        </w:rPr>
      </w:pPr>
      <w:r>
        <w:rPr>
          <w:color w:val="auto"/>
          <w:highlight w:val="none"/>
        </w:rPr>
        <w:t xml:space="preserve">1.2.1 </w:t>
      </w:r>
      <w:r>
        <w:rPr>
          <w:rFonts w:hint="eastAsia"/>
          <w:color w:val="auto"/>
          <w:highlight w:val="none"/>
        </w:rPr>
        <w:t>资金来源及比例：见投标人须知前附表。</w:t>
      </w:r>
    </w:p>
    <w:p>
      <w:pPr>
        <w:spacing w:line="400" w:lineRule="exact"/>
        <w:ind w:firstLine="420" w:firstLineChars="200"/>
        <w:rPr>
          <w:color w:val="auto"/>
          <w:highlight w:val="none"/>
        </w:rPr>
      </w:pPr>
      <w:r>
        <w:rPr>
          <w:color w:val="auto"/>
          <w:highlight w:val="none"/>
        </w:rPr>
        <w:t xml:space="preserve">1.2.2 </w:t>
      </w:r>
      <w:r>
        <w:rPr>
          <w:rFonts w:hint="eastAsia"/>
          <w:color w:val="auto"/>
          <w:highlight w:val="none"/>
        </w:rPr>
        <w:t>资金落实情况：见投标人须知前附表。</w:t>
      </w:r>
    </w:p>
    <w:p>
      <w:pPr>
        <w:pStyle w:val="5"/>
        <w:rPr>
          <w:color w:val="auto"/>
          <w:highlight w:val="none"/>
        </w:rPr>
      </w:pPr>
      <w:bookmarkStart w:id="134" w:name="_Toc152042308"/>
      <w:bookmarkStart w:id="135" w:name="_Toc247513955"/>
      <w:bookmarkStart w:id="136" w:name="_Toc247527556"/>
      <w:bookmarkStart w:id="137" w:name="_Toc144974500"/>
      <w:bookmarkStart w:id="138" w:name="_Toc152045532"/>
      <w:bookmarkStart w:id="139" w:name="_Toc20564"/>
      <w:bookmarkStart w:id="140" w:name="_Toc24250"/>
      <w:bookmarkStart w:id="141" w:name="_Toc5144"/>
      <w:bookmarkStart w:id="142" w:name="_Toc12593"/>
      <w:bookmarkStart w:id="143" w:name="_Toc12223"/>
      <w:bookmarkStart w:id="144" w:name="_Toc494371518"/>
      <w:bookmarkStart w:id="145" w:name="_Toc6852"/>
      <w:bookmarkStart w:id="146" w:name="_Toc30791"/>
      <w:bookmarkStart w:id="147" w:name="_Toc8046"/>
      <w:bookmarkStart w:id="148" w:name="_Toc21315"/>
      <w:bookmarkStart w:id="149" w:name="_Toc300834952"/>
      <w:bookmarkStart w:id="150" w:name="_Toc10055"/>
      <w:r>
        <w:rPr>
          <w:rFonts w:ascii="Times New Roman" w:hAnsi="Times New Roman"/>
          <w:color w:val="auto"/>
          <w:highlight w:val="none"/>
        </w:rPr>
        <w:t>1.3</w:t>
      </w:r>
      <w:r>
        <w:rPr>
          <w:color w:val="auto"/>
          <w:highlight w:val="none"/>
        </w:rPr>
        <w:t xml:space="preserve"> 招标范围、</w:t>
      </w:r>
      <w:r>
        <w:rPr>
          <w:rFonts w:hint="eastAsia"/>
          <w:color w:val="auto"/>
          <w:highlight w:val="none"/>
        </w:rPr>
        <w:t>工期要求</w:t>
      </w:r>
      <w:r>
        <w:rPr>
          <w:color w:val="auto"/>
          <w:highlight w:val="none"/>
        </w:rPr>
        <w:t>和</w:t>
      </w:r>
      <w:bookmarkEnd w:id="134"/>
      <w:bookmarkEnd w:id="135"/>
      <w:bookmarkEnd w:id="136"/>
      <w:bookmarkEnd w:id="137"/>
      <w:bookmarkEnd w:id="138"/>
      <w:r>
        <w:rPr>
          <w:rFonts w:hint="eastAsia"/>
          <w:color w:val="auto"/>
          <w:highlight w:val="none"/>
        </w:rPr>
        <w:t>质量标准</w:t>
      </w:r>
      <w:bookmarkEnd w:id="139"/>
      <w:bookmarkEnd w:id="140"/>
      <w:bookmarkEnd w:id="141"/>
      <w:bookmarkEnd w:id="142"/>
      <w:bookmarkEnd w:id="143"/>
      <w:bookmarkEnd w:id="144"/>
      <w:bookmarkEnd w:id="145"/>
      <w:bookmarkEnd w:id="146"/>
      <w:bookmarkEnd w:id="147"/>
      <w:bookmarkEnd w:id="148"/>
      <w:bookmarkEnd w:id="149"/>
      <w:bookmarkEnd w:id="150"/>
    </w:p>
    <w:p>
      <w:pPr>
        <w:spacing w:line="400" w:lineRule="exact"/>
        <w:ind w:firstLine="420" w:firstLineChars="200"/>
        <w:rPr>
          <w:color w:val="auto"/>
          <w:highlight w:val="none"/>
        </w:rPr>
      </w:pPr>
      <w:r>
        <w:rPr>
          <w:color w:val="auto"/>
          <w:highlight w:val="none"/>
        </w:rPr>
        <w:t xml:space="preserve">1.3.1 </w:t>
      </w:r>
      <w:r>
        <w:rPr>
          <w:rFonts w:hint="eastAsia"/>
          <w:color w:val="auto"/>
          <w:highlight w:val="none"/>
        </w:rPr>
        <w:t>招标范围：见投标人须知前附表。</w:t>
      </w:r>
    </w:p>
    <w:p>
      <w:pPr>
        <w:spacing w:line="400" w:lineRule="exact"/>
        <w:ind w:firstLine="420" w:firstLineChars="200"/>
        <w:rPr>
          <w:color w:val="auto"/>
          <w:highlight w:val="none"/>
        </w:rPr>
      </w:pPr>
      <w:r>
        <w:rPr>
          <w:color w:val="auto"/>
          <w:highlight w:val="none"/>
        </w:rPr>
        <w:t xml:space="preserve">1.3.2 </w:t>
      </w:r>
      <w:r>
        <w:rPr>
          <w:rFonts w:hint="eastAsia"/>
          <w:color w:val="auto"/>
          <w:highlight w:val="none"/>
        </w:rPr>
        <w:t>计划工期：见投标人须知前附表。</w:t>
      </w:r>
    </w:p>
    <w:p>
      <w:pPr>
        <w:spacing w:line="400" w:lineRule="exact"/>
        <w:ind w:firstLine="420" w:firstLineChars="200"/>
        <w:rPr>
          <w:color w:val="auto"/>
          <w:highlight w:val="none"/>
        </w:rPr>
      </w:pPr>
      <w:r>
        <w:rPr>
          <w:color w:val="auto"/>
          <w:highlight w:val="none"/>
        </w:rPr>
        <w:t xml:space="preserve">1.3.3 </w:t>
      </w:r>
      <w:r>
        <w:rPr>
          <w:rFonts w:hint="eastAsia"/>
          <w:color w:val="auto"/>
          <w:highlight w:val="none"/>
        </w:rPr>
        <w:t>质量标准：见投标人须知前附表。</w:t>
      </w:r>
    </w:p>
    <w:p>
      <w:pPr>
        <w:pStyle w:val="5"/>
        <w:rPr>
          <w:color w:val="auto"/>
          <w:highlight w:val="none"/>
        </w:rPr>
      </w:pPr>
      <w:bookmarkStart w:id="151" w:name="_Toc21278"/>
      <w:bookmarkStart w:id="152" w:name="_Toc300834953"/>
      <w:bookmarkStart w:id="153" w:name="_Toc247513956"/>
      <w:bookmarkStart w:id="154" w:name="_Toc247527557"/>
      <w:bookmarkStart w:id="155" w:name="_Toc9786"/>
      <w:bookmarkStart w:id="156" w:name="_Toc15022"/>
      <w:bookmarkStart w:id="157" w:name="_Toc144974501"/>
      <w:bookmarkStart w:id="158" w:name="_Toc152042309"/>
      <w:bookmarkStart w:id="159" w:name="_Toc27548"/>
      <w:bookmarkStart w:id="160" w:name="_Toc16204"/>
      <w:bookmarkStart w:id="161" w:name="_Toc29837"/>
      <w:bookmarkStart w:id="162" w:name="_Toc25165"/>
      <w:bookmarkStart w:id="163" w:name="_Toc30070"/>
      <w:bookmarkStart w:id="164" w:name="_Toc152045533"/>
      <w:bookmarkStart w:id="165" w:name="_Toc10308"/>
      <w:bookmarkStart w:id="166" w:name="_Toc494371519"/>
      <w:bookmarkStart w:id="167" w:name="_Toc27436"/>
      <w:r>
        <w:rPr>
          <w:rFonts w:ascii="Times New Roman" w:hAnsi="Times New Roman"/>
          <w:color w:val="auto"/>
          <w:highlight w:val="none"/>
        </w:rPr>
        <w:t>1.4</w:t>
      </w:r>
      <w:r>
        <w:rPr>
          <w:color w:val="auto"/>
          <w:highlight w:val="none"/>
        </w:rPr>
        <w:t xml:space="preserve"> 投标人</w:t>
      </w:r>
      <w:r>
        <w:rPr>
          <w:rFonts w:hint="eastAsia"/>
          <w:color w:val="auto"/>
          <w:highlight w:val="none"/>
        </w:rPr>
        <w:t>合格条件</w:t>
      </w:r>
      <w:r>
        <w:rPr>
          <w:color w:val="auto"/>
          <w:highlight w:val="none"/>
        </w:rPr>
        <w:t>（详见招标公告要求）</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pStyle w:val="5"/>
        <w:tabs>
          <w:tab w:val="left" w:pos="5769"/>
        </w:tabs>
        <w:rPr>
          <w:color w:val="auto"/>
          <w:highlight w:val="none"/>
        </w:rPr>
      </w:pPr>
      <w:bookmarkStart w:id="168" w:name="_Toc247527560"/>
      <w:bookmarkStart w:id="169" w:name="_Toc247513959"/>
      <w:bookmarkStart w:id="170" w:name="_Toc29962"/>
      <w:bookmarkStart w:id="171" w:name="_Toc152042312"/>
      <w:bookmarkStart w:id="172" w:name="_Toc300834956"/>
      <w:bookmarkStart w:id="173" w:name="_Toc1809"/>
      <w:bookmarkStart w:id="174" w:name="_Toc13053"/>
      <w:bookmarkStart w:id="175" w:name="_Toc152045536"/>
      <w:bookmarkStart w:id="176" w:name="_Toc9983"/>
      <w:bookmarkStart w:id="177" w:name="_Toc144974504"/>
      <w:bookmarkStart w:id="178" w:name="_Toc494371521"/>
      <w:bookmarkStart w:id="179" w:name="_Toc15250"/>
      <w:bookmarkStart w:id="180" w:name="_Toc17087"/>
      <w:bookmarkStart w:id="181" w:name="_Toc31463"/>
      <w:bookmarkStart w:id="182" w:name="_Toc25667"/>
      <w:bookmarkStart w:id="183" w:name="_Toc20208"/>
      <w:bookmarkStart w:id="184" w:name="_Toc29204"/>
      <w:r>
        <w:rPr>
          <w:rFonts w:ascii="Times New Roman" w:hAnsi="Times New Roman"/>
          <w:color w:val="auto"/>
          <w:highlight w:val="none"/>
        </w:rPr>
        <w:t>1</w:t>
      </w:r>
      <w:r>
        <w:rPr>
          <w:rFonts w:hint="eastAsia" w:ascii="Times New Roman" w:hAnsi="Times New Roman"/>
          <w:color w:val="auto"/>
          <w:highlight w:val="none"/>
        </w:rPr>
        <w:t>.5</w:t>
      </w:r>
      <w:r>
        <w:rPr>
          <w:rFonts w:hint="eastAsia"/>
          <w:color w:val="auto"/>
          <w:highlight w:val="none"/>
        </w:rPr>
        <w:t>保密</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color w:val="auto"/>
          <w:highlight w:val="none"/>
        </w:rPr>
        <w:tab/>
      </w:r>
    </w:p>
    <w:p>
      <w:pPr>
        <w:spacing w:line="400" w:lineRule="exact"/>
        <w:ind w:firstLine="420" w:firstLineChars="200"/>
        <w:rPr>
          <w:color w:val="auto"/>
          <w:highlight w:val="none"/>
        </w:rPr>
      </w:pPr>
      <w:r>
        <w:rPr>
          <w:rFonts w:hint="eastAsia"/>
          <w:color w:val="auto"/>
          <w:highlight w:val="none"/>
        </w:rPr>
        <w:t>参与招标投标活动的各方应对招标文件和投标文件中的商业和技术等秘密保密，否则应承担相应的法律责任。</w:t>
      </w:r>
    </w:p>
    <w:p>
      <w:pPr>
        <w:pStyle w:val="5"/>
        <w:rPr>
          <w:color w:val="auto"/>
          <w:highlight w:val="none"/>
        </w:rPr>
      </w:pPr>
      <w:bookmarkStart w:id="185" w:name="_Toc144974505"/>
      <w:bookmarkStart w:id="186" w:name="_Toc7984"/>
      <w:bookmarkStart w:id="187" w:name="_Toc15952"/>
      <w:bookmarkStart w:id="188" w:name="_Toc494371522"/>
      <w:bookmarkStart w:id="189" w:name="_Toc31702"/>
      <w:bookmarkStart w:id="190" w:name="_Toc247527561"/>
      <w:bookmarkStart w:id="191" w:name="_Toc29984"/>
      <w:bookmarkStart w:id="192" w:name="_Toc152045537"/>
      <w:bookmarkStart w:id="193" w:name="_Toc12677"/>
      <w:bookmarkStart w:id="194" w:name="_Toc15403"/>
      <w:bookmarkStart w:id="195" w:name="_Toc152042313"/>
      <w:bookmarkStart w:id="196" w:name="_Toc21141"/>
      <w:bookmarkStart w:id="197" w:name="_Toc27206"/>
      <w:bookmarkStart w:id="198" w:name="_Toc300834957"/>
      <w:bookmarkStart w:id="199" w:name="_Toc10710"/>
      <w:bookmarkStart w:id="200" w:name="_Toc11478"/>
      <w:bookmarkStart w:id="201" w:name="_Toc247513960"/>
      <w:r>
        <w:rPr>
          <w:rFonts w:ascii="Times New Roman" w:hAnsi="Times New Roman"/>
          <w:color w:val="auto"/>
          <w:highlight w:val="none"/>
        </w:rPr>
        <w:t>1.</w:t>
      </w:r>
      <w:r>
        <w:rPr>
          <w:rFonts w:hint="eastAsia" w:ascii="Times New Roman" w:hAnsi="Times New Roman"/>
          <w:color w:val="auto"/>
          <w:highlight w:val="none"/>
        </w:rPr>
        <w:t>6</w:t>
      </w:r>
      <w:r>
        <w:rPr>
          <w:color w:val="auto"/>
          <w:highlight w:val="none"/>
        </w:rPr>
        <w:t xml:space="preserve"> 语言</w:t>
      </w:r>
      <w:bookmarkEnd w:id="185"/>
      <w:r>
        <w:rPr>
          <w:rFonts w:hint="eastAsia"/>
          <w:color w:val="auto"/>
          <w:highlight w:val="none"/>
        </w:rPr>
        <w:t>文字</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spacing w:line="400" w:lineRule="exact"/>
        <w:ind w:firstLine="420" w:firstLineChars="200"/>
        <w:rPr>
          <w:color w:val="auto"/>
          <w:highlight w:val="none"/>
        </w:rPr>
      </w:pPr>
      <w:r>
        <w:rPr>
          <w:rFonts w:hint="eastAsia"/>
          <w:color w:val="auto"/>
          <w:highlight w:val="none"/>
        </w:rPr>
        <w:t>招标投标文件使用的语言文字为中文。专用术语使用外文的，应附有中文注释。</w:t>
      </w:r>
    </w:p>
    <w:p>
      <w:pPr>
        <w:pStyle w:val="5"/>
        <w:rPr>
          <w:color w:val="auto"/>
          <w:highlight w:val="none"/>
        </w:rPr>
      </w:pPr>
      <w:bookmarkStart w:id="202" w:name="_Toc31715"/>
      <w:bookmarkStart w:id="203" w:name="_Toc32144"/>
      <w:bookmarkStart w:id="204" w:name="_Toc27006"/>
      <w:bookmarkStart w:id="205" w:name="_Toc18979"/>
      <w:bookmarkStart w:id="206" w:name="_Toc24995"/>
      <w:bookmarkStart w:id="207" w:name="_Toc152042314"/>
      <w:bookmarkStart w:id="208" w:name="_Toc13627"/>
      <w:bookmarkStart w:id="209" w:name="_Toc27884"/>
      <w:bookmarkStart w:id="210" w:name="_Toc247513961"/>
      <w:bookmarkStart w:id="211" w:name="_Toc144974506"/>
      <w:bookmarkStart w:id="212" w:name="_Toc3503"/>
      <w:bookmarkStart w:id="213" w:name="_Toc6208"/>
      <w:bookmarkStart w:id="214" w:name="_Toc247527562"/>
      <w:bookmarkStart w:id="215" w:name="_Toc300834958"/>
      <w:bookmarkStart w:id="216" w:name="_Toc494371523"/>
      <w:bookmarkStart w:id="217" w:name="_Toc28646"/>
      <w:bookmarkStart w:id="218" w:name="_Toc152045538"/>
      <w:r>
        <w:rPr>
          <w:rFonts w:ascii="Times New Roman" w:hAnsi="Times New Roman"/>
          <w:color w:val="auto"/>
          <w:highlight w:val="none"/>
        </w:rPr>
        <w:t>1.</w:t>
      </w:r>
      <w:r>
        <w:rPr>
          <w:rFonts w:hint="eastAsia" w:ascii="Times New Roman" w:hAnsi="Times New Roman"/>
          <w:color w:val="auto"/>
          <w:highlight w:val="none"/>
        </w:rPr>
        <w:t>7</w:t>
      </w:r>
      <w:r>
        <w:rPr>
          <w:rFonts w:hint="eastAsia"/>
          <w:color w:val="auto"/>
          <w:highlight w:val="none"/>
        </w:rPr>
        <w:t>计量单位</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spacing w:line="400" w:lineRule="exact"/>
        <w:ind w:firstLine="420" w:firstLineChars="200"/>
        <w:rPr>
          <w:color w:val="auto"/>
          <w:highlight w:val="none"/>
        </w:rPr>
      </w:pPr>
      <w:r>
        <w:rPr>
          <w:color w:val="auto"/>
          <w:highlight w:val="none"/>
        </w:rPr>
        <w:t>1.8.1</w:t>
      </w:r>
      <w:r>
        <w:rPr>
          <w:rFonts w:hint="eastAsia"/>
          <w:color w:val="auto"/>
          <w:highlight w:val="none"/>
        </w:rPr>
        <w:t>所有计量均采用中华人民共和国法定计量单位。</w:t>
      </w:r>
    </w:p>
    <w:p>
      <w:pPr>
        <w:spacing w:line="400" w:lineRule="exact"/>
        <w:ind w:firstLine="420" w:firstLineChars="200"/>
        <w:rPr>
          <w:color w:val="auto"/>
          <w:highlight w:val="none"/>
        </w:rPr>
      </w:pPr>
      <w:r>
        <w:rPr>
          <w:color w:val="auto"/>
          <w:highlight w:val="none"/>
        </w:rPr>
        <w:t xml:space="preserve">1.8.2 </w:t>
      </w:r>
      <w:r>
        <w:rPr>
          <w:rFonts w:hint="eastAsia"/>
          <w:color w:val="auto"/>
          <w:highlight w:val="none"/>
        </w:rPr>
        <w:t>本工程投标报价采用的的币种为人民币。</w:t>
      </w:r>
    </w:p>
    <w:p>
      <w:pPr>
        <w:pStyle w:val="5"/>
        <w:rPr>
          <w:color w:val="auto"/>
          <w:highlight w:val="none"/>
        </w:rPr>
      </w:pPr>
      <w:bookmarkStart w:id="219" w:name="_Toc26270"/>
      <w:bookmarkStart w:id="220" w:name="_Toc32089"/>
      <w:bookmarkStart w:id="221" w:name="_Toc7578"/>
      <w:bookmarkStart w:id="222" w:name="_Toc24491"/>
      <w:bookmarkStart w:id="223" w:name="_Toc13153"/>
      <w:bookmarkStart w:id="224" w:name="_Toc247513962"/>
      <w:bookmarkStart w:id="225" w:name="_Toc14018"/>
      <w:bookmarkStart w:id="226" w:name="_Toc152042315"/>
      <w:bookmarkStart w:id="227" w:name="_Toc16330"/>
      <w:bookmarkStart w:id="228" w:name="_Toc152045539"/>
      <w:bookmarkStart w:id="229" w:name="_Toc494371524"/>
      <w:bookmarkStart w:id="230" w:name="_Toc247527563"/>
      <w:bookmarkStart w:id="231" w:name="_Toc23415"/>
      <w:bookmarkStart w:id="232" w:name="_Toc144974507"/>
      <w:bookmarkStart w:id="233" w:name="_Toc21627"/>
      <w:bookmarkStart w:id="234" w:name="_Toc21709"/>
      <w:bookmarkStart w:id="235" w:name="_Toc300834959"/>
      <w:r>
        <w:rPr>
          <w:rFonts w:ascii="Times New Roman" w:hAnsi="Times New Roman"/>
          <w:color w:val="auto"/>
          <w:highlight w:val="none"/>
        </w:rPr>
        <w:t>1.</w:t>
      </w:r>
      <w:r>
        <w:rPr>
          <w:rFonts w:hint="eastAsia" w:ascii="Times New Roman" w:hAnsi="Times New Roman"/>
          <w:color w:val="auto"/>
          <w:highlight w:val="none"/>
        </w:rPr>
        <w:t>8</w:t>
      </w:r>
      <w:r>
        <w:rPr>
          <w:color w:val="auto"/>
          <w:highlight w:val="none"/>
        </w:rPr>
        <w:t xml:space="preserve"> 踏勘现场</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spacing w:line="400" w:lineRule="exact"/>
        <w:ind w:firstLine="420" w:firstLineChars="200"/>
        <w:rPr>
          <w:color w:val="auto"/>
          <w:highlight w:val="none"/>
        </w:rPr>
      </w:pPr>
      <w:r>
        <w:rPr>
          <w:color w:val="auto"/>
          <w:highlight w:val="none"/>
        </w:rPr>
        <w:t>1.</w:t>
      </w:r>
      <w:r>
        <w:rPr>
          <w:rFonts w:hint="eastAsia"/>
          <w:color w:val="auto"/>
          <w:highlight w:val="none"/>
        </w:rPr>
        <w:t>8</w:t>
      </w:r>
      <w:r>
        <w:rPr>
          <w:color w:val="auto"/>
          <w:highlight w:val="none"/>
        </w:rPr>
        <w:t xml:space="preserve">.1 </w:t>
      </w:r>
      <w:r>
        <w:rPr>
          <w:rFonts w:hint="eastAsia"/>
          <w:color w:val="auto"/>
          <w:highlight w:val="none"/>
        </w:rPr>
        <w:t>投标人须知前附表规定组织踏勘现场的，招标人按投标人须知前附表规定的时间、地点组织投标人踏勘项目现场。</w:t>
      </w:r>
    </w:p>
    <w:p>
      <w:pPr>
        <w:spacing w:line="400" w:lineRule="exact"/>
        <w:ind w:firstLine="420" w:firstLineChars="200"/>
        <w:rPr>
          <w:color w:val="auto"/>
          <w:highlight w:val="none"/>
        </w:rPr>
      </w:pPr>
      <w:r>
        <w:rPr>
          <w:color w:val="auto"/>
          <w:highlight w:val="none"/>
        </w:rPr>
        <w:t>1.</w:t>
      </w:r>
      <w:r>
        <w:rPr>
          <w:rFonts w:hint="eastAsia"/>
          <w:color w:val="auto"/>
          <w:highlight w:val="none"/>
        </w:rPr>
        <w:t>8</w:t>
      </w:r>
      <w:r>
        <w:rPr>
          <w:color w:val="auto"/>
          <w:highlight w:val="none"/>
        </w:rPr>
        <w:t xml:space="preserve">.2 </w:t>
      </w:r>
      <w:r>
        <w:rPr>
          <w:rFonts w:hint="eastAsia"/>
          <w:color w:val="auto"/>
          <w:highlight w:val="none"/>
        </w:rPr>
        <w:t>投标人踏勘现场发生的费用自理。</w:t>
      </w:r>
    </w:p>
    <w:p>
      <w:pPr>
        <w:spacing w:line="400" w:lineRule="exact"/>
        <w:ind w:firstLine="420" w:firstLineChars="200"/>
        <w:rPr>
          <w:color w:val="auto"/>
          <w:highlight w:val="none"/>
        </w:rPr>
      </w:pPr>
      <w:r>
        <w:rPr>
          <w:color w:val="auto"/>
          <w:highlight w:val="none"/>
        </w:rPr>
        <w:t>1.</w:t>
      </w:r>
      <w:r>
        <w:rPr>
          <w:rFonts w:hint="eastAsia"/>
          <w:color w:val="auto"/>
          <w:highlight w:val="none"/>
        </w:rPr>
        <w:t>8</w:t>
      </w:r>
      <w:r>
        <w:rPr>
          <w:color w:val="auto"/>
          <w:highlight w:val="none"/>
        </w:rPr>
        <w:t xml:space="preserve">.3 </w:t>
      </w:r>
      <w:r>
        <w:rPr>
          <w:rFonts w:hint="eastAsia"/>
          <w:color w:val="auto"/>
          <w:highlight w:val="none"/>
        </w:rPr>
        <w:t>除招标人的原因外，投标人自行负责在踏勘现场中所发生的人员伤亡和财产损失。</w:t>
      </w:r>
    </w:p>
    <w:p>
      <w:pPr>
        <w:spacing w:line="400" w:lineRule="exact"/>
        <w:ind w:firstLine="420" w:firstLineChars="200"/>
        <w:rPr>
          <w:color w:val="auto"/>
          <w:highlight w:val="none"/>
        </w:rPr>
      </w:pPr>
      <w:r>
        <w:rPr>
          <w:color w:val="auto"/>
          <w:highlight w:val="none"/>
        </w:rPr>
        <w:t>1.</w:t>
      </w:r>
      <w:r>
        <w:rPr>
          <w:rFonts w:hint="eastAsia"/>
          <w:color w:val="auto"/>
          <w:highlight w:val="none"/>
        </w:rPr>
        <w:t>8</w:t>
      </w:r>
      <w:r>
        <w:rPr>
          <w:color w:val="auto"/>
          <w:highlight w:val="none"/>
        </w:rPr>
        <w:t xml:space="preserve">.4 </w:t>
      </w:r>
      <w:r>
        <w:rPr>
          <w:rFonts w:hint="eastAsia"/>
          <w:color w:val="auto"/>
          <w:highlight w:val="none"/>
        </w:rPr>
        <w:t>现场由投标人自行踏勘，投标人不进行踏勘的，视为已熟知现场条件，自行承担相关风险。招标人不对投标人自行踏勘现场作出的判断和决策负责。</w:t>
      </w:r>
    </w:p>
    <w:p>
      <w:pPr>
        <w:pStyle w:val="4"/>
        <w:rPr>
          <w:color w:val="auto"/>
          <w:highlight w:val="none"/>
        </w:rPr>
      </w:pPr>
      <w:bookmarkStart w:id="236" w:name="_Toc152045542"/>
      <w:bookmarkStart w:id="237" w:name="_Toc28780"/>
      <w:bookmarkStart w:id="238" w:name="_Toc28224"/>
      <w:bookmarkStart w:id="239" w:name="_Toc13096"/>
      <w:bookmarkStart w:id="240" w:name="_Toc22361"/>
      <w:bookmarkStart w:id="241" w:name="_Toc152042318"/>
      <w:bookmarkStart w:id="242" w:name="_Toc14358"/>
      <w:bookmarkStart w:id="243" w:name="_Toc25933"/>
      <w:bookmarkStart w:id="244" w:name="_Toc247513966"/>
      <w:bookmarkStart w:id="245" w:name="_Toc494371528"/>
      <w:bookmarkStart w:id="246" w:name="_Toc247527567"/>
      <w:bookmarkStart w:id="247" w:name="_Toc300834963"/>
      <w:bookmarkStart w:id="248" w:name="_Toc20199"/>
      <w:bookmarkStart w:id="249" w:name="_Toc18406"/>
      <w:bookmarkStart w:id="250" w:name="_Toc23852"/>
      <w:bookmarkStart w:id="251" w:name="_Toc25753"/>
      <w:bookmarkStart w:id="252" w:name="_Toc9925"/>
      <w:bookmarkStart w:id="253" w:name="_Toc144974510"/>
      <w:bookmarkStart w:id="254" w:name="_Toc22778"/>
      <w:r>
        <w:rPr>
          <w:color w:val="auto"/>
          <w:highlight w:val="none"/>
        </w:rPr>
        <w:t xml:space="preserve">2. </w:t>
      </w:r>
      <w:r>
        <w:rPr>
          <w:rFonts w:hint="eastAsia"/>
          <w:color w:val="auto"/>
          <w:highlight w:val="none"/>
        </w:rPr>
        <w:t>招标文件</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pStyle w:val="5"/>
        <w:rPr>
          <w:color w:val="auto"/>
          <w:highlight w:val="none"/>
        </w:rPr>
      </w:pPr>
      <w:bookmarkStart w:id="255" w:name="_Toc300834964"/>
      <w:bookmarkStart w:id="256" w:name="_Toc16384"/>
      <w:bookmarkStart w:id="257" w:name="_Toc152045543"/>
      <w:bookmarkStart w:id="258" w:name="_Toc144974511"/>
      <w:bookmarkStart w:id="259" w:name="_Toc22589"/>
      <w:bookmarkStart w:id="260" w:name="_Toc12130"/>
      <w:bookmarkStart w:id="261" w:name="_Toc27602"/>
      <w:bookmarkStart w:id="262" w:name="_Toc14514"/>
      <w:bookmarkStart w:id="263" w:name="_Toc152042319"/>
      <w:bookmarkStart w:id="264" w:name="_Toc494371529"/>
      <w:bookmarkStart w:id="265" w:name="_Toc244"/>
      <w:bookmarkStart w:id="266" w:name="_Toc18571"/>
      <w:bookmarkStart w:id="267" w:name="_Toc247513967"/>
      <w:bookmarkStart w:id="268" w:name="_Toc19518"/>
      <w:bookmarkStart w:id="269" w:name="_Toc644"/>
      <w:bookmarkStart w:id="270" w:name="_Toc247527568"/>
      <w:bookmarkStart w:id="271" w:name="_Toc11154"/>
      <w:r>
        <w:rPr>
          <w:rFonts w:ascii="Times New Roman" w:hAnsi="Times New Roman"/>
          <w:color w:val="auto"/>
          <w:highlight w:val="none"/>
        </w:rPr>
        <w:t>2.1</w:t>
      </w:r>
      <w:r>
        <w:rPr>
          <w:color w:val="auto"/>
          <w:highlight w:val="none"/>
        </w:rPr>
        <w:t xml:space="preserve"> 招标文件的组成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spacing w:line="400" w:lineRule="exact"/>
        <w:rPr>
          <w:color w:val="auto"/>
          <w:highlight w:val="none"/>
        </w:rPr>
      </w:pPr>
      <w:r>
        <w:rPr>
          <w:rFonts w:hint="eastAsia"/>
          <w:color w:val="auto"/>
          <w:highlight w:val="none"/>
        </w:rPr>
        <w:t>　　本招标文件包括：</w:t>
      </w:r>
    </w:p>
    <w:p>
      <w:pPr>
        <w:spacing w:line="400" w:lineRule="exact"/>
        <w:ind w:firstLine="359" w:firstLineChars="171"/>
        <w:rPr>
          <w:color w:val="auto"/>
          <w:highlight w:val="none"/>
        </w:rPr>
      </w:pPr>
      <w:r>
        <w:rPr>
          <w:rFonts w:hint="eastAsia"/>
          <w:color w:val="auto"/>
          <w:highlight w:val="none"/>
        </w:rPr>
        <w:t>（</w:t>
      </w:r>
      <w:r>
        <w:rPr>
          <w:color w:val="auto"/>
          <w:highlight w:val="none"/>
        </w:rPr>
        <w:t>1</w:t>
      </w:r>
      <w:r>
        <w:rPr>
          <w:rFonts w:hint="eastAsia"/>
          <w:color w:val="auto"/>
          <w:highlight w:val="none"/>
        </w:rPr>
        <w:t>）招标公告（或投标邀请书）；</w:t>
      </w:r>
    </w:p>
    <w:p>
      <w:pPr>
        <w:spacing w:line="400" w:lineRule="exact"/>
        <w:ind w:firstLine="359" w:firstLineChars="171"/>
        <w:rPr>
          <w:color w:val="auto"/>
          <w:highlight w:val="none"/>
        </w:rPr>
      </w:pPr>
      <w:r>
        <w:rPr>
          <w:rFonts w:hint="eastAsia"/>
          <w:color w:val="auto"/>
          <w:highlight w:val="none"/>
        </w:rPr>
        <w:t>（</w:t>
      </w:r>
      <w:r>
        <w:rPr>
          <w:color w:val="auto"/>
          <w:highlight w:val="none"/>
        </w:rPr>
        <w:t>2</w:t>
      </w:r>
      <w:r>
        <w:rPr>
          <w:rFonts w:hint="eastAsia"/>
          <w:color w:val="auto"/>
          <w:highlight w:val="none"/>
        </w:rPr>
        <w:t>）投标人须知；</w:t>
      </w:r>
    </w:p>
    <w:p>
      <w:pPr>
        <w:spacing w:line="400" w:lineRule="exact"/>
        <w:ind w:firstLine="359" w:firstLineChars="171"/>
        <w:rPr>
          <w:color w:val="auto"/>
          <w:highlight w:val="none"/>
        </w:rPr>
      </w:pPr>
      <w:r>
        <w:rPr>
          <w:rFonts w:hint="eastAsia"/>
          <w:color w:val="auto"/>
          <w:highlight w:val="none"/>
        </w:rPr>
        <w:t>（</w:t>
      </w:r>
      <w:r>
        <w:rPr>
          <w:color w:val="auto"/>
          <w:highlight w:val="none"/>
        </w:rPr>
        <w:t>3</w:t>
      </w:r>
      <w:r>
        <w:rPr>
          <w:rFonts w:hint="eastAsia"/>
          <w:color w:val="auto"/>
          <w:highlight w:val="none"/>
        </w:rPr>
        <w:t>）评标办法；</w:t>
      </w:r>
    </w:p>
    <w:p>
      <w:pPr>
        <w:spacing w:line="400" w:lineRule="exact"/>
        <w:ind w:firstLine="359" w:firstLineChars="171"/>
        <w:rPr>
          <w:color w:val="auto"/>
          <w:highlight w:val="none"/>
        </w:rPr>
      </w:pPr>
      <w:r>
        <w:rPr>
          <w:rFonts w:hint="eastAsia"/>
          <w:color w:val="auto"/>
          <w:highlight w:val="none"/>
        </w:rPr>
        <w:t>（</w:t>
      </w:r>
      <w:r>
        <w:rPr>
          <w:color w:val="auto"/>
          <w:highlight w:val="none"/>
        </w:rPr>
        <w:t>4</w:t>
      </w:r>
      <w:r>
        <w:rPr>
          <w:rFonts w:hint="eastAsia"/>
          <w:color w:val="auto"/>
          <w:highlight w:val="none"/>
        </w:rPr>
        <w:t>）合同条款及格式（另册）；</w:t>
      </w:r>
    </w:p>
    <w:p>
      <w:pPr>
        <w:spacing w:line="400" w:lineRule="exact"/>
        <w:ind w:firstLine="359" w:firstLineChars="171"/>
        <w:rPr>
          <w:color w:val="auto"/>
          <w:highlight w:val="none"/>
        </w:rPr>
      </w:pPr>
      <w:r>
        <w:rPr>
          <w:rFonts w:hint="eastAsia"/>
          <w:color w:val="auto"/>
          <w:highlight w:val="none"/>
        </w:rPr>
        <w:t>（</w:t>
      </w:r>
      <w:r>
        <w:rPr>
          <w:color w:val="auto"/>
          <w:highlight w:val="none"/>
        </w:rPr>
        <w:t>5</w:t>
      </w:r>
      <w:r>
        <w:rPr>
          <w:rFonts w:hint="eastAsia"/>
          <w:color w:val="auto"/>
          <w:highlight w:val="none"/>
        </w:rPr>
        <w:t>）项目方案效果图（另册）；</w:t>
      </w:r>
    </w:p>
    <w:p>
      <w:pPr>
        <w:spacing w:line="400" w:lineRule="exact"/>
        <w:ind w:firstLine="359" w:firstLineChars="171"/>
        <w:rPr>
          <w:color w:val="auto"/>
          <w:highlight w:val="none"/>
        </w:rPr>
      </w:pPr>
      <w:r>
        <w:rPr>
          <w:rFonts w:hint="eastAsia"/>
          <w:color w:val="auto"/>
          <w:highlight w:val="none"/>
        </w:rPr>
        <w:t>（</w:t>
      </w:r>
      <w:r>
        <w:rPr>
          <w:color w:val="auto"/>
          <w:highlight w:val="none"/>
        </w:rPr>
        <w:t>6</w:t>
      </w:r>
      <w:r>
        <w:rPr>
          <w:rFonts w:hint="eastAsia"/>
          <w:color w:val="auto"/>
          <w:highlight w:val="none"/>
        </w:rPr>
        <w:t>）发包人提供的资料（另册）；</w:t>
      </w:r>
    </w:p>
    <w:p>
      <w:pPr>
        <w:spacing w:line="400" w:lineRule="exact"/>
        <w:ind w:firstLine="359" w:firstLineChars="171"/>
        <w:rPr>
          <w:color w:val="auto"/>
          <w:highlight w:val="none"/>
        </w:rPr>
      </w:pPr>
      <w:r>
        <w:rPr>
          <w:rFonts w:hint="eastAsia"/>
          <w:color w:val="auto"/>
          <w:highlight w:val="none"/>
        </w:rPr>
        <w:t>（</w:t>
      </w:r>
      <w:r>
        <w:rPr>
          <w:color w:val="auto"/>
          <w:highlight w:val="none"/>
        </w:rPr>
        <w:t>7</w:t>
      </w:r>
      <w:r>
        <w:rPr>
          <w:rFonts w:hint="eastAsia"/>
          <w:color w:val="auto"/>
          <w:highlight w:val="none"/>
        </w:rPr>
        <w:t>）投标文件格式；</w:t>
      </w:r>
    </w:p>
    <w:p>
      <w:pPr>
        <w:spacing w:line="400" w:lineRule="exact"/>
        <w:ind w:firstLine="359" w:firstLineChars="171"/>
        <w:rPr>
          <w:color w:val="auto"/>
          <w:highlight w:val="none"/>
        </w:rPr>
      </w:pPr>
      <w:r>
        <w:rPr>
          <w:rFonts w:hint="eastAsia"/>
          <w:color w:val="auto"/>
          <w:highlight w:val="none"/>
        </w:rPr>
        <w:t>（</w:t>
      </w:r>
      <w:r>
        <w:rPr>
          <w:color w:val="auto"/>
          <w:highlight w:val="none"/>
        </w:rPr>
        <w:t>8</w:t>
      </w:r>
      <w:r>
        <w:rPr>
          <w:rFonts w:hint="eastAsia"/>
          <w:color w:val="auto"/>
          <w:highlight w:val="none"/>
        </w:rPr>
        <w:t>）投标人须知前附表规定的其他资料。</w:t>
      </w:r>
    </w:p>
    <w:p>
      <w:pPr>
        <w:pStyle w:val="5"/>
        <w:rPr>
          <w:color w:val="auto"/>
          <w:highlight w:val="none"/>
        </w:rPr>
      </w:pPr>
      <w:bookmarkStart w:id="272" w:name="_Toc2920"/>
      <w:bookmarkStart w:id="273" w:name="_Toc28374"/>
      <w:bookmarkStart w:id="274" w:name="_Toc247527569"/>
      <w:bookmarkStart w:id="275" w:name="_Toc152045544"/>
      <w:bookmarkStart w:id="276" w:name="_Toc3890"/>
      <w:bookmarkStart w:id="277" w:name="_Toc24802"/>
      <w:bookmarkStart w:id="278" w:name="_Toc144974512"/>
      <w:bookmarkStart w:id="279" w:name="_Toc247513968"/>
      <w:bookmarkStart w:id="280" w:name="_Toc494371530"/>
      <w:bookmarkStart w:id="281" w:name="_Toc10715"/>
      <w:bookmarkStart w:id="282" w:name="_Toc6072"/>
      <w:bookmarkStart w:id="283" w:name="_Toc14693"/>
      <w:bookmarkStart w:id="284" w:name="_Toc152042320"/>
      <w:bookmarkStart w:id="285" w:name="_Toc24642"/>
      <w:bookmarkStart w:id="286" w:name="_Toc300834965"/>
      <w:bookmarkStart w:id="287" w:name="_Toc28197"/>
      <w:bookmarkStart w:id="288" w:name="_Toc13489"/>
      <w:r>
        <w:rPr>
          <w:color w:val="auto"/>
          <w:highlight w:val="none"/>
        </w:rPr>
        <w:t xml:space="preserve">2.2 </w:t>
      </w:r>
      <w:r>
        <w:rPr>
          <w:rFonts w:hint="eastAsia"/>
          <w:color w:val="auto"/>
          <w:highlight w:val="none"/>
        </w:rPr>
        <w:t>招标文件的澄清</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spacing w:line="400" w:lineRule="exact"/>
        <w:ind w:firstLine="420" w:firstLineChars="200"/>
        <w:rPr>
          <w:rFonts w:ascii="宋体" w:hAnsi="宋体"/>
          <w:color w:val="auto"/>
          <w:szCs w:val="21"/>
          <w:highlight w:val="none"/>
        </w:rPr>
      </w:pPr>
      <w:r>
        <w:rPr>
          <w:color w:val="auto"/>
          <w:highlight w:val="none"/>
        </w:rPr>
        <w:t xml:space="preserve">2.2.1 </w:t>
      </w:r>
      <w:r>
        <w:rPr>
          <w:rFonts w:hint="eastAsia"/>
          <w:color w:val="auto"/>
          <w:highlight w:val="none"/>
        </w:rPr>
        <w:t>投标人应仔细阅读和检查招标文件的全部内容。</w:t>
      </w:r>
      <w:r>
        <w:rPr>
          <w:rFonts w:hint="eastAsia" w:ascii="宋体" w:hAnsi="宋体"/>
          <w:color w:val="auto"/>
          <w:szCs w:val="21"/>
          <w:highlight w:val="none"/>
        </w:rPr>
        <w:t>如发现缺页或附件不全，应及时向招标人提出，以便补齐。</w:t>
      </w:r>
    </w:p>
    <w:p>
      <w:pPr>
        <w:spacing w:line="400" w:lineRule="exact"/>
        <w:ind w:firstLine="420" w:firstLineChars="200"/>
        <w:rPr>
          <w:rFonts w:ascii="宋体" w:hAnsi="宋体"/>
          <w:color w:val="auto"/>
          <w:szCs w:val="21"/>
          <w:highlight w:val="none"/>
        </w:rPr>
      </w:pPr>
      <w:r>
        <w:rPr>
          <w:color w:val="auto"/>
          <w:highlight w:val="none"/>
        </w:rPr>
        <w:t>2.2.</w:t>
      </w:r>
      <w:r>
        <w:rPr>
          <w:rFonts w:hint="eastAsia"/>
          <w:color w:val="auto"/>
          <w:highlight w:val="none"/>
        </w:rPr>
        <w:t>2</w:t>
      </w:r>
      <w:r>
        <w:rPr>
          <w:rFonts w:hint="eastAsia" w:ascii="宋体" w:hAnsi="宋体"/>
          <w:color w:val="auto"/>
          <w:szCs w:val="21"/>
          <w:highlight w:val="none"/>
        </w:rPr>
        <w:t>招标补充公告一经在广州南沙资产经营集团有限公司网站</w:t>
      </w:r>
      <w:r>
        <w:rPr>
          <w:rFonts w:hint="eastAsia" w:ascii="宋体" w:hAnsi="宋体" w:cs="宋体"/>
          <w:color w:val="auto"/>
          <w:sz w:val="24"/>
          <w:highlight w:val="none"/>
        </w:rPr>
        <w:t>（</w:t>
      </w:r>
      <w:r>
        <w:rPr>
          <w:rFonts w:ascii="宋体" w:hAnsi="宋体" w:cs="宋体"/>
          <w:color w:val="auto"/>
          <w:sz w:val="24"/>
          <w:highlight w:val="none"/>
        </w:rPr>
        <w:t>http://www.gnao.com.cn</w:t>
      </w:r>
      <w:r>
        <w:rPr>
          <w:rFonts w:hint="eastAsia" w:ascii="宋体" w:hAnsi="宋体" w:cs="宋体"/>
          <w:color w:val="auto"/>
          <w:sz w:val="24"/>
          <w:highlight w:val="none"/>
        </w:rPr>
        <w:t>，下同）</w:t>
      </w:r>
      <w:r>
        <w:rPr>
          <w:rFonts w:hint="eastAsia" w:ascii="宋体" w:hAnsi="宋体"/>
          <w:color w:val="auto"/>
          <w:szCs w:val="21"/>
          <w:highlight w:val="none"/>
        </w:rPr>
        <w:t>发布，视作已发放给所有投标人。</w:t>
      </w:r>
    </w:p>
    <w:p>
      <w:pPr>
        <w:pStyle w:val="5"/>
        <w:rPr>
          <w:color w:val="auto"/>
          <w:highlight w:val="none"/>
        </w:rPr>
      </w:pPr>
      <w:bookmarkStart w:id="289" w:name="_Toc3897"/>
      <w:bookmarkStart w:id="290" w:name="_Toc300834966"/>
      <w:bookmarkStart w:id="291" w:name="_Toc21917"/>
      <w:bookmarkStart w:id="292" w:name="_Toc5512"/>
      <w:bookmarkStart w:id="293" w:name="_Toc144974513"/>
      <w:bookmarkStart w:id="294" w:name="_Toc18567"/>
      <w:bookmarkStart w:id="295" w:name="_Toc13973"/>
      <w:bookmarkStart w:id="296" w:name="_Toc247527570"/>
      <w:bookmarkStart w:id="297" w:name="_Toc247513969"/>
      <w:bookmarkStart w:id="298" w:name="_Toc152042321"/>
      <w:bookmarkStart w:id="299" w:name="_Toc2421"/>
      <w:bookmarkStart w:id="300" w:name="_Toc29656"/>
      <w:bookmarkStart w:id="301" w:name="_Toc152045545"/>
      <w:bookmarkStart w:id="302" w:name="_Toc494371531"/>
      <w:bookmarkStart w:id="303" w:name="_Toc1392"/>
      <w:bookmarkStart w:id="304" w:name="_Toc24839"/>
      <w:bookmarkStart w:id="305" w:name="_Toc28122"/>
      <w:r>
        <w:rPr>
          <w:rFonts w:ascii="Times New Roman" w:hAnsi="Times New Roman"/>
          <w:color w:val="auto"/>
          <w:highlight w:val="none"/>
        </w:rPr>
        <w:t>2.3</w:t>
      </w:r>
      <w:r>
        <w:rPr>
          <w:color w:val="auto"/>
          <w:highlight w:val="none"/>
        </w:rPr>
        <w:t xml:space="preserve"> 招标文件的修改</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pStyle w:val="38"/>
        <w:spacing w:line="420" w:lineRule="exact"/>
        <w:ind w:firstLineChars="200"/>
        <w:rPr>
          <w:rFonts w:ascii="宋体" w:hAnsi="宋体"/>
          <w:color w:val="auto"/>
          <w:szCs w:val="21"/>
          <w:highlight w:val="none"/>
        </w:rPr>
      </w:pPr>
      <w:r>
        <w:rPr>
          <w:rFonts w:ascii="宋体" w:hAnsi="宋体"/>
          <w:color w:val="auto"/>
          <w:szCs w:val="21"/>
          <w:highlight w:val="none"/>
        </w:rPr>
        <w:t>2.3.</w:t>
      </w:r>
      <w:r>
        <w:rPr>
          <w:rFonts w:hint="eastAsia" w:ascii="宋体" w:hAnsi="宋体"/>
          <w:color w:val="auto"/>
          <w:szCs w:val="21"/>
          <w:highlight w:val="none"/>
        </w:rPr>
        <w:t>1招标文件的澄清、修改均以在广州南沙资产经营集团有限公司网站进行发布。当招标文件的澄清、修改在同一内容的表述不一致时，以广州南沙资产经营集团有限公司网站最后发布的内容为准。</w:t>
      </w:r>
    </w:p>
    <w:p>
      <w:pPr>
        <w:spacing w:line="400" w:lineRule="exact"/>
        <w:ind w:firstLine="420" w:firstLineChars="200"/>
        <w:rPr>
          <w:strike/>
          <w:color w:val="auto"/>
          <w:highlight w:val="none"/>
        </w:rPr>
      </w:pPr>
      <w:r>
        <w:rPr>
          <w:rFonts w:ascii="宋体" w:hAnsi="宋体"/>
          <w:color w:val="auto"/>
          <w:szCs w:val="21"/>
          <w:highlight w:val="none"/>
        </w:rPr>
        <w:t>2.3.</w:t>
      </w:r>
      <w:r>
        <w:rPr>
          <w:rFonts w:hint="eastAsia" w:ascii="宋体" w:hAnsi="宋体"/>
          <w:color w:val="auto"/>
          <w:szCs w:val="21"/>
          <w:highlight w:val="none"/>
        </w:rPr>
        <w:t>2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4"/>
        <w:rPr>
          <w:color w:val="auto"/>
          <w:highlight w:val="none"/>
        </w:rPr>
      </w:pPr>
      <w:bookmarkStart w:id="306" w:name="_Toc247527571"/>
      <w:bookmarkStart w:id="307" w:name="_Toc152042322"/>
      <w:bookmarkStart w:id="308" w:name="_Toc3337"/>
      <w:bookmarkStart w:id="309" w:name="_Toc247513970"/>
      <w:bookmarkStart w:id="310" w:name="_Toc152045546"/>
      <w:bookmarkStart w:id="311" w:name="_Toc5391"/>
      <w:bookmarkStart w:id="312" w:name="_Toc494371532"/>
      <w:bookmarkStart w:id="313" w:name="_Toc26021"/>
      <w:bookmarkStart w:id="314" w:name="_Toc25826"/>
      <w:bookmarkStart w:id="315" w:name="_Toc5036"/>
      <w:bookmarkStart w:id="316" w:name="_Toc26603"/>
      <w:bookmarkStart w:id="317" w:name="_Toc31255"/>
      <w:bookmarkStart w:id="318" w:name="_Toc144974514"/>
      <w:bookmarkStart w:id="319" w:name="_Toc8312"/>
      <w:bookmarkStart w:id="320" w:name="_Toc2051"/>
      <w:bookmarkStart w:id="321" w:name="_Toc300834967"/>
      <w:bookmarkStart w:id="322" w:name="_Toc29199"/>
      <w:bookmarkStart w:id="323" w:name="_Toc28135"/>
      <w:bookmarkStart w:id="324" w:name="_Toc27286"/>
      <w:r>
        <w:rPr>
          <w:color w:val="auto"/>
          <w:highlight w:val="none"/>
        </w:rPr>
        <w:t xml:space="preserve">3. </w:t>
      </w:r>
      <w:r>
        <w:rPr>
          <w:rFonts w:hint="eastAsia"/>
          <w:color w:val="auto"/>
          <w:highlight w:val="none"/>
        </w:rPr>
        <w:t>投标文件</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pStyle w:val="5"/>
        <w:rPr>
          <w:color w:val="auto"/>
          <w:highlight w:val="none"/>
        </w:rPr>
      </w:pPr>
      <w:bookmarkStart w:id="325" w:name="_Toc16929"/>
      <w:bookmarkStart w:id="326" w:name="_Toc2343"/>
      <w:bookmarkStart w:id="327" w:name="_Toc300834968"/>
      <w:bookmarkStart w:id="328" w:name="_Toc4137"/>
      <w:bookmarkStart w:id="329" w:name="_Toc24076"/>
      <w:bookmarkStart w:id="330" w:name="_Toc494371533"/>
      <w:bookmarkStart w:id="331" w:name="_Toc152042323"/>
      <w:bookmarkStart w:id="332" w:name="_Toc21128"/>
      <w:bookmarkStart w:id="333" w:name="_Toc18809"/>
      <w:bookmarkStart w:id="334" w:name="_Toc26505"/>
      <w:bookmarkStart w:id="335" w:name="_Toc152045547"/>
      <w:bookmarkStart w:id="336" w:name="_Toc3199"/>
      <w:bookmarkStart w:id="337" w:name="_Toc10837"/>
      <w:bookmarkStart w:id="338" w:name="_Toc15668"/>
      <w:bookmarkStart w:id="339" w:name="_Toc247527572"/>
      <w:bookmarkStart w:id="340" w:name="_Toc247513971"/>
      <w:bookmarkStart w:id="341" w:name="_Toc144974515"/>
      <w:r>
        <w:rPr>
          <w:rFonts w:ascii="Times New Roman" w:hAnsi="Times New Roman"/>
          <w:color w:val="auto"/>
          <w:highlight w:val="none"/>
        </w:rPr>
        <w:t>3.1</w:t>
      </w:r>
      <w:r>
        <w:rPr>
          <w:color w:val="auto"/>
          <w:highlight w:val="none"/>
        </w:rPr>
        <w:t xml:space="preserve"> 投标文件的组成</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spacing w:line="400" w:lineRule="exact"/>
        <w:ind w:firstLine="420" w:firstLineChars="200"/>
        <w:rPr>
          <w:color w:val="auto"/>
          <w:highlight w:val="none"/>
        </w:rPr>
      </w:pPr>
      <w:r>
        <w:rPr>
          <w:rFonts w:hint="eastAsia"/>
          <w:color w:val="auto"/>
          <w:highlight w:val="none"/>
        </w:rPr>
        <w:t>详见本招标文件第七章“投标文件格式”。</w:t>
      </w:r>
    </w:p>
    <w:p>
      <w:pPr>
        <w:pStyle w:val="5"/>
        <w:rPr>
          <w:color w:val="auto"/>
          <w:highlight w:val="none"/>
        </w:rPr>
      </w:pPr>
      <w:bookmarkStart w:id="342" w:name="_Toc16226"/>
      <w:bookmarkStart w:id="343" w:name="_Toc18309"/>
      <w:bookmarkStart w:id="344" w:name="_Toc152045548"/>
      <w:bookmarkStart w:id="345" w:name="_Toc31604"/>
      <w:bookmarkStart w:id="346" w:name="_Toc23649"/>
      <w:bookmarkStart w:id="347" w:name="_Toc247513972"/>
      <w:bookmarkStart w:id="348" w:name="_Toc152042324"/>
      <w:bookmarkStart w:id="349" w:name="_Toc247527573"/>
      <w:bookmarkStart w:id="350" w:name="_Toc144974516"/>
      <w:bookmarkStart w:id="351" w:name="_Toc7389"/>
      <w:bookmarkStart w:id="352" w:name="_Toc27324"/>
      <w:bookmarkStart w:id="353" w:name="_Toc30945"/>
      <w:bookmarkStart w:id="354" w:name="_Toc300834969"/>
      <w:bookmarkStart w:id="355" w:name="_Toc18850"/>
      <w:bookmarkStart w:id="356" w:name="_Toc494371534"/>
      <w:bookmarkStart w:id="357" w:name="_Toc32538"/>
      <w:bookmarkStart w:id="358" w:name="_Toc1905"/>
      <w:r>
        <w:rPr>
          <w:rFonts w:ascii="Times New Roman" w:hAnsi="Times New Roman"/>
          <w:color w:val="auto"/>
          <w:highlight w:val="none"/>
        </w:rPr>
        <w:t>3.2</w:t>
      </w:r>
      <w:r>
        <w:rPr>
          <w:color w:val="auto"/>
          <w:highlight w:val="none"/>
        </w:rPr>
        <w:t xml:space="preserve"> 投标报价</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spacing w:line="400" w:lineRule="exact"/>
        <w:ind w:firstLine="420" w:firstLineChars="200"/>
        <w:rPr>
          <w:color w:val="auto"/>
          <w:highlight w:val="none"/>
        </w:rPr>
      </w:pPr>
      <w:r>
        <w:rPr>
          <w:color w:val="auto"/>
          <w:highlight w:val="none"/>
        </w:rPr>
        <w:t xml:space="preserve">3.2.1 </w:t>
      </w:r>
      <w:r>
        <w:rPr>
          <w:rFonts w:hint="eastAsia"/>
          <w:color w:val="auto"/>
          <w:highlight w:val="none"/>
        </w:rPr>
        <w:t>本工程的投标报价采用投标须知前附表第10款所规定的方式。</w:t>
      </w:r>
    </w:p>
    <w:p>
      <w:pPr>
        <w:spacing w:line="440" w:lineRule="exact"/>
        <w:ind w:firstLine="420" w:firstLineChars="200"/>
        <w:rPr>
          <w:color w:val="auto"/>
          <w:szCs w:val="21"/>
          <w:highlight w:val="none"/>
        </w:rPr>
      </w:pPr>
      <w:r>
        <w:rPr>
          <w:color w:val="auto"/>
          <w:highlight w:val="none"/>
        </w:rPr>
        <w:t xml:space="preserve">3.2.2 </w:t>
      </w:r>
      <w:r>
        <w:rPr>
          <w:rFonts w:hint="eastAsia"/>
          <w:color w:val="auto"/>
          <w:szCs w:val="21"/>
          <w:highlight w:val="none"/>
        </w:rPr>
        <w:t>投标人应充分了解施工场地的位置、周边环境、道路、装卸、保管、安装限制以及影响投标报价的其他要素。投标人根据投标设计，结合市场情况进行投标报价。</w:t>
      </w:r>
    </w:p>
    <w:p>
      <w:pPr>
        <w:spacing w:line="400" w:lineRule="exact"/>
        <w:ind w:firstLine="420" w:firstLineChars="200"/>
        <w:rPr>
          <w:color w:val="auto"/>
          <w:highlight w:val="none"/>
        </w:rPr>
      </w:pPr>
      <w:r>
        <w:rPr>
          <w:color w:val="auto"/>
          <w:highlight w:val="none"/>
        </w:rPr>
        <w:t xml:space="preserve">3.2.3 </w:t>
      </w:r>
      <w:r>
        <w:rPr>
          <w:rFonts w:hint="eastAsia"/>
          <w:color w:val="auto"/>
          <w:highlight w:val="none"/>
        </w:rPr>
        <w:t>招标人设有最高投标限价的，投标人的投标报价不得超过最高投标限价。</w:t>
      </w:r>
    </w:p>
    <w:p>
      <w:pPr>
        <w:spacing w:line="400" w:lineRule="exact"/>
        <w:ind w:firstLine="420" w:firstLineChars="200"/>
        <w:rPr>
          <w:color w:val="auto"/>
          <w:highlight w:val="none"/>
        </w:rPr>
      </w:pPr>
      <w:r>
        <w:rPr>
          <w:color w:val="auto"/>
          <w:highlight w:val="none"/>
        </w:rPr>
        <w:t xml:space="preserve">3.2.4 </w:t>
      </w:r>
      <w:r>
        <w:rPr>
          <w:rFonts w:hint="eastAsia"/>
          <w:color w:val="auto"/>
          <w:highlight w:val="none"/>
        </w:rPr>
        <w:t>投标报价的其他要求见投标人须知前附表。</w:t>
      </w:r>
    </w:p>
    <w:p>
      <w:pPr>
        <w:pStyle w:val="5"/>
        <w:rPr>
          <w:color w:val="auto"/>
          <w:highlight w:val="none"/>
        </w:rPr>
      </w:pPr>
      <w:bookmarkStart w:id="359" w:name="_Toc300834970"/>
      <w:bookmarkStart w:id="360" w:name="_Toc25744"/>
      <w:bookmarkStart w:id="361" w:name="_Toc15196"/>
      <w:bookmarkStart w:id="362" w:name="_Toc3740"/>
      <w:bookmarkStart w:id="363" w:name="_Toc144974517"/>
      <w:bookmarkStart w:id="364" w:name="_Toc247527574"/>
      <w:bookmarkStart w:id="365" w:name="_Toc152045549"/>
      <w:bookmarkStart w:id="366" w:name="_Toc247513973"/>
      <w:bookmarkStart w:id="367" w:name="_Toc32500"/>
      <w:bookmarkStart w:id="368" w:name="_Toc1581"/>
      <w:bookmarkStart w:id="369" w:name="_Toc1280"/>
      <w:bookmarkStart w:id="370" w:name="_Toc29718"/>
      <w:bookmarkStart w:id="371" w:name="_Toc152042325"/>
      <w:bookmarkStart w:id="372" w:name="_Toc25305"/>
      <w:bookmarkStart w:id="373" w:name="_Toc5732"/>
      <w:bookmarkStart w:id="374" w:name="_Toc22353"/>
      <w:bookmarkStart w:id="375" w:name="_Toc494371535"/>
      <w:r>
        <w:rPr>
          <w:rFonts w:ascii="Times New Roman" w:hAnsi="Times New Roman"/>
          <w:color w:val="auto"/>
          <w:highlight w:val="none"/>
        </w:rPr>
        <w:t>3.3</w:t>
      </w:r>
      <w:r>
        <w:rPr>
          <w:color w:val="auto"/>
          <w:highlight w:val="none"/>
        </w:rPr>
        <w:t xml:space="preserve"> 投标有效期</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spacing w:line="400" w:lineRule="exact"/>
        <w:ind w:firstLine="420" w:firstLineChars="200"/>
        <w:rPr>
          <w:color w:val="auto"/>
          <w:highlight w:val="none"/>
        </w:rPr>
      </w:pPr>
      <w:r>
        <w:rPr>
          <w:color w:val="auto"/>
          <w:highlight w:val="none"/>
        </w:rPr>
        <w:t xml:space="preserve">3.3.1 </w:t>
      </w:r>
      <w:r>
        <w:rPr>
          <w:rFonts w:hint="eastAsia"/>
          <w:color w:val="auto"/>
          <w:highlight w:val="none"/>
        </w:rPr>
        <w:t>投标有效期按须知前附表的规定。</w:t>
      </w:r>
    </w:p>
    <w:p>
      <w:pPr>
        <w:spacing w:line="400" w:lineRule="exact"/>
        <w:ind w:firstLine="420" w:firstLineChars="200"/>
        <w:rPr>
          <w:color w:val="auto"/>
          <w:highlight w:val="none"/>
        </w:rPr>
      </w:pPr>
      <w:r>
        <w:rPr>
          <w:color w:val="auto"/>
          <w:highlight w:val="none"/>
        </w:rPr>
        <w:t xml:space="preserve">3.3.2 </w:t>
      </w:r>
      <w:r>
        <w:rPr>
          <w:rFonts w:hint="eastAsia"/>
          <w:color w:val="auto"/>
          <w:highlight w:val="none"/>
        </w:rPr>
        <w:t>在投标有效期内，投标人撤销或修改其投标文件的，应承担招标文件和法律规定的责任。</w:t>
      </w:r>
    </w:p>
    <w:p>
      <w:pPr>
        <w:spacing w:line="400" w:lineRule="exact"/>
        <w:ind w:firstLine="420" w:firstLineChars="200"/>
        <w:rPr>
          <w:color w:val="auto"/>
          <w:highlight w:val="none"/>
        </w:rPr>
      </w:pPr>
      <w:r>
        <w:rPr>
          <w:color w:val="auto"/>
          <w:highlight w:val="none"/>
        </w:rPr>
        <w:t xml:space="preserve">3.3.3 </w:t>
      </w:r>
      <w:r>
        <w:rPr>
          <w:rFonts w:hint="eastAsia"/>
          <w:color w:val="auto"/>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rPr>
          <w:color w:val="auto"/>
          <w:highlight w:val="none"/>
        </w:rPr>
      </w:pPr>
      <w:bookmarkStart w:id="376" w:name="_Toc300834971"/>
      <w:bookmarkStart w:id="377" w:name="_Toc204"/>
      <w:bookmarkStart w:id="378" w:name="_Toc24047"/>
      <w:bookmarkStart w:id="379" w:name="_Toc152042326"/>
      <w:bookmarkStart w:id="380" w:name="_Toc13372"/>
      <w:bookmarkStart w:id="381" w:name="_Toc247513974"/>
      <w:bookmarkStart w:id="382" w:name="_Toc3863"/>
      <w:bookmarkStart w:id="383" w:name="_Toc152045550"/>
      <w:bookmarkStart w:id="384" w:name="_Toc3081"/>
      <w:bookmarkStart w:id="385" w:name="_Toc28467"/>
      <w:bookmarkStart w:id="386" w:name="_Toc25607"/>
      <w:bookmarkStart w:id="387" w:name="_Toc144974518"/>
      <w:bookmarkStart w:id="388" w:name="_Toc247527575"/>
      <w:bookmarkStart w:id="389" w:name="_Toc31983"/>
      <w:bookmarkStart w:id="390" w:name="_Toc28691"/>
      <w:bookmarkStart w:id="391" w:name="_Toc494371536"/>
      <w:bookmarkStart w:id="392" w:name="_Toc31972"/>
      <w:r>
        <w:rPr>
          <w:rFonts w:ascii="Times New Roman" w:hAnsi="Times New Roman"/>
          <w:color w:val="auto"/>
          <w:highlight w:val="none"/>
        </w:rPr>
        <w:t>3.4</w:t>
      </w:r>
      <w:r>
        <w:rPr>
          <w:color w:val="auto"/>
          <w:highlight w:val="none"/>
        </w:rPr>
        <w:t xml:space="preserve"> 投标保证金</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spacing w:line="400" w:lineRule="exact"/>
        <w:ind w:firstLine="420" w:firstLineChars="200"/>
        <w:rPr>
          <w:color w:val="auto"/>
          <w:highlight w:val="none"/>
        </w:rPr>
      </w:pPr>
      <w:r>
        <w:rPr>
          <w:color w:val="auto"/>
          <w:highlight w:val="none"/>
        </w:rPr>
        <w:t xml:space="preserve">3.4.1 </w:t>
      </w:r>
      <w:r>
        <w:rPr>
          <w:rFonts w:hint="eastAsia"/>
          <w:color w:val="auto"/>
          <w:highlight w:val="none"/>
        </w:rPr>
        <w:t>投标人须在开标前按投标人须知前附表规定的金额、担保形式递交投标保证金。联合体投标的，其投标保证金由主办方递交，并应符合投标人须知前附表的规定。</w:t>
      </w:r>
    </w:p>
    <w:p>
      <w:pPr>
        <w:spacing w:line="400" w:lineRule="exact"/>
        <w:ind w:firstLine="420" w:firstLineChars="200"/>
        <w:rPr>
          <w:color w:val="auto"/>
          <w:highlight w:val="none"/>
        </w:rPr>
      </w:pPr>
      <w:r>
        <w:rPr>
          <w:color w:val="auto"/>
          <w:highlight w:val="none"/>
        </w:rPr>
        <w:t>3.4.</w:t>
      </w:r>
      <w:r>
        <w:rPr>
          <w:rFonts w:hint="eastAsia"/>
          <w:color w:val="auto"/>
          <w:highlight w:val="none"/>
        </w:rPr>
        <w:t>2有下列情形之一的，投标保证金将不予退还：</w:t>
      </w:r>
    </w:p>
    <w:p>
      <w:pPr>
        <w:spacing w:line="400" w:lineRule="exact"/>
        <w:ind w:firstLine="315" w:firstLineChars="150"/>
        <w:rPr>
          <w:color w:val="auto"/>
          <w:highlight w:val="none"/>
        </w:rPr>
      </w:pPr>
      <w:r>
        <w:rPr>
          <w:rFonts w:hint="eastAsia"/>
          <w:color w:val="auto"/>
          <w:highlight w:val="none"/>
        </w:rPr>
        <w:t>（</w:t>
      </w:r>
      <w:r>
        <w:rPr>
          <w:color w:val="auto"/>
          <w:highlight w:val="none"/>
        </w:rPr>
        <w:t>1</w:t>
      </w:r>
      <w:r>
        <w:rPr>
          <w:rFonts w:hint="eastAsia"/>
          <w:color w:val="auto"/>
          <w:highlight w:val="none"/>
        </w:rPr>
        <w:t>）投标人在投标有效期内撤回投标标书；</w:t>
      </w:r>
    </w:p>
    <w:p>
      <w:pPr>
        <w:spacing w:line="400" w:lineRule="exact"/>
        <w:ind w:firstLine="315" w:firstLineChars="150"/>
        <w:rPr>
          <w:color w:val="auto"/>
          <w:highlight w:val="none"/>
        </w:rPr>
      </w:pPr>
      <w:r>
        <w:rPr>
          <w:rFonts w:hint="eastAsia"/>
          <w:color w:val="auto"/>
          <w:highlight w:val="none"/>
        </w:rPr>
        <w:t>（</w:t>
      </w:r>
      <w:r>
        <w:rPr>
          <w:color w:val="auto"/>
          <w:highlight w:val="none"/>
        </w:rPr>
        <w:t>2</w:t>
      </w:r>
      <w:r>
        <w:rPr>
          <w:rFonts w:hint="eastAsia"/>
          <w:color w:val="auto"/>
          <w:highlight w:val="none"/>
        </w:rPr>
        <w:t>）中标人未在规定期限内按要求递交履约担保；</w:t>
      </w:r>
    </w:p>
    <w:p>
      <w:pPr>
        <w:spacing w:line="400" w:lineRule="exact"/>
        <w:ind w:firstLine="315" w:firstLineChars="150"/>
        <w:rPr>
          <w:color w:val="auto"/>
          <w:highlight w:val="none"/>
        </w:rPr>
      </w:pPr>
      <w:r>
        <w:rPr>
          <w:rFonts w:hint="eastAsia"/>
          <w:color w:val="auto"/>
          <w:highlight w:val="none"/>
        </w:rPr>
        <w:t>（</w:t>
      </w:r>
      <w:r>
        <w:rPr>
          <w:color w:val="auto"/>
          <w:highlight w:val="none"/>
        </w:rPr>
        <w:t>3</w:t>
      </w:r>
      <w:r>
        <w:rPr>
          <w:rFonts w:hint="eastAsia"/>
          <w:color w:val="auto"/>
          <w:highlight w:val="none"/>
        </w:rPr>
        <w:t>）中标人未在规定期限内签署合同协议。</w:t>
      </w:r>
    </w:p>
    <w:p>
      <w:pPr>
        <w:spacing w:line="400" w:lineRule="exact"/>
        <w:ind w:firstLine="315" w:firstLineChars="150"/>
        <w:rPr>
          <w:color w:val="auto"/>
          <w:highlight w:val="none"/>
        </w:rPr>
      </w:pPr>
      <w:r>
        <w:rPr>
          <w:rFonts w:hint="eastAsia"/>
          <w:color w:val="auto"/>
          <w:highlight w:val="none"/>
        </w:rPr>
        <w:t>（</w:t>
      </w:r>
      <w:r>
        <w:rPr>
          <w:color w:val="auto"/>
          <w:highlight w:val="none"/>
        </w:rPr>
        <w:t>4</w:t>
      </w:r>
      <w:r>
        <w:rPr>
          <w:rFonts w:hint="eastAsia"/>
          <w:color w:val="auto"/>
          <w:highlight w:val="none"/>
        </w:rPr>
        <w:t>）投标人在本项目投标过程中有违法违规行为的。</w:t>
      </w:r>
    </w:p>
    <w:p>
      <w:pPr>
        <w:pStyle w:val="5"/>
        <w:rPr>
          <w:color w:val="auto"/>
          <w:highlight w:val="none"/>
        </w:rPr>
      </w:pPr>
      <w:bookmarkStart w:id="393" w:name="_Toc8480"/>
      <w:bookmarkStart w:id="394" w:name="_Toc5908"/>
      <w:bookmarkStart w:id="395" w:name="_Toc247527577"/>
      <w:bookmarkStart w:id="396" w:name="_Toc144974520"/>
      <w:bookmarkStart w:id="397" w:name="_Toc26931"/>
      <w:bookmarkStart w:id="398" w:name="_Toc24365"/>
      <w:bookmarkStart w:id="399" w:name="_Toc29993"/>
      <w:bookmarkStart w:id="400" w:name="_Toc152042328"/>
      <w:bookmarkStart w:id="401" w:name="_Toc955"/>
      <w:bookmarkStart w:id="402" w:name="_Toc30108"/>
      <w:bookmarkStart w:id="403" w:name="_Toc28635"/>
      <w:bookmarkStart w:id="404" w:name="_Toc300834973"/>
      <w:bookmarkStart w:id="405" w:name="_Toc152045552"/>
      <w:bookmarkStart w:id="406" w:name="_Toc247513976"/>
      <w:bookmarkStart w:id="407" w:name="_Toc11498"/>
      <w:bookmarkStart w:id="408" w:name="_Toc5946"/>
      <w:bookmarkStart w:id="409" w:name="_Toc494371537"/>
      <w:r>
        <w:rPr>
          <w:rFonts w:ascii="Times New Roman" w:hAnsi="Times New Roman"/>
          <w:color w:val="auto"/>
          <w:highlight w:val="none"/>
        </w:rPr>
        <w:t>3.5</w:t>
      </w:r>
      <w:r>
        <w:rPr>
          <w:color w:val="auto"/>
          <w:highlight w:val="none"/>
        </w:rPr>
        <w:t xml:space="preserve"> 资格审查资料</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shd w:val="clear" w:color="auto" w:fill="FFFFFF"/>
        </w:rPr>
        <w:t>本项目采用非电子化资格后审，由评标委员会负责对投标人的资格进行审查，</w:t>
      </w:r>
      <w:r>
        <w:rPr>
          <w:rFonts w:hint="eastAsia" w:ascii="宋体" w:hAnsi="宋体"/>
          <w:color w:val="auto"/>
          <w:szCs w:val="21"/>
          <w:highlight w:val="none"/>
        </w:rPr>
        <w:t>评标时只对通过资格审查的投标人进行下一阶段的评审。</w:t>
      </w:r>
    </w:p>
    <w:p>
      <w:pPr>
        <w:pStyle w:val="5"/>
        <w:rPr>
          <w:rFonts w:ascii="Times New Roman" w:hAnsi="Times New Roman"/>
          <w:color w:val="auto"/>
          <w:highlight w:val="none"/>
        </w:rPr>
      </w:pPr>
      <w:bookmarkStart w:id="410" w:name="_Toc247513977"/>
      <w:bookmarkStart w:id="411" w:name="_Toc152042329"/>
      <w:bookmarkStart w:id="412" w:name="_Toc300834974"/>
      <w:bookmarkStart w:id="413" w:name="_Toc152045553"/>
      <w:bookmarkStart w:id="414" w:name="_Toc247527578"/>
      <w:bookmarkStart w:id="415" w:name="_Toc144974521"/>
      <w:r>
        <w:rPr>
          <w:rFonts w:hint="eastAsia" w:ascii="Times New Roman" w:hAnsi="Times New Roman"/>
          <w:color w:val="auto"/>
          <w:highlight w:val="none"/>
        </w:rPr>
        <w:t>3.6 备选投标方案</w:t>
      </w:r>
      <w:bookmarkEnd w:id="410"/>
      <w:bookmarkEnd w:id="411"/>
      <w:bookmarkEnd w:id="412"/>
      <w:bookmarkEnd w:id="413"/>
      <w:bookmarkEnd w:id="414"/>
      <w:bookmarkEnd w:id="415"/>
    </w:p>
    <w:p>
      <w:pPr>
        <w:spacing w:line="360" w:lineRule="auto"/>
        <w:ind w:firstLine="420" w:firstLineChars="200"/>
        <w:rPr>
          <w:strike/>
          <w:color w:val="auto"/>
          <w:highlight w:val="none"/>
        </w:rPr>
      </w:pPr>
      <w:r>
        <w:rPr>
          <w:rFonts w:hint="eastAsia"/>
          <w:color w:val="auto"/>
          <w:highlight w:val="none"/>
        </w:rPr>
        <w:t>除投标人须知前附表另有规定外，投标人不得递交备选投标方案。</w:t>
      </w:r>
    </w:p>
    <w:p>
      <w:pPr>
        <w:pStyle w:val="5"/>
        <w:rPr>
          <w:color w:val="auto"/>
          <w:highlight w:val="none"/>
        </w:rPr>
      </w:pPr>
      <w:bookmarkStart w:id="416" w:name="_Toc1992"/>
      <w:bookmarkStart w:id="417" w:name="_Toc1368"/>
      <w:bookmarkStart w:id="418" w:name="_Toc29948"/>
      <w:bookmarkStart w:id="419" w:name="_Toc6939"/>
      <w:bookmarkStart w:id="420" w:name="_Toc2595"/>
      <w:bookmarkStart w:id="421" w:name="_Toc247527579"/>
      <w:bookmarkStart w:id="422" w:name="_Toc300834975"/>
      <w:bookmarkStart w:id="423" w:name="_Toc4267"/>
      <w:bookmarkStart w:id="424" w:name="_Toc247513978"/>
      <w:bookmarkStart w:id="425" w:name="_Toc152045554"/>
      <w:bookmarkStart w:id="426" w:name="_Toc152042330"/>
      <w:bookmarkStart w:id="427" w:name="_Toc144974522"/>
      <w:bookmarkStart w:id="428" w:name="_Toc24511"/>
      <w:bookmarkStart w:id="429" w:name="_Toc12571"/>
      <w:bookmarkStart w:id="430" w:name="_Toc8230"/>
      <w:bookmarkStart w:id="431" w:name="_Toc32158"/>
      <w:bookmarkStart w:id="432" w:name="_Toc494371539"/>
      <w:r>
        <w:rPr>
          <w:rFonts w:ascii="Times New Roman" w:hAnsi="Times New Roman"/>
          <w:color w:val="auto"/>
          <w:highlight w:val="none"/>
        </w:rPr>
        <w:t>3.7</w:t>
      </w:r>
      <w:r>
        <w:rPr>
          <w:color w:val="auto"/>
          <w:highlight w:val="none"/>
        </w:rPr>
        <w:t xml:space="preserve"> 投标文件的编制</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400" w:lineRule="exact"/>
        <w:ind w:firstLine="420" w:firstLineChars="200"/>
        <w:rPr>
          <w:color w:val="auto"/>
          <w:highlight w:val="none"/>
        </w:rPr>
      </w:pPr>
      <w:r>
        <w:rPr>
          <w:color w:val="auto"/>
          <w:highlight w:val="none"/>
        </w:rPr>
        <w:t xml:space="preserve">3.7.1 </w:t>
      </w:r>
      <w:r>
        <w:rPr>
          <w:rFonts w:hint="eastAsia"/>
          <w:color w:val="auto"/>
          <w:highlight w:val="none"/>
        </w:rPr>
        <w:t>投标文件应按“投标文件格式”进行编写，如有必要，可以增加附页，作为投标文件的组成部分。其中，投标函附录在满足招标文件实质性要求的基础上，可以提出比招标文件要求更有利于招标人的承诺。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color w:val="auto"/>
          <w:szCs w:val="21"/>
          <w:highlight w:val="none"/>
        </w:rPr>
      </w:pPr>
      <w:r>
        <w:rPr>
          <w:color w:val="auto"/>
          <w:highlight w:val="none"/>
        </w:rPr>
        <w:t xml:space="preserve">3.7.2 </w:t>
      </w:r>
      <w:r>
        <w:rPr>
          <w:rFonts w:hint="eastAsia"/>
          <w:color w:val="auto"/>
          <w:highlight w:val="none"/>
        </w:rPr>
        <w:t>投标文件应当对招标文件有关</w:t>
      </w:r>
      <w:r>
        <w:rPr>
          <w:rFonts w:hint="eastAsia"/>
          <w:color w:val="auto"/>
          <w:szCs w:val="21"/>
          <w:highlight w:val="none"/>
        </w:rPr>
        <w:t>招标范围、投标有效期、工期、质量标准、发包人要求等实质性内容作出响应。</w:t>
      </w:r>
    </w:p>
    <w:p>
      <w:pPr>
        <w:spacing w:line="400" w:lineRule="exact"/>
        <w:ind w:firstLine="420" w:firstLineChars="200"/>
        <w:rPr>
          <w:color w:val="auto"/>
          <w:highlight w:val="none"/>
        </w:rPr>
      </w:pPr>
      <w:r>
        <w:rPr>
          <w:color w:val="auto"/>
          <w:highlight w:val="none"/>
        </w:rPr>
        <w:t xml:space="preserve">3.7.3 </w:t>
      </w:r>
      <w:r>
        <w:rPr>
          <w:rFonts w:hint="eastAsia"/>
          <w:color w:val="auto"/>
          <w:highlight w:val="none"/>
        </w:rPr>
        <w:t>投标文件编制要求：</w:t>
      </w:r>
    </w:p>
    <w:p>
      <w:pPr>
        <w:spacing w:line="400" w:lineRule="exact"/>
        <w:ind w:firstLine="420" w:firstLineChars="200"/>
        <w:rPr>
          <w:rFonts w:ascii="宋体" w:hAnsi="宋体"/>
          <w:color w:val="auto"/>
          <w:highlight w:val="none"/>
        </w:rPr>
      </w:pPr>
      <w:r>
        <w:rPr>
          <w:rFonts w:hint="eastAsia" w:ascii="宋体" w:hAnsi="宋体"/>
          <w:color w:val="auto"/>
          <w:highlight w:val="none"/>
        </w:rPr>
        <w:t>（1）投标文件正本壹份，副本份数见投标人须知前附表。正本和副本的封面上应清楚地标记“正本”或“副本”的字样。当副本和正本不一致时，以正本为准。副本可为是正本签字盖章后的复印件。</w:t>
      </w:r>
    </w:p>
    <w:p>
      <w:pPr>
        <w:spacing w:line="400" w:lineRule="exact"/>
        <w:ind w:firstLine="420" w:firstLineChars="200"/>
        <w:rPr>
          <w:rFonts w:ascii="宋体" w:hAnsi="宋体"/>
          <w:color w:val="auto"/>
          <w:highlight w:val="none"/>
        </w:rPr>
      </w:pPr>
      <w:r>
        <w:rPr>
          <w:rFonts w:hint="eastAsia" w:ascii="宋体" w:hAnsi="宋体"/>
          <w:color w:val="auto"/>
          <w:highlight w:val="none"/>
        </w:rPr>
        <w:t>（2）投标文件的正本与副本应分别装订成册，</w:t>
      </w:r>
      <w:r>
        <w:rPr>
          <w:rFonts w:hint="eastAsia" w:ascii="宋体" w:hAnsi="宋体"/>
          <w:color w:val="auto"/>
          <w:szCs w:val="21"/>
          <w:highlight w:val="none"/>
        </w:rPr>
        <w:t>各册独立装订的投标文件均采用不易松散的书式装订</w:t>
      </w:r>
      <w:r>
        <w:rPr>
          <w:rFonts w:hint="eastAsia" w:ascii="宋体" w:hAnsi="宋体"/>
          <w:color w:val="auto"/>
          <w:highlight w:val="none"/>
        </w:rPr>
        <w:t>。</w:t>
      </w:r>
    </w:p>
    <w:p>
      <w:pPr>
        <w:spacing w:line="400" w:lineRule="exact"/>
        <w:ind w:firstLine="420" w:firstLineChars="200"/>
        <w:rPr>
          <w:rFonts w:ascii="宋体" w:hAnsi="宋体"/>
          <w:color w:val="auto"/>
          <w:highlight w:val="none"/>
        </w:rPr>
      </w:pPr>
      <w:r>
        <w:rPr>
          <w:rFonts w:hint="eastAsia" w:ascii="宋体" w:hAnsi="宋体"/>
          <w:color w:val="auto"/>
          <w:highlight w:val="none"/>
        </w:rPr>
        <w:t>（3）投标文件的规格：资格审查文件、工程总承包实施方案（含资信部分）文件、投标报价文件统一</w:t>
      </w:r>
      <w:r>
        <w:rPr>
          <w:rFonts w:ascii="宋体" w:hAnsi="宋体"/>
          <w:color w:val="auto"/>
          <w:highlight w:val="none"/>
        </w:rPr>
        <w:t>A4</w:t>
      </w:r>
      <w:r>
        <w:rPr>
          <w:rFonts w:hint="eastAsia" w:ascii="宋体" w:hAnsi="宋体"/>
          <w:color w:val="auto"/>
          <w:highlight w:val="none"/>
        </w:rPr>
        <w:t>印刷本，纸质封面，封面</w:t>
      </w:r>
      <w:r>
        <w:rPr>
          <w:rFonts w:hint="eastAsia" w:ascii="宋体" w:hAnsi="宋体"/>
          <w:color w:val="auto"/>
          <w:szCs w:val="21"/>
          <w:highlight w:val="none"/>
        </w:rPr>
        <w:t>格式见第七章</w:t>
      </w:r>
      <w:r>
        <w:rPr>
          <w:rFonts w:ascii="宋体" w:hAnsi="宋体"/>
          <w:color w:val="auto"/>
          <w:highlight w:val="none"/>
        </w:rPr>
        <w:t>,</w:t>
      </w:r>
      <w:r>
        <w:rPr>
          <w:rFonts w:hint="eastAsia" w:ascii="宋体" w:hAnsi="宋体"/>
          <w:color w:val="auto"/>
          <w:highlight w:val="none"/>
        </w:rPr>
        <w:t>使用书式装订。</w:t>
      </w:r>
    </w:p>
    <w:p>
      <w:pPr>
        <w:spacing w:line="400" w:lineRule="exact"/>
        <w:ind w:firstLine="420" w:firstLineChars="200"/>
        <w:rPr>
          <w:rFonts w:ascii="宋体" w:hAnsi="宋体"/>
          <w:color w:val="auto"/>
          <w:highlight w:val="none"/>
        </w:rPr>
      </w:pPr>
      <w:r>
        <w:rPr>
          <w:rFonts w:ascii="宋体" w:hAnsi="宋体"/>
          <w:color w:val="auto"/>
          <w:highlight w:val="none"/>
        </w:rPr>
        <w:t xml:space="preserve">3.7.4 </w:t>
      </w:r>
      <w:r>
        <w:rPr>
          <w:rFonts w:hint="eastAsia" w:ascii="宋体" w:hAnsi="宋体"/>
          <w:color w:val="auto"/>
          <w:highlight w:val="none"/>
        </w:rPr>
        <w:t>投标文件份数：按须知前附表的规定。</w:t>
      </w:r>
    </w:p>
    <w:p>
      <w:pPr>
        <w:spacing w:line="400" w:lineRule="exact"/>
        <w:ind w:firstLine="422" w:firstLineChars="200"/>
        <w:rPr>
          <w:b/>
          <w:bCs/>
          <w:color w:val="auto"/>
          <w:highlight w:val="none"/>
          <w:u w:val="single"/>
        </w:rPr>
      </w:pPr>
      <w:r>
        <w:rPr>
          <w:rFonts w:ascii="宋体" w:hAnsi="宋体"/>
          <w:b/>
          <w:bCs/>
          <w:color w:val="auto"/>
          <w:highlight w:val="none"/>
        </w:rPr>
        <w:t>3.7.5</w:t>
      </w:r>
      <w:r>
        <w:rPr>
          <w:rFonts w:hint="eastAsia" w:ascii="宋体" w:hAnsi="宋体"/>
          <w:b/>
          <w:bCs/>
          <w:color w:val="auto"/>
          <w:highlight w:val="none"/>
        </w:rPr>
        <w:t>联合体投标时，除联合体工作协议必须联合体各方分别按要求进行签字或盖章外，其他资料若需要签字或盖章的均可联由合体主办方签字或盖章；投标资料封面及其他内容及落款中的“投标人或投标单位”应填写联合体各方的单位全称【格式示例为：(主)XXXX公司(成)XXXX公司,XXXX公司】，由联合体主办方签字或盖章即可。</w:t>
      </w:r>
    </w:p>
    <w:p>
      <w:pPr>
        <w:pStyle w:val="4"/>
        <w:rPr>
          <w:color w:val="auto"/>
          <w:highlight w:val="none"/>
        </w:rPr>
      </w:pPr>
      <w:bookmarkStart w:id="433" w:name="_Toc144974523"/>
      <w:bookmarkStart w:id="434" w:name="_Toc9443"/>
      <w:bookmarkStart w:id="435" w:name="_Toc24355"/>
      <w:bookmarkStart w:id="436" w:name="_Toc28527"/>
      <w:bookmarkStart w:id="437" w:name="_Toc247513979"/>
      <w:bookmarkStart w:id="438" w:name="_Toc11889"/>
      <w:bookmarkStart w:id="439" w:name="_Toc247527580"/>
      <w:bookmarkStart w:id="440" w:name="_Toc2578"/>
      <w:bookmarkStart w:id="441" w:name="_Toc24077"/>
      <w:bookmarkStart w:id="442" w:name="_Toc26855"/>
      <w:bookmarkStart w:id="443" w:name="_Toc16206"/>
      <w:bookmarkStart w:id="444" w:name="_Toc28992"/>
      <w:bookmarkStart w:id="445" w:name="_Toc10739"/>
      <w:bookmarkStart w:id="446" w:name="_Toc152042331"/>
      <w:bookmarkStart w:id="447" w:name="_Toc24913"/>
      <w:bookmarkStart w:id="448" w:name="_Toc494371540"/>
      <w:bookmarkStart w:id="449" w:name="_Toc21390"/>
      <w:bookmarkStart w:id="450" w:name="_Toc152045555"/>
      <w:bookmarkStart w:id="451" w:name="_Toc300834976"/>
      <w:r>
        <w:rPr>
          <w:color w:val="auto"/>
          <w:highlight w:val="none"/>
        </w:rPr>
        <w:t xml:space="preserve">4. </w:t>
      </w:r>
      <w:r>
        <w:rPr>
          <w:rFonts w:hint="eastAsia"/>
          <w:color w:val="auto"/>
          <w:highlight w:val="none"/>
        </w:rPr>
        <w:t>投标</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pStyle w:val="5"/>
        <w:spacing w:before="0" w:after="0" w:line="360" w:lineRule="auto"/>
        <w:rPr>
          <w:color w:val="auto"/>
          <w:highlight w:val="none"/>
        </w:rPr>
      </w:pPr>
      <w:bookmarkStart w:id="452" w:name="_Toc144974524"/>
      <w:bookmarkStart w:id="453" w:name="_Toc247513980"/>
      <w:bookmarkStart w:id="454" w:name="_Toc152042332"/>
      <w:bookmarkStart w:id="455" w:name="_Toc300834977"/>
      <w:bookmarkStart w:id="456" w:name="_Toc152045556"/>
      <w:bookmarkStart w:id="457" w:name="_Toc247527581"/>
      <w:bookmarkStart w:id="458" w:name="_Toc247527582"/>
      <w:bookmarkStart w:id="459" w:name="_Toc2556"/>
      <w:bookmarkStart w:id="460" w:name="_Toc247513981"/>
      <w:bookmarkStart w:id="461" w:name="_Toc20865"/>
      <w:bookmarkStart w:id="462" w:name="_Toc7700"/>
      <w:bookmarkStart w:id="463" w:name="_Toc300834978"/>
      <w:bookmarkStart w:id="464" w:name="_Toc17435"/>
      <w:bookmarkStart w:id="465" w:name="_Toc152045557"/>
      <w:bookmarkStart w:id="466" w:name="_Toc144974525"/>
      <w:bookmarkStart w:id="467" w:name="_Toc16217"/>
      <w:bookmarkStart w:id="468" w:name="_Toc152042333"/>
      <w:bookmarkStart w:id="469" w:name="_Toc17033"/>
      <w:r>
        <w:rPr>
          <w:rFonts w:hint="eastAsia" w:hAnsi="黑体" w:cs="黑体"/>
          <w:color w:val="auto"/>
          <w:highlight w:val="none"/>
        </w:rPr>
        <w:t>4.1 投标文件的密封和标记</w:t>
      </w:r>
      <w:bookmarkEnd w:id="452"/>
      <w:bookmarkEnd w:id="453"/>
      <w:bookmarkEnd w:id="454"/>
      <w:bookmarkEnd w:id="455"/>
      <w:bookmarkEnd w:id="456"/>
      <w:bookmarkEnd w:id="457"/>
    </w:p>
    <w:p>
      <w:pPr>
        <w:spacing w:line="400" w:lineRule="exact"/>
        <w:ind w:firstLine="420" w:firstLineChars="200"/>
        <w:rPr>
          <w:rFonts w:ascii="宋体" w:hAnsi="宋体"/>
          <w:color w:val="auto"/>
          <w:highlight w:val="none"/>
        </w:rPr>
      </w:pPr>
      <w:r>
        <w:rPr>
          <w:rFonts w:hint="eastAsia" w:ascii="宋体" w:hAnsi="宋体"/>
          <w:color w:val="auto"/>
          <w:highlight w:val="none"/>
        </w:rPr>
        <w:t>4.1.1 投标文件应进行包装、加贴封条，并在封套的封口处加盖投标人单位章。</w:t>
      </w:r>
    </w:p>
    <w:p>
      <w:pPr>
        <w:spacing w:line="400" w:lineRule="exact"/>
        <w:ind w:firstLine="420" w:firstLineChars="200"/>
        <w:rPr>
          <w:rFonts w:ascii="宋体" w:hAnsi="宋体"/>
          <w:color w:val="auto"/>
          <w:highlight w:val="none"/>
        </w:rPr>
      </w:pPr>
      <w:r>
        <w:rPr>
          <w:rFonts w:hint="eastAsia" w:ascii="宋体" w:hAnsi="宋体"/>
          <w:color w:val="auto"/>
          <w:highlight w:val="none"/>
        </w:rPr>
        <w:t>4.1.2 投标文件封套上应写明的内容见投标人须知前附表。</w:t>
      </w:r>
    </w:p>
    <w:p>
      <w:pPr>
        <w:spacing w:line="400" w:lineRule="exact"/>
        <w:ind w:firstLine="420" w:firstLineChars="200"/>
        <w:rPr>
          <w:rFonts w:ascii="宋体" w:hAnsi="宋体"/>
          <w:color w:val="auto"/>
          <w:highlight w:val="none"/>
        </w:rPr>
      </w:pPr>
      <w:r>
        <w:rPr>
          <w:rFonts w:hint="eastAsia" w:ascii="宋体" w:hAnsi="宋体"/>
          <w:color w:val="auto"/>
          <w:highlight w:val="none"/>
        </w:rPr>
        <w:t>4.1.3 未按本章第4.1.1项或第4.1.2项要求密封和加写标记的投标文件，招标人不予受理。</w:t>
      </w:r>
    </w:p>
    <w:p>
      <w:pPr>
        <w:pStyle w:val="5"/>
        <w:rPr>
          <w:rFonts w:ascii="Times New Roman" w:hAnsi="Times New Roman"/>
          <w:color w:val="auto"/>
          <w:highlight w:val="none"/>
        </w:rPr>
      </w:pPr>
      <w:r>
        <w:rPr>
          <w:rFonts w:ascii="Times New Roman" w:hAnsi="Times New Roman"/>
          <w:color w:val="auto"/>
          <w:highlight w:val="none"/>
        </w:rPr>
        <w:t xml:space="preserve">4.2 </w:t>
      </w:r>
      <w:r>
        <w:rPr>
          <w:rFonts w:hint="eastAsia" w:ascii="Times New Roman" w:hAnsi="Times New Roman"/>
          <w:color w:val="auto"/>
          <w:highlight w:val="none"/>
        </w:rPr>
        <w:t>投标文件的递交</w:t>
      </w:r>
      <w:bookmarkEnd w:id="458"/>
      <w:bookmarkEnd w:id="459"/>
      <w:bookmarkEnd w:id="460"/>
      <w:bookmarkEnd w:id="461"/>
      <w:bookmarkEnd w:id="462"/>
      <w:bookmarkEnd w:id="463"/>
      <w:bookmarkEnd w:id="464"/>
      <w:bookmarkEnd w:id="465"/>
      <w:bookmarkEnd w:id="466"/>
      <w:bookmarkEnd w:id="467"/>
      <w:bookmarkEnd w:id="468"/>
      <w:bookmarkEnd w:id="469"/>
    </w:p>
    <w:p>
      <w:pPr>
        <w:spacing w:line="400" w:lineRule="exact"/>
        <w:ind w:firstLine="420" w:firstLineChars="200"/>
        <w:rPr>
          <w:rFonts w:ascii="宋体" w:hAnsi="宋体"/>
          <w:color w:val="auto"/>
          <w:highlight w:val="none"/>
        </w:rPr>
      </w:pPr>
      <w:r>
        <w:rPr>
          <w:color w:val="auto"/>
          <w:highlight w:val="none"/>
        </w:rPr>
        <w:t xml:space="preserve">4.2.1 </w:t>
      </w:r>
      <w:r>
        <w:rPr>
          <w:rFonts w:hint="eastAsia" w:ascii="宋体" w:hAnsi="宋体"/>
          <w:color w:val="auto"/>
          <w:highlight w:val="none"/>
        </w:rPr>
        <w:t>投标人代表应按投标须知前附表所规定的时间和地点向招标人提交投标文件。</w:t>
      </w:r>
    </w:p>
    <w:p>
      <w:pPr>
        <w:spacing w:line="400" w:lineRule="exact"/>
        <w:ind w:firstLine="420" w:firstLineChars="200"/>
        <w:rPr>
          <w:rFonts w:ascii="宋体" w:hAnsi="宋体"/>
          <w:color w:val="auto"/>
          <w:highlight w:val="none"/>
        </w:rPr>
      </w:pPr>
      <w:r>
        <w:rPr>
          <w:rFonts w:hint="eastAsia" w:ascii="宋体" w:hAnsi="宋体"/>
          <w:color w:val="auto"/>
          <w:highlight w:val="none"/>
        </w:rPr>
        <w:t>投标人代表应由投标人法定代表人或法定代表人书面授权的委托代理人担任。法定代表人应凭本人身份证和法定代表人证明书原件</w:t>
      </w:r>
      <w:r>
        <w:rPr>
          <w:rFonts w:hint="eastAsia" w:ascii="宋体" w:hAnsi="宋体"/>
          <w:bCs/>
          <w:color w:val="auto"/>
          <w:highlight w:val="none"/>
        </w:rPr>
        <w:t>提交</w:t>
      </w:r>
      <w:r>
        <w:rPr>
          <w:rFonts w:hint="eastAsia" w:ascii="宋体" w:hAnsi="宋体"/>
          <w:color w:val="auto"/>
          <w:highlight w:val="none"/>
        </w:rPr>
        <w:t>投标文件。委托代理人应凭本人身份证、法定代表人证明书原件和法定代表人授权委托证明书原件</w:t>
      </w:r>
      <w:r>
        <w:rPr>
          <w:rFonts w:hint="eastAsia" w:ascii="宋体" w:hAnsi="宋体"/>
          <w:bCs/>
          <w:color w:val="auto"/>
          <w:highlight w:val="none"/>
        </w:rPr>
        <w:t>提交</w:t>
      </w:r>
      <w:r>
        <w:rPr>
          <w:rFonts w:hint="eastAsia" w:ascii="宋体" w:hAnsi="宋体"/>
          <w:color w:val="auto"/>
          <w:highlight w:val="none"/>
        </w:rPr>
        <w:t>投标文件。</w:t>
      </w:r>
    </w:p>
    <w:p>
      <w:pPr>
        <w:spacing w:line="400" w:lineRule="exact"/>
        <w:ind w:firstLine="420" w:firstLineChars="200"/>
        <w:rPr>
          <w:color w:val="auto"/>
          <w:highlight w:val="none"/>
        </w:rPr>
      </w:pPr>
      <w:r>
        <w:rPr>
          <w:color w:val="auto"/>
          <w:highlight w:val="none"/>
        </w:rPr>
        <w:t xml:space="preserve">4.2.2 </w:t>
      </w:r>
      <w:r>
        <w:rPr>
          <w:rFonts w:hint="eastAsia"/>
          <w:color w:val="auto"/>
          <w:highlight w:val="none"/>
        </w:rPr>
        <w:t>投标人递交投标文件的地点：见投标人须知前附表。</w:t>
      </w:r>
    </w:p>
    <w:p>
      <w:pPr>
        <w:spacing w:line="400" w:lineRule="exact"/>
        <w:ind w:firstLine="420" w:firstLineChars="200"/>
        <w:rPr>
          <w:color w:val="auto"/>
          <w:highlight w:val="none"/>
        </w:rPr>
      </w:pPr>
      <w:r>
        <w:rPr>
          <w:color w:val="auto"/>
          <w:highlight w:val="none"/>
        </w:rPr>
        <w:t xml:space="preserve">4.2.3 </w:t>
      </w:r>
      <w:r>
        <w:rPr>
          <w:rFonts w:hint="eastAsia"/>
          <w:color w:val="auto"/>
          <w:highlight w:val="none"/>
        </w:rPr>
        <w:t>除投标人须知前附表另有规定外，投标人所递交的投标文件不予退还。</w:t>
      </w:r>
    </w:p>
    <w:p>
      <w:pPr>
        <w:spacing w:line="400" w:lineRule="exact"/>
        <w:ind w:firstLine="420" w:firstLineChars="200"/>
        <w:rPr>
          <w:color w:val="auto"/>
          <w:highlight w:val="none"/>
        </w:rPr>
      </w:pPr>
      <w:r>
        <w:rPr>
          <w:color w:val="auto"/>
          <w:highlight w:val="none"/>
        </w:rPr>
        <w:t xml:space="preserve">4.2.4 </w:t>
      </w:r>
      <w:r>
        <w:rPr>
          <w:rFonts w:hint="eastAsia"/>
          <w:color w:val="auto"/>
          <w:highlight w:val="none"/>
        </w:rPr>
        <w:t>逾期送达的或者未送达指定地点的投标文件，招标人不予受理。</w:t>
      </w:r>
    </w:p>
    <w:p>
      <w:pPr>
        <w:spacing w:line="400" w:lineRule="exact"/>
        <w:ind w:firstLine="420" w:firstLineChars="200"/>
        <w:rPr>
          <w:rFonts w:ascii="宋体" w:hAnsi="宋体"/>
          <w:color w:val="auto"/>
          <w:highlight w:val="none"/>
        </w:rPr>
      </w:pPr>
      <w:r>
        <w:rPr>
          <w:color w:val="auto"/>
          <w:highlight w:val="none"/>
        </w:rPr>
        <w:t>4.2.5</w:t>
      </w:r>
      <w:r>
        <w:rPr>
          <w:rFonts w:ascii="宋体" w:hAnsi="宋体"/>
          <w:color w:val="auto"/>
          <w:highlight w:val="none"/>
        </w:rPr>
        <w:t xml:space="preserve"> 若出现以下情况，招标人将拒绝接收投标文件：</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1）在投标截止期后逾期或未在指定地点递交投标文件的；</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2）投标文件未按招标文件要求密封的；</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3）投标人代表未按要求签到的；</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在投标截止期前，法定代表人提交投标文件，未同时提交本人身份证和法定代表人证明书原件，或委托代理人提交投标文件，未同时提交本人身份证、法定代表人证明书原件和法定代表人授权委托证明书原件的；</w:t>
      </w:r>
    </w:p>
    <w:p>
      <w:pPr>
        <w:spacing w:line="400" w:lineRule="exact"/>
        <w:ind w:firstLine="420" w:firstLineChars="200"/>
        <w:rPr>
          <w:rFonts w:ascii="宋体" w:hAnsi="宋体"/>
          <w:color w:val="auto"/>
          <w:highlight w:val="none"/>
          <w:u w:val="single"/>
        </w:rPr>
      </w:pPr>
      <w:r>
        <w:rPr>
          <w:rFonts w:hint="eastAsia" w:ascii="宋体" w:hAnsi="宋体"/>
          <w:color w:val="auto"/>
          <w:highlight w:val="none"/>
        </w:rPr>
        <w:t>（5）投标人未成功办理投标登记手续的。</w:t>
      </w:r>
    </w:p>
    <w:p>
      <w:pPr>
        <w:spacing w:line="400" w:lineRule="exact"/>
        <w:ind w:firstLine="420" w:firstLineChars="200"/>
        <w:rPr>
          <w:rFonts w:ascii="宋体"/>
          <w:color w:val="auto"/>
          <w:highlight w:val="none"/>
        </w:rPr>
      </w:pPr>
      <w:r>
        <w:rPr>
          <w:rFonts w:hint="eastAsia" w:ascii="宋体"/>
          <w:color w:val="auto"/>
          <w:highlight w:val="none"/>
        </w:rPr>
        <w:t>4.2.6投标截止前，招标人拒绝接收符合条件的投标文件，投标人可向招标监督机构投诉。</w:t>
      </w:r>
    </w:p>
    <w:p>
      <w:pPr>
        <w:spacing w:line="400" w:lineRule="exact"/>
        <w:ind w:firstLine="420" w:firstLineChars="200"/>
        <w:rPr>
          <w:rFonts w:ascii="宋体" w:hAnsi="宋体"/>
          <w:color w:val="auto"/>
          <w:highlight w:val="none"/>
          <w:u w:val="single"/>
        </w:rPr>
      </w:pPr>
      <w:r>
        <w:rPr>
          <w:rFonts w:hint="eastAsia" w:ascii="宋体"/>
          <w:color w:val="auto"/>
          <w:highlight w:val="none"/>
        </w:rPr>
        <w:t>4.2.7到投标截止时间止，若收到的投标文件少于3家的，本项目招标失败，将依法重新招标。</w:t>
      </w:r>
    </w:p>
    <w:p>
      <w:pPr>
        <w:pStyle w:val="5"/>
        <w:rPr>
          <w:color w:val="auto"/>
          <w:highlight w:val="none"/>
        </w:rPr>
      </w:pPr>
      <w:bookmarkStart w:id="470" w:name="_Toc13098"/>
      <w:bookmarkStart w:id="471" w:name="_Toc144974526"/>
      <w:bookmarkStart w:id="472" w:name="_Toc1732"/>
      <w:bookmarkStart w:id="473" w:name="_Toc27188"/>
      <w:bookmarkStart w:id="474" w:name="_Toc23867"/>
      <w:bookmarkStart w:id="475" w:name="_Toc300834979"/>
      <w:bookmarkStart w:id="476" w:name="_Toc3022"/>
      <w:bookmarkStart w:id="477" w:name="_Toc152045558"/>
      <w:bookmarkStart w:id="478" w:name="_Toc29846"/>
      <w:bookmarkStart w:id="479" w:name="_Toc28821"/>
      <w:bookmarkStart w:id="480" w:name="_Toc25096"/>
      <w:bookmarkStart w:id="481" w:name="_Toc247527583"/>
      <w:bookmarkStart w:id="482" w:name="_Toc152042334"/>
      <w:bookmarkStart w:id="483" w:name="_Toc24863"/>
      <w:bookmarkStart w:id="484" w:name="_Toc494371542"/>
      <w:bookmarkStart w:id="485" w:name="_Toc247513982"/>
      <w:bookmarkStart w:id="486" w:name="_Toc29774"/>
      <w:r>
        <w:rPr>
          <w:rFonts w:ascii="Times New Roman" w:hAnsi="Times New Roman"/>
          <w:color w:val="auto"/>
          <w:highlight w:val="none"/>
        </w:rPr>
        <w:t>4.3</w:t>
      </w:r>
      <w:r>
        <w:rPr>
          <w:color w:val="auto"/>
          <w:highlight w:val="none"/>
        </w:rPr>
        <w:t xml:space="preserve"> 投标文件的修改与撤回</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pPr>
        <w:spacing w:line="400" w:lineRule="exact"/>
        <w:ind w:firstLine="420" w:firstLineChars="200"/>
        <w:rPr>
          <w:color w:val="auto"/>
          <w:highlight w:val="none"/>
        </w:rPr>
      </w:pPr>
      <w:r>
        <w:rPr>
          <w:color w:val="auto"/>
          <w:highlight w:val="none"/>
        </w:rPr>
        <w:t xml:space="preserve">4.3.1 </w:t>
      </w:r>
      <w:r>
        <w:rPr>
          <w:rFonts w:hint="eastAsia"/>
          <w:color w:val="auto"/>
          <w:highlight w:val="none"/>
        </w:rPr>
        <w:t>在规定的投标截止时间前，投标人可以修改或撤回已递交的投标文件，但应以书面形式通知招标人。</w:t>
      </w:r>
    </w:p>
    <w:p>
      <w:pPr>
        <w:spacing w:line="400" w:lineRule="exact"/>
        <w:ind w:firstLine="420" w:firstLineChars="200"/>
        <w:rPr>
          <w:color w:val="auto"/>
          <w:highlight w:val="none"/>
        </w:rPr>
      </w:pPr>
      <w:r>
        <w:rPr>
          <w:color w:val="auto"/>
          <w:highlight w:val="none"/>
        </w:rPr>
        <w:t xml:space="preserve">4.3.2 </w:t>
      </w:r>
      <w:r>
        <w:rPr>
          <w:rFonts w:hint="eastAsia"/>
          <w:color w:val="auto"/>
          <w:highlight w:val="none"/>
        </w:rPr>
        <w:t>投标人修改或撤回已递交投标文件的书面通知应按照本章第</w:t>
      </w:r>
      <w:r>
        <w:rPr>
          <w:color w:val="auto"/>
          <w:highlight w:val="none"/>
        </w:rPr>
        <w:t>3.7.3</w:t>
      </w:r>
      <w:r>
        <w:rPr>
          <w:rFonts w:hint="eastAsia"/>
          <w:color w:val="auto"/>
          <w:highlight w:val="none"/>
        </w:rPr>
        <w:t>项的要求签字或盖章。招标人收到书面通知后，向投标人出具签收凭证。</w:t>
      </w:r>
    </w:p>
    <w:p>
      <w:pPr>
        <w:spacing w:line="400" w:lineRule="exact"/>
        <w:ind w:firstLine="420" w:firstLineChars="200"/>
        <w:rPr>
          <w:color w:val="auto"/>
          <w:highlight w:val="none"/>
        </w:rPr>
      </w:pPr>
      <w:r>
        <w:rPr>
          <w:color w:val="auto"/>
          <w:highlight w:val="none"/>
        </w:rPr>
        <w:t xml:space="preserve">4.3.3 </w:t>
      </w:r>
      <w:r>
        <w:rPr>
          <w:rFonts w:hint="eastAsia"/>
          <w:color w:val="auto"/>
          <w:highlight w:val="none"/>
        </w:rPr>
        <w:t>投标人撤回投标文件的，招标人自收到投标人书面撤回通知之日起</w:t>
      </w:r>
      <w:r>
        <w:rPr>
          <w:color w:val="auto"/>
          <w:highlight w:val="none"/>
        </w:rPr>
        <w:t>5</w:t>
      </w:r>
      <w:r>
        <w:rPr>
          <w:rFonts w:hint="eastAsia"/>
          <w:color w:val="auto"/>
          <w:highlight w:val="none"/>
        </w:rPr>
        <w:t>日内退还已收取的投标保证金。</w:t>
      </w:r>
    </w:p>
    <w:p>
      <w:pPr>
        <w:spacing w:line="400" w:lineRule="exact"/>
        <w:ind w:firstLine="420" w:firstLineChars="200"/>
        <w:rPr>
          <w:color w:val="auto"/>
          <w:highlight w:val="none"/>
        </w:rPr>
      </w:pPr>
      <w:r>
        <w:rPr>
          <w:color w:val="auto"/>
          <w:highlight w:val="none"/>
        </w:rPr>
        <w:t xml:space="preserve">4.3.4 </w:t>
      </w:r>
      <w:r>
        <w:rPr>
          <w:rFonts w:hint="eastAsia"/>
          <w:color w:val="auto"/>
          <w:highlight w:val="none"/>
        </w:rPr>
        <w:t>修改的内容为投标文件的组成部分。修改的投标文件应按照本章第</w:t>
      </w:r>
      <w:r>
        <w:rPr>
          <w:color w:val="auto"/>
          <w:highlight w:val="none"/>
        </w:rPr>
        <w:t>3</w:t>
      </w:r>
      <w:r>
        <w:rPr>
          <w:rFonts w:hint="eastAsia"/>
          <w:color w:val="auto"/>
          <w:highlight w:val="none"/>
        </w:rPr>
        <w:t>条、第</w:t>
      </w:r>
      <w:r>
        <w:rPr>
          <w:color w:val="auto"/>
          <w:highlight w:val="none"/>
        </w:rPr>
        <w:t>4</w:t>
      </w:r>
      <w:r>
        <w:rPr>
          <w:rFonts w:hint="eastAsia"/>
          <w:color w:val="auto"/>
          <w:highlight w:val="none"/>
        </w:rPr>
        <w:t>条规定进行编制、密封、标记和递交，并标明“修改”字样。</w:t>
      </w:r>
    </w:p>
    <w:p>
      <w:pPr>
        <w:spacing w:line="400" w:lineRule="exact"/>
        <w:ind w:firstLine="420" w:firstLineChars="200"/>
        <w:rPr>
          <w:rFonts w:ascii="宋体" w:hAnsi="宋体"/>
          <w:color w:val="auto"/>
          <w:highlight w:val="none"/>
        </w:rPr>
      </w:pPr>
      <w:r>
        <w:rPr>
          <w:rFonts w:ascii="宋体" w:hAnsi="宋体"/>
          <w:color w:val="auto"/>
          <w:highlight w:val="none"/>
        </w:rPr>
        <w:t>4.3.5 在投标截止时间之后，投标人不得补充、修改和更换投标文件。</w:t>
      </w:r>
    </w:p>
    <w:p>
      <w:pPr>
        <w:spacing w:line="400" w:lineRule="exact"/>
        <w:ind w:firstLine="420" w:firstLineChars="200"/>
        <w:rPr>
          <w:color w:val="auto"/>
          <w:highlight w:val="none"/>
        </w:rPr>
      </w:pPr>
      <w:r>
        <w:rPr>
          <w:rFonts w:ascii="宋体" w:hAnsi="宋体"/>
          <w:color w:val="auto"/>
          <w:highlight w:val="none"/>
        </w:rPr>
        <w:t>4.3.6 在投标截止后，投标人在投标文件格式中规定的有效期终止日前，投标人不能撤</w:t>
      </w:r>
      <w:r>
        <w:rPr>
          <w:rFonts w:hint="eastAsia"/>
          <w:color w:val="auto"/>
          <w:highlight w:val="none"/>
        </w:rPr>
        <w:t>回投标文件，否则其投标保证金将被没收，且招标人有权就其撤回行为报告政府主管部门载入不良信用记录。</w:t>
      </w:r>
    </w:p>
    <w:p>
      <w:pPr>
        <w:spacing w:line="400" w:lineRule="exact"/>
        <w:ind w:firstLine="420" w:firstLineChars="200"/>
        <w:rPr>
          <w:color w:val="auto"/>
          <w:highlight w:val="none"/>
        </w:rPr>
      </w:pPr>
    </w:p>
    <w:p>
      <w:pPr>
        <w:pStyle w:val="4"/>
        <w:rPr>
          <w:color w:val="auto"/>
          <w:highlight w:val="none"/>
        </w:rPr>
      </w:pPr>
      <w:bookmarkStart w:id="487" w:name="_Toc247513983"/>
      <w:bookmarkStart w:id="488" w:name="_Toc247527584"/>
      <w:bookmarkStart w:id="489" w:name="_Toc21324"/>
      <w:bookmarkStart w:id="490" w:name="_Toc12021"/>
      <w:bookmarkStart w:id="491" w:name="_Toc17327"/>
      <w:bookmarkStart w:id="492" w:name="_Toc152045559"/>
      <w:bookmarkStart w:id="493" w:name="_Toc9659"/>
      <w:bookmarkStart w:id="494" w:name="_Toc144974527"/>
      <w:bookmarkStart w:id="495" w:name="_Toc7044"/>
      <w:bookmarkStart w:id="496" w:name="_Toc494371543"/>
      <w:bookmarkStart w:id="497" w:name="_Toc19353"/>
      <w:bookmarkStart w:id="498" w:name="_Toc21626"/>
      <w:bookmarkStart w:id="499" w:name="_Toc4190"/>
      <w:bookmarkStart w:id="500" w:name="_Toc29122"/>
      <w:bookmarkStart w:id="501" w:name="_Toc19988"/>
      <w:bookmarkStart w:id="502" w:name="_Toc300834980"/>
      <w:bookmarkStart w:id="503" w:name="_Toc4859"/>
      <w:bookmarkStart w:id="504" w:name="_Toc152042335"/>
      <w:bookmarkStart w:id="505" w:name="_Toc20912"/>
      <w:r>
        <w:rPr>
          <w:color w:val="auto"/>
          <w:highlight w:val="none"/>
        </w:rPr>
        <w:t xml:space="preserve">5. </w:t>
      </w:r>
      <w:r>
        <w:rPr>
          <w:rFonts w:hint="eastAsia"/>
          <w:color w:val="auto"/>
          <w:highlight w:val="none"/>
        </w:rPr>
        <w:t>开标</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pPr>
        <w:pStyle w:val="5"/>
        <w:rPr>
          <w:color w:val="auto"/>
          <w:highlight w:val="none"/>
        </w:rPr>
      </w:pPr>
      <w:bookmarkStart w:id="506" w:name="_Toc25002"/>
      <w:bookmarkStart w:id="507" w:name="_Toc25302"/>
      <w:bookmarkStart w:id="508" w:name="_Toc27776"/>
      <w:bookmarkStart w:id="509" w:name="_Toc11445"/>
      <w:bookmarkStart w:id="510" w:name="_Toc22910"/>
      <w:bookmarkStart w:id="511" w:name="_Toc23891"/>
      <w:bookmarkStart w:id="512" w:name="_Toc247527585"/>
      <w:bookmarkStart w:id="513" w:name="_Toc144974528"/>
      <w:bookmarkStart w:id="514" w:name="_Toc11407"/>
      <w:bookmarkStart w:id="515" w:name="_Toc494371544"/>
      <w:bookmarkStart w:id="516" w:name="_Toc247513984"/>
      <w:bookmarkStart w:id="517" w:name="_Toc25808"/>
      <w:bookmarkStart w:id="518" w:name="_Toc152045560"/>
      <w:bookmarkStart w:id="519" w:name="_Toc300834981"/>
      <w:bookmarkStart w:id="520" w:name="_Toc21178"/>
      <w:bookmarkStart w:id="521" w:name="_Toc795"/>
      <w:bookmarkStart w:id="522" w:name="_Toc152042336"/>
      <w:r>
        <w:rPr>
          <w:rFonts w:ascii="Times New Roman" w:hAnsi="Times New Roman"/>
          <w:color w:val="auto"/>
          <w:highlight w:val="none"/>
        </w:rPr>
        <w:t>5.1</w:t>
      </w:r>
      <w:r>
        <w:rPr>
          <w:color w:val="auto"/>
          <w:highlight w:val="none"/>
        </w:rPr>
        <w:t xml:space="preserve"> 开标时间和地点</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pPr>
        <w:spacing w:line="400" w:lineRule="exact"/>
        <w:ind w:firstLine="420" w:firstLineChars="200"/>
        <w:rPr>
          <w:color w:val="auto"/>
          <w:highlight w:val="none"/>
        </w:rPr>
      </w:pPr>
      <w:r>
        <w:rPr>
          <w:rFonts w:hint="eastAsia"/>
          <w:color w:val="auto"/>
          <w:highlight w:val="none"/>
        </w:rPr>
        <w:t>招标人在规定的投标截止时间（开标时间）和投标人须知前附表规定的地点公开开标，并邀请所有投标人的法定代表人或其委托代理人准时参加。</w:t>
      </w:r>
    </w:p>
    <w:p>
      <w:pPr>
        <w:pStyle w:val="5"/>
        <w:rPr>
          <w:color w:val="auto"/>
          <w:highlight w:val="none"/>
        </w:rPr>
      </w:pPr>
      <w:bookmarkStart w:id="523" w:name="_Toc25280"/>
      <w:bookmarkStart w:id="524" w:name="_Toc22461"/>
      <w:bookmarkStart w:id="525" w:name="_Toc3986"/>
      <w:bookmarkStart w:id="526" w:name="_Toc2530"/>
      <w:bookmarkStart w:id="527" w:name="_Toc3230"/>
      <w:bookmarkStart w:id="528" w:name="_Toc300834982"/>
      <w:bookmarkStart w:id="529" w:name="_Toc22493"/>
      <w:bookmarkStart w:id="530" w:name="_Toc152042337"/>
      <w:bookmarkStart w:id="531" w:name="_Toc22540"/>
      <w:bookmarkStart w:id="532" w:name="_Toc19222"/>
      <w:bookmarkStart w:id="533" w:name="_Toc15353"/>
      <w:bookmarkStart w:id="534" w:name="_Toc152045561"/>
      <w:bookmarkStart w:id="535" w:name="_Toc25227"/>
      <w:bookmarkStart w:id="536" w:name="_Toc144974529"/>
      <w:bookmarkStart w:id="537" w:name="_Toc247527586"/>
      <w:bookmarkStart w:id="538" w:name="_Toc494371545"/>
      <w:bookmarkStart w:id="539" w:name="_Toc247513985"/>
      <w:r>
        <w:rPr>
          <w:rFonts w:ascii="Times New Roman" w:hAnsi="Times New Roman"/>
          <w:color w:val="auto"/>
          <w:highlight w:val="none"/>
        </w:rPr>
        <w:t>5.2</w:t>
      </w:r>
      <w:r>
        <w:rPr>
          <w:color w:val="auto"/>
          <w:highlight w:val="none"/>
        </w:rPr>
        <w:t xml:space="preserve"> 开标程序</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pPr>
        <w:spacing w:line="360" w:lineRule="auto"/>
        <w:ind w:firstLine="457" w:firstLineChars="218"/>
        <w:rPr>
          <w:rFonts w:ascii="宋体" w:hAnsi="宋体"/>
          <w:color w:val="auto"/>
          <w:szCs w:val="21"/>
          <w:highlight w:val="none"/>
        </w:rPr>
      </w:pPr>
      <w:r>
        <w:rPr>
          <w:rFonts w:ascii="宋体" w:hAnsi="宋体"/>
          <w:color w:val="auto"/>
          <w:szCs w:val="21"/>
          <w:highlight w:val="none"/>
        </w:rPr>
        <w:t>5.2.1 招标人按投标须知前附表所规定的时间和地点公开开标，并邀请所有投标人参加。截标后，开标开始时间因故推迟的，</w:t>
      </w:r>
      <w:r>
        <w:rPr>
          <w:rFonts w:hint="eastAsia" w:ascii="宋体" w:hAnsi="宋体"/>
          <w:color w:val="auto"/>
          <w:szCs w:val="21"/>
          <w:highlight w:val="none"/>
        </w:rPr>
        <w:t>以实际开标时间为准。</w:t>
      </w:r>
    </w:p>
    <w:p>
      <w:pPr>
        <w:spacing w:line="360" w:lineRule="auto"/>
        <w:ind w:firstLine="457" w:firstLineChars="218"/>
        <w:rPr>
          <w:rFonts w:ascii="宋体" w:hAnsi="宋体"/>
          <w:color w:val="auto"/>
          <w:szCs w:val="21"/>
          <w:highlight w:val="none"/>
        </w:rPr>
      </w:pPr>
      <w:r>
        <w:rPr>
          <w:rFonts w:ascii="宋体" w:hAnsi="宋体"/>
          <w:color w:val="auto"/>
          <w:szCs w:val="21"/>
          <w:highlight w:val="none"/>
        </w:rPr>
        <w:t>5.2.2 开标时，出现下列情形之一的，不参与开标及后续评审工作：</w:t>
      </w:r>
    </w:p>
    <w:p>
      <w:pPr>
        <w:spacing w:line="360" w:lineRule="auto"/>
        <w:ind w:firstLine="457" w:firstLineChars="218"/>
        <w:rPr>
          <w:rFonts w:ascii="宋体" w:hAnsi="宋体"/>
          <w:color w:val="auto"/>
          <w:szCs w:val="21"/>
          <w:highlight w:val="none"/>
        </w:rPr>
      </w:pPr>
      <w:r>
        <w:rPr>
          <w:rFonts w:ascii="宋体" w:hAnsi="宋体"/>
          <w:color w:val="auto"/>
          <w:szCs w:val="21"/>
          <w:highlight w:val="none"/>
        </w:rPr>
        <w:t xml:space="preserve">5.2.2.1 </w:t>
      </w:r>
      <w:r>
        <w:rPr>
          <w:rFonts w:hint="eastAsia" w:ascii="宋体" w:hAnsi="宋体"/>
          <w:color w:val="auto"/>
          <w:szCs w:val="21"/>
          <w:highlight w:val="none"/>
        </w:rPr>
        <w:t>未按招标文件要求提供投标保证金的；</w:t>
      </w:r>
    </w:p>
    <w:p>
      <w:pPr>
        <w:spacing w:line="360" w:lineRule="auto"/>
        <w:ind w:firstLine="457" w:firstLineChars="218"/>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3</w:t>
      </w:r>
      <w:r>
        <w:rPr>
          <w:rFonts w:ascii="宋体" w:hAnsi="宋体"/>
          <w:color w:val="auto"/>
          <w:szCs w:val="21"/>
          <w:highlight w:val="none"/>
        </w:rPr>
        <w:t xml:space="preserve"> 开标由招标人主持。</w:t>
      </w:r>
    </w:p>
    <w:p>
      <w:pPr>
        <w:spacing w:line="360" w:lineRule="auto"/>
        <w:ind w:firstLine="457" w:firstLineChars="218"/>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4</w:t>
      </w:r>
      <w:r>
        <w:rPr>
          <w:rFonts w:ascii="宋体" w:hAnsi="宋体"/>
          <w:color w:val="auto"/>
          <w:szCs w:val="21"/>
          <w:highlight w:val="none"/>
        </w:rPr>
        <w:t>由投标人或其推选的代表检查投标文件的包封、标记和密封情况。</w:t>
      </w:r>
    </w:p>
    <w:p>
      <w:pPr>
        <w:spacing w:line="360" w:lineRule="auto"/>
        <w:ind w:firstLine="457" w:firstLineChars="218"/>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5</w:t>
      </w:r>
      <w:r>
        <w:rPr>
          <w:rFonts w:ascii="宋体" w:hAnsi="宋体"/>
          <w:color w:val="auto"/>
          <w:szCs w:val="21"/>
          <w:highlight w:val="none"/>
        </w:rPr>
        <w:t>开标细则</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（1）资格审查文件、工程总承包实施方案（含资信部分）文件评审、投标报价文件同时公开开标；</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（2）经确认无误后，由招标人当众拆封各投标人递交的资格审查文件、工程总承包实施方案（含资信部分）文件评审、投标报价文件。开标时宣读下列内容，并予以记录，开标记录提交评标委员会评审：</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开标时，宣读</w:t>
      </w:r>
      <w:r>
        <w:rPr>
          <w:rFonts w:ascii="宋体" w:hAnsi="宋体"/>
          <w:color w:val="auto"/>
          <w:szCs w:val="21"/>
          <w:highlight w:val="none"/>
        </w:rPr>
        <w:t>a、投标人名称；b、标书密封情况；c、有无法定代表人证明书及授权委托证明书；d、</w:t>
      </w:r>
      <w:r>
        <w:rPr>
          <w:rFonts w:hint="eastAsia" w:ascii="宋体" w:hAnsi="宋体"/>
          <w:color w:val="auto"/>
          <w:szCs w:val="21"/>
          <w:highlight w:val="none"/>
        </w:rPr>
        <w:t>投标保证金</w:t>
      </w:r>
      <w:r>
        <w:rPr>
          <w:rFonts w:ascii="宋体" w:hAnsi="宋体"/>
          <w:color w:val="auto"/>
          <w:szCs w:val="21"/>
          <w:highlight w:val="none"/>
        </w:rPr>
        <w:t>递交情况；e、工期；f、质量标准；g、</w:t>
      </w:r>
      <w:r>
        <w:rPr>
          <w:rFonts w:hint="eastAsia" w:ascii="宋体" w:hAnsi="宋体"/>
          <w:color w:val="auto"/>
          <w:szCs w:val="21"/>
          <w:highlight w:val="none"/>
        </w:rPr>
        <w:t>施工</w:t>
      </w:r>
      <w:r>
        <w:rPr>
          <w:rFonts w:ascii="宋体" w:hAnsi="宋体"/>
          <w:color w:val="auto"/>
          <w:szCs w:val="21"/>
          <w:highlight w:val="none"/>
        </w:rPr>
        <w:t>负责人；h、安全员；i、设计负责人；j、投标总报价等主要内容以及开标记录表中的其他必要内容。招标人或招标代理对开标过程进行记录，并存档备查。</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（3）资格审查文件评审；编制资格审查报告。</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（4）工程总承包实施方案（含资信部分）文件评审；</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（5）投标报价文件评审；</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（6）</w:t>
      </w:r>
      <w:r>
        <w:rPr>
          <w:rFonts w:hint="eastAsia"/>
          <w:color w:val="auto"/>
          <w:highlight w:val="none"/>
        </w:rPr>
        <w:t>评委</w:t>
      </w:r>
      <w:r>
        <w:rPr>
          <w:rFonts w:hint="eastAsia" w:ascii="宋体" w:hAnsi="宋体"/>
          <w:color w:val="auto"/>
          <w:szCs w:val="21"/>
          <w:highlight w:val="none"/>
        </w:rPr>
        <w:t>汇总工程总承包实施方案（含资信部分）文件与投标报价文件得分，并按照总分从高到低排序；</w:t>
      </w:r>
    </w:p>
    <w:p>
      <w:pPr>
        <w:spacing w:line="360" w:lineRule="auto"/>
        <w:ind w:firstLine="457" w:firstLineChars="218"/>
        <w:rPr>
          <w:color w:val="auto"/>
          <w:highlight w:val="none"/>
        </w:rPr>
      </w:pPr>
      <w:r>
        <w:rPr>
          <w:rFonts w:hint="eastAsia" w:ascii="宋体" w:hAnsi="宋体"/>
          <w:color w:val="auto"/>
          <w:szCs w:val="21"/>
          <w:highlight w:val="none"/>
        </w:rPr>
        <w:t>（8）评标委员会向业主推荐中标候选人，编写评标报告。</w:t>
      </w:r>
    </w:p>
    <w:p>
      <w:pPr>
        <w:pStyle w:val="5"/>
        <w:rPr>
          <w:color w:val="auto"/>
          <w:highlight w:val="none"/>
        </w:rPr>
      </w:pPr>
      <w:bookmarkStart w:id="540" w:name="_Toc494371546"/>
      <w:bookmarkStart w:id="541" w:name="_Toc12520"/>
      <w:bookmarkStart w:id="542" w:name="_Toc25032"/>
      <w:bookmarkStart w:id="543" w:name="_Toc300834983"/>
      <w:bookmarkStart w:id="544" w:name="_Toc24887"/>
      <w:bookmarkStart w:id="545" w:name="_Toc16449"/>
      <w:bookmarkStart w:id="546" w:name="_Toc7458"/>
      <w:bookmarkStart w:id="547" w:name="_Toc29859"/>
      <w:bookmarkStart w:id="548" w:name="_Toc20975"/>
      <w:bookmarkStart w:id="549" w:name="_Toc10688"/>
      <w:bookmarkStart w:id="550" w:name="_Toc5505"/>
      <w:bookmarkStart w:id="551" w:name="_Toc3531"/>
      <w:r>
        <w:rPr>
          <w:rFonts w:ascii="Times New Roman" w:hAnsi="Times New Roman"/>
          <w:color w:val="auto"/>
          <w:highlight w:val="none"/>
        </w:rPr>
        <w:t>5.3</w:t>
      </w:r>
      <w:r>
        <w:rPr>
          <w:color w:val="auto"/>
          <w:highlight w:val="none"/>
        </w:rPr>
        <w:t xml:space="preserve"> 开标异议</w:t>
      </w:r>
      <w:bookmarkEnd w:id="540"/>
      <w:bookmarkEnd w:id="541"/>
      <w:bookmarkEnd w:id="542"/>
      <w:bookmarkEnd w:id="543"/>
      <w:bookmarkEnd w:id="544"/>
      <w:bookmarkEnd w:id="545"/>
      <w:bookmarkEnd w:id="546"/>
      <w:bookmarkEnd w:id="547"/>
      <w:bookmarkEnd w:id="548"/>
      <w:bookmarkEnd w:id="549"/>
      <w:bookmarkEnd w:id="550"/>
      <w:bookmarkEnd w:id="551"/>
    </w:p>
    <w:p>
      <w:pPr>
        <w:spacing w:line="400" w:lineRule="exact"/>
        <w:ind w:firstLine="359" w:firstLineChars="171"/>
        <w:rPr>
          <w:color w:val="auto"/>
          <w:highlight w:val="none"/>
        </w:rPr>
      </w:pPr>
      <w:r>
        <w:rPr>
          <w:rFonts w:hint="eastAsia"/>
          <w:color w:val="auto"/>
          <w:highlight w:val="none"/>
        </w:rPr>
        <w:t>投标人对开标有异议的，应当在开标现场提出，招标人当场作出答复，并制作记录。</w:t>
      </w:r>
    </w:p>
    <w:p>
      <w:pPr>
        <w:pStyle w:val="4"/>
        <w:rPr>
          <w:color w:val="auto"/>
          <w:highlight w:val="none"/>
        </w:rPr>
      </w:pPr>
      <w:bookmarkStart w:id="552" w:name="_Toc15719"/>
      <w:bookmarkStart w:id="553" w:name="_Toc28414"/>
      <w:bookmarkStart w:id="554" w:name="_Toc837"/>
      <w:bookmarkStart w:id="555" w:name="_Toc300834984"/>
      <w:bookmarkStart w:id="556" w:name="_Toc144974530"/>
      <w:bookmarkStart w:id="557" w:name="_Toc30683"/>
      <w:bookmarkStart w:id="558" w:name="_Toc27705"/>
      <w:bookmarkStart w:id="559" w:name="_Toc247527587"/>
      <w:bookmarkStart w:id="560" w:name="_Toc152045562"/>
      <w:bookmarkStart w:id="561" w:name="_Toc494371547"/>
      <w:bookmarkStart w:id="562" w:name="_Toc152042338"/>
      <w:bookmarkStart w:id="563" w:name="_Toc15084"/>
      <w:bookmarkStart w:id="564" w:name="_Toc26333"/>
      <w:bookmarkStart w:id="565" w:name="_Toc32048"/>
      <w:bookmarkStart w:id="566" w:name="_Toc12313"/>
      <w:bookmarkStart w:id="567" w:name="_Toc109"/>
      <w:bookmarkStart w:id="568" w:name="_Toc3149"/>
      <w:bookmarkStart w:id="569" w:name="_Toc247513986"/>
      <w:bookmarkStart w:id="570" w:name="_Toc198"/>
      <w:r>
        <w:rPr>
          <w:color w:val="auto"/>
          <w:highlight w:val="none"/>
        </w:rPr>
        <w:t xml:space="preserve">6. </w:t>
      </w:r>
      <w:r>
        <w:rPr>
          <w:rFonts w:hint="eastAsia"/>
          <w:color w:val="auto"/>
          <w:highlight w:val="none"/>
        </w:rPr>
        <w:t>评标</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pStyle w:val="5"/>
        <w:rPr>
          <w:color w:val="auto"/>
          <w:highlight w:val="none"/>
        </w:rPr>
      </w:pPr>
      <w:bookmarkStart w:id="571" w:name="_Toc3086"/>
      <w:bookmarkStart w:id="572" w:name="_Toc13286"/>
      <w:bookmarkStart w:id="573" w:name="_Toc2807"/>
      <w:bookmarkStart w:id="574" w:name="_Toc16291"/>
      <w:bookmarkStart w:id="575" w:name="_Toc29481"/>
      <w:bookmarkStart w:id="576" w:name="_Toc144974531"/>
      <w:bookmarkStart w:id="577" w:name="_Toc32379"/>
      <w:bookmarkStart w:id="578" w:name="_Toc300834985"/>
      <w:bookmarkStart w:id="579" w:name="_Toc152042339"/>
      <w:bookmarkStart w:id="580" w:name="_Toc247527588"/>
      <w:bookmarkStart w:id="581" w:name="_Toc7043"/>
      <w:bookmarkStart w:id="582" w:name="_Toc15741"/>
      <w:bookmarkStart w:id="583" w:name="_Toc18724"/>
      <w:bookmarkStart w:id="584" w:name="_Toc8891"/>
      <w:bookmarkStart w:id="585" w:name="_Toc247513987"/>
      <w:bookmarkStart w:id="586" w:name="_Toc152045563"/>
      <w:bookmarkStart w:id="587" w:name="_Toc494371548"/>
      <w:r>
        <w:rPr>
          <w:rFonts w:ascii="Times New Roman" w:hAnsi="Times New Roman"/>
          <w:color w:val="auto"/>
          <w:highlight w:val="none"/>
        </w:rPr>
        <w:t>6.1</w:t>
      </w:r>
      <w:r>
        <w:rPr>
          <w:color w:val="auto"/>
          <w:highlight w:val="none"/>
        </w:rPr>
        <w:t xml:space="preserve"> 评标委员会</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spacing w:line="400" w:lineRule="exact"/>
        <w:ind w:firstLine="420" w:firstLineChars="200"/>
        <w:rPr>
          <w:color w:val="auto"/>
          <w:highlight w:val="none"/>
        </w:rPr>
      </w:pPr>
      <w:r>
        <w:rPr>
          <w:color w:val="auto"/>
          <w:highlight w:val="none"/>
        </w:rPr>
        <w:t xml:space="preserve">6.1.1 </w:t>
      </w:r>
      <w:r>
        <w:rPr>
          <w:rFonts w:hint="eastAsia"/>
          <w:color w:val="auto"/>
          <w:highlight w:val="none"/>
        </w:rPr>
        <w:t>评标由招标人依法组建的评标委员会负责，成员人数为五人或以上单数。建设单位参加或派代表参加评标委员会的，人数原则上以一人为限，评标过程中不得以任何方式影响其他评标专家独立评标。</w:t>
      </w:r>
    </w:p>
    <w:p>
      <w:pPr>
        <w:pStyle w:val="5"/>
        <w:rPr>
          <w:color w:val="auto"/>
          <w:highlight w:val="none"/>
        </w:rPr>
      </w:pPr>
      <w:bookmarkStart w:id="588" w:name="_Toc494371549"/>
      <w:bookmarkStart w:id="589" w:name="_Toc12970"/>
      <w:bookmarkStart w:id="590" w:name="_Toc300834986"/>
      <w:bookmarkStart w:id="591" w:name="_Toc14458"/>
      <w:bookmarkStart w:id="592" w:name="_Toc144974532"/>
      <w:bookmarkStart w:id="593" w:name="_Toc152042340"/>
      <w:bookmarkStart w:id="594" w:name="_Toc152045564"/>
      <w:bookmarkStart w:id="595" w:name="_Toc247513988"/>
      <w:bookmarkStart w:id="596" w:name="_Toc6335"/>
      <w:bookmarkStart w:id="597" w:name="_Toc6886"/>
      <w:bookmarkStart w:id="598" w:name="_Toc30692"/>
      <w:bookmarkStart w:id="599" w:name="_Toc1462"/>
      <w:bookmarkStart w:id="600" w:name="_Toc26316"/>
      <w:bookmarkStart w:id="601" w:name="_Toc247527589"/>
      <w:bookmarkStart w:id="602" w:name="_Toc19365"/>
      <w:bookmarkStart w:id="603" w:name="_Toc18883"/>
      <w:bookmarkStart w:id="604" w:name="_Toc19377"/>
      <w:r>
        <w:rPr>
          <w:rFonts w:ascii="Times New Roman" w:hAnsi="Times New Roman"/>
          <w:color w:val="auto"/>
          <w:highlight w:val="none"/>
        </w:rPr>
        <w:t>6.2</w:t>
      </w:r>
      <w:r>
        <w:rPr>
          <w:color w:val="auto"/>
          <w:highlight w:val="none"/>
        </w:rPr>
        <w:t xml:space="preserve"> 评标原则</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spacing w:line="400" w:lineRule="exact"/>
        <w:ind w:firstLine="420" w:firstLineChars="200"/>
        <w:rPr>
          <w:color w:val="auto"/>
          <w:highlight w:val="none"/>
        </w:rPr>
      </w:pPr>
      <w:r>
        <w:rPr>
          <w:rFonts w:hint="eastAsia"/>
          <w:color w:val="auto"/>
          <w:highlight w:val="none"/>
        </w:rPr>
        <w:t>评标活动遵循公平、公正、科学和择优的原则。</w:t>
      </w:r>
    </w:p>
    <w:p>
      <w:pPr>
        <w:pStyle w:val="5"/>
        <w:rPr>
          <w:color w:val="auto"/>
          <w:highlight w:val="none"/>
        </w:rPr>
      </w:pPr>
      <w:bookmarkStart w:id="605" w:name="_Toc8724"/>
      <w:bookmarkStart w:id="606" w:name="_Toc300834987"/>
      <w:bookmarkStart w:id="607" w:name="_Toc152042341"/>
      <w:bookmarkStart w:id="608" w:name="_Toc11669"/>
      <w:bookmarkStart w:id="609" w:name="_Toc25099"/>
      <w:bookmarkStart w:id="610" w:name="_Toc30595"/>
      <w:bookmarkStart w:id="611" w:name="_Toc494371550"/>
      <w:bookmarkStart w:id="612" w:name="_Toc247527590"/>
      <w:bookmarkStart w:id="613" w:name="_Toc152045565"/>
      <w:bookmarkStart w:id="614" w:name="_Toc10168"/>
      <w:bookmarkStart w:id="615" w:name="_Toc25394"/>
      <w:bookmarkStart w:id="616" w:name="_Toc16889"/>
      <w:bookmarkStart w:id="617" w:name="_Toc28220"/>
      <w:bookmarkStart w:id="618" w:name="_Toc144974533"/>
      <w:bookmarkStart w:id="619" w:name="_Toc247513989"/>
      <w:bookmarkStart w:id="620" w:name="_Toc17295"/>
      <w:bookmarkStart w:id="621" w:name="_Toc18237"/>
      <w:r>
        <w:rPr>
          <w:rFonts w:ascii="Times New Roman" w:hAnsi="Times New Roman"/>
          <w:color w:val="auto"/>
          <w:highlight w:val="none"/>
        </w:rPr>
        <w:t>6.3</w:t>
      </w:r>
      <w:r>
        <w:rPr>
          <w:color w:val="auto"/>
          <w:highlight w:val="none"/>
        </w:rPr>
        <w:t xml:space="preserve"> 评标</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pPr>
        <w:spacing w:line="400" w:lineRule="exact"/>
        <w:ind w:firstLine="420" w:firstLineChars="200"/>
        <w:rPr>
          <w:color w:val="auto"/>
          <w:highlight w:val="none"/>
        </w:rPr>
      </w:pPr>
      <w:r>
        <w:rPr>
          <w:rFonts w:hint="eastAsia"/>
          <w:color w:val="auto"/>
          <w:highlight w:val="none"/>
        </w:rPr>
        <w:t>评标委员会按照第三章“评标办法”规定的方法、评审因素、标准和程序对投标文件进行评审。第三章“评标办法”没有规定的方法、评审因素和标准，不作为评标依据。</w:t>
      </w:r>
    </w:p>
    <w:p>
      <w:pPr>
        <w:pStyle w:val="4"/>
        <w:rPr>
          <w:color w:val="auto"/>
          <w:highlight w:val="none"/>
        </w:rPr>
      </w:pPr>
      <w:bookmarkStart w:id="622" w:name="_Toc17020"/>
      <w:bookmarkStart w:id="623" w:name="_Toc24084"/>
      <w:bookmarkStart w:id="624" w:name="_Toc152045566"/>
      <w:bookmarkStart w:id="625" w:name="_Toc6130"/>
      <w:bookmarkStart w:id="626" w:name="_Toc22878"/>
      <w:bookmarkStart w:id="627" w:name="_Toc144974534"/>
      <w:bookmarkStart w:id="628" w:name="_Toc30273"/>
      <w:bookmarkStart w:id="629" w:name="_Toc23086"/>
      <w:bookmarkStart w:id="630" w:name="_Toc12877"/>
      <w:bookmarkStart w:id="631" w:name="_Toc26245"/>
      <w:bookmarkStart w:id="632" w:name="_Toc24255"/>
      <w:bookmarkStart w:id="633" w:name="_Toc22306"/>
      <w:bookmarkStart w:id="634" w:name="_Toc300834988"/>
      <w:bookmarkStart w:id="635" w:name="_Toc247513990"/>
      <w:bookmarkStart w:id="636" w:name="_Toc494371551"/>
      <w:bookmarkStart w:id="637" w:name="_Toc152042342"/>
      <w:bookmarkStart w:id="638" w:name="_Toc247527591"/>
      <w:bookmarkStart w:id="639" w:name="_Toc5557"/>
      <w:bookmarkStart w:id="640" w:name="_Toc5422"/>
      <w:r>
        <w:rPr>
          <w:color w:val="auto"/>
          <w:highlight w:val="none"/>
        </w:rPr>
        <w:t xml:space="preserve">7. </w:t>
      </w:r>
      <w:r>
        <w:rPr>
          <w:rFonts w:hint="eastAsia"/>
          <w:color w:val="auto"/>
          <w:highlight w:val="none"/>
        </w:rPr>
        <w:t>合同授予</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pPr>
        <w:pStyle w:val="5"/>
        <w:rPr>
          <w:color w:val="auto"/>
          <w:highlight w:val="none"/>
        </w:rPr>
      </w:pPr>
      <w:bookmarkStart w:id="641" w:name="_Toc10016"/>
      <w:bookmarkStart w:id="642" w:name="_Toc29318"/>
      <w:bookmarkStart w:id="643" w:name="_Toc494371552"/>
      <w:bookmarkStart w:id="644" w:name="_Toc152042343"/>
      <w:bookmarkStart w:id="645" w:name="_Toc152045567"/>
      <w:bookmarkStart w:id="646" w:name="_Toc6661"/>
      <w:bookmarkStart w:id="647" w:name="_Toc28912"/>
      <w:bookmarkStart w:id="648" w:name="_Toc28811"/>
      <w:bookmarkStart w:id="649" w:name="_Toc2434"/>
      <w:bookmarkStart w:id="650" w:name="_Toc247513991"/>
      <w:bookmarkStart w:id="651" w:name="_Toc144974535"/>
      <w:bookmarkStart w:id="652" w:name="_Toc300834989"/>
      <w:bookmarkStart w:id="653" w:name="_Toc7596"/>
      <w:bookmarkStart w:id="654" w:name="_Toc25537"/>
      <w:bookmarkStart w:id="655" w:name="_Toc28741"/>
      <w:bookmarkStart w:id="656" w:name="_Toc620"/>
      <w:bookmarkStart w:id="657" w:name="_Toc247527592"/>
      <w:r>
        <w:rPr>
          <w:rFonts w:ascii="Times New Roman" w:hAnsi="Times New Roman"/>
          <w:color w:val="auto"/>
          <w:highlight w:val="none"/>
        </w:rPr>
        <w:t>7.1</w:t>
      </w:r>
      <w:r>
        <w:rPr>
          <w:color w:val="auto"/>
          <w:highlight w:val="none"/>
        </w:rPr>
        <w:t xml:space="preserve"> 定标方式</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pPr>
        <w:spacing w:line="400" w:lineRule="exact"/>
        <w:ind w:firstLine="420" w:firstLineChars="200"/>
        <w:rPr>
          <w:rFonts w:ascii="宋体" w:hAnsi="宋体" w:cs="宋体"/>
          <w:color w:val="auto"/>
          <w:highlight w:val="none"/>
        </w:rPr>
      </w:pPr>
      <w:r>
        <w:rPr>
          <w:rFonts w:ascii="宋体" w:hAnsi="宋体" w:cs="宋体"/>
          <w:color w:val="auto"/>
          <w:highlight w:val="none"/>
        </w:rPr>
        <w:t>7.1.1</w:t>
      </w:r>
      <w:r>
        <w:rPr>
          <w:rFonts w:hint="eastAsia" w:ascii="宋体" w:hAnsi="宋体" w:cs="宋体"/>
          <w:color w:val="auto"/>
          <w:highlight w:val="none"/>
        </w:rPr>
        <w:t>除投标人须知前附表规定评标委员会直接确定中标人外，招标人依据评标委员会推荐的中标候选人确定中标人，评标委员会推荐中标候选人的人数见投标人须知前附表。</w:t>
      </w:r>
    </w:p>
    <w:p>
      <w:pPr>
        <w:spacing w:line="400" w:lineRule="exact"/>
        <w:ind w:firstLine="420" w:firstLineChars="200"/>
        <w:rPr>
          <w:rFonts w:ascii="宋体" w:hAnsi="宋体" w:cs="宋体"/>
          <w:color w:val="auto"/>
          <w:highlight w:val="none"/>
        </w:rPr>
      </w:pPr>
      <w:r>
        <w:rPr>
          <w:rFonts w:ascii="宋体" w:hAnsi="宋体" w:cs="宋体"/>
          <w:color w:val="auto"/>
          <w:highlight w:val="none"/>
        </w:rPr>
        <w:t>7.1.2 依法必须进行公开招标的项目，招标人应当确定排名第一的中标候选人为中标人。</w:t>
      </w:r>
    </w:p>
    <w:p>
      <w:pPr>
        <w:spacing w:line="400" w:lineRule="exact"/>
        <w:ind w:firstLine="420" w:firstLineChars="200"/>
        <w:rPr>
          <w:color w:val="auto"/>
          <w:highlight w:val="none"/>
        </w:rPr>
      </w:pPr>
      <w:r>
        <w:rPr>
          <w:rFonts w:ascii="宋体" w:hAnsi="宋体" w:cs="宋体"/>
          <w:color w:val="auto"/>
          <w:highlight w:val="none"/>
        </w:rPr>
        <w:t>7.1.3</w:t>
      </w:r>
      <w:r>
        <w:rPr>
          <w:rFonts w:hint="eastAsia" w:ascii="宋体" w:hAnsi="宋体" w:cs="宋体"/>
          <w:color w:val="auto"/>
          <w:highlight w:val="none"/>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rPr>
          <w:color w:val="auto"/>
          <w:highlight w:val="none"/>
        </w:rPr>
      </w:pPr>
      <w:bookmarkStart w:id="658" w:name="_Toc3190"/>
      <w:bookmarkStart w:id="659" w:name="_Toc32142"/>
      <w:bookmarkStart w:id="660" w:name="_Toc16401"/>
      <w:bookmarkStart w:id="661" w:name="_Toc494371553"/>
      <w:bookmarkStart w:id="662" w:name="_Toc30311"/>
      <w:bookmarkStart w:id="663" w:name="_Toc300834990"/>
      <w:bookmarkStart w:id="664" w:name="_Toc31309"/>
      <w:bookmarkStart w:id="665" w:name="_Toc9281"/>
      <w:bookmarkStart w:id="666" w:name="_Toc10691"/>
      <w:bookmarkStart w:id="667" w:name="_Toc21974"/>
      <w:bookmarkStart w:id="668" w:name="_Toc25164"/>
      <w:bookmarkStart w:id="669" w:name="_Toc8069"/>
      <w:r>
        <w:rPr>
          <w:rFonts w:ascii="Times New Roman" w:hAnsi="Times New Roman"/>
          <w:color w:val="auto"/>
          <w:highlight w:val="none"/>
        </w:rPr>
        <w:t>7.2</w:t>
      </w:r>
      <w:r>
        <w:rPr>
          <w:color w:val="auto"/>
          <w:highlight w:val="none"/>
        </w:rPr>
        <w:t xml:space="preserve"> 中标候选人公示</w:t>
      </w:r>
      <w:bookmarkEnd w:id="658"/>
      <w:bookmarkEnd w:id="659"/>
      <w:bookmarkEnd w:id="660"/>
      <w:bookmarkEnd w:id="661"/>
      <w:bookmarkEnd w:id="662"/>
      <w:bookmarkEnd w:id="663"/>
      <w:bookmarkEnd w:id="664"/>
      <w:bookmarkEnd w:id="665"/>
      <w:bookmarkEnd w:id="666"/>
      <w:bookmarkEnd w:id="667"/>
      <w:bookmarkEnd w:id="668"/>
      <w:bookmarkEnd w:id="669"/>
    </w:p>
    <w:p>
      <w:pPr>
        <w:spacing w:line="400" w:lineRule="exact"/>
        <w:ind w:firstLine="420" w:firstLineChars="200"/>
        <w:rPr>
          <w:color w:val="auto"/>
          <w:highlight w:val="none"/>
        </w:rPr>
      </w:pPr>
      <w:r>
        <w:rPr>
          <w:rFonts w:hint="eastAsia"/>
          <w:color w:val="auto"/>
          <w:highlight w:val="none"/>
        </w:rPr>
        <w:t>在广州南沙资产经营有限公司网站公示中标候选人。</w:t>
      </w:r>
    </w:p>
    <w:p>
      <w:pPr>
        <w:pStyle w:val="5"/>
        <w:rPr>
          <w:color w:val="auto"/>
          <w:highlight w:val="none"/>
        </w:rPr>
      </w:pPr>
      <w:bookmarkStart w:id="670" w:name="_Toc300834991"/>
      <w:bookmarkStart w:id="671" w:name="_Toc775"/>
      <w:bookmarkStart w:id="672" w:name="_Toc8897"/>
      <w:bookmarkStart w:id="673" w:name="_Toc144974536"/>
      <w:bookmarkStart w:id="674" w:name="_Toc247527593"/>
      <w:bookmarkStart w:id="675" w:name="_Toc152045568"/>
      <w:bookmarkStart w:id="676" w:name="_Toc32373"/>
      <w:bookmarkStart w:id="677" w:name="_Toc14168"/>
      <w:bookmarkStart w:id="678" w:name="_Toc6019"/>
      <w:bookmarkStart w:id="679" w:name="_Toc247513992"/>
      <w:bookmarkStart w:id="680" w:name="_Toc152042344"/>
      <w:bookmarkStart w:id="681" w:name="_Toc14116"/>
      <w:bookmarkStart w:id="682" w:name="_Toc15630"/>
      <w:bookmarkStart w:id="683" w:name="_Toc16751"/>
      <w:bookmarkStart w:id="684" w:name="_Toc3421"/>
      <w:bookmarkStart w:id="685" w:name="_Toc494371554"/>
      <w:bookmarkStart w:id="686" w:name="_Toc9148"/>
      <w:r>
        <w:rPr>
          <w:rFonts w:ascii="Times New Roman" w:hAnsi="Times New Roman"/>
          <w:color w:val="auto"/>
          <w:highlight w:val="none"/>
        </w:rPr>
        <w:t>7.3</w:t>
      </w:r>
      <w:r>
        <w:rPr>
          <w:color w:val="auto"/>
          <w:highlight w:val="none"/>
        </w:rPr>
        <w:t xml:space="preserve"> 中标通知</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pPr>
        <w:spacing w:line="400" w:lineRule="exact"/>
        <w:ind w:firstLine="420" w:firstLineChars="200"/>
        <w:rPr>
          <w:color w:val="auto"/>
          <w:highlight w:val="none"/>
        </w:rPr>
      </w:pPr>
      <w:r>
        <w:rPr>
          <w:rFonts w:hint="eastAsia"/>
          <w:color w:val="auto"/>
          <w:highlight w:val="none"/>
        </w:rPr>
        <w:t>评标公示后，在本章第</w:t>
      </w:r>
      <w:r>
        <w:rPr>
          <w:color w:val="auto"/>
          <w:highlight w:val="none"/>
        </w:rPr>
        <w:t xml:space="preserve">3.3 </w:t>
      </w:r>
      <w:r>
        <w:rPr>
          <w:rFonts w:hint="eastAsia"/>
          <w:color w:val="auto"/>
          <w:highlight w:val="none"/>
        </w:rPr>
        <w:t>款规定的投标有效期内，招标人以书面形式向中标人发出中标通知书。</w:t>
      </w:r>
    </w:p>
    <w:p>
      <w:pPr>
        <w:pStyle w:val="5"/>
        <w:rPr>
          <w:color w:val="auto"/>
          <w:highlight w:val="none"/>
        </w:rPr>
      </w:pPr>
      <w:bookmarkStart w:id="687" w:name="_Toc494371556"/>
      <w:bookmarkStart w:id="688" w:name="_Toc8137"/>
      <w:bookmarkStart w:id="689" w:name="_Toc300834993"/>
      <w:bookmarkStart w:id="690" w:name="_Toc247527595"/>
      <w:bookmarkStart w:id="691" w:name="_Toc21116"/>
      <w:bookmarkStart w:id="692" w:name="_Toc20159"/>
      <w:bookmarkStart w:id="693" w:name="_Toc17963"/>
      <w:bookmarkStart w:id="694" w:name="_Toc12825"/>
      <w:bookmarkStart w:id="695" w:name="_Toc1202"/>
      <w:bookmarkStart w:id="696" w:name="_Toc144974538"/>
      <w:bookmarkStart w:id="697" w:name="_Toc5220"/>
      <w:bookmarkStart w:id="698" w:name="_Toc21568"/>
      <w:bookmarkStart w:id="699" w:name="_Toc152042346"/>
      <w:bookmarkStart w:id="700" w:name="_Toc152045570"/>
      <w:bookmarkStart w:id="701" w:name="_Toc14095"/>
      <w:bookmarkStart w:id="702" w:name="_Toc20796"/>
      <w:bookmarkStart w:id="703" w:name="_Toc247513994"/>
      <w:r>
        <w:rPr>
          <w:rFonts w:ascii="Times New Roman" w:hAnsi="Times New Roman"/>
          <w:color w:val="auto"/>
          <w:highlight w:val="none"/>
        </w:rPr>
        <w:t>7.</w:t>
      </w:r>
      <w:r>
        <w:rPr>
          <w:rFonts w:hint="eastAsia" w:ascii="Times New Roman" w:hAnsi="Times New Roman"/>
          <w:color w:val="auto"/>
          <w:highlight w:val="none"/>
        </w:rPr>
        <w:t>4</w:t>
      </w:r>
      <w:r>
        <w:rPr>
          <w:color w:val="auto"/>
          <w:highlight w:val="none"/>
        </w:rPr>
        <w:t xml:space="preserve"> 签订合同</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pPr>
        <w:spacing w:line="400" w:lineRule="exact"/>
        <w:ind w:firstLine="420" w:firstLineChars="200"/>
        <w:rPr>
          <w:color w:val="auto"/>
          <w:highlight w:val="none"/>
        </w:rPr>
      </w:pPr>
      <w:r>
        <w:rPr>
          <w:color w:val="auto"/>
          <w:highlight w:val="none"/>
        </w:rPr>
        <w:t xml:space="preserve">7.5.1 </w:t>
      </w:r>
      <w:r>
        <w:rPr>
          <w:rFonts w:hint="eastAsia"/>
          <w:color w:val="auto"/>
          <w:highlight w:val="none"/>
        </w:rPr>
        <w:t>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color w:val="auto"/>
          <w:highlight w:val="none"/>
        </w:rPr>
      </w:pPr>
      <w:r>
        <w:rPr>
          <w:color w:val="auto"/>
          <w:highlight w:val="none"/>
        </w:rPr>
        <w:t xml:space="preserve">7.5.2 </w:t>
      </w:r>
      <w:r>
        <w:rPr>
          <w:rFonts w:hint="eastAsia"/>
          <w:color w:val="auto"/>
          <w:highlight w:val="none"/>
        </w:rPr>
        <w:t>发出中标通知书后，招标人无正当理由拒签合同的，招标人向中标人退还投标保证金。</w:t>
      </w:r>
    </w:p>
    <w:p>
      <w:pPr>
        <w:pStyle w:val="4"/>
        <w:rPr>
          <w:color w:val="auto"/>
          <w:highlight w:val="none"/>
        </w:rPr>
      </w:pPr>
      <w:bookmarkStart w:id="704" w:name="_Toc152045571"/>
      <w:bookmarkStart w:id="705" w:name="_Toc152042347"/>
      <w:bookmarkStart w:id="706" w:name="_Toc144974539"/>
      <w:bookmarkStart w:id="707" w:name="_Toc247527596"/>
      <w:bookmarkStart w:id="708" w:name="_Toc247513995"/>
      <w:bookmarkStart w:id="709" w:name="_Toc300834994"/>
      <w:bookmarkStart w:id="710" w:name="_Toc24208"/>
      <w:bookmarkStart w:id="711" w:name="_Toc25920"/>
      <w:bookmarkStart w:id="712" w:name="_Toc25097"/>
      <w:bookmarkStart w:id="713" w:name="_Toc27652"/>
      <w:bookmarkStart w:id="714" w:name="_Toc1819"/>
      <w:bookmarkStart w:id="715" w:name="_Toc5006"/>
      <w:bookmarkStart w:id="716" w:name="_Toc3080"/>
      <w:bookmarkStart w:id="717" w:name="_Toc494371557"/>
      <w:bookmarkStart w:id="718" w:name="_Toc22337"/>
      <w:bookmarkStart w:id="719" w:name="_Toc4387"/>
      <w:bookmarkStart w:id="720" w:name="_Toc12071"/>
      <w:bookmarkStart w:id="721" w:name="_Toc7104"/>
      <w:bookmarkStart w:id="722" w:name="_Toc26309"/>
      <w:r>
        <w:rPr>
          <w:color w:val="auto"/>
          <w:highlight w:val="none"/>
        </w:rPr>
        <w:t>8</w:t>
      </w:r>
      <w:bookmarkEnd w:id="704"/>
      <w:bookmarkEnd w:id="705"/>
      <w:bookmarkEnd w:id="706"/>
      <w:bookmarkEnd w:id="707"/>
      <w:bookmarkEnd w:id="708"/>
      <w:bookmarkStart w:id="723" w:name="_Toc152045574"/>
      <w:bookmarkStart w:id="724" w:name="_Toc247513998"/>
      <w:bookmarkStart w:id="725" w:name="_Toc247527599"/>
      <w:bookmarkStart w:id="726" w:name="_Toc152042350"/>
      <w:bookmarkStart w:id="727" w:name="_Toc144974542"/>
      <w:r>
        <w:rPr>
          <w:rFonts w:hint="eastAsia"/>
          <w:color w:val="auto"/>
          <w:highlight w:val="none"/>
        </w:rPr>
        <w:t>. 纪律和监督</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pPr>
        <w:pStyle w:val="5"/>
        <w:rPr>
          <w:color w:val="auto"/>
          <w:highlight w:val="none"/>
        </w:rPr>
      </w:pPr>
      <w:bookmarkStart w:id="728" w:name="_Toc144974543"/>
      <w:bookmarkStart w:id="729" w:name="_Toc152042351"/>
      <w:bookmarkStart w:id="730" w:name="_Toc247513999"/>
      <w:bookmarkStart w:id="731" w:name="_Toc13879"/>
      <w:bookmarkStart w:id="732" w:name="_Toc32569"/>
      <w:bookmarkStart w:id="733" w:name="_Toc247527600"/>
      <w:bookmarkStart w:id="734" w:name="_Toc15792"/>
      <w:bookmarkStart w:id="735" w:name="_Toc26340"/>
      <w:bookmarkStart w:id="736" w:name="_Toc27460"/>
      <w:bookmarkStart w:id="737" w:name="_Toc27050"/>
      <w:bookmarkStart w:id="738" w:name="_Toc300834995"/>
      <w:bookmarkStart w:id="739" w:name="_Toc12304"/>
      <w:bookmarkStart w:id="740" w:name="_Toc494371558"/>
      <w:bookmarkStart w:id="741" w:name="_Toc152045575"/>
      <w:bookmarkStart w:id="742" w:name="_Toc22388"/>
      <w:bookmarkStart w:id="743" w:name="_Toc7513"/>
      <w:bookmarkStart w:id="744" w:name="_Toc23906"/>
      <w:r>
        <w:rPr>
          <w:rFonts w:ascii="Times New Roman" w:hAnsi="Times New Roman"/>
          <w:color w:val="auto"/>
          <w:highlight w:val="none"/>
        </w:rPr>
        <w:t>8.1</w:t>
      </w:r>
      <w:r>
        <w:rPr>
          <w:color w:val="auto"/>
          <w:highlight w:val="none"/>
        </w:rPr>
        <w:t xml:space="preserve"> 对招标人的纪律要求</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pPr>
        <w:spacing w:line="400" w:lineRule="exact"/>
        <w:ind w:firstLine="420" w:firstLineChars="200"/>
        <w:rPr>
          <w:color w:val="auto"/>
          <w:highlight w:val="none"/>
        </w:rPr>
      </w:pPr>
      <w:r>
        <w:rPr>
          <w:rFonts w:hint="eastAsia"/>
          <w:color w:val="auto"/>
          <w:highlight w:val="none"/>
        </w:rPr>
        <w:t>招标人不得泄漏招标投标活动中应当保密的情况和资料，不得与投标人串通损害国家利益、社会公共利益或者他人合法权益。</w:t>
      </w:r>
    </w:p>
    <w:p>
      <w:pPr>
        <w:pStyle w:val="5"/>
        <w:rPr>
          <w:color w:val="auto"/>
          <w:highlight w:val="none"/>
        </w:rPr>
      </w:pPr>
      <w:bookmarkStart w:id="745" w:name="_Toc300834996"/>
      <w:bookmarkStart w:id="746" w:name="_Toc19057"/>
      <w:bookmarkStart w:id="747" w:name="_Toc8212"/>
      <w:bookmarkStart w:id="748" w:name="_Toc31880"/>
      <w:bookmarkStart w:id="749" w:name="_Toc15845"/>
      <w:bookmarkStart w:id="750" w:name="_Toc247514000"/>
      <w:bookmarkStart w:id="751" w:name="_Toc25080"/>
      <w:bookmarkStart w:id="752" w:name="_Toc494371559"/>
      <w:bookmarkStart w:id="753" w:name="_Toc247527601"/>
      <w:bookmarkStart w:id="754" w:name="_Toc31828"/>
      <w:bookmarkStart w:id="755" w:name="_Toc4332"/>
      <w:bookmarkStart w:id="756" w:name="_Toc152045576"/>
      <w:bookmarkStart w:id="757" w:name="_Toc26587"/>
      <w:bookmarkStart w:id="758" w:name="_Toc14942"/>
      <w:bookmarkStart w:id="759" w:name="_Toc2646"/>
      <w:bookmarkStart w:id="760" w:name="_Toc152042352"/>
      <w:bookmarkStart w:id="761" w:name="_Toc144974544"/>
      <w:r>
        <w:rPr>
          <w:rFonts w:ascii="Times New Roman" w:hAnsi="Times New Roman"/>
          <w:color w:val="auto"/>
          <w:highlight w:val="none"/>
        </w:rPr>
        <w:t>8.2</w:t>
      </w:r>
      <w:r>
        <w:rPr>
          <w:color w:val="auto"/>
          <w:highlight w:val="none"/>
        </w:rPr>
        <w:t xml:space="preserve"> 对投标人的纪律要求</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pPr>
        <w:spacing w:line="400" w:lineRule="exact"/>
        <w:ind w:firstLine="420" w:firstLineChars="200"/>
        <w:rPr>
          <w:color w:val="auto"/>
          <w:highlight w:val="none"/>
        </w:rPr>
      </w:pPr>
      <w:r>
        <w:rPr>
          <w:rFonts w:hint="eastAsia"/>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rPr>
          <w:color w:val="auto"/>
          <w:highlight w:val="none"/>
        </w:rPr>
      </w:pPr>
      <w:bookmarkStart w:id="762" w:name="_Toc494371560"/>
      <w:bookmarkStart w:id="763" w:name="_Toc247527602"/>
      <w:bookmarkStart w:id="764" w:name="_Toc9766"/>
      <w:bookmarkStart w:id="765" w:name="_Toc152045577"/>
      <w:bookmarkStart w:id="766" w:name="_Toc15857"/>
      <w:bookmarkStart w:id="767" w:name="_Toc17070"/>
      <w:bookmarkStart w:id="768" w:name="_Toc11809"/>
      <w:bookmarkStart w:id="769" w:name="_Toc17727"/>
      <w:bookmarkStart w:id="770" w:name="_Toc300834997"/>
      <w:bookmarkStart w:id="771" w:name="_Toc15492"/>
      <w:bookmarkStart w:id="772" w:name="_Toc247514001"/>
      <w:bookmarkStart w:id="773" w:name="_Toc21624"/>
      <w:bookmarkStart w:id="774" w:name="_Toc28024"/>
      <w:bookmarkStart w:id="775" w:name="_Toc144974545"/>
      <w:bookmarkStart w:id="776" w:name="_Toc23820"/>
      <w:bookmarkStart w:id="777" w:name="_Toc402"/>
      <w:bookmarkStart w:id="778" w:name="_Toc152042353"/>
      <w:r>
        <w:rPr>
          <w:rFonts w:ascii="Times New Roman" w:hAnsi="Times New Roman"/>
          <w:color w:val="auto"/>
          <w:highlight w:val="none"/>
        </w:rPr>
        <w:t>8.3</w:t>
      </w:r>
      <w:r>
        <w:rPr>
          <w:color w:val="auto"/>
          <w:highlight w:val="none"/>
        </w:rPr>
        <w:t xml:space="preserve"> 对评标委员会成员的纪律要求</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pPr>
        <w:spacing w:line="400" w:lineRule="exact"/>
        <w:ind w:firstLine="420" w:firstLineChars="200"/>
        <w:rPr>
          <w:color w:val="auto"/>
          <w:highlight w:val="none"/>
        </w:rPr>
      </w:pPr>
      <w:r>
        <w:rPr>
          <w:rFonts w:hint="eastAsia"/>
          <w:color w:val="auto"/>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rPr>
          <w:color w:val="auto"/>
          <w:highlight w:val="none"/>
        </w:rPr>
      </w:pPr>
      <w:bookmarkStart w:id="779" w:name="_Toc247514002"/>
      <w:bookmarkStart w:id="780" w:name="_Toc4059"/>
      <w:bookmarkStart w:id="781" w:name="_Toc247527603"/>
      <w:bookmarkStart w:id="782" w:name="_Toc152042354"/>
      <w:bookmarkStart w:id="783" w:name="_Toc27915"/>
      <w:bookmarkStart w:id="784" w:name="_Toc29753"/>
      <w:bookmarkStart w:id="785" w:name="_Toc494371561"/>
      <w:bookmarkStart w:id="786" w:name="_Toc23511"/>
      <w:bookmarkStart w:id="787" w:name="_Toc21492"/>
      <w:bookmarkStart w:id="788" w:name="_Toc152045578"/>
      <w:bookmarkStart w:id="789" w:name="_Toc7845"/>
      <w:bookmarkStart w:id="790" w:name="_Toc10968"/>
      <w:bookmarkStart w:id="791" w:name="_Toc300834998"/>
      <w:bookmarkStart w:id="792" w:name="_Toc30457"/>
      <w:bookmarkStart w:id="793" w:name="_Toc15170"/>
      <w:bookmarkStart w:id="794" w:name="_Toc11718"/>
      <w:bookmarkStart w:id="795" w:name="_Toc144974546"/>
      <w:r>
        <w:rPr>
          <w:rFonts w:ascii="Times New Roman" w:hAnsi="Times New Roman"/>
          <w:color w:val="auto"/>
          <w:highlight w:val="none"/>
        </w:rPr>
        <w:t>8.4</w:t>
      </w:r>
      <w:r>
        <w:rPr>
          <w:color w:val="auto"/>
          <w:highlight w:val="none"/>
        </w:rPr>
        <w:t xml:space="preserve"> 对与评标活动有关的工作人员的纪律要求</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pPr>
        <w:spacing w:line="400" w:lineRule="exact"/>
        <w:ind w:firstLine="420" w:firstLineChars="200"/>
        <w:rPr>
          <w:color w:val="auto"/>
          <w:highlight w:val="none"/>
        </w:rPr>
      </w:pPr>
      <w:bookmarkStart w:id="796" w:name="_Toc152042355"/>
      <w:r>
        <w:rPr>
          <w:rFonts w:hint="eastAsia"/>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96"/>
    </w:p>
    <w:p>
      <w:pPr>
        <w:pStyle w:val="5"/>
        <w:rPr>
          <w:color w:val="auto"/>
          <w:highlight w:val="none"/>
        </w:rPr>
      </w:pPr>
      <w:bookmarkStart w:id="797" w:name="_Toc13039"/>
      <w:bookmarkStart w:id="798" w:name="_Toc32045"/>
      <w:bookmarkStart w:id="799" w:name="_Toc29127"/>
      <w:bookmarkStart w:id="800" w:name="_Toc494371562"/>
      <w:bookmarkStart w:id="801" w:name="_Toc19195"/>
      <w:bookmarkStart w:id="802" w:name="_Toc300834999"/>
      <w:bookmarkStart w:id="803" w:name="_Toc152042356"/>
      <w:bookmarkStart w:id="804" w:name="_Toc1588"/>
      <w:bookmarkStart w:id="805" w:name="_Toc247527604"/>
      <w:bookmarkStart w:id="806" w:name="_Toc9764"/>
      <w:bookmarkStart w:id="807" w:name="_Toc24198"/>
      <w:bookmarkStart w:id="808" w:name="_Toc18798"/>
      <w:bookmarkStart w:id="809" w:name="_Toc152045579"/>
      <w:bookmarkStart w:id="810" w:name="_Toc21044"/>
      <w:bookmarkStart w:id="811" w:name="_Toc247514003"/>
      <w:bookmarkStart w:id="812" w:name="_Toc26570"/>
      <w:r>
        <w:rPr>
          <w:rFonts w:ascii="Times New Roman" w:hAnsi="Times New Roman"/>
          <w:color w:val="auto"/>
          <w:highlight w:val="none"/>
        </w:rPr>
        <w:t>8.5</w:t>
      </w:r>
      <w:r>
        <w:rPr>
          <w:color w:val="auto"/>
          <w:highlight w:val="none"/>
        </w:rPr>
        <w:t xml:space="preserve"> 投诉</w:t>
      </w:r>
      <w:bookmarkEnd w:id="795"/>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pPr>
        <w:spacing w:line="400" w:lineRule="exact"/>
        <w:ind w:firstLine="420" w:firstLineChars="200"/>
        <w:rPr>
          <w:color w:val="auto"/>
          <w:highlight w:val="none"/>
        </w:rPr>
      </w:pPr>
      <w:r>
        <w:rPr>
          <w:rFonts w:hint="eastAsia"/>
          <w:color w:val="auto"/>
          <w:highlight w:val="none"/>
        </w:rPr>
        <w:t>投标人和其他利害关系人认为本次招标活动违反法律、法规和规章规定的，有权向有关行政监督部门投诉。</w:t>
      </w:r>
    </w:p>
    <w:p>
      <w:pPr>
        <w:pStyle w:val="4"/>
        <w:rPr>
          <w:color w:val="auto"/>
          <w:highlight w:val="none"/>
        </w:rPr>
      </w:pPr>
      <w:bookmarkStart w:id="813" w:name="_Toc247514004"/>
      <w:bookmarkStart w:id="814" w:name="_Toc28094"/>
      <w:bookmarkStart w:id="815" w:name="_Toc797"/>
      <w:bookmarkStart w:id="816" w:name="_Toc25605"/>
      <w:bookmarkStart w:id="817" w:name="_Toc152042357"/>
      <w:bookmarkStart w:id="818" w:name="_Toc10294"/>
      <w:bookmarkStart w:id="819" w:name="_Toc300835000"/>
      <w:bookmarkStart w:id="820" w:name="_Toc32584"/>
      <w:bookmarkStart w:id="821" w:name="_Toc152045580"/>
      <w:bookmarkStart w:id="822" w:name="_Toc144974547"/>
      <w:bookmarkStart w:id="823" w:name="_Toc11552"/>
      <w:bookmarkStart w:id="824" w:name="_Toc24403"/>
      <w:bookmarkStart w:id="825" w:name="_Toc247527605"/>
      <w:bookmarkStart w:id="826" w:name="_Toc8751"/>
      <w:bookmarkStart w:id="827" w:name="_Toc494371563"/>
      <w:bookmarkStart w:id="828" w:name="_Toc15576"/>
      <w:bookmarkStart w:id="829" w:name="_Toc22887"/>
      <w:bookmarkStart w:id="830" w:name="_Toc2189"/>
      <w:bookmarkStart w:id="831" w:name="_Toc9682"/>
      <w:r>
        <w:rPr>
          <w:color w:val="auto"/>
          <w:highlight w:val="none"/>
        </w:rPr>
        <w:t xml:space="preserve">9. </w:t>
      </w:r>
      <w:r>
        <w:rPr>
          <w:rFonts w:hint="eastAsia"/>
          <w:color w:val="auto"/>
          <w:highlight w:val="none"/>
        </w:rPr>
        <w:t>需要补充的其他内容</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pPr>
        <w:spacing w:line="400" w:lineRule="exact"/>
        <w:ind w:firstLine="420" w:firstLineChars="200"/>
        <w:rPr>
          <w:color w:val="auto"/>
          <w:highlight w:val="none"/>
        </w:rPr>
      </w:pPr>
      <w:r>
        <w:rPr>
          <w:rFonts w:hint="eastAsia"/>
          <w:color w:val="auto"/>
          <w:highlight w:val="none"/>
        </w:rPr>
        <w:t>需要补充的其他内容：见投标人须知前附表。</w:t>
      </w:r>
    </w:p>
    <w:p>
      <w:pPr>
        <w:spacing w:line="400" w:lineRule="exact"/>
        <w:ind w:firstLine="420" w:firstLineChars="200"/>
        <w:rPr>
          <w:color w:val="auto"/>
          <w:highlight w:val="none"/>
        </w:rPr>
        <w:sectPr>
          <w:pgSz w:w="11906" w:h="16838"/>
          <w:pgMar w:top="1247" w:right="1134" w:bottom="1247" w:left="1361" w:header="851" w:footer="992" w:gutter="0"/>
          <w:cols w:space="720" w:num="1"/>
          <w:docGrid w:type="lines" w:linePitch="312" w:charSpace="0"/>
        </w:sectPr>
      </w:pPr>
    </w:p>
    <w:p>
      <w:pPr>
        <w:pStyle w:val="5"/>
        <w:rPr>
          <w:color w:val="auto"/>
          <w:highlight w:val="none"/>
        </w:rPr>
      </w:pPr>
      <w:bookmarkStart w:id="832" w:name="_Toc18813"/>
      <w:bookmarkStart w:id="833" w:name="_Toc15442"/>
      <w:bookmarkStart w:id="834" w:name="_Toc16200"/>
      <w:bookmarkStart w:id="835" w:name="_Toc300835002"/>
      <w:bookmarkStart w:id="836" w:name="_Toc494371565"/>
      <w:bookmarkStart w:id="837" w:name="_Toc19905"/>
      <w:bookmarkStart w:id="838" w:name="_Toc247527606"/>
      <w:bookmarkStart w:id="839" w:name="_Toc247514005"/>
      <w:bookmarkStart w:id="840" w:name="_Toc32753"/>
      <w:bookmarkStart w:id="841" w:name="_Toc152042358"/>
      <w:bookmarkStart w:id="842" w:name="_Toc32210"/>
      <w:bookmarkStart w:id="843" w:name="_Toc6420"/>
      <w:bookmarkStart w:id="844" w:name="_Toc152045581"/>
      <w:bookmarkStart w:id="845" w:name="_Toc9735"/>
      <w:bookmarkStart w:id="846" w:name="_Toc30853"/>
      <w:bookmarkStart w:id="847" w:name="_Toc144974548"/>
      <w:bookmarkStart w:id="848" w:name="_Toc2797"/>
      <w:r>
        <w:rPr>
          <w:rFonts w:hint="eastAsia"/>
          <w:color w:val="auto"/>
          <w:highlight w:val="none"/>
        </w:rPr>
        <w:t>附表：开标记录表</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pPr>
        <w:spacing w:line="400" w:lineRule="exact"/>
        <w:jc w:val="center"/>
        <w:rPr>
          <w:rFonts w:ascii="黑体" w:eastAsia="黑体"/>
          <w:color w:val="auto"/>
          <w:sz w:val="28"/>
          <w:szCs w:val="28"/>
          <w:highlight w:val="none"/>
        </w:rPr>
      </w:pPr>
      <w:r>
        <w:rPr>
          <w:rFonts w:hint="eastAsia" w:ascii="黑体" w:eastAsia="黑体"/>
          <w:color w:val="auto"/>
          <w:sz w:val="28"/>
          <w:szCs w:val="28"/>
          <w:highlight w:val="none"/>
        </w:rPr>
        <w:t>开标记录表</w:t>
      </w:r>
    </w:p>
    <w:p>
      <w:pPr>
        <w:spacing w:line="620" w:lineRule="exact"/>
        <w:rPr>
          <w:color w:val="auto"/>
          <w:szCs w:val="21"/>
          <w:highlight w:val="none"/>
          <w:u w:val="single"/>
        </w:rPr>
      </w:pPr>
    </w:p>
    <w:p>
      <w:pPr>
        <w:spacing w:line="400" w:lineRule="exact"/>
        <w:ind w:right="420"/>
        <w:jc w:val="left"/>
        <w:rPr>
          <w:color w:val="auto"/>
          <w:highlight w:val="none"/>
        </w:rPr>
      </w:pPr>
      <w:r>
        <w:rPr>
          <w:rFonts w:hint="eastAsia"/>
          <w:color w:val="auto"/>
          <w:szCs w:val="21"/>
          <w:highlight w:val="none"/>
        </w:rPr>
        <w:t>项目名称：</w:t>
      </w:r>
    </w:p>
    <w:tbl>
      <w:tblPr>
        <w:tblStyle w:val="3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60"/>
        <w:gridCol w:w="1905"/>
        <w:gridCol w:w="1650"/>
        <w:gridCol w:w="163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00" w:type="dxa"/>
            <w:vAlign w:val="center"/>
          </w:tcPr>
          <w:p>
            <w:pPr>
              <w:jc w:val="center"/>
              <w:rPr>
                <w:color w:val="auto"/>
                <w:sz w:val="18"/>
                <w:szCs w:val="18"/>
                <w:highlight w:val="none"/>
              </w:rPr>
            </w:pPr>
            <w:r>
              <w:rPr>
                <w:rFonts w:hint="eastAsia"/>
                <w:color w:val="auto"/>
                <w:sz w:val="18"/>
                <w:szCs w:val="18"/>
                <w:highlight w:val="none"/>
              </w:rPr>
              <w:t>序号</w:t>
            </w:r>
          </w:p>
        </w:tc>
        <w:tc>
          <w:tcPr>
            <w:tcW w:w="1860" w:type="dxa"/>
            <w:vAlign w:val="center"/>
          </w:tcPr>
          <w:p>
            <w:pPr>
              <w:jc w:val="center"/>
              <w:rPr>
                <w:color w:val="auto"/>
                <w:sz w:val="18"/>
                <w:szCs w:val="18"/>
                <w:highlight w:val="none"/>
              </w:rPr>
            </w:pPr>
            <w:r>
              <w:rPr>
                <w:rFonts w:hint="eastAsia"/>
                <w:color w:val="auto"/>
                <w:sz w:val="18"/>
                <w:szCs w:val="18"/>
                <w:highlight w:val="none"/>
              </w:rPr>
              <w:t>投标人名称</w:t>
            </w:r>
          </w:p>
        </w:tc>
        <w:tc>
          <w:tcPr>
            <w:tcW w:w="1905" w:type="dxa"/>
            <w:vAlign w:val="center"/>
          </w:tcPr>
          <w:p>
            <w:pPr>
              <w:jc w:val="center"/>
              <w:rPr>
                <w:color w:val="auto"/>
                <w:sz w:val="18"/>
                <w:szCs w:val="18"/>
                <w:highlight w:val="none"/>
              </w:rPr>
            </w:pPr>
            <w:r>
              <w:rPr>
                <w:rFonts w:hint="eastAsia"/>
                <w:color w:val="auto"/>
                <w:sz w:val="18"/>
                <w:szCs w:val="18"/>
                <w:highlight w:val="none"/>
              </w:rPr>
              <w:t>投标总报价</w:t>
            </w:r>
          </w:p>
          <w:p>
            <w:pPr>
              <w:jc w:val="center"/>
              <w:rPr>
                <w:color w:val="auto"/>
                <w:sz w:val="18"/>
                <w:szCs w:val="18"/>
                <w:highlight w:val="none"/>
              </w:rPr>
            </w:pPr>
            <w:r>
              <w:rPr>
                <w:rFonts w:hint="eastAsia"/>
                <w:color w:val="auto"/>
                <w:sz w:val="18"/>
                <w:szCs w:val="18"/>
                <w:highlight w:val="none"/>
              </w:rPr>
              <w:t>（元）</w:t>
            </w:r>
          </w:p>
        </w:tc>
        <w:tc>
          <w:tcPr>
            <w:tcW w:w="1650" w:type="dxa"/>
            <w:vAlign w:val="center"/>
          </w:tcPr>
          <w:p>
            <w:pPr>
              <w:jc w:val="center"/>
              <w:rPr>
                <w:color w:val="auto"/>
                <w:sz w:val="18"/>
                <w:szCs w:val="18"/>
                <w:highlight w:val="none"/>
              </w:rPr>
            </w:pPr>
            <w:r>
              <w:rPr>
                <w:rFonts w:hint="eastAsia"/>
                <w:color w:val="auto"/>
                <w:sz w:val="18"/>
                <w:szCs w:val="18"/>
                <w:highlight w:val="none"/>
              </w:rPr>
              <w:t>其中：设计费（元）</w:t>
            </w:r>
          </w:p>
        </w:tc>
        <w:tc>
          <w:tcPr>
            <w:tcW w:w="1635" w:type="dxa"/>
            <w:vAlign w:val="center"/>
          </w:tcPr>
          <w:p>
            <w:pPr>
              <w:jc w:val="center"/>
              <w:rPr>
                <w:color w:val="auto"/>
                <w:sz w:val="18"/>
                <w:szCs w:val="18"/>
                <w:highlight w:val="none"/>
              </w:rPr>
            </w:pPr>
            <w:r>
              <w:rPr>
                <w:rFonts w:hint="eastAsia"/>
                <w:color w:val="auto"/>
                <w:sz w:val="18"/>
                <w:szCs w:val="18"/>
                <w:highlight w:val="none"/>
              </w:rPr>
              <w:t>其中：</w:t>
            </w:r>
            <w:r>
              <w:rPr>
                <w:rFonts w:hint="eastAsia"/>
                <w:color w:val="auto"/>
                <w:sz w:val="18"/>
                <w:szCs w:val="18"/>
                <w:highlight w:val="none"/>
                <w:lang w:eastAsia="zh-CN"/>
              </w:rPr>
              <w:t>建安工程费</w:t>
            </w:r>
            <w:r>
              <w:rPr>
                <w:rFonts w:hint="eastAsia"/>
                <w:color w:val="auto"/>
                <w:sz w:val="18"/>
                <w:szCs w:val="18"/>
                <w:highlight w:val="none"/>
              </w:rPr>
              <w:t>（元）</w:t>
            </w:r>
          </w:p>
        </w:tc>
        <w:tc>
          <w:tcPr>
            <w:tcW w:w="1590" w:type="dxa"/>
            <w:vAlign w:val="center"/>
          </w:tcPr>
          <w:p>
            <w:pPr>
              <w:jc w:val="center"/>
              <w:rPr>
                <w:color w:val="auto"/>
                <w:sz w:val="18"/>
                <w:szCs w:val="18"/>
                <w:highlight w:val="none"/>
              </w:rPr>
            </w:pPr>
            <w:r>
              <w:rPr>
                <w:rFonts w:hint="eastAsia"/>
                <w:color w:val="auto"/>
                <w:sz w:val="18"/>
                <w:szCs w:val="18"/>
                <w:highlight w:val="none"/>
              </w:rPr>
              <w:t>投标人代表</w:t>
            </w:r>
          </w:p>
          <w:p>
            <w:pPr>
              <w:jc w:val="center"/>
              <w:rPr>
                <w:color w:val="auto"/>
                <w:sz w:val="18"/>
                <w:szCs w:val="18"/>
                <w:highlight w:val="none"/>
              </w:rPr>
            </w:pPr>
            <w:r>
              <w:rPr>
                <w:rFonts w:hint="eastAsia"/>
                <w:color w:val="auto"/>
                <w:sz w:val="18"/>
                <w:szCs w:val="18"/>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00" w:type="dxa"/>
            <w:vAlign w:val="center"/>
          </w:tcPr>
          <w:p>
            <w:pPr>
              <w:spacing w:line="620" w:lineRule="exact"/>
              <w:jc w:val="center"/>
              <w:rPr>
                <w:color w:val="auto"/>
                <w:szCs w:val="21"/>
                <w:highlight w:val="none"/>
              </w:rPr>
            </w:pPr>
          </w:p>
        </w:tc>
        <w:tc>
          <w:tcPr>
            <w:tcW w:w="1860" w:type="dxa"/>
            <w:vAlign w:val="center"/>
          </w:tcPr>
          <w:p>
            <w:pPr>
              <w:spacing w:line="620" w:lineRule="exact"/>
              <w:jc w:val="center"/>
              <w:rPr>
                <w:color w:val="auto"/>
                <w:szCs w:val="21"/>
                <w:highlight w:val="none"/>
              </w:rPr>
            </w:pPr>
          </w:p>
        </w:tc>
        <w:tc>
          <w:tcPr>
            <w:tcW w:w="1905" w:type="dxa"/>
            <w:vAlign w:val="center"/>
          </w:tcPr>
          <w:p>
            <w:pPr>
              <w:spacing w:line="620" w:lineRule="exact"/>
              <w:jc w:val="center"/>
              <w:rPr>
                <w:color w:val="auto"/>
                <w:szCs w:val="21"/>
                <w:highlight w:val="none"/>
              </w:rPr>
            </w:pPr>
          </w:p>
        </w:tc>
        <w:tc>
          <w:tcPr>
            <w:tcW w:w="1650" w:type="dxa"/>
          </w:tcPr>
          <w:p>
            <w:pPr>
              <w:spacing w:line="620" w:lineRule="exact"/>
              <w:jc w:val="center"/>
              <w:rPr>
                <w:color w:val="auto"/>
                <w:szCs w:val="21"/>
                <w:highlight w:val="none"/>
              </w:rPr>
            </w:pPr>
          </w:p>
        </w:tc>
        <w:tc>
          <w:tcPr>
            <w:tcW w:w="1635" w:type="dxa"/>
          </w:tcPr>
          <w:p>
            <w:pPr>
              <w:spacing w:line="620" w:lineRule="exact"/>
              <w:jc w:val="center"/>
              <w:rPr>
                <w:color w:val="auto"/>
                <w:szCs w:val="21"/>
                <w:highlight w:val="none"/>
              </w:rPr>
            </w:pPr>
          </w:p>
        </w:tc>
        <w:tc>
          <w:tcPr>
            <w:tcW w:w="1590" w:type="dxa"/>
          </w:tcPr>
          <w:p>
            <w:pPr>
              <w:spacing w:line="62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00" w:type="dxa"/>
            <w:vAlign w:val="center"/>
          </w:tcPr>
          <w:p>
            <w:pPr>
              <w:spacing w:line="620" w:lineRule="exact"/>
              <w:jc w:val="center"/>
              <w:rPr>
                <w:color w:val="auto"/>
                <w:szCs w:val="21"/>
                <w:highlight w:val="none"/>
              </w:rPr>
            </w:pPr>
          </w:p>
        </w:tc>
        <w:tc>
          <w:tcPr>
            <w:tcW w:w="1860" w:type="dxa"/>
            <w:vAlign w:val="center"/>
          </w:tcPr>
          <w:p>
            <w:pPr>
              <w:spacing w:line="620" w:lineRule="exact"/>
              <w:jc w:val="center"/>
              <w:rPr>
                <w:color w:val="auto"/>
                <w:szCs w:val="21"/>
                <w:highlight w:val="none"/>
              </w:rPr>
            </w:pPr>
          </w:p>
        </w:tc>
        <w:tc>
          <w:tcPr>
            <w:tcW w:w="1905" w:type="dxa"/>
            <w:vAlign w:val="center"/>
          </w:tcPr>
          <w:p>
            <w:pPr>
              <w:spacing w:line="620" w:lineRule="exact"/>
              <w:jc w:val="center"/>
              <w:rPr>
                <w:color w:val="auto"/>
                <w:szCs w:val="21"/>
                <w:highlight w:val="none"/>
              </w:rPr>
            </w:pPr>
          </w:p>
        </w:tc>
        <w:tc>
          <w:tcPr>
            <w:tcW w:w="1650" w:type="dxa"/>
          </w:tcPr>
          <w:p>
            <w:pPr>
              <w:spacing w:line="620" w:lineRule="exact"/>
              <w:jc w:val="center"/>
              <w:rPr>
                <w:color w:val="auto"/>
                <w:szCs w:val="21"/>
                <w:highlight w:val="none"/>
              </w:rPr>
            </w:pPr>
          </w:p>
        </w:tc>
        <w:tc>
          <w:tcPr>
            <w:tcW w:w="1635" w:type="dxa"/>
          </w:tcPr>
          <w:p>
            <w:pPr>
              <w:spacing w:line="620" w:lineRule="exact"/>
              <w:jc w:val="center"/>
              <w:rPr>
                <w:color w:val="auto"/>
                <w:szCs w:val="21"/>
                <w:highlight w:val="none"/>
              </w:rPr>
            </w:pPr>
          </w:p>
        </w:tc>
        <w:tc>
          <w:tcPr>
            <w:tcW w:w="1590" w:type="dxa"/>
          </w:tcPr>
          <w:p>
            <w:pPr>
              <w:spacing w:line="62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00" w:type="dxa"/>
            <w:vAlign w:val="center"/>
          </w:tcPr>
          <w:p>
            <w:pPr>
              <w:spacing w:line="620" w:lineRule="exact"/>
              <w:jc w:val="center"/>
              <w:rPr>
                <w:color w:val="auto"/>
                <w:szCs w:val="21"/>
                <w:highlight w:val="none"/>
              </w:rPr>
            </w:pPr>
          </w:p>
        </w:tc>
        <w:tc>
          <w:tcPr>
            <w:tcW w:w="1860" w:type="dxa"/>
            <w:vAlign w:val="center"/>
          </w:tcPr>
          <w:p>
            <w:pPr>
              <w:spacing w:line="620" w:lineRule="exact"/>
              <w:jc w:val="center"/>
              <w:rPr>
                <w:color w:val="auto"/>
                <w:szCs w:val="21"/>
                <w:highlight w:val="none"/>
              </w:rPr>
            </w:pPr>
          </w:p>
        </w:tc>
        <w:tc>
          <w:tcPr>
            <w:tcW w:w="1905" w:type="dxa"/>
            <w:vAlign w:val="center"/>
          </w:tcPr>
          <w:p>
            <w:pPr>
              <w:spacing w:line="620" w:lineRule="exact"/>
              <w:jc w:val="center"/>
              <w:rPr>
                <w:color w:val="auto"/>
                <w:szCs w:val="21"/>
                <w:highlight w:val="none"/>
              </w:rPr>
            </w:pPr>
          </w:p>
        </w:tc>
        <w:tc>
          <w:tcPr>
            <w:tcW w:w="1650" w:type="dxa"/>
          </w:tcPr>
          <w:p>
            <w:pPr>
              <w:spacing w:line="620" w:lineRule="exact"/>
              <w:jc w:val="center"/>
              <w:rPr>
                <w:color w:val="auto"/>
                <w:szCs w:val="21"/>
                <w:highlight w:val="none"/>
              </w:rPr>
            </w:pPr>
          </w:p>
        </w:tc>
        <w:tc>
          <w:tcPr>
            <w:tcW w:w="1635" w:type="dxa"/>
          </w:tcPr>
          <w:p>
            <w:pPr>
              <w:spacing w:line="620" w:lineRule="exact"/>
              <w:jc w:val="center"/>
              <w:rPr>
                <w:color w:val="auto"/>
                <w:szCs w:val="21"/>
                <w:highlight w:val="none"/>
              </w:rPr>
            </w:pPr>
          </w:p>
        </w:tc>
        <w:tc>
          <w:tcPr>
            <w:tcW w:w="1590" w:type="dxa"/>
          </w:tcPr>
          <w:p>
            <w:pPr>
              <w:spacing w:line="62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00" w:type="dxa"/>
            <w:vAlign w:val="center"/>
          </w:tcPr>
          <w:p>
            <w:pPr>
              <w:spacing w:line="620" w:lineRule="exact"/>
              <w:jc w:val="center"/>
              <w:rPr>
                <w:color w:val="auto"/>
                <w:szCs w:val="21"/>
                <w:highlight w:val="none"/>
              </w:rPr>
            </w:pPr>
          </w:p>
        </w:tc>
        <w:tc>
          <w:tcPr>
            <w:tcW w:w="1860" w:type="dxa"/>
            <w:vAlign w:val="center"/>
          </w:tcPr>
          <w:p>
            <w:pPr>
              <w:spacing w:line="620" w:lineRule="exact"/>
              <w:jc w:val="center"/>
              <w:rPr>
                <w:color w:val="auto"/>
                <w:szCs w:val="21"/>
                <w:highlight w:val="none"/>
              </w:rPr>
            </w:pPr>
          </w:p>
        </w:tc>
        <w:tc>
          <w:tcPr>
            <w:tcW w:w="1905" w:type="dxa"/>
            <w:vAlign w:val="center"/>
          </w:tcPr>
          <w:p>
            <w:pPr>
              <w:spacing w:line="620" w:lineRule="exact"/>
              <w:jc w:val="center"/>
              <w:rPr>
                <w:color w:val="auto"/>
                <w:szCs w:val="21"/>
                <w:highlight w:val="none"/>
              </w:rPr>
            </w:pPr>
          </w:p>
        </w:tc>
        <w:tc>
          <w:tcPr>
            <w:tcW w:w="1650" w:type="dxa"/>
          </w:tcPr>
          <w:p>
            <w:pPr>
              <w:spacing w:line="620" w:lineRule="exact"/>
              <w:jc w:val="center"/>
              <w:rPr>
                <w:color w:val="auto"/>
                <w:szCs w:val="21"/>
                <w:highlight w:val="none"/>
              </w:rPr>
            </w:pPr>
          </w:p>
        </w:tc>
        <w:tc>
          <w:tcPr>
            <w:tcW w:w="1635" w:type="dxa"/>
          </w:tcPr>
          <w:p>
            <w:pPr>
              <w:spacing w:line="620" w:lineRule="exact"/>
              <w:jc w:val="center"/>
              <w:rPr>
                <w:color w:val="auto"/>
                <w:szCs w:val="21"/>
                <w:highlight w:val="none"/>
              </w:rPr>
            </w:pPr>
          </w:p>
        </w:tc>
        <w:tc>
          <w:tcPr>
            <w:tcW w:w="1590" w:type="dxa"/>
          </w:tcPr>
          <w:p>
            <w:pPr>
              <w:spacing w:line="62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0" w:type="dxa"/>
            <w:vAlign w:val="center"/>
          </w:tcPr>
          <w:p>
            <w:pPr>
              <w:spacing w:line="620" w:lineRule="exact"/>
              <w:jc w:val="center"/>
              <w:rPr>
                <w:color w:val="auto"/>
                <w:szCs w:val="21"/>
                <w:highlight w:val="none"/>
              </w:rPr>
            </w:pPr>
          </w:p>
        </w:tc>
        <w:tc>
          <w:tcPr>
            <w:tcW w:w="1860" w:type="dxa"/>
            <w:vAlign w:val="center"/>
          </w:tcPr>
          <w:p>
            <w:pPr>
              <w:spacing w:line="620" w:lineRule="exact"/>
              <w:jc w:val="center"/>
              <w:rPr>
                <w:color w:val="auto"/>
                <w:szCs w:val="21"/>
                <w:highlight w:val="none"/>
              </w:rPr>
            </w:pPr>
          </w:p>
        </w:tc>
        <w:tc>
          <w:tcPr>
            <w:tcW w:w="1905" w:type="dxa"/>
            <w:vAlign w:val="center"/>
          </w:tcPr>
          <w:p>
            <w:pPr>
              <w:spacing w:line="620" w:lineRule="exact"/>
              <w:jc w:val="center"/>
              <w:rPr>
                <w:color w:val="auto"/>
                <w:szCs w:val="21"/>
                <w:highlight w:val="none"/>
              </w:rPr>
            </w:pPr>
          </w:p>
        </w:tc>
        <w:tc>
          <w:tcPr>
            <w:tcW w:w="1650" w:type="dxa"/>
          </w:tcPr>
          <w:p>
            <w:pPr>
              <w:spacing w:line="620" w:lineRule="exact"/>
              <w:jc w:val="center"/>
              <w:rPr>
                <w:color w:val="auto"/>
                <w:szCs w:val="21"/>
                <w:highlight w:val="none"/>
              </w:rPr>
            </w:pPr>
          </w:p>
        </w:tc>
        <w:tc>
          <w:tcPr>
            <w:tcW w:w="1635" w:type="dxa"/>
          </w:tcPr>
          <w:p>
            <w:pPr>
              <w:spacing w:line="620" w:lineRule="exact"/>
              <w:jc w:val="center"/>
              <w:rPr>
                <w:color w:val="auto"/>
                <w:szCs w:val="21"/>
                <w:highlight w:val="none"/>
              </w:rPr>
            </w:pPr>
          </w:p>
        </w:tc>
        <w:tc>
          <w:tcPr>
            <w:tcW w:w="1590" w:type="dxa"/>
          </w:tcPr>
          <w:p>
            <w:pPr>
              <w:spacing w:line="620" w:lineRule="exact"/>
              <w:jc w:val="center"/>
              <w:rPr>
                <w:color w:val="auto"/>
                <w:szCs w:val="21"/>
                <w:highlight w:val="none"/>
              </w:rPr>
            </w:pPr>
          </w:p>
        </w:tc>
      </w:tr>
    </w:tbl>
    <w:p>
      <w:pPr>
        <w:spacing w:line="620" w:lineRule="exact"/>
        <w:rPr>
          <w:color w:val="auto"/>
          <w:szCs w:val="21"/>
          <w:highlight w:val="none"/>
        </w:rPr>
      </w:pPr>
      <w:r>
        <w:rPr>
          <w:rFonts w:hint="eastAsia"/>
          <w:color w:val="auto"/>
          <w:szCs w:val="21"/>
          <w:highlight w:val="none"/>
        </w:rPr>
        <w:t>唱标人：                                             监督人：</w:t>
      </w:r>
    </w:p>
    <w:p>
      <w:pPr>
        <w:pStyle w:val="3"/>
        <w:jc w:val="center"/>
        <w:rPr>
          <w:rFonts w:ascii="宋体" w:hAnsi="宋体"/>
          <w:color w:val="auto"/>
          <w:highlight w:val="none"/>
        </w:rPr>
      </w:pPr>
      <w:bookmarkStart w:id="849" w:name="_Toc436834776"/>
      <w:bookmarkStart w:id="850" w:name="_Toc152042375"/>
      <w:bookmarkStart w:id="851" w:name="_Toc247527623"/>
      <w:bookmarkStart w:id="852" w:name="_Toc494371566"/>
      <w:bookmarkStart w:id="853" w:name="_Toc29364"/>
      <w:bookmarkStart w:id="854" w:name="_Toc152045598"/>
      <w:bookmarkStart w:id="855" w:name="_Toc3567"/>
      <w:bookmarkStart w:id="856" w:name="_Toc144974565"/>
      <w:bookmarkStart w:id="857" w:name="_Toc21214"/>
      <w:bookmarkStart w:id="858" w:name="_Toc12479"/>
      <w:bookmarkStart w:id="859" w:name="_Toc247514022"/>
      <w:bookmarkStart w:id="860" w:name="_Toc4886"/>
      <w:bookmarkStart w:id="861" w:name="_Toc26793"/>
      <w:r>
        <w:rPr>
          <w:rFonts w:hint="eastAsia" w:ascii="宋体" w:hAnsi="宋体"/>
          <w:color w:val="auto"/>
          <w:highlight w:val="none"/>
        </w:rPr>
        <w:t>第三章评标办法（综合评估法）</w:t>
      </w:r>
      <w:bookmarkEnd w:id="849"/>
      <w:bookmarkEnd w:id="850"/>
      <w:bookmarkEnd w:id="851"/>
      <w:bookmarkEnd w:id="852"/>
      <w:bookmarkEnd w:id="853"/>
      <w:bookmarkEnd w:id="854"/>
      <w:bookmarkEnd w:id="855"/>
      <w:bookmarkEnd w:id="856"/>
      <w:bookmarkEnd w:id="857"/>
      <w:bookmarkEnd w:id="858"/>
      <w:bookmarkEnd w:id="859"/>
      <w:bookmarkEnd w:id="860"/>
      <w:bookmarkEnd w:id="861"/>
    </w:p>
    <w:p>
      <w:pPr>
        <w:pStyle w:val="4"/>
        <w:spacing w:before="120" w:after="120"/>
        <w:jc w:val="center"/>
        <w:rPr>
          <w:rFonts w:ascii="宋体" w:hAnsi="宋体" w:eastAsia="宋体"/>
          <w:color w:val="auto"/>
          <w:highlight w:val="none"/>
        </w:rPr>
      </w:pPr>
      <w:bookmarkStart w:id="862" w:name="_Toc16897"/>
      <w:bookmarkStart w:id="863" w:name="_Toc300835009"/>
      <w:bookmarkStart w:id="864" w:name="_Toc152042376"/>
      <w:bookmarkStart w:id="865" w:name="_Toc14287"/>
      <w:bookmarkStart w:id="866" w:name="_Toc27045"/>
      <w:bookmarkStart w:id="867" w:name="_Toc399165430"/>
      <w:bookmarkStart w:id="868" w:name="_Toc152045599"/>
      <w:bookmarkStart w:id="869" w:name="_Toc436834777"/>
      <w:bookmarkStart w:id="870" w:name="_Toc247527624"/>
      <w:bookmarkStart w:id="871" w:name="_Toc16563"/>
      <w:bookmarkStart w:id="872" w:name="_Toc144974566"/>
      <w:bookmarkStart w:id="873" w:name="_Toc247514023"/>
      <w:bookmarkStart w:id="874" w:name="_Toc5317"/>
      <w:bookmarkStart w:id="875" w:name="_Toc436834184"/>
      <w:bookmarkStart w:id="876" w:name="_Toc25647"/>
      <w:bookmarkStart w:id="877" w:name="_Toc494371567"/>
      <w:r>
        <w:rPr>
          <w:rFonts w:hint="eastAsia" w:ascii="宋体" w:hAnsi="宋体" w:eastAsia="宋体"/>
          <w:color w:val="auto"/>
          <w:highlight w:val="none"/>
        </w:rPr>
        <w:t>评标办法前附表</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tbl>
      <w:tblPr>
        <w:tblStyle w:val="39"/>
        <w:tblW w:w="94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7"/>
        <w:gridCol w:w="1538"/>
        <w:gridCol w:w="1575"/>
        <w:gridCol w:w="55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1575"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评审因素</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2.1.1</w:t>
            </w:r>
          </w:p>
        </w:tc>
        <w:tc>
          <w:tcPr>
            <w:tcW w:w="1575"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资格审查</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left"/>
              <w:rPr>
                <w:rFonts w:ascii="宋体" w:hAnsi="宋体"/>
                <w:color w:val="auto"/>
                <w:szCs w:val="21"/>
                <w:highlight w:val="none"/>
              </w:rPr>
            </w:pPr>
            <w:r>
              <w:rPr>
                <w:rFonts w:hint="eastAsia" w:ascii="宋体" w:hAnsi="宋体"/>
                <w:color w:val="auto"/>
                <w:szCs w:val="21"/>
                <w:highlight w:val="none"/>
              </w:rPr>
              <w:t>见附表</w:t>
            </w:r>
            <w:r>
              <w:rPr>
                <w:rFonts w:ascii="宋体" w:hAnsi="宋体"/>
                <w:color w:val="auto"/>
                <w:szCs w:val="21"/>
                <w:highlight w:val="none"/>
              </w:rPr>
              <w:t>1《资格审查表》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right w:val="single" w:color="auto" w:sz="6"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2.1.2</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olor w:val="auto"/>
                <w:szCs w:val="21"/>
                <w:highlight w:val="none"/>
              </w:rPr>
            </w:pPr>
            <w:r>
              <w:rPr>
                <w:rFonts w:hint="eastAsia"/>
                <w:color w:val="auto"/>
                <w:szCs w:val="21"/>
                <w:highlight w:val="none"/>
              </w:rPr>
              <w:t>投标文件有效性审查表</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left"/>
              <w:rPr>
                <w:rFonts w:ascii="宋体" w:hAnsi="宋体"/>
                <w:color w:val="auto"/>
                <w:szCs w:val="21"/>
                <w:highlight w:val="none"/>
              </w:rPr>
            </w:pPr>
            <w:r>
              <w:rPr>
                <w:rFonts w:hint="eastAsia"/>
                <w:color w:val="auto"/>
                <w:szCs w:val="21"/>
                <w:highlight w:val="none"/>
              </w:rPr>
              <w:t>附表2《工程总承包实施方案（含资信部分）文件有效性审查表》、附表4《投标报价文件有效性审查表》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条款内容</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2.2.1</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分值构成及权重</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rPr>
                <w:rFonts w:ascii="宋体" w:hAnsi="宋体"/>
                <w:color w:val="auto"/>
                <w:szCs w:val="21"/>
                <w:highlight w:val="none"/>
              </w:rPr>
            </w:pPr>
            <w:r>
              <w:rPr>
                <w:rFonts w:hint="eastAsia"/>
                <w:color w:val="auto"/>
                <w:szCs w:val="21"/>
                <w:highlight w:val="none"/>
              </w:rPr>
              <w:t>投标人总得分满分为100分，总分=工程总承包实施方案（含资信部分）得分×</w:t>
            </w:r>
            <w:r>
              <w:rPr>
                <w:rFonts w:hint="eastAsia"/>
                <w:color w:val="auto"/>
                <w:szCs w:val="21"/>
                <w:highlight w:val="none"/>
                <w:lang w:val="en-US" w:eastAsia="zh-CN"/>
              </w:rPr>
              <w:t>4</w:t>
            </w:r>
            <w:r>
              <w:rPr>
                <w:rFonts w:hint="eastAsia"/>
                <w:color w:val="auto"/>
                <w:szCs w:val="21"/>
                <w:highlight w:val="none"/>
              </w:rPr>
              <w:t>0%+投标报价得分×</w:t>
            </w:r>
            <w:r>
              <w:rPr>
                <w:rFonts w:hint="eastAsia"/>
                <w:color w:val="auto"/>
                <w:szCs w:val="21"/>
                <w:highlight w:val="none"/>
                <w:lang w:val="en-US" w:eastAsia="zh-CN"/>
              </w:rPr>
              <w:t>6</w:t>
            </w:r>
            <w:r>
              <w:rPr>
                <w:rFonts w:hint="eastAsia"/>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hint="eastAsia" w:ascii="宋体" w:hAnsi="宋体"/>
                <w:b/>
                <w:color w:val="auto"/>
                <w:szCs w:val="21"/>
                <w:highlight w:val="none"/>
              </w:rPr>
              <w:t>条款号</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评分因素</w:t>
            </w:r>
          </w:p>
        </w:tc>
        <w:tc>
          <w:tcPr>
            <w:tcW w:w="5508"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color w:val="auto"/>
                <w:szCs w:val="21"/>
                <w:highlight w:val="none"/>
              </w:rPr>
            </w:pPr>
            <w:r>
              <w:rPr>
                <w:rFonts w:hint="eastAsia" w:ascii="宋体" w:hAnsi="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77" w:type="dxa"/>
            <w:tcBorders>
              <w:top w:val="single" w:color="auto" w:sz="6" w:space="0"/>
              <w:left w:val="single" w:color="auto" w:sz="4" w:space="0"/>
              <w:right w:val="single" w:color="auto" w:sz="6"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p>
        </w:tc>
        <w:tc>
          <w:tcPr>
            <w:tcW w:w="1538" w:type="dxa"/>
            <w:tcBorders>
              <w:top w:val="single" w:color="auto" w:sz="6" w:space="0"/>
              <w:left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hint="eastAsia"/>
                <w:color w:val="auto"/>
                <w:szCs w:val="21"/>
                <w:highlight w:val="none"/>
              </w:rPr>
              <w:t>工程总承包实施方案（含资信部分）文件详细审查评分标准</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olor w:val="auto"/>
                <w:szCs w:val="21"/>
                <w:highlight w:val="none"/>
              </w:rPr>
            </w:pPr>
            <w:r>
              <w:rPr>
                <w:rFonts w:hint="eastAsia"/>
                <w:color w:val="auto"/>
                <w:szCs w:val="21"/>
                <w:highlight w:val="none"/>
              </w:rPr>
              <w:t>工程总承包实施方案（含资信部分）文件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color w:val="auto"/>
                <w:szCs w:val="21"/>
                <w:highlight w:val="none"/>
              </w:rPr>
            </w:pPr>
            <w:r>
              <w:rPr>
                <w:rFonts w:hint="eastAsia"/>
                <w:color w:val="auto"/>
                <w:szCs w:val="21"/>
                <w:highlight w:val="none"/>
              </w:rPr>
              <w:t>见附表3《工程总承包实施方案（含资信部分）文件评分表》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77" w:type="dxa"/>
            <w:tcBorders>
              <w:top w:val="single" w:color="auto" w:sz="6" w:space="0"/>
              <w:left w:val="single" w:color="auto" w:sz="4" w:space="0"/>
              <w:right w:val="single" w:color="auto" w:sz="6"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p>
        </w:tc>
        <w:tc>
          <w:tcPr>
            <w:tcW w:w="1538" w:type="dxa"/>
            <w:tcBorders>
              <w:top w:val="single" w:color="auto" w:sz="6" w:space="0"/>
              <w:left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hint="eastAsia"/>
                <w:color w:val="auto"/>
                <w:szCs w:val="21"/>
                <w:highlight w:val="none"/>
              </w:rPr>
              <w:t>投标报价文件详细审查评分标准</w:t>
            </w:r>
          </w:p>
        </w:tc>
        <w:tc>
          <w:tcPr>
            <w:tcW w:w="1575" w:type="dxa"/>
            <w:tcBorders>
              <w:top w:val="single" w:color="auto" w:sz="6" w:space="0"/>
              <w:left w:val="single" w:color="auto" w:sz="6" w:space="0"/>
              <w:bottom w:val="single" w:color="auto" w:sz="6" w:space="0"/>
              <w:right w:val="single" w:color="auto" w:sz="4" w:space="0"/>
            </w:tcBorders>
            <w:vAlign w:val="center"/>
          </w:tcPr>
          <w:p>
            <w:pPr>
              <w:jc w:val="center"/>
              <w:rPr>
                <w:color w:val="auto"/>
                <w:szCs w:val="21"/>
                <w:highlight w:val="none"/>
              </w:rPr>
            </w:pPr>
            <w:r>
              <w:rPr>
                <w:rFonts w:hint="eastAsia"/>
                <w:color w:val="auto"/>
                <w:szCs w:val="21"/>
                <w:highlight w:val="none"/>
              </w:rPr>
              <w:t>投标报价文件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color w:val="auto"/>
                <w:szCs w:val="21"/>
                <w:highlight w:val="none"/>
              </w:rPr>
            </w:pPr>
            <w:r>
              <w:rPr>
                <w:rFonts w:hint="eastAsia"/>
                <w:color w:val="auto"/>
                <w:szCs w:val="21"/>
                <w:highlight w:val="none"/>
              </w:rPr>
              <w:t>见附表6《建安工程费投标报价得分计算表》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9498" w:type="dxa"/>
            <w:gridSpan w:val="4"/>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需要补充的其他内容</w:t>
            </w:r>
          </w:p>
        </w:tc>
      </w:tr>
    </w:tbl>
    <w:p>
      <w:pPr>
        <w:pStyle w:val="4"/>
        <w:spacing w:before="100" w:after="100" w:line="360" w:lineRule="auto"/>
        <w:rPr>
          <w:rFonts w:ascii="宋体" w:hAnsi="宋体" w:eastAsia="宋体"/>
          <w:color w:val="auto"/>
          <w:highlight w:val="none"/>
        </w:rPr>
      </w:pPr>
      <w:r>
        <w:rPr>
          <w:color w:val="auto"/>
          <w:highlight w:val="none"/>
        </w:rPr>
        <w:br w:type="page"/>
      </w:r>
      <w:bookmarkStart w:id="878" w:name="_Toc494371568"/>
      <w:bookmarkStart w:id="879" w:name="_Toc436834185"/>
      <w:bookmarkStart w:id="880" w:name="_Toc300835010"/>
      <w:bookmarkStart w:id="881" w:name="_Toc152045600"/>
      <w:bookmarkStart w:id="882" w:name="_Toc399165431"/>
      <w:bookmarkStart w:id="883" w:name="_Toc25710"/>
      <w:bookmarkStart w:id="884" w:name="_Toc16222"/>
      <w:bookmarkStart w:id="885" w:name="_Toc10123"/>
      <w:bookmarkStart w:id="886" w:name="_Toc144974567"/>
      <w:bookmarkStart w:id="887" w:name="_Toc152042377"/>
      <w:bookmarkStart w:id="888" w:name="_Toc20806"/>
      <w:bookmarkStart w:id="889" w:name="_Toc23786"/>
      <w:bookmarkStart w:id="890" w:name="_Toc25246"/>
      <w:bookmarkStart w:id="891" w:name="_Toc247514024"/>
      <w:bookmarkStart w:id="892" w:name="_Toc436834778"/>
      <w:bookmarkStart w:id="893" w:name="_Toc247527625"/>
      <w:r>
        <w:rPr>
          <w:rFonts w:ascii="宋体" w:hAnsi="宋体" w:eastAsia="宋体"/>
          <w:color w:val="auto"/>
          <w:highlight w:val="none"/>
        </w:rPr>
        <w:t xml:space="preserve">1. </w:t>
      </w:r>
      <w:r>
        <w:rPr>
          <w:rFonts w:hint="eastAsia" w:ascii="宋体" w:hAnsi="宋体" w:eastAsia="宋体"/>
          <w:color w:val="auto"/>
          <w:highlight w:val="none"/>
        </w:rPr>
        <w:t>评标方法</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pPr>
        <w:spacing w:line="400" w:lineRule="exact"/>
        <w:ind w:firstLine="420" w:firstLineChars="200"/>
        <w:rPr>
          <w:rFonts w:ascii="宋体" w:hAnsi="宋体"/>
          <w:color w:val="auto"/>
          <w:highlight w:val="none"/>
        </w:rPr>
      </w:pPr>
      <w:r>
        <w:rPr>
          <w:rFonts w:hint="eastAsia" w:ascii="宋体" w:hAnsi="宋体"/>
          <w:color w:val="auto"/>
          <w:highlight w:val="none"/>
        </w:rPr>
        <w:t>本次评标采用综合评分法。评标委员会对满足招标文件实质性要求的投标文件，按照本章第</w:t>
      </w:r>
      <w:r>
        <w:rPr>
          <w:rFonts w:ascii="宋体" w:hAnsi="宋体"/>
          <w:color w:val="auto"/>
          <w:highlight w:val="none"/>
        </w:rPr>
        <w:t>2.2</w:t>
      </w:r>
      <w:r>
        <w:rPr>
          <w:rFonts w:hint="eastAsia" w:ascii="宋体" w:hAnsi="宋体"/>
          <w:color w:val="auto"/>
          <w:highlight w:val="none"/>
        </w:rPr>
        <w:t>款规定的评分标准进行打分，并按得分由高到低顺序推荐中标候选人，或根据招标人授权直接确定中标人，但投标报价低于其成本的除外。</w:t>
      </w:r>
    </w:p>
    <w:p>
      <w:pPr>
        <w:pStyle w:val="4"/>
        <w:spacing w:before="100" w:after="100" w:line="360" w:lineRule="auto"/>
        <w:rPr>
          <w:rFonts w:ascii="宋体" w:hAnsi="宋体" w:eastAsia="宋体"/>
          <w:color w:val="auto"/>
          <w:highlight w:val="none"/>
        </w:rPr>
      </w:pPr>
      <w:bookmarkStart w:id="894" w:name="_Toc436834186"/>
      <w:bookmarkStart w:id="895" w:name="_Toc247527626"/>
      <w:bookmarkStart w:id="896" w:name="_Toc14150"/>
      <w:bookmarkStart w:id="897" w:name="_Toc247514025"/>
      <w:bookmarkStart w:id="898" w:name="_Toc399165432"/>
      <w:bookmarkStart w:id="899" w:name="_Toc152042378"/>
      <w:bookmarkStart w:id="900" w:name="_Toc152045601"/>
      <w:bookmarkStart w:id="901" w:name="_Toc9484"/>
      <w:bookmarkStart w:id="902" w:name="_Toc144974568"/>
      <w:bookmarkStart w:id="903" w:name="_Toc65"/>
      <w:bookmarkStart w:id="904" w:name="_Toc436834779"/>
      <w:bookmarkStart w:id="905" w:name="_Toc17632"/>
      <w:bookmarkStart w:id="906" w:name="_Toc16219"/>
      <w:bookmarkStart w:id="907" w:name="_Toc494371569"/>
      <w:bookmarkStart w:id="908" w:name="_Toc30197"/>
      <w:bookmarkStart w:id="909" w:name="_Toc300835011"/>
      <w:r>
        <w:rPr>
          <w:rFonts w:ascii="宋体" w:hAnsi="宋体" w:eastAsia="宋体"/>
          <w:color w:val="auto"/>
          <w:highlight w:val="none"/>
        </w:rPr>
        <w:t xml:space="preserve">2. </w:t>
      </w:r>
      <w:r>
        <w:rPr>
          <w:rFonts w:hint="eastAsia" w:ascii="宋体" w:hAnsi="宋体" w:eastAsia="宋体"/>
          <w:color w:val="auto"/>
          <w:highlight w:val="none"/>
        </w:rPr>
        <w:t>评审标准</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pPr>
        <w:pStyle w:val="5"/>
        <w:spacing w:before="100" w:after="100" w:line="360" w:lineRule="auto"/>
        <w:rPr>
          <w:rFonts w:ascii="宋体" w:eastAsia="宋体"/>
          <w:color w:val="auto"/>
          <w:highlight w:val="none"/>
        </w:rPr>
      </w:pPr>
      <w:bookmarkStart w:id="910" w:name="_Toc399165433"/>
      <w:bookmarkStart w:id="911" w:name="_Toc152042379"/>
      <w:bookmarkStart w:id="912" w:name="_Toc436834780"/>
      <w:bookmarkStart w:id="913" w:name="_Toc247514026"/>
      <w:bookmarkStart w:id="914" w:name="_Toc300835012"/>
      <w:bookmarkStart w:id="915" w:name="_Toc247527627"/>
      <w:bookmarkStart w:id="916" w:name="_Toc17113"/>
      <w:bookmarkStart w:id="917" w:name="_Toc13888"/>
      <w:bookmarkStart w:id="918" w:name="_Toc144974569"/>
      <w:bookmarkStart w:id="919" w:name="_Toc494371570"/>
      <w:bookmarkStart w:id="920" w:name="_Toc32127"/>
      <w:bookmarkStart w:id="921" w:name="_Toc436834187"/>
      <w:bookmarkStart w:id="922" w:name="_Toc152045602"/>
      <w:bookmarkStart w:id="923" w:name="_Toc2867"/>
      <w:r>
        <w:rPr>
          <w:rFonts w:ascii="宋体" w:eastAsia="宋体"/>
          <w:color w:val="auto"/>
          <w:highlight w:val="none"/>
        </w:rPr>
        <w:t>2.1 初步评审标准</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pPr>
        <w:spacing w:line="400" w:lineRule="exact"/>
        <w:ind w:firstLine="420" w:firstLineChars="200"/>
        <w:rPr>
          <w:rFonts w:ascii="宋体" w:hAnsi="宋体"/>
          <w:color w:val="auto"/>
          <w:highlight w:val="none"/>
        </w:rPr>
      </w:pPr>
      <w:r>
        <w:rPr>
          <w:rFonts w:ascii="宋体" w:hAnsi="宋体"/>
          <w:color w:val="auto"/>
          <w:highlight w:val="none"/>
        </w:rPr>
        <w:t>2.1.1 资格审查标准：见评标办法前附表。</w:t>
      </w:r>
    </w:p>
    <w:p>
      <w:pPr>
        <w:spacing w:line="400" w:lineRule="exact"/>
        <w:ind w:firstLine="420" w:firstLineChars="200"/>
        <w:rPr>
          <w:rFonts w:ascii="宋体" w:hAnsi="宋体"/>
          <w:color w:val="auto"/>
          <w:highlight w:val="none"/>
        </w:rPr>
      </w:pPr>
      <w:bookmarkStart w:id="924" w:name="_Toc247514027"/>
      <w:bookmarkStart w:id="925" w:name="_Toc247527628"/>
      <w:bookmarkStart w:id="926" w:name="_Toc399165434"/>
      <w:bookmarkStart w:id="927" w:name="_Toc144974570"/>
      <w:bookmarkStart w:id="928" w:name="_Toc152045603"/>
      <w:bookmarkStart w:id="929" w:name="_Toc300835013"/>
      <w:bookmarkStart w:id="930" w:name="_Toc152042380"/>
      <w:r>
        <w:rPr>
          <w:rFonts w:ascii="宋体" w:hAnsi="宋体"/>
          <w:color w:val="auto"/>
          <w:highlight w:val="none"/>
        </w:rPr>
        <w:t>2.1.2</w:t>
      </w:r>
      <w:r>
        <w:rPr>
          <w:rFonts w:hint="eastAsia" w:ascii="宋体" w:hAnsi="宋体"/>
          <w:color w:val="auto"/>
          <w:highlight w:val="none"/>
        </w:rPr>
        <w:t>投标文件有效性审查标准：见评标办法前附表。。</w:t>
      </w:r>
    </w:p>
    <w:p>
      <w:pPr>
        <w:pStyle w:val="5"/>
        <w:spacing w:before="100" w:after="100" w:line="360" w:lineRule="auto"/>
        <w:rPr>
          <w:rFonts w:ascii="宋体" w:eastAsia="宋体"/>
          <w:color w:val="auto"/>
          <w:highlight w:val="none"/>
        </w:rPr>
      </w:pPr>
      <w:bookmarkStart w:id="931" w:name="_Toc14736"/>
      <w:bookmarkStart w:id="932" w:name="_Toc25188"/>
      <w:bookmarkStart w:id="933" w:name="_Toc436834781"/>
      <w:bookmarkStart w:id="934" w:name="_Toc494371571"/>
      <w:bookmarkStart w:id="935" w:name="_Toc32259"/>
      <w:bookmarkStart w:id="936" w:name="_Toc16804"/>
      <w:bookmarkStart w:id="937" w:name="_Toc436834188"/>
      <w:r>
        <w:rPr>
          <w:rFonts w:ascii="宋体" w:eastAsia="宋体"/>
          <w:color w:val="auto"/>
          <w:highlight w:val="none"/>
        </w:rPr>
        <w:t xml:space="preserve">2.2 </w:t>
      </w:r>
      <w:r>
        <w:rPr>
          <w:rFonts w:hint="eastAsia" w:ascii="宋体" w:eastAsia="宋体"/>
          <w:color w:val="auto"/>
          <w:highlight w:val="none"/>
        </w:rPr>
        <w:t>分值构成与评分标准</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pPr>
        <w:spacing w:line="400" w:lineRule="exact"/>
        <w:ind w:firstLine="420" w:firstLineChars="200"/>
        <w:rPr>
          <w:rFonts w:ascii="宋体" w:hAnsi="宋体"/>
          <w:color w:val="auto"/>
          <w:highlight w:val="none"/>
        </w:rPr>
      </w:pPr>
      <w:bookmarkStart w:id="938" w:name="_Toc300835014"/>
      <w:bookmarkStart w:id="939" w:name="_Toc247527629"/>
      <w:bookmarkStart w:id="940" w:name="_Toc152042381"/>
      <w:bookmarkStart w:id="941" w:name="_Toc247514028"/>
      <w:bookmarkStart w:id="942" w:name="_Toc144974571"/>
      <w:bookmarkStart w:id="943" w:name="_Toc152045604"/>
      <w:bookmarkStart w:id="944" w:name="_Toc399165435"/>
      <w:r>
        <w:rPr>
          <w:rFonts w:ascii="宋体" w:hAnsi="宋体"/>
          <w:color w:val="auto"/>
          <w:highlight w:val="none"/>
        </w:rPr>
        <w:t>2.2.1</w:t>
      </w:r>
      <w:r>
        <w:rPr>
          <w:rFonts w:ascii="宋体" w:hAnsi="宋体"/>
          <w:color w:val="auto"/>
          <w:szCs w:val="21"/>
          <w:highlight w:val="none"/>
        </w:rPr>
        <w:t>分值构成</w:t>
      </w:r>
      <w:r>
        <w:rPr>
          <w:rFonts w:hint="eastAsia" w:ascii="宋体" w:hAnsi="宋体"/>
          <w:color w:val="auto"/>
          <w:szCs w:val="21"/>
          <w:highlight w:val="none"/>
        </w:rPr>
        <w:t>及权重</w:t>
      </w:r>
      <w:r>
        <w:rPr>
          <w:rFonts w:hint="eastAsia" w:ascii="宋体" w:hAnsi="宋体"/>
          <w:color w:val="auto"/>
          <w:highlight w:val="none"/>
        </w:rPr>
        <w:t>：见评标办法前附表。</w:t>
      </w:r>
    </w:p>
    <w:p>
      <w:pPr>
        <w:spacing w:line="400" w:lineRule="exact"/>
        <w:ind w:firstLine="420" w:firstLineChars="200"/>
        <w:rPr>
          <w:rFonts w:ascii="宋体" w:hAnsi="宋体"/>
          <w:color w:val="auto"/>
          <w:highlight w:val="none"/>
        </w:rPr>
      </w:pPr>
      <w:r>
        <w:rPr>
          <w:rFonts w:ascii="宋体" w:hAnsi="宋体"/>
          <w:color w:val="auto"/>
          <w:highlight w:val="none"/>
        </w:rPr>
        <w:t>2.2.2 评分标准</w:t>
      </w:r>
    </w:p>
    <w:p>
      <w:pPr>
        <w:spacing w:line="400" w:lineRule="exact"/>
        <w:ind w:firstLine="420" w:firstLineChars="200"/>
        <w:rPr>
          <w:rFonts w:ascii="宋体" w:hAnsi="宋体"/>
          <w:color w:val="auto"/>
          <w:highlight w:val="none"/>
        </w:rPr>
      </w:pPr>
      <w:bookmarkStart w:id="945" w:name="_Toc29432"/>
      <w:bookmarkStart w:id="946" w:name="_Toc210"/>
      <w:bookmarkStart w:id="947" w:name="_Toc436834782"/>
      <w:bookmarkStart w:id="948" w:name="_Toc494371572"/>
      <w:bookmarkStart w:id="949" w:name="_Toc24656"/>
      <w:bookmarkStart w:id="950" w:name="_Toc11029"/>
      <w:bookmarkStart w:id="951" w:name="_Toc436834189"/>
      <w:bookmarkStart w:id="952" w:name="_Toc13060"/>
      <w:r>
        <w:rPr>
          <w:rFonts w:hint="eastAsia" w:ascii="宋体" w:hAnsi="宋体"/>
          <w:color w:val="auto"/>
          <w:highlight w:val="none"/>
        </w:rPr>
        <w:t>（1）工程总承包实施方案（含资信部分）文件详细审查评分标准：见评标办法前附表。</w:t>
      </w:r>
    </w:p>
    <w:p>
      <w:pPr>
        <w:spacing w:line="400" w:lineRule="exact"/>
        <w:ind w:firstLine="420" w:firstLineChars="200"/>
        <w:rPr>
          <w:rFonts w:ascii="宋体" w:hAnsi="宋体"/>
          <w:color w:val="auto"/>
          <w:highlight w:val="none"/>
        </w:rPr>
      </w:pPr>
      <w:r>
        <w:rPr>
          <w:rFonts w:hint="eastAsia" w:ascii="宋体" w:hAnsi="宋体"/>
          <w:color w:val="auto"/>
          <w:highlight w:val="none"/>
        </w:rPr>
        <w:t>（2）投标报价文件详细审查评分标准：见评标办法前附表。</w:t>
      </w:r>
    </w:p>
    <w:p>
      <w:pPr>
        <w:pStyle w:val="4"/>
        <w:spacing w:before="100" w:after="100" w:line="360" w:lineRule="auto"/>
        <w:rPr>
          <w:rFonts w:ascii="宋体" w:hAnsi="宋体" w:eastAsia="宋体"/>
          <w:color w:val="auto"/>
          <w:highlight w:val="none"/>
        </w:rPr>
      </w:pPr>
      <w:bookmarkStart w:id="953" w:name="_Toc23123"/>
      <w:r>
        <w:rPr>
          <w:rFonts w:ascii="宋体" w:hAnsi="宋体" w:eastAsia="宋体"/>
          <w:color w:val="auto"/>
          <w:highlight w:val="none"/>
        </w:rPr>
        <w:t xml:space="preserve">3. </w:t>
      </w:r>
      <w:r>
        <w:rPr>
          <w:rFonts w:hint="eastAsia" w:ascii="宋体" w:hAnsi="宋体" w:eastAsia="宋体"/>
          <w:color w:val="auto"/>
          <w:highlight w:val="none"/>
        </w:rPr>
        <w:t>评标程序</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pPr>
        <w:pStyle w:val="5"/>
        <w:spacing w:before="100" w:after="100" w:line="360" w:lineRule="auto"/>
        <w:rPr>
          <w:rFonts w:ascii="宋体" w:eastAsia="宋体"/>
          <w:color w:val="auto"/>
          <w:highlight w:val="none"/>
        </w:rPr>
      </w:pPr>
      <w:bookmarkStart w:id="954" w:name="_Toc5646"/>
      <w:bookmarkStart w:id="955" w:name="_Toc263"/>
      <w:bookmarkStart w:id="956" w:name="_Toc494371574"/>
      <w:bookmarkStart w:id="957" w:name="_Toc24446"/>
      <w:bookmarkStart w:id="958" w:name="_Toc1082"/>
      <w:r>
        <w:rPr>
          <w:rFonts w:ascii="宋体" w:eastAsia="宋体"/>
          <w:color w:val="auto"/>
          <w:highlight w:val="none"/>
        </w:rPr>
        <w:t>3.1资格审查文件评审</w:t>
      </w:r>
      <w:bookmarkEnd w:id="954"/>
      <w:bookmarkEnd w:id="955"/>
      <w:bookmarkEnd w:id="956"/>
      <w:bookmarkEnd w:id="957"/>
      <w:bookmarkEnd w:id="958"/>
    </w:p>
    <w:p>
      <w:pPr>
        <w:spacing w:line="400" w:lineRule="exact"/>
        <w:ind w:firstLine="457" w:firstLineChars="218"/>
        <w:rPr>
          <w:rFonts w:ascii="宋体" w:hAnsi="宋体"/>
          <w:color w:val="auto"/>
          <w:kern w:val="0"/>
          <w:szCs w:val="21"/>
          <w:highlight w:val="none"/>
        </w:rPr>
      </w:pPr>
      <w:r>
        <w:rPr>
          <w:rFonts w:hint="eastAsia" w:ascii="宋体" w:hAnsi="宋体"/>
          <w:color w:val="auto"/>
          <w:kern w:val="0"/>
          <w:szCs w:val="21"/>
          <w:highlight w:val="none"/>
        </w:rPr>
        <w:t>3.1.1</w:t>
      </w:r>
      <w:r>
        <w:rPr>
          <w:rFonts w:hint="eastAsia" w:ascii="宋体" w:hAnsi="宋体"/>
          <w:color w:val="auto"/>
          <w:highlight w:val="none"/>
        </w:rPr>
        <w:t>资格审查采用非电子化审查方式进行，评标委员会对投标人递交的资格审查文件</w:t>
      </w:r>
      <w:r>
        <w:rPr>
          <w:rFonts w:hint="eastAsia" w:ascii="宋体" w:hAnsi="宋体"/>
          <w:color w:val="auto"/>
          <w:szCs w:val="21"/>
          <w:highlight w:val="none"/>
        </w:rPr>
        <w:t>进行评审。</w:t>
      </w:r>
    </w:p>
    <w:p>
      <w:pPr>
        <w:spacing w:line="400" w:lineRule="exact"/>
        <w:ind w:firstLine="457" w:firstLineChars="218"/>
        <w:rPr>
          <w:rFonts w:ascii="宋体" w:hAnsi="宋体"/>
          <w:color w:val="auto"/>
          <w:kern w:val="0"/>
          <w:szCs w:val="21"/>
          <w:highlight w:val="none"/>
        </w:rPr>
      </w:pPr>
      <w:r>
        <w:rPr>
          <w:rFonts w:hint="eastAsia" w:ascii="宋体" w:hAnsi="宋体"/>
          <w:color w:val="auto"/>
          <w:kern w:val="0"/>
          <w:szCs w:val="21"/>
          <w:highlight w:val="none"/>
        </w:rPr>
        <w:t>3.1.2资格审查文件中全部符合附表1《资格审查表》中情形的，为资格审查合格。否则为资格审查不合格，经评标委员会认定后，其资格审查文件将被拒绝。如评标委员会成员的评审意见不一致时，应先公开要求投标人进行澄清，并记录及由评标委员会、作出澄清的投标人签字确认，以评标委员会过半数成员的意见作为评标委员会对该情形的认定结论。只有通过资格审查的投标人方可进入下一阶段的评审。</w:t>
      </w:r>
    </w:p>
    <w:p>
      <w:pPr>
        <w:spacing w:line="400" w:lineRule="exact"/>
        <w:ind w:firstLine="457" w:firstLineChars="218"/>
        <w:rPr>
          <w:rFonts w:ascii="宋体" w:hAnsi="宋体"/>
          <w:color w:val="auto"/>
          <w:kern w:val="0"/>
          <w:szCs w:val="21"/>
          <w:highlight w:val="none"/>
        </w:rPr>
      </w:pPr>
      <w:r>
        <w:rPr>
          <w:rFonts w:ascii="宋体" w:hAnsi="宋体"/>
          <w:color w:val="auto"/>
          <w:kern w:val="0"/>
          <w:szCs w:val="21"/>
          <w:highlight w:val="none"/>
        </w:rPr>
        <w:t>3.1.</w:t>
      </w:r>
      <w:r>
        <w:rPr>
          <w:rFonts w:hint="eastAsia" w:ascii="宋体" w:hAnsi="宋体"/>
          <w:color w:val="auto"/>
          <w:kern w:val="0"/>
          <w:szCs w:val="21"/>
          <w:highlight w:val="none"/>
        </w:rPr>
        <w:t>3汇总资格审查情况，编写资格审查报告。</w:t>
      </w:r>
    </w:p>
    <w:p>
      <w:pPr>
        <w:spacing w:line="400" w:lineRule="exact"/>
        <w:ind w:firstLine="457" w:firstLineChars="218"/>
        <w:rPr>
          <w:rFonts w:ascii="宋体" w:hAnsi="宋体"/>
          <w:color w:val="auto"/>
          <w:kern w:val="0"/>
          <w:szCs w:val="21"/>
          <w:highlight w:val="none"/>
        </w:rPr>
      </w:pPr>
      <w:r>
        <w:rPr>
          <w:rFonts w:ascii="宋体" w:hAnsi="宋体"/>
          <w:color w:val="auto"/>
          <w:kern w:val="0"/>
          <w:szCs w:val="21"/>
          <w:highlight w:val="none"/>
        </w:rPr>
        <w:t>3.1.</w:t>
      </w:r>
      <w:r>
        <w:rPr>
          <w:rFonts w:hint="eastAsia" w:ascii="宋体" w:hAnsi="宋体"/>
          <w:color w:val="auto"/>
          <w:kern w:val="0"/>
          <w:szCs w:val="21"/>
          <w:highlight w:val="none"/>
        </w:rPr>
        <w:t>4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pPr>
        <w:spacing w:line="400" w:lineRule="exact"/>
        <w:ind w:firstLine="457" w:firstLineChars="218"/>
        <w:rPr>
          <w:rFonts w:ascii="宋体" w:hAnsi="宋体"/>
          <w:color w:val="auto"/>
          <w:kern w:val="0"/>
          <w:szCs w:val="21"/>
          <w:highlight w:val="none"/>
        </w:rPr>
      </w:pPr>
      <w:r>
        <w:rPr>
          <w:rFonts w:hint="eastAsia" w:ascii="宋体" w:hAnsi="宋体"/>
          <w:color w:val="auto"/>
          <w:kern w:val="0"/>
          <w:szCs w:val="21"/>
          <w:highlight w:val="none"/>
        </w:rPr>
        <w:t>特别声明：资审合格后，投标人的资格发生变化而不满足投标人合格条件，在发出中标通知书前，资格问题仍未解决的，招标人将取消其中标资格。</w:t>
      </w:r>
    </w:p>
    <w:p>
      <w:pPr>
        <w:pStyle w:val="5"/>
        <w:spacing w:before="100" w:after="100" w:line="360" w:lineRule="auto"/>
        <w:rPr>
          <w:rFonts w:ascii="宋体" w:eastAsia="宋体" w:cs="宋体"/>
          <w:color w:val="auto"/>
          <w:szCs w:val="21"/>
          <w:highlight w:val="none"/>
        </w:rPr>
      </w:pPr>
      <w:bookmarkStart w:id="959" w:name="_Toc15835"/>
      <w:bookmarkStart w:id="960" w:name="_Toc22209"/>
      <w:bookmarkStart w:id="961" w:name="_Toc436834190"/>
      <w:bookmarkStart w:id="962" w:name="_Toc30033"/>
      <w:bookmarkStart w:id="963" w:name="_Toc436834783"/>
      <w:bookmarkStart w:id="964" w:name="_Toc494371575"/>
      <w:bookmarkStart w:id="965" w:name="_Toc26253"/>
      <w:bookmarkStart w:id="966" w:name="_Toc247527632"/>
      <w:bookmarkStart w:id="967" w:name="_Toc247514031"/>
      <w:bookmarkStart w:id="968" w:name="_Toc300835017"/>
      <w:bookmarkStart w:id="969" w:name="_Toc144974575"/>
      <w:bookmarkStart w:id="970" w:name="_Toc399165439"/>
      <w:bookmarkStart w:id="971" w:name="_Toc152042385"/>
      <w:bookmarkStart w:id="972" w:name="_Toc152045607"/>
      <w:r>
        <w:rPr>
          <w:rFonts w:hint="eastAsia" w:ascii="宋体" w:eastAsia="宋体" w:cs="宋体"/>
          <w:color w:val="auto"/>
          <w:highlight w:val="none"/>
        </w:rPr>
        <w:t>3.2工程总承包实施方案（含资信部分）文件评审</w:t>
      </w:r>
      <w:bookmarkEnd w:id="959"/>
      <w:bookmarkEnd w:id="960"/>
      <w:bookmarkEnd w:id="961"/>
      <w:bookmarkEnd w:id="962"/>
      <w:bookmarkEnd w:id="963"/>
      <w:bookmarkEnd w:id="964"/>
      <w:bookmarkEnd w:id="965"/>
    </w:p>
    <w:p>
      <w:pPr>
        <w:spacing w:line="400" w:lineRule="exact"/>
        <w:ind w:firstLine="457" w:firstLineChars="218"/>
        <w:rPr>
          <w:rFonts w:ascii="宋体" w:hAnsi="宋体"/>
          <w:color w:val="auto"/>
          <w:szCs w:val="21"/>
          <w:highlight w:val="none"/>
        </w:rPr>
      </w:pPr>
      <w:bookmarkStart w:id="973" w:name="_Toc436834191"/>
      <w:bookmarkStart w:id="974" w:name="_Toc436834784"/>
      <w:r>
        <w:rPr>
          <w:rFonts w:ascii="宋体" w:hAnsi="宋体"/>
          <w:color w:val="auto"/>
          <w:szCs w:val="21"/>
          <w:highlight w:val="none"/>
        </w:rPr>
        <w:t>3.2.1</w:t>
      </w:r>
      <w:r>
        <w:rPr>
          <w:rFonts w:hint="eastAsia" w:ascii="宋体" w:hAnsi="宋体"/>
          <w:color w:val="auto"/>
          <w:szCs w:val="21"/>
          <w:highlight w:val="none"/>
        </w:rPr>
        <w:t>评标委员会按本办法附表2《工程总承包实施方案（含资信部分）文件有效性审查表》</w:t>
      </w:r>
      <w:r>
        <w:rPr>
          <w:rFonts w:ascii="宋体" w:hAnsi="宋体"/>
          <w:color w:val="auto"/>
          <w:szCs w:val="21"/>
          <w:highlight w:val="none"/>
        </w:rPr>
        <w:t>对各投标文件进行评审，只有通过有效性审查的投标文件方可进入下一阶段的评审。如果</w:t>
      </w:r>
      <w:r>
        <w:rPr>
          <w:rFonts w:hint="eastAsia" w:ascii="宋体" w:hAnsi="宋体"/>
          <w:color w:val="auto"/>
          <w:szCs w:val="21"/>
          <w:highlight w:val="none"/>
        </w:rPr>
        <w:t>有废标提议，则评标委员会成员共同表决，按照少数服从多数的原则决定是否废标。</w:t>
      </w:r>
    </w:p>
    <w:p>
      <w:pPr>
        <w:spacing w:line="400" w:lineRule="exact"/>
        <w:ind w:firstLine="457" w:firstLineChars="218"/>
        <w:rPr>
          <w:rFonts w:ascii="宋体"/>
          <w:color w:val="auto"/>
          <w:szCs w:val="21"/>
          <w:highlight w:val="none"/>
        </w:rPr>
      </w:pPr>
      <w:r>
        <w:rPr>
          <w:rFonts w:ascii="宋体" w:hAnsi="宋体"/>
          <w:color w:val="auto"/>
          <w:szCs w:val="21"/>
          <w:highlight w:val="none"/>
        </w:rPr>
        <w:t>3.2.2</w:t>
      </w:r>
      <w:r>
        <w:rPr>
          <w:rFonts w:hint="eastAsia" w:ascii="宋体"/>
          <w:color w:val="auto"/>
          <w:szCs w:val="21"/>
          <w:highlight w:val="none"/>
        </w:rPr>
        <w:t>评标委员会按本办法附表3《工程总承包实施方案（含资信部分）文件评分表》对各投标人的进行综合评分，投标人得分为评标委员会各成员对其评分合计的算术平均值。分数出现小数点，保留小数点后二位小数，第三位小数四舍五入。</w:t>
      </w:r>
    </w:p>
    <w:p>
      <w:pPr>
        <w:pStyle w:val="5"/>
        <w:spacing w:before="100" w:after="100" w:line="360" w:lineRule="auto"/>
        <w:rPr>
          <w:rFonts w:ascii="宋体" w:eastAsia="宋体"/>
          <w:color w:val="auto"/>
          <w:highlight w:val="none"/>
        </w:rPr>
      </w:pPr>
      <w:bookmarkStart w:id="975" w:name="_Toc29017"/>
      <w:bookmarkStart w:id="976" w:name="_Toc10463"/>
      <w:bookmarkStart w:id="977" w:name="_Toc23184"/>
      <w:bookmarkStart w:id="978" w:name="_Toc494371576"/>
      <w:bookmarkStart w:id="979" w:name="_Toc23957"/>
      <w:r>
        <w:rPr>
          <w:rFonts w:ascii="宋体" w:eastAsia="宋体"/>
          <w:color w:val="auto"/>
          <w:highlight w:val="none"/>
        </w:rPr>
        <w:t>3.3</w:t>
      </w:r>
      <w:bookmarkEnd w:id="973"/>
      <w:bookmarkEnd w:id="974"/>
      <w:bookmarkEnd w:id="975"/>
      <w:bookmarkEnd w:id="976"/>
      <w:bookmarkEnd w:id="977"/>
      <w:bookmarkEnd w:id="978"/>
      <w:bookmarkEnd w:id="979"/>
      <w:r>
        <w:rPr>
          <w:rFonts w:hint="eastAsia" w:ascii="宋体" w:eastAsia="宋体"/>
          <w:color w:val="auto"/>
          <w:highlight w:val="none"/>
        </w:rPr>
        <w:t>投标报价文件评审</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3.3.1投标报价文件有效性审查：评标委员会对通过工程总承包实施方案（含资信部分）文件有效性审查的投标文件按本办法附表4《投标报价文件有效性审查表》的评审内容进行</w:t>
      </w:r>
      <w:r>
        <w:rPr>
          <w:rFonts w:hint="eastAsia" w:ascii="宋体"/>
          <w:color w:val="auto"/>
          <w:highlight w:val="none"/>
        </w:rPr>
        <w:t>投标报价文件</w:t>
      </w:r>
      <w:r>
        <w:rPr>
          <w:rFonts w:hint="eastAsia" w:ascii="宋体" w:hAnsi="宋体"/>
          <w:color w:val="auto"/>
          <w:szCs w:val="21"/>
          <w:highlight w:val="none"/>
        </w:rPr>
        <w:t>有效性审查，经评标委员会认定为无效标书的，其投标文件将被拒绝。如评标委员会成员的评审意见不一致时，以评标委员会过半数成员的意见作为评标委员会对该情形的认定结论。未通过有效性审查的，不得进入下一阶段评审。</w:t>
      </w:r>
    </w:p>
    <w:p>
      <w:pPr>
        <w:spacing w:line="400" w:lineRule="exact"/>
        <w:ind w:firstLine="457" w:firstLineChars="218"/>
        <w:rPr>
          <w:rFonts w:ascii="宋体" w:hAnsi="宋体"/>
          <w:color w:val="auto"/>
          <w:szCs w:val="21"/>
          <w:highlight w:val="none"/>
        </w:rPr>
      </w:pPr>
      <w:r>
        <w:rPr>
          <w:rFonts w:ascii="宋体" w:hAnsi="宋体"/>
          <w:color w:val="auto"/>
          <w:szCs w:val="21"/>
          <w:highlight w:val="none"/>
        </w:rPr>
        <w:t>3.3.2</w:t>
      </w:r>
      <w:r>
        <w:rPr>
          <w:rFonts w:hint="eastAsia" w:ascii="宋体" w:hAnsi="宋体"/>
          <w:color w:val="auto"/>
          <w:szCs w:val="21"/>
          <w:highlight w:val="none"/>
        </w:rPr>
        <w:t>建安工程费报价的算术校核。施工组评标委员会对通过</w:t>
      </w:r>
      <w:r>
        <w:rPr>
          <w:rFonts w:hint="eastAsia" w:ascii="宋体" w:hAnsi="宋体"/>
          <w:color w:val="auto"/>
          <w:highlight w:val="none"/>
        </w:rPr>
        <w:t>经济标投标文件</w:t>
      </w:r>
      <w:r>
        <w:rPr>
          <w:rFonts w:hint="eastAsia" w:ascii="宋体" w:hAnsi="宋体"/>
          <w:color w:val="auto"/>
          <w:szCs w:val="21"/>
          <w:highlight w:val="none"/>
        </w:rPr>
        <w:t>有效性审查的投标文件的建安工程费报价进行算术校核，具体标准如下：</w:t>
      </w:r>
    </w:p>
    <w:p>
      <w:pPr>
        <w:spacing w:line="400" w:lineRule="exact"/>
        <w:ind w:firstLine="457" w:firstLineChars="218"/>
        <w:rPr>
          <w:rFonts w:ascii="宋体" w:hAnsi="宋体"/>
          <w:color w:val="auto"/>
          <w:szCs w:val="21"/>
          <w:highlight w:val="none"/>
        </w:rPr>
      </w:pPr>
      <w:r>
        <w:rPr>
          <w:rFonts w:hint="eastAsia" w:ascii="宋体" w:hAnsi="宋体"/>
          <w:color w:val="auto"/>
          <w:szCs w:val="21"/>
          <w:highlight w:val="none"/>
        </w:rPr>
        <w:t>（1）如果数字表示的金额和用文字表示的金额不一致时，应以文字表示的金额为准（有以下算术性错误需要修正的除外）；</w:t>
      </w:r>
    </w:p>
    <w:p>
      <w:pPr>
        <w:spacing w:line="400" w:lineRule="exact"/>
        <w:ind w:firstLine="457" w:firstLineChars="21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2）如果费率与施工部分限价乘积不等于合价时，以费率为准修正合价（费率有明显的数量级错误的除外，此时应修正费率）；</w:t>
      </w:r>
    </w:p>
    <w:p>
      <w:pPr>
        <w:spacing w:line="400" w:lineRule="exact"/>
        <w:ind w:firstLine="457" w:firstLineChars="21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3）如果分项报价累加不等总价的，以分项报价累加为准，修正总价；</w:t>
      </w:r>
    </w:p>
    <w:p>
      <w:pPr>
        <w:spacing w:line="400" w:lineRule="exact"/>
        <w:ind w:firstLine="457" w:firstLineChars="21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4）投标文件存在其他计算性错误的，按正确的方法计算并修正；</w:t>
      </w:r>
    </w:p>
    <w:p>
      <w:pPr>
        <w:spacing w:line="400" w:lineRule="exact"/>
        <w:ind w:firstLine="457" w:firstLineChars="21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5）按上述修正错误的原则及方法调整或修正投标文件的投标报价，调整后的投标报价对投标人起约束作用。如果投标人不接受修正后的报价，则取消其投标资格，并且其</w:t>
      </w:r>
      <w:r>
        <w:rPr>
          <w:rFonts w:hint="eastAsia" w:ascii="宋体" w:hAnsi="宋体"/>
          <w:color w:val="auto"/>
          <w:szCs w:val="21"/>
          <w:highlight w:val="none"/>
        </w:rPr>
        <w:t>投标保证金</w:t>
      </w:r>
      <w:r>
        <w:rPr>
          <w:rFonts w:ascii="宋体" w:hAnsi="宋体"/>
          <w:color w:val="auto"/>
          <w:szCs w:val="21"/>
          <w:highlight w:val="none"/>
        </w:rPr>
        <w:t>也将被没收。</w:t>
      </w:r>
    </w:p>
    <w:p>
      <w:pPr>
        <w:spacing w:line="360" w:lineRule="auto"/>
        <w:ind w:firstLine="420" w:firstLineChars="200"/>
        <w:rPr>
          <w:rFonts w:ascii="宋体" w:hAnsi="宋体"/>
          <w:color w:val="auto"/>
          <w:highlight w:val="none"/>
        </w:rPr>
      </w:pPr>
      <w:r>
        <w:rPr>
          <w:rFonts w:ascii="宋体" w:hAnsi="宋体"/>
          <w:color w:val="auto"/>
          <w:szCs w:val="21"/>
          <w:highlight w:val="none"/>
        </w:rPr>
        <w:t>3.3.</w:t>
      </w:r>
      <w:r>
        <w:rPr>
          <w:rFonts w:hint="eastAsia" w:ascii="宋体" w:hAnsi="宋体"/>
          <w:color w:val="auto"/>
          <w:szCs w:val="21"/>
          <w:highlight w:val="none"/>
        </w:rPr>
        <w:t>3投标报价评分：</w:t>
      </w:r>
      <w:r>
        <w:rPr>
          <w:rFonts w:hint="eastAsia" w:ascii="宋体" w:hAnsi="宋体"/>
          <w:color w:val="auto"/>
          <w:highlight w:val="none"/>
        </w:rPr>
        <w:t>①统计通过投标文件有效性审查（包括资格审查文件、工程设计施工总承包实施方案（含资信部分）文件和</w:t>
      </w:r>
      <w:r>
        <w:rPr>
          <w:rFonts w:hint="eastAsia"/>
          <w:color w:val="auto"/>
          <w:szCs w:val="21"/>
          <w:highlight w:val="none"/>
        </w:rPr>
        <w:t>投标报价</w:t>
      </w:r>
      <w:r>
        <w:rPr>
          <w:rFonts w:hint="eastAsia" w:ascii="宋体" w:hAnsi="宋体"/>
          <w:color w:val="auto"/>
          <w:highlight w:val="none"/>
        </w:rPr>
        <w:t>文件）的投标单位数量，若数量大于5家，则按照投标单位的</w:t>
      </w:r>
      <w:r>
        <w:rPr>
          <w:rFonts w:hint="eastAsia" w:ascii="宋体" w:hAnsi="宋体"/>
          <w:color w:val="auto"/>
          <w:highlight w:val="none"/>
          <w:lang w:val="en-US" w:eastAsia="zh-CN"/>
        </w:rPr>
        <w:t>总</w:t>
      </w:r>
      <w:r>
        <w:rPr>
          <w:rFonts w:hint="eastAsia" w:ascii="宋体" w:hAnsi="宋体"/>
          <w:color w:val="auto"/>
          <w:highlight w:val="none"/>
        </w:rPr>
        <w:t>报价中，去掉一个最高价和一个最低价后，剩余</w:t>
      </w:r>
      <w:r>
        <w:rPr>
          <w:rFonts w:hint="eastAsia" w:ascii="宋体" w:hAnsi="宋体"/>
          <w:color w:val="auto"/>
          <w:highlight w:val="none"/>
          <w:lang w:eastAsia="zh-CN"/>
        </w:rPr>
        <w:t>总</w:t>
      </w:r>
      <w:r>
        <w:rPr>
          <w:rFonts w:hint="eastAsia" w:ascii="宋体" w:hAnsi="宋体"/>
          <w:color w:val="auto"/>
          <w:highlight w:val="none"/>
        </w:rPr>
        <w:t>报价的算术平均值为评标参考价；若数量小于5家（含5家），则直接取投标单位的</w:t>
      </w:r>
      <w:r>
        <w:rPr>
          <w:rFonts w:hint="eastAsia" w:ascii="宋体" w:hAnsi="宋体"/>
          <w:color w:val="auto"/>
          <w:highlight w:val="none"/>
          <w:lang w:val="en-US" w:eastAsia="zh-CN"/>
        </w:rPr>
        <w:t>总</w:t>
      </w:r>
      <w:r>
        <w:rPr>
          <w:rFonts w:hint="eastAsia" w:ascii="宋体" w:hAnsi="宋体"/>
          <w:color w:val="auto"/>
          <w:highlight w:val="none"/>
        </w:rPr>
        <w:t>报价的算术平均值为评标参考价；</w:t>
      </w:r>
    </w:p>
    <w:p>
      <w:pPr>
        <w:spacing w:line="360" w:lineRule="auto"/>
        <w:ind w:firstLine="420" w:firstLineChars="200"/>
        <w:rPr>
          <w:rFonts w:ascii="宋体" w:hAnsi="宋体"/>
          <w:color w:val="auto"/>
          <w:highlight w:val="none"/>
        </w:rPr>
      </w:pPr>
      <w:r>
        <w:rPr>
          <w:rFonts w:hint="eastAsia" w:ascii="宋体" w:hAnsi="宋体"/>
          <w:color w:val="auto"/>
          <w:highlight w:val="none"/>
        </w:rPr>
        <w:t>②投标报价等于评标参考价时得</w:t>
      </w:r>
      <w:r>
        <w:rPr>
          <w:rFonts w:ascii="宋体" w:hAnsi="宋体"/>
          <w:color w:val="auto"/>
          <w:highlight w:val="none"/>
        </w:rPr>
        <w:t>100分，投标价每高于评标参考价</w:t>
      </w:r>
      <w:r>
        <w:rPr>
          <w:color w:val="auto"/>
          <w:highlight w:val="none"/>
        </w:rPr>
        <w:t>1%</w:t>
      </w:r>
      <w:r>
        <w:rPr>
          <w:rFonts w:hint="eastAsia" w:ascii="宋体" w:hAnsi="宋体"/>
          <w:color w:val="auto"/>
          <w:highlight w:val="none"/>
        </w:rPr>
        <w:t>，扣</w:t>
      </w:r>
      <w:r>
        <w:rPr>
          <w:rFonts w:hint="eastAsia"/>
          <w:color w:val="auto"/>
          <w:highlight w:val="none"/>
        </w:rPr>
        <w:t>1</w:t>
      </w:r>
      <w:r>
        <w:rPr>
          <w:rFonts w:hint="eastAsia" w:ascii="宋体" w:hAnsi="宋体"/>
          <w:color w:val="auto"/>
          <w:highlight w:val="none"/>
        </w:rPr>
        <w:t>分，每低于评标参考价</w:t>
      </w:r>
      <w:r>
        <w:rPr>
          <w:color w:val="auto"/>
          <w:highlight w:val="none"/>
        </w:rPr>
        <w:t>1%</w:t>
      </w:r>
      <w:r>
        <w:rPr>
          <w:rFonts w:hint="eastAsia" w:ascii="宋体" w:hAnsi="宋体"/>
          <w:color w:val="auto"/>
          <w:highlight w:val="none"/>
        </w:rPr>
        <w:t>，扣</w:t>
      </w:r>
      <w:r>
        <w:rPr>
          <w:rFonts w:hint="eastAsia"/>
          <w:color w:val="auto"/>
          <w:highlight w:val="none"/>
        </w:rPr>
        <w:t>0.5</w:t>
      </w:r>
      <w:r>
        <w:rPr>
          <w:rFonts w:hint="eastAsia" w:ascii="宋体" w:hAnsi="宋体"/>
          <w:color w:val="auto"/>
          <w:highlight w:val="none"/>
        </w:rPr>
        <w:t>分，扣至</w:t>
      </w:r>
      <w:r>
        <w:rPr>
          <w:color w:val="auto"/>
          <w:highlight w:val="none"/>
        </w:rPr>
        <w:t>0</w:t>
      </w:r>
      <w:r>
        <w:rPr>
          <w:rFonts w:hint="eastAsia" w:ascii="宋体" w:hAnsi="宋体"/>
          <w:color w:val="auto"/>
          <w:highlight w:val="none"/>
        </w:rPr>
        <w:t>分为止，得出的投标报价得分乘以</w:t>
      </w:r>
      <w:r>
        <w:rPr>
          <w:rFonts w:hint="eastAsia" w:ascii="宋体" w:hAnsi="宋体"/>
          <w:color w:val="auto"/>
          <w:highlight w:val="none"/>
          <w:lang w:val="en-US" w:eastAsia="zh-CN"/>
        </w:rPr>
        <w:t>6</w:t>
      </w:r>
      <w:r>
        <w:rPr>
          <w:rFonts w:hint="eastAsia" w:ascii="宋体" w:hAnsi="宋体"/>
          <w:color w:val="auto"/>
          <w:highlight w:val="none"/>
        </w:rPr>
        <w:t>0%作为最终</w:t>
      </w:r>
      <w:r>
        <w:rPr>
          <w:rFonts w:hint="eastAsia"/>
          <w:color w:val="auto"/>
          <w:szCs w:val="21"/>
          <w:highlight w:val="none"/>
        </w:rPr>
        <w:t>投标报价</w:t>
      </w:r>
      <w:r>
        <w:rPr>
          <w:rFonts w:hint="eastAsia" w:ascii="宋体" w:hAnsi="宋体"/>
          <w:color w:val="auto"/>
          <w:highlight w:val="none"/>
        </w:rPr>
        <w:t>文件得分，精确到小数点后两位，第三位小数四舍五入。</w:t>
      </w:r>
    </w:p>
    <w:p>
      <w:pPr>
        <w:pStyle w:val="5"/>
        <w:spacing w:before="100" w:after="100" w:line="360" w:lineRule="auto"/>
        <w:rPr>
          <w:rFonts w:ascii="宋体" w:eastAsia="宋体"/>
          <w:color w:val="auto"/>
          <w:highlight w:val="none"/>
        </w:rPr>
      </w:pPr>
      <w:bookmarkStart w:id="980" w:name="_Toc23723"/>
      <w:bookmarkStart w:id="981" w:name="_Toc10879"/>
      <w:bookmarkStart w:id="982" w:name="_Toc436834193"/>
      <w:bookmarkStart w:id="983" w:name="_Toc27882"/>
      <w:bookmarkStart w:id="984" w:name="_Toc10214"/>
      <w:bookmarkStart w:id="985" w:name="_Toc494371578"/>
      <w:bookmarkStart w:id="986" w:name="_Toc436834786"/>
      <w:r>
        <w:rPr>
          <w:rFonts w:hint="eastAsia" w:ascii="宋体" w:eastAsia="宋体"/>
          <w:color w:val="auto"/>
          <w:highlight w:val="none"/>
        </w:rPr>
        <w:t>3.5评审汇总</w:t>
      </w:r>
      <w:bookmarkEnd w:id="980"/>
      <w:bookmarkEnd w:id="981"/>
      <w:bookmarkEnd w:id="982"/>
      <w:bookmarkEnd w:id="983"/>
      <w:bookmarkEnd w:id="984"/>
      <w:bookmarkEnd w:id="985"/>
      <w:bookmarkEnd w:id="986"/>
    </w:p>
    <w:p>
      <w:pPr>
        <w:spacing w:line="400" w:lineRule="exact"/>
        <w:ind w:firstLine="457" w:firstLineChars="218"/>
        <w:rPr>
          <w:rFonts w:ascii="宋体" w:hAnsi="宋体"/>
          <w:color w:val="auto"/>
          <w:szCs w:val="21"/>
          <w:highlight w:val="none"/>
        </w:rPr>
      </w:pPr>
      <w:r>
        <w:rPr>
          <w:rFonts w:ascii="宋体" w:hAnsi="宋体"/>
          <w:color w:val="auto"/>
          <w:szCs w:val="21"/>
          <w:highlight w:val="none"/>
        </w:rPr>
        <w:t>3.5.1</w:t>
      </w:r>
      <w:r>
        <w:rPr>
          <w:rFonts w:hint="eastAsia" w:ascii="宋体" w:hAnsi="宋体"/>
          <w:color w:val="auto"/>
          <w:szCs w:val="21"/>
          <w:highlight w:val="none"/>
        </w:rPr>
        <w:t>投标人总得分满分为</w:t>
      </w:r>
      <w:r>
        <w:rPr>
          <w:rFonts w:ascii="宋体" w:hAnsi="宋体"/>
          <w:color w:val="auto"/>
          <w:szCs w:val="21"/>
          <w:highlight w:val="none"/>
        </w:rPr>
        <w:t>100分，总分权重分配见:评标办法前附表。</w:t>
      </w:r>
    </w:p>
    <w:p>
      <w:pPr>
        <w:spacing w:line="400" w:lineRule="exact"/>
        <w:ind w:firstLine="457" w:firstLineChars="218"/>
        <w:rPr>
          <w:rFonts w:ascii="宋体" w:hAnsi="宋体"/>
          <w:color w:val="auto"/>
          <w:szCs w:val="21"/>
          <w:highlight w:val="none"/>
        </w:rPr>
      </w:pPr>
      <w:r>
        <w:rPr>
          <w:rFonts w:ascii="宋体" w:hAnsi="宋体"/>
          <w:color w:val="auto"/>
          <w:szCs w:val="21"/>
          <w:highlight w:val="none"/>
        </w:rPr>
        <w:t>3.5.2</w:t>
      </w:r>
      <w:r>
        <w:rPr>
          <w:rFonts w:hint="eastAsia" w:ascii="宋体" w:hAnsi="宋体"/>
          <w:color w:val="auto"/>
          <w:szCs w:val="21"/>
          <w:highlight w:val="none"/>
        </w:rPr>
        <w:t>评标委员会按照“评标办法前附表</w:t>
      </w:r>
      <w:r>
        <w:rPr>
          <w:rFonts w:ascii="宋体" w:hAnsi="宋体"/>
          <w:color w:val="auto"/>
          <w:szCs w:val="21"/>
          <w:highlight w:val="none"/>
        </w:rPr>
        <w:t>”</w:t>
      </w:r>
      <w:r>
        <w:rPr>
          <w:rFonts w:hint="eastAsia" w:ascii="宋体" w:hAnsi="宋体"/>
          <w:color w:val="auto"/>
          <w:szCs w:val="21"/>
          <w:highlight w:val="none"/>
        </w:rPr>
        <w:t>所述公式，计算各有效投标文件的总分，并按照总分从高到低排列先后次序。总分相同的，以联合体主办方施工技术得分高的排前；如仍存在相同情况，则对具有相同情况的投标人，按中标候选人数量规定，由评标委员会采用记名投票方式，确定中标候选人的排序。评标委员会应按排序先后，在招标文件有效的投标人中，向招标人推荐前</w:t>
      </w:r>
      <w:r>
        <w:rPr>
          <w:rFonts w:ascii="宋体" w:hAnsi="宋体"/>
          <w:color w:val="auto"/>
          <w:szCs w:val="21"/>
          <w:highlight w:val="none"/>
        </w:rPr>
        <w:t>3名投标人依次为第一中标候选人至第三中标候选人，并编写评标报告。</w:t>
      </w:r>
    </w:p>
    <w:bookmarkEnd w:id="966"/>
    <w:bookmarkEnd w:id="967"/>
    <w:bookmarkEnd w:id="968"/>
    <w:bookmarkEnd w:id="969"/>
    <w:bookmarkEnd w:id="970"/>
    <w:bookmarkEnd w:id="971"/>
    <w:bookmarkEnd w:id="972"/>
    <w:p>
      <w:pPr>
        <w:pStyle w:val="5"/>
        <w:spacing w:before="100" w:after="100" w:line="360" w:lineRule="auto"/>
        <w:rPr>
          <w:rFonts w:ascii="宋体" w:eastAsia="宋体"/>
          <w:color w:val="auto"/>
          <w:highlight w:val="none"/>
        </w:rPr>
      </w:pPr>
      <w:bookmarkStart w:id="987" w:name="_Toc11454"/>
      <w:bookmarkStart w:id="988" w:name="_Toc436834194"/>
      <w:bookmarkStart w:id="989" w:name="_Toc436834787"/>
      <w:bookmarkStart w:id="990" w:name="_Toc494371579"/>
      <w:bookmarkStart w:id="991" w:name="_Toc5720"/>
      <w:bookmarkStart w:id="992" w:name="_Toc4315"/>
      <w:bookmarkStart w:id="993" w:name="_Toc28563"/>
      <w:bookmarkStart w:id="994" w:name="_Toc399165441"/>
      <w:r>
        <w:rPr>
          <w:rFonts w:ascii="宋体" w:eastAsia="宋体"/>
          <w:color w:val="auto"/>
          <w:highlight w:val="none"/>
        </w:rPr>
        <w:t>3.6投标文件的澄清和补正</w:t>
      </w:r>
      <w:bookmarkEnd w:id="987"/>
      <w:bookmarkEnd w:id="988"/>
      <w:bookmarkEnd w:id="989"/>
      <w:bookmarkEnd w:id="990"/>
      <w:bookmarkEnd w:id="991"/>
      <w:bookmarkEnd w:id="992"/>
      <w:bookmarkEnd w:id="993"/>
    </w:p>
    <w:p>
      <w:pPr>
        <w:spacing w:line="400" w:lineRule="exact"/>
        <w:ind w:firstLine="420" w:firstLineChars="200"/>
        <w:rPr>
          <w:rFonts w:ascii="宋体" w:hAnsi="宋体"/>
          <w:color w:val="auto"/>
          <w:highlight w:val="none"/>
        </w:rPr>
      </w:pPr>
      <w:r>
        <w:rPr>
          <w:rFonts w:ascii="宋体" w:hAnsi="宋体"/>
          <w:color w:val="auto"/>
          <w:highlight w:val="none"/>
        </w:rPr>
        <w:t>3.6.1</w:t>
      </w:r>
      <w:r>
        <w:rPr>
          <w:rFonts w:hint="eastAsia" w:ascii="宋体" w:hAnsi="宋体"/>
          <w:color w:val="auto"/>
          <w:highlight w:val="none"/>
        </w:rPr>
        <w:t>为有助于投标文件的审查、评价和比较，评标期间，经评标委员会中两人以上（含两人）的成员以书面形式提出动议，评标委员会应当书面发出澄清通知，要求投标人对投标文件含义不明确的内容作出澄清。</w:t>
      </w:r>
    </w:p>
    <w:p>
      <w:pPr>
        <w:spacing w:line="400" w:lineRule="exact"/>
        <w:ind w:firstLine="420" w:firstLineChars="200"/>
        <w:rPr>
          <w:rFonts w:ascii="宋体" w:hAnsi="宋体"/>
          <w:color w:val="auto"/>
          <w:highlight w:val="none"/>
        </w:rPr>
      </w:pPr>
      <w:r>
        <w:rPr>
          <w:rFonts w:ascii="宋体" w:hAnsi="宋体"/>
          <w:color w:val="auto"/>
          <w:highlight w:val="none"/>
        </w:rPr>
        <w:t xml:space="preserve">3.6.2 </w:t>
      </w:r>
      <w:r>
        <w:rPr>
          <w:rFonts w:hint="eastAsia" w:ascii="宋体" w:hAnsi="宋体"/>
          <w:color w:val="auto"/>
          <w:highlight w:val="none"/>
        </w:rPr>
        <w:t>投标人应以书面形式进行澄清，澄清中的承诺性意思表示在投标文件有效期内均对投标人有约束力。澄清不得超出投标文件的范围或改变投标文件的实质性内容，超出部分不作为评标委员会相应评审的依据。</w:t>
      </w:r>
    </w:p>
    <w:p>
      <w:pPr>
        <w:spacing w:line="400" w:lineRule="exact"/>
        <w:ind w:firstLine="420" w:firstLineChars="200"/>
        <w:rPr>
          <w:rFonts w:ascii="宋体" w:hAnsi="宋体"/>
          <w:color w:val="auto"/>
          <w:highlight w:val="none"/>
        </w:rPr>
      </w:pPr>
      <w:r>
        <w:rPr>
          <w:rFonts w:ascii="宋体" w:hAnsi="宋体"/>
          <w:color w:val="auto"/>
          <w:highlight w:val="none"/>
        </w:rPr>
        <w:t>3.6.3 评标委员会成员均应当阅读投标人的澄清，但应独立参考澄清对投标文件进行评审。</w:t>
      </w:r>
    </w:p>
    <w:p>
      <w:pPr>
        <w:spacing w:line="400" w:lineRule="exact"/>
        <w:ind w:firstLine="420" w:firstLineChars="200"/>
        <w:rPr>
          <w:rFonts w:ascii="宋体" w:hAnsi="宋体"/>
          <w:color w:val="auto"/>
          <w:highlight w:val="none"/>
        </w:rPr>
      </w:pPr>
      <w:r>
        <w:rPr>
          <w:rFonts w:ascii="宋体" w:hAnsi="宋体"/>
          <w:color w:val="auto"/>
          <w:highlight w:val="none"/>
        </w:rPr>
        <w:t>3.6.4</w:t>
      </w:r>
      <w:r>
        <w:rPr>
          <w:rFonts w:hint="eastAsia" w:ascii="宋体" w:hAnsi="宋体"/>
          <w:color w:val="auto"/>
          <w:highlight w:val="none"/>
        </w:rPr>
        <w:t>如果投标文件实质上不响应招标文件的各项要求，评标委员会相应评审将按照有效性审查标准予以拒绝，不接受投标人通过修改或撤销其不符合要求的差异或保留，使之成为具有响应性的投标。</w:t>
      </w:r>
    </w:p>
    <w:p>
      <w:pPr>
        <w:pStyle w:val="5"/>
        <w:spacing w:before="100" w:after="100" w:line="360" w:lineRule="auto"/>
        <w:rPr>
          <w:rFonts w:ascii="宋体" w:eastAsia="宋体"/>
          <w:color w:val="auto"/>
          <w:highlight w:val="none"/>
        </w:rPr>
      </w:pPr>
      <w:bookmarkStart w:id="995" w:name="_Toc436834195"/>
      <w:bookmarkStart w:id="996" w:name="_Toc494371580"/>
      <w:bookmarkStart w:id="997" w:name="_Toc17293"/>
      <w:bookmarkStart w:id="998" w:name="_Toc30749"/>
      <w:bookmarkStart w:id="999" w:name="_Toc15072"/>
      <w:bookmarkStart w:id="1000" w:name="_Toc4464"/>
      <w:bookmarkStart w:id="1001" w:name="_Toc436834788"/>
      <w:r>
        <w:rPr>
          <w:rFonts w:ascii="宋体" w:eastAsia="宋体"/>
          <w:color w:val="auto"/>
          <w:highlight w:val="none"/>
        </w:rPr>
        <w:t>3.7评标结果</w:t>
      </w:r>
      <w:bookmarkEnd w:id="995"/>
      <w:bookmarkEnd w:id="996"/>
      <w:bookmarkEnd w:id="997"/>
      <w:bookmarkEnd w:id="998"/>
      <w:bookmarkEnd w:id="999"/>
      <w:bookmarkEnd w:id="1000"/>
      <w:bookmarkEnd w:id="1001"/>
    </w:p>
    <w:p>
      <w:pPr>
        <w:spacing w:line="400" w:lineRule="exact"/>
        <w:ind w:firstLine="420" w:firstLineChars="200"/>
        <w:rPr>
          <w:rFonts w:ascii="宋体" w:hAnsi="宋体"/>
          <w:color w:val="auto"/>
          <w:highlight w:val="none"/>
        </w:rPr>
      </w:pPr>
      <w:bookmarkStart w:id="1002" w:name="_Toc436834196"/>
      <w:bookmarkStart w:id="1003" w:name="_Toc436834789"/>
      <w:r>
        <w:rPr>
          <w:rFonts w:hint="eastAsia" w:ascii="宋体" w:hAnsi="宋体"/>
          <w:color w:val="auto"/>
          <w:szCs w:val="21"/>
          <w:highlight w:val="none"/>
        </w:rPr>
        <w:t>评标委员会应按排序先后，在招标文件有效的投标人中，向招标人推荐投标人总得分前3名投标人依次为第一中标候选人至第三中标候选人。</w:t>
      </w:r>
    </w:p>
    <w:p>
      <w:pPr>
        <w:pStyle w:val="4"/>
        <w:spacing w:before="100" w:after="100" w:line="360" w:lineRule="auto"/>
        <w:rPr>
          <w:rFonts w:ascii="宋体" w:hAnsi="宋体" w:eastAsia="宋体"/>
          <w:color w:val="auto"/>
          <w:highlight w:val="none"/>
        </w:rPr>
      </w:pPr>
      <w:bookmarkStart w:id="1004" w:name="_Toc5262"/>
      <w:bookmarkStart w:id="1005" w:name="_Toc19275"/>
      <w:bookmarkStart w:id="1006" w:name="_Toc18452"/>
      <w:bookmarkStart w:id="1007" w:name="_Toc28901"/>
      <w:bookmarkStart w:id="1008" w:name="_Toc23502"/>
      <w:bookmarkStart w:id="1009" w:name="_Toc28257"/>
      <w:bookmarkStart w:id="1010" w:name="_Toc494371581"/>
      <w:r>
        <w:rPr>
          <w:rFonts w:ascii="宋体" w:hAnsi="宋体" w:eastAsia="宋体"/>
          <w:color w:val="auto"/>
          <w:highlight w:val="none"/>
        </w:rPr>
        <w:t xml:space="preserve">4. </w:t>
      </w:r>
      <w:r>
        <w:rPr>
          <w:rFonts w:hint="eastAsia" w:ascii="宋体" w:hAnsi="宋体" w:eastAsia="宋体"/>
          <w:color w:val="auto"/>
          <w:highlight w:val="none"/>
        </w:rPr>
        <w:t>评标表格</w:t>
      </w:r>
      <w:bookmarkEnd w:id="994"/>
      <w:bookmarkEnd w:id="1002"/>
      <w:bookmarkEnd w:id="1003"/>
      <w:bookmarkEnd w:id="1004"/>
      <w:bookmarkEnd w:id="1005"/>
      <w:bookmarkEnd w:id="1006"/>
      <w:bookmarkEnd w:id="1007"/>
      <w:bookmarkEnd w:id="1008"/>
      <w:bookmarkEnd w:id="1009"/>
      <w:bookmarkEnd w:id="1010"/>
    </w:p>
    <w:p>
      <w:pPr>
        <w:spacing w:line="400" w:lineRule="exact"/>
        <w:ind w:firstLine="420" w:firstLineChars="200"/>
        <w:rPr>
          <w:rFonts w:ascii="宋体" w:hAnsi="宋体"/>
          <w:color w:val="auto"/>
          <w:highlight w:val="none"/>
        </w:rPr>
      </w:pPr>
      <w:r>
        <w:rPr>
          <w:rFonts w:hint="eastAsia" w:ascii="宋体" w:hAnsi="宋体"/>
          <w:color w:val="auto"/>
          <w:highlight w:val="none"/>
        </w:rPr>
        <w:t>见后附。</w:t>
      </w:r>
    </w:p>
    <w:p>
      <w:pPr>
        <w:spacing w:line="400" w:lineRule="exact"/>
        <w:rPr>
          <w:rFonts w:ascii="宋体" w:hAnsi="宋体"/>
          <w:b/>
          <w:color w:val="auto"/>
          <w:sz w:val="28"/>
          <w:szCs w:val="28"/>
          <w:highlight w:val="none"/>
        </w:rPr>
      </w:pPr>
      <w:r>
        <w:rPr>
          <w:rFonts w:ascii="宋体" w:hAnsi="宋体"/>
          <w:color w:val="auto"/>
          <w:highlight w:val="none"/>
        </w:rPr>
        <w:br w:type="page"/>
      </w:r>
      <w:r>
        <w:rPr>
          <w:rFonts w:hint="eastAsia" w:ascii="宋体" w:hAnsi="宋体"/>
          <w:b/>
          <w:color w:val="auto"/>
          <w:sz w:val="28"/>
          <w:szCs w:val="28"/>
          <w:highlight w:val="none"/>
        </w:rPr>
        <w:t>附表</w:t>
      </w:r>
      <w:r>
        <w:rPr>
          <w:rFonts w:ascii="宋体" w:hAnsi="宋体"/>
          <w:b/>
          <w:color w:val="auto"/>
          <w:sz w:val="28"/>
          <w:szCs w:val="28"/>
          <w:highlight w:val="none"/>
        </w:rPr>
        <w:t xml:space="preserve">1： </w:t>
      </w:r>
    </w:p>
    <w:p>
      <w:pPr>
        <w:jc w:val="center"/>
        <w:rPr>
          <w:rFonts w:ascii="宋体" w:hAnsi="宋体"/>
          <w:b/>
          <w:color w:val="auto"/>
          <w:sz w:val="32"/>
          <w:szCs w:val="32"/>
          <w:highlight w:val="none"/>
        </w:rPr>
      </w:pPr>
      <w:r>
        <w:rPr>
          <w:rFonts w:hint="eastAsia" w:ascii="宋体" w:hAnsi="宋体"/>
          <w:b/>
          <w:color w:val="auto"/>
          <w:sz w:val="32"/>
          <w:szCs w:val="32"/>
          <w:highlight w:val="none"/>
        </w:rPr>
        <w:t>资格审查表</w:t>
      </w:r>
    </w:p>
    <w:p>
      <w:pPr>
        <w:rPr>
          <w:rFonts w:ascii="宋体" w:hAnsi="宋体"/>
          <w:color w:val="auto"/>
          <w:highlight w:val="none"/>
        </w:rPr>
      </w:pPr>
      <w:r>
        <w:rPr>
          <w:rFonts w:hint="eastAsia" w:ascii="宋体" w:hAnsi="宋体"/>
          <w:color w:val="auto"/>
          <w:highlight w:val="none"/>
        </w:rPr>
        <w:t>工程名称：</w:t>
      </w:r>
    </w:p>
    <w:p>
      <w:pPr>
        <w:rPr>
          <w:rFonts w:ascii="宋体" w:hAnsi="宋体"/>
          <w:color w:val="auto"/>
          <w:highlight w:val="none"/>
        </w:rPr>
      </w:pPr>
    </w:p>
    <w:tbl>
      <w:tblPr>
        <w:tblStyle w:val="3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146"/>
        <w:gridCol w:w="1261"/>
        <w:gridCol w:w="126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both"/>
              <w:rPr>
                <w:rFonts w:ascii="宋体" w:hAnsi="宋体"/>
                <w:color w:val="auto"/>
                <w:highlight w:val="none"/>
              </w:rPr>
            </w:pPr>
            <w:r>
              <w:rPr>
                <w:rFonts w:hint="eastAsia" w:ascii="宋体" w:hAnsi="宋体"/>
                <w:color w:val="auto"/>
                <w:highlight w:val="none"/>
              </w:rPr>
              <w:t>序号</w:t>
            </w:r>
          </w:p>
        </w:tc>
        <w:tc>
          <w:tcPr>
            <w:tcW w:w="5146"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napToGrid w:val="0"/>
              <w:ind w:right="102"/>
              <w:jc w:val="right"/>
              <w:rPr>
                <w:rFonts w:ascii="宋体" w:hAnsi="宋体"/>
                <w:color w:val="auto"/>
                <w:highlight w:val="none"/>
              </w:rPr>
            </w:pPr>
            <w:r>
              <w:rPr>
                <w:rFonts w:hint="eastAsia" w:ascii="宋体" w:hAnsi="宋体"/>
                <w:color w:val="auto"/>
                <w:highlight w:val="none"/>
              </w:rPr>
              <w:t>投标人</w:t>
            </w:r>
          </w:p>
          <w:p>
            <w:pPr>
              <w:widowControl/>
              <w:snapToGrid w:val="0"/>
              <w:ind w:right="102"/>
              <w:jc w:val="left"/>
              <w:rPr>
                <w:rFonts w:ascii="宋体" w:hAnsi="宋体"/>
                <w:color w:val="auto"/>
                <w:highlight w:val="none"/>
              </w:rPr>
            </w:pPr>
            <w:r>
              <w:rPr>
                <w:rFonts w:hint="eastAsia" w:ascii="宋体" w:hAnsi="宋体"/>
                <w:color w:val="auto"/>
                <w:highlight w:val="none"/>
              </w:rPr>
              <w:t>审查项目</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85"/>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both"/>
              <w:rPr>
                <w:rFonts w:ascii="宋体" w:hAnsi="宋体"/>
                <w:color w:val="auto"/>
                <w:highlight w:val="none"/>
              </w:rPr>
            </w:pPr>
            <w:r>
              <w:rPr>
                <w:rFonts w:ascii="宋体" w:hAnsi="宋体"/>
                <w:color w:val="auto"/>
                <w:highlight w:val="none"/>
              </w:rPr>
              <w:t>1</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olor w:val="auto"/>
                <w:highlight w:val="none"/>
              </w:rPr>
              <w:t>投标人参加投标的意思表达清楚，投标人代表被授权有效</w:t>
            </w:r>
            <w:r>
              <w:rPr>
                <w:rFonts w:hint="eastAsia" w:ascii="宋体" w:hAnsi="宋体"/>
                <w:color w:val="auto"/>
                <w:highlight w:val="none"/>
                <w:lang w:eastAsia="zh-CN"/>
              </w:rPr>
              <w:t>。</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both"/>
              <w:rPr>
                <w:rFonts w:hint="eastAsia" w:ascii="宋体" w:hAnsi="宋体" w:eastAsia="宋体"/>
                <w:color w:val="auto"/>
                <w:highlight w:val="none"/>
                <w:lang w:eastAsia="zh-CN"/>
              </w:rPr>
            </w:pPr>
            <w:r>
              <w:rPr>
                <w:rFonts w:hint="eastAsia" w:ascii="宋体" w:hAnsi="宋体"/>
                <w:color w:val="auto"/>
                <w:highlight w:val="none"/>
                <w:lang w:val="en-US" w:eastAsia="zh-CN"/>
              </w:rPr>
              <w:t>2</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s="宋体"/>
                <w:color w:val="auto"/>
                <w:kern w:val="0"/>
                <w:szCs w:val="21"/>
                <w:highlight w:val="none"/>
              </w:rPr>
              <w:t>投标人资质符合本项目招标公告要求。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both"/>
              <w:rPr>
                <w:rFonts w:hint="eastAsia" w:ascii="宋体" w:hAnsi="宋体" w:eastAsia="宋体"/>
                <w:color w:val="auto"/>
                <w:highlight w:val="none"/>
                <w:lang w:eastAsia="zh-CN"/>
              </w:rPr>
            </w:pPr>
            <w:r>
              <w:rPr>
                <w:rFonts w:hint="eastAsia" w:ascii="宋体" w:hAnsi="宋体"/>
                <w:color w:val="auto"/>
                <w:highlight w:val="none"/>
                <w:lang w:val="en-US" w:eastAsia="zh-CN"/>
              </w:rPr>
              <w:t>3</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u w:val="single"/>
              </w:rPr>
            </w:pPr>
            <w:r>
              <w:rPr>
                <w:rFonts w:hint="eastAsia" w:ascii="宋体" w:hAnsi="宋体" w:cs="宋体"/>
                <w:color w:val="auto"/>
                <w:kern w:val="0"/>
                <w:szCs w:val="21"/>
                <w:highlight w:val="none"/>
              </w:rPr>
              <w:t>施工负责人（兼任项目负责人）符合本项目招标公告要求。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both"/>
              <w:rPr>
                <w:rFonts w:hint="eastAsia" w:ascii="宋体" w:hAnsi="宋体" w:eastAsia="宋体"/>
                <w:color w:val="auto"/>
                <w:highlight w:val="none"/>
                <w:lang w:eastAsia="zh-CN"/>
              </w:rPr>
            </w:pPr>
            <w:r>
              <w:rPr>
                <w:rFonts w:hint="eastAsia" w:ascii="宋体" w:hAnsi="宋体"/>
                <w:color w:val="auto"/>
                <w:highlight w:val="none"/>
                <w:lang w:val="en-US" w:eastAsia="zh-CN"/>
              </w:rPr>
              <w:t>4</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s="宋体"/>
                <w:color w:val="auto"/>
                <w:kern w:val="0"/>
                <w:szCs w:val="21"/>
                <w:highlight w:val="none"/>
              </w:rPr>
              <w:t>设计负责人符合本项目招标公告要求。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both"/>
              <w:rPr>
                <w:rFonts w:hint="eastAsia" w:ascii="宋体" w:hAnsi="宋体" w:eastAsia="宋体"/>
                <w:color w:val="auto"/>
                <w:highlight w:val="none"/>
                <w:lang w:eastAsia="zh-CN"/>
              </w:rPr>
            </w:pPr>
            <w:r>
              <w:rPr>
                <w:rFonts w:hint="eastAsia" w:ascii="宋体" w:hAnsi="宋体"/>
                <w:color w:val="auto"/>
                <w:highlight w:val="none"/>
                <w:lang w:val="en-US" w:eastAsia="zh-CN"/>
              </w:rPr>
              <w:t>5</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szCs w:val="21"/>
                <w:highlight w:val="none"/>
              </w:rPr>
            </w:pPr>
            <w:r>
              <w:rPr>
                <w:rFonts w:hint="eastAsia" w:ascii="宋体" w:hAnsi="宋体" w:cs="宋体"/>
                <w:color w:val="auto"/>
                <w:kern w:val="0"/>
                <w:szCs w:val="21"/>
                <w:highlight w:val="none"/>
              </w:rPr>
              <w:t>提供专职安全员（若为联合体投标，指联合体主办方）安全生产考核合格证（C类）或广东省建筑施工企业管理人员安全生产考核信息系统安全生产管理人员证书信息的打印页,项目负责人和安全员不为同一人。</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both"/>
              <w:rPr>
                <w:rFonts w:hint="eastAsia" w:ascii="宋体" w:hAnsi="宋体" w:eastAsia="宋体"/>
                <w:color w:val="auto"/>
                <w:highlight w:val="none"/>
                <w:lang w:eastAsia="zh-CN"/>
              </w:rPr>
            </w:pPr>
            <w:r>
              <w:rPr>
                <w:rFonts w:hint="eastAsia" w:ascii="宋体" w:hAnsi="宋体"/>
                <w:color w:val="auto"/>
                <w:highlight w:val="none"/>
                <w:lang w:val="en-US" w:eastAsia="zh-CN"/>
              </w:rPr>
              <w:t>6</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szCs w:val="21"/>
                <w:highlight w:val="none"/>
              </w:rPr>
            </w:pPr>
            <w:r>
              <w:rPr>
                <w:rFonts w:hint="eastAsia" w:ascii="宋体" w:hAnsi="宋体" w:cs="宋体"/>
                <w:color w:val="auto"/>
                <w:kern w:val="0"/>
                <w:szCs w:val="21"/>
                <w:highlight w:val="none"/>
              </w:rPr>
              <w:t>投标人已按照招标公告附件一的内容签署盖章的《投标申请人声明》。</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both"/>
              <w:rPr>
                <w:rFonts w:hint="eastAsia" w:ascii="宋体" w:hAnsi="宋体" w:eastAsia="宋体"/>
                <w:color w:val="auto"/>
                <w:highlight w:val="none"/>
                <w:lang w:eastAsia="zh-CN"/>
              </w:rPr>
            </w:pPr>
            <w:r>
              <w:rPr>
                <w:rFonts w:hint="eastAsia" w:ascii="宋体" w:hAnsi="宋体"/>
                <w:color w:val="auto"/>
                <w:highlight w:val="none"/>
                <w:lang w:val="en-US" w:eastAsia="zh-CN"/>
              </w:rPr>
              <w:t>7</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olor w:val="auto"/>
                <w:highlight w:val="none"/>
              </w:rPr>
              <w:t>投标人以联合体投标的，需提供联合体工作协议。</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olor w:val="auto"/>
                <w:highlight w:val="none"/>
              </w:rPr>
              <w:t>结论</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bl>
    <w:p>
      <w:pPr>
        <w:rPr>
          <w:rFonts w:ascii="宋体" w:hAnsi="宋体" w:cs="宋体"/>
          <w:color w:val="auto"/>
          <w:szCs w:val="21"/>
          <w:highlight w:val="none"/>
        </w:rPr>
      </w:pPr>
      <w:r>
        <w:rPr>
          <w:rFonts w:hint="eastAsia" w:ascii="宋体" w:hAnsi="宋体"/>
          <w:color w:val="auto"/>
          <w:highlight w:val="none"/>
        </w:rPr>
        <w:t>备注：</w:t>
      </w:r>
      <w:r>
        <w:rPr>
          <w:rFonts w:hint="eastAsia" w:ascii="宋体" w:hAnsi="宋体" w:cs="宋体"/>
          <w:color w:val="auto"/>
          <w:szCs w:val="21"/>
          <w:highlight w:val="none"/>
        </w:rPr>
        <w:t>1.根据本表审查项目，符合的填“○”，不符合的填“×”，评审结论填“通过“或“不通过”。</w:t>
      </w:r>
    </w:p>
    <w:p>
      <w:pPr>
        <w:ind w:firstLine="630" w:firstLineChars="300"/>
        <w:rPr>
          <w:rFonts w:ascii="宋体" w:hAnsi="宋体" w:cs="宋体"/>
          <w:color w:val="auto"/>
          <w:szCs w:val="21"/>
          <w:highlight w:val="none"/>
        </w:rPr>
      </w:pPr>
      <w:r>
        <w:rPr>
          <w:rFonts w:hint="eastAsia" w:ascii="宋体" w:hAnsi="宋体" w:cs="宋体"/>
          <w:color w:val="auto"/>
          <w:szCs w:val="21"/>
          <w:highlight w:val="none"/>
        </w:rPr>
        <w:t>2.本表中出现一个（或以上）“×”，投标人的评审结论为“不通过”，即该投标人不进入下一阶段评审。</w:t>
      </w:r>
    </w:p>
    <w:p>
      <w:pPr>
        <w:ind w:firstLine="630" w:firstLineChars="300"/>
        <w:rPr>
          <w:rFonts w:ascii="宋体" w:hAnsi="宋体" w:cs="宋体"/>
          <w:color w:val="auto"/>
          <w:szCs w:val="21"/>
          <w:highlight w:val="none"/>
        </w:rPr>
      </w:pPr>
      <w:r>
        <w:rPr>
          <w:rFonts w:hint="eastAsia" w:ascii="宋体" w:hAnsi="宋体" w:cs="宋体"/>
          <w:color w:val="auto"/>
          <w:szCs w:val="21"/>
          <w:highlight w:val="none"/>
        </w:rPr>
        <w:t>3.本表中评审项目全部为“○”，投标人的评审结论为“通过”，即该投标人进入下一阶段评审</w:t>
      </w:r>
    </w:p>
    <w:p>
      <w:pPr>
        <w:ind w:firstLine="630" w:firstLineChars="300"/>
        <w:rPr>
          <w:rFonts w:ascii="宋体" w:hAnsi="宋体"/>
          <w:color w:val="auto"/>
          <w:highlight w:val="none"/>
        </w:rPr>
      </w:pPr>
      <w:r>
        <w:rPr>
          <w:rFonts w:hint="eastAsia" w:ascii="宋体" w:hAnsi="宋体" w:cs="宋体"/>
          <w:color w:val="auto"/>
          <w:szCs w:val="21"/>
          <w:highlight w:val="none"/>
        </w:rPr>
        <w:t>4.如对本表中某种情形的评审意见不一致时，以评审组过半数成员的意见作为评审组对该情形的认定结论。</w:t>
      </w:r>
    </w:p>
    <w:p>
      <w:pPr>
        <w:widowControl/>
        <w:snapToGrid w:val="0"/>
        <w:ind w:right="102"/>
        <w:jc w:val="left"/>
        <w:rPr>
          <w:rFonts w:ascii="宋体" w:hAnsi="宋体"/>
          <w:color w:val="auto"/>
          <w:highlight w:val="none"/>
        </w:rPr>
      </w:pPr>
    </w:p>
    <w:p>
      <w:pPr>
        <w:spacing w:line="400" w:lineRule="exact"/>
        <w:rPr>
          <w:rFonts w:ascii="宋体" w:hAnsi="宋体"/>
          <w:b/>
          <w:color w:val="auto"/>
          <w:sz w:val="28"/>
          <w:szCs w:val="28"/>
          <w:highlight w:val="none"/>
        </w:rPr>
        <w:sectPr>
          <w:pgSz w:w="11906" w:h="16838"/>
          <w:pgMar w:top="1440" w:right="1134" w:bottom="1440" w:left="1134" w:header="851" w:footer="992" w:gutter="0"/>
          <w:cols w:space="720" w:num="1"/>
          <w:docGrid w:type="lines" w:linePitch="312" w:charSpace="0"/>
        </w:sectPr>
      </w:pPr>
    </w:p>
    <w:p>
      <w:pPr>
        <w:rPr>
          <w:rFonts w:ascii="宋体" w:hAnsi="宋体"/>
          <w:color w:val="auto"/>
          <w:szCs w:val="21"/>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2</w:t>
      </w:r>
      <w:r>
        <w:rPr>
          <w:rFonts w:ascii="宋体" w:hAnsi="宋体"/>
          <w:b/>
          <w:color w:val="auto"/>
          <w:sz w:val="28"/>
          <w:szCs w:val="28"/>
          <w:highlight w:val="none"/>
        </w:rPr>
        <w:t>：</w:t>
      </w:r>
    </w:p>
    <w:p>
      <w:pPr>
        <w:spacing w:line="360" w:lineRule="auto"/>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工程总承包实施方案（含资信部分）文件评分表</w:t>
      </w:r>
    </w:p>
    <w:p>
      <w:pPr>
        <w:jc w:val="left"/>
        <w:rPr>
          <w:rFonts w:hint="eastAsia" w:eastAsia="宋体"/>
          <w:color w:val="auto"/>
          <w:szCs w:val="21"/>
          <w:highlight w:val="none"/>
          <w:lang w:val="en-US" w:eastAsia="zh-CN"/>
        </w:rPr>
      </w:pPr>
      <w:r>
        <w:rPr>
          <w:rFonts w:hint="eastAsia"/>
          <w:color w:val="auto"/>
          <w:szCs w:val="21"/>
          <w:highlight w:val="none"/>
        </w:rPr>
        <w:t>项目名称：</w:t>
      </w:r>
      <w:r>
        <w:rPr>
          <w:rFonts w:hint="eastAsia"/>
          <w:color w:val="auto"/>
          <w:szCs w:val="21"/>
          <w:highlight w:val="none"/>
          <w:lang w:val="en-US" w:eastAsia="zh-CN"/>
        </w:rPr>
        <w:t xml:space="preserve"> </w:t>
      </w:r>
    </w:p>
    <w:p>
      <w:pPr>
        <w:spacing w:line="360" w:lineRule="exact"/>
        <w:jc w:val="left"/>
        <w:rPr>
          <w:rFonts w:ascii="宋体" w:hAnsi="宋体"/>
          <w:b/>
          <w:color w:val="auto"/>
          <w:sz w:val="28"/>
          <w:szCs w:val="28"/>
          <w:highlight w:val="none"/>
        </w:rPr>
      </w:pPr>
    </w:p>
    <w:tbl>
      <w:tblPr>
        <w:tblStyle w:val="39"/>
        <w:tblW w:w="0" w:type="auto"/>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662"/>
        <w:gridCol w:w="1502"/>
        <w:gridCol w:w="851"/>
        <w:gridCol w:w="10442"/>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323" w:type="dxa"/>
            <w:gridSpan w:val="2"/>
            <w:tcBorders>
              <w:top w:val="single" w:color="auto" w:sz="8" w:space="0"/>
              <w:left w:val="single" w:color="auto" w:sz="8" w:space="0"/>
              <w:bottom w:val="single" w:color="auto" w:sz="4" w:space="0"/>
              <w:right w:val="single" w:color="auto" w:sz="4" w:space="0"/>
            </w:tcBorders>
            <w:vAlign w:val="center"/>
          </w:tcPr>
          <w:p>
            <w:pPr>
              <w:pStyle w:val="91"/>
              <w:rPr>
                <w:rFonts w:ascii="宋体" w:hAnsi="宋体" w:cs="宋体"/>
                <w:color w:val="auto"/>
                <w:szCs w:val="21"/>
                <w:highlight w:val="none"/>
              </w:rPr>
            </w:pPr>
            <w:bookmarkStart w:id="1011" w:name="_Hlk68173789"/>
            <w:r>
              <w:rPr>
                <w:rFonts w:hint="eastAsia" w:ascii="宋体" w:hAnsi="宋体" w:cs="宋体"/>
                <w:color w:val="auto"/>
                <w:szCs w:val="21"/>
                <w:highlight w:val="none"/>
              </w:rPr>
              <w:t>评分项目</w:t>
            </w:r>
          </w:p>
        </w:tc>
        <w:tc>
          <w:tcPr>
            <w:tcW w:w="1502" w:type="dxa"/>
            <w:tcBorders>
              <w:top w:val="single" w:color="auto" w:sz="8" w:space="0"/>
              <w:left w:val="single" w:color="auto" w:sz="4" w:space="0"/>
              <w:bottom w:val="single" w:color="auto" w:sz="4" w:space="0"/>
              <w:right w:val="single" w:color="auto" w:sz="4" w:space="0"/>
            </w:tcBorders>
            <w:vAlign w:val="center"/>
          </w:tcPr>
          <w:p>
            <w:pPr>
              <w:pStyle w:val="91"/>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851" w:type="dxa"/>
            <w:tcBorders>
              <w:top w:val="single" w:color="auto" w:sz="8" w:space="0"/>
              <w:left w:val="single" w:color="auto" w:sz="4" w:space="0"/>
              <w:bottom w:val="single" w:color="auto" w:sz="4" w:space="0"/>
              <w:right w:val="single" w:color="auto" w:sz="4" w:space="0"/>
            </w:tcBorders>
            <w:vAlign w:val="center"/>
          </w:tcPr>
          <w:p>
            <w:pPr>
              <w:pStyle w:val="91"/>
              <w:jc w:val="center"/>
              <w:rPr>
                <w:rFonts w:ascii="宋体" w:hAnsi="宋体" w:cs="宋体"/>
                <w:color w:val="auto"/>
                <w:szCs w:val="21"/>
                <w:highlight w:val="none"/>
              </w:rPr>
            </w:pPr>
            <w:r>
              <w:rPr>
                <w:rFonts w:hint="eastAsia" w:ascii="宋体" w:hAnsi="宋体" w:cs="宋体"/>
                <w:color w:val="auto"/>
                <w:szCs w:val="21"/>
                <w:highlight w:val="none"/>
              </w:rPr>
              <w:t>分值</w:t>
            </w:r>
          </w:p>
        </w:tc>
        <w:tc>
          <w:tcPr>
            <w:tcW w:w="10442" w:type="dxa"/>
            <w:tcBorders>
              <w:top w:val="single" w:color="auto" w:sz="8" w:space="0"/>
              <w:left w:val="single" w:color="auto" w:sz="4" w:space="0"/>
              <w:bottom w:val="single" w:color="auto" w:sz="4" w:space="0"/>
              <w:right w:val="single" w:color="auto" w:sz="4" w:space="0"/>
            </w:tcBorders>
            <w:vAlign w:val="center"/>
          </w:tcPr>
          <w:p>
            <w:pPr>
              <w:pStyle w:val="91"/>
              <w:jc w:val="center"/>
              <w:rPr>
                <w:rFonts w:ascii="宋体" w:hAnsi="宋体" w:cs="宋体"/>
                <w:color w:val="auto"/>
                <w:szCs w:val="21"/>
                <w:highlight w:val="none"/>
              </w:rPr>
            </w:pPr>
            <w:r>
              <w:rPr>
                <w:rFonts w:hint="eastAsia" w:ascii="宋体" w:hAnsi="宋体" w:cs="宋体"/>
                <w:color w:val="auto"/>
                <w:szCs w:val="21"/>
                <w:highlight w:val="none"/>
              </w:rPr>
              <w:t>评审标准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661" w:type="dxa"/>
            <w:vMerge w:val="restart"/>
            <w:tcBorders>
              <w:left w:val="single" w:color="auto" w:sz="8" w:space="0"/>
              <w:right w:val="single" w:color="auto" w:sz="4" w:space="0"/>
            </w:tcBorders>
            <w:vAlign w:val="center"/>
          </w:tcPr>
          <w:p>
            <w:pPr>
              <w:spacing w:line="240" w:lineRule="auto"/>
              <w:rPr>
                <w:rFonts w:ascii="宋体" w:hAnsi="宋体" w:cs="宋体"/>
                <w:color w:val="auto"/>
                <w:szCs w:val="21"/>
                <w:highlight w:val="none"/>
              </w:rPr>
            </w:pPr>
            <w:r>
              <w:rPr>
                <w:rFonts w:hint="eastAsia" w:ascii="宋体" w:hAnsi="宋体" w:cs="宋体"/>
                <w:color w:val="auto"/>
                <w:szCs w:val="21"/>
                <w:highlight w:val="none"/>
              </w:rPr>
              <w:t>一、企业资信及团队实力（</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分）</w:t>
            </w:r>
          </w:p>
        </w:tc>
        <w:tc>
          <w:tcPr>
            <w:tcW w:w="662" w:type="dxa"/>
            <w:vMerge w:val="restart"/>
            <w:tcBorders>
              <w:left w:val="single" w:color="auto" w:sz="8" w:space="0"/>
              <w:right w:val="single" w:color="auto" w:sz="4" w:space="0"/>
            </w:tcBorders>
            <w:vAlign w:val="center"/>
          </w:tcPr>
          <w:p>
            <w:pPr>
              <w:spacing w:line="240" w:lineRule="auto"/>
              <w:rPr>
                <w:rFonts w:ascii="宋体" w:hAnsi="宋体" w:cs="宋体"/>
                <w:color w:val="auto"/>
                <w:szCs w:val="21"/>
                <w:highlight w:val="none"/>
              </w:rPr>
            </w:pPr>
            <w:r>
              <w:rPr>
                <w:rFonts w:hint="eastAsia" w:ascii="宋体" w:hAnsi="宋体" w:cs="宋体"/>
                <w:color w:val="auto"/>
                <w:szCs w:val="21"/>
                <w:highlight w:val="none"/>
              </w:rPr>
              <w:t>设计部分</w:t>
            </w:r>
          </w:p>
        </w:tc>
        <w:tc>
          <w:tcPr>
            <w:tcW w:w="1502" w:type="dxa"/>
            <w:tcBorders>
              <w:left w:val="single" w:color="auto" w:sz="4" w:space="0"/>
              <w:right w:val="single" w:color="auto" w:sz="4" w:space="0"/>
            </w:tcBorders>
            <w:vAlign w:val="center"/>
          </w:tcPr>
          <w:p>
            <w:pPr>
              <w:autoSpaceDE w:val="0"/>
              <w:autoSpaceDN w:val="0"/>
              <w:adjustRightInd w:val="0"/>
              <w:spacing w:line="240" w:lineRule="auto"/>
              <w:jc w:val="center"/>
              <w:rPr>
                <w:rFonts w:ascii="宋体" w:hAnsi="宋体" w:cs="宋体"/>
                <w:color w:val="auto"/>
                <w:szCs w:val="21"/>
                <w:highlight w:val="none"/>
              </w:rPr>
            </w:pPr>
            <w:r>
              <w:rPr>
                <w:rFonts w:hint="eastAsia" w:ascii="宋体" w:hAnsi="宋体" w:cs="宋体"/>
                <w:color w:val="auto"/>
                <w:kern w:val="0"/>
                <w:szCs w:val="21"/>
                <w:highlight w:val="none"/>
              </w:rPr>
              <w:t>设计机构实力</w:t>
            </w:r>
          </w:p>
        </w:tc>
        <w:tc>
          <w:tcPr>
            <w:tcW w:w="851" w:type="dxa"/>
            <w:tcBorders>
              <w:left w:val="single" w:color="auto" w:sz="4" w:space="0"/>
              <w:right w:val="single" w:color="auto" w:sz="4" w:space="0"/>
            </w:tcBorders>
            <w:vAlign w:val="center"/>
          </w:tcPr>
          <w:p>
            <w:pPr>
              <w:autoSpaceDE w:val="0"/>
              <w:autoSpaceDN w:val="0"/>
              <w:adjustRightIn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442" w:type="dxa"/>
            <w:tcBorders>
              <w:top w:val="single" w:color="auto" w:sz="4" w:space="0"/>
              <w:left w:val="single" w:color="auto" w:sz="4" w:space="0"/>
              <w:right w:val="single" w:color="auto" w:sz="4" w:space="0"/>
            </w:tcBorders>
            <w:vAlign w:val="center"/>
          </w:tcPr>
          <w:p>
            <w:pPr>
              <w:autoSpaceDE w:val="0"/>
              <w:autoSpaceDN w:val="0"/>
              <w:adjustRightInd w:val="0"/>
              <w:ind w:left="-50" w:leftChars="-24" w:right="-65" w:rightChars="-31"/>
              <w:rPr>
                <w:rFonts w:ascii="宋体" w:hAnsi="宋体" w:eastAsia="宋体" w:cs="宋体"/>
                <w:color w:val="auto"/>
                <w:szCs w:val="21"/>
                <w:highlight w:val="none"/>
                <w:u w:val="none"/>
              </w:rPr>
            </w:pPr>
            <w:r>
              <w:rPr>
                <w:rFonts w:hint="eastAsia" w:ascii="宋体" w:hAnsi="宋体" w:cs="宋体"/>
                <w:color w:val="auto"/>
                <w:szCs w:val="21"/>
                <w:highlight w:val="none"/>
              </w:rPr>
              <w:t>1）具备</w:t>
            </w:r>
            <w:r>
              <w:rPr>
                <w:rFonts w:hint="eastAsia" w:ascii="宋体" w:hAnsi="宋体" w:cs="宋体"/>
                <w:color w:val="auto"/>
                <w:szCs w:val="21"/>
                <w:highlight w:val="none"/>
                <w:lang w:eastAsia="zh-CN"/>
              </w:rPr>
              <w:t>工程设计综合甲级资质、或</w:t>
            </w:r>
            <w:r>
              <w:rPr>
                <w:rFonts w:hint="default" w:ascii="宋体" w:hAnsi="宋体" w:cs="宋体"/>
                <w:color w:val="auto"/>
                <w:sz w:val="21"/>
                <w:szCs w:val="21"/>
                <w:highlight w:val="none"/>
                <w:u w:val="none"/>
              </w:rPr>
              <w:t>建筑行业设计甲级资</w:t>
            </w:r>
            <w:r>
              <w:rPr>
                <w:rFonts w:hint="default" w:ascii="宋体" w:hAnsi="宋体" w:eastAsia="宋体" w:cs="宋体"/>
                <w:color w:val="auto"/>
                <w:sz w:val="21"/>
                <w:szCs w:val="21"/>
                <w:highlight w:val="none"/>
                <w:u w:val="none"/>
              </w:rPr>
              <w:t>质</w:t>
            </w:r>
            <w:r>
              <w:rPr>
                <w:rFonts w:hint="default" w:ascii="宋体" w:hAnsi="宋体" w:eastAsia="宋体" w:cs="宋体"/>
                <w:color w:val="auto"/>
                <w:sz w:val="21"/>
                <w:szCs w:val="21"/>
                <w:highlight w:val="none"/>
                <w:u w:val="none"/>
                <w:lang w:eastAsia="zh-CN"/>
              </w:rPr>
              <w:t>、或</w:t>
            </w:r>
            <w:r>
              <w:rPr>
                <w:rFonts w:hint="default" w:ascii="宋体" w:hAnsi="宋体" w:eastAsia="宋体" w:cs="宋体"/>
                <w:color w:val="auto"/>
                <w:sz w:val="21"/>
                <w:szCs w:val="21"/>
                <w:highlight w:val="none"/>
                <w:u w:val="none"/>
              </w:rPr>
              <w:t>建筑行业（建筑工程）专业设计</w:t>
            </w:r>
            <w:r>
              <w:rPr>
                <w:rFonts w:hint="eastAsia" w:ascii="宋体" w:hAnsi="宋体" w:eastAsia="宋体" w:cs="宋体"/>
                <w:color w:val="auto"/>
                <w:sz w:val="21"/>
                <w:szCs w:val="21"/>
                <w:highlight w:val="none"/>
                <w:u w:val="none"/>
                <w:lang w:val="en-US" w:eastAsia="zh-CN"/>
              </w:rPr>
              <w:t>甲级</w:t>
            </w:r>
            <w:r>
              <w:rPr>
                <w:rFonts w:hint="default" w:ascii="宋体" w:hAnsi="宋体" w:eastAsia="宋体" w:cs="宋体"/>
                <w:color w:val="auto"/>
                <w:sz w:val="21"/>
                <w:szCs w:val="21"/>
                <w:highlight w:val="none"/>
                <w:u w:val="none"/>
              </w:rPr>
              <w:t>资质</w:t>
            </w:r>
            <w:r>
              <w:rPr>
                <w:rFonts w:hint="default" w:ascii="宋体" w:hAnsi="宋体" w:eastAsia="宋体" w:cs="宋体"/>
                <w:color w:val="auto"/>
                <w:sz w:val="21"/>
                <w:szCs w:val="21"/>
                <w:highlight w:val="none"/>
                <w:u w:val="none"/>
                <w:lang w:eastAsia="zh-CN"/>
              </w:rPr>
              <w:t>的</w:t>
            </w:r>
            <w:r>
              <w:rPr>
                <w:rFonts w:hint="default" w:ascii="宋体" w:hAnsi="宋体" w:eastAsia="宋体" w:cs="宋体"/>
                <w:color w:val="auto"/>
                <w:szCs w:val="21"/>
                <w:highlight w:val="none"/>
                <w:u w:val="none"/>
              </w:rPr>
              <w:t>，得</w:t>
            </w:r>
            <w:r>
              <w:rPr>
                <w:rFonts w:hint="default" w:ascii="宋体" w:hAnsi="宋体" w:eastAsia="宋体" w:cs="宋体"/>
                <w:color w:val="auto"/>
                <w:szCs w:val="21"/>
                <w:highlight w:val="none"/>
                <w:u w:val="none"/>
                <w:lang w:val="en-US" w:eastAsia="zh-CN"/>
              </w:rPr>
              <w:t>5</w:t>
            </w:r>
            <w:r>
              <w:rPr>
                <w:rFonts w:hint="default" w:ascii="宋体" w:hAnsi="宋体" w:eastAsia="宋体" w:cs="宋体"/>
                <w:color w:val="auto"/>
                <w:szCs w:val="21"/>
                <w:highlight w:val="none"/>
                <w:u w:val="none"/>
              </w:rPr>
              <w:t>分。</w:t>
            </w:r>
          </w:p>
          <w:p>
            <w:pPr>
              <w:autoSpaceDE w:val="0"/>
              <w:autoSpaceDN w:val="0"/>
              <w:adjustRightInd w:val="0"/>
              <w:ind w:left="-50" w:leftChars="-24" w:right="-65" w:rightChars="-31"/>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20</w:t>
            </w:r>
            <w:r>
              <w:rPr>
                <w:rFonts w:hint="eastAsia" w:ascii="宋体" w:hAnsi="宋体" w:cs="宋体"/>
                <w:color w:val="auto"/>
                <w:szCs w:val="21"/>
                <w:highlight w:val="none"/>
              </w:rPr>
              <w:t>18</w:t>
            </w:r>
            <w:r>
              <w:rPr>
                <w:rFonts w:hint="eastAsia" w:ascii="宋体" w:hAnsi="宋体" w:cs="宋体"/>
                <w:color w:val="auto"/>
                <w:szCs w:val="21"/>
                <w:highlight w:val="none"/>
                <w:lang w:val="zh-CN"/>
              </w:rPr>
              <w:t>年1月1日</w:t>
            </w:r>
            <w:r>
              <w:rPr>
                <w:rFonts w:hint="eastAsia" w:ascii="宋体" w:hAnsi="宋体" w:cs="宋体"/>
                <w:color w:val="auto"/>
                <w:szCs w:val="21"/>
                <w:highlight w:val="none"/>
              </w:rPr>
              <w:t>至投标截止时间止</w:t>
            </w:r>
            <w:r>
              <w:rPr>
                <w:rFonts w:hint="eastAsia" w:ascii="宋体" w:hAnsi="宋体" w:cs="宋体"/>
                <w:color w:val="auto"/>
                <w:szCs w:val="21"/>
                <w:highlight w:val="none"/>
                <w:lang w:val="zh-CN"/>
              </w:rPr>
              <w:t>，投标人承接过设计费</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万元或以上</w:t>
            </w:r>
            <w:r>
              <w:rPr>
                <w:rFonts w:hint="eastAsia" w:ascii="宋体" w:hAnsi="宋体" w:cs="宋体"/>
                <w:color w:val="auto"/>
                <w:szCs w:val="21"/>
                <w:highlight w:val="none"/>
                <w:lang w:val="zh-CN"/>
              </w:rPr>
              <w:t>的</w:t>
            </w:r>
            <w:r>
              <w:rPr>
                <w:rFonts w:hint="eastAsia" w:ascii="宋体" w:hAnsi="宋体" w:cs="宋体"/>
                <w:color w:val="auto"/>
                <w:szCs w:val="21"/>
                <w:highlight w:val="none"/>
              </w:rPr>
              <w:t>基坑工程</w:t>
            </w:r>
            <w:r>
              <w:rPr>
                <w:rFonts w:hint="eastAsia" w:ascii="宋体" w:hAnsi="宋体" w:cs="宋体"/>
                <w:color w:val="auto"/>
                <w:szCs w:val="21"/>
                <w:highlight w:val="none"/>
                <w:lang w:val="zh-CN"/>
              </w:rPr>
              <w:t>，每项得</w:t>
            </w:r>
            <w:r>
              <w:rPr>
                <w:rFonts w:hint="eastAsia" w:ascii="宋体" w:hAnsi="宋体" w:cs="宋体"/>
                <w:color w:val="auto"/>
                <w:szCs w:val="21"/>
                <w:highlight w:val="none"/>
              </w:rPr>
              <w:t>1</w:t>
            </w:r>
            <w:r>
              <w:rPr>
                <w:rFonts w:hint="eastAsia" w:ascii="宋体" w:hAnsi="宋体" w:cs="宋体"/>
                <w:color w:val="auto"/>
                <w:szCs w:val="21"/>
                <w:highlight w:val="none"/>
                <w:lang w:val="zh-CN"/>
              </w:rPr>
              <w:t>分，最多得</w:t>
            </w:r>
            <w:r>
              <w:rPr>
                <w:rFonts w:hint="eastAsia" w:ascii="宋体" w:hAnsi="宋体" w:cs="宋体"/>
                <w:color w:val="auto"/>
                <w:szCs w:val="21"/>
                <w:highlight w:val="none"/>
              </w:rPr>
              <w:t>5</w:t>
            </w:r>
            <w:r>
              <w:rPr>
                <w:rFonts w:hint="eastAsia" w:ascii="宋体" w:hAnsi="宋体" w:cs="宋体"/>
                <w:color w:val="auto"/>
                <w:szCs w:val="21"/>
                <w:highlight w:val="none"/>
                <w:lang w:val="zh-CN"/>
              </w:rPr>
              <w:t>分。</w:t>
            </w:r>
          </w:p>
          <w:p>
            <w:pPr>
              <w:autoSpaceDE w:val="0"/>
              <w:autoSpaceDN w:val="0"/>
              <w:adjustRightInd w:val="0"/>
              <w:ind w:left="-50" w:leftChars="-24" w:right="-65" w:rightChars="-31"/>
              <w:rPr>
                <w:rFonts w:ascii="宋体" w:hAnsi="宋体" w:cs="宋体"/>
                <w:color w:val="auto"/>
                <w:szCs w:val="21"/>
                <w:highlight w:val="none"/>
                <w:lang w:val="zh-CN"/>
              </w:rPr>
            </w:pPr>
            <w:r>
              <w:rPr>
                <w:rFonts w:hint="eastAsia" w:ascii="宋体" w:hAnsi="宋体" w:cs="宋体"/>
                <w:color w:val="auto"/>
                <w:szCs w:val="21"/>
                <w:highlight w:val="none"/>
                <w:lang w:val="zh-CN"/>
              </w:rPr>
              <w:t>注：业绩认定证明材料需提供合同复印件，业绩确认时间以合同签订时间为准。</w:t>
            </w:r>
            <w:r>
              <w:rPr>
                <w:rFonts w:hint="eastAsia" w:ascii="宋体" w:hAnsi="宋体" w:cs="宋体"/>
                <w:color w:val="auto"/>
                <w:szCs w:val="21"/>
                <w:highlight w:val="none"/>
              </w:rPr>
              <w:t>所有</w:t>
            </w:r>
            <w:r>
              <w:rPr>
                <w:rFonts w:hint="eastAsia" w:ascii="宋体" w:hAnsi="宋体" w:cs="宋体"/>
                <w:color w:val="auto"/>
                <w:szCs w:val="21"/>
                <w:highlight w:val="none"/>
                <w:lang w:val="zh-CN"/>
              </w:rPr>
              <w:t>资料均需加盖单位公章，否则不得分。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vMerge w:val="continue"/>
            <w:tcBorders>
              <w:left w:val="single" w:color="auto" w:sz="8" w:space="0"/>
              <w:right w:val="single" w:color="auto" w:sz="4" w:space="0"/>
            </w:tcBorders>
            <w:vAlign w:val="center"/>
          </w:tcPr>
          <w:p>
            <w:pPr>
              <w:spacing w:line="240" w:lineRule="auto"/>
              <w:ind w:firstLine="400"/>
              <w:rPr>
                <w:rFonts w:ascii="宋体" w:hAnsi="宋体" w:cs="宋体"/>
                <w:color w:val="auto"/>
                <w:szCs w:val="21"/>
                <w:highlight w:val="none"/>
              </w:rPr>
            </w:pPr>
          </w:p>
        </w:tc>
        <w:tc>
          <w:tcPr>
            <w:tcW w:w="662" w:type="dxa"/>
            <w:vMerge w:val="continue"/>
            <w:tcBorders>
              <w:left w:val="single" w:color="auto" w:sz="8" w:space="0"/>
              <w:right w:val="single" w:color="auto" w:sz="4" w:space="0"/>
            </w:tcBorders>
            <w:vAlign w:val="center"/>
          </w:tcPr>
          <w:p>
            <w:pPr>
              <w:spacing w:line="240" w:lineRule="auto"/>
              <w:ind w:firstLine="400"/>
              <w:rPr>
                <w:rFonts w:ascii="宋体" w:hAnsi="宋体" w:cs="宋体"/>
                <w:color w:val="auto"/>
                <w:szCs w:val="21"/>
                <w:highlight w:val="none"/>
              </w:rPr>
            </w:pPr>
          </w:p>
        </w:tc>
        <w:tc>
          <w:tcPr>
            <w:tcW w:w="1502" w:type="dxa"/>
            <w:vMerge w:val="restart"/>
            <w:tcBorders>
              <w:left w:val="single" w:color="auto" w:sz="4" w:space="0"/>
              <w:right w:val="single" w:color="auto" w:sz="4" w:space="0"/>
            </w:tcBorders>
            <w:vAlign w:val="center"/>
          </w:tcPr>
          <w:p>
            <w:pPr>
              <w:autoSpaceDE w:val="0"/>
              <w:autoSpaceDN w:val="0"/>
              <w:adjustRightInd w:val="0"/>
              <w:spacing w:line="240" w:lineRule="auto"/>
              <w:jc w:val="center"/>
              <w:rPr>
                <w:rFonts w:ascii="宋体" w:hAnsi="宋体" w:cs="宋体"/>
                <w:color w:val="auto"/>
                <w:szCs w:val="21"/>
                <w:highlight w:val="none"/>
              </w:rPr>
            </w:pPr>
            <w:r>
              <w:rPr>
                <w:rFonts w:hint="eastAsia" w:ascii="宋体" w:hAnsi="宋体" w:cs="宋体"/>
                <w:color w:val="auto"/>
                <w:kern w:val="0"/>
                <w:szCs w:val="21"/>
                <w:highlight w:val="none"/>
              </w:rPr>
              <w:t>设计团队配备</w:t>
            </w:r>
          </w:p>
        </w:tc>
        <w:tc>
          <w:tcPr>
            <w:tcW w:w="851" w:type="dxa"/>
            <w:tcBorders>
              <w:left w:val="single" w:color="auto" w:sz="4" w:space="0"/>
              <w:right w:val="single" w:color="auto" w:sz="4" w:space="0"/>
            </w:tcBorders>
            <w:vAlign w:val="center"/>
          </w:tcPr>
          <w:p>
            <w:pPr>
              <w:autoSpaceDE w:val="0"/>
              <w:autoSpaceDN w:val="0"/>
              <w:adjustRightInd w:val="0"/>
              <w:spacing w:line="24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10442" w:type="dxa"/>
            <w:tcBorders>
              <w:top w:val="single" w:color="auto" w:sz="4" w:space="0"/>
              <w:left w:val="single" w:color="auto" w:sz="4" w:space="0"/>
              <w:right w:val="single" w:color="auto" w:sz="4" w:space="0"/>
            </w:tcBorders>
          </w:tcPr>
          <w:p>
            <w:pPr>
              <w:tabs>
                <w:tab w:val="left" w:pos="360"/>
              </w:tabs>
              <w:snapToGrid w:val="0"/>
              <w:spacing w:line="240" w:lineRule="auto"/>
              <w:ind w:left="-50" w:leftChars="-24"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设计负责人资历：</w:t>
            </w:r>
          </w:p>
          <w:p>
            <w:pPr>
              <w:numPr>
                <w:ilvl w:val="255"/>
                <w:numId w:val="0"/>
              </w:numPr>
              <w:tabs>
                <w:tab w:val="left" w:pos="360"/>
              </w:tabs>
              <w:snapToGrid w:val="0"/>
              <w:spacing w:line="240" w:lineRule="auto"/>
              <w:ind w:left="-50" w:leftChars="-24" w:right="-65" w:rightChars="-31"/>
              <w:jc w:val="left"/>
              <w:rPr>
                <w:rFonts w:ascii="宋体" w:hAnsi="宋体" w:cs="宋体"/>
                <w:color w:val="auto"/>
                <w:szCs w:val="21"/>
                <w:highlight w:val="none"/>
              </w:rPr>
            </w:pPr>
            <w:r>
              <w:rPr>
                <w:rFonts w:hint="eastAsia" w:ascii="宋体" w:hAnsi="宋体" w:cs="宋体"/>
                <w:color w:val="auto"/>
                <w:szCs w:val="21"/>
                <w:highlight w:val="none"/>
              </w:rPr>
              <w:t>1）具备工程类相关专业</w:t>
            </w:r>
            <w:r>
              <w:rPr>
                <w:rFonts w:hint="eastAsia" w:ascii="宋体" w:hAnsi="宋体" w:cs="宋体"/>
                <w:color w:val="auto"/>
                <w:szCs w:val="21"/>
                <w:highlight w:val="none"/>
                <w:lang w:val="en-US" w:eastAsia="zh-CN"/>
              </w:rPr>
              <w:t>高级</w:t>
            </w:r>
            <w:r>
              <w:rPr>
                <w:rFonts w:hint="eastAsia" w:ascii="宋体" w:hAnsi="宋体" w:cs="宋体"/>
                <w:color w:val="auto"/>
                <w:szCs w:val="21"/>
                <w:highlight w:val="none"/>
              </w:rPr>
              <w:t>工程师</w:t>
            </w:r>
            <w:r>
              <w:rPr>
                <w:rFonts w:hint="eastAsia" w:ascii="宋体" w:hAnsi="宋体" w:cs="宋体"/>
                <w:color w:val="auto"/>
                <w:szCs w:val="21"/>
                <w:highlight w:val="none"/>
                <w:lang w:val="en-US" w:eastAsia="zh-CN"/>
              </w:rPr>
              <w:t>或以上</w:t>
            </w:r>
            <w:r>
              <w:rPr>
                <w:rFonts w:hint="eastAsia" w:ascii="宋体" w:hAnsi="宋体" w:cs="宋体"/>
                <w:color w:val="auto"/>
                <w:szCs w:val="21"/>
                <w:highlight w:val="none"/>
              </w:rPr>
              <w:t>职称，得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分；其它不得分。</w:t>
            </w:r>
          </w:p>
          <w:p>
            <w:pPr>
              <w:autoSpaceDE w:val="0"/>
              <w:autoSpaceDN w:val="0"/>
              <w:adjustRightInd w:val="0"/>
              <w:spacing w:line="240" w:lineRule="auto"/>
              <w:jc w:val="left"/>
              <w:rPr>
                <w:rFonts w:ascii="宋体" w:hAnsi="宋体" w:cs="宋体"/>
                <w:color w:val="auto"/>
                <w:szCs w:val="21"/>
                <w:highlight w:val="none"/>
              </w:rPr>
            </w:pPr>
            <w:r>
              <w:rPr>
                <w:rFonts w:hint="eastAsia" w:ascii="宋体" w:hAnsi="宋体" w:cs="宋体"/>
                <w:color w:val="auto"/>
                <w:kern w:val="0"/>
                <w:szCs w:val="21"/>
                <w:highlight w:val="none"/>
              </w:rPr>
              <w:t>注：须提供上述</w:t>
            </w:r>
            <w:r>
              <w:rPr>
                <w:rFonts w:hint="eastAsia" w:ascii="宋体" w:hAnsi="宋体" w:cs="宋体"/>
                <w:color w:val="auto"/>
                <w:szCs w:val="21"/>
                <w:highlight w:val="none"/>
              </w:rPr>
              <w:t>所有</w:t>
            </w:r>
            <w:r>
              <w:rPr>
                <w:rFonts w:hint="eastAsia" w:ascii="宋体" w:hAnsi="宋体" w:cs="宋体"/>
                <w:color w:val="auto"/>
                <w:kern w:val="0"/>
                <w:szCs w:val="21"/>
                <w:highlight w:val="none"/>
              </w:rPr>
              <w:t>人员相应的证书复印件和</w:t>
            </w:r>
            <w:r>
              <w:rPr>
                <w:rFonts w:hint="eastAsia" w:ascii="宋体" w:hAnsi="宋体" w:cs="宋体"/>
                <w:bCs/>
                <w:color w:val="auto"/>
                <w:kern w:val="0"/>
                <w:szCs w:val="21"/>
                <w:highlight w:val="none"/>
              </w:rPr>
              <w:t>2023年</w:t>
            </w:r>
            <w:r>
              <w:rPr>
                <w:rFonts w:hint="eastAsia"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月的</w:t>
            </w:r>
            <w:r>
              <w:rPr>
                <w:rFonts w:hint="eastAsia" w:ascii="宋体" w:hAnsi="宋体" w:cs="宋体"/>
                <w:color w:val="auto"/>
                <w:kern w:val="0"/>
                <w:szCs w:val="21"/>
                <w:highlight w:val="none"/>
              </w:rPr>
              <w:t>有效社保证明复印件并加盖投标人公章；未提供相应的证明资料或所提供的证明资料不符合要求的，该人员不予计算得分。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vMerge w:val="continue"/>
            <w:tcBorders>
              <w:left w:val="single" w:color="auto" w:sz="8" w:space="0"/>
              <w:right w:val="single" w:color="auto" w:sz="4" w:space="0"/>
            </w:tcBorders>
            <w:vAlign w:val="center"/>
          </w:tcPr>
          <w:p>
            <w:pPr>
              <w:spacing w:line="240" w:lineRule="auto"/>
              <w:ind w:firstLine="400"/>
              <w:rPr>
                <w:rFonts w:ascii="宋体" w:hAnsi="宋体" w:cs="宋体"/>
                <w:color w:val="auto"/>
                <w:szCs w:val="21"/>
                <w:highlight w:val="none"/>
              </w:rPr>
            </w:pPr>
          </w:p>
        </w:tc>
        <w:tc>
          <w:tcPr>
            <w:tcW w:w="662" w:type="dxa"/>
            <w:vMerge w:val="continue"/>
            <w:tcBorders>
              <w:left w:val="single" w:color="auto" w:sz="8" w:space="0"/>
              <w:right w:val="single" w:color="auto" w:sz="4" w:space="0"/>
            </w:tcBorders>
            <w:vAlign w:val="center"/>
          </w:tcPr>
          <w:p>
            <w:pPr>
              <w:spacing w:line="240" w:lineRule="auto"/>
              <w:ind w:firstLine="400"/>
              <w:rPr>
                <w:rFonts w:ascii="宋体" w:hAnsi="宋体" w:cs="宋体"/>
                <w:color w:val="auto"/>
                <w:szCs w:val="21"/>
                <w:highlight w:val="none"/>
              </w:rPr>
            </w:pPr>
          </w:p>
        </w:tc>
        <w:tc>
          <w:tcPr>
            <w:tcW w:w="1502" w:type="dxa"/>
            <w:vMerge w:val="continue"/>
            <w:tcBorders>
              <w:left w:val="single" w:color="auto" w:sz="4" w:space="0"/>
              <w:right w:val="single" w:color="auto" w:sz="4" w:space="0"/>
            </w:tcBorders>
            <w:vAlign w:val="center"/>
          </w:tcPr>
          <w:p>
            <w:pPr>
              <w:autoSpaceDE w:val="0"/>
              <w:autoSpaceDN w:val="0"/>
              <w:adjustRightInd w:val="0"/>
              <w:spacing w:line="240" w:lineRule="auto"/>
              <w:jc w:val="center"/>
              <w:rPr>
                <w:rFonts w:ascii="宋体" w:hAnsi="宋体" w:cs="宋体"/>
                <w:color w:val="auto"/>
                <w:szCs w:val="21"/>
                <w:highlight w:val="none"/>
              </w:rPr>
            </w:pPr>
          </w:p>
        </w:tc>
        <w:tc>
          <w:tcPr>
            <w:tcW w:w="851" w:type="dxa"/>
            <w:tcBorders>
              <w:left w:val="single" w:color="auto" w:sz="4" w:space="0"/>
              <w:right w:val="single" w:color="auto" w:sz="4" w:space="0"/>
            </w:tcBorders>
            <w:vAlign w:val="center"/>
          </w:tcPr>
          <w:p>
            <w:pPr>
              <w:autoSpaceDE w:val="0"/>
              <w:autoSpaceDN w:val="0"/>
              <w:adjustRightInd w:val="0"/>
              <w:spacing w:line="24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0442" w:type="dxa"/>
            <w:tcBorders>
              <w:top w:val="single" w:color="auto" w:sz="4" w:space="0"/>
              <w:left w:val="single" w:color="auto" w:sz="4" w:space="0"/>
              <w:right w:val="single" w:color="auto" w:sz="4" w:space="0"/>
            </w:tcBorders>
          </w:tcPr>
          <w:p>
            <w:pPr>
              <w:tabs>
                <w:tab w:val="left" w:pos="360"/>
              </w:tabs>
              <w:snapToGrid w:val="0"/>
              <w:spacing w:beforeLines="25" w:line="240" w:lineRule="auto"/>
              <w:ind w:left="-50" w:leftChars="-24"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设计团队中配备（设计负责人除外）：</w:t>
            </w:r>
          </w:p>
          <w:p>
            <w:pPr>
              <w:numPr>
                <w:ilvl w:val="0"/>
                <w:numId w:val="2"/>
              </w:numPr>
              <w:snapToGrid w:val="0"/>
              <w:spacing w:line="240" w:lineRule="auto"/>
              <w:ind w:left="630" w:right="-65" w:rightChars="-31" w:hanging="630"/>
              <w:jc w:val="left"/>
              <w:rPr>
                <w:rFonts w:ascii="宋体" w:hAnsi="宋体" w:cs="宋体"/>
                <w:color w:val="auto"/>
                <w:kern w:val="0"/>
                <w:szCs w:val="21"/>
                <w:highlight w:val="none"/>
              </w:rPr>
            </w:pPr>
            <w:r>
              <w:rPr>
                <w:rFonts w:hint="eastAsia" w:ascii="宋体" w:hAnsi="宋体" w:cs="宋体"/>
                <w:color w:val="auto"/>
                <w:szCs w:val="21"/>
                <w:highlight w:val="none"/>
              </w:rPr>
              <w:t>具有工程类专业</w:t>
            </w:r>
            <w:r>
              <w:rPr>
                <w:rFonts w:hint="eastAsia" w:ascii="宋体" w:hAnsi="宋体" w:cs="宋体"/>
                <w:color w:val="auto"/>
                <w:szCs w:val="21"/>
                <w:highlight w:val="none"/>
                <w:lang w:eastAsia="zh-CN"/>
              </w:rPr>
              <w:t>中</w:t>
            </w:r>
            <w:r>
              <w:rPr>
                <w:rFonts w:hint="eastAsia" w:ascii="宋体" w:hAnsi="宋体" w:cs="宋体"/>
                <w:color w:val="auto"/>
                <w:szCs w:val="21"/>
                <w:highlight w:val="none"/>
              </w:rPr>
              <w:t>级或以上工程师职称的，每人得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分，最多得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pPr>
              <w:numPr>
                <w:ilvl w:val="0"/>
                <w:numId w:val="2"/>
              </w:numPr>
              <w:snapToGrid w:val="0"/>
              <w:spacing w:line="240" w:lineRule="auto"/>
              <w:ind w:left="630" w:right="-65" w:rightChars="-31" w:hanging="630"/>
              <w:jc w:val="left"/>
              <w:rPr>
                <w:rFonts w:ascii="宋体" w:hAnsi="宋体" w:cs="宋体"/>
                <w:color w:val="auto"/>
                <w:kern w:val="0"/>
                <w:szCs w:val="21"/>
                <w:highlight w:val="none"/>
              </w:rPr>
            </w:pPr>
            <w:r>
              <w:rPr>
                <w:rFonts w:hint="eastAsia" w:ascii="宋体" w:hAnsi="宋体" w:cs="宋体"/>
                <w:color w:val="auto"/>
                <w:szCs w:val="21"/>
                <w:highlight w:val="none"/>
              </w:rPr>
              <w:t>具备</w:t>
            </w:r>
            <w:r>
              <w:rPr>
                <w:rFonts w:hint="eastAsia" w:ascii="宋体" w:hAnsi="宋体" w:cs="宋体"/>
                <w:color w:val="auto"/>
                <w:szCs w:val="21"/>
                <w:highlight w:val="none"/>
                <w:lang w:eastAsia="zh-CN"/>
              </w:rPr>
              <w:t>二</w:t>
            </w:r>
            <w:r>
              <w:rPr>
                <w:rFonts w:hint="eastAsia" w:ascii="宋体" w:hAnsi="宋体" w:cs="宋体"/>
                <w:color w:val="auto"/>
                <w:szCs w:val="21"/>
                <w:highlight w:val="none"/>
              </w:rPr>
              <w:t>级注册结构工程师或注册土木工程师（岩土）资格的，每人得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分，最多得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pPr>
              <w:autoSpaceDE w:val="0"/>
              <w:autoSpaceDN w:val="0"/>
              <w:adjustRightInd w:val="0"/>
              <w:spacing w:line="240" w:lineRule="auto"/>
              <w:jc w:val="left"/>
              <w:rPr>
                <w:rFonts w:ascii="宋体" w:hAnsi="宋体" w:cs="宋体"/>
                <w:color w:val="auto"/>
                <w:szCs w:val="21"/>
                <w:highlight w:val="none"/>
              </w:rPr>
            </w:pPr>
            <w:r>
              <w:rPr>
                <w:rFonts w:hint="eastAsia" w:ascii="宋体" w:hAnsi="宋体" w:cs="宋体"/>
                <w:color w:val="auto"/>
                <w:kern w:val="0"/>
                <w:szCs w:val="21"/>
                <w:highlight w:val="none"/>
              </w:rPr>
              <w:t>注：须提供上述</w:t>
            </w:r>
            <w:r>
              <w:rPr>
                <w:rFonts w:hint="eastAsia" w:ascii="宋体" w:hAnsi="宋体" w:cs="宋体"/>
                <w:color w:val="auto"/>
                <w:szCs w:val="21"/>
                <w:highlight w:val="none"/>
              </w:rPr>
              <w:t>所有</w:t>
            </w:r>
            <w:r>
              <w:rPr>
                <w:rFonts w:hint="eastAsia" w:ascii="宋体" w:hAnsi="宋体" w:cs="宋体"/>
                <w:color w:val="auto"/>
                <w:kern w:val="0"/>
                <w:szCs w:val="21"/>
                <w:highlight w:val="none"/>
              </w:rPr>
              <w:t>人员相应的证书复印件和</w:t>
            </w:r>
            <w:r>
              <w:rPr>
                <w:rFonts w:hint="eastAsia" w:ascii="宋体" w:hAnsi="宋体" w:cs="宋体"/>
                <w:bCs/>
                <w:color w:val="auto"/>
                <w:kern w:val="0"/>
                <w:szCs w:val="21"/>
                <w:highlight w:val="none"/>
              </w:rPr>
              <w:t>2023年</w:t>
            </w:r>
            <w:r>
              <w:rPr>
                <w:rFonts w:hint="eastAsia"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月的</w:t>
            </w:r>
            <w:r>
              <w:rPr>
                <w:rFonts w:hint="eastAsia" w:ascii="宋体" w:hAnsi="宋体" w:cs="宋体"/>
                <w:color w:val="auto"/>
                <w:kern w:val="0"/>
                <w:szCs w:val="21"/>
                <w:highlight w:val="none"/>
              </w:rPr>
              <w:t>有效社保证明复印件并加盖投标人公章；未提供相应的证明资料或所提供的证明资料不符合要求的，该人员不予计算得分。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661" w:type="dxa"/>
            <w:vMerge w:val="continue"/>
            <w:tcBorders>
              <w:left w:val="single" w:color="auto" w:sz="8" w:space="0"/>
              <w:right w:val="single" w:color="auto" w:sz="4" w:space="0"/>
            </w:tcBorders>
            <w:vAlign w:val="center"/>
          </w:tcPr>
          <w:p>
            <w:pPr>
              <w:spacing w:line="240" w:lineRule="auto"/>
              <w:rPr>
                <w:rFonts w:ascii="宋体" w:hAnsi="宋体" w:cs="宋体"/>
                <w:color w:val="auto"/>
                <w:szCs w:val="21"/>
                <w:highlight w:val="none"/>
              </w:rPr>
            </w:pPr>
          </w:p>
        </w:tc>
        <w:tc>
          <w:tcPr>
            <w:tcW w:w="662" w:type="dxa"/>
            <w:vMerge w:val="restart"/>
            <w:tcBorders>
              <w:left w:val="single" w:color="auto" w:sz="8" w:space="0"/>
              <w:right w:val="single" w:color="auto" w:sz="4" w:space="0"/>
            </w:tcBorders>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施工部分</w:t>
            </w:r>
          </w:p>
        </w:tc>
        <w:tc>
          <w:tcPr>
            <w:tcW w:w="1502" w:type="dxa"/>
            <w:tcBorders>
              <w:left w:val="single" w:color="auto" w:sz="4" w:space="0"/>
              <w:right w:val="single" w:color="auto" w:sz="4" w:space="0"/>
            </w:tcBorders>
            <w:vAlign w:val="center"/>
          </w:tcPr>
          <w:p>
            <w:pPr>
              <w:autoSpaceDE w:val="0"/>
              <w:autoSpaceDN w:val="0"/>
              <w:adjustRightInd w:val="0"/>
              <w:spacing w:line="24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认证体系</w:t>
            </w:r>
          </w:p>
        </w:tc>
        <w:tc>
          <w:tcPr>
            <w:tcW w:w="851" w:type="dxa"/>
            <w:tcBorders>
              <w:left w:val="single" w:color="auto" w:sz="4" w:space="0"/>
              <w:right w:val="single" w:color="auto" w:sz="4" w:space="0"/>
            </w:tcBorders>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0442" w:type="dxa"/>
            <w:tcBorders>
              <w:top w:val="single" w:color="auto" w:sz="4" w:space="0"/>
              <w:left w:val="single" w:color="auto" w:sz="4" w:space="0"/>
              <w:right w:val="single" w:color="auto" w:sz="4" w:space="0"/>
            </w:tcBorders>
            <w:vAlign w:val="center"/>
          </w:tcPr>
          <w:p>
            <w:pPr>
              <w:pStyle w:val="89"/>
              <w:spacing w:before="25"/>
              <w:jc w:val="left"/>
              <w:rPr>
                <w:color w:val="auto"/>
                <w:szCs w:val="21"/>
                <w:highlight w:val="none"/>
                <w:lang w:val="en-US"/>
              </w:rPr>
            </w:pPr>
            <w:r>
              <w:rPr>
                <w:rFonts w:hint="eastAsia"/>
                <w:color w:val="auto"/>
                <w:kern w:val="0"/>
                <w:szCs w:val="21"/>
                <w:highlight w:val="none"/>
                <w:lang w:val="en-US" w:bidi="ar-SA"/>
              </w:rPr>
              <w:t>投标人具有有效期内的质量管理体系认证证书、环境管理体系认证证书、职业健康安全管理体系认证证书</w:t>
            </w:r>
            <w:r>
              <w:rPr>
                <w:rFonts w:hint="eastAsia"/>
                <w:color w:val="auto"/>
                <w:kern w:val="0"/>
                <w:szCs w:val="21"/>
                <w:highlight w:val="none"/>
                <w:lang w:val="en-US" w:eastAsia="zh-CN" w:bidi="ar-SA"/>
              </w:rPr>
              <w:t>、知识产权管理体系认证证书、诚信管理体系认证证书、创新管理体系认证证书</w:t>
            </w:r>
            <w:r>
              <w:rPr>
                <w:rFonts w:hint="eastAsia"/>
                <w:color w:val="auto"/>
                <w:kern w:val="0"/>
                <w:szCs w:val="21"/>
                <w:highlight w:val="none"/>
                <w:lang w:val="en-US" w:bidi="ar-SA"/>
              </w:rPr>
              <w:t>的，每有一个得</w:t>
            </w:r>
            <w:r>
              <w:rPr>
                <w:rFonts w:hint="eastAsia"/>
                <w:color w:val="auto"/>
                <w:kern w:val="0"/>
                <w:szCs w:val="21"/>
                <w:highlight w:val="none"/>
                <w:lang w:val="en-US" w:eastAsia="zh-CN" w:bidi="ar-SA"/>
              </w:rPr>
              <w:t>0.5</w:t>
            </w:r>
            <w:r>
              <w:rPr>
                <w:rFonts w:hint="eastAsia"/>
                <w:color w:val="auto"/>
                <w:kern w:val="0"/>
                <w:szCs w:val="21"/>
                <w:highlight w:val="none"/>
                <w:lang w:val="en-US" w:bidi="ar-SA"/>
              </w:rPr>
              <w:t>分</w:t>
            </w:r>
            <w:r>
              <w:rPr>
                <w:rFonts w:hint="eastAsia"/>
                <w:color w:val="auto"/>
                <w:kern w:val="0"/>
                <w:szCs w:val="21"/>
                <w:highlight w:val="none"/>
                <w:lang w:val="en-US" w:eastAsia="zh-CN" w:bidi="ar-SA"/>
              </w:rPr>
              <w:t>，最多得3分</w:t>
            </w:r>
            <w:r>
              <w:rPr>
                <w:rFonts w:hint="eastAsia"/>
                <w:color w:val="auto"/>
                <w:kern w:val="0"/>
                <w:szCs w:val="21"/>
                <w:highlight w:val="none"/>
                <w:lang w:val="en-US" w:bidi="ar-SA"/>
              </w:rPr>
              <w:t>。</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661" w:type="dxa"/>
            <w:vMerge w:val="continue"/>
            <w:tcBorders>
              <w:left w:val="single" w:color="auto" w:sz="8" w:space="0"/>
              <w:right w:val="single" w:color="auto" w:sz="4" w:space="0"/>
            </w:tcBorders>
            <w:vAlign w:val="center"/>
          </w:tcPr>
          <w:p>
            <w:pPr>
              <w:spacing w:line="240" w:lineRule="auto"/>
              <w:rPr>
                <w:rFonts w:ascii="宋体" w:hAnsi="宋体" w:cs="宋体"/>
                <w:color w:val="auto"/>
                <w:szCs w:val="21"/>
                <w:highlight w:val="none"/>
              </w:rPr>
            </w:pPr>
          </w:p>
        </w:tc>
        <w:tc>
          <w:tcPr>
            <w:tcW w:w="662" w:type="dxa"/>
            <w:vMerge w:val="continue"/>
            <w:tcBorders>
              <w:left w:val="single" w:color="auto" w:sz="8" w:space="0"/>
              <w:right w:val="single" w:color="auto" w:sz="4" w:space="0"/>
            </w:tcBorders>
            <w:vAlign w:val="center"/>
          </w:tcPr>
          <w:p>
            <w:pPr>
              <w:spacing w:line="240" w:lineRule="auto"/>
              <w:jc w:val="center"/>
              <w:rPr>
                <w:rFonts w:hint="eastAsia" w:ascii="宋体" w:hAnsi="宋体" w:cs="宋体"/>
                <w:color w:val="auto"/>
                <w:szCs w:val="21"/>
                <w:highlight w:val="none"/>
              </w:rPr>
            </w:pPr>
          </w:p>
        </w:tc>
        <w:tc>
          <w:tcPr>
            <w:tcW w:w="1502" w:type="dxa"/>
            <w:tcBorders>
              <w:left w:val="single" w:color="auto" w:sz="4" w:space="0"/>
              <w:right w:val="single" w:color="auto" w:sz="4" w:space="0"/>
            </w:tcBorders>
            <w:vAlign w:val="center"/>
          </w:tcPr>
          <w:p>
            <w:pPr>
              <w:autoSpaceDE w:val="0"/>
              <w:autoSpaceDN w:val="0"/>
              <w:adjustRightIn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企业类似业绩</w:t>
            </w:r>
          </w:p>
        </w:tc>
        <w:tc>
          <w:tcPr>
            <w:tcW w:w="851" w:type="dxa"/>
            <w:tcBorders>
              <w:left w:val="single" w:color="auto" w:sz="4" w:space="0"/>
              <w:right w:val="single" w:color="auto" w:sz="4" w:space="0"/>
            </w:tcBorders>
            <w:vAlign w:val="center"/>
          </w:tcPr>
          <w:p>
            <w:pPr>
              <w:autoSpaceDE w:val="0"/>
              <w:autoSpaceDN w:val="0"/>
              <w:adjustRightInd w:val="0"/>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p>
        </w:tc>
        <w:tc>
          <w:tcPr>
            <w:tcW w:w="10442" w:type="dxa"/>
            <w:tcBorders>
              <w:top w:val="single" w:color="auto" w:sz="4" w:space="0"/>
              <w:left w:val="single" w:color="auto" w:sz="4" w:space="0"/>
              <w:right w:val="single" w:color="auto" w:sz="4" w:space="0"/>
            </w:tcBorders>
            <w:vAlign w:val="top"/>
          </w:tcPr>
          <w:p>
            <w:pPr>
              <w:pStyle w:val="68"/>
              <w:wordWrap w:val="0"/>
              <w:topLinePunct/>
              <w:autoSpaceDE w:val="0"/>
              <w:autoSpaceDN w:val="0"/>
              <w:adjustRightInd w:val="0"/>
              <w:spacing w:line="240" w:lineRule="auto"/>
              <w:rPr>
                <w:rFonts w:ascii="宋体" w:hAnsi="宋体" w:cs="宋体"/>
                <w:color w:val="auto"/>
                <w:kern w:val="0"/>
                <w:szCs w:val="21"/>
                <w:highlight w:val="none"/>
              </w:rPr>
            </w:pPr>
            <w:r>
              <w:rPr>
                <w:rFonts w:hint="eastAsia" w:ascii="宋体" w:hAnsi="宋体" w:cs="宋体"/>
                <w:color w:val="auto"/>
                <w:kern w:val="0"/>
                <w:szCs w:val="21"/>
                <w:highlight w:val="none"/>
              </w:rPr>
              <w:t>投标人自 2018 年 1 月 1 日至今承接过类似业绩的，每个得2分，本项最高得</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p>
          <w:p>
            <w:pPr>
              <w:pStyle w:val="68"/>
              <w:wordWrap w:val="0"/>
              <w:topLinePunct/>
              <w:autoSpaceDE w:val="0"/>
              <w:autoSpaceDN w:val="0"/>
              <w:adjustRightInd w:val="0"/>
              <w:spacing w:line="240" w:lineRule="auto"/>
              <w:rPr>
                <w:rFonts w:ascii="宋体" w:hAnsi="宋体" w:cs="宋体"/>
                <w:color w:val="auto"/>
                <w:kern w:val="0"/>
                <w:szCs w:val="21"/>
                <w:highlight w:val="none"/>
              </w:rPr>
            </w:pPr>
            <w:r>
              <w:rPr>
                <w:rFonts w:hint="eastAsia" w:ascii="宋体" w:hAnsi="宋体" w:cs="宋体"/>
                <w:color w:val="auto"/>
                <w:kern w:val="0"/>
                <w:szCs w:val="21"/>
                <w:highlight w:val="none"/>
              </w:rPr>
              <w:t>注：</w:t>
            </w:r>
          </w:p>
          <w:p>
            <w:pPr>
              <w:pStyle w:val="68"/>
              <w:wordWrap w:val="0"/>
              <w:topLinePunct/>
              <w:autoSpaceDE w:val="0"/>
              <w:autoSpaceDN w:val="0"/>
              <w:adjustRightIn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①类似业绩是指</w:t>
            </w:r>
            <w:r>
              <w:rPr>
                <w:rFonts w:hint="eastAsia" w:ascii="宋体" w:hAnsi="宋体" w:cs="宋体"/>
                <w:color w:val="auto"/>
                <w:kern w:val="0"/>
                <w:szCs w:val="21"/>
                <w:highlight w:val="none"/>
                <w:lang w:val="en-US" w:eastAsia="zh-CN"/>
              </w:rPr>
              <w:t>含</w:t>
            </w:r>
            <w:r>
              <w:rPr>
                <w:rFonts w:hint="eastAsia" w:ascii="宋体" w:hAnsi="宋体" w:cs="宋体"/>
                <w:color w:val="auto"/>
                <w:kern w:val="0"/>
                <w:szCs w:val="21"/>
                <w:highlight w:val="none"/>
              </w:rPr>
              <w:t>基坑工程施工</w:t>
            </w:r>
            <w:r>
              <w:rPr>
                <w:rFonts w:hint="eastAsia" w:ascii="宋体" w:hAnsi="宋体" w:cs="宋体"/>
                <w:color w:val="auto"/>
                <w:kern w:val="0"/>
                <w:szCs w:val="21"/>
                <w:highlight w:val="none"/>
                <w:lang w:val="en-US" w:eastAsia="zh-CN"/>
              </w:rPr>
              <w:t>的相关</w:t>
            </w:r>
            <w:r>
              <w:rPr>
                <w:rFonts w:hint="eastAsia" w:ascii="宋体" w:hAnsi="宋体" w:cs="宋体"/>
                <w:color w:val="auto"/>
                <w:kern w:val="0"/>
                <w:szCs w:val="21"/>
                <w:highlight w:val="none"/>
              </w:rPr>
              <w:t xml:space="preserve">业绩；②有效业绩时间以竣工验收的时间为准；③若投标人提供的业绩是以联合体形式承接的，投标人须为该业绩的牵头人，并提供作为牵头人的证明材料（如：中标通知书、合同等材料中能体现出牵头人身份的内容），否则不得分。④业绩证明材料包括：施工合同复印件（提供合同协议书等能反映合同金额、施工内容和合同双方盖章页）。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3" w:hRule="atLeast"/>
          <w:jc w:val="center"/>
        </w:trPr>
        <w:tc>
          <w:tcPr>
            <w:tcW w:w="661" w:type="dxa"/>
            <w:vMerge w:val="continue"/>
            <w:tcBorders>
              <w:left w:val="single" w:color="auto" w:sz="8" w:space="0"/>
              <w:right w:val="single" w:color="auto" w:sz="4" w:space="0"/>
            </w:tcBorders>
            <w:vAlign w:val="center"/>
          </w:tcPr>
          <w:p>
            <w:pPr>
              <w:spacing w:line="240" w:lineRule="auto"/>
              <w:rPr>
                <w:rFonts w:ascii="宋体" w:hAnsi="宋体" w:cs="宋体"/>
                <w:color w:val="auto"/>
                <w:szCs w:val="21"/>
                <w:highlight w:val="none"/>
              </w:rPr>
            </w:pPr>
          </w:p>
        </w:tc>
        <w:tc>
          <w:tcPr>
            <w:tcW w:w="662" w:type="dxa"/>
            <w:vMerge w:val="continue"/>
            <w:tcBorders>
              <w:left w:val="single" w:color="auto" w:sz="8" w:space="0"/>
              <w:right w:val="single" w:color="auto" w:sz="4" w:space="0"/>
            </w:tcBorders>
            <w:vAlign w:val="center"/>
          </w:tcPr>
          <w:p>
            <w:pPr>
              <w:spacing w:line="240" w:lineRule="auto"/>
              <w:rPr>
                <w:rFonts w:ascii="宋体" w:hAnsi="宋体" w:cs="宋体"/>
                <w:color w:val="auto"/>
                <w:szCs w:val="21"/>
                <w:highlight w:val="none"/>
              </w:rPr>
            </w:pPr>
          </w:p>
        </w:tc>
        <w:tc>
          <w:tcPr>
            <w:tcW w:w="1502" w:type="dxa"/>
            <w:tcBorders>
              <w:left w:val="single" w:color="auto" w:sz="4" w:space="0"/>
              <w:right w:val="single" w:color="auto" w:sz="4" w:space="0"/>
            </w:tcBorders>
            <w:vAlign w:val="center"/>
          </w:tcPr>
          <w:p>
            <w:pPr>
              <w:autoSpaceDE w:val="0"/>
              <w:autoSpaceDN w:val="0"/>
              <w:adjustRightInd w:val="0"/>
              <w:spacing w:line="24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lang w:eastAsia="zh-CN"/>
              </w:rPr>
              <w:t>企业荣誉</w:t>
            </w:r>
          </w:p>
        </w:tc>
        <w:tc>
          <w:tcPr>
            <w:tcW w:w="851" w:type="dxa"/>
            <w:tcBorders>
              <w:left w:val="single" w:color="auto" w:sz="4" w:space="0"/>
              <w:right w:val="single" w:color="auto" w:sz="4" w:space="0"/>
            </w:tcBorders>
            <w:vAlign w:val="center"/>
          </w:tcPr>
          <w:p>
            <w:pPr>
              <w:spacing w:line="24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0442" w:type="dxa"/>
            <w:tcBorders>
              <w:top w:val="single" w:color="auto" w:sz="4" w:space="0"/>
              <w:left w:val="single" w:color="auto" w:sz="4" w:space="0"/>
              <w:right w:val="single" w:color="auto" w:sz="4" w:space="0"/>
            </w:tcBorders>
            <w:vAlign w:val="center"/>
          </w:tcPr>
          <w:p>
            <w:pPr>
              <w:pStyle w:val="68"/>
              <w:wordWrap w:val="0"/>
              <w:topLinePunct/>
              <w:autoSpaceDE w:val="0"/>
              <w:autoSpaceDN w:val="0"/>
              <w:adjustRightInd w:val="0"/>
              <w:spacing w:line="240" w:lineRule="auto"/>
              <w:rPr>
                <w:rFonts w:ascii="宋体" w:hAnsi="宋体" w:cs="宋体"/>
                <w:color w:val="auto"/>
                <w:szCs w:val="21"/>
                <w:highlight w:val="none"/>
              </w:rPr>
            </w:pPr>
            <w:r>
              <w:rPr>
                <w:rFonts w:hint="eastAsia" w:ascii="宋体" w:hAnsi="宋体" w:cs="宋体"/>
                <w:color w:val="auto"/>
                <w:kern w:val="0"/>
                <w:szCs w:val="21"/>
                <w:highlight w:val="none"/>
              </w:rPr>
              <w:t>投标人自 2018年 1 月 1 日至今获得</w:t>
            </w:r>
            <w:r>
              <w:rPr>
                <w:rFonts w:hint="eastAsia" w:ascii="宋体" w:hAnsi="宋体" w:cs="宋体"/>
                <w:color w:val="auto"/>
                <w:kern w:val="0"/>
                <w:szCs w:val="21"/>
                <w:highlight w:val="none"/>
                <w:lang w:eastAsia="zh-CN"/>
              </w:rPr>
              <w:t>工程类</w:t>
            </w:r>
            <w:r>
              <w:rPr>
                <w:rFonts w:hint="eastAsia" w:ascii="宋体" w:hAnsi="宋体" w:cs="宋体"/>
                <w:color w:val="auto"/>
                <w:kern w:val="0"/>
                <w:szCs w:val="21"/>
                <w:highlight w:val="none"/>
              </w:rPr>
              <w:t>奖项的：</w:t>
            </w:r>
            <w:r>
              <w:rPr>
                <w:rFonts w:hint="eastAsia" w:ascii="宋体" w:hAnsi="宋体" w:cs="宋体"/>
                <w:color w:val="auto"/>
                <w:kern w:val="0"/>
                <w:szCs w:val="21"/>
                <w:highlight w:val="none"/>
                <w:lang w:val="en-US" w:eastAsia="zh-CN"/>
              </w:rPr>
              <w:t>获得国家级奖项的，每项得2分；</w:t>
            </w:r>
            <w:r>
              <w:rPr>
                <w:rFonts w:hint="eastAsia" w:ascii="宋体" w:hAnsi="宋体" w:cs="宋体"/>
                <w:color w:val="auto"/>
                <w:kern w:val="0"/>
                <w:szCs w:val="21"/>
                <w:highlight w:val="none"/>
              </w:rPr>
              <w:t>获得省级</w:t>
            </w:r>
            <w:r>
              <w:rPr>
                <w:rFonts w:hint="eastAsia" w:ascii="宋体" w:hAnsi="宋体" w:cs="宋体"/>
                <w:color w:val="auto"/>
                <w:kern w:val="0"/>
                <w:szCs w:val="21"/>
                <w:highlight w:val="none"/>
                <w:lang w:eastAsia="zh-CN"/>
              </w:rPr>
              <w:t>奖项的，每项得</w:t>
            </w:r>
            <w:r>
              <w:rPr>
                <w:rFonts w:hint="eastAsia" w:ascii="宋体" w:hAnsi="宋体" w:cs="宋体"/>
                <w:color w:val="auto"/>
                <w:kern w:val="0"/>
                <w:szCs w:val="21"/>
                <w:highlight w:val="none"/>
                <w:lang w:val="en-US" w:eastAsia="zh-CN"/>
              </w:rPr>
              <w:t>1分；获得</w:t>
            </w:r>
            <w:r>
              <w:rPr>
                <w:rFonts w:hint="eastAsia" w:ascii="宋体" w:hAnsi="宋体" w:cs="宋体"/>
                <w:color w:val="auto"/>
                <w:kern w:val="0"/>
                <w:szCs w:val="21"/>
                <w:highlight w:val="none"/>
              </w:rPr>
              <w:t xml:space="preserve">市级奖项的，每项得 </w:t>
            </w:r>
            <w:r>
              <w:rPr>
                <w:rFonts w:hint="eastAsia" w:ascii="宋体" w:hAnsi="宋体" w:cs="宋体"/>
                <w:color w:val="auto"/>
                <w:kern w:val="0"/>
                <w:szCs w:val="21"/>
                <w:highlight w:val="none"/>
                <w:lang w:val="en-US" w:eastAsia="zh-CN"/>
              </w:rPr>
              <w:t>0.5</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 xml:space="preserve">本项最高得 </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分。注：①颁发单位包括行政区政府、建设行政主管部门或行业协会</w:t>
            </w:r>
            <w:r>
              <w:rPr>
                <w:rFonts w:hint="eastAsia" w:ascii="宋体" w:hAnsi="宋体" w:cs="宋体"/>
                <w:color w:val="auto"/>
                <w:kern w:val="0"/>
                <w:szCs w:val="21"/>
                <w:highlight w:val="none"/>
                <w:lang w:eastAsia="zh-CN"/>
              </w:rPr>
              <w:t>等</w:t>
            </w:r>
            <w:r>
              <w:rPr>
                <w:rFonts w:hint="eastAsia" w:ascii="宋体" w:hAnsi="宋体" w:cs="宋体"/>
                <w:color w:val="auto"/>
                <w:kern w:val="0"/>
                <w:szCs w:val="21"/>
                <w:highlight w:val="none"/>
              </w:rPr>
              <w:t xml:space="preserve">；②获奖时间以获奖证书颁发时间或网上公示获奖时间为准；③需提供获奖证书复印件或网上公示获奖页面截图凭证、得奖项目不重复记分。 </w:t>
            </w:r>
            <w:bookmarkStart w:id="1113" w:name="_GoBack"/>
            <w:bookmarkEnd w:id="1113"/>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vMerge w:val="continue"/>
            <w:tcBorders>
              <w:left w:val="single" w:color="auto" w:sz="8" w:space="0"/>
              <w:right w:val="single" w:color="auto" w:sz="4" w:space="0"/>
            </w:tcBorders>
            <w:vAlign w:val="center"/>
          </w:tcPr>
          <w:p>
            <w:pPr>
              <w:pStyle w:val="91"/>
              <w:ind w:firstLine="420" w:firstLineChars="200"/>
              <w:rPr>
                <w:rFonts w:ascii="宋体" w:hAnsi="宋体" w:cs="宋体"/>
                <w:color w:val="auto"/>
                <w:szCs w:val="21"/>
                <w:highlight w:val="none"/>
              </w:rPr>
            </w:pPr>
          </w:p>
        </w:tc>
        <w:tc>
          <w:tcPr>
            <w:tcW w:w="662" w:type="dxa"/>
            <w:vMerge w:val="continue"/>
            <w:tcBorders>
              <w:left w:val="single" w:color="auto" w:sz="8" w:space="0"/>
              <w:right w:val="single" w:color="auto" w:sz="4" w:space="0"/>
            </w:tcBorders>
            <w:vAlign w:val="center"/>
          </w:tcPr>
          <w:p>
            <w:pPr>
              <w:pStyle w:val="91"/>
              <w:ind w:firstLine="420" w:firstLineChars="200"/>
              <w:rPr>
                <w:rFonts w:ascii="宋体" w:hAnsi="宋体" w:cs="宋体"/>
                <w:color w:val="auto"/>
                <w:szCs w:val="21"/>
                <w:highlight w:val="none"/>
              </w:rPr>
            </w:pPr>
          </w:p>
        </w:tc>
        <w:tc>
          <w:tcPr>
            <w:tcW w:w="1502" w:type="dxa"/>
            <w:tcBorders>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cs="宋体"/>
                <w:color w:val="auto"/>
                <w:szCs w:val="21"/>
                <w:highlight w:val="none"/>
              </w:rPr>
            </w:pPr>
            <w:r>
              <w:rPr>
                <w:rFonts w:hint="eastAsia" w:ascii="宋体" w:hAnsi="宋体" w:cs="宋体"/>
                <w:color w:val="auto"/>
                <w:spacing w:val="-2"/>
                <w:szCs w:val="21"/>
                <w:highlight w:val="none"/>
              </w:rPr>
              <w:t>拟投入项目管理</w:t>
            </w:r>
            <w:r>
              <w:rPr>
                <w:rFonts w:hint="eastAsia" w:ascii="宋体" w:hAnsi="宋体" w:cs="宋体"/>
                <w:color w:val="auto"/>
                <w:spacing w:val="-3"/>
                <w:szCs w:val="21"/>
                <w:highlight w:val="none"/>
              </w:rPr>
              <w:t>机构及人员情况</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04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施工</w:t>
            </w:r>
            <w:r>
              <w:rPr>
                <w:rFonts w:hint="eastAsia" w:ascii="宋体" w:hAnsi="宋体" w:cs="宋体"/>
                <w:color w:val="auto"/>
                <w:szCs w:val="21"/>
                <w:highlight w:val="none"/>
              </w:rPr>
              <w:t>负责人：具有建筑工程专业</w:t>
            </w:r>
            <w:r>
              <w:rPr>
                <w:rFonts w:hint="eastAsia" w:ascii="宋体" w:hAnsi="宋体" w:cs="宋体"/>
                <w:color w:val="auto"/>
                <w:szCs w:val="21"/>
                <w:highlight w:val="none"/>
                <w:lang w:eastAsia="zh-CN"/>
              </w:rPr>
              <w:t>一</w:t>
            </w:r>
            <w:r>
              <w:rPr>
                <w:rFonts w:hint="eastAsia" w:ascii="宋体" w:hAnsi="宋体" w:cs="宋体"/>
                <w:color w:val="auto"/>
                <w:szCs w:val="21"/>
                <w:highlight w:val="none"/>
              </w:rPr>
              <w:t>级注册建造师，同时具备工程类</w:t>
            </w:r>
            <w:r>
              <w:rPr>
                <w:rFonts w:hint="eastAsia" w:ascii="宋体" w:hAnsi="宋体" w:cs="宋体"/>
                <w:color w:val="auto"/>
                <w:szCs w:val="21"/>
                <w:highlight w:val="none"/>
                <w:lang w:eastAsia="zh-CN"/>
              </w:rPr>
              <w:t>高级或以上</w:t>
            </w:r>
            <w:r>
              <w:rPr>
                <w:rFonts w:hint="eastAsia" w:ascii="宋体" w:hAnsi="宋体" w:cs="宋体"/>
                <w:color w:val="auto"/>
                <w:szCs w:val="21"/>
                <w:highlight w:val="none"/>
              </w:rPr>
              <w:t>工程师职称的，得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pPr>
              <w:pStyle w:val="2"/>
              <w:ind w:firstLine="0" w:firstLineChars="0"/>
              <w:rPr>
                <w:rFonts w:hint="default" w:ascii="宋体" w:hAnsi="宋体"/>
                <w:color w:val="auto"/>
                <w:szCs w:val="21"/>
                <w:highlight w:val="none"/>
              </w:rPr>
            </w:pPr>
            <w:r>
              <w:rPr>
                <w:rFonts w:hint="eastAsia" w:ascii="宋体" w:hAnsi="宋体"/>
                <w:color w:val="auto"/>
                <w:szCs w:val="21"/>
                <w:highlight w:val="none"/>
              </w:rPr>
              <w:t>技术负责人：</w:t>
            </w:r>
            <w:r>
              <w:rPr>
                <w:rFonts w:hint="eastAsia" w:ascii="宋体" w:hAnsi="宋体" w:cs="宋体"/>
                <w:color w:val="auto"/>
                <w:szCs w:val="21"/>
                <w:highlight w:val="none"/>
              </w:rPr>
              <w:t>具有</w:t>
            </w:r>
            <w:r>
              <w:rPr>
                <w:rFonts w:hint="eastAsia" w:ascii="宋体" w:hAnsi="宋体" w:cs="宋体"/>
                <w:color w:val="auto"/>
                <w:szCs w:val="21"/>
                <w:highlight w:val="none"/>
                <w:lang w:eastAsia="zh-CN"/>
              </w:rPr>
              <w:t>一</w:t>
            </w:r>
            <w:r>
              <w:rPr>
                <w:rFonts w:hint="eastAsia" w:ascii="宋体" w:hAnsi="宋体" w:cs="宋体"/>
                <w:color w:val="auto"/>
                <w:szCs w:val="21"/>
                <w:highlight w:val="none"/>
              </w:rPr>
              <w:t>级注册</w:t>
            </w:r>
            <w:r>
              <w:rPr>
                <w:rFonts w:hint="eastAsia" w:ascii="宋体" w:hAnsi="宋体" w:cs="宋体"/>
                <w:color w:val="auto"/>
                <w:szCs w:val="21"/>
                <w:highlight w:val="none"/>
                <w:lang w:val="en-US" w:eastAsia="zh-CN"/>
              </w:rPr>
              <w:t>建造</w:t>
            </w:r>
            <w:r>
              <w:rPr>
                <w:rFonts w:hint="eastAsia" w:ascii="宋体" w:hAnsi="宋体" w:cs="宋体"/>
                <w:color w:val="auto"/>
                <w:szCs w:val="21"/>
                <w:highlight w:val="none"/>
              </w:rPr>
              <w:t>师</w:t>
            </w:r>
            <w:r>
              <w:rPr>
                <w:rFonts w:hint="eastAsia" w:ascii="宋体" w:hAnsi="宋体" w:cs="宋体"/>
                <w:color w:val="auto"/>
                <w:szCs w:val="21"/>
                <w:highlight w:val="none"/>
                <w:lang w:eastAsia="zh-CN"/>
              </w:rPr>
              <w:t>的</w:t>
            </w:r>
            <w:r>
              <w:rPr>
                <w:rFonts w:hint="eastAsia" w:ascii="宋体" w:hAnsi="宋体" w:cs="宋体"/>
                <w:color w:val="auto"/>
                <w:szCs w:val="21"/>
                <w:highlight w:val="none"/>
              </w:rPr>
              <w:t>，得</w:t>
            </w:r>
            <w:r>
              <w:rPr>
                <w:rFonts w:hint="eastAsia" w:ascii="宋体" w:hAnsi="宋体" w:cs="宋体"/>
                <w:color w:val="auto"/>
                <w:szCs w:val="21"/>
                <w:highlight w:val="none"/>
                <w:lang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；同时具备高级或以上职称的加</w:t>
            </w:r>
            <w:r>
              <w:rPr>
                <w:rFonts w:hint="eastAsia" w:ascii="宋体" w:hAnsi="宋体" w:cs="宋体"/>
                <w:color w:val="auto"/>
                <w:szCs w:val="21"/>
                <w:highlight w:val="none"/>
                <w:lang w:val="en-US" w:eastAsia="zh-CN"/>
              </w:rPr>
              <w:t>1分</w:t>
            </w:r>
            <w:r>
              <w:rPr>
                <w:rFonts w:hint="eastAsia" w:ascii="宋体" w:hAnsi="宋体" w:cs="宋体"/>
                <w:color w:val="auto"/>
                <w:szCs w:val="21"/>
                <w:highlight w:val="none"/>
              </w:rPr>
              <w:t>。</w:t>
            </w:r>
            <w:r>
              <w:rPr>
                <w:rFonts w:hint="eastAsia" w:ascii="宋体" w:hAnsi="宋体" w:cs="宋体"/>
                <w:color w:val="auto"/>
                <w:szCs w:val="21"/>
                <w:highlight w:val="none"/>
                <w:lang w:eastAsia="zh-CN"/>
              </w:rPr>
              <w:t>本小项最多得</w:t>
            </w:r>
            <w:r>
              <w:rPr>
                <w:rFonts w:hint="eastAsia" w:ascii="宋体" w:hAnsi="宋体" w:cs="宋体"/>
                <w:color w:val="auto"/>
                <w:szCs w:val="21"/>
                <w:highlight w:val="none"/>
                <w:lang w:val="en-US" w:eastAsia="zh-CN"/>
              </w:rPr>
              <w:t>2分。</w:t>
            </w:r>
          </w:p>
          <w:p>
            <w:pPr>
              <w:autoSpaceDE w:val="0"/>
              <w:autoSpaceDN w:val="0"/>
              <w:adjustRightInd w:val="0"/>
              <w:spacing w:line="240" w:lineRule="auto"/>
              <w:jc w:val="left"/>
              <w:rPr>
                <w:rFonts w:ascii="宋体" w:hAnsi="宋体" w:cs="宋体"/>
                <w:color w:val="auto"/>
                <w:szCs w:val="21"/>
                <w:highlight w:val="none"/>
              </w:rPr>
            </w:pPr>
            <w:r>
              <w:rPr>
                <w:rFonts w:hint="eastAsia" w:ascii="宋体" w:hAnsi="宋体" w:cs="宋体"/>
                <w:color w:val="auto"/>
                <w:szCs w:val="21"/>
                <w:highlight w:val="none"/>
              </w:rPr>
              <w:t>造价负责人：具有</w:t>
            </w:r>
            <w:r>
              <w:rPr>
                <w:rFonts w:hint="eastAsia" w:ascii="宋体" w:hAnsi="宋体" w:cs="宋体"/>
                <w:color w:val="auto"/>
                <w:szCs w:val="21"/>
                <w:highlight w:val="none"/>
                <w:lang w:val="en-US" w:eastAsia="zh-CN"/>
              </w:rPr>
              <w:t>一级</w:t>
            </w:r>
            <w:r>
              <w:rPr>
                <w:rFonts w:hint="eastAsia" w:ascii="宋体" w:hAnsi="宋体" w:cs="宋体"/>
                <w:color w:val="auto"/>
                <w:szCs w:val="21"/>
                <w:highlight w:val="none"/>
              </w:rPr>
              <w:t>注册</w:t>
            </w:r>
            <w:r>
              <w:rPr>
                <w:rFonts w:hint="eastAsia" w:ascii="宋体" w:hAnsi="宋体" w:cs="宋体"/>
                <w:color w:val="auto"/>
                <w:szCs w:val="21"/>
                <w:highlight w:val="none"/>
                <w:lang w:eastAsia="zh-CN"/>
              </w:rPr>
              <w:t>造价工程</w:t>
            </w:r>
            <w:r>
              <w:rPr>
                <w:rFonts w:hint="eastAsia" w:ascii="宋体" w:hAnsi="宋体" w:cs="宋体"/>
                <w:color w:val="auto"/>
                <w:szCs w:val="21"/>
                <w:highlight w:val="none"/>
              </w:rPr>
              <w:t>师的，得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；同时具备高级或以上职称的加</w:t>
            </w:r>
            <w:r>
              <w:rPr>
                <w:rFonts w:hint="eastAsia" w:ascii="宋体" w:hAnsi="宋体" w:cs="宋体"/>
                <w:color w:val="auto"/>
                <w:szCs w:val="21"/>
                <w:highlight w:val="none"/>
                <w:lang w:val="en-US" w:eastAsia="zh-CN"/>
              </w:rPr>
              <w:t>1分</w:t>
            </w:r>
            <w:r>
              <w:rPr>
                <w:rFonts w:hint="eastAsia" w:ascii="宋体" w:hAnsi="宋体" w:cs="宋体"/>
                <w:color w:val="auto"/>
                <w:szCs w:val="21"/>
                <w:highlight w:val="none"/>
              </w:rPr>
              <w:t>。</w:t>
            </w:r>
            <w:r>
              <w:rPr>
                <w:rFonts w:hint="eastAsia" w:ascii="宋体" w:hAnsi="宋体" w:cs="宋体"/>
                <w:color w:val="auto"/>
                <w:szCs w:val="21"/>
                <w:highlight w:val="none"/>
                <w:lang w:eastAsia="zh-CN"/>
              </w:rPr>
              <w:t>本小项最多得</w:t>
            </w:r>
            <w:r>
              <w:rPr>
                <w:rFonts w:hint="eastAsia" w:ascii="宋体" w:hAnsi="宋体" w:cs="宋体"/>
                <w:color w:val="auto"/>
                <w:szCs w:val="21"/>
                <w:highlight w:val="none"/>
                <w:lang w:val="en-US" w:eastAsia="zh-CN"/>
              </w:rPr>
              <w:t>2分</w:t>
            </w:r>
            <w:r>
              <w:rPr>
                <w:rFonts w:hint="eastAsia" w:ascii="宋体" w:hAnsi="宋体" w:cs="宋体"/>
                <w:color w:val="auto"/>
                <w:szCs w:val="21"/>
                <w:highlight w:val="none"/>
              </w:rPr>
              <w:t>。</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1323" w:type="dxa"/>
            <w:gridSpan w:val="2"/>
            <w:vMerge w:val="restart"/>
            <w:tcBorders>
              <w:left w:val="single" w:color="auto" w:sz="8" w:space="0"/>
              <w:right w:val="single" w:color="auto" w:sz="4" w:space="0"/>
            </w:tcBorders>
            <w:vAlign w:val="center"/>
          </w:tcPr>
          <w:p>
            <w:pPr>
              <w:pStyle w:val="91"/>
              <w:rPr>
                <w:rFonts w:ascii="宋体" w:hAnsi="宋体" w:cs="宋体"/>
                <w:color w:val="auto"/>
                <w:szCs w:val="21"/>
                <w:highlight w:val="none"/>
              </w:rPr>
            </w:pPr>
            <w:r>
              <w:rPr>
                <w:rFonts w:hint="eastAsia" w:ascii="宋体" w:hAnsi="宋体" w:cs="宋体"/>
                <w:color w:val="auto"/>
                <w:szCs w:val="21"/>
                <w:highlight w:val="none"/>
              </w:rPr>
              <w:t>二、施工实施方案（6</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w:t>
            </w:r>
          </w:p>
        </w:tc>
        <w:tc>
          <w:tcPr>
            <w:tcW w:w="1502" w:type="dxa"/>
            <w:tcBorders>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设计和施工的融合措施</w:t>
            </w:r>
          </w:p>
        </w:tc>
        <w:tc>
          <w:tcPr>
            <w:tcW w:w="851" w:type="dxa"/>
            <w:tcBorders>
              <w:top w:val="single" w:color="auto" w:sz="4" w:space="0"/>
              <w:left w:val="single" w:color="auto" w:sz="4" w:space="0"/>
              <w:bottom w:val="single" w:color="auto" w:sz="4" w:space="0"/>
              <w:right w:val="single" w:color="auto" w:sz="4" w:space="0"/>
            </w:tcBorders>
            <w:vAlign w:val="center"/>
          </w:tcPr>
          <w:p>
            <w:pPr>
              <w:pStyle w:val="91"/>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04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eastAsia="zh-CN"/>
              </w:rPr>
              <w:t>：</w:t>
            </w:r>
            <w:r>
              <w:rPr>
                <w:rFonts w:hint="eastAsia" w:ascii="宋体" w:hAnsi="宋体" w:cs="宋体"/>
                <w:color w:val="auto"/>
                <w:szCs w:val="21"/>
                <w:highlight w:val="none"/>
              </w:rPr>
              <w:t>对项目需求充分理解，提供本项目针对性的技术服务方案、设计和施工的融合措施，科学和合理的项目团队组建方案</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8-10</w:t>
            </w:r>
            <w:r>
              <w:rPr>
                <w:rFonts w:hint="eastAsia" w:ascii="宋体" w:hAnsi="宋体" w:cs="宋体"/>
                <w:color w:val="auto"/>
                <w:szCs w:val="21"/>
                <w:highlight w:val="none"/>
              </w:rPr>
              <w:t>分；</w:t>
            </w:r>
          </w:p>
          <w:p>
            <w:pPr>
              <w:rPr>
                <w:rFonts w:hint="eastAsia" w:ascii="宋体" w:hAnsi="宋体" w:cs="宋体"/>
                <w:color w:val="auto"/>
                <w:szCs w:val="21"/>
                <w:highlight w:val="none"/>
              </w:rPr>
            </w:pPr>
            <w:r>
              <w:rPr>
                <w:rFonts w:hint="eastAsia" w:ascii="宋体" w:hAnsi="宋体" w:cs="宋体"/>
                <w:color w:val="auto"/>
                <w:szCs w:val="21"/>
                <w:highlight w:val="none"/>
                <w:lang w:eastAsia="zh-CN"/>
              </w:rPr>
              <w:t>中</w:t>
            </w:r>
            <w:r>
              <w:rPr>
                <w:rFonts w:hint="eastAsia" w:ascii="宋体" w:hAnsi="宋体" w:cs="宋体"/>
                <w:color w:val="auto"/>
                <w:szCs w:val="21"/>
                <w:highlight w:val="none"/>
              </w:rPr>
              <w:t>：对项目需求理解</w:t>
            </w:r>
            <w:r>
              <w:rPr>
                <w:rFonts w:hint="eastAsia" w:ascii="宋体" w:hAnsi="宋体" w:cs="宋体"/>
                <w:color w:val="auto"/>
                <w:szCs w:val="21"/>
                <w:highlight w:val="none"/>
                <w:lang w:eastAsia="zh-CN"/>
              </w:rPr>
              <w:t>一般</w:t>
            </w:r>
            <w:r>
              <w:rPr>
                <w:rFonts w:hint="eastAsia" w:ascii="宋体" w:hAnsi="宋体" w:cs="宋体"/>
                <w:color w:val="auto"/>
                <w:szCs w:val="21"/>
                <w:highlight w:val="none"/>
              </w:rPr>
              <w:t>，提供本项目</w:t>
            </w:r>
            <w:r>
              <w:rPr>
                <w:rFonts w:hint="eastAsia" w:ascii="宋体" w:hAnsi="宋体" w:cs="宋体"/>
                <w:color w:val="auto"/>
                <w:szCs w:val="21"/>
                <w:highlight w:val="none"/>
                <w:lang w:val="en-US" w:eastAsia="zh-CN"/>
              </w:rPr>
              <w:t>较有</w:t>
            </w:r>
            <w:r>
              <w:rPr>
                <w:rFonts w:hint="eastAsia" w:ascii="宋体" w:hAnsi="宋体" w:cs="宋体"/>
                <w:color w:val="auto"/>
                <w:szCs w:val="21"/>
                <w:highlight w:val="none"/>
              </w:rPr>
              <w:t>针对性的技术服务方案、设计和施工的融合措施，</w:t>
            </w:r>
            <w:r>
              <w:rPr>
                <w:rFonts w:hint="eastAsia" w:ascii="宋体" w:hAnsi="宋体" w:cs="宋体"/>
                <w:color w:val="auto"/>
                <w:szCs w:val="21"/>
                <w:highlight w:val="none"/>
                <w:lang w:eastAsia="zh-CN"/>
              </w:rPr>
              <w:t>较为</w:t>
            </w:r>
            <w:r>
              <w:rPr>
                <w:rFonts w:hint="eastAsia" w:ascii="宋体" w:hAnsi="宋体" w:cs="宋体"/>
                <w:color w:val="auto"/>
                <w:szCs w:val="21"/>
                <w:highlight w:val="none"/>
              </w:rPr>
              <w:t>科学和合理的项目团队组建方案</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4-7</w:t>
            </w:r>
            <w:r>
              <w:rPr>
                <w:rFonts w:hint="eastAsia" w:ascii="宋体" w:hAnsi="宋体" w:cs="宋体"/>
                <w:color w:val="auto"/>
                <w:szCs w:val="21"/>
                <w:highlight w:val="none"/>
              </w:rPr>
              <w:t>分；</w:t>
            </w:r>
          </w:p>
          <w:p>
            <w:pPr>
              <w:rPr>
                <w:rFonts w:hint="eastAsia" w:ascii="宋体" w:hAnsi="宋体" w:cs="宋体"/>
                <w:color w:val="auto"/>
                <w:szCs w:val="21"/>
                <w:highlight w:val="none"/>
              </w:rPr>
            </w:pPr>
            <w:r>
              <w:rPr>
                <w:rFonts w:hint="eastAsia" w:ascii="宋体" w:hAnsi="宋体" w:cs="宋体"/>
                <w:color w:val="auto"/>
                <w:szCs w:val="21"/>
                <w:highlight w:val="none"/>
                <w:lang w:eastAsia="zh-CN"/>
              </w:rPr>
              <w:t>差</w:t>
            </w:r>
            <w:r>
              <w:rPr>
                <w:rFonts w:hint="eastAsia" w:ascii="宋体" w:hAnsi="宋体" w:cs="宋体"/>
                <w:color w:val="auto"/>
                <w:szCs w:val="21"/>
                <w:highlight w:val="none"/>
              </w:rPr>
              <w:t>：对项目需求</w:t>
            </w:r>
            <w:r>
              <w:rPr>
                <w:rFonts w:hint="eastAsia" w:ascii="宋体" w:hAnsi="宋体" w:cs="宋体"/>
                <w:color w:val="auto"/>
                <w:szCs w:val="21"/>
                <w:highlight w:val="none"/>
                <w:lang w:eastAsia="zh-CN"/>
              </w:rPr>
              <w:t>不够</w:t>
            </w:r>
            <w:r>
              <w:rPr>
                <w:rFonts w:hint="eastAsia" w:ascii="宋体" w:hAnsi="宋体" w:cs="宋体"/>
                <w:color w:val="auto"/>
                <w:szCs w:val="21"/>
                <w:highlight w:val="none"/>
              </w:rPr>
              <w:t>理解，提供本项目技术服务方案、设计和施工的融合措施，项目团队组建方案</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分；</w:t>
            </w:r>
          </w:p>
          <w:p>
            <w:pPr>
              <w:rPr>
                <w:rFonts w:ascii="宋体" w:hAnsi="宋体" w:cs="宋体"/>
                <w:color w:val="auto"/>
                <w:szCs w:val="21"/>
                <w:highlight w:val="none"/>
              </w:rPr>
            </w:pPr>
            <w:r>
              <w:rPr>
                <w:rFonts w:hint="eastAsia" w:ascii="宋体" w:hAnsi="宋体" w:cs="宋体"/>
                <w:color w:val="auto"/>
                <w:szCs w:val="21"/>
                <w:highlight w:val="none"/>
                <w:lang w:eastAsia="zh-CN"/>
              </w:rPr>
              <w:t>没有提供的得</w:t>
            </w:r>
            <w:r>
              <w:rPr>
                <w:rFonts w:hint="eastAsia" w:ascii="宋体" w:hAnsi="宋体" w:cs="宋体"/>
                <w:color w:val="auto"/>
                <w:szCs w:val="21"/>
                <w:highlight w:val="none"/>
                <w:lang w:val="en-US" w:eastAsia="zh-CN"/>
              </w:rPr>
              <w:t>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1323" w:type="dxa"/>
            <w:gridSpan w:val="2"/>
            <w:vMerge w:val="continue"/>
            <w:tcBorders>
              <w:left w:val="single" w:color="auto" w:sz="8" w:space="0"/>
              <w:right w:val="single" w:color="auto" w:sz="4" w:space="0"/>
            </w:tcBorders>
            <w:vAlign w:val="center"/>
          </w:tcPr>
          <w:p>
            <w:pPr>
              <w:pStyle w:val="91"/>
              <w:rPr>
                <w:rFonts w:ascii="宋体" w:hAnsi="宋体" w:cs="宋体"/>
                <w:color w:val="auto"/>
                <w:szCs w:val="21"/>
                <w:highlight w:val="none"/>
              </w:rPr>
            </w:pPr>
          </w:p>
        </w:tc>
        <w:tc>
          <w:tcPr>
            <w:tcW w:w="1502" w:type="dxa"/>
            <w:tcBorders>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绿色节能控制措施</w:t>
            </w:r>
          </w:p>
        </w:tc>
        <w:tc>
          <w:tcPr>
            <w:tcW w:w="851"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104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提供对水资源利用、土地利用、材料消耗、环境保护、机制砂及建筑废弃物的循序使用、实现低排放、少污染的绿色节能控制措施</w:t>
            </w:r>
            <w:r>
              <w:rPr>
                <w:rFonts w:hint="eastAsia" w:ascii="宋体" w:hAnsi="宋体" w:cs="宋体"/>
                <w:color w:val="auto"/>
                <w:szCs w:val="21"/>
                <w:highlight w:val="none"/>
                <w:lang w:eastAsia="zh-CN"/>
              </w:rPr>
              <w:t>。</w:t>
            </w:r>
          </w:p>
          <w:p>
            <w:pPr>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eastAsia="zh-CN"/>
              </w:rPr>
              <w:t>：</w:t>
            </w:r>
            <w:r>
              <w:rPr>
                <w:rFonts w:hint="eastAsia" w:ascii="宋体" w:hAnsi="宋体" w:cs="宋体"/>
                <w:color w:val="auto"/>
                <w:szCs w:val="21"/>
                <w:highlight w:val="none"/>
              </w:rPr>
              <w:t>措施</w:t>
            </w:r>
            <w:r>
              <w:rPr>
                <w:rFonts w:hint="eastAsia" w:ascii="宋体" w:hAnsi="宋体" w:cs="宋体"/>
                <w:color w:val="auto"/>
                <w:szCs w:val="21"/>
                <w:highlight w:val="none"/>
                <w:lang w:eastAsia="zh-CN"/>
              </w:rPr>
              <w:t>可行性高，得</w:t>
            </w:r>
            <w:r>
              <w:rPr>
                <w:rFonts w:hint="eastAsia" w:ascii="宋体" w:hAnsi="宋体" w:cs="宋体"/>
                <w:color w:val="auto"/>
                <w:szCs w:val="21"/>
                <w:highlight w:val="none"/>
                <w:lang w:val="en-US" w:eastAsia="zh-CN"/>
              </w:rPr>
              <w:t>5-6</w:t>
            </w:r>
            <w:r>
              <w:rPr>
                <w:rFonts w:hint="eastAsia" w:ascii="宋体" w:hAnsi="宋体" w:cs="宋体"/>
                <w:color w:val="auto"/>
                <w:szCs w:val="21"/>
                <w:highlight w:val="none"/>
              </w:rPr>
              <w:t>分；</w:t>
            </w:r>
          </w:p>
          <w:p>
            <w:pPr>
              <w:rPr>
                <w:rFonts w:hint="eastAsia" w:ascii="宋体" w:hAnsi="宋体" w:cs="宋体"/>
                <w:color w:val="auto"/>
                <w:szCs w:val="21"/>
                <w:highlight w:val="none"/>
              </w:rPr>
            </w:pPr>
            <w:r>
              <w:rPr>
                <w:rFonts w:hint="eastAsia" w:ascii="宋体" w:hAnsi="宋体" w:cs="宋体"/>
                <w:color w:val="auto"/>
                <w:szCs w:val="21"/>
                <w:highlight w:val="none"/>
                <w:lang w:eastAsia="zh-CN"/>
              </w:rPr>
              <w:t>中</w:t>
            </w:r>
            <w:r>
              <w:rPr>
                <w:rFonts w:hint="eastAsia" w:ascii="宋体" w:hAnsi="宋体" w:cs="宋体"/>
                <w:color w:val="auto"/>
                <w:szCs w:val="21"/>
                <w:highlight w:val="none"/>
              </w:rPr>
              <w:t>：措施</w:t>
            </w:r>
            <w:r>
              <w:rPr>
                <w:rFonts w:hint="eastAsia" w:ascii="宋体" w:hAnsi="宋体" w:cs="宋体"/>
                <w:color w:val="auto"/>
                <w:szCs w:val="21"/>
                <w:highlight w:val="none"/>
                <w:lang w:val="en-US" w:eastAsia="zh-CN"/>
              </w:rPr>
              <w:t>基本可行，</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3-4</w:t>
            </w:r>
            <w:r>
              <w:rPr>
                <w:rFonts w:hint="eastAsia" w:ascii="宋体" w:hAnsi="宋体" w:cs="宋体"/>
                <w:color w:val="auto"/>
                <w:szCs w:val="21"/>
                <w:highlight w:val="none"/>
              </w:rPr>
              <w:t>分；</w:t>
            </w:r>
          </w:p>
          <w:p>
            <w:pPr>
              <w:rPr>
                <w:rFonts w:hint="eastAsia" w:ascii="宋体" w:hAnsi="宋体" w:cs="宋体"/>
                <w:color w:val="auto"/>
                <w:szCs w:val="21"/>
                <w:highlight w:val="none"/>
              </w:rPr>
            </w:pPr>
            <w:r>
              <w:rPr>
                <w:rFonts w:hint="eastAsia" w:ascii="宋体" w:hAnsi="宋体" w:cs="宋体"/>
                <w:color w:val="auto"/>
                <w:szCs w:val="21"/>
                <w:highlight w:val="none"/>
                <w:lang w:eastAsia="zh-CN"/>
              </w:rPr>
              <w:t>差</w:t>
            </w:r>
            <w:r>
              <w:rPr>
                <w:rFonts w:hint="eastAsia" w:ascii="宋体" w:hAnsi="宋体" w:cs="宋体"/>
                <w:color w:val="auto"/>
                <w:szCs w:val="21"/>
                <w:highlight w:val="none"/>
              </w:rPr>
              <w:t>：措施</w:t>
            </w:r>
            <w:r>
              <w:rPr>
                <w:rFonts w:hint="eastAsia" w:ascii="宋体" w:hAnsi="宋体" w:cs="宋体"/>
                <w:color w:val="auto"/>
                <w:szCs w:val="21"/>
                <w:highlight w:val="none"/>
                <w:lang w:eastAsia="zh-CN"/>
              </w:rPr>
              <w:t>可行性不足，得</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w:t>
            </w:r>
          </w:p>
          <w:p>
            <w:pPr>
              <w:rPr>
                <w:rFonts w:ascii="宋体" w:hAnsi="宋体" w:cs="宋体"/>
                <w:color w:val="auto"/>
                <w:szCs w:val="21"/>
                <w:highlight w:val="none"/>
              </w:rPr>
            </w:pPr>
            <w:r>
              <w:rPr>
                <w:rFonts w:hint="eastAsia" w:ascii="宋体" w:hAnsi="宋体" w:cs="宋体"/>
                <w:color w:val="auto"/>
                <w:szCs w:val="21"/>
                <w:highlight w:val="none"/>
                <w:lang w:eastAsia="zh-CN"/>
              </w:rPr>
              <w:t>没有提供的得</w:t>
            </w:r>
            <w:r>
              <w:rPr>
                <w:rFonts w:hint="eastAsia" w:ascii="宋体" w:hAnsi="宋体" w:cs="宋体"/>
                <w:color w:val="auto"/>
                <w:szCs w:val="21"/>
                <w:highlight w:val="none"/>
                <w:lang w:val="en-US" w:eastAsia="zh-CN"/>
              </w:rPr>
              <w:t>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323" w:type="dxa"/>
            <w:gridSpan w:val="2"/>
            <w:vMerge w:val="continue"/>
            <w:tcBorders>
              <w:left w:val="single" w:color="auto" w:sz="8" w:space="0"/>
              <w:right w:val="single" w:color="auto" w:sz="4" w:space="0"/>
            </w:tcBorders>
            <w:vAlign w:val="center"/>
          </w:tcPr>
          <w:p>
            <w:pPr>
              <w:pStyle w:val="91"/>
              <w:rPr>
                <w:rFonts w:ascii="宋体" w:hAnsi="宋体" w:cs="宋体"/>
                <w:color w:val="auto"/>
                <w:szCs w:val="21"/>
                <w:highlight w:val="none"/>
              </w:rPr>
            </w:pPr>
          </w:p>
        </w:tc>
        <w:tc>
          <w:tcPr>
            <w:tcW w:w="1502" w:type="dxa"/>
            <w:tcBorders>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安全控制措施</w:t>
            </w:r>
          </w:p>
        </w:tc>
        <w:tc>
          <w:tcPr>
            <w:tcW w:w="851" w:type="dxa"/>
            <w:tcBorders>
              <w:top w:val="single" w:color="auto" w:sz="4" w:space="0"/>
              <w:left w:val="single" w:color="auto" w:sz="4" w:space="0"/>
              <w:bottom w:val="single" w:color="auto" w:sz="4" w:space="0"/>
              <w:right w:val="single" w:color="auto" w:sz="4" w:space="0"/>
            </w:tcBorders>
            <w:vAlign w:val="center"/>
          </w:tcPr>
          <w:p>
            <w:pPr>
              <w:pStyle w:val="91"/>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04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加强制度化、标准化和精细化管理，尽量降低施工作业对周边的影响，提供安全控制措施</w:t>
            </w:r>
            <w:r>
              <w:rPr>
                <w:rFonts w:hint="eastAsia" w:ascii="宋体" w:hAnsi="宋体" w:cs="宋体"/>
                <w:color w:val="auto"/>
                <w:szCs w:val="21"/>
                <w:highlight w:val="none"/>
                <w:lang w:eastAsia="zh-CN"/>
              </w:rPr>
              <w:t>。</w:t>
            </w:r>
          </w:p>
          <w:p>
            <w:pPr>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eastAsia="zh-CN"/>
              </w:rPr>
              <w:t>：</w:t>
            </w:r>
            <w:r>
              <w:rPr>
                <w:rFonts w:hint="eastAsia" w:ascii="宋体" w:hAnsi="宋体" w:cs="宋体"/>
                <w:color w:val="auto"/>
                <w:szCs w:val="21"/>
                <w:highlight w:val="none"/>
              </w:rPr>
              <w:t>措施</w:t>
            </w:r>
            <w:r>
              <w:rPr>
                <w:rFonts w:hint="eastAsia" w:ascii="宋体" w:hAnsi="宋体" w:cs="宋体"/>
                <w:color w:val="auto"/>
                <w:szCs w:val="21"/>
                <w:highlight w:val="none"/>
                <w:lang w:eastAsia="zh-CN"/>
              </w:rPr>
              <w:t>可行性高，得</w:t>
            </w:r>
            <w:r>
              <w:rPr>
                <w:rFonts w:hint="eastAsia" w:ascii="宋体" w:hAnsi="宋体" w:cs="宋体"/>
                <w:color w:val="auto"/>
                <w:szCs w:val="21"/>
                <w:highlight w:val="none"/>
                <w:lang w:val="en-US" w:eastAsia="zh-CN"/>
              </w:rPr>
              <w:t>8-10</w:t>
            </w:r>
            <w:r>
              <w:rPr>
                <w:rFonts w:hint="eastAsia" w:ascii="宋体" w:hAnsi="宋体" w:cs="宋体"/>
                <w:color w:val="auto"/>
                <w:szCs w:val="21"/>
                <w:highlight w:val="none"/>
              </w:rPr>
              <w:t>分；</w:t>
            </w:r>
          </w:p>
          <w:p>
            <w:pPr>
              <w:rPr>
                <w:rFonts w:hint="eastAsia" w:ascii="宋体" w:hAnsi="宋体" w:cs="宋体"/>
                <w:color w:val="auto"/>
                <w:szCs w:val="21"/>
                <w:highlight w:val="none"/>
              </w:rPr>
            </w:pPr>
            <w:r>
              <w:rPr>
                <w:rFonts w:hint="eastAsia" w:ascii="宋体" w:hAnsi="宋体" w:cs="宋体"/>
                <w:color w:val="auto"/>
                <w:szCs w:val="21"/>
                <w:highlight w:val="none"/>
                <w:lang w:eastAsia="zh-CN"/>
              </w:rPr>
              <w:t>中</w:t>
            </w:r>
            <w:r>
              <w:rPr>
                <w:rFonts w:hint="eastAsia" w:ascii="宋体" w:hAnsi="宋体" w:cs="宋体"/>
                <w:color w:val="auto"/>
                <w:szCs w:val="21"/>
                <w:highlight w:val="none"/>
              </w:rPr>
              <w:t>：措施</w:t>
            </w:r>
            <w:r>
              <w:rPr>
                <w:rFonts w:hint="eastAsia" w:ascii="宋体" w:hAnsi="宋体" w:cs="宋体"/>
                <w:color w:val="auto"/>
                <w:szCs w:val="21"/>
                <w:highlight w:val="none"/>
                <w:lang w:val="en-US" w:eastAsia="zh-CN"/>
              </w:rPr>
              <w:t>基本可行，</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4-7</w:t>
            </w:r>
            <w:r>
              <w:rPr>
                <w:rFonts w:hint="eastAsia" w:ascii="宋体" w:hAnsi="宋体" w:cs="宋体"/>
                <w:color w:val="auto"/>
                <w:szCs w:val="21"/>
                <w:highlight w:val="none"/>
              </w:rPr>
              <w:t>分；</w:t>
            </w:r>
          </w:p>
          <w:p>
            <w:pPr>
              <w:rPr>
                <w:rFonts w:hint="eastAsia" w:ascii="宋体" w:hAnsi="宋体" w:cs="宋体"/>
                <w:color w:val="auto"/>
                <w:szCs w:val="21"/>
                <w:highlight w:val="none"/>
              </w:rPr>
            </w:pPr>
            <w:r>
              <w:rPr>
                <w:rFonts w:hint="eastAsia" w:ascii="宋体" w:hAnsi="宋体" w:cs="宋体"/>
                <w:color w:val="auto"/>
                <w:szCs w:val="21"/>
                <w:highlight w:val="none"/>
                <w:lang w:eastAsia="zh-CN"/>
              </w:rPr>
              <w:t>差</w:t>
            </w:r>
            <w:r>
              <w:rPr>
                <w:rFonts w:hint="eastAsia" w:ascii="宋体" w:hAnsi="宋体" w:cs="宋体"/>
                <w:color w:val="auto"/>
                <w:szCs w:val="21"/>
                <w:highlight w:val="none"/>
              </w:rPr>
              <w:t>：措施</w:t>
            </w:r>
            <w:r>
              <w:rPr>
                <w:rFonts w:hint="eastAsia" w:ascii="宋体" w:hAnsi="宋体" w:cs="宋体"/>
                <w:color w:val="auto"/>
                <w:szCs w:val="21"/>
                <w:highlight w:val="none"/>
                <w:lang w:eastAsia="zh-CN"/>
              </w:rPr>
              <w:t>可行性不足，得</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分；</w:t>
            </w:r>
          </w:p>
          <w:p>
            <w:pPr>
              <w:rPr>
                <w:rFonts w:ascii="宋体" w:hAnsi="宋体" w:cs="宋体"/>
                <w:color w:val="auto"/>
                <w:szCs w:val="21"/>
                <w:highlight w:val="none"/>
              </w:rPr>
            </w:pPr>
            <w:r>
              <w:rPr>
                <w:rFonts w:hint="eastAsia" w:ascii="宋体" w:hAnsi="宋体" w:cs="宋体"/>
                <w:color w:val="auto"/>
                <w:szCs w:val="21"/>
                <w:highlight w:val="none"/>
                <w:lang w:eastAsia="zh-CN"/>
              </w:rPr>
              <w:t>没有提供的得</w:t>
            </w:r>
            <w:r>
              <w:rPr>
                <w:rFonts w:hint="eastAsia" w:ascii="宋体" w:hAnsi="宋体" w:cs="宋体"/>
                <w:color w:val="auto"/>
                <w:szCs w:val="21"/>
                <w:highlight w:val="none"/>
                <w:lang w:val="en-US" w:eastAsia="zh-CN"/>
              </w:rPr>
              <w:t>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323" w:type="dxa"/>
            <w:gridSpan w:val="2"/>
            <w:vMerge w:val="continue"/>
            <w:tcBorders>
              <w:left w:val="single" w:color="auto" w:sz="8" w:space="0"/>
              <w:right w:val="single" w:color="auto" w:sz="4" w:space="0"/>
            </w:tcBorders>
            <w:vAlign w:val="center"/>
          </w:tcPr>
          <w:p>
            <w:pPr>
              <w:pStyle w:val="91"/>
              <w:ind w:firstLine="420" w:firstLineChars="200"/>
              <w:rPr>
                <w:rFonts w:ascii="宋体" w:hAnsi="宋体" w:cs="宋体"/>
                <w:color w:val="auto"/>
                <w:szCs w:val="21"/>
                <w:highlight w:val="none"/>
              </w:rPr>
            </w:pPr>
          </w:p>
        </w:tc>
        <w:tc>
          <w:tcPr>
            <w:tcW w:w="1502" w:type="dxa"/>
            <w:tcBorders>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质量控制措施</w:t>
            </w:r>
          </w:p>
        </w:tc>
        <w:tc>
          <w:tcPr>
            <w:tcW w:w="851" w:type="dxa"/>
            <w:tcBorders>
              <w:top w:val="single" w:color="auto" w:sz="4" w:space="0"/>
              <w:left w:val="single" w:color="auto" w:sz="4" w:space="0"/>
              <w:bottom w:val="single" w:color="auto" w:sz="4" w:space="0"/>
              <w:right w:val="single" w:color="auto" w:sz="4" w:space="0"/>
            </w:tcBorders>
            <w:vAlign w:val="center"/>
          </w:tcPr>
          <w:p>
            <w:pPr>
              <w:pStyle w:val="91"/>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04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确保项目质量达到工程建设标准和国家相关部门验收规范。提供工程实施设计施工的全过程质量控制及保证措施。</w:t>
            </w:r>
          </w:p>
          <w:p>
            <w:pPr>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eastAsia="zh-CN"/>
              </w:rPr>
              <w:t>：</w:t>
            </w:r>
            <w:r>
              <w:rPr>
                <w:rFonts w:hint="eastAsia" w:ascii="宋体" w:hAnsi="宋体" w:cs="宋体"/>
                <w:color w:val="auto"/>
                <w:szCs w:val="21"/>
                <w:highlight w:val="none"/>
              </w:rPr>
              <w:t>措施</w:t>
            </w:r>
            <w:r>
              <w:rPr>
                <w:rFonts w:hint="eastAsia" w:ascii="宋体" w:hAnsi="宋体" w:cs="宋体"/>
                <w:color w:val="auto"/>
                <w:szCs w:val="21"/>
                <w:highlight w:val="none"/>
                <w:lang w:eastAsia="zh-CN"/>
              </w:rPr>
              <w:t>可行性高，得</w:t>
            </w:r>
            <w:r>
              <w:rPr>
                <w:rFonts w:hint="eastAsia" w:ascii="宋体" w:hAnsi="宋体" w:cs="宋体"/>
                <w:color w:val="auto"/>
                <w:szCs w:val="21"/>
                <w:highlight w:val="none"/>
                <w:lang w:val="en-US" w:eastAsia="zh-CN"/>
              </w:rPr>
              <w:t>8-10</w:t>
            </w:r>
            <w:r>
              <w:rPr>
                <w:rFonts w:hint="eastAsia" w:ascii="宋体" w:hAnsi="宋体" w:cs="宋体"/>
                <w:color w:val="auto"/>
                <w:szCs w:val="21"/>
                <w:highlight w:val="none"/>
              </w:rPr>
              <w:t>分；</w:t>
            </w:r>
          </w:p>
          <w:p>
            <w:pPr>
              <w:rPr>
                <w:rFonts w:hint="eastAsia" w:ascii="宋体" w:hAnsi="宋体" w:cs="宋体"/>
                <w:color w:val="auto"/>
                <w:szCs w:val="21"/>
                <w:highlight w:val="none"/>
              </w:rPr>
            </w:pPr>
            <w:r>
              <w:rPr>
                <w:rFonts w:hint="eastAsia" w:ascii="宋体" w:hAnsi="宋体" w:cs="宋体"/>
                <w:color w:val="auto"/>
                <w:szCs w:val="21"/>
                <w:highlight w:val="none"/>
                <w:lang w:eastAsia="zh-CN"/>
              </w:rPr>
              <w:t>中</w:t>
            </w:r>
            <w:r>
              <w:rPr>
                <w:rFonts w:hint="eastAsia" w:ascii="宋体" w:hAnsi="宋体" w:cs="宋体"/>
                <w:color w:val="auto"/>
                <w:szCs w:val="21"/>
                <w:highlight w:val="none"/>
              </w:rPr>
              <w:t>：措施</w:t>
            </w:r>
            <w:r>
              <w:rPr>
                <w:rFonts w:hint="eastAsia" w:ascii="宋体" w:hAnsi="宋体" w:cs="宋体"/>
                <w:color w:val="auto"/>
                <w:szCs w:val="21"/>
                <w:highlight w:val="none"/>
                <w:lang w:val="en-US" w:eastAsia="zh-CN"/>
              </w:rPr>
              <w:t>基本可行，</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4-7</w:t>
            </w:r>
            <w:r>
              <w:rPr>
                <w:rFonts w:hint="eastAsia" w:ascii="宋体" w:hAnsi="宋体" w:cs="宋体"/>
                <w:color w:val="auto"/>
                <w:szCs w:val="21"/>
                <w:highlight w:val="none"/>
              </w:rPr>
              <w:t>分；</w:t>
            </w:r>
          </w:p>
          <w:p>
            <w:pPr>
              <w:rPr>
                <w:rFonts w:hint="eastAsia" w:ascii="宋体" w:hAnsi="宋体" w:cs="宋体"/>
                <w:color w:val="auto"/>
                <w:szCs w:val="21"/>
                <w:highlight w:val="none"/>
              </w:rPr>
            </w:pPr>
            <w:r>
              <w:rPr>
                <w:rFonts w:hint="eastAsia" w:ascii="宋体" w:hAnsi="宋体" w:cs="宋体"/>
                <w:color w:val="auto"/>
                <w:szCs w:val="21"/>
                <w:highlight w:val="none"/>
                <w:lang w:eastAsia="zh-CN"/>
              </w:rPr>
              <w:t>差</w:t>
            </w:r>
            <w:r>
              <w:rPr>
                <w:rFonts w:hint="eastAsia" w:ascii="宋体" w:hAnsi="宋体" w:cs="宋体"/>
                <w:color w:val="auto"/>
                <w:szCs w:val="21"/>
                <w:highlight w:val="none"/>
              </w:rPr>
              <w:t>：措施</w:t>
            </w:r>
            <w:r>
              <w:rPr>
                <w:rFonts w:hint="eastAsia" w:ascii="宋体" w:hAnsi="宋体" w:cs="宋体"/>
                <w:color w:val="auto"/>
                <w:szCs w:val="21"/>
                <w:highlight w:val="none"/>
                <w:lang w:eastAsia="zh-CN"/>
              </w:rPr>
              <w:t>可行性不足，得</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分；</w:t>
            </w:r>
          </w:p>
          <w:p>
            <w:pPr>
              <w:rPr>
                <w:rFonts w:ascii="宋体" w:hAnsi="宋体" w:cs="宋体"/>
                <w:color w:val="auto"/>
                <w:szCs w:val="21"/>
                <w:highlight w:val="none"/>
              </w:rPr>
            </w:pPr>
            <w:r>
              <w:rPr>
                <w:rFonts w:hint="eastAsia" w:ascii="宋体" w:hAnsi="宋体" w:cs="宋体"/>
                <w:color w:val="auto"/>
                <w:szCs w:val="21"/>
                <w:highlight w:val="none"/>
                <w:lang w:eastAsia="zh-CN"/>
              </w:rPr>
              <w:t>没有提供的得</w:t>
            </w:r>
            <w:r>
              <w:rPr>
                <w:rFonts w:hint="eastAsia" w:ascii="宋体" w:hAnsi="宋体" w:cs="宋体"/>
                <w:color w:val="auto"/>
                <w:szCs w:val="21"/>
                <w:highlight w:val="none"/>
                <w:lang w:val="en-US" w:eastAsia="zh-CN"/>
              </w:rPr>
              <w:t>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323" w:type="dxa"/>
            <w:gridSpan w:val="2"/>
            <w:vMerge w:val="continue"/>
            <w:tcBorders>
              <w:left w:val="single" w:color="auto" w:sz="8" w:space="0"/>
              <w:right w:val="single" w:color="auto" w:sz="4" w:space="0"/>
            </w:tcBorders>
            <w:vAlign w:val="center"/>
          </w:tcPr>
          <w:p>
            <w:pPr>
              <w:pStyle w:val="91"/>
              <w:ind w:firstLine="420" w:firstLineChars="200"/>
              <w:rPr>
                <w:rFonts w:ascii="宋体" w:hAnsi="宋体" w:cs="宋体"/>
                <w:color w:val="auto"/>
                <w:szCs w:val="21"/>
                <w:highlight w:val="none"/>
              </w:rPr>
            </w:pPr>
          </w:p>
        </w:tc>
        <w:tc>
          <w:tcPr>
            <w:tcW w:w="1502" w:type="dxa"/>
            <w:tcBorders>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进度控制措施</w:t>
            </w:r>
          </w:p>
        </w:tc>
        <w:tc>
          <w:tcPr>
            <w:tcW w:w="851" w:type="dxa"/>
            <w:tcBorders>
              <w:top w:val="single" w:color="auto" w:sz="4" w:space="0"/>
              <w:left w:val="single" w:color="auto" w:sz="4" w:space="0"/>
              <w:bottom w:val="single" w:color="auto" w:sz="4" w:space="0"/>
              <w:right w:val="single" w:color="auto" w:sz="4" w:space="0"/>
            </w:tcBorders>
            <w:vAlign w:val="center"/>
          </w:tcPr>
          <w:p>
            <w:pPr>
              <w:pStyle w:val="91"/>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104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在保证质量、安全、文明施工的前提下，切实保障项目实施进度。提供保障项目实施进度的措施</w:t>
            </w:r>
            <w:r>
              <w:rPr>
                <w:rFonts w:hint="eastAsia" w:ascii="宋体" w:hAnsi="宋体" w:cs="宋体"/>
                <w:color w:val="auto"/>
                <w:szCs w:val="21"/>
                <w:highlight w:val="none"/>
                <w:lang w:eastAsia="zh-CN"/>
              </w:rPr>
              <w:t>。</w:t>
            </w:r>
          </w:p>
          <w:p>
            <w:pPr>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eastAsia="zh-CN"/>
              </w:rPr>
              <w:t>：</w:t>
            </w:r>
            <w:r>
              <w:rPr>
                <w:rFonts w:hint="eastAsia" w:ascii="宋体" w:hAnsi="宋体" w:cs="宋体"/>
                <w:color w:val="auto"/>
                <w:szCs w:val="21"/>
                <w:highlight w:val="none"/>
              </w:rPr>
              <w:t>措施</w:t>
            </w:r>
            <w:r>
              <w:rPr>
                <w:rFonts w:hint="eastAsia" w:ascii="宋体" w:hAnsi="宋体" w:cs="宋体"/>
                <w:color w:val="auto"/>
                <w:szCs w:val="21"/>
                <w:highlight w:val="none"/>
                <w:lang w:eastAsia="zh-CN"/>
              </w:rPr>
              <w:t>可行性高，得</w:t>
            </w:r>
            <w:r>
              <w:rPr>
                <w:rFonts w:hint="eastAsia" w:ascii="宋体" w:hAnsi="宋体" w:cs="宋体"/>
                <w:color w:val="auto"/>
                <w:szCs w:val="21"/>
                <w:highlight w:val="none"/>
                <w:lang w:val="en-US" w:eastAsia="zh-CN"/>
              </w:rPr>
              <w:t>9-12</w:t>
            </w:r>
            <w:r>
              <w:rPr>
                <w:rFonts w:hint="eastAsia" w:ascii="宋体" w:hAnsi="宋体" w:cs="宋体"/>
                <w:color w:val="auto"/>
                <w:szCs w:val="21"/>
                <w:highlight w:val="none"/>
              </w:rPr>
              <w:t>分；</w:t>
            </w:r>
          </w:p>
          <w:p>
            <w:pPr>
              <w:rPr>
                <w:rFonts w:hint="eastAsia" w:ascii="宋体" w:hAnsi="宋体" w:cs="宋体"/>
                <w:color w:val="auto"/>
                <w:szCs w:val="21"/>
                <w:highlight w:val="none"/>
              </w:rPr>
            </w:pPr>
            <w:r>
              <w:rPr>
                <w:rFonts w:hint="eastAsia" w:ascii="宋体" w:hAnsi="宋体" w:cs="宋体"/>
                <w:color w:val="auto"/>
                <w:szCs w:val="21"/>
                <w:highlight w:val="none"/>
                <w:lang w:eastAsia="zh-CN"/>
              </w:rPr>
              <w:t>中</w:t>
            </w:r>
            <w:r>
              <w:rPr>
                <w:rFonts w:hint="eastAsia" w:ascii="宋体" w:hAnsi="宋体" w:cs="宋体"/>
                <w:color w:val="auto"/>
                <w:szCs w:val="21"/>
                <w:highlight w:val="none"/>
              </w:rPr>
              <w:t>：措施</w:t>
            </w:r>
            <w:r>
              <w:rPr>
                <w:rFonts w:hint="eastAsia" w:ascii="宋体" w:hAnsi="宋体" w:cs="宋体"/>
                <w:color w:val="auto"/>
                <w:szCs w:val="21"/>
                <w:highlight w:val="none"/>
                <w:lang w:val="en-US" w:eastAsia="zh-CN"/>
              </w:rPr>
              <w:t>基本可行，</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5-8</w:t>
            </w:r>
            <w:r>
              <w:rPr>
                <w:rFonts w:hint="eastAsia" w:ascii="宋体" w:hAnsi="宋体" w:cs="宋体"/>
                <w:color w:val="auto"/>
                <w:szCs w:val="21"/>
                <w:highlight w:val="none"/>
              </w:rPr>
              <w:t>分；</w:t>
            </w:r>
          </w:p>
          <w:p>
            <w:pPr>
              <w:rPr>
                <w:rFonts w:hint="eastAsia" w:ascii="宋体" w:hAnsi="宋体" w:cs="宋体"/>
                <w:color w:val="auto"/>
                <w:szCs w:val="21"/>
                <w:highlight w:val="none"/>
              </w:rPr>
            </w:pPr>
            <w:r>
              <w:rPr>
                <w:rFonts w:hint="eastAsia" w:ascii="宋体" w:hAnsi="宋体" w:cs="宋体"/>
                <w:color w:val="auto"/>
                <w:szCs w:val="21"/>
                <w:highlight w:val="none"/>
                <w:lang w:eastAsia="zh-CN"/>
              </w:rPr>
              <w:t>差</w:t>
            </w:r>
            <w:r>
              <w:rPr>
                <w:rFonts w:hint="eastAsia" w:ascii="宋体" w:hAnsi="宋体" w:cs="宋体"/>
                <w:color w:val="auto"/>
                <w:szCs w:val="21"/>
                <w:highlight w:val="none"/>
              </w:rPr>
              <w:t>：措施</w:t>
            </w:r>
            <w:r>
              <w:rPr>
                <w:rFonts w:hint="eastAsia" w:ascii="宋体" w:hAnsi="宋体" w:cs="宋体"/>
                <w:color w:val="auto"/>
                <w:szCs w:val="21"/>
                <w:highlight w:val="none"/>
                <w:lang w:eastAsia="zh-CN"/>
              </w:rPr>
              <w:t>可行性不足，得</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分；</w:t>
            </w:r>
          </w:p>
          <w:p>
            <w:pPr>
              <w:pStyle w:val="90"/>
              <w:rPr>
                <w:rFonts w:ascii="宋体" w:hAnsi="宋体" w:cs="宋体"/>
                <w:color w:val="auto"/>
                <w:sz w:val="21"/>
                <w:szCs w:val="21"/>
                <w:highlight w:val="none"/>
              </w:rPr>
            </w:pPr>
            <w:r>
              <w:rPr>
                <w:rFonts w:hint="eastAsia" w:ascii="宋体" w:hAnsi="宋体" w:cs="宋体"/>
                <w:color w:val="auto"/>
                <w:szCs w:val="21"/>
                <w:highlight w:val="none"/>
                <w:lang w:eastAsia="zh-CN"/>
              </w:rPr>
              <w:t>没有提供的得</w:t>
            </w:r>
            <w:r>
              <w:rPr>
                <w:rFonts w:hint="eastAsia" w:ascii="宋体" w:hAnsi="宋体" w:cs="宋体"/>
                <w:color w:val="auto"/>
                <w:szCs w:val="21"/>
                <w:highlight w:val="none"/>
                <w:lang w:val="en-US" w:eastAsia="zh-CN"/>
              </w:rPr>
              <w:t>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1323" w:type="dxa"/>
            <w:gridSpan w:val="2"/>
            <w:vMerge w:val="continue"/>
            <w:tcBorders>
              <w:left w:val="single" w:color="auto" w:sz="8" w:space="0"/>
              <w:right w:val="single" w:color="auto" w:sz="4" w:space="0"/>
            </w:tcBorders>
            <w:vAlign w:val="center"/>
          </w:tcPr>
          <w:p>
            <w:pPr>
              <w:pStyle w:val="91"/>
              <w:ind w:firstLine="420" w:firstLineChars="200"/>
              <w:rPr>
                <w:rFonts w:ascii="宋体" w:hAnsi="宋体" w:cs="宋体"/>
                <w:color w:val="auto"/>
                <w:szCs w:val="21"/>
                <w:highlight w:val="none"/>
              </w:rPr>
            </w:pPr>
          </w:p>
        </w:tc>
        <w:tc>
          <w:tcPr>
            <w:tcW w:w="1502" w:type="dxa"/>
            <w:tcBorders>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对工程重点、难点的分析及对策</w:t>
            </w:r>
          </w:p>
        </w:tc>
        <w:tc>
          <w:tcPr>
            <w:tcW w:w="851" w:type="dxa"/>
            <w:tcBorders>
              <w:top w:val="single" w:color="auto" w:sz="4" w:space="0"/>
              <w:left w:val="single" w:color="auto" w:sz="4" w:space="0"/>
              <w:bottom w:val="single" w:color="auto" w:sz="4" w:space="0"/>
              <w:right w:val="single" w:color="auto" w:sz="4" w:space="0"/>
            </w:tcBorders>
            <w:vAlign w:val="center"/>
          </w:tcPr>
          <w:p>
            <w:pPr>
              <w:pStyle w:val="91"/>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104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eastAsia="zh-CN"/>
              </w:rPr>
              <w:t>：</w:t>
            </w:r>
            <w:r>
              <w:rPr>
                <w:rFonts w:hint="eastAsia" w:ascii="宋体" w:hAnsi="宋体" w:cs="宋体"/>
                <w:color w:val="auto"/>
                <w:szCs w:val="21"/>
                <w:highlight w:val="none"/>
              </w:rPr>
              <w:t>依据工程特点制定专项施工方案，并对本项目工程重点、难点进行分析，制定的相应对策</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9-12</w:t>
            </w:r>
            <w:r>
              <w:rPr>
                <w:rFonts w:hint="eastAsia" w:ascii="宋体" w:hAnsi="宋体" w:cs="宋体"/>
                <w:color w:val="auto"/>
                <w:szCs w:val="21"/>
                <w:highlight w:val="none"/>
              </w:rPr>
              <w:t>分；</w:t>
            </w:r>
          </w:p>
          <w:p>
            <w:pPr>
              <w:rPr>
                <w:rFonts w:hint="eastAsia" w:ascii="宋体" w:hAnsi="宋体" w:cs="宋体"/>
                <w:color w:val="auto"/>
                <w:szCs w:val="21"/>
                <w:highlight w:val="none"/>
              </w:rPr>
            </w:pPr>
            <w:r>
              <w:rPr>
                <w:rFonts w:hint="eastAsia" w:ascii="宋体" w:hAnsi="宋体" w:cs="宋体"/>
                <w:color w:val="auto"/>
                <w:szCs w:val="21"/>
                <w:highlight w:val="none"/>
                <w:lang w:eastAsia="zh-CN"/>
              </w:rPr>
              <w:t>中</w:t>
            </w:r>
            <w:r>
              <w:rPr>
                <w:rFonts w:hint="eastAsia" w:ascii="宋体" w:hAnsi="宋体" w:cs="宋体"/>
                <w:color w:val="auto"/>
                <w:szCs w:val="21"/>
                <w:highlight w:val="none"/>
              </w:rPr>
              <w:t>：依据工程特点制定专项施工方案，</w:t>
            </w:r>
            <w:r>
              <w:rPr>
                <w:rFonts w:hint="eastAsia" w:ascii="宋体" w:hAnsi="宋体" w:cs="宋体"/>
                <w:color w:val="auto"/>
                <w:szCs w:val="21"/>
                <w:highlight w:val="none"/>
                <w:lang w:eastAsia="zh-CN"/>
              </w:rPr>
              <w:t>对</w:t>
            </w:r>
            <w:r>
              <w:rPr>
                <w:rFonts w:hint="eastAsia" w:ascii="宋体" w:hAnsi="宋体" w:cs="宋体"/>
                <w:color w:val="auto"/>
                <w:szCs w:val="21"/>
                <w:highlight w:val="none"/>
              </w:rPr>
              <w:t>本项目工程重点、难点分析</w:t>
            </w:r>
            <w:r>
              <w:rPr>
                <w:rFonts w:hint="eastAsia" w:ascii="宋体" w:hAnsi="宋体" w:cs="宋体"/>
                <w:color w:val="auto"/>
                <w:szCs w:val="21"/>
                <w:highlight w:val="none"/>
                <w:lang w:eastAsia="zh-CN"/>
              </w:rPr>
              <w:t>、</w:t>
            </w:r>
            <w:r>
              <w:rPr>
                <w:rFonts w:hint="eastAsia" w:ascii="宋体" w:hAnsi="宋体" w:cs="宋体"/>
                <w:color w:val="auto"/>
                <w:szCs w:val="21"/>
                <w:highlight w:val="none"/>
              </w:rPr>
              <w:t>相应对策</w:t>
            </w:r>
            <w:r>
              <w:rPr>
                <w:rFonts w:hint="eastAsia" w:ascii="宋体" w:hAnsi="宋体" w:cs="宋体"/>
                <w:color w:val="auto"/>
                <w:szCs w:val="21"/>
                <w:highlight w:val="none"/>
                <w:lang w:eastAsia="zh-CN"/>
              </w:rPr>
              <w:t>一般</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5-8</w:t>
            </w:r>
            <w:r>
              <w:rPr>
                <w:rFonts w:hint="eastAsia" w:ascii="宋体" w:hAnsi="宋体" w:cs="宋体"/>
                <w:color w:val="auto"/>
                <w:szCs w:val="21"/>
                <w:highlight w:val="none"/>
              </w:rPr>
              <w:t>分；</w:t>
            </w:r>
          </w:p>
          <w:p>
            <w:pPr>
              <w:rPr>
                <w:rFonts w:hint="eastAsia" w:ascii="宋体" w:hAnsi="宋体" w:cs="宋体"/>
                <w:color w:val="auto"/>
                <w:szCs w:val="21"/>
                <w:highlight w:val="none"/>
              </w:rPr>
            </w:pPr>
            <w:r>
              <w:rPr>
                <w:rFonts w:hint="eastAsia" w:ascii="宋体" w:hAnsi="宋体" w:cs="宋体"/>
                <w:color w:val="auto"/>
                <w:szCs w:val="21"/>
                <w:highlight w:val="none"/>
                <w:lang w:eastAsia="zh-CN"/>
              </w:rPr>
              <w:t>差</w:t>
            </w:r>
            <w:r>
              <w:rPr>
                <w:rFonts w:hint="eastAsia" w:ascii="宋体" w:hAnsi="宋体" w:cs="宋体"/>
                <w:color w:val="auto"/>
                <w:szCs w:val="21"/>
                <w:highlight w:val="none"/>
              </w:rPr>
              <w:t>：</w:t>
            </w:r>
            <w:r>
              <w:rPr>
                <w:rFonts w:hint="eastAsia" w:ascii="宋体" w:hAnsi="宋体" w:cs="宋体"/>
                <w:color w:val="auto"/>
                <w:szCs w:val="21"/>
                <w:highlight w:val="none"/>
                <w:lang w:eastAsia="zh-CN"/>
              </w:rPr>
              <w:t>未</w:t>
            </w:r>
            <w:r>
              <w:rPr>
                <w:rFonts w:hint="eastAsia" w:ascii="宋体" w:hAnsi="宋体" w:cs="宋体"/>
                <w:color w:val="auto"/>
                <w:szCs w:val="21"/>
                <w:highlight w:val="none"/>
              </w:rPr>
              <w:t>依据工程特点制定专项施工方案，</w:t>
            </w:r>
            <w:r>
              <w:rPr>
                <w:rFonts w:hint="eastAsia" w:ascii="宋体" w:hAnsi="宋体" w:cs="宋体"/>
                <w:color w:val="auto"/>
                <w:szCs w:val="21"/>
                <w:highlight w:val="none"/>
                <w:lang w:eastAsia="zh-CN"/>
              </w:rPr>
              <w:t>对</w:t>
            </w:r>
            <w:r>
              <w:rPr>
                <w:rFonts w:hint="eastAsia" w:ascii="宋体" w:hAnsi="宋体" w:cs="宋体"/>
                <w:color w:val="auto"/>
                <w:szCs w:val="21"/>
                <w:highlight w:val="none"/>
              </w:rPr>
              <w:t>本项目工程重点、难点分析</w:t>
            </w:r>
            <w:r>
              <w:rPr>
                <w:rFonts w:hint="eastAsia" w:ascii="宋体" w:hAnsi="宋体" w:cs="宋体"/>
                <w:color w:val="auto"/>
                <w:szCs w:val="21"/>
                <w:highlight w:val="none"/>
                <w:lang w:eastAsia="zh-CN"/>
              </w:rPr>
              <w:t>、</w:t>
            </w:r>
            <w:r>
              <w:rPr>
                <w:rFonts w:hint="eastAsia" w:ascii="宋体" w:hAnsi="宋体" w:cs="宋体"/>
                <w:color w:val="auto"/>
                <w:szCs w:val="21"/>
                <w:highlight w:val="none"/>
              </w:rPr>
              <w:t>相应对策</w:t>
            </w:r>
            <w:r>
              <w:rPr>
                <w:rFonts w:hint="eastAsia" w:ascii="宋体" w:hAnsi="宋体" w:cs="宋体"/>
                <w:color w:val="auto"/>
                <w:szCs w:val="21"/>
                <w:highlight w:val="none"/>
                <w:lang w:eastAsia="zh-CN"/>
              </w:rPr>
              <w:t>不足，得</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分；</w:t>
            </w:r>
          </w:p>
          <w:p>
            <w:pPr>
              <w:rPr>
                <w:rFonts w:ascii="宋体" w:hAnsi="宋体" w:cs="宋体"/>
                <w:color w:val="auto"/>
                <w:szCs w:val="21"/>
                <w:highlight w:val="none"/>
              </w:rPr>
            </w:pPr>
            <w:r>
              <w:rPr>
                <w:rFonts w:hint="eastAsia" w:ascii="宋体" w:hAnsi="宋体" w:cs="宋体"/>
                <w:color w:val="auto"/>
                <w:szCs w:val="21"/>
                <w:highlight w:val="none"/>
                <w:lang w:eastAsia="zh-CN"/>
              </w:rPr>
              <w:t>没有提供的得</w:t>
            </w:r>
            <w:r>
              <w:rPr>
                <w:rFonts w:hint="eastAsia" w:ascii="宋体" w:hAnsi="宋体" w:cs="宋体"/>
                <w:color w:val="auto"/>
                <w:szCs w:val="21"/>
                <w:highlight w:val="none"/>
                <w:lang w:val="en-US" w:eastAsia="zh-CN"/>
              </w:rPr>
              <w:t>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jc w:val="center"/>
        </w:trPr>
        <w:tc>
          <w:tcPr>
            <w:tcW w:w="2825" w:type="dxa"/>
            <w:gridSpan w:val="3"/>
            <w:tcBorders>
              <w:top w:val="single" w:color="auto" w:sz="4" w:space="0"/>
              <w:left w:val="single" w:color="auto" w:sz="8" w:space="0"/>
              <w:bottom w:val="single" w:color="auto" w:sz="4" w:space="0"/>
              <w:right w:val="single" w:color="auto" w:sz="4" w:space="0"/>
            </w:tcBorders>
            <w:vAlign w:val="center"/>
          </w:tcPr>
          <w:p>
            <w:pPr>
              <w:pStyle w:val="91"/>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合计（一+二）</w:t>
            </w:r>
          </w:p>
        </w:tc>
        <w:tc>
          <w:tcPr>
            <w:tcW w:w="851" w:type="dxa"/>
            <w:tcBorders>
              <w:top w:val="single" w:color="auto" w:sz="4" w:space="0"/>
              <w:left w:val="single" w:color="auto" w:sz="4" w:space="0"/>
              <w:bottom w:val="single" w:color="auto" w:sz="4" w:space="0"/>
              <w:right w:val="single" w:color="auto" w:sz="4" w:space="0"/>
            </w:tcBorders>
            <w:vAlign w:val="center"/>
          </w:tcPr>
          <w:p>
            <w:pPr>
              <w:pStyle w:val="91"/>
              <w:jc w:val="center"/>
              <w:rPr>
                <w:rFonts w:ascii="宋体" w:hAnsi="宋体" w:cs="宋体"/>
                <w:color w:val="auto"/>
                <w:szCs w:val="21"/>
                <w:highlight w:val="none"/>
              </w:rPr>
            </w:pPr>
            <w:r>
              <w:rPr>
                <w:rFonts w:hint="eastAsia" w:ascii="宋体" w:hAnsi="宋体" w:cs="宋体"/>
                <w:color w:val="auto"/>
                <w:szCs w:val="21"/>
                <w:highlight w:val="none"/>
              </w:rPr>
              <w:t>100</w:t>
            </w:r>
          </w:p>
        </w:tc>
        <w:tc>
          <w:tcPr>
            <w:tcW w:w="10442" w:type="dxa"/>
            <w:tcBorders>
              <w:top w:val="single" w:color="auto" w:sz="4" w:space="0"/>
              <w:left w:val="single" w:color="auto" w:sz="4" w:space="0"/>
              <w:bottom w:val="single" w:color="auto" w:sz="4" w:space="0"/>
              <w:right w:val="single" w:color="auto" w:sz="4" w:space="0"/>
            </w:tcBorders>
            <w:vAlign w:val="center"/>
          </w:tcPr>
          <w:p>
            <w:pPr>
              <w:pStyle w:val="91"/>
              <w:ind w:firstLine="420" w:firstLineChars="200"/>
              <w:jc w:val="center"/>
              <w:rPr>
                <w:rFonts w:ascii="宋体" w:hAnsi="宋体" w:cs="宋体"/>
                <w:color w:val="auto"/>
                <w:szCs w:val="21"/>
                <w:highlight w:val="none"/>
              </w:rPr>
            </w:pPr>
          </w:p>
        </w:tc>
      </w:tr>
      <w:bookmarkEnd w:id="1011"/>
    </w:tbl>
    <w:p>
      <w:pPr>
        <w:spacing w:line="360" w:lineRule="exact"/>
        <w:jc w:val="left"/>
        <w:rPr>
          <w:rFonts w:ascii="宋体" w:hAnsi="宋体"/>
          <w:b/>
          <w:color w:val="auto"/>
          <w:sz w:val="28"/>
          <w:szCs w:val="28"/>
          <w:highlight w:val="none"/>
        </w:rPr>
      </w:pPr>
    </w:p>
    <w:p>
      <w:pPr>
        <w:spacing w:line="360" w:lineRule="exact"/>
        <w:jc w:val="left"/>
        <w:rPr>
          <w:rFonts w:ascii="宋体" w:hAnsi="宋体"/>
          <w:b/>
          <w:color w:val="auto"/>
          <w:sz w:val="28"/>
          <w:szCs w:val="28"/>
          <w:highlight w:val="none"/>
        </w:rPr>
      </w:pPr>
    </w:p>
    <w:p>
      <w:pPr>
        <w:spacing w:line="360" w:lineRule="exact"/>
        <w:jc w:val="left"/>
        <w:rPr>
          <w:rFonts w:ascii="宋体" w:hAnsi="宋体"/>
          <w:b/>
          <w:color w:val="auto"/>
          <w:sz w:val="28"/>
          <w:szCs w:val="28"/>
          <w:highlight w:val="none"/>
        </w:rPr>
      </w:pPr>
    </w:p>
    <w:p>
      <w:pPr>
        <w:spacing w:line="360" w:lineRule="exact"/>
        <w:jc w:val="left"/>
        <w:rPr>
          <w:rFonts w:ascii="宋体" w:hAnsi="宋体"/>
          <w:b/>
          <w:color w:val="auto"/>
          <w:sz w:val="28"/>
          <w:szCs w:val="28"/>
          <w:highlight w:val="none"/>
        </w:rPr>
      </w:pPr>
    </w:p>
    <w:p>
      <w:pPr>
        <w:spacing w:line="360" w:lineRule="exact"/>
        <w:jc w:val="left"/>
        <w:rPr>
          <w:rFonts w:ascii="宋体" w:hAnsi="宋体"/>
          <w:b/>
          <w:color w:val="auto"/>
          <w:sz w:val="28"/>
          <w:szCs w:val="28"/>
          <w:highlight w:val="none"/>
        </w:rPr>
      </w:pPr>
    </w:p>
    <w:p>
      <w:pPr>
        <w:spacing w:line="360" w:lineRule="exact"/>
        <w:jc w:val="left"/>
        <w:rPr>
          <w:rFonts w:ascii="宋体" w:hAnsi="宋体"/>
          <w:b/>
          <w:color w:val="auto"/>
          <w:sz w:val="28"/>
          <w:szCs w:val="28"/>
          <w:highlight w:val="none"/>
        </w:rPr>
      </w:pPr>
    </w:p>
    <w:p>
      <w:pPr>
        <w:pStyle w:val="90"/>
        <w:rPr>
          <w:rFonts w:ascii="宋体" w:hAnsi="宋体"/>
          <w:b/>
          <w:color w:val="auto"/>
          <w:sz w:val="28"/>
          <w:szCs w:val="28"/>
          <w:highlight w:val="none"/>
        </w:rPr>
      </w:pPr>
    </w:p>
    <w:p>
      <w:pPr>
        <w:pStyle w:val="90"/>
        <w:rPr>
          <w:rFonts w:ascii="宋体" w:hAnsi="宋体"/>
          <w:b/>
          <w:color w:val="auto"/>
          <w:sz w:val="28"/>
          <w:szCs w:val="28"/>
          <w:highlight w:val="none"/>
        </w:rPr>
      </w:pPr>
    </w:p>
    <w:p>
      <w:pPr>
        <w:pStyle w:val="90"/>
        <w:rPr>
          <w:rFonts w:ascii="宋体" w:hAnsi="宋体"/>
          <w:b/>
          <w:color w:val="auto"/>
          <w:sz w:val="28"/>
          <w:szCs w:val="28"/>
          <w:highlight w:val="none"/>
        </w:rPr>
      </w:pPr>
    </w:p>
    <w:p>
      <w:pPr>
        <w:rPr>
          <w:rFonts w:ascii="宋体" w:hAnsi="宋体"/>
          <w:b/>
          <w:color w:val="auto"/>
          <w:sz w:val="28"/>
          <w:szCs w:val="28"/>
          <w:highlight w:val="none"/>
        </w:rPr>
      </w:pPr>
      <w:r>
        <w:rPr>
          <w:rFonts w:ascii="宋体" w:hAnsi="宋体"/>
          <w:b/>
          <w:color w:val="auto"/>
          <w:sz w:val="28"/>
          <w:szCs w:val="28"/>
          <w:highlight w:val="none"/>
        </w:rPr>
        <w:br w:type="page"/>
      </w:r>
    </w:p>
    <w:p>
      <w:pPr>
        <w:snapToGrid w:val="0"/>
        <w:rPr>
          <w:rFonts w:ascii="黑体" w:hAnsi="黑体" w:eastAsia="黑体"/>
          <w:b/>
          <w:color w:val="auto"/>
          <w:sz w:val="24"/>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3</w:t>
      </w:r>
      <w:r>
        <w:rPr>
          <w:rFonts w:hint="eastAsia" w:ascii="宋体" w:hAnsi="宋体"/>
          <w:b/>
          <w:color w:val="auto"/>
          <w:sz w:val="28"/>
          <w:szCs w:val="28"/>
          <w:highlight w:val="none"/>
        </w:rPr>
        <w:t xml:space="preserve">：    </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投标报价评分表</w:t>
      </w:r>
    </w:p>
    <w:p>
      <w:pPr>
        <w:spacing w:line="360" w:lineRule="auto"/>
        <w:rPr>
          <w:rFonts w:ascii="宋体" w:hAnsi="宋体"/>
          <w:color w:val="auto"/>
          <w:sz w:val="24"/>
          <w:highlight w:val="none"/>
        </w:rPr>
      </w:pPr>
      <w:r>
        <w:rPr>
          <w:rFonts w:hint="eastAsia" w:ascii="宋体" w:hAnsi="宋体"/>
          <w:color w:val="auto"/>
          <w:sz w:val="24"/>
          <w:highlight w:val="none"/>
        </w:rPr>
        <w:t>工程名称：</w:t>
      </w:r>
    </w:p>
    <w:tbl>
      <w:tblPr>
        <w:tblStyle w:val="39"/>
        <w:tblW w:w="13982" w:type="dxa"/>
        <w:jc w:val="center"/>
        <w:tblLayout w:type="fixed"/>
        <w:tblCellMar>
          <w:top w:w="0" w:type="dxa"/>
          <w:left w:w="108" w:type="dxa"/>
          <w:bottom w:w="0" w:type="dxa"/>
          <w:right w:w="108" w:type="dxa"/>
        </w:tblCellMar>
      </w:tblPr>
      <w:tblGrid>
        <w:gridCol w:w="5718"/>
        <w:gridCol w:w="1294"/>
        <w:gridCol w:w="1296"/>
        <w:gridCol w:w="1295"/>
        <w:gridCol w:w="1296"/>
        <w:gridCol w:w="3083"/>
      </w:tblGrid>
      <w:tr>
        <w:tblPrEx>
          <w:tblCellMar>
            <w:top w:w="0" w:type="dxa"/>
            <w:left w:w="108" w:type="dxa"/>
            <w:bottom w:w="0" w:type="dxa"/>
            <w:right w:w="108" w:type="dxa"/>
          </w:tblCellMar>
        </w:tblPrEx>
        <w:trPr>
          <w:trHeight w:val="1158"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投标人名称</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r>
      <w:tr>
        <w:tblPrEx>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投标报价</w:t>
            </w:r>
            <w:r>
              <w:rPr>
                <w:rFonts w:ascii="宋体" w:hAnsi="宋体"/>
                <w:color w:val="auto"/>
                <w:sz w:val="24"/>
                <w:highlight w:val="none"/>
              </w:rPr>
              <w:t>PT（元）</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计算参考数据</w:t>
            </w:r>
          </w:p>
        </w:tc>
        <w:tc>
          <w:tcPr>
            <w:tcW w:w="8264" w:type="dxa"/>
            <w:gridSpan w:val="5"/>
            <w:tcBorders>
              <w:top w:val="single" w:color="auto" w:sz="4" w:space="0"/>
              <w:left w:val="nil"/>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highlight w:val="none"/>
              </w:rPr>
              <w:t>评标参考价（</w:t>
            </w:r>
            <w:r>
              <w:rPr>
                <w:rFonts w:ascii="宋体" w:hAnsi="宋体"/>
                <w:color w:val="auto"/>
                <w:highlight w:val="none"/>
              </w:rPr>
              <w:t>PC）：</w:t>
            </w: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pacing w:val="-10"/>
                <w:sz w:val="24"/>
                <w:highlight w:val="none"/>
              </w:rPr>
            </w:pPr>
            <w:r>
              <w:rPr>
                <w:rFonts w:hint="eastAsia" w:ascii="宋体" w:hAnsi="宋体"/>
                <w:color w:val="auto"/>
                <w:spacing w:val="-10"/>
                <w:sz w:val="24"/>
                <w:highlight w:val="none"/>
              </w:rPr>
              <w:t>偏差（（</w:t>
            </w:r>
            <w:r>
              <w:rPr>
                <w:rFonts w:ascii="宋体" w:hAnsi="宋体"/>
                <w:color w:val="auto"/>
                <w:spacing w:val="-10"/>
                <w:sz w:val="24"/>
                <w:highlight w:val="none"/>
              </w:rPr>
              <w:t>PT-PC）/PC）（%）</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r>
      <w:tr>
        <w:tblPrEx>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减分（</w:t>
            </w:r>
            <w:r>
              <w:rPr>
                <w:rFonts w:ascii="宋体" w:hAnsi="宋体"/>
                <w:color w:val="auto"/>
                <w:sz w:val="24"/>
                <w:highlight w:val="none"/>
              </w:rPr>
              <w:t>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经济标得分</w:t>
            </w:r>
            <w:r>
              <w:rPr>
                <w:rFonts w:ascii="宋体" w:hAnsi="宋体"/>
                <w:color w:val="auto"/>
                <w:sz w:val="24"/>
                <w:highlight w:val="none"/>
              </w:rPr>
              <w:t>(I=100-A)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r>
    </w:tbl>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评委签名：                   日期：</w:t>
      </w:r>
    </w:p>
    <w:p>
      <w:pPr>
        <w:spacing w:line="400" w:lineRule="exact"/>
        <w:rPr>
          <w:rFonts w:ascii="宋体" w:hAnsi="宋体"/>
          <w:b/>
          <w:color w:val="auto"/>
          <w:sz w:val="28"/>
          <w:szCs w:val="28"/>
          <w:highlight w:val="none"/>
        </w:rPr>
      </w:pPr>
      <w:r>
        <w:rPr>
          <w:rFonts w:hint="eastAsia" w:ascii="宋体" w:hAnsi="宋体"/>
          <w:b/>
          <w:color w:val="auto"/>
          <w:sz w:val="28"/>
          <w:szCs w:val="28"/>
          <w:highlight w:val="none"/>
        </w:rPr>
        <w:br w:type="page"/>
      </w:r>
    </w:p>
    <w:p>
      <w:pPr>
        <w:spacing w:line="400" w:lineRule="exact"/>
        <w:rPr>
          <w:rFonts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4</w:t>
      </w:r>
      <w:r>
        <w:rPr>
          <w:rFonts w:hint="eastAsia" w:ascii="宋体" w:hAnsi="宋体"/>
          <w:b/>
          <w:color w:val="auto"/>
          <w:sz w:val="28"/>
          <w:szCs w:val="28"/>
          <w:highlight w:val="none"/>
        </w:rPr>
        <w:t>：</w:t>
      </w:r>
    </w:p>
    <w:p>
      <w:pPr>
        <w:spacing w:line="360" w:lineRule="auto"/>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总得分汇总表</w:t>
      </w:r>
    </w:p>
    <w:p>
      <w:pPr>
        <w:spacing w:line="360" w:lineRule="auto"/>
        <w:jc w:val="left"/>
        <w:rPr>
          <w:color w:val="auto"/>
          <w:szCs w:val="21"/>
          <w:highlight w:val="none"/>
        </w:rPr>
      </w:pPr>
      <w:r>
        <w:rPr>
          <w:rFonts w:hint="eastAsia"/>
          <w:color w:val="auto"/>
          <w:szCs w:val="21"/>
          <w:highlight w:val="none"/>
        </w:rPr>
        <w:t xml:space="preserve">项目名称：                                                                                           </w:t>
      </w:r>
    </w:p>
    <w:tbl>
      <w:tblPr>
        <w:tblStyle w:val="39"/>
        <w:tblW w:w="14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292"/>
        <w:gridCol w:w="2760"/>
        <w:gridCol w:w="1984"/>
        <w:gridCol w:w="1701"/>
        <w:gridCol w:w="1589"/>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80" w:type="dxa"/>
            <w:vAlign w:val="center"/>
          </w:tcPr>
          <w:p>
            <w:pPr>
              <w:spacing w:line="360" w:lineRule="auto"/>
              <w:jc w:val="center"/>
              <w:rPr>
                <w:color w:val="auto"/>
                <w:szCs w:val="21"/>
                <w:highlight w:val="none"/>
              </w:rPr>
            </w:pPr>
            <w:r>
              <w:rPr>
                <w:rFonts w:hint="eastAsia"/>
                <w:color w:val="auto"/>
                <w:szCs w:val="21"/>
                <w:highlight w:val="none"/>
              </w:rPr>
              <w:t>序号</w:t>
            </w:r>
          </w:p>
        </w:tc>
        <w:tc>
          <w:tcPr>
            <w:tcW w:w="4292" w:type="dxa"/>
            <w:vAlign w:val="center"/>
          </w:tcPr>
          <w:p>
            <w:pPr>
              <w:spacing w:line="360" w:lineRule="auto"/>
              <w:jc w:val="center"/>
              <w:rPr>
                <w:color w:val="auto"/>
                <w:szCs w:val="21"/>
                <w:highlight w:val="none"/>
              </w:rPr>
            </w:pPr>
            <w:r>
              <w:rPr>
                <w:rFonts w:hint="eastAsia"/>
                <w:color w:val="auto"/>
                <w:szCs w:val="21"/>
                <w:highlight w:val="none"/>
              </w:rPr>
              <w:t>权重</w:t>
            </w:r>
          </w:p>
        </w:tc>
        <w:tc>
          <w:tcPr>
            <w:tcW w:w="2760" w:type="dxa"/>
            <w:vAlign w:val="center"/>
          </w:tcPr>
          <w:p>
            <w:pPr>
              <w:spacing w:line="360" w:lineRule="auto"/>
              <w:jc w:val="center"/>
              <w:rPr>
                <w:color w:val="auto"/>
                <w:szCs w:val="21"/>
                <w:highlight w:val="none"/>
              </w:rPr>
            </w:pPr>
            <w:r>
              <w:rPr>
                <w:rFonts w:hint="eastAsia"/>
                <w:color w:val="auto"/>
                <w:szCs w:val="21"/>
                <w:highlight w:val="none"/>
              </w:rPr>
              <w:t>项目</w:t>
            </w:r>
          </w:p>
        </w:tc>
        <w:tc>
          <w:tcPr>
            <w:tcW w:w="1984" w:type="dxa"/>
            <w:vAlign w:val="center"/>
          </w:tcPr>
          <w:p>
            <w:pPr>
              <w:spacing w:line="360" w:lineRule="auto"/>
              <w:jc w:val="center"/>
              <w:rPr>
                <w:color w:val="auto"/>
                <w:szCs w:val="21"/>
                <w:highlight w:val="none"/>
              </w:rPr>
            </w:pPr>
            <w:r>
              <w:rPr>
                <w:rFonts w:hint="eastAsia"/>
                <w:color w:val="auto"/>
                <w:szCs w:val="21"/>
                <w:highlight w:val="none"/>
              </w:rPr>
              <w:t>投标人1</w:t>
            </w:r>
          </w:p>
        </w:tc>
        <w:tc>
          <w:tcPr>
            <w:tcW w:w="1701" w:type="dxa"/>
            <w:vAlign w:val="center"/>
          </w:tcPr>
          <w:p>
            <w:pPr>
              <w:spacing w:line="360" w:lineRule="auto"/>
              <w:jc w:val="center"/>
              <w:rPr>
                <w:color w:val="auto"/>
                <w:szCs w:val="21"/>
                <w:highlight w:val="none"/>
              </w:rPr>
            </w:pPr>
            <w:r>
              <w:rPr>
                <w:rFonts w:hint="eastAsia"/>
                <w:color w:val="auto"/>
                <w:szCs w:val="21"/>
                <w:highlight w:val="none"/>
              </w:rPr>
              <w:t>投标人2</w:t>
            </w:r>
          </w:p>
        </w:tc>
        <w:tc>
          <w:tcPr>
            <w:tcW w:w="1589" w:type="dxa"/>
            <w:vAlign w:val="center"/>
          </w:tcPr>
          <w:p>
            <w:pPr>
              <w:spacing w:line="360" w:lineRule="auto"/>
              <w:jc w:val="center"/>
              <w:rPr>
                <w:color w:val="auto"/>
                <w:szCs w:val="21"/>
                <w:highlight w:val="none"/>
              </w:rPr>
            </w:pPr>
            <w:r>
              <w:rPr>
                <w:rFonts w:hint="eastAsia"/>
                <w:color w:val="auto"/>
                <w:szCs w:val="21"/>
                <w:highlight w:val="none"/>
              </w:rPr>
              <w:t>……</w:t>
            </w:r>
          </w:p>
        </w:tc>
        <w:tc>
          <w:tcPr>
            <w:tcW w:w="876" w:type="dxa"/>
            <w:vAlign w:val="center"/>
          </w:tcPr>
          <w:p>
            <w:pPr>
              <w:spacing w:line="360" w:lineRule="auto"/>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0" w:type="dxa"/>
            <w:vAlign w:val="center"/>
          </w:tcPr>
          <w:p>
            <w:pPr>
              <w:spacing w:line="360" w:lineRule="auto"/>
              <w:jc w:val="center"/>
              <w:rPr>
                <w:color w:val="auto"/>
                <w:szCs w:val="21"/>
                <w:highlight w:val="none"/>
              </w:rPr>
            </w:pPr>
            <w:r>
              <w:rPr>
                <w:rFonts w:hint="eastAsia"/>
                <w:color w:val="auto"/>
                <w:szCs w:val="21"/>
                <w:highlight w:val="none"/>
              </w:rPr>
              <w:t>1</w:t>
            </w:r>
          </w:p>
        </w:tc>
        <w:tc>
          <w:tcPr>
            <w:tcW w:w="4292" w:type="dxa"/>
            <w:vAlign w:val="center"/>
          </w:tcPr>
          <w:p>
            <w:pPr>
              <w:spacing w:line="360" w:lineRule="auto"/>
              <w:jc w:val="center"/>
              <w:rPr>
                <w:color w:val="auto"/>
                <w:szCs w:val="21"/>
                <w:highlight w:val="none"/>
              </w:rPr>
            </w:pPr>
            <w:r>
              <w:rPr>
                <w:rFonts w:hint="eastAsia"/>
                <w:color w:val="auto"/>
                <w:szCs w:val="21"/>
                <w:highlight w:val="none"/>
              </w:rPr>
              <w:t>工程总承包实施方案（含资信部分）文件得分×</w:t>
            </w:r>
            <w:r>
              <w:rPr>
                <w:rFonts w:hint="eastAsia"/>
                <w:color w:val="auto"/>
                <w:szCs w:val="21"/>
                <w:highlight w:val="none"/>
                <w:lang w:val="en-US" w:eastAsia="zh-CN"/>
              </w:rPr>
              <w:t>4</w:t>
            </w:r>
            <w:r>
              <w:rPr>
                <w:rFonts w:hint="eastAsia"/>
                <w:color w:val="auto"/>
                <w:szCs w:val="21"/>
                <w:highlight w:val="none"/>
              </w:rPr>
              <w:t>0%</w:t>
            </w:r>
          </w:p>
        </w:tc>
        <w:tc>
          <w:tcPr>
            <w:tcW w:w="2760" w:type="dxa"/>
            <w:vAlign w:val="center"/>
          </w:tcPr>
          <w:p>
            <w:pPr>
              <w:spacing w:line="360" w:lineRule="auto"/>
              <w:jc w:val="center"/>
              <w:rPr>
                <w:color w:val="auto"/>
                <w:szCs w:val="21"/>
                <w:highlight w:val="none"/>
              </w:rPr>
            </w:pPr>
            <w:r>
              <w:rPr>
                <w:rFonts w:hint="eastAsia"/>
                <w:color w:val="auto"/>
                <w:szCs w:val="21"/>
                <w:highlight w:val="none"/>
              </w:rPr>
              <w:t>工程总承包实施方案（含资信部分）文件得分</w:t>
            </w:r>
          </w:p>
        </w:tc>
        <w:tc>
          <w:tcPr>
            <w:tcW w:w="1984" w:type="dxa"/>
            <w:vAlign w:val="center"/>
          </w:tcPr>
          <w:p>
            <w:pPr>
              <w:spacing w:line="360" w:lineRule="auto"/>
              <w:jc w:val="center"/>
              <w:rPr>
                <w:color w:val="auto"/>
                <w:szCs w:val="21"/>
                <w:highlight w:val="none"/>
              </w:rPr>
            </w:pPr>
          </w:p>
        </w:tc>
        <w:tc>
          <w:tcPr>
            <w:tcW w:w="1701" w:type="dxa"/>
            <w:vAlign w:val="center"/>
          </w:tcPr>
          <w:p>
            <w:pPr>
              <w:spacing w:line="360" w:lineRule="auto"/>
              <w:jc w:val="center"/>
              <w:rPr>
                <w:color w:val="auto"/>
                <w:szCs w:val="21"/>
                <w:highlight w:val="none"/>
              </w:rPr>
            </w:pPr>
          </w:p>
        </w:tc>
        <w:tc>
          <w:tcPr>
            <w:tcW w:w="1589" w:type="dxa"/>
            <w:vAlign w:val="center"/>
          </w:tcPr>
          <w:p>
            <w:pPr>
              <w:spacing w:line="360" w:lineRule="auto"/>
              <w:jc w:val="center"/>
              <w:rPr>
                <w:color w:val="auto"/>
                <w:szCs w:val="21"/>
                <w:highlight w:val="none"/>
              </w:rPr>
            </w:pPr>
          </w:p>
        </w:tc>
        <w:tc>
          <w:tcPr>
            <w:tcW w:w="876" w:type="dxa"/>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0" w:type="dxa"/>
            <w:vAlign w:val="center"/>
          </w:tcPr>
          <w:p>
            <w:pPr>
              <w:spacing w:line="360" w:lineRule="auto"/>
              <w:jc w:val="center"/>
              <w:rPr>
                <w:color w:val="auto"/>
                <w:szCs w:val="21"/>
                <w:highlight w:val="none"/>
              </w:rPr>
            </w:pPr>
            <w:r>
              <w:rPr>
                <w:rFonts w:hint="eastAsia"/>
                <w:color w:val="auto"/>
                <w:szCs w:val="21"/>
                <w:highlight w:val="none"/>
              </w:rPr>
              <w:t>2</w:t>
            </w:r>
          </w:p>
        </w:tc>
        <w:tc>
          <w:tcPr>
            <w:tcW w:w="4292" w:type="dxa"/>
            <w:vAlign w:val="center"/>
          </w:tcPr>
          <w:p>
            <w:pPr>
              <w:spacing w:line="360" w:lineRule="auto"/>
              <w:jc w:val="center"/>
              <w:rPr>
                <w:color w:val="auto"/>
                <w:szCs w:val="21"/>
                <w:highlight w:val="none"/>
              </w:rPr>
            </w:pPr>
            <w:r>
              <w:rPr>
                <w:rFonts w:hint="eastAsia"/>
                <w:color w:val="auto"/>
                <w:szCs w:val="21"/>
                <w:highlight w:val="none"/>
              </w:rPr>
              <w:t>投标报价得分×</w:t>
            </w:r>
            <w:r>
              <w:rPr>
                <w:rFonts w:hint="eastAsia"/>
                <w:color w:val="auto"/>
                <w:szCs w:val="21"/>
                <w:highlight w:val="none"/>
                <w:lang w:val="en-US" w:eastAsia="zh-CN"/>
              </w:rPr>
              <w:t>6</w:t>
            </w:r>
            <w:r>
              <w:rPr>
                <w:rFonts w:hint="eastAsia"/>
                <w:color w:val="auto"/>
                <w:szCs w:val="21"/>
                <w:highlight w:val="none"/>
              </w:rPr>
              <w:t>0%</w:t>
            </w:r>
          </w:p>
        </w:tc>
        <w:tc>
          <w:tcPr>
            <w:tcW w:w="2760" w:type="dxa"/>
            <w:vAlign w:val="center"/>
          </w:tcPr>
          <w:p>
            <w:pPr>
              <w:spacing w:line="360" w:lineRule="auto"/>
              <w:jc w:val="center"/>
              <w:rPr>
                <w:color w:val="auto"/>
                <w:szCs w:val="21"/>
                <w:highlight w:val="none"/>
              </w:rPr>
            </w:pPr>
            <w:r>
              <w:rPr>
                <w:rFonts w:hint="eastAsia"/>
                <w:color w:val="auto"/>
                <w:szCs w:val="21"/>
                <w:highlight w:val="none"/>
              </w:rPr>
              <w:t>投标报价得分</w:t>
            </w:r>
          </w:p>
        </w:tc>
        <w:tc>
          <w:tcPr>
            <w:tcW w:w="1984" w:type="dxa"/>
            <w:vAlign w:val="center"/>
          </w:tcPr>
          <w:p>
            <w:pPr>
              <w:spacing w:line="360" w:lineRule="auto"/>
              <w:jc w:val="center"/>
              <w:rPr>
                <w:color w:val="auto"/>
                <w:szCs w:val="21"/>
                <w:highlight w:val="none"/>
              </w:rPr>
            </w:pPr>
          </w:p>
        </w:tc>
        <w:tc>
          <w:tcPr>
            <w:tcW w:w="1701" w:type="dxa"/>
            <w:vAlign w:val="center"/>
          </w:tcPr>
          <w:p>
            <w:pPr>
              <w:spacing w:line="360" w:lineRule="auto"/>
              <w:jc w:val="center"/>
              <w:rPr>
                <w:color w:val="auto"/>
                <w:szCs w:val="21"/>
                <w:highlight w:val="none"/>
              </w:rPr>
            </w:pPr>
          </w:p>
        </w:tc>
        <w:tc>
          <w:tcPr>
            <w:tcW w:w="1589" w:type="dxa"/>
            <w:vAlign w:val="center"/>
          </w:tcPr>
          <w:p>
            <w:pPr>
              <w:spacing w:line="360" w:lineRule="auto"/>
              <w:jc w:val="center"/>
              <w:rPr>
                <w:color w:val="auto"/>
                <w:szCs w:val="21"/>
                <w:highlight w:val="none"/>
              </w:rPr>
            </w:pPr>
          </w:p>
        </w:tc>
        <w:tc>
          <w:tcPr>
            <w:tcW w:w="876" w:type="dxa"/>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32" w:type="dxa"/>
            <w:gridSpan w:val="3"/>
            <w:vAlign w:val="center"/>
          </w:tcPr>
          <w:p>
            <w:pPr>
              <w:spacing w:line="360" w:lineRule="auto"/>
              <w:jc w:val="center"/>
              <w:rPr>
                <w:color w:val="auto"/>
                <w:szCs w:val="21"/>
                <w:highlight w:val="none"/>
              </w:rPr>
            </w:pPr>
            <w:r>
              <w:rPr>
                <w:rFonts w:hint="eastAsia"/>
                <w:color w:val="auto"/>
                <w:szCs w:val="21"/>
                <w:highlight w:val="none"/>
              </w:rPr>
              <w:t>总得分=工程总承包实施方案（含资信部分）文件得分×</w:t>
            </w:r>
            <w:r>
              <w:rPr>
                <w:rFonts w:hint="eastAsia"/>
                <w:color w:val="auto"/>
                <w:szCs w:val="21"/>
                <w:highlight w:val="none"/>
                <w:lang w:val="en-US" w:eastAsia="zh-CN"/>
              </w:rPr>
              <w:t>4</w:t>
            </w:r>
            <w:r>
              <w:rPr>
                <w:rFonts w:hint="eastAsia"/>
                <w:color w:val="auto"/>
                <w:szCs w:val="21"/>
                <w:highlight w:val="none"/>
              </w:rPr>
              <w:t>0%+投标报价得分×</w:t>
            </w:r>
            <w:r>
              <w:rPr>
                <w:rFonts w:hint="eastAsia"/>
                <w:color w:val="auto"/>
                <w:szCs w:val="21"/>
                <w:highlight w:val="none"/>
                <w:lang w:val="en-US" w:eastAsia="zh-CN"/>
              </w:rPr>
              <w:t>6</w:t>
            </w:r>
            <w:r>
              <w:rPr>
                <w:rFonts w:hint="eastAsia"/>
                <w:color w:val="auto"/>
                <w:szCs w:val="21"/>
                <w:highlight w:val="none"/>
              </w:rPr>
              <w:t>0%</w:t>
            </w:r>
          </w:p>
        </w:tc>
        <w:tc>
          <w:tcPr>
            <w:tcW w:w="1984" w:type="dxa"/>
            <w:vAlign w:val="center"/>
          </w:tcPr>
          <w:p>
            <w:pPr>
              <w:spacing w:line="360" w:lineRule="auto"/>
              <w:jc w:val="center"/>
              <w:rPr>
                <w:color w:val="auto"/>
                <w:szCs w:val="21"/>
                <w:highlight w:val="none"/>
              </w:rPr>
            </w:pPr>
          </w:p>
        </w:tc>
        <w:tc>
          <w:tcPr>
            <w:tcW w:w="1701" w:type="dxa"/>
            <w:vAlign w:val="center"/>
          </w:tcPr>
          <w:p>
            <w:pPr>
              <w:spacing w:line="360" w:lineRule="auto"/>
              <w:jc w:val="center"/>
              <w:rPr>
                <w:color w:val="auto"/>
                <w:szCs w:val="21"/>
                <w:highlight w:val="none"/>
              </w:rPr>
            </w:pPr>
          </w:p>
        </w:tc>
        <w:tc>
          <w:tcPr>
            <w:tcW w:w="1589" w:type="dxa"/>
            <w:vAlign w:val="center"/>
          </w:tcPr>
          <w:p>
            <w:pPr>
              <w:spacing w:line="360" w:lineRule="auto"/>
              <w:jc w:val="center"/>
              <w:rPr>
                <w:color w:val="auto"/>
                <w:szCs w:val="21"/>
                <w:highlight w:val="none"/>
              </w:rPr>
            </w:pPr>
          </w:p>
        </w:tc>
        <w:tc>
          <w:tcPr>
            <w:tcW w:w="876" w:type="dxa"/>
            <w:vAlign w:val="center"/>
          </w:tcPr>
          <w:p>
            <w:pPr>
              <w:spacing w:line="360" w:lineRule="auto"/>
              <w:jc w:val="center"/>
              <w:rPr>
                <w:color w:val="auto"/>
                <w:szCs w:val="21"/>
                <w:highlight w:val="none"/>
              </w:rPr>
            </w:pPr>
          </w:p>
        </w:tc>
      </w:tr>
    </w:tbl>
    <w:p>
      <w:pPr>
        <w:spacing w:line="360" w:lineRule="auto"/>
        <w:rPr>
          <w:color w:val="auto"/>
          <w:szCs w:val="21"/>
          <w:highlight w:val="none"/>
        </w:rPr>
      </w:pPr>
      <w:r>
        <w:rPr>
          <w:rFonts w:hint="eastAsia"/>
          <w:color w:val="auto"/>
          <w:szCs w:val="21"/>
          <w:highlight w:val="none"/>
        </w:rPr>
        <w:t>注：精确到小数点后两位，第三位四舍五入。</w:t>
      </w:r>
    </w:p>
    <w:p>
      <w:pPr>
        <w:spacing w:line="360" w:lineRule="auto"/>
        <w:ind w:firstLine="405"/>
        <w:rPr>
          <w:color w:val="auto"/>
          <w:szCs w:val="21"/>
          <w:highlight w:val="none"/>
        </w:rPr>
      </w:pPr>
    </w:p>
    <w:p>
      <w:pPr>
        <w:rPr>
          <w:rFonts w:ascii="宋体" w:hAnsi="宋体"/>
          <w:color w:val="auto"/>
          <w:szCs w:val="21"/>
          <w:highlight w:val="none"/>
        </w:rPr>
        <w:sectPr>
          <w:pgSz w:w="16838" w:h="11906" w:orient="landscape"/>
          <w:pgMar w:top="1134" w:right="1440" w:bottom="1134" w:left="1440" w:header="851" w:footer="992" w:gutter="0"/>
          <w:cols w:space="720" w:num="1"/>
          <w:docGrid w:type="lines" w:linePitch="312" w:charSpace="0"/>
        </w:sectPr>
      </w:pPr>
      <w:r>
        <w:rPr>
          <w:rFonts w:hint="eastAsia" w:hAnsi="宋体"/>
          <w:color w:val="auto"/>
          <w:szCs w:val="21"/>
          <w:highlight w:val="none"/>
        </w:rPr>
        <w:t>评委签名：                                           日期：</w:t>
      </w:r>
    </w:p>
    <w:p>
      <w:pPr>
        <w:rPr>
          <w:color w:val="auto"/>
          <w:highlight w:val="none"/>
        </w:rPr>
      </w:pPr>
    </w:p>
    <w:p>
      <w:pPr>
        <w:rPr>
          <w:color w:val="auto"/>
          <w:highlight w:val="none"/>
        </w:rPr>
      </w:pPr>
    </w:p>
    <w:p>
      <w:pPr>
        <w:pStyle w:val="3"/>
        <w:jc w:val="center"/>
        <w:rPr>
          <w:color w:val="auto"/>
          <w:highlight w:val="none"/>
        </w:rPr>
      </w:pPr>
      <w:bookmarkStart w:id="1012" w:name="_Toc4736"/>
      <w:bookmarkStart w:id="1013" w:name="_Toc247514033"/>
      <w:bookmarkStart w:id="1014" w:name="_Toc152042387"/>
      <w:bookmarkStart w:id="1015" w:name="_Toc22634"/>
      <w:bookmarkStart w:id="1016" w:name="_Toc494371582"/>
      <w:bookmarkStart w:id="1017" w:name="_Toc247527634"/>
      <w:bookmarkStart w:id="1018" w:name="_Toc2984"/>
      <w:bookmarkStart w:id="1019" w:name="_Toc300835030"/>
      <w:bookmarkStart w:id="1020" w:name="_Toc152045609"/>
      <w:bookmarkStart w:id="1021" w:name="_Toc16000"/>
      <w:bookmarkStart w:id="1022" w:name="_Toc144974577"/>
      <w:bookmarkStart w:id="1023" w:name="_Toc17385"/>
      <w:bookmarkStart w:id="1024" w:name="_Toc29492"/>
      <w:bookmarkStart w:id="1025" w:name="_Toc13994"/>
      <w:bookmarkStart w:id="1026" w:name="_Toc2492"/>
      <w:bookmarkStart w:id="1027" w:name="_Toc31763"/>
      <w:bookmarkStart w:id="1028" w:name="_Toc29140"/>
      <w:bookmarkStart w:id="1029" w:name="_Toc13990"/>
      <w:r>
        <w:rPr>
          <w:rFonts w:hint="eastAsia"/>
          <w:color w:val="auto"/>
          <w:highlight w:val="none"/>
        </w:rPr>
        <w:t>第四章合同条款及格式</w:t>
      </w:r>
      <w:bookmarkEnd w:id="1012"/>
      <w:bookmarkEnd w:id="1013"/>
      <w:bookmarkEnd w:id="1014"/>
      <w:bookmarkEnd w:id="1015"/>
      <w:bookmarkEnd w:id="1016"/>
      <w:bookmarkEnd w:id="1017"/>
      <w:bookmarkEnd w:id="1018"/>
      <w:bookmarkEnd w:id="1019"/>
      <w:bookmarkEnd w:id="1020"/>
      <w:bookmarkEnd w:id="1021"/>
      <w:bookmarkEnd w:id="1022"/>
      <w:bookmarkEnd w:id="1023"/>
      <w:bookmarkStart w:id="1030" w:name="_Toc144974578"/>
      <w:bookmarkStart w:id="1031" w:name="_Toc247514034"/>
      <w:bookmarkStart w:id="1032" w:name="_Toc152042388"/>
      <w:bookmarkStart w:id="1033" w:name="_Toc152045610"/>
      <w:bookmarkStart w:id="1034" w:name="_Toc184635097"/>
      <w:bookmarkStart w:id="1035" w:name="_Toc247527635"/>
      <w:r>
        <w:rPr>
          <w:rFonts w:hint="eastAsia"/>
          <w:color w:val="auto"/>
          <w:highlight w:val="none"/>
        </w:rPr>
        <w:t>（另册）</w:t>
      </w:r>
      <w:bookmarkEnd w:id="1024"/>
      <w:bookmarkEnd w:id="1025"/>
      <w:bookmarkEnd w:id="1026"/>
      <w:bookmarkEnd w:id="1027"/>
      <w:bookmarkEnd w:id="1028"/>
      <w:bookmarkEnd w:id="1029"/>
    </w:p>
    <w:p>
      <w:pPr>
        <w:rPr>
          <w:color w:val="auto"/>
          <w:highlight w:val="none"/>
        </w:rPr>
      </w:pPr>
      <w:r>
        <w:rPr>
          <w:color w:val="auto"/>
          <w:highlight w:val="none"/>
        </w:rPr>
        <w:br w:type="page"/>
      </w:r>
    </w:p>
    <w:p>
      <w:pPr>
        <w:rPr>
          <w:color w:val="auto"/>
          <w:highlight w:val="none"/>
        </w:rPr>
      </w:pPr>
    </w:p>
    <w:bookmarkEnd w:id="1030"/>
    <w:bookmarkEnd w:id="1031"/>
    <w:bookmarkEnd w:id="1032"/>
    <w:bookmarkEnd w:id="1033"/>
    <w:bookmarkEnd w:id="1034"/>
    <w:bookmarkEnd w:id="1035"/>
    <w:p>
      <w:pPr>
        <w:rPr>
          <w:color w:val="auto"/>
          <w:highlight w:val="none"/>
        </w:rPr>
      </w:pPr>
    </w:p>
    <w:p>
      <w:pPr>
        <w:rPr>
          <w:color w:val="auto"/>
          <w:highlight w:val="none"/>
        </w:rPr>
      </w:pPr>
      <w:bookmarkStart w:id="1036" w:name="_Toc144974834"/>
      <w:bookmarkEnd w:id="1036"/>
      <w:bookmarkStart w:id="1037" w:name="_Toc152042554"/>
      <w:bookmarkEnd w:id="1037"/>
      <w:bookmarkStart w:id="1038" w:name="_Toc247527803"/>
      <w:bookmarkEnd w:id="1038"/>
      <w:bookmarkStart w:id="1039" w:name="_Toc152045772"/>
      <w:bookmarkEnd w:id="1039"/>
      <w:bookmarkStart w:id="1040" w:name="_Toc247514202"/>
      <w:bookmarkEnd w:id="1040"/>
    </w:p>
    <w:p>
      <w:pPr>
        <w:spacing w:line="400" w:lineRule="exact"/>
        <w:rPr>
          <w:color w:val="auto"/>
          <w:highlight w:val="none"/>
        </w:rPr>
      </w:pPr>
    </w:p>
    <w:p>
      <w:pPr>
        <w:pStyle w:val="3"/>
        <w:rPr>
          <w:color w:val="auto"/>
          <w:highlight w:val="none"/>
        </w:rPr>
      </w:pPr>
      <w:bookmarkStart w:id="1041" w:name="_Toc300835204"/>
      <w:bookmarkStart w:id="1042" w:name="_Toc247527819"/>
      <w:bookmarkStart w:id="1043" w:name="_Toc247514232"/>
      <w:bookmarkStart w:id="1044" w:name="_Toc494371583"/>
      <w:bookmarkStart w:id="1045" w:name="_Toc2433"/>
      <w:bookmarkStart w:id="1046" w:name="_Toc22"/>
      <w:bookmarkStart w:id="1047" w:name="_Toc6632"/>
      <w:bookmarkStart w:id="1048" w:name="_Toc25726"/>
      <w:bookmarkStart w:id="1049" w:name="_Toc2710"/>
      <w:bookmarkStart w:id="1050" w:name="_Toc28286"/>
      <w:bookmarkStart w:id="1051" w:name="_Toc28468"/>
      <w:bookmarkStart w:id="1052" w:name="_Toc30942"/>
      <w:bookmarkStart w:id="1053" w:name="_Toc7709"/>
      <w:bookmarkStart w:id="1054" w:name="_Toc13932"/>
    </w:p>
    <w:p>
      <w:pPr>
        <w:pStyle w:val="3"/>
        <w:rPr>
          <w:color w:val="auto"/>
          <w:highlight w:val="none"/>
        </w:rPr>
      </w:pPr>
    </w:p>
    <w:p>
      <w:pPr>
        <w:pStyle w:val="3"/>
        <w:rPr>
          <w:color w:val="auto"/>
          <w:highlight w:val="none"/>
        </w:rPr>
      </w:pPr>
    </w:p>
    <w:p>
      <w:pPr>
        <w:pStyle w:val="3"/>
        <w:jc w:val="center"/>
        <w:rPr>
          <w:color w:val="auto"/>
          <w:sz w:val="24"/>
          <w:highlight w:val="none"/>
        </w:rPr>
      </w:pPr>
      <w:bookmarkStart w:id="1055" w:name="_Toc17655"/>
      <w:r>
        <w:rPr>
          <w:rFonts w:hint="eastAsia"/>
          <w:color w:val="auto"/>
          <w:highlight w:val="none"/>
        </w:rPr>
        <w:t>第二卷</w:t>
      </w:r>
      <w:bookmarkEnd w:id="1041"/>
      <w:bookmarkEnd w:id="1042"/>
      <w:bookmarkEnd w:id="1043"/>
      <w:r>
        <w:rPr>
          <w:color w:val="auto"/>
          <w:highlight w:val="none"/>
        </w:rPr>
        <w:br w:type="page"/>
      </w:r>
      <w:bookmarkEnd w:id="1044"/>
      <w:bookmarkEnd w:id="1045"/>
      <w:bookmarkEnd w:id="1046"/>
      <w:bookmarkEnd w:id="1047"/>
      <w:bookmarkEnd w:id="1048"/>
      <w:bookmarkEnd w:id="1049"/>
      <w:bookmarkEnd w:id="1050"/>
      <w:bookmarkEnd w:id="1051"/>
      <w:bookmarkEnd w:id="1052"/>
      <w:bookmarkEnd w:id="1053"/>
      <w:bookmarkEnd w:id="1054"/>
      <w:bookmarkEnd w:id="1055"/>
    </w:p>
    <w:p>
      <w:pPr>
        <w:pStyle w:val="21"/>
        <w:spacing w:line="360" w:lineRule="auto"/>
        <w:rPr>
          <w:color w:val="auto"/>
          <w:sz w:val="24"/>
          <w:highlight w:val="none"/>
        </w:rPr>
      </w:pPr>
    </w:p>
    <w:p>
      <w:pPr>
        <w:pStyle w:val="3"/>
        <w:numPr>
          <w:ilvl w:val="0"/>
          <w:numId w:val="3"/>
        </w:numPr>
        <w:jc w:val="center"/>
        <w:rPr>
          <w:color w:val="auto"/>
          <w:highlight w:val="none"/>
        </w:rPr>
      </w:pPr>
      <w:bookmarkStart w:id="1056" w:name="_Toc300835205"/>
      <w:bookmarkStart w:id="1057" w:name="_Toc11303"/>
      <w:bookmarkStart w:id="1058" w:name="_Toc8482"/>
      <w:bookmarkStart w:id="1059" w:name="_Toc18278"/>
      <w:bookmarkStart w:id="1060" w:name="_Toc15946"/>
      <w:bookmarkStart w:id="1061" w:name="_Toc21618"/>
      <w:bookmarkStart w:id="1062" w:name="_Toc18835"/>
      <w:bookmarkStart w:id="1063" w:name="_Toc300835206"/>
      <w:bookmarkStart w:id="1064" w:name="_Toc21889"/>
      <w:bookmarkStart w:id="1065" w:name="_Toc494371585"/>
      <w:bookmarkStart w:id="1066" w:name="_Toc32466"/>
      <w:bookmarkStart w:id="1067" w:name="_Toc29491"/>
      <w:bookmarkStart w:id="1068" w:name="_Toc32359"/>
      <w:bookmarkStart w:id="1069" w:name="_Toc25249"/>
      <w:r>
        <w:rPr>
          <w:rFonts w:hint="eastAsia"/>
          <w:color w:val="auto"/>
          <w:highlight w:val="none"/>
        </w:rPr>
        <w:t>发包人要求</w:t>
      </w:r>
      <w:bookmarkEnd w:id="1056"/>
      <w:r>
        <w:rPr>
          <w:rFonts w:hint="eastAsia"/>
          <w:color w:val="auto"/>
          <w:highlight w:val="none"/>
        </w:rPr>
        <w:t>（另册）</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pPr>
        <w:spacing w:line="360" w:lineRule="auto"/>
        <w:rPr>
          <w:color w:val="auto"/>
          <w:highlight w:val="none"/>
        </w:rPr>
      </w:pPr>
      <w:r>
        <w:rPr>
          <w:color w:val="auto"/>
          <w:highlight w:val="none"/>
        </w:rPr>
        <w:br w:type="page"/>
      </w:r>
    </w:p>
    <w:p>
      <w:pPr>
        <w:spacing w:line="360" w:lineRule="auto"/>
        <w:rPr>
          <w:color w:val="auto"/>
          <w:highlight w:val="none"/>
        </w:rPr>
      </w:pPr>
    </w:p>
    <w:p>
      <w:pPr>
        <w:pStyle w:val="3"/>
        <w:numPr>
          <w:ilvl w:val="0"/>
          <w:numId w:val="3"/>
        </w:numPr>
        <w:jc w:val="center"/>
        <w:rPr>
          <w:color w:val="auto"/>
          <w:highlight w:val="none"/>
        </w:rPr>
      </w:pPr>
      <w:bookmarkStart w:id="1070" w:name="_Toc23074"/>
      <w:r>
        <w:rPr>
          <w:rFonts w:hint="eastAsia"/>
          <w:color w:val="auto"/>
          <w:highlight w:val="none"/>
        </w:rPr>
        <w:t>发包人提供的资料（另册）</w:t>
      </w:r>
      <w:bookmarkEnd w:id="1070"/>
    </w:p>
    <w:p>
      <w:pPr>
        <w:spacing w:line="400" w:lineRule="exact"/>
        <w:rPr>
          <w:color w:val="auto"/>
          <w:highlight w:val="none"/>
        </w:rPr>
      </w:pPr>
    </w:p>
    <w:p>
      <w:pPr>
        <w:spacing w:line="400" w:lineRule="exact"/>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spacing w:line="400" w:lineRule="exact"/>
        <w:rPr>
          <w:color w:val="auto"/>
          <w:highlight w:val="none"/>
        </w:rPr>
      </w:pPr>
    </w:p>
    <w:p>
      <w:pPr>
        <w:pStyle w:val="3"/>
        <w:jc w:val="center"/>
        <w:rPr>
          <w:color w:val="auto"/>
          <w:highlight w:val="none"/>
        </w:rPr>
      </w:pPr>
      <w:bookmarkStart w:id="1071" w:name="_Toc494371586"/>
      <w:bookmarkStart w:id="1072" w:name="_Toc7732"/>
      <w:bookmarkStart w:id="1073" w:name="_Toc247514244"/>
      <w:bookmarkStart w:id="1074" w:name="_Toc20209"/>
      <w:bookmarkStart w:id="1075" w:name="_Toc25694"/>
      <w:bookmarkStart w:id="1076" w:name="_Toc1451"/>
      <w:bookmarkStart w:id="1077" w:name="_Toc1901"/>
      <w:bookmarkStart w:id="1078" w:name="_Toc15004"/>
      <w:bookmarkStart w:id="1079" w:name="_Toc5743"/>
      <w:bookmarkStart w:id="1080" w:name="_Toc247527825"/>
      <w:bookmarkStart w:id="1081" w:name="_Toc300835207"/>
      <w:bookmarkStart w:id="1082" w:name="_Toc16430"/>
      <w:bookmarkStart w:id="1083" w:name="_Toc24911"/>
      <w:bookmarkStart w:id="1084" w:name="_Toc27414"/>
      <w:bookmarkStart w:id="1085" w:name="_Toc144974855"/>
      <w:bookmarkStart w:id="1086" w:name="_Toc152042575"/>
      <w:bookmarkStart w:id="1087" w:name="_Toc152045786"/>
    </w:p>
    <w:p>
      <w:pPr>
        <w:pStyle w:val="3"/>
        <w:jc w:val="center"/>
        <w:rPr>
          <w:color w:val="auto"/>
          <w:highlight w:val="none"/>
        </w:rPr>
      </w:pPr>
    </w:p>
    <w:p>
      <w:pPr>
        <w:pStyle w:val="3"/>
        <w:jc w:val="center"/>
        <w:rPr>
          <w:color w:val="auto"/>
          <w:highlight w:val="none"/>
        </w:rPr>
      </w:pPr>
    </w:p>
    <w:p>
      <w:pPr>
        <w:pStyle w:val="3"/>
        <w:jc w:val="center"/>
        <w:rPr>
          <w:color w:val="auto"/>
          <w:highlight w:val="none"/>
        </w:rPr>
      </w:pPr>
    </w:p>
    <w:p>
      <w:pPr>
        <w:pStyle w:val="3"/>
        <w:jc w:val="center"/>
        <w:rPr>
          <w:color w:val="auto"/>
          <w:highlight w:val="none"/>
        </w:rPr>
      </w:pPr>
    </w:p>
    <w:p>
      <w:pPr>
        <w:pStyle w:val="3"/>
        <w:jc w:val="center"/>
        <w:rPr>
          <w:color w:val="auto"/>
          <w:highlight w:val="none"/>
        </w:rPr>
      </w:pPr>
      <w:bookmarkStart w:id="1088" w:name="_Toc11589"/>
      <w:r>
        <w:rPr>
          <w:rFonts w:hint="eastAsia"/>
          <w:color w:val="auto"/>
          <w:highlight w:val="none"/>
        </w:rPr>
        <w:t>第三卷</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8"/>
    </w:p>
    <w:p>
      <w:pPr>
        <w:spacing w:line="400" w:lineRule="exact"/>
        <w:jc w:val="center"/>
        <w:rPr>
          <w:color w:val="auto"/>
          <w:highlight w:val="none"/>
        </w:rPr>
      </w:pPr>
      <w:r>
        <w:rPr>
          <w:rFonts w:ascii="黑体" w:hAnsi="黑体" w:eastAsia="黑体"/>
          <w:b/>
          <w:bCs/>
          <w:color w:val="auto"/>
          <w:sz w:val="32"/>
          <w:highlight w:val="none"/>
        </w:rPr>
        <w:br w:type="page"/>
      </w:r>
    </w:p>
    <w:p>
      <w:pPr>
        <w:spacing w:line="400" w:lineRule="exact"/>
        <w:jc w:val="center"/>
        <w:rPr>
          <w:color w:val="auto"/>
          <w:highlight w:val="none"/>
        </w:rPr>
      </w:pPr>
    </w:p>
    <w:p>
      <w:pPr>
        <w:pStyle w:val="3"/>
        <w:jc w:val="center"/>
        <w:rPr>
          <w:color w:val="auto"/>
          <w:highlight w:val="none"/>
        </w:rPr>
      </w:pPr>
      <w:bookmarkStart w:id="1089" w:name="_Toc15238"/>
      <w:bookmarkStart w:id="1090" w:name="_Toc8886"/>
      <w:bookmarkStart w:id="1091" w:name="_Toc12601"/>
      <w:bookmarkStart w:id="1092" w:name="_Toc13416"/>
      <w:bookmarkStart w:id="1093" w:name="_Toc17793"/>
      <w:bookmarkStart w:id="1094" w:name="_Toc300835208"/>
      <w:bookmarkStart w:id="1095" w:name="_Toc24639"/>
      <w:bookmarkStart w:id="1096" w:name="_Toc247527826"/>
      <w:bookmarkStart w:id="1097" w:name="_Toc26681"/>
      <w:bookmarkStart w:id="1098" w:name="_Toc5024"/>
      <w:bookmarkStart w:id="1099" w:name="_Toc10445"/>
      <w:bookmarkStart w:id="1100" w:name="_Toc18331"/>
      <w:bookmarkStart w:id="1101" w:name="_Toc2828"/>
      <w:bookmarkStart w:id="1102" w:name="_Toc247514245"/>
      <w:bookmarkStart w:id="1103" w:name="_Toc494371587"/>
      <w:r>
        <w:rPr>
          <w:rFonts w:hint="eastAsia"/>
          <w:color w:val="auto"/>
          <w:highlight w:val="none"/>
        </w:rPr>
        <w:t>第七章投标文件格式</w:t>
      </w:r>
      <w:bookmarkEnd w:id="1085"/>
      <w:bookmarkEnd w:id="1086"/>
      <w:bookmarkEnd w:id="1087"/>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pPr>
        <w:spacing w:line="400" w:lineRule="exact"/>
        <w:rPr>
          <w:color w:val="auto"/>
          <w:highlight w:val="none"/>
        </w:rPr>
      </w:pPr>
    </w:p>
    <w:p>
      <w:pPr>
        <w:widowControl/>
        <w:jc w:val="left"/>
        <w:rPr>
          <w:b/>
          <w:color w:val="auto"/>
          <w:sz w:val="24"/>
          <w:highlight w:val="none"/>
        </w:rPr>
      </w:pPr>
      <w:r>
        <w:rPr>
          <w:color w:val="auto"/>
          <w:highlight w:val="none"/>
        </w:rPr>
        <w:br w:type="page"/>
      </w:r>
      <w:bookmarkStart w:id="1104" w:name="_Toc271821942"/>
      <w:bookmarkStart w:id="1105" w:name="_Toc300835233"/>
      <w:bookmarkStart w:id="1106" w:name="_Toc14611"/>
      <w:bookmarkStart w:id="1107" w:name="_Toc8323"/>
      <w:bookmarkStart w:id="1108" w:name="_Toc8355"/>
      <w:bookmarkStart w:id="1109" w:name="_Toc194"/>
      <w:bookmarkStart w:id="1110" w:name="_Toc494371589"/>
      <w:bookmarkStart w:id="1111" w:name="_Toc2218"/>
      <w:bookmarkStart w:id="1112" w:name="_Toc10741"/>
    </w:p>
    <w:bookmarkEnd w:id="1104"/>
    <w:bookmarkEnd w:id="1105"/>
    <w:bookmarkEnd w:id="1106"/>
    <w:bookmarkEnd w:id="1107"/>
    <w:bookmarkEnd w:id="1108"/>
    <w:bookmarkEnd w:id="1109"/>
    <w:bookmarkEnd w:id="1110"/>
    <w:bookmarkEnd w:id="1111"/>
    <w:bookmarkEnd w:id="1112"/>
    <w:p>
      <w:pPr>
        <w:spacing w:line="360" w:lineRule="auto"/>
        <w:jc w:val="center"/>
        <w:rPr>
          <w:rFonts w:ascii="黑体" w:hAnsi="黑体" w:eastAsia="黑体" w:cs="黑体"/>
          <w:b/>
          <w:color w:val="auto"/>
          <w:sz w:val="30"/>
          <w:szCs w:val="30"/>
          <w:highlight w:val="none"/>
        </w:rPr>
      </w:pPr>
    </w:p>
    <w:p>
      <w:pPr>
        <w:spacing w:line="360" w:lineRule="auto"/>
        <w:jc w:val="center"/>
        <w:rPr>
          <w:rFonts w:ascii="黑体" w:hAnsi="黑体" w:eastAsia="黑体" w:cs="黑体"/>
          <w:b/>
          <w:color w:val="auto"/>
          <w:sz w:val="30"/>
          <w:szCs w:val="30"/>
          <w:highlight w:val="none"/>
        </w:rPr>
      </w:pPr>
      <w:r>
        <w:rPr>
          <w:rFonts w:hint="eastAsia" w:ascii="黑体" w:hAnsi="黑体" w:eastAsia="黑体" w:cs="黑体"/>
          <w:b/>
          <w:color w:val="auto"/>
          <w:sz w:val="30"/>
          <w:szCs w:val="30"/>
          <w:highlight w:val="none"/>
        </w:rPr>
        <w:t>第一部分  资格审查文件</w:t>
      </w:r>
    </w:p>
    <w:p>
      <w:pPr>
        <w:spacing w:line="360" w:lineRule="auto"/>
        <w:jc w:val="left"/>
        <w:rPr>
          <w:bCs/>
          <w:color w:val="auto"/>
          <w:szCs w:val="21"/>
          <w:highlight w:val="none"/>
        </w:rPr>
      </w:pPr>
      <w:r>
        <w:rPr>
          <w:rFonts w:hint="eastAsia"/>
          <w:b/>
          <w:color w:val="auto"/>
          <w:sz w:val="30"/>
          <w:szCs w:val="30"/>
          <w:highlight w:val="none"/>
        </w:rPr>
        <w:br w:type="page"/>
      </w:r>
      <w:r>
        <w:rPr>
          <w:rFonts w:hint="eastAsia"/>
          <w:bCs/>
          <w:color w:val="auto"/>
          <w:szCs w:val="21"/>
          <w:highlight w:val="none"/>
        </w:rPr>
        <w:t>格式参考：</w:t>
      </w:r>
    </w:p>
    <w:p>
      <w:pPr>
        <w:spacing w:line="360" w:lineRule="auto"/>
        <w:jc w:val="right"/>
        <w:rPr>
          <w:rFonts w:ascii="黑体" w:hAnsi="黑体" w:eastAsia="黑体" w:cs="黑体"/>
          <w:b/>
          <w:color w:val="auto"/>
          <w:sz w:val="30"/>
          <w:szCs w:val="30"/>
          <w:highlight w:val="none"/>
        </w:rPr>
      </w:pPr>
      <w:r>
        <w:rPr>
          <w:rFonts w:hint="eastAsia" w:ascii="黑体" w:hAnsi="黑体" w:eastAsia="黑体" w:cs="黑体"/>
          <w:b/>
          <w:color w:val="auto"/>
          <w:sz w:val="32"/>
          <w:szCs w:val="32"/>
          <w:highlight w:val="none"/>
        </w:rPr>
        <w:t>正/副本</w:t>
      </w:r>
    </w:p>
    <w:p>
      <w:pPr>
        <w:spacing w:line="360" w:lineRule="auto"/>
        <w:rPr>
          <w:b/>
          <w:color w:val="auto"/>
          <w:sz w:val="30"/>
          <w:szCs w:val="30"/>
          <w:highlight w:val="none"/>
        </w:rPr>
      </w:pPr>
    </w:p>
    <w:p>
      <w:pPr>
        <w:spacing w:line="360" w:lineRule="auto"/>
        <w:rPr>
          <w:bCs/>
          <w:color w:val="auto"/>
          <w:szCs w:val="21"/>
          <w:highlight w:val="none"/>
        </w:rPr>
      </w:pPr>
    </w:p>
    <w:p>
      <w:pPr>
        <w:pStyle w:val="33"/>
        <w:spacing w:line="360" w:lineRule="auto"/>
        <w:jc w:val="center"/>
        <w:rPr>
          <w:rFonts w:hint="eastAsia" w:ascii="黑体" w:hAnsi="黑体" w:eastAsia="黑体" w:cs="黑体"/>
          <w:b/>
          <w:color w:val="auto"/>
          <w:sz w:val="44"/>
          <w:szCs w:val="44"/>
          <w:highlight w:val="none"/>
          <w:lang w:eastAsia="zh-CN"/>
        </w:rPr>
      </w:pPr>
      <w:r>
        <w:rPr>
          <w:rFonts w:hint="eastAsia" w:ascii="黑体" w:hAnsi="黑体" w:eastAsia="黑体" w:cs="黑体"/>
          <w:b/>
          <w:color w:val="auto"/>
          <w:sz w:val="44"/>
          <w:szCs w:val="44"/>
          <w:highlight w:val="none"/>
          <w:lang w:eastAsia="zh-CN"/>
        </w:rPr>
        <w:t>2022NJY-9地块首期基坑支护及土方开挖工程设计施工总承包</w:t>
      </w:r>
    </w:p>
    <w:p>
      <w:pPr>
        <w:pStyle w:val="33"/>
        <w:spacing w:line="360" w:lineRule="auto"/>
        <w:jc w:val="center"/>
        <w:rPr>
          <w:rFonts w:ascii="黑体" w:hAnsi="黑体" w:eastAsia="黑体" w:cs="黑体"/>
          <w:b/>
          <w:color w:val="auto"/>
          <w:sz w:val="36"/>
          <w:szCs w:val="36"/>
          <w:highlight w:val="none"/>
        </w:rPr>
      </w:pPr>
    </w:p>
    <w:p>
      <w:pPr>
        <w:pStyle w:val="33"/>
        <w:spacing w:line="360" w:lineRule="auto"/>
        <w:jc w:val="center"/>
        <w:rPr>
          <w:rFonts w:ascii="黑体" w:hAnsi="黑体" w:eastAsia="黑体" w:cs="黑体"/>
          <w:b/>
          <w:color w:val="auto"/>
          <w:sz w:val="36"/>
          <w:szCs w:val="36"/>
          <w:highlight w:val="none"/>
        </w:rPr>
      </w:pPr>
    </w:p>
    <w:p>
      <w:pPr>
        <w:pStyle w:val="33"/>
        <w:spacing w:line="360" w:lineRule="auto"/>
        <w:jc w:val="center"/>
        <w:rPr>
          <w:rFonts w:ascii="黑体" w:hAnsi="黑体" w:eastAsia="黑体" w:cs="黑体"/>
          <w:b/>
          <w:color w:val="auto"/>
          <w:sz w:val="48"/>
          <w:szCs w:val="48"/>
          <w:highlight w:val="none"/>
          <w:u w:val="none"/>
        </w:rPr>
      </w:pPr>
      <w:r>
        <w:rPr>
          <w:rFonts w:hint="eastAsia" w:ascii="黑体" w:hAnsi="黑体" w:eastAsia="黑体" w:cs="黑体"/>
          <w:b/>
          <w:color w:val="auto"/>
          <w:sz w:val="48"/>
          <w:szCs w:val="48"/>
          <w:highlight w:val="none"/>
          <w:u w:val="none"/>
        </w:rPr>
        <w:t>投标文件</w:t>
      </w:r>
    </w:p>
    <w:p>
      <w:pPr>
        <w:pStyle w:val="33"/>
        <w:spacing w:line="360" w:lineRule="auto"/>
        <w:jc w:val="center"/>
        <w:rPr>
          <w:rFonts w:ascii="黑体" w:hAnsi="黑体" w:eastAsia="黑体" w:cs="黑体"/>
          <w:b/>
          <w:color w:val="auto"/>
          <w:sz w:val="36"/>
          <w:szCs w:val="36"/>
          <w:highlight w:val="none"/>
        </w:rPr>
      </w:pPr>
      <w:r>
        <w:rPr>
          <w:rFonts w:hint="eastAsia" w:ascii="黑体" w:hAnsi="黑体" w:eastAsia="黑体" w:cs="黑体"/>
          <w:b/>
          <w:color w:val="auto"/>
          <w:sz w:val="36"/>
          <w:szCs w:val="36"/>
          <w:highlight w:val="none"/>
        </w:rPr>
        <w:t>（资格审查文件）</w:t>
      </w: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ind w:firstLine="389" w:firstLineChars="139"/>
        <w:jc w:val="left"/>
        <w:rPr>
          <w:rFonts w:ascii="华文楷体" w:hAnsi="华文楷体" w:eastAsia="华文楷体" w:cs="华文楷体"/>
          <w:color w:val="auto"/>
          <w:sz w:val="28"/>
          <w:szCs w:val="28"/>
          <w:highlight w:val="none"/>
          <w:u w:val="single"/>
        </w:rPr>
      </w:pPr>
      <w:r>
        <w:rPr>
          <w:rFonts w:hint="eastAsia" w:ascii="华文楷体" w:hAnsi="华文楷体" w:eastAsia="华文楷体" w:cs="华文楷体"/>
          <w:color w:val="auto"/>
          <w:sz w:val="28"/>
          <w:szCs w:val="28"/>
          <w:highlight w:val="none"/>
        </w:rPr>
        <w:t>投标单位名称（盖章）：</w:t>
      </w:r>
    </w:p>
    <w:p>
      <w:pPr>
        <w:spacing w:line="360" w:lineRule="auto"/>
        <w:ind w:firstLine="389" w:firstLineChars="139"/>
        <w:jc w:val="left"/>
        <w:rPr>
          <w:rFonts w:ascii="华文楷体" w:hAnsi="华文楷体" w:eastAsia="华文楷体" w:cs="华文楷体"/>
          <w:color w:val="auto"/>
          <w:sz w:val="28"/>
          <w:szCs w:val="28"/>
          <w:highlight w:val="none"/>
          <w:u w:val="single"/>
        </w:rPr>
      </w:pPr>
      <w:r>
        <w:rPr>
          <w:rFonts w:hint="eastAsia" w:ascii="华文楷体" w:hAnsi="华文楷体" w:eastAsia="华文楷体" w:cs="华文楷体"/>
          <w:color w:val="auto"/>
          <w:sz w:val="28"/>
          <w:szCs w:val="28"/>
          <w:highlight w:val="none"/>
        </w:rPr>
        <w:t>法定代表人或其委托代理人（签字或盖章）：</w:t>
      </w:r>
      <w:r>
        <w:rPr>
          <w:rFonts w:hint="eastAsia" w:ascii="华文楷体" w:hAnsi="华文楷体" w:eastAsia="华文楷体" w:cs="华文楷体"/>
          <w:color w:val="auto"/>
          <w:sz w:val="28"/>
          <w:szCs w:val="28"/>
          <w:highlight w:val="none"/>
          <w:u w:val="single"/>
        </w:rPr>
        <w:tab/>
      </w:r>
    </w:p>
    <w:p>
      <w:pPr>
        <w:spacing w:line="360" w:lineRule="auto"/>
        <w:ind w:firstLine="389" w:firstLineChars="139"/>
        <w:jc w:val="left"/>
        <w:rPr>
          <w:rFonts w:ascii="华文楷体" w:hAnsi="华文楷体" w:eastAsia="华文楷体" w:cs="华文楷体"/>
          <w:bCs/>
          <w:color w:val="auto"/>
          <w:sz w:val="28"/>
          <w:szCs w:val="28"/>
          <w:highlight w:val="none"/>
        </w:rPr>
      </w:pPr>
      <w:r>
        <w:rPr>
          <w:rFonts w:hint="eastAsia" w:ascii="华文楷体" w:hAnsi="华文楷体" w:eastAsia="华文楷体" w:cs="华文楷体"/>
          <w:color w:val="auto"/>
          <w:sz w:val="28"/>
          <w:szCs w:val="28"/>
          <w:highlight w:val="none"/>
        </w:rPr>
        <w:t>投标日期：   年   月   日</w:t>
      </w:r>
    </w:p>
    <w:p>
      <w:pPr>
        <w:spacing w:line="360" w:lineRule="auto"/>
        <w:jc w:val="left"/>
        <w:rPr>
          <w:bCs/>
          <w:color w:val="auto"/>
          <w:szCs w:val="21"/>
          <w:highlight w:val="none"/>
        </w:rPr>
      </w:pPr>
    </w:p>
    <w:p>
      <w:pPr>
        <w:spacing w:line="360" w:lineRule="auto"/>
        <w:jc w:val="left"/>
        <w:rPr>
          <w:bCs/>
          <w:color w:val="auto"/>
          <w:szCs w:val="21"/>
          <w:highlight w:val="none"/>
        </w:rPr>
      </w:pPr>
      <w:r>
        <w:rPr>
          <w:rFonts w:hint="eastAsia"/>
          <w:bCs/>
          <w:color w:val="auto"/>
          <w:szCs w:val="21"/>
          <w:highlight w:val="none"/>
        </w:rPr>
        <w:br w:type="page"/>
      </w:r>
    </w:p>
    <w:p>
      <w:pPr>
        <w:spacing w:line="360" w:lineRule="auto"/>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目 录</w:t>
      </w:r>
    </w:p>
    <w:p>
      <w:pPr>
        <w:numPr>
          <w:ilvl w:val="0"/>
          <w:numId w:val="4"/>
        </w:numPr>
        <w:spacing w:line="360" w:lineRule="auto"/>
        <w:jc w:val="left"/>
        <w:rPr>
          <w:bCs/>
          <w:color w:val="auto"/>
          <w:szCs w:val="21"/>
          <w:highlight w:val="none"/>
        </w:rPr>
      </w:pPr>
      <w:r>
        <w:rPr>
          <w:rFonts w:hint="eastAsia"/>
          <w:bCs/>
          <w:color w:val="auto"/>
          <w:szCs w:val="21"/>
          <w:highlight w:val="none"/>
        </w:rPr>
        <w:t>投标申请公函</w:t>
      </w:r>
    </w:p>
    <w:p>
      <w:pPr>
        <w:numPr>
          <w:ilvl w:val="0"/>
          <w:numId w:val="4"/>
        </w:numPr>
        <w:spacing w:line="360" w:lineRule="auto"/>
        <w:jc w:val="left"/>
        <w:rPr>
          <w:bCs/>
          <w:color w:val="auto"/>
          <w:szCs w:val="21"/>
          <w:highlight w:val="none"/>
        </w:rPr>
      </w:pPr>
      <w:r>
        <w:rPr>
          <w:rFonts w:hint="eastAsia"/>
          <w:bCs/>
          <w:color w:val="auto"/>
          <w:szCs w:val="21"/>
          <w:highlight w:val="none"/>
          <w:lang w:val="zh-CN"/>
        </w:rPr>
        <w:t>法定代表人证明书</w:t>
      </w:r>
      <w:r>
        <w:rPr>
          <w:rFonts w:hint="eastAsia"/>
          <w:bCs/>
          <w:color w:val="auto"/>
          <w:szCs w:val="21"/>
          <w:highlight w:val="none"/>
        </w:rPr>
        <w:t>及</w:t>
      </w:r>
      <w:r>
        <w:rPr>
          <w:rFonts w:hint="eastAsia"/>
          <w:bCs/>
          <w:color w:val="auto"/>
          <w:szCs w:val="21"/>
          <w:highlight w:val="none"/>
          <w:lang w:val="zh-CN"/>
        </w:rPr>
        <w:t>法定代表人授权委托书</w:t>
      </w:r>
    </w:p>
    <w:p>
      <w:pPr>
        <w:numPr>
          <w:ilvl w:val="0"/>
          <w:numId w:val="4"/>
        </w:numPr>
        <w:spacing w:line="360" w:lineRule="auto"/>
        <w:jc w:val="left"/>
        <w:rPr>
          <w:bCs/>
          <w:color w:val="auto"/>
          <w:szCs w:val="21"/>
          <w:highlight w:val="none"/>
        </w:rPr>
      </w:pPr>
      <w:r>
        <w:rPr>
          <w:rFonts w:hint="eastAsia"/>
          <w:color w:val="auto"/>
          <w:szCs w:val="21"/>
          <w:highlight w:val="none"/>
        </w:rPr>
        <w:t>事业单位法人证书或法人营业执照（联合体投标的，联合体各方均提供）</w:t>
      </w:r>
    </w:p>
    <w:p>
      <w:pPr>
        <w:numPr>
          <w:ilvl w:val="0"/>
          <w:numId w:val="4"/>
        </w:numPr>
        <w:spacing w:line="360" w:lineRule="auto"/>
        <w:jc w:val="left"/>
        <w:rPr>
          <w:bCs/>
          <w:color w:val="auto"/>
          <w:szCs w:val="21"/>
          <w:highlight w:val="none"/>
        </w:rPr>
      </w:pPr>
      <w:r>
        <w:rPr>
          <w:rFonts w:hint="eastAsia"/>
          <w:color w:val="auto"/>
          <w:szCs w:val="21"/>
          <w:highlight w:val="none"/>
        </w:rPr>
        <w:t>企业资质证书（联合体投标的，联合体各方均提供）</w:t>
      </w:r>
    </w:p>
    <w:p>
      <w:pPr>
        <w:numPr>
          <w:ilvl w:val="0"/>
          <w:numId w:val="4"/>
        </w:numPr>
        <w:spacing w:line="360" w:lineRule="auto"/>
        <w:jc w:val="left"/>
        <w:rPr>
          <w:bCs/>
          <w:color w:val="auto"/>
          <w:szCs w:val="21"/>
          <w:highlight w:val="none"/>
        </w:rPr>
      </w:pPr>
      <w:r>
        <w:rPr>
          <w:rFonts w:hint="eastAsia"/>
          <w:color w:val="auto"/>
          <w:szCs w:val="21"/>
          <w:highlight w:val="none"/>
        </w:rPr>
        <w:t>投标人（联合体投标的，承担施工任务方提供）安全生产许可证</w:t>
      </w:r>
    </w:p>
    <w:p>
      <w:pPr>
        <w:numPr>
          <w:ilvl w:val="0"/>
          <w:numId w:val="4"/>
        </w:numPr>
        <w:spacing w:line="360" w:lineRule="auto"/>
        <w:jc w:val="left"/>
        <w:rPr>
          <w:bCs/>
          <w:color w:val="auto"/>
          <w:szCs w:val="21"/>
          <w:highlight w:val="none"/>
        </w:rPr>
      </w:pPr>
      <w:r>
        <w:rPr>
          <w:rFonts w:hint="eastAsia"/>
          <w:color w:val="auto"/>
          <w:szCs w:val="21"/>
          <w:highlight w:val="none"/>
        </w:rPr>
        <w:t>主要负责人资格要求资料</w:t>
      </w:r>
    </w:p>
    <w:p>
      <w:pPr>
        <w:numPr>
          <w:ilvl w:val="0"/>
          <w:numId w:val="4"/>
        </w:numPr>
        <w:spacing w:line="360" w:lineRule="auto"/>
        <w:jc w:val="left"/>
        <w:rPr>
          <w:bCs/>
          <w:color w:val="auto"/>
          <w:szCs w:val="21"/>
          <w:highlight w:val="none"/>
        </w:rPr>
      </w:pPr>
      <w:r>
        <w:rPr>
          <w:rFonts w:hint="eastAsia"/>
          <w:color w:val="auto"/>
          <w:kern w:val="0"/>
          <w:szCs w:val="21"/>
          <w:highlight w:val="none"/>
        </w:rPr>
        <w:t>投标人声明</w:t>
      </w:r>
    </w:p>
    <w:p>
      <w:pPr>
        <w:numPr>
          <w:ilvl w:val="0"/>
          <w:numId w:val="4"/>
        </w:numPr>
        <w:spacing w:line="360" w:lineRule="auto"/>
        <w:jc w:val="left"/>
        <w:rPr>
          <w:bCs/>
          <w:color w:val="auto"/>
          <w:sz w:val="24"/>
          <w:highlight w:val="none"/>
        </w:rPr>
      </w:pPr>
      <w:r>
        <w:rPr>
          <w:rFonts w:hint="eastAsia"/>
          <w:color w:val="auto"/>
          <w:szCs w:val="21"/>
          <w:highlight w:val="none"/>
        </w:rPr>
        <w:t>联合体投标资料（若有）</w:t>
      </w:r>
    </w:p>
    <w:p>
      <w:pPr>
        <w:numPr>
          <w:ilvl w:val="0"/>
          <w:numId w:val="4"/>
        </w:numPr>
        <w:spacing w:line="360" w:lineRule="auto"/>
        <w:jc w:val="left"/>
        <w:rPr>
          <w:bCs/>
          <w:color w:val="auto"/>
          <w:sz w:val="24"/>
          <w:highlight w:val="none"/>
        </w:rPr>
      </w:pPr>
      <w:r>
        <w:rPr>
          <w:rFonts w:hint="eastAsia"/>
          <w:color w:val="auto"/>
          <w:szCs w:val="21"/>
          <w:highlight w:val="none"/>
        </w:rPr>
        <w:t>投标人认为应提供的其他资料</w:t>
      </w:r>
    </w:p>
    <w:p>
      <w:pPr>
        <w:spacing w:line="360" w:lineRule="auto"/>
        <w:jc w:val="left"/>
        <w:rPr>
          <w:color w:val="auto"/>
          <w:szCs w:val="21"/>
          <w:highlight w:val="none"/>
        </w:rPr>
      </w:pPr>
    </w:p>
    <w:p>
      <w:pPr>
        <w:spacing w:line="360" w:lineRule="auto"/>
        <w:jc w:val="left"/>
        <w:rPr>
          <w:color w:val="auto"/>
          <w:szCs w:val="21"/>
          <w:highlight w:val="none"/>
        </w:rPr>
      </w:pPr>
      <w:r>
        <w:rPr>
          <w:rFonts w:hint="eastAsia"/>
          <w:color w:val="auto"/>
          <w:szCs w:val="21"/>
          <w:highlight w:val="none"/>
        </w:rPr>
        <w:t>注：页码由投标人自行编制；若由法定代表人递交投标文件的，不需要“</w:t>
      </w:r>
      <w:r>
        <w:rPr>
          <w:rFonts w:hint="eastAsia"/>
          <w:bCs/>
          <w:color w:val="auto"/>
          <w:szCs w:val="21"/>
          <w:highlight w:val="none"/>
          <w:lang w:val="zh-CN"/>
        </w:rPr>
        <w:t>法定代表人授权委托书”。</w:t>
      </w:r>
    </w:p>
    <w:p>
      <w:pPr>
        <w:spacing w:line="360" w:lineRule="auto"/>
        <w:jc w:val="center"/>
        <w:rPr>
          <w:rFonts w:ascii="黑体" w:hAnsi="黑体" w:eastAsia="黑体" w:cs="黑体"/>
          <w:b/>
          <w:color w:val="auto"/>
          <w:sz w:val="32"/>
          <w:szCs w:val="32"/>
          <w:highlight w:val="none"/>
        </w:rPr>
      </w:pPr>
      <w:r>
        <w:rPr>
          <w:rFonts w:hint="eastAsia"/>
          <w:bCs/>
          <w:color w:val="auto"/>
          <w:sz w:val="24"/>
          <w:highlight w:val="none"/>
        </w:rPr>
        <w:br w:type="page"/>
      </w:r>
      <w:r>
        <w:rPr>
          <w:rFonts w:hint="eastAsia" w:ascii="黑体" w:hAnsi="黑体" w:eastAsia="黑体" w:cs="黑体"/>
          <w:b/>
          <w:color w:val="auto"/>
          <w:sz w:val="32"/>
          <w:szCs w:val="32"/>
          <w:highlight w:val="none"/>
        </w:rPr>
        <w:t>投标申请公函</w:t>
      </w:r>
    </w:p>
    <w:p>
      <w:pPr>
        <w:spacing w:line="360" w:lineRule="auto"/>
        <w:jc w:val="left"/>
        <w:rPr>
          <w:bCs/>
          <w:color w:val="auto"/>
          <w:szCs w:val="21"/>
          <w:highlight w:val="none"/>
        </w:rPr>
      </w:pPr>
    </w:p>
    <w:p>
      <w:pPr>
        <w:spacing w:line="360" w:lineRule="auto"/>
        <w:jc w:val="left"/>
        <w:rPr>
          <w:bCs/>
          <w:color w:val="auto"/>
          <w:szCs w:val="21"/>
          <w:highlight w:val="none"/>
        </w:rPr>
      </w:pPr>
      <w:r>
        <w:rPr>
          <w:rFonts w:hint="eastAsia"/>
          <w:bCs/>
          <w:color w:val="auto"/>
          <w:szCs w:val="21"/>
          <w:highlight w:val="none"/>
        </w:rPr>
        <w:t>致招标人：</w:t>
      </w:r>
    </w:p>
    <w:p>
      <w:pPr>
        <w:spacing w:line="360" w:lineRule="auto"/>
        <w:ind w:firstLine="315" w:firstLineChars="150"/>
        <w:jc w:val="left"/>
        <w:rPr>
          <w:bCs/>
          <w:color w:val="auto"/>
          <w:szCs w:val="21"/>
          <w:highlight w:val="none"/>
        </w:rPr>
      </w:pPr>
    </w:p>
    <w:p>
      <w:pPr>
        <w:spacing w:line="360" w:lineRule="auto"/>
        <w:ind w:firstLine="420" w:firstLineChars="200"/>
        <w:jc w:val="left"/>
        <w:rPr>
          <w:bCs/>
          <w:color w:val="auto"/>
          <w:szCs w:val="21"/>
          <w:highlight w:val="none"/>
        </w:rPr>
      </w:pPr>
      <w:r>
        <w:rPr>
          <w:rFonts w:hint="eastAsia"/>
          <w:bCs/>
          <w:color w:val="auto"/>
          <w:szCs w:val="21"/>
          <w:highlight w:val="none"/>
        </w:rPr>
        <w:t>按照本工程招标公告的要求，我们递交有关资料文件，以便贵单位审查我们参加</w:t>
      </w:r>
      <w:r>
        <w:rPr>
          <w:rFonts w:hint="eastAsia"/>
          <w:bCs/>
          <w:color w:val="auto"/>
          <w:szCs w:val="21"/>
          <w:highlight w:val="none"/>
          <w:u w:val="single"/>
          <w:lang w:eastAsia="zh-CN"/>
        </w:rPr>
        <w:t>2022NJY-9地块首期基坑支护及土方开挖工程设计施工总承包</w:t>
      </w:r>
      <w:r>
        <w:rPr>
          <w:rFonts w:hint="eastAsia"/>
          <w:bCs/>
          <w:color w:val="auto"/>
          <w:szCs w:val="21"/>
          <w:highlight w:val="none"/>
        </w:rPr>
        <w:t>投标资格。</w:t>
      </w:r>
    </w:p>
    <w:p>
      <w:pPr>
        <w:spacing w:line="360" w:lineRule="auto"/>
        <w:ind w:firstLine="420" w:firstLineChars="200"/>
        <w:jc w:val="left"/>
        <w:rPr>
          <w:bCs/>
          <w:color w:val="auto"/>
          <w:szCs w:val="21"/>
          <w:highlight w:val="none"/>
        </w:rPr>
      </w:pPr>
      <w:r>
        <w:rPr>
          <w:rFonts w:hint="eastAsia"/>
          <w:bCs/>
          <w:color w:val="auto"/>
          <w:szCs w:val="21"/>
          <w:highlight w:val="none"/>
        </w:rPr>
        <w:t>此申请是</w:t>
      </w:r>
      <w:r>
        <w:rPr>
          <w:rFonts w:hint="eastAsia"/>
          <w:bCs/>
          <w:color w:val="auto"/>
          <w:szCs w:val="21"/>
          <w:highlight w:val="none"/>
          <w:u w:val="single"/>
        </w:rPr>
        <w:t xml:space="preserve">                  （单位名称）</w:t>
      </w:r>
      <w:r>
        <w:rPr>
          <w:rFonts w:hint="eastAsia"/>
          <w:bCs/>
          <w:color w:val="auto"/>
          <w:szCs w:val="21"/>
          <w:highlight w:val="none"/>
        </w:rPr>
        <w:t>以</w:t>
      </w:r>
      <w:r>
        <w:rPr>
          <w:rFonts w:hint="eastAsia"/>
          <w:bCs/>
          <w:color w:val="auto"/>
          <w:szCs w:val="21"/>
          <w:highlight w:val="none"/>
          <w:u w:val="single"/>
        </w:rPr>
        <w:t xml:space="preserve">        （人名）</w:t>
      </w:r>
      <w:r>
        <w:rPr>
          <w:rFonts w:hint="eastAsia"/>
          <w:bCs/>
          <w:color w:val="auto"/>
          <w:szCs w:val="21"/>
          <w:highlight w:val="none"/>
        </w:rPr>
        <w:t>为全权代表身份递交的。</w:t>
      </w:r>
    </w:p>
    <w:p>
      <w:pPr>
        <w:spacing w:line="360" w:lineRule="auto"/>
        <w:ind w:firstLine="420" w:firstLineChars="200"/>
        <w:jc w:val="left"/>
        <w:rPr>
          <w:bCs/>
          <w:color w:val="auto"/>
          <w:szCs w:val="21"/>
          <w:highlight w:val="none"/>
        </w:rPr>
      </w:pPr>
      <w:r>
        <w:rPr>
          <w:rFonts w:hint="eastAsia"/>
          <w:bCs/>
          <w:color w:val="auto"/>
          <w:szCs w:val="21"/>
          <w:highlight w:val="none"/>
        </w:rPr>
        <w:t>我们保证所有提交的资料是真实可靠的，并为提交的资料负有相应的法律责任。</w:t>
      </w:r>
    </w:p>
    <w:p>
      <w:pPr>
        <w:spacing w:line="360" w:lineRule="auto"/>
        <w:ind w:firstLine="420" w:firstLineChars="200"/>
        <w:jc w:val="left"/>
        <w:rPr>
          <w:bCs/>
          <w:color w:val="auto"/>
          <w:szCs w:val="21"/>
          <w:highlight w:val="none"/>
        </w:rPr>
      </w:pPr>
      <w:r>
        <w:rPr>
          <w:rFonts w:hint="eastAsia"/>
          <w:bCs/>
          <w:color w:val="auto"/>
          <w:szCs w:val="21"/>
          <w:highlight w:val="none"/>
        </w:rPr>
        <w:t>我们理解招标单位有权拒绝任何申请，而无需由招标单位承担任何责任。</w:t>
      </w:r>
    </w:p>
    <w:p>
      <w:pPr>
        <w:spacing w:line="360" w:lineRule="auto"/>
        <w:ind w:firstLine="315" w:firstLineChars="150"/>
        <w:jc w:val="left"/>
        <w:rPr>
          <w:bCs/>
          <w:color w:val="auto"/>
          <w:szCs w:val="21"/>
          <w:highlight w:val="none"/>
        </w:rPr>
      </w:pPr>
    </w:p>
    <w:p>
      <w:pPr>
        <w:spacing w:line="360" w:lineRule="auto"/>
        <w:ind w:firstLine="315" w:firstLineChars="150"/>
        <w:jc w:val="left"/>
        <w:rPr>
          <w:bCs/>
          <w:color w:val="auto"/>
          <w:szCs w:val="21"/>
          <w:highlight w:val="none"/>
        </w:rPr>
      </w:pPr>
      <w:r>
        <w:rPr>
          <w:rFonts w:hint="eastAsia"/>
          <w:bCs/>
          <w:color w:val="auto"/>
          <w:szCs w:val="21"/>
          <w:highlight w:val="none"/>
        </w:rPr>
        <w:t xml:space="preserve">                     申请单位名称：</w:t>
      </w:r>
    </w:p>
    <w:p>
      <w:pPr>
        <w:spacing w:line="360" w:lineRule="auto"/>
        <w:ind w:firstLine="315" w:firstLineChars="150"/>
        <w:jc w:val="left"/>
        <w:rPr>
          <w:color w:val="auto"/>
          <w:szCs w:val="21"/>
          <w:highlight w:val="none"/>
        </w:rPr>
      </w:pPr>
      <w:r>
        <w:rPr>
          <w:rFonts w:hint="eastAsia"/>
          <w:bCs/>
          <w:color w:val="auto"/>
          <w:szCs w:val="21"/>
          <w:highlight w:val="none"/>
        </w:rPr>
        <w:t xml:space="preserve">                     申请日期：      年   月   日</w:t>
      </w:r>
    </w:p>
    <w:p>
      <w:pPr>
        <w:spacing w:line="360" w:lineRule="auto"/>
        <w:jc w:val="left"/>
        <w:rPr>
          <w:bCs/>
          <w:color w:val="auto"/>
          <w:sz w:val="24"/>
          <w:highlight w:val="none"/>
        </w:rPr>
      </w:pPr>
    </w:p>
    <w:p>
      <w:pPr>
        <w:spacing w:line="360" w:lineRule="auto"/>
        <w:jc w:val="center"/>
        <w:rPr>
          <w:rFonts w:ascii="黑体" w:hAnsi="黑体" w:eastAsia="黑体" w:cs="黑体"/>
          <w:b/>
          <w:color w:val="auto"/>
          <w:sz w:val="32"/>
          <w:szCs w:val="32"/>
          <w:highlight w:val="none"/>
          <w:lang w:val="zh-CN"/>
        </w:rPr>
      </w:pPr>
      <w:r>
        <w:rPr>
          <w:rFonts w:hint="eastAsia"/>
          <w:bCs/>
          <w:color w:val="auto"/>
          <w:sz w:val="24"/>
          <w:highlight w:val="none"/>
        </w:rPr>
        <w:br w:type="page"/>
      </w:r>
      <w:r>
        <w:rPr>
          <w:rFonts w:hint="eastAsia" w:ascii="黑体" w:hAnsi="黑体" w:eastAsia="黑体" w:cs="黑体"/>
          <w:b/>
          <w:color w:val="auto"/>
          <w:sz w:val="32"/>
          <w:szCs w:val="32"/>
          <w:highlight w:val="none"/>
          <w:lang w:val="zh-CN"/>
        </w:rPr>
        <w:t>法人代表证明书、授权委托证明书</w:t>
      </w:r>
    </w:p>
    <w:p>
      <w:pPr>
        <w:autoSpaceDE w:val="0"/>
        <w:autoSpaceDN w:val="0"/>
        <w:adjustRightInd w:val="0"/>
        <w:spacing w:line="360" w:lineRule="auto"/>
        <w:jc w:val="center"/>
        <w:rPr>
          <w:b/>
          <w:bCs/>
          <w:color w:val="auto"/>
          <w:sz w:val="28"/>
          <w:szCs w:val="28"/>
          <w:highlight w:val="none"/>
          <w:lang w:val="zh-CN"/>
        </w:rPr>
      </w:pPr>
      <w:r>
        <w:rPr>
          <w:rFonts w:hint="eastAsia"/>
          <w:b/>
          <w:bCs/>
          <w:color w:val="auto"/>
          <w:sz w:val="28"/>
          <w:szCs w:val="28"/>
          <w:highlight w:val="none"/>
          <w:lang w:val="zh-CN"/>
        </w:rPr>
        <w:t>法定代表人证明书</w:t>
      </w:r>
    </w:p>
    <w:p>
      <w:pPr>
        <w:spacing w:line="360" w:lineRule="auto"/>
        <w:jc w:val="right"/>
        <w:rPr>
          <w:color w:val="auto"/>
          <w:szCs w:val="21"/>
          <w:highlight w:val="none"/>
        </w:rPr>
      </w:pPr>
      <w:r>
        <w:rPr>
          <w:rFonts w:hint="eastAsia"/>
          <w:color w:val="auto"/>
          <w:szCs w:val="21"/>
          <w:highlight w:val="none"/>
        </w:rPr>
        <w:t>（   ）第   号</w:t>
      </w:r>
    </w:p>
    <w:tbl>
      <w:tblPr>
        <w:tblStyle w:val="39"/>
        <w:tblW w:w="0" w:type="auto"/>
        <w:jc w:val="center"/>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CellMar>
            <w:top w:w="0" w:type="dxa"/>
            <w:left w:w="108" w:type="dxa"/>
            <w:bottom w:w="0" w:type="dxa"/>
            <w:right w:w="108" w:type="dxa"/>
          </w:tblCellMar>
        </w:tblPrEx>
        <w:trPr>
          <w:jc w:val="center"/>
        </w:trPr>
        <w:tc>
          <w:tcPr>
            <w:tcW w:w="9498" w:type="dxa"/>
          </w:tcPr>
          <w:p>
            <w:pPr>
              <w:spacing w:line="360" w:lineRule="auto"/>
              <w:ind w:firstLine="420" w:firstLineChars="200"/>
              <w:rPr>
                <w:color w:val="auto"/>
                <w:szCs w:val="21"/>
                <w:highlight w:val="none"/>
              </w:rPr>
            </w:pPr>
            <w:r>
              <w:rPr>
                <w:rFonts w:hint="eastAsia"/>
                <w:color w:val="auto"/>
                <w:szCs w:val="21"/>
                <w:highlight w:val="none"/>
              </w:rPr>
              <w:t>现任我公司职务，为法定代表人（负责人），特此证明。</w:t>
            </w:r>
          </w:p>
          <w:p>
            <w:pPr>
              <w:spacing w:line="360" w:lineRule="auto"/>
              <w:ind w:firstLine="420" w:firstLineChars="200"/>
              <w:rPr>
                <w:color w:val="auto"/>
                <w:szCs w:val="21"/>
                <w:highlight w:val="none"/>
                <w:u w:val="single"/>
              </w:rPr>
            </w:pPr>
            <w:r>
              <w:rPr>
                <w:rFonts w:hint="eastAsia"/>
                <w:color w:val="auto"/>
                <w:szCs w:val="21"/>
                <w:highlight w:val="none"/>
              </w:rPr>
              <w:t>有效期限：</w:t>
            </w:r>
          </w:p>
          <w:p>
            <w:pPr>
              <w:snapToGrid w:val="0"/>
              <w:spacing w:line="360" w:lineRule="auto"/>
              <w:rPr>
                <w:color w:val="auto"/>
                <w:szCs w:val="21"/>
                <w:highlight w:val="none"/>
                <w:u w:val="single"/>
              </w:rPr>
            </w:pPr>
            <w:r>
              <w:rPr>
                <w:rFonts w:hint="eastAsia"/>
                <w:color w:val="auto"/>
                <w:szCs w:val="21"/>
                <w:highlight w:val="none"/>
              </w:rPr>
              <w:t>附：法定代表人（负责人）性别：  年龄：  身份证号码：</w:t>
            </w:r>
          </w:p>
          <w:p>
            <w:pPr>
              <w:snapToGrid w:val="0"/>
              <w:spacing w:line="360" w:lineRule="auto"/>
              <w:ind w:firstLine="570"/>
              <w:rPr>
                <w:color w:val="auto"/>
                <w:szCs w:val="21"/>
                <w:highlight w:val="none"/>
                <w:u w:val="single"/>
              </w:rPr>
            </w:pPr>
            <w:r>
              <w:rPr>
                <w:rFonts w:hint="eastAsia"/>
                <w:color w:val="auto"/>
                <w:szCs w:val="21"/>
                <w:highlight w:val="none"/>
              </w:rPr>
              <w:t>统一社会信用代码：  企业类型：</w:t>
            </w:r>
          </w:p>
          <w:p>
            <w:pPr>
              <w:snapToGrid w:val="0"/>
              <w:spacing w:line="360" w:lineRule="auto"/>
              <w:ind w:firstLine="570"/>
              <w:rPr>
                <w:color w:val="auto"/>
                <w:szCs w:val="21"/>
                <w:highlight w:val="none"/>
                <w:u w:val="single"/>
              </w:rPr>
            </w:pPr>
            <w:r>
              <w:rPr>
                <w:rFonts w:hint="eastAsia"/>
                <w:color w:val="auto"/>
                <w:szCs w:val="21"/>
                <w:highlight w:val="none"/>
              </w:rPr>
              <w:t>经营范围：</w:t>
            </w:r>
          </w:p>
          <w:p>
            <w:pPr>
              <w:snapToGrid w:val="0"/>
              <w:spacing w:line="360" w:lineRule="auto"/>
              <w:ind w:firstLine="570"/>
              <w:rPr>
                <w:color w:val="auto"/>
                <w:szCs w:val="21"/>
                <w:highlight w:val="none"/>
                <w:u w:val="single"/>
              </w:rPr>
            </w:pPr>
          </w:p>
          <w:p>
            <w:pPr>
              <w:snapToGrid w:val="0"/>
              <w:spacing w:line="360" w:lineRule="auto"/>
              <w:ind w:firstLine="570"/>
              <w:rPr>
                <w:color w:val="auto"/>
                <w:szCs w:val="21"/>
                <w:highlight w:val="none"/>
              </w:rPr>
            </w:pPr>
            <w:r>
              <w:rPr>
                <w:rFonts w:hint="eastAsia"/>
                <w:color w:val="auto"/>
                <w:szCs w:val="21"/>
                <w:highlight w:val="none"/>
              </w:rPr>
              <w:t xml:space="preserve">                       单位：（盖章）</w:t>
            </w:r>
          </w:p>
          <w:p>
            <w:pPr>
              <w:snapToGrid w:val="0"/>
              <w:spacing w:line="360" w:lineRule="auto"/>
              <w:ind w:firstLine="573"/>
              <w:rPr>
                <w:color w:val="auto"/>
                <w:szCs w:val="21"/>
                <w:highlight w:val="none"/>
              </w:rPr>
            </w:pPr>
            <w:r>
              <w:rPr>
                <w:rFonts w:hint="eastAsia"/>
                <w:color w:val="auto"/>
                <w:szCs w:val="21"/>
                <w:highlight w:val="none"/>
              </w:rPr>
              <w:t xml:space="preserve">                                       年  月  日</w:t>
            </w:r>
          </w:p>
        </w:tc>
      </w:tr>
    </w:tbl>
    <w:p>
      <w:pPr>
        <w:spacing w:line="360" w:lineRule="auto"/>
        <w:rPr>
          <w:color w:val="auto"/>
          <w:szCs w:val="21"/>
          <w:highlight w:val="none"/>
        </w:rPr>
      </w:pPr>
      <w:r>
        <w:rPr>
          <w:rFonts w:hint="eastAsia"/>
          <w:color w:val="auto"/>
          <w:szCs w:val="21"/>
          <w:highlight w:val="none"/>
        </w:rPr>
        <w:t>注：法定代表人证明书也可以采用工商行政管理局统一印制的格式。</w:t>
      </w:r>
    </w:p>
    <w:p>
      <w:pPr>
        <w:spacing w:line="360" w:lineRule="auto"/>
        <w:rPr>
          <w:color w:val="auto"/>
          <w:szCs w:val="21"/>
          <w:highlight w:val="none"/>
        </w:rPr>
      </w:pPr>
    </w:p>
    <w:p>
      <w:pPr>
        <w:autoSpaceDE w:val="0"/>
        <w:autoSpaceDN w:val="0"/>
        <w:adjustRightInd w:val="0"/>
        <w:spacing w:line="360" w:lineRule="auto"/>
        <w:jc w:val="center"/>
        <w:rPr>
          <w:b/>
          <w:bCs/>
          <w:color w:val="auto"/>
          <w:sz w:val="28"/>
          <w:szCs w:val="28"/>
          <w:highlight w:val="none"/>
          <w:lang w:val="zh-CN"/>
        </w:rPr>
      </w:pPr>
      <w:r>
        <w:rPr>
          <w:rFonts w:hint="eastAsia"/>
          <w:b/>
          <w:bCs/>
          <w:color w:val="auto"/>
          <w:sz w:val="28"/>
          <w:szCs w:val="28"/>
          <w:highlight w:val="none"/>
          <w:lang w:val="zh-CN"/>
        </w:rPr>
        <w:t>法定代表人授权委托书</w:t>
      </w:r>
    </w:p>
    <w:p>
      <w:pPr>
        <w:spacing w:line="360" w:lineRule="auto"/>
        <w:jc w:val="right"/>
        <w:rPr>
          <w:color w:val="auto"/>
          <w:szCs w:val="21"/>
          <w:highlight w:val="none"/>
        </w:rPr>
      </w:pPr>
      <w:r>
        <w:rPr>
          <w:rFonts w:hint="eastAsia"/>
          <w:color w:val="auto"/>
          <w:szCs w:val="21"/>
          <w:highlight w:val="none"/>
        </w:rPr>
        <w:t>（   ）第   号</w:t>
      </w:r>
    </w:p>
    <w:tbl>
      <w:tblPr>
        <w:tblStyle w:val="39"/>
        <w:tblW w:w="0" w:type="auto"/>
        <w:tblInd w:w="45" w:type="dxa"/>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CellMar>
            <w:top w:w="0" w:type="dxa"/>
            <w:left w:w="108" w:type="dxa"/>
            <w:bottom w:w="0" w:type="dxa"/>
            <w:right w:w="108" w:type="dxa"/>
          </w:tblCellMar>
        </w:tblPrEx>
        <w:tc>
          <w:tcPr>
            <w:tcW w:w="9500" w:type="dxa"/>
          </w:tcPr>
          <w:p>
            <w:pPr>
              <w:spacing w:line="360" w:lineRule="auto"/>
              <w:ind w:firstLine="420" w:firstLineChars="200"/>
              <w:rPr>
                <w:color w:val="auto"/>
                <w:szCs w:val="21"/>
                <w:highlight w:val="none"/>
              </w:rPr>
            </w:pPr>
            <w:r>
              <w:rPr>
                <w:rFonts w:hint="eastAsia"/>
                <w:color w:val="auto"/>
                <w:szCs w:val="21"/>
                <w:highlight w:val="none"/>
              </w:rPr>
              <w:t>兹授权为我方委托代理人，其权限是：</w:t>
            </w:r>
            <w:r>
              <w:rPr>
                <w:rFonts w:hint="eastAsia"/>
                <w:color w:val="auto"/>
                <w:szCs w:val="21"/>
                <w:highlight w:val="none"/>
                <w:u w:val="single"/>
              </w:rPr>
              <w:t>负责办理         投标相关事宜</w:t>
            </w:r>
            <w:r>
              <w:rPr>
                <w:rFonts w:hint="eastAsia"/>
                <w:color w:val="auto"/>
                <w:szCs w:val="21"/>
                <w:highlight w:val="none"/>
              </w:rPr>
              <w:t>。</w:t>
            </w:r>
          </w:p>
          <w:p>
            <w:pPr>
              <w:spacing w:line="360" w:lineRule="auto"/>
              <w:ind w:firstLine="420" w:firstLineChars="200"/>
              <w:rPr>
                <w:color w:val="auto"/>
                <w:szCs w:val="21"/>
                <w:highlight w:val="none"/>
                <w:u w:val="single"/>
              </w:rPr>
            </w:pPr>
            <w:r>
              <w:rPr>
                <w:rFonts w:hint="eastAsia"/>
                <w:color w:val="auto"/>
                <w:szCs w:val="21"/>
                <w:highlight w:val="none"/>
              </w:rPr>
              <w:t>有效期限：</w:t>
            </w:r>
          </w:p>
          <w:p>
            <w:pPr>
              <w:spacing w:line="360" w:lineRule="auto"/>
              <w:rPr>
                <w:color w:val="auto"/>
                <w:szCs w:val="21"/>
                <w:highlight w:val="none"/>
                <w:u w:val="single"/>
              </w:rPr>
            </w:pPr>
            <w:r>
              <w:rPr>
                <w:rFonts w:hint="eastAsia"/>
                <w:color w:val="auto"/>
                <w:szCs w:val="21"/>
                <w:highlight w:val="none"/>
              </w:rPr>
              <w:t>附：代理人性别： 年龄： 身份证号码：</w:t>
            </w:r>
          </w:p>
          <w:p>
            <w:pPr>
              <w:snapToGrid w:val="0"/>
              <w:spacing w:line="360" w:lineRule="auto"/>
              <w:ind w:firstLine="570"/>
              <w:rPr>
                <w:color w:val="auto"/>
                <w:szCs w:val="21"/>
                <w:highlight w:val="none"/>
                <w:u w:val="single"/>
              </w:rPr>
            </w:pPr>
            <w:r>
              <w:rPr>
                <w:rFonts w:hint="eastAsia"/>
                <w:color w:val="auto"/>
                <w:szCs w:val="21"/>
                <w:highlight w:val="none"/>
              </w:rPr>
              <w:t>统一社会信用代码：  企业类型：</w:t>
            </w:r>
          </w:p>
          <w:p>
            <w:pPr>
              <w:snapToGrid w:val="0"/>
              <w:spacing w:line="360" w:lineRule="auto"/>
              <w:ind w:firstLine="570"/>
              <w:rPr>
                <w:color w:val="auto"/>
                <w:szCs w:val="21"/>
                <w:highlight w:val="none"/>
                <w:u w:val="single"/>
              </w:rPr>
            </w:pPr>
            <w:r>
              <w:rPr>
                <w:rFonts w:hint="eastAsia"/>
                <w:color w:val="auto"/>
                <w:szCs w:val="21"/>
                <w:highlight w:val="none"/>
              </w:rPr>
              <w:t>经营范围：</w:t>
            </w:r>
          </w:p>
          <w:p>
            <w:pPr>
              <w:snapToGrid w:val="0"/>
              <w:spacing w:line="360" w:lineRule="auto"/>
              <w:ind w:hanging="105"/>
              <w:rPr>
                <w:color w:val="auto"/>
                <w:szCs w:val="21"/>
                <w:highlight w:val="none"/>
                <w:u w:val="single"/>
              </w:rPr>
            </w:pPr>
          </w:p>
          <w:p>
            <w:pPr>
              <w:spacing w:line="360" w:lineRule="auto"/>
              <w:ind w:firstLine="420" w:firstLineChars="200"/>
              <w:rPr>
                <w:color w:val="auto"/>
                <w:szCs w:val="21"/>
                <w:highlight w:val="none"/>
              </w:rPr>
            </w:pPr>
            <w:r>
              <w:rPr>
                <w:rFonts w:hint="eastAsia"/>
                <w:color w:val="auto"/>
                <w:szCs w:val="21"/>
                <w:highlight w:val="none"/>
              </w:rPr>
              <w:t>法定代表人（负责人）：（签名或盖章）</w:t>
            </w:r>
          </w:p>
          <w:p>
            <w:pPr>
              <w:spacing w:line="360" w:lineRule="auto"/>
              <w:ind w:firstLine="420" w:firstLineChars="200"/>
              <w:rPr>
                <w:color w:val="auto"/>
                <w:szCs w:val="21"/>
                <w:highlight w:val="none"/>
              </w:rPr>
            </w:pPr>
            <w:r>
              <w:rPr>
                <w:rFonts w:hint="eastAsia"/>
                <w:color w:val="auto"/>
                <w:szCs w:val="21"/>
                <w:highlight w:val="none"/>
              </w:rPr>
              <w:t>授权单位：（盖章）</w:t>
            </w:r>
          </w:p>
          <w:p>
            <w:pPr>
              <w:snapToGrid w:val="0"/>
              <w:spacing w:line="360" w:lineRule="auto"/>
              <w:ind w:firstLine="570"/>
              <w:rPr>
                <w:color w:val="auto"/>
                <w:szCs w:val="21"/>
                <w:highlight w:val="none"/>
              </w:rPr>
            </w:pPr>
            <w:r>
              <w:rPr>
                <w:rFonts w:hint="eastAsia"/>
                <w:color w:val="auto"/>
                <w:szCs w:val="21"/>
                <w:highlight w:val="none"/>
              </w:rPr>
              <w:t xml:space="preserve">                      年  月  日</w:t>
            </w:r>
          </w:p>
        </w:tc>
      </w:tr>
    </w:tbl>
    <w:p>
      <w:pPr>
        <w:spacing w:line="360" w:lineRule="auto"/>
        <w:rPr>
          <w:color w:val="auto"/>
          <w:szCs w:val="21"/>
          <w:highlight w:val="none"/>
        </w:rPr>
      </w:pPr>
      <w:r>
        <w:rPr>
          <w:rFonts w:hint="eastAsia"/>
          <w:color w:val="auto"/>
          <w:szCs w:val="21"/>
          <w:highlight w:val="none"/>
        </w:rPr>
        <w:t>注：法定代表人授权委托书也可以采用工商行政管理局统一印制的格式。</w:t>
      </w:r>
    </w:p>
    <w:p>
      <w:pPr>
        <w:spacing w:line="360" w:lineRule="auto"/>
        <w:jc w:val="center"/>
        <w:rPr>
          <w:bCs/>
          <w:color w:val="auto"/>
          <w:sz w:val="24"/>
          <w:highlight w:val="none"/>
        </w:rPr>
      </w:pPr>
      <w:r>
        <w:rPr>
          <w:rFonts w:hint="eastAsia"/>
          <w:bCs/>
          <w:color w:val="auto"/>
          <w:sz w:val="24"/>
          <w:highlight w:val="none"/>
        </w:rPr>
        <w:br w:type="page"/>
      </w:r>
    </w:p>
    <w:p>
      <w:pPr>
        <w:spacing w:line="360" w:lineRule="auto"/>
        <w:jc w:val="center"/>
        <w:rPr>
          <w:rFonts w:eastAsia="黑体"/>
          <w:b/>
          <w:color w:val="auto"/>
          <w:sz w:val="30"/>
          <w:szCs w:val="30"/>
          <w:highlight w:val="none"/>
        </w:rPr>
      </w:pPr>
      <w:r>
        <w:rPr>
          <w:rFonts w:hint="eastAsia" w:ascii="黑体" w:hAnsi="黑体" w:eastAsia="黑体" w:cs="黑体"/>
          <w:b/>
          <w:color w:val="auto"/>
          <w:sz w:val="30"/>
          <w:szCs w:val="30"/>
          <w:highlight w:val="none"/>
        </w:rPr>
        <w:t>第二部分 工程总承包实施方案（含资信部分）文件</w:t>
      </w:r>
    </w:p>
    <w:p>
      <w:pPr>
        <w:spacing w:line="360" w:lineRule="auto"/>
        <w:jc w:val="center"/>
        <w:rPr>
          <w:b/>
          <w:color w:val="auto"/>
          <w:sz w:val="30"/>
          <w:szCs w:val="30"/>
          <w:highlight w:val="none"/>
        </w:rPr>
      </w:pPr>
    </w:p>
    <w:p>
      <w:pPr>
        <w:spacing w:line="360" w:lineRule="auto"/>
        <w:jc w:val="left"/>
        <w:rPr>
          <w:bCs/>
          <w:color w:val="auto"/>
          <w:szCs w:val="21"/>
          <w:highlight w:val="none"/>
        </w:rPr>
      </w:pPr>
      <w:r>
        <w:rPr>
          <w:rFonts w:hint="eastAsia"/>
          <w:b/>
          <w:color w:val="auto"/>
          <w:sz w:val="30"/>
          <w:szCs w:val="30"/>
          <w:highlight w:val="none"/>
        </w:rPr>
        <w:br w:type="page"/>
      </w:r>
      <w:r>
        <w:rPr>
          <w:rFonts w:hint="eastAsia"/>
          <w:bCs/>
          <w:color w:val="auto"/>
          <w:szCs w:val="21"/>
          <w:highlight w:val="none"/>
        </w:rPr>
        <w:t>格式参考：</w:t>
      </w:r>
    </w:p>
    <w:p>
      <w:pPr>
        <w:spacing w:line="360" w:lineRule="auto"/>
        <w:jc w:val="right"/>
        <w:rPr>
          <w:rFonts w:ascii="黑体" w:hAnsi="黑体" w:eastAsia="黑体" w:cs="黑体"/>
          <w:b/>
          <w:color w:val="auto"/>
          <w:sz w:val="30"/>
          <w:szCs w:val="30"/>
          <w:highlight w:val="none"/>
        </w:rPr>
      </w:pPr>
      <w:r>
        <w:rPr>
          <w:rFonts w:hint="eastAsia" w:ascii="黑体" w:hAnsi="黑体" w:eastAsia="黑体" w:cs="黑体"/>
          <w:b/>
          <w:color w:val="auto"/>
          <w:sz w:val="32"/>
          <w:szCs w:val="32"/>
          <w:highlight w:val="none"/>
        </w:rPr>
        <w:t>正/副本</w:t>
      </w:r>
    </w:p>
    <w:p>
      <w:pPr>
        <w:spacing w:line="360" w:lineRule="auto"/>
        <w:rPr>
          <w:b/>
          <w:color w:val="auto"/>
          <w:sz w:val="30"/>
          <w:szCs w:val="30"/>
          <w:highlight w:val="none"/>
        </w:rPr>
      </w:pPr>
    </w:p>
    <w:p>
      <w:pPr>
        <w:spacing w:line="360" w:lineRule="auto"/>
        <w:rPr>
          <w:bCs/>
          <w:color w:val="auto"/>
          <w:szCs w:val="21"/>
          <w:highlight w:val="none"/>
        </w:rPr>
      </w:pPr>
    </w:p>
    <w:p>
      <w:pPr>
        <w:pStyle w:val="33"/>
        <w:spacing w:line="360" w:lineRule="auto"/>
        <w:jc w:val="center"/>
        <w:rPr>
          <w:rFonts w:hint="eastAsia" w:ascii="黑体" w:hAnsi="黑体" w:eastAsia="黑体" w:cs="黑体"/>
          <w:b/>
          <w:color w:val="auto"/>
          <w:sz w:val="44"/>
          <w:szCs w:val="44"/>
          <w:highlight w:val="none"/>
          <w:lang w:eastAsia="zh-CN"/>
        </w:rPr>
      </w:pPr>
      <w:r>
        <w:rPr>
          <w:rFonts w:hint="eastAsia" w:ascii="黑体" w:hAnsi="黑体" w:eastAsia="黑体" w:cs="黑体"/>
          <w:b/>
          <w:color w:val="auto"/>
          <w:sz w:val="44"/>
          <w:szCs w:val="44"/>
          <w:highlight w:val="none"/>
          <w:lang w:eastAsia="zh-CN"/>
        </w:rPr>
        <w:t>2022NJY-9地块首期基坑支护及土方开挖工程设计施工总承包</w:t>
      </w:r>
    </w:p>
    <w:p>
      <w:pPr>
        <w:pStyle w:val="33"/>
        <w:spacing w:line="360" w:lineRule="auto"/>
        <w:jc w:val="center"/>
        <w:rPr>
          <w:rFonts w:ascii="黑体" w:hAnsi="黑体" w:eastAsia="黑体" w:cs="黑体"/>
          <w:b/>
          <w:color w:val="auto"/>
          <w:sz w:val="36"/>
          <w:szCs w:val="36"/>
          <w:highlight w:val="none"/>
        </w:rPr>
      </w:pPr>
    </w:p>
    <w:p>
      <w:pPr>
        <w:pStyle w:val="33"/>
        <w:spacing w:line="360" w:lineRule="auto"/>
        <w:jc w:val="center"/>
        <w:rPr>
          <w:rFonts w:ascii="黑体" w:hAnsi="黑体" w:eastAsia="黑体" w:cs="黑体"/>
          <w:b/>
          <w:color w:val="auto"/>
          <w:sz w:val="36"/>
          <w:szCs w:val="36"/>
          <w:highlight w:val="none"/>
        </w:rPr>
      </w:pPr>
    </w:p>
    <w:p>
      <w:pPr>
        <w:pStyle w:val="33"/>
        <w:spacing w:line="360" w:lineRule="auto"/>
        <w:jc w:val="center"/>
        <w:rPr>
          <w:rFonts w:ascii="黑体" w:hAnsi="黑体" w:eastAsia="黑体" w:cs="黑体"/>
          <w:b/>
          <w:color w:val="auto"/>
          <w:sz w:val="48"/>
          <w:szCs w:val="48"/>
          <w:highlight w:val="none"/>
          <w:u w:val="none"/>
        </w:rPr>
      </w:pPr>
      <w:r>
        <w:rPr>
          <w:rFonts w:hint="eastAsia" w:ascii="黑体" w:hAnsi="黑体" w:eastAsia="黑体" w:cs="黑体"/>
          <w:b/>
          <w:color w:val="auto"/>
          <w:sz w:val="48"/>
          <w:szCs w:val="48"/>
          <w:highlight w:val="none"/>
          <w:u w:val="none"/>
        </w:rPr>
        <w:t>投标文件</w:t>
      </w:r>
    </w:p>
    <w:p>
      <w:pPr>
        <w:pStyle w:val="33"/>
        <w:spacing w:line="360" w:lineRule="auto"/>
        <w:jc w:val="center"/>
        <w:rPr>
          <w:rFonts w:ascii="黑体" w:hAnsi="黑体" w:eastAsia="黑体" w:cs="黑体"/>
          <w:b/>
          <w:color w:val="auto"/>
          <w:sz w:val="36"/>
          <w:szCs w:val="36"/>
          <w:highlight w:val="none"/>
        </w:rPr>
      </w:pPr>
      <w:r>
        <w:rPr>
          <w:rFonts w:hint="eastAsia" w:ascii="黑体" w:hAnsi="黑体" w:eastAsia="黑体" w:cs="黑体"/>
          <w:b/>
          <w:color w:val="auto"/>
          <w:sz w:val="36"/>
          <w:szCs w:val="36"/>
          <w:highlight w:val="none"/>
        </w:rPr>
        <w:t>（工程总承包实施方案（含资信部分）文件）</w:t>
      </w: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ind w:firstLine="389" w:firstLineChars="139"/>
        <w:jc w:val="left"/>
        <w:rPr>
          <w:rFonts w:ascii="华文楷体" w:hAnsi="华文楷体" w:eastAsia="华文楷体" w:cs="华文楷体"/>
          <w:color w:val="auto"/>
          <w:sz w:val="28"/>
          <w:szCs w:val="28"/>
          <w:highlight w:val="none"/>
          <w:u w:val="single"/>
        </w:rPr>
      </w:pPr>
      <w:r>
        <w:rPr>
          <w:rFonts w:hint="eastAsia" w:ascii="华文楷体" w:hAnsi="华文楷体" w:eastAsia="华文楷体" w:cs="华文楷体"/>
          <w:color w:val="auto"/>
          <w:sz w:val="28"/>
          <w:szCs w:val="28"/>
          <w:highlight w:val="none"/>
        </w:rPr>
        <w:t>投标单位名称（盖章）：</w:t>
      </w:r>
    </w:p>
    <w:p>
      <w:pPr>
        <w:spacing w:line="360" w:lineRule="auto"/>
        <w:ind w:firstLine="389" w:firstLineChars="139"/>
        <w:jc w:val="left"/>
        <w:rPr>
          <w:rFonts w:ascii="华文楷体" w:hAnsi="华文楷体" w:eastAsia="华文楷体" w:cs="华文楷体"/>
          <w:color w:val="auto"/>
          <w:sz w:val="28"/>
          <w:szCs w:val="28"/>
          <w:highlight w:val="none"/>
          <w:u w:val="single"/>
        </w:rPr>
      </w:pPr>
      <w:r>
        <w:rPr>
          <w:rFonts w:hint="eastAsia" w:ascii="华文楷体" w:hAnsi="华文楷体" w:eastAsia="华文楷体" w:cs="华文楷体"/>
          <w:color w:val="auto"/>
          <w:sz w:val="28"/>
          <w:szCs w:val="28"/>
          <w:highlight w:val="none"/>
        </w:rPr>
        <w:t>法定代表人或其委托代理人（签字或盖章）：</w:t>
      </w:r>
      <w:r>
        <w:rPr>
          <w:rFonts w:hint="eastAsia" w:ascii="华文楷体" w:hAnsi="华文楷体" w:eastAsia="华文楷体" w:cs="华文楷体"/>
          <w:color w:val="auto"/>
          <w:sz w:val="28"/>
          <w:szCs w:val="28"/>
          <w:highlight w:val="none"/>
          <w:u w:val="single"/>
        </w:rPr>
        <w:tab/>
      </w:r>
    </w:p>
    <w:p>
      <w:pPr>
        <w:spacing w:line="360" w:lineRule="auto"/>
        <w:ind w:firstLine="389" w:firstLineChars="139"/>
        <w:jc w:val="left"/>
        <w:rPr>
          <w:rFonts w:ascii="华文楷体" w:hAnsi="华文楷体" w:eastAsia="华文楷体" w:cs="华文楷体"/>
          <w:bCs/>
          <w:color w:val="auto"/>
          <w:sz w:val="28"/>
          <w:szCs w:val="28"/>
          <w:highlight w:val="none"/>
        </w:rPr>
      </w:pPr>
      <w:r>
        <w:rPr>
          <w:rFonts w:hint="eastAsia" w:ascii="华文楷体" w:hAnsi="华文楷体" w:eastAsia="华文楷体" w:cs="华文楷体"/>
          <w:color w:val="auto"/>
          <w:sz w:val="28"/>
          <w:szCs w:val="28"/>
          <w:highlight w:val="none"/>
        </w:rPr>
        <w:t>投标日期：   年   月   日</w:t>
      </w:r>
    </w:p>
    <w:p>
      <w:pPr>
        <w:spacing w:line="360" w:lineRule="auto"/>
        <w:jc w:val="center"/>
        <w:rPr>
          <w:rFonts w:ascii="黑体" w:hAnsi="黑体" w:eastAsia="黑体" w:cs="黑体"/>
          <w:b/>
          <w:color w:val="auto"/>
          <w:sz w:val="32"/>
          <w:szCs w:val="32"/>
          <w:highlight w:val="none"/>
        </w:rPr>
      </w:pPr>
      <w:r>
        <w:rPr>
          <w:rFonts w:hint="eastAsia"/>
          <w:b/>
          <w:color w:val="auto"/>
          <w:sz w:val="30"/>
          <w:szCs w:val="30"/>
          <w:highlight w:val="none"/>
        </w:rPr>
        <w:br w:type="page"/>
      </w:r>
      <w:r>
        <w:rPr>
          <w:rFonts w:hint="eastAsia" w:ascii="黑体" w:hAnsi="黑体" w:eastAsia="黑体" w:cs="黑体"/>
          <w:b/>
          <w:color w:val="auto"/>
          <w:sz w:val="32"/>
          <w:szCs w:val="32"/>
          <w:highlight w:val="none"/>
        </w:rPr>
        <w:t>目 录</w:t>
      </w:r>
    </w:p>
    <w:p>
      <w:pPr>
        <w:spacing w:line="360" w:lineRule="auto"/>
        <w:jc w:val="center"/>
        <w:rPr>
          <w:rFonts w:ascii="黑体" w:hAnsi="黑体" w:eastAsia="黑体" w:cs="黑体"/>
          <w:b/>
          <w:color w:val="auto"/>
          <w:sz w:val="32"/>
          <w:szCs w:val="32"/>
          <w:highlight w:val="none"/>
        </w:rPr>
      </w:pPr>
    </w:p>
    <w:p>
      <w:pPr>
        <w:spacing w:line="360" w:lineRule="auto"/>
        <w:rPr>
          <w:color w:val="auto"/>
          <w:szCs w:val="21"/>
          <w:highlight w:val="none"/>
        </w:rPr>
      </w:pPr>
      <w:r>
        <w:rPr>
          <w:rFonts w:hint="eastAsia"/>
          <w:color w:val="auto"/>
          <w:szCs w:val="21"/>
          <w:highlight w:val="none"/>
        </w:rPr>
        <w:t>一、施工技术投标书</w:t>
      </w:r>
    </w:p>
    <w:p>
      <w:pPr>
        <w:spacing w:line="360" w:lineRule="auto"/>
        <w:rPr>
          <w:color w:val="auto"/>
          <w:szCs w:val="21"/>
          <w:highlight w:val="none"/>
        </w:rPr>
      </w:pPr>
      <w:r>
        <w:rPr>
          <w:rFonts w:hint="eastAsia"/>
          <w:color w:val="auto"/>
          <w:szCs w:val="21"/>
          <w:highlight w:val="none"/>
        </w:rPr>
        <w:t>二、设计投标书</w:t>
      </w:r>
    </w:p>
    <w:p>
      <w:pPr>
        <w:spacing w:line="360" w:lineRule="auto"/>
        <w:rPr>
          <w:color w:val="auto"/>
          <w:szCs w:val="21"/>
          <w:highlight w:val="none"/>
        </w:rPr>
      </w:pPr>
      <w:r>
        <w:rPr>
          <w:rFonts w:hint="eastAsia"/>
          <w:color w:val="auto"/>
          <w:szCs w:val="21"/>
          <w:highlight w:val="none"/>
        </w:rPr>
        <w:t>三、投标承诺书</w:t>
      </w:r>
    </w:p>
    <w:p>
      <w:pPr>
        <w:spacing w:line="360" w:lineRule="auto"/>
        <w:rPr>
          <w:color w:val="auto"/>
          <w:szCs w:val="21"/>
          <w:highlight w:val="none"/>
        </w:rPr>
      </w:pPr>
      <w:r>
        <w:rPr>
          <w:rFonts w:hint="eastAsia"/>
          <w:color w:val="auto"/>
          <w:szCs w:val="21"/>
          <w:highlight w:val="none"/>
        </w:rPr>
        <w:t>四、参与编制施工技术投标文件人员名单</w:t>
      </w:r>
    </w:p>
    <w:p>
      <w:pPr>
        <w:spacing w:line="360" w:lineRule="auto"/>
        <w:rPr>
          <w:color w:val="auto"/>
          <w:szCs w:val="21"/>
          <w:highlight w:val="none"/>
        </w:rPr>
      </w:pPr>
      <w:r>
        <w:rPr>
          <w:rFonts w:hint="eastAsia"/>
          <w:color w:val="auto"/>
          <w:szCs w:val="21"/>
          <w:highlight w:val="none"/>
        </w:rPr>
        <w:t>五、施工技术评分资料（按《工程总承包实施方案（含资信部分）文件评分表》要求提交）</w:t>
      </w:r>
    </w:p>
    <w:p>
      <w:pPr>
        <w:spacing w:line="360" w:lineRule="auto"/>
        <w:rPr>
          <w:color w:val="auto"/>
          <w:szCs w:val="21"/>
          <w:highlight w:val="none"/>
        </w:rPr>
      </w:pPr>
      <w:r>
        <w:rPr>
          <w:rFonts w:hint="eastAsia"/>
          <w:color w:val="auto"/>
          <w:szCs w:val="21"/>
          <w:highlight w:val="none"/>
        </w:rPr>
        <w:t>六、投标人认为应提供的其他资料</w:t>
      </w:r>
    </w:p>
    <w:p>
      <w:pPr>
        <w:spacing w:line="360" w:lineRule="auto"/>
        <w:rPr>
          <w:color w:val="auto"/>
          <w:szCs w:val="21"/>
          <w:highlight w:val="none"/>
        </w:rPr>
      </w:pPr>
    </w:p>
    <w:p>
      <w:pPr>
        <w:spacing w:line="360" w:lineRule="auto"/>
        <w:jc w:val="left"/>
        <w:rPr>
          <w:b/>
          <w:color w:val="auto"/>
          <w:sz w:val="30"/>
          <w:szCs w:val="30"/>
          <w:highlight w:val="none"/>
        </w:rPr>
      </w:pPr>
    </w:p>
    <w:p>
      <w:pPr>
        <w:spacing w:line="360" w:lineRule="auto"/>
        <w:rPr>
          <w:color w:val="auto"/>
          <w:szCs w:val="21"/>
          <w:highlight w:val="none"/>
        </w:rPr>
      </w:pPr>
      <w:r>
        <w:rPr>
          <w:rFonts w:hint="eastAsia"/>
          <w:color w:val="auto"/>
          <w:szCs w:val="21"/>
          <w:highlight w:val="none"/>
        </w:rPr>
        <w:t>注：页码由投标人自行编制。目录格式仅供参考，投标人可根据实际情况进行扩展及补充。</w:t>
      </w:r>
    </w:p>
    <w:p>
      <w:pPr>
        <w:spacing w:line="360" w:lineRule="auto"/>
        <w:jc w:val="center"/>
        <w:rPr>
          <w:rFonts w:ascii="黑体" w:hAnsi="黑体" w:eastAsia="黑体" w:cs="黑体"/>
          <w:b/>
          <w:color w:val="auto"/>
          <w:sz w:val="32"/>
          <w:szCs w:val="32"/>
          <w:highlight w:val="none"/>
          <w:lang w:val="zh-CN"/>
        </w:rPr>
      </w:pPr>
      <w:r>
        <w:rPr>
          <w:b/>
          <w:color w:val="auto"/>
          <w:sz w:val="48"/>
          <w:szCs w:val="48"/>
          <w:highlight w:val="none"/>
        </w:rPr>
        <w:br w:type="page"/>
      </w:r>
      <w:r>
        <w:rPr>
          <w:rFonts w:hint="eastAsia" w:ascii="黑体" w:hAnsi="黑体" w:eastAsia="黑体" w:cs="黑体"/>
          <w:b/>
          <w:color w:val="auto"/>
          <w:sz w:val="32"/>
          <w:szCs w:val="32"/>
          <w:highlight w:val="none"/>
        </w:rPr>
        <w:t>施工</w:t>
      </w:r>
      <w:r>
        <w:rPr>
          <w:rFonts w:hint="eastAsia" w:ascii="黑体" w:hAnsi="黑体" w:eastAsia="黑体" w:cs="黑体"/>
          <w:b/>
          <w:color w:val="auto"/>
          <w:sz w:val="32"/>
          <w:szCs w:val="32"/>
          <w:highlight w:val="none"/>
          <w:lang w:val="zh-CN"/>
        </w:rPr>
        <w:t>技术投标书</w:t>
      </w:r>
    </w:p>
    <w:p>
      <w:pPr>
        <w:autoSpaceDE w:val="0"/>
        <w:autoSpaceDN w:val="0"/>
        <w:adjustRightInd w:val="0"/>
        <w:spacing w:line="360" w:lineRule="auto"/>
        <w:jc w:val="right"/>
        <w:rPr>
          <w:bCs/>
          <w:color w:val="auto"/>
          <w:szCs w:val="21"/>
          <w:highlight w:val="none"/>
          <w:lang w:val="zh-CN"/>
        </w:rPr>
      </w:pPr>
      <w:r>
        <w:rPr>
          <w:rFonts w:hint="eastAsia"/>
          <w:bCs/>
          <w:color w:val="auto"/>
          <w:szCs w:val="21"/>
          <w:highlight w:val="none"/>
          <w:lang w:val="zh-CN"/>
        </w:rPr>
        <w:t>投标日期：   年  月  日</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2294"/>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r>
              <w:rPr>
                <w:rFonts w:hint="eastAsia"/>
                <w:bCs/>
                <w:color w:val="auto"/>
                <w:szCs w:val="21"/>
                <w:highlight w:val="none"/>
              </w:rPr>
              <w:t>项目</w:t>
            </w:r>
            <w:r>
              <w:rPr>
                <w:rFonts w:hint="eastAsia"/>
                <w:bCs/>
                <w:color w:val="auto"/>
                <w:szCs w:val="21"/>
                <w:highlight w:val="none"/>
                <w:lang w:val="zh-CN"/>
              </w:rPr>
              <w:t>名称</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auto"/>
                <w:szCs w:val="21"/>
                <w:highlight w:val="none"/>
                <w:lang w:val="zh-CN"/>
              </w:rPr>
            </w:pPr>
            <w:r>
              <w:rPr>
                <w:rFonts w:hint="eastAsia"/>
                <w:bCs/>
                <w:color w:val="auto"/>
                <w:szCs w:val="21"/>
                <w:highlight w:val="none"/>
              </w:rPr>
              <w:t>项目</w:t>
            </w:r>
            <w:r>
              <w:rPr>
                <w:rFonts w:hint="eastAsia"/>
                <w:bCs/>
                <w:color w:val="auto"/>
                <w:szCs w:val="21"/>
                <w:highlight w:val="none"/>
                <w:lang w:val="zh-CN"/>
              </w:rPr>
              <w:t>工期</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tcBorders>
              <w:left w:val="single" w:color="auto" w:sz="4" w:space="0"/>
              <w:bottom w:val="single" w:color="auto" w:sz="4" w:space="0"/>
              <w:right w:val="single" w:color="auto" w:sz="4" w:space="0"/>
            </w:tcBorders>
            <w:vAlign w:val="center"/>
          </w:tcPr>
          <w:p>
            <w:pPr>
              <w:spacing w:line="360" w:lineRule="auto"/>
              <w:jc w:val="center"/>
              <w:rPr>
                <w:bCs/>
                <w:color w:val="auto"/>
                <w:szCs w:val="21"/>
                <w:highlight w:val="none"/>
                <w:lang w:val="zh-CN"/>
              </w:rPr>
            </w:pPr>
            <w:r>
              <w:rPr>
                <w:rFonts w:hint="eastAsia"/>
                <w:bCs/>
                <w:color w:val="auto"/>
                <w:szCs w:val="21"/>
                <w:highlight w:val="none"/>
                <w:lang w:val="zh-CN"/>
              </w:rPr>
              <w:t>质量标准</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r>
              <w:rPr>
                <w:rFonts w:hint="eastAsia"/>
                <w:bCs/>
                <w:color w:val="auto"/>
                <w:szCs w:val="21"/>
                <w:highlight w:val="none"/>
                <w:lang w:val="zh-CN"/>
              </w:rPr>
              <w:t>保修期限</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rPr>
            </w:pPr>
            <w:r>
              <w:rPr>
                <w:rFonts w:hint="eastAsia"/>
                <w:bCs/>
                <w:color w:val="auto"/>
                <w:szCs w:val="21"/>
                <w:highlight w:val="none"/>
              </w:rPr>
              <w:t>项目负责人（</w:t>
            </w:r>
            <w:r>
              <w:rPr>
                <w:rFonts w:hint="eastAsia"/>
                <w:color w:val="auto"/>
                <w:szCs w:val="21"/>
                <w:highlight w:val="none"/>
              </w:rPr>
              <w:t>施工负责人）</w:t>
            </w: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rPr>
              <w:t>姓    名</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rPr>
              <w:t>注册证号</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restart"/>
            <w:tcBorders>
              <w:left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rPr>
            </w:pPr>
            <w:r>
              <w:rPr>
                <w:rFonts w:hint="eastAsia"/>
                <w:bCs/>
                <w:color w:val="auto"/>
                <w:szCs w:val="21"/>
                <w:highlight w:val="none"/>
              </w:rPr>
              <w:t>设计负责人</w:t>
            </w: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rPr>
            </w:pPr>
            <w:r>
              <w:rPr>
                <w:rFonts w:hint="eastAsia"/>
                <w:bCs/>
                <w:color w:val="auto"/>
                <w:szCs w:val="21"/>
                <w:highlight w:val="none"/>
              </w:rPr>
              <w:t>姓    名</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rPr>
            </w:pPr>
            <w:r>
              <w:rPr>
                <w:rFonts w:hint="eastAsia"/>
                <w:bCs/>
                <w:color w:val="auto"/>
                <w:szCs w:val="21"/>
                <w:highlight w:val="none"/>
              </w:rPr>
              <w:t>职称证号或注册证号</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restart"/>
            <w:tcBorders>
              <w:left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rPr>
            </w:pPr>
            <w:r>
              <w:rPr>
                <w:rFonts w:hint="eastAsia"/>
                <w:bCs/>
                <w:color w:val="auto"/>
                <w:szCs w:val="21"/>
                <w:highlight w:val="none"/>
              </w:rPr>
              <w:t>安全员</w:t>
            </w: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08" w:firstLineChars="147"/>
              <w:jc w:val="center"/>
              <w:rPr>
                <w:color w:val="auto"/>
                <w:szCs w:val="21"/>
                <w:highlight w:val="none"/>
              </w:rPr>
            </w:pPr>
            <w:r>
              <w:rPr>
                <w:rFonts w:hint="eastAsia"/>
                <w:color w:val="auto"/>
                <w:szCs w:val="21"/>
                <w:highlight w:val="none"/>
                <w:lang w:val="zh-CN"/>
              </w:rPr>
              <w:t>姓名</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color w:val="auto"/>
                <w:szCs w:val="21"/>
                <w:highlight w:val="none"/>
              </w:rPr>
            </w:pPr>
            <w:r>
              <w:rPr>
                <w:rFonts w:hint="eastAsia"/>
                <w:color w:val="auto"/>
                <w:szCs w:val="21"/>
                <w:highlight w:val="none"/>
              </w:rPr>
              <w:t>安全生产考核</w:t>
            </w:r>
          </w:p>
          <w:p>
            <w:pPr>
              <w:autoSpaceDE w:val="0"/>
              <w:autoSpaceDN w:val="0"/>
              <w:adjustRightInd w:val="0"/>
              <w:spacing w:line="360" w:lineRule="auto"/>
              <w:jc w:val="center"/>
              <w:rPr>
                <w:color w:val="auto"/>
                <w:szCs w:val="21"/>
                <w:highlight w:val="none"/>
              </w:rPr>
            </w:pPr>
            <w:r>
              <w:rPr>
                <w:rFonts w:hint="eastAsia"/>
                <w:color w:val="auto"/>
                <w:szCs w:val="21"/>
                <w:highlight w:val="none"/>
              </w:rPr>
              <w:t>合格证（</w:t>
            </w:r>
            <w:r>
              <w:rPr>
                <w:color w:val="auto"/>
                <w:szCs w:val="21"/>
                <w:highlight w:val="none"/>
              </w:rPr>
              <w:t>C</w:t>
            </w:r>
            <w:r>
              <w:rPr>
                <w:rFonts w:hint="eastAsia"/>
                <w:color w:val="auto"/>
                <w:szCs w:val="21"/>
                <w:highlight w:val="none"/>
              </w:rPr>
              <w:t>类）编号</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r>
              <w:rPr>
                <w:rFonts w:hint="eastAsia"/>
                <w:bCs/>
                <w:color w:val="auto"/>
                <w:szCs w:val="21"/>
                <w:highlight w:val="none"/>
                <w:lang w:val="zh-CN"/>
              </w:rPr>
              <w:t>法定代表人</w:t>
            </w:r>
          </w:p>
          <w:p>
            <w:pPr>
              <w:autoSpaceDE w:val="0"/>
              <w:autoSpaceDN w:val="0"/>
              <w:adjustRightInd w:val="0"/>
              <w:spacing w:line="360" w:lineRule="auto"/>
              <w:jc w:val="center"/>
              <w:rPr>
                <w:bCs/>
                <w:color w:val="auto"/>
                <w:szCs w:val="21"/>
                <w:highlight w:val="none"/>
                <w:lang w:val="zh-CN"/>
              </w:rPr>
            </w:pPr>
            <w:r>
              <w:rPr>
                <w:rFonts w:hint="eastAsia"/>
                <w:bCs/>
                <w:color w:val="auto"/>
                <w:szCs w:val="21"/>
                <w:highlight w:val="none"/>
                <w:lang w:val="zh-CN"/>
              </w:rPr>
              <w:t>（签名或盖章）</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r>
              <w:rPr>
                <w:rFonts w:hint="eastAsia"/>
                <w:bCs/>
                <w:color w:val="auto"/>
                <w:szCs w:val="21"/>
                <w:highlight w:val="none"/>
                <w:lang w:val="zh-CN"/>
              </w:rPr>
              <w:t>授权委托人</w:t>
            </w:r>
          </w:p>
          <w:p>
            <w:pPr>
              <w:autoSpaceDE w:val="0"/>
              <w:autoSpaceDN w:val="0"/>
              <w:adjustRightInd w:val="0"/>
              <w:spacing w:line="360" w:lineRule="auto"/>
              <w:jc w:val="center"/>
              <w:rPr>
                <w:bCs/>
                <w:color w:val="auto"/>
                <w:szCs w:val="21"/>
                <w:highlight w:val="none"/>
                <w:lang w:val="zh-CN"/>
              </w:rPr>
            </w:pPr>
            <w:r>
              <w:rPr>
                <w:rFonts w:hint="eastAsia"/>
                <w:bCs/>
                <w:color w:val="auto"/>
                <w:szCs w:val="21"/>
                <w:highlight w:val="none"/>
                <w:lang w:val="zh-CN"/>
              </w:rPr>
              <w:t>（签名或盖章）</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r>
              <w:rPr>
                <w:rFonts w:hint="eastAsia"/>
                <w:bCs/>
                <w:color w:val="auto"/>
                <w:szCs w:val="21"/>
                <w:highlight w:val="none"/>
                <w:lang w:val="zh-CN"/>
              </w:rPr>
              <w:t>投标单位</w:t>
            </w:r>
          </w:p>
          <w:p>
            <w:pPr>
              <w:autoSpaceDE w:val="0"/>
              <w:autoSpaceDN w:val="0"/>
              <w:adjustRightInd w:val="0"/>
              <w:spacing w:line="360" w:lineRule="auto"/>
              <w:jc w:val="center"/>
              <w:rPr>
                <w:bCs/>
                <w:color w:val="auto"/>
                <w:szCs w:val="21"/>
                <w:highlight w:val="none"/>
                <w:lang w:val="zh-CN"/>
              </w:rPr>
            </w:pPr>
            <w:r>
              <w:rPr>
                <w:rFonts w:hint="eastAsia"/>
                <w:bCs/>
                <w:color w:val="auto"/>
                <w:szCs w:val="21"/>
                <w:highlight w:val="none"/>
                <w:lang w:val="zh-CN"/>
              </w:rPr>
              <w:t>（企业公章）</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bl>
    <w:p>
      <w:pPr>
        <w:spacing w:line="360" w:lineRule="auto"/>
        <w:jc w:val="center"/>
        <w:rPr>
          <w:rFonts w:ascii="黑体" w:hAnsi="黑体" w:eastAsia="黑体" w:cs="黑体"/>
          <w:b/>
          <w:bCs/>
          <w:color w:val="auto"/>
          <w:sz w:val="32"/>
          <w:szCs w:val="32"/>
          <w:highlight w:val="none"/>
          <w:lang w:val="zh-CN"/>
        </w:rPr>
      </w:pPr>
      <w:r>
        <w:rPr>
          <w:b/>
          <w:color w:val="auto"/>
          <w:szCs w:val="21"/>
          <w:highlight w:val="none"/>
        </w:rPr>
        <w:br w:type="page"/>
      </w:r>
      <w:r>
        <w:rPr>
          <w:rFonts w:hint="eastAsia" w:ascii="黑体" w:hAnsi="黑体" w:eastAsia="黑体" w:cs="黑体"/>
          <w:b/>
          <w:bCs/>
          <w:color w:val="auto"/>
          <w:sz w:val="32"/>
          <w:szCs w:val="32"/>
          <w:highlight w:val="none"/>
          <w:lang w:val="zh-CN"/>
        </w:rPr>
        <w:t>设计投标书</w:t>
      </w:r>
    </w:p>
    <w:p>
      <w:pPr>
        <w:spacing w:line="360" w:lineRule="auto"/>
        <w:rPr>
          <w:color w:val="auto"/>
          <w:szCs w:val="21"/>
          <w:highlight w:val="none"/>
        </w:rPr>
      </w:pPr>
    </w:p>
    <w:p>
      <w:pPr>
        <w:spacing w:line="360" w:lineRule="auto"/>
        <w:jc w:val="left"/>
        <w:rPr>
          <w:color w:val="auto"/>
          <w:szCs w:val="21"/>
          <w:highlight w:val="none"/>
        </w:rPr>
      </w:pPr>
      <w:r>
        <w:rPr>
          <w:rFonts w:hint="eastAsia"/>
          <w:color w:val="auto"/>
          <w:szCs w:val="21"/>
          <w:highlight w:val="none"/>
        </w:rPr>
        <w:t>工程名称：</w:t>
      </w:r>
    </w:p>
    <w:p>
      <w:pPr>
        <w:pStyle w:val="21"/>
        <w:spacing w:line="360" w:lineRule="auto"/>
        <w:rPr>
          <w:rFonts w:hAnsi="宋体"/>
          <w:color w:val="auto"/>
          <w:sz w:val="21"/>
          <w:szCs w:val="21"/>
          <w:highlight w:val="none"/>
        </w:rPr>
      </w:pPr>
    </w:p>
    <w:p>
      <w:pPr>
        <w:pStyle w:val="21"/>
        <w:spacing w:line="360" w:lineRule="auto"/>
        <w:rPr>
          <w:rFonts w:hAnsi="宋体"/>
          <w:color w:val="auto"/>
          <w:sz w:val="21"/>
          <w:szCs w:val="21"/>
          <w:highlight w:val="none"/>
        </w:rPr>
      </w:pPr>
      <w:r>
        <w:rPr>
          <w:rFonts w:hint="eastAsia" w:hAnsi="宋体"/>
          <w:color w:val="auto"/>
          <w:sz w:val="21"/>
          <w:szCs w:val="21"/>
          <w:highlight w:val="none"/>
        </w:rPr>
        <w:t>致：（招标人名称）</w:t>
      </w:r>
    </w:p>
    <w:p>
      <w:pPr>
        <w:spacing w:line="360" w:lineRule="auto"/>
        <w:jc w:val="left"/>
        <w:rPr>
          <w:color w:val="auto"/>
          <w:szCs w:val="21"/>
          <w:highlight w:val="none"/>
        </w:rPr>
      </w:pPr>
    </w:p>
    <w:p>
      <w:pPr>
        <w:pStyle w:val="21"/>
        <w:spacing w:line="360" w:lineRule="auto"/>
        <w:ind w:firstLine="420" w:firstLineChars="200"/>
        <w:rPr>
          <w:rFonts w:hAnsi="宋体"/>
          <w:color w:val="auto"/>
          <w:sz w:val="21"/>
          <w:szCs w:val="21"/>
          <w:highlight w:val="none"/>
        </w:rPr>
      </w:pPr>
      <w:r>
        <w:rPr>
          <w:rFonts w:hint="eastAsia" w:hAnsi="宋体"/>
          <w:color w:val="auto"/>
          <w:sz w:val="21"/>
          <w:szCs w:val="21"/>
          <w:highlight w:val="none"/>
        </w:rPr>
        <w:t>我方已收到并研究了上述项目的招标文件、合同条件、技术文件等文件。我方已检查和核对了这些文件，未发现他们有错误或其他缺陷。据此，我方愿按这些文件的规定，按照本投标书，包括一并提交的所有文件材料和所附建议书，承担上述项目并修补其中任何缺陷。</w:t>
      </w:r>
    </w:p>
    <w:p>
      <w:pPr>
        <w:pStyle w:val="21"/>
        <w:spacing w:line="360" w:lineRule="auto"/>
        <w:ind w:firstLine="420" w:firstLineChars="200"/>
        <w:rPr>
          <w:rFonts w:hAnsi="宋体"/>
          <w:color w:val="auto"/>
          <w:sz w:val="21"/>
          <w:szCs w:val="21"/>
          <w:highlight w:val="none"/>
        </w:rPr>
      </w:pPr>
      <w:r>
        <w:rPr>
          <w:rFonts w:hint="eastAsia" w:hAnsi="宋体"/>
          <w:color w:val="auto"/>
          <w:sz w:val="21"/>
          <w:szCs w:val="21"/>
          <w:highlight w:val="none"/>
        </w:rPr>
        <w:t>我方遵守本投标书直至投标有效期满，在该日期前，本投标书对我方一直具有约束力，随时可接受中标。如果我方投标书含有不符合招标文件规定的内容，我方同意按招标文件规定予以修正。我方接受你方关于任命争端裁决委员会的建议。</w:t>
      </w:r>
    </w:p>
    <w:p>
      <w:pPr>
        <w:pStyle w:val="21"/>
        <w:spacing w:line="360" w:lineRule="auto"/>
        <w:ind w:firstLine="480"/>
        <w:rPr>
          <w:rFonts w:hAnsi="宋体"/>
          <w:color w:val="auto"/>
          <w:sz w:val="21"/>
          <w:szCs w:val="21"/>
          <w:highlight w:val="none"/>
        </w:rPr>
      </w:pPr>
      <w:r>
        <w:rPr>
          <w:rFonts w:hint="eastAsia" w:hAnsi="宋体"/>
          <w:color w:val="auto"/>
          <w:sz w:val="21"/>
          <w:szCs w:val="21"/>
          <w:highlight w:val="none"/>
        </w:rPr>
        <w:t>我方认同招标文件规定的评审规则，遵守评标委员会的裁决结果，并且不会采取妨碍项目进展的行为。</w:t>
      </w:r>
    </w:p>
    <w:p>
      <w:pPr>
        <w:pStyle w:val="21"/>
        <w:spacing w:line="360" w:lineRule="auto"/>
        <w:ind w:firstLine="420" w:firstLineChars="200"/>
        <w:rPr>
          <w:rFonts w:hAnsi="宋体"/>
          <w:color w:val="auto"/>
          <w:sz w:val="21"/>
          <w:szCs w:val="21"/>
          <w:highlight w:val="none"/>
        </w:rPr>
      </w:pPr>
      <w:r>
        <w:rPr>
          <w:rFonts w:hint="eastAsia" w:hAnsi="宋体"/>
          <w:color w:val="auto"/>
          <w:sz w:val="21"/>
          <w:szCs w:val="21"/>
          <w:highlight w:val="none"/>
        </w:rPr>
        <w:t>除非制订正式合同协议书并生效，本投标书以及你方中标通知书，应构成你我双方间具有约束力的合同。</w:t>
      </w:r>
    </w:p>
    <w:p>
      <w:pPr>
        <w:spacing w:line="360" w:lineRule="auto"/>
        <w:ind w:firstLine="420" w:firstLineChars="200"/>
        <w:rPr>
          <w:color w:val="auto"/>
          <w:szCs w:val="21"/>
          <w:highlight w:val="none"/>
        </w:rPr>
      </w:pPr>
      <w:r>
        <w:rPr>
          <w:rFonts w:hint="eastAsia"/>
          <w:color w:val="auto"/>
          <w:szCs w:val="21"/>
          <w:highlight w:val="none"/>
        </w:rPr>
        <w:t>本投标书同时作为法人证明书或法人授权委托书。</w:t>
      </w:r>
    </w:p>
    <w:p>
      <w:pPr>
        <w:spacing w:line="360" w:lineRule="auto"/>
        <w:rPr>
          <w:color w:val="auto"/>
          <w:szCs w:val="21"/>
          <w:highlight w:val="none"/>
        </w:rPr>
      </w:pPr>
    </w:p>
    <w:p>
      <w:pPr>
        <w:spacing w:line="360" w:lineRule="auto"/>
        <w:ind w:firstLine="3360" w:firstLineChars="1600"/>
        <w:rPr>
          <w:color w:val="auto"/>
          <w:szCs w:val="21"/>
          <w:highlight w:val="none"/>
        </w:rPr>
      </w:pPr>
      <w:r>
        <w:rPr>
          <w:color w:val="auto"/>
          <w:szCs w:val="21"/>
          <w:highlight w:val="none"/>
        </w:rPr>
        <w:t>投标人</w:t>
      </w:r>
      <w:r>
        <w:rPr>
          <w:rFonts w:hint="eastAsia"/>
          <w:color w:val="auto"/>
          <w:szCs w:val="21"/>
          <w:highlight w:val="none"/>
        </w:rPr>
        <w:t>（</w:t>
      </w:r>
      <w:r>
        <w:rPr>
          <w:color w:val="auto"/>
          <w:szCs w:val="21"/>
          <w:highlight w:val="none"/>
        </w:rPr>
        <w:t>盖章</w:t>
      </w:r>
      <w:r>
        <w:rPr>
          <w:rFonts w:hint="eastAsia"/>
          <w:color w:val="auto"/>
          <w:szCs w:val="21"/>
          <w:highlight w:val="none"/>
        </w:rPr>
        <w:t>）</w:t>
      </w:r>
      <w:r>
        <w:rPr>
          <w:color w:val="auto"/>
          <w:szCs w:val="21"/>
          <w:highlight w:val="none"/>
        </w:rPr>
        <w:t>：</w:t>
      </w:r>
    </w:p>
    <w:p>
      <w:pPr>
        <w:spacing w:line="360" w:lineRule="auto"/>
        <w:ind w:firstLine="3360" w:firstLineChars="1600"/>
        <w:rPr>
          <w:color w:val="auto"/>
          <w:szCs w:val="21"/>
          <w:highlight w:val="none"/>
          <w:u w:val="single"/>
        </w:rPr>
      </w:pPr>
      <w:r>
        <w:rPr>
          <w:color w:val="auto"/>
          <w:szCs w:val="21"/>
          <w:highlight w:val="none"/>
        </w:rPr>
        <w:t>法定代表人或其授权代理人(签名</w:t>
      </w:r>
      <w:r>
        <w:rPr>
          <w:rFonts w:hint="eastAsia"/>
          <w:color w:val="auto"/>
          <w:szCs w:val="21"/>
          <w:highlight w:val="none"/>
        </w:rPr>
        <w:t>或盖章</w:t>
      </w:r>
      <w:r>
        <w:rPr>
          <w:color w:val="auto"/>
          <w:szCs w:val="21"/>
          <w:highlight w:val="none"/>
        </w:rPr>
        <w:t>)：</w:t>
      </w:r>
    </w:p>
    <w:p>
      <w:pPr>
        <w:spacing w:line="360" w:lineRule="auto"/>
        <w:ind w:firstLine="3360" w:firstLineChars="1600"/>
        <w:rPr>
          <w:color w:val="auto"/>
          <w:szCs w:val="21"/>
          <w:highlight w:val="none"/>
        </w:rPr>
      </w:pPr>
      <w:r>
        <w:rPr>
          <w:color w:val="auto"/>
          <w:szCs w:val="21"/>
          <w:highlight w:val="none"/>
        </w:rPr>
        <w:t>日期：    年    月    日</w:t>
      </w:r>
    </w:p>
    <w:p>
      <w:pPr>
        <w:pStyle w:val="21"/>
        <w:spacing w:line="360" w:lineRule="auto"/>
        <w:rPr>
          <w:rFonts w:hAnsi="宋体"/>
          <w:color w:val="auto"/>
          <w:sz w:val="21"/>
          <w:szCs w:val="21"/>
          <w:highlight w:val="none"/>
        </w:rPr>
      </w:pPr>
    </w:p>
    <w:p>
      <w:pPr>
        <w:pStyle w:val="21"/>
        <w:spacing w:line="360" w:lineRule="auto"/>
        <w:ind w:firstLine="210" w:firstLineChars="100"/>
        <w:rPr>
          <w:rFonts w:hAnsi="宋体"/>
          <w:color w:val="auto"/>
          <w:sz w:val="21"/>
          <w:szCs w:val="21"/>
          <w:highlight w:val="none"/>
        </w:rPr>
      </w:pPr>
    </w:p>
    <w:p>
      <w:pPr>
        <w:pStyle w:val="21"/>
        <w:spacing w:line="360" w:lineRule="auto"/>
        <w:jc w:val="left"/>
        <w:rPr>
          <w:color w:val="auto"/>
          <w:sz w:val="21"/>
          <w:szCs w:val="21"/>
          <w:highlight w:val="none"/>
        </w:rPr>
      </w:pPr>
      <w:r>
        <w:rPr>
          <w:rFonts w:hint="eastAsia" w:hAnsi="宋体"/>
          <w:b/>
          <w:color w:val="auto"/>
          <w:sz w:val="21"/>
          <w:szCs w:val="21"/>
          <w:highlight w:val="none"/>
        </w:rPr>
        <w:t>注：联合体投标的，“投标人”一栏需书写所有联合体成员的单位全称，可由主办方签字、盖章。</w:t>
      </w:r>
    </w:p>
    <w:p>
      <w:pPr>
        <w:spacing w:line="400" w:lineRule="exact"/>
        <w:rPr>
          <w:color w:val="auto"/>
          <w:highlight w:val="none"/>
        </w:rPr>
      </w:pPr>
    </w:p>
    <w:p>
      <w:pPr>
        <w:pStyle w:val="92"/>
        <w:spacing w:beforeLines="0" w:afterLines="0" w:line="360" w:lineRule="auto"/>
        <w:jc w:val="center"/>
        <w:rPr>
          <w:rFonts w:hAnsi="黑体" w:cs="黑体"/>
          <w:color w:val="auto"/>
          <w:spacing w:val="0"/>
          <w:sz w:val="32"/>
          <w:szCs w:val="32"/>
          <w:highlight w:val="none"/>
        </w:rPr>
      </w:pPr>
    </w:p>
    <w:p>
      <w:pPr>
        <w:pStyle w:val="92"/>
        <w:spacing w:beforeLines="0" w:afterLines="0" w:line="360" w:lineRule="auto"/>
        <w:jc w:val="center"/>
        <w:rPr>
          <w:rFonts w:hAnsi="黑体" w:cs="黑体"/>
          <w:color w:val="auto"/>
          <w:spacing w:val="0"/>
          <w:sz w:val="32"/>
          <w:szCs w:val="32"/>
          <w:highlight w:val="none"/>
        </w:rPr>
      </w:pPr>
    </w:p>
    <w:p>
      <w:pPr>
        <w:pStyle w:val="92"/>
        <w:spacing w:beforeLines="0" w:afterLines="0" w:line="360" w:lineRule="auto"/>
        <w:jc w:val="center"/>
        <w:rPr>
          <w:rFonts w:hAnsi="黑体" w:cs="黑体"/>
          <w:color w:val="auto"/>
          <w:spacing w:val="0"/>
          <w:sz w:val="32"/>
          <w:szCs w:val="32"/>
          <w:highlight w:val="none"/>
        </w:rPr>
      </w:pPr>
    </w:p>
    <w:p>
      <w:pPr>
        <w:pStyle w:val="92"/>
        <w:spacing w:beforeLines="0" w:afterLines="0" w:line="360" w:lineRule="auto"/>
        <w:jc w:val="center"/>
        <w:rPr>
          <w:rFonts w:hAnsi="黑体" w:cs="黑体"/>
          <w:color w:val="auto"/>
          <w:spacing w:val="0"/>
          <w:sz w:val="32"/>
          <w:szCs w:val="32"/>
          <w:highlight w:val="none"/>
        </w:rPr>
      </w:pPr>
      <w:r>
        <w:rPr>
          <w:rFonts w:hint="eastAsia" w:hAnsi="黑体" w:cs="黑体"/>
          <w:color w:val="auto"/>
          <w:spacing w:val="0"/>
          <w:sz w:val="32"/>
          <w:szCs w:val="32"/>
          <w:highlight w:val="none"/>
        </w:rPr>
        <w:t>投标承诺书</w:t>
      </w:r>
    </w:p>
    <w:p>
      <w:pPr>
        <w:spacing w:line="360" w:lineRule="auto"/>
        <w:rPr>
          <w:color w:val="auto"/>
          <w:szCs w:val="21"/>
          <w:highlight w:val="none"/>
        </w:rPr>
      </w:pPr>
    </w:p>
    <w:p>
      <w:pPr>
        <w:spacing w:line="360" w:lineRule="auto"/>
        <w:rPr>
          <w:color w:val="auto"/>
          <w:szCs w:val="21"/>
          <w:highlight w:val="none"/>
        </w:rPr>
      </w:pPr>
      <w:r>
        <w:rPr>
          <w:rFonts w:hint="eastAsia"/>
          <w:color w:val="auto"/>
          <w:szCs w:val="21"/>
          <w:highlight w:val="none"/>
        </w:rPr>
        <w:t>致</w:t>
      </w:r>
      <w:r>
        <w:rPr>
          <w:rFonts w:hint="eastAsia" w:hAnsi="宋体"/>
          <w:color w:val="auto"/>
          <w:szCs w:val="21"/>
          <w:highlight w:val="none"/>
        </w:rPr>
        <w:t>（招标人名称）</w:t>
      </w:r>
      <w:r>
        <w:rPr>
          <w:rFonts w:hint="eastAsia"/>
          <w:color w:val="auto"/>
          <w:szCs w:val="21"/>
          <w:highlight w:val="none"/>
        </w:rPr>
        <w:t>：</w:t>
      </w: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rFonts w:hint="eastAsia"/>
          <w:color w:val="auto"/>
          <w:szCs w:val="21"/>
          <w:highlight w:val="none"/>
        </w:rPr>
        <w:t>若我方成为“</w:t>
      </w:r>
      <w:r>
        <w:rPr>
          <w:rFonts w:hint="eastAsia"/>
          <w:color w:val="auto"/>
          <w:szCs w:val="21"/>
          <w:highlight w:val="none"/>
          <w:u w:val="single"/>
          <w:lang w:eastAsia="zh-CN"/>
        </w:rPr>
        <w:t>2022NJY-9地块首期基坑支护及土方开挖工程设计施工总承包</w:t>
      </w:r>
      <w:r>
        <w:rPr>
          <w:rFonts w:hint="eastAsia"/>
          <w:color w:val="auto"/>
          <w:szCs w:val="21"/>
          <w:highlight w:val="none"/>
        </w:rPr>
        <w:t>”的中标单位，我方郑重承诺，将切实完成以下工作，若不在限定时间内完成以下任何一项工作，可视为我方放弃本次中标资格，招标人可另择中标单位：</w:t>
      </w:r>
    </w:p>
    <w:p>
      <w:pPr>
        <w:spacing w:line="360" w:lineRule="auto"/>
        <w:ind w:firstLine="420" w:firstLineChars="200"/>
        <w:rPr>
          <w:color w:val="auto"/>
          <w:szCs w:val="21"/>
          <w:highlight w:val="none"/>
        </w:rPr>
      </w:pPr>
      <w:r>
        <w:rPr>
          <w:rFonts w:hint="eastAsia"/>
          <w:color w:val="auto"/>
          <w:szCs w:val="21"/>
          <w:highlight w:val="none"/>
        </w:rPr>
        <w:t>1、在招标</w:t>
      </w:r>
      <w:r>
        <w:rPr>
          <w:rFonts w:hint="eastAsia"/>
          <w:color w:val="auto"/>
          <w:szCs w:val="21"/>
          <w:highlight w:val="none"/>
          <w:lang w:eastAsia="zh-CN"/>
        </w:rPr>
        <w:t>人</w:t>
      </w:r>
      <w:r>
        <w:rPr>
          <w:rFonts w:hint="eastAsia"/>
          <w:color w:val="auto"/>
          <w:szCs w:val="21"/>
          <w:highlight w:val="none"/>
        </w:rPr>
        <w:t>通知的时间内，派委托代理人携带身份证及法人授权委托证明及时收取中标通知书，收到中标通知书后2个工作日内提交按照招投标文件、答疑纪要及有关补充说明、通知拟写的合同稿及其电子文件给招标人。</w:t>
      </w:r>
    </w:p>
    <w:p>
      <w:pPr>
        <w:spacing w:line="360" w:lineRule="auto"/>
        <w:ind w:firstLine="420" w:firstLineChars="200"/>
        <w:rPr>
          <w:color w:val="auto"/>
          <w:szCs w:val="21"/>
          <w:highlight w:val="none"/>
        </w:rPr>
      </w:pPr>
      <w:r>
        <w:rPr>
          <w:rFonts w:hint="eastAsia"/>
          <w:color w:val="auto"/>
          <w:szCs w:val="21"/>
          <w:highlight w:val="none"/>
        </w:rPr>
        <w:t>2、我单位合同签订负责人收到已审定的合同正式稿后5个工作日内签订合同并送达招标人。</w:t>
      </w:r>
    </w:p>
    <w:p>
      <w:pPr>
        <w:spacing w:line="360" w:lineRule="auto"/>
        <w:ind w:firstLine="420" w:firstLineChars="200"/>
        <w:rPr>
          <w:color w:val="auto"/>
          <w:szCs w:val="21"/>
          <w:highlight w:val="none"/>
        </w:rPr>
      </w:pPr>
      <w:r>
        <w:rPr>
          <w:rFonts w:hint="eastAsia"/>
          <w:color w:val="auto"/>
          <w:szCs w:val="21"/>
          <w:highlight w:val="none"/>
        </w:rPr>
        <w:t>3、招标人通知领取已签订的合同文件后2个工作日内领取合同文件。</w:t>
      </w:r>
    </w:p>
    <w:p>
      <w:pPr>
        <w:spacing w:line="360" w:lineRule="auto"/>
        <w:ind w:firstLine="420" w:firstLineChars="200"/>
        <w:rPr>
          <w:color w:val="auto"/>
          <w:szCs w:val="21"/>
          <w:highlight w:val="none"/>
        </w:rPr>
      </w:pPr>
      <w:r>
        <w:rPr>
          <w:rFonts w:hint="eastAsia"/>
          <w:color w:val="auto"/>
          <w:szCs w:val="21"/>
          <w:highlight w:val="none"/>
        </w:rPr>
        <w:t>4、我方承诺，严格按照上述1～3项要求办理相关工作，若不能按上述1～3项要求办理相关工作，我方自动放弃中标人资格，接受相关条款处罚。</w:t>
      </w:r>
    </w:p>
    <w:p>
      <w:pPr>
        <w:spacing w:line="360" w:lineRule="auto"/>
        <w:ind w:firstLine="420" w:firstLineChars="200"/>
        <w:rPr>
          <w:color w:val="auto"/>
          <w:szCs w:val="21"/>
          <w:highlight w:val="none"/>
        </w:rPr>
      </w:pPr>
      <w:r>
        <w:rPr>
          <w:rFonts w:hint="eastAsia"/>
          <w:color w:val="auto"/>
          <w:szCs w:val="21"/>
          <w:highlight w:val="none"/>
        </w:rPr>
        <w:t>5、合同签订负责人和项目负责人保持电话联系畅通。</w:t>
      </w:r>
    </w:p>
    <w:p>
      <w:pPr>
        <w:spacing w:line="360" w:lineRule="auto"/>
        <w:ind w:firstLine="420" w:firstLineChars="200"/>
        <w:rPr>
          <w:color w:val="auto"/>
          <w:szCs w:val="21"/>
          <w:highlight w:val="none"/>
        </w:rPr>
      </w:pPr>
    </w:p>
    <w:p>
      <w:pPr>
        <w:spacing w:line="360" w:lineRule="auto"/>
        <w:rPr>
          <w:color w:val="auto"/>
          <w:szCs w:val="21"/>
          <w:highlight w:val="none"/>
        </w:rPr>
      </w:pPr>
      <w:r>
        <w:rPr>
          <w:rFonts w:hint="eastAsia"/>
          <w:color w:val="auto"/>
          <w:szCs w:val="21"/>
          <w:highlight w:val="none"/>
        </w:rPr>
        <w:t>投标单位（盖公章）：</w:t>
      </w:r>
    </w:p>
    <w:p>
      <w:pPr>
        <w:spacing w:line="360" w:lineRule="auto"/>
        <w:rPr>
          <w:color w:val="auto"/>
          <w:szCs w:val="21"/>
          <w:highlight w:val="none"/>
        </w:rPr>
      </w:pPr>
      <w:r>
        <w:rPr>
          <w:rFonts w:hint="eastAsia"/>
          <w:color w:val="auto"/>
          <w:szCs w:val="21"/>
          <w:highlight w:val="none"/>
        </w:rPr>
        <w:t>法定代表人（签字或盖章）：</w:t>
      </w:r>
    </w:p>
    <w:p>
      <w:pPr>
        <w:spacing w:line="360" w:lineRule="auto"/>
        <w:rPr>
          <w:color w:val="auto"/>
          <w:szCs w:val="21"/>
          <w:highlight w:val="none"/>
        </w:rPr>
      </w:pPr>
      <w:r>
        <w:rPr>
          <w:rFonts w:hint="eastAsia"/>
          <w:color w:val="auto"/>
          <w:szCs w:val="21"/>
          <w:highlight w:val="none"/>
        </w:rPr>
        <w:t>项目负责人（签名或盖章）：</w:t>
      </w:r>
    </w:p>
    <w:p>
      <w:pPr>
        <w:spacing w:line="360" w:lineRule="auto"/>
        <w:rPr>
          <w:color w:val="auto"/>
          <w:szCs w:val="21"/>
          <w:highlight w:val="none"/>
        </w:rPr>
      </w:pPr>
      <w:r>
        <w:rPr>
          <w:rFonts w:hint="eastAsia"/>
          <w:color w:val="auto"/>
          <w:szCs w:val="21"/>
          <w:highlight w:val="none"/>
        </w:rPr>
        <w:t>项目负责人联系电话：</w:t>
      </w:r>
    </w:p>
    <w:p>
      <w:pPr>
        <w:spacing w:line="360" w:lineRule="auto"/>
        <w:rPr>
          <w:color w:val="auto"/>
          <w:szCs w:val="21"/>
          <w:highlight w:val="none"/>
        </w:rPr>
      </w:pPr>
      <w:r>
        <w:rPr>
          <w:rFonts w:hint="eastAsia"/>
          <w:color w:val="auto"/>
          <w:szCs w:val="21"/>
          <w:highlight w:val="none"/>
        </w:rPr>
        <w:t>合同签订负责人（签名或盖章）：</w:t>
      </w:r>
    </w:p>
    <w:p>
      <w:pPr>
        <w:spacing w:line="360" w:lineRule="auto"/>
        <w:rPr>
          <w:color w:val="auto"/>
          <w:szCs w:val="21"/>
          <w:highlight w:val="none"/>
        </w:rPr>
      </w:pPr>
      <w:r>
        <w:rPr>
          <w:rFonts w:hint="eastAsia"/>
          <w:color w:val="auto"/>
          <w:szCs w:val="21"/>
          <w:highlight w:val="none"/>
        </w:rPr>
        <w:t>合同签订负责人联系电话：</w:t>
      </w:r>
    </w:p>
    <w:p>
      <w:pPr>
        <w:pStyle w:val="71"/>
        <w:ind w:right="458" w:firstLine="0"/>
        <w:jc w:val="right"/>
        <w:rPr>
          <w:rFonts w:ascii="宋体" w:hAnsi="宋体" w:eastAsia="宋体"/>
          <w:color w:val="auto"/>
          <w:sz w:val="21"/>
          <w:szCs w:val="21"/>
          <w:highlight w:val="none"/>
        </w:rPr>
      </w:pPr>
    </w:p>
    <w:p>
      <w:pPr>
        <w:pStyle w:val="71"/>
        <w:ind w:right="458" w:firstLine="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年  月  日</w:t>
      </w:r>
    </w:p>
    <w:p>
      <w:pPr>
        <w:autoSpaceDE w:val="0"/>
        <w:autoSpaceDN w:val="0"/>
        <w:adjustRightInd w:val="0"/>
        <w:spacing w:line="360" w:lineRule="auto"/>
        <w:rPr>
          <w:b/>
          <w:color w:val="auto"/>
          <w:szCs w:val="21"/>
          <w:highlight w:val="none"/>
        </w:rPr>
      </w:pPr>
    </w:p>
    <w:p>
      <w:pPr>
        <w:pStyle w:val="90"/>
        <w:rPr>
          <w:color w:val="auto"/>
          <w:highlight w:val="none"/>
        </w:rPr>
      </w:pPr>
      <w:r>
        <w:rPr>
          <w:b/>
          <w:color w:val="auto"/>
          <w:szCs w:val="21"/>
          <w:highlight w:val="none"/>
        </w:rPr>
        <w:br w:type="page"/>
      </w:r>
    </w:p>
    <w:p>
      <w:pPr>
        <w:autoSpaceDE w:val="0"/>
        <w:autoSpaceDN w:val="0"/>
        <w:adjustRightInd w:val="0"/>
        <w:spacing w:line="360" w:lineRule="auto"/>
        <w:jc w:val="center"/>
        <w:rPr>
          <w:b/>
          <w:color w:val="auto"/>
          <w:szCs w:val="21"/>
          <w:highlight w:val="none"/>
        </w:rPr>
      </w:pPr>
    </w:p>
    <w:p>
      <w:pPr>
        <w:autoSpaceDE w:val="0"/>
        <w:autoSpaceDN w:val="0"/>
        <w:adjustRightInd w:val="0"/>
        <w:spacing w:line="360" w:lineRule="auto"/>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参与编制施工技术投标文件人员名单</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9"/>
        <w:gridCol w:w="1311"/>
        <w:gridCol w:w="2320"/>
        <w:gridCol w:w="2449"/>
        <w:gridCol w:w="24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r>
              <w:rPr>
                <w:rFonts w:hint="eastAsia"/>
                <w:color w:val="auto"/>
                <w:szCs w:val="21"/>
                <w:highlight w:val="none"/>
              </w:rPr>
              <w:t>姓名</w:t>
            </w:r>
          </w:p>
        </w:tc>
        <w:tc>
          <w:tcPr>
            <w:tcW w:w="1311" w:type="dxa"/>
            <w:vAlign w:val="center"/>
          </w:tcPr>
          <w:p>
            <w:pPr>
              <w:tabs>
                <w:tab w:val="left" w:pos="0"/>
                <w:tab w:val="left" w:pos="720"/>
              </w:tabs>
              <w:adjustRightInd w:val="0"/>
              <w:snapToGrid w:val="0"/>
              <w:spacing w:line="360" w:lineRule="auto"/>
              <w:jc w:val="center"/>
              <w:rPr>
                <w:color w:val="auto"/>
                <w:szCs w:val="21"/>
                <w:highlight w:val="none"/>
              </w:rPr>
            </w:pPr>
            <w:r>
              <w:rPr>
                <w:rFonts w:hint="eastAsia"/>
                <w:color w:val="auto"/>
                <w:szCs w:val="21"/>
                <w:highlight w:val="none"/>
              </w:rPr>
              <w:t>职务</w:t>
            </w:r>
          </w:p>
        </w:tc>
        <w:tc>
          <w:tcPr>
            <w:tcW w:w="2320" w:type="dxa"/>
            <w:vAlign w:val="center"/>
          </w:tcPr>
          <w:p>
            <w:pPr>
              <w:tabs>
                <w:tab w:val="left" w:pos="0"/>
                <w:tab w:val="left" w:pos="720"/>
              </w:tabs>
              <w:adjustRightInd w:val="0"/>
              <w:snapToGrid w:val="0"/>
              <w:spacing w:line="360" w:lineRule="auto"/>
              <w:jc w:val="center"/>
              <w:rPr>
                <w:color w:val="auto"/>
                <w:szCs w:val="21"/>
                <w:highlight w:val="none"/>
              </w:rPr>
            </w:pPr>
            <w:r>
              <w:rPr>
                <w:rFonts w:hint="eastAsia"/>
                <w:color w:val="auto"/>
                <w:szCs w:val="21"/>
                <w:highlight w:val="none"/>
              </w:rPr>
              <w:t>所承担工作</w:t>
            </w:r>
          </w:p>
        </w:tc>
        <w:tc>
          <w:tcPr>
            <w:tcW w:w="2449" w:type="dxa"/>
            <w:vAlign w:val="center"/>
          </w:tcPr>
          <w:p>
            <w:pPr>
              <w:tabs>
                <w:tab w:val="left" w:pos="0"/>
                <w:tab w:val="left" w:pos="720"/>
              </w:tabs>
              <w:adjustRightInd w:val="0"/>
              <w:snapToGrid w:val="0"/>
              <w:spacing w:line="360" w:lineRule="auto"/>
              <w:jc w:val="center"/>
              <w:rPr>
                <w:color w:val="auto"/>
                <w:szCs w:val="21"/>
                <w:highlight w:val="none"/>
              </w:rPr>
            </w:pPr>
            <w:r>
              <w:rPr>
                <w:rFonts w:hint="eastAsia"/>
                <w:color w:val="auto"/>
                <w:szCs w:val="21"/>
                <w:highlight w:val="none"/>
              </w:rPr>
              <w:t>身份证号码</w:t>
            </w:r>
          </w:p>
        </w:tc>
        <w:tc>
          <w:tcPr>
            <w:tcW w:w="2425" w:type="dxa"/>
            <w:vAlign w:val="center"/>
          </w:tcPr>
          <w:p>
            <w:pPr>
              <w:tabs>
                <w:tab w:val="left" w:pos="0"/>
                <w:tab w:val="left" w:pos="720"/>
              </w:tabs>
              <w:adjustRightInd w:val="0"/>
              <w:snapToGrid w:val="0"/>
              <w:spacing w:line="360" w:lineRule="auto"/>
              <w:jc w:val="center"/>
              <w:rPr>
                <w:color w:val="auto"/>
                <w:szCs w:val="21"/>
                <w:highlight w:val="none"/>
              </w:rPr>
            </w:pPr>
            <w:r>
              <w:rPr>
                <w:rFonts w:hint="eastAsia"/>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bl>
    <w:p>
      <w:pPr>
        <w:autoSpaceDE w:val="0"/>
        <w:autoSpaceDN w:val="0"/>
        <w:adjustRightInd w:val="0"/>
        <w:spacing w:line="360" w:lineRule="auto"/>
        <w:ind w:left="-420" w:leftChars="-200" w:right="-506" w:rightChars="-241"/>
        <w:jc w:val="left"/>
        <w:rPr>
          <w:color w:val="auto"/>
          <w:szCs w:val="21"/>
          <w:highlight w:val="none"/>
        </w:rPr>
      </w:pPr>
      <w:r>
        <w:rPr>
          <w:rFonts w:hint="eastAsia"/>
          <w:color w:val="auto"/>
          <w:szCs w:val="21"/>
          <w:highlight w:val="none"/>
        </w:rPr>
        <w:t>注：参与编制施工技术投标文件人员名单应包括如编制文件资料、负责清样校对、负责打印及复印等人员在内的人员名单。</w:t>
      </w:r>
    </w:p>
    <w:p>
      <w:pPr>
        <w:spacing w:line="360" w:lineRule="auto"/>
        <w:jc w:val="left"/>
        <w:rPr>
          <w:b/>
          <w:color w:val="auto"/>
          <w:sz w:val="30"/>
          <w:szCs w:val="30"/>
          <w:highlight w:val="none"/>
        </w:rPr>
      </w:pPr>
      <w:r>
        <w:rPr>
          <w:rFonts w:hint="eastAsia" w:ascii="黑体" w:hAnsi="黑体" w:eastAsia="黑体" w:cs="黑体"/>
          <w:b/>
          <w:color w:val="auto"/>
          <w:sz w:val="32"/>
          <w:szCs w:val="32"/>
          <w:highlight w:val="none"/>
        </w:rPr>
        <w:br w:type="page"/>
      </w:r>
    </w:p>
    <w:p>
      <w:pPr>
        <w:spacing w:line="360" w:lineRule="auto"/>
        <w:jc w:val="center"/>
        <w:rPr>
          <w:b/>
          <w:color w:val="auto"/>
          <w:sz w:val="30"/>
          <w:szCs w:val="30"/>
          <w:highlight w:val="none"/>
        </w:rPr>
      </w:pPr>
    </w:p>
    <w:p>
      <w:pPr>
        <w:spacing w:line="360" w:lineRule="auto"/>
        <w:jc w:val="center"/>
        <w:rPr>
          <w:rFonts w:eastAsia="黑体"/>
          <w:b/>
          <w:color w:val="auto"/>
          <w:sz w:val="30"/>
          <w:szCs w:val="30"/>
          <w:highlight w:val="none"/>
        </w:rPr>
      </w:pPr>
      <w:r>
        <w:rPr>
          <w:rFonts w:hint="eastAsia" w:ascii="黑体" w:hAnsi="黑体" w:eastAsia="黑体" w:cs="黑体"/>
          <w:b/>
          <w:color w:val="auto"/>
          <w:sz w:val="30"/>
          <w:szCs w:val="30"/>
          <w:highlight w:val="none"/>
        </w:rPr>
        <w:t>第五部分 投标报价文件</w:t>
      </w:r>
    </w:p>
    <w:p>
      <w:pPr>
        <w:spacing w:line="360" w:lineRule="auto"/>
        <w:jc w:val="center"/>
        <w:rPr>
          <w:b/>
          <w:color w:val="auto"/>
          <w:sz w:val="30"/>
          <w:szCs w:val="30"/>
          <w:highlight w:val="none"/>
        </w:rPr>
      </w:pPr>
    </w:p>
    <w:p>
      <w:pPr>
        <w:spacing w:line="360" w:lineRule="auto"/>
        <w:jc w:val="left"/>
        <w:rPr>
          <w:bCs/>
          <w:color w:val="auto"/>
          <w:szCs w:val="21"/>
          <w:highlight w:val="none"/>
        </w:rPr>
      </w:pPr>
      <w:r>
        <w:rPr>
          <w:rFonts w:hint="eastAsia"/>
          <w:b/>
          <w:color w:val="auto"/>
          <w:sz w:val="30"/>
          <w:szCs w:val="30"/>
          <w:highlight w:val="none"/>
        </w:rPr>
        <w:br w:type="page"/>
      </w:r>
      <w:r>
        <w:rPr>
          <w:rFonts w:hint="eastAsia"/>
          <w:bCs/>
          <w:color w:val="auto"/>
          <w:szCs w:val="21"/>
          <w:highlight w:val="none"/>
        </w:rPr>
        <w:t>格式参考：</w:t>
      </w:r>
    </w:p>
    <w:p>
      <w:pPr>
        <w:spacing w:line="360" w:lineRule="auto"/>
        <w:jc w:val="right"/>
        <w:rPr>
          <w:rFonts w:ascii="黑体" w:hAnsi="黑体" w:eastAsia="黑体" w:cs="黑体"/>
          <w:b/>
          <w:color w:val="auto"/>
          <w:sz w:val="30"/>
          <w:szCs w:val="30"/>
          <w:highlight w:val="none"/>
        </w:rPr>
      </w:pPr>
      <w:r>
        <w:rPr>
          <w:rFonts w:hint="eastAsia" w:ascii="黑体" w:hAnsi="黑体" w:eastAsia="黑体" w:cs="黑体"/>
          <w:b/>
          <w:color w:val="auto"/>
          <w:sz w:val="32"/>
          <w:szCs w:val="32"/>
          <w:highlight w:val="none"/>
        </w:rPr>
        <w:t>正/副本</w:t>
      </w:r>
    </w:p>
    <w:p>
      <w:pPr>
        <w:spacing w:line="360" w:lineRule="auto"/>
        <w:rPr>
          <w:b/>
          <w:color w:val="auto"/>
          <w:sz w:val="30"/>
          <w:szCs w:val="30"/>
          <w:highlight w:val="none"/>
        </w:rPr>
      </w:pPr>
    </w:p>
    <w:p>
      <w:pPr>
        <w:spacing w:line="360" w:lineRule="auto"/>
        <w:rPr>
          <w:bCs/>
          <w:color w:val="auto"/>
          <w:szCs w:val="21"/>
          <w:highlight w:val="none"/>
        </w:rPr>
      </w:pPr>
    </w:p>
    <w:p>
      <w:pPr>
        <w:pStyle w:val="33"/>
        <w:spacing w:line="360" w:lineRule="auto"/>
        <w:jc w:val="center"/>
        <w:rPr>
          <w:rFonts w:hint="eastAsia" w:ascii="黑体" w:hAnsi="黑体" w:eastAsia="黑体" w:cs="黑体"/>
          <w:b/>
          <w:color w:val="auto"/>
          <w:sz w:val="44"/>
          <w:szCs w:val="44"/>
          <w:highlight w:val="none"/>
          <w:lang w:eastAsia="zh-CN"/>
        </w:rPr>
      </w:pPr>
      <w:r>
        <w:rPr>
          <w:rFonts w:hint="eastAsia" w:ascii="黑体" w:hAnsi="黑体" w:eastAsia="黑体" w:cs="黑体"/>
          <w:b/>
          <w:color w:val="auto"/>
          <w:sz w:val="44"/>
          <w:szCs w:val="44"/>
          <w:highlight w:val="none"/>
          <w:lang w:eastAsia="zh-CN"/>
        </w:rPr>
        <w:t>2022NJY-9地块首期基坑支护及土方开挖工程设计施工总承包</w:t>
      </w:r>
    </w:p>
    <w:p>
      <w:pPr>
        <w:pStyle w:val="33"/>
        <w:spacing w:line="360" w:lineRule="auto"/>
        <w:jc w:val="center"/>
        <w:rPr>
          <w:rFonts w:ascii="黑体" w:hAnsi="黑体" w:eastAsia="黑体" w:cs="黑体"/>
          <w:b/>
          <w:color w:val="auto"/>
          <w:sz w:val="36"/>
          <w:szCs w:val="36"/>
          <w:highlight w:val="none"/>
        </w:rPr>
      </w:pPr>
    </w:p>
    <w:p>
      <w:pPr>
        <w:pStyle w:val="33"/>
        <w:spacing w:line="360" w:lineRule="auto"/>
        <w:jc w:val="center"/>
        <w:rPr>
          <w:rFonts w:ascii="黑体" w:hAnsi="黑体" w:eastAsia="黑体" w:cs="黑体"/>
          <w:b/>
          <w:color w:val="auto"/>
          <w:sz w:val="36"/>
          <w:szCs w:val="36"/>
          <w:highlight w:val="none"/>
        </w:rPr>
      </w:pPr>
    </w:p>
    <w:p>
      <w:pPr>
        <w:pStyle w:val="33"/>
        <w:spacing w:line="360" w:lineRule="auto"/>
        <w:jc w:val="center"/>
        <w:rPr>
          <w:rFonts w:ascii="黑体" w:hAnsi="黑体" w:eastAsia="黑体" w:cs="黑体"/>
          <w:b/>
          <w:color w:val="auto"/>
          <w:sz w:val="36"/>
          <w:szCs w:val="36"/>
          <w:highlight w:val="none"/>
        </w:rPr>
      </w:pPr>
    </w:p>
    <w:p>
      <w:pPr>
        <w:pStyle w:val="33"/>
        <w:spacing w:line="360" w:lineRule="auto"/>
        <w:jc w:val="center"/>
        <w:rPr>
          <w:rFonts w:ascii="黑体" w:hAnsi="黑体" w:eastAsia="黑体" w:cs="黑体"/>
          <w:b/>
          <w:color w:val="auto"/>
          <w:sz w:val="48"/>
          <w:szCs w:val="48"/>
          <w:highlight w:val="none"/>
          <w:u w:val="none"/>
        </w:rPr>
      </w:pPr>
      <w:r>
        <w:rPr>
          <w:rFonts w:hint="eastAsia" w:ascii="黑体" w:hAnsi="黑体" w:eastAsia="黑体" w:cs="黑体"/>
          <w:b/>
          <w:color w:val="auto"/>
          <w:sz w:val="48"/>
          <w:szCs w:val="48"/>
          <w:highlight w:val="none"/>
          <w:u w:val="none"/>
        </w:rPr>
        <w:t>投标文件</w:t>
      </w:r>
    </w:p>
    <w:p>
      <w:pPr>
        <w:pStyle w:val="33"/>
        <w:spacing w:line="360" w:lineRule="auto"/>
        <w:jc w:val="center"/>
        <w:rPr>
          <w:rFonts w:ascii="黑体" w:hAnsi="黑体" w:eastAsia="黑体" w:cs="黑体"/>
          <w:b/>
          <w:color w:val="auto"/>
          <w:sz w:val="36"/>
          <w:szCs w:val="36"/>
          <w:highlight w:val="none"/>
        </w:rPr>
      </w:pPr>
      <w:r>
        <w:rPr>
          <w:rFonts w:hint="eastAsia" w:ascii="黑体" w:hAnsi="黑体" w:eastAsia="黑体" w:cs="黑体"/>
          <w:b/>
          <w:color w:val="auto"/>
          <w:sz w:val="36"/>
          <w:szCs w:val="36"/>
          <w:highlight w:val="none"/>
        </w:rPr>
        <w:t>（投标报价文件）</w:t>
      </w: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ind w:firstLine="389" w:firstLineChars="139"/>
        <w:jc w:val="left"/>
        <w:rPr>
          <w:rFonts w:ascii="华文楷体" w:hAnsi="华文楷体" w:eastAsia="华文楷体" w:cs="华文楷体"/>
          <w:color w:val="auto"/>
          <w:sz w:val="28"/>
          <w:szCs w:val="28"/>
          <w:highlight w:val="none"/>
          <w:u w:val="single"/>
        </w:rPr>
      </w:pPr>
      <w:r>
        <w:rPr>
          <w:rFonts w:hint="eastAsia" w:ascii="华文楷体" w:hAnsi="华文楷体" w:eastAsia="华文楷体" w:cs="华文楷体"/>
          <w:color w:val="auto"/>
          <w:sz w:val="28"/>
          <w:szCs w:val="28"/>
          <w:highlight w:val="none"/>
        </w:rPr>
        <w:t>投标单位名称（盖章）：</w:t>
      </w:r>
    </w:p>
    <w:p>
      <w:pPr>
        <w:spacing w:line="360" w:lineRule="auto"/>
        <w:ind w:firstLine="389" w:firstLineChars="139"/>
        <w:jc w:val="left"/>
        <w:rPr>
          <w:rFonts w:ascii="华文楷体" w:hAnsi="华文楷体" w:eastAsia="华文楷体" w:cs="华文楷体"/>
          <w:color w:val="auto"/>
          <w:sz w:val="28"/>
          <w:szCs w:val="28"/>
          <w:highlight w:val="none"/>
          <w:u w:val="single"/>
        </w:rPr>
      </w:pPr>
      <w:r>
        <w:rPr>
          <w:rFonts w:hint="eastAsia" w:ascii="华文楷体" w:hAnsi="华文楷体" w:eastAsia="华文楷体" w:cs="华文楷体"/>
          <w:color w:val="auto"/>
          <w:sz w:val="28"/>
          <w:szCs w:val="28"/>
          <w:highlight w:val="none"/>
        </w:rPr>
        <w:t>法定代表人或其委托代理人（签字或盖章）：</w:t>
      </w:r>
      <w:r>
        <w:rPr>
          <w:rFonts w:hint="eastAsia" w:ascii="华文楷体" w:hAnsi="华文楷体" w:eastAsia="华文楷体" w:cs="华文楷体"/>
          <w:color w:val="auto"/>
          <w:sz w:val="28"/>
          <w:szCs w:val="28"/>
          <w:highlight w:val="none"/>
          <w:u w:val="single"/>
        </w:rPr>
        <w:tab/>
      </w:r>
    </w:p>
    <w:p>
      <w:pPr>
        <w:spacing w:line="360" w:lineRule="auto"/>
        <w:ind w:firstLine="389" w:firstLineChars="139"/>
        <w:jc w:val="left"/>
        <w:rPr>
          <w:rFonts w:ascii="华文楷体" w:hAnsi="华文楷体" w:eastAsia="华文楷体" w:cs="华文楷体"/>
          <w:bCs/>
          <w:color w:val="auto"/>
          <w:sz w:val="28"/>
          <w:szCs w:val="28"/>
          <w:highlight w:val="none"/>
        </w:rPr>
      </w:pPr>
      <w:r>
        <w:rPr>
          <w:rFonts w:hint="eastAsia" w:ascii="华文楷体" w:hAnsi="华文楷体" w:eastAsia="华文楷体" w:cs="华文楷体"/>
          <w:color w:val="auto"/>
          <w:sz w:val="28"/>
          <w:szCs w:val="28"/>
          <w:highlight w:val="none"/>
        </w:rPr>
        <w:t>投标日期：   年   月   日</w:t>
      </w:r>
    </w:p>
    <w:p>
      <w:pPr>
        <w:spacing w:line="360" w:lineRule="auto"/>
        <w:jc w:val="center"/>
        <w:rPr>
          <w:rFonts w:ascii="黑体" w:hAnsi="黑体" w:eastAsia="黑体" w:cs="黑体"/>
          <w:b/>
          <w:color w:val="auto"/>
          <w:sz w:val="32"/>
          <w:szCs w:val="32"/>
          <w:highlight w:val="none"/>
        </w:rPr>
      </w:pPr>
      <w:r>
        <w:rPr>
          <w:rFonts w:hint="eastAsia"/>
          <w:b/>
          <w:color w:val="auto"/>
          <w:sz w:val="30"/>
          <w:szCs w:val="30"/>
          <w:highlight w:val="none"/>
        </w:rPr>
        <w:br w:type="page"/>
      </w:r>
      <w:r>
        <w:rPr>
          <w:rFonts w:hint="eastAsia" w:ascii="黑体" w:hAnsi="黑体" w:eastAsia="黑体" w:cs="黑体"/>
          <w:b/>
          <w:color w:val="auto"/>
          <w:sz w:val="32"/>
          <w:szCs w:val="32"/>
          <w:highlight w:val="none"/>
        </w:rPr>
        <w:t>目 录</w:t>
      </w:r>
    </w:p>
    <w:p>
      <w:pPr>
        <w:spacing w:line="360" w:lineRule="auto"/>
        <w:jc w:val="center"/>
        <w:rPr>
          <w:rFonts w:ascii="黑体" w:hAnsi="黑体" w:eastAsia="黑体" w:cs="黑体"/>
          <w:b/>
          <w:color w:val="auto"/>
          <w:sz w:val="32"/>
          <w:szCs w:val="32"/>
          <w:highlight w:val="none"/>
        </w:rPr>
      </w:pPr>
    </w:p>
    <w:p>
      <w:pPr>
        <w:spacing w:line="360" w:lineRule="auto"/>
        <w:rPr>
          <w:color w:val="auto"/>
          <w:szCs w:val="21"/>
          <w:highlight w:val="none"/>
        </w:rPr>
      </w:pPr>
      <w:r>
        <w:rPr>
          <w:rFonts w:hint="eastAsia"/>
          <w:color w:val="auto"/>
          <w:szCs w:val="21"/>
          <w:highlight w:val="none"/>
        </w:rPr>
        <w:t>一、投标报价书</w:t>
      </w:r>
    </w:p>
    <w:p>
      <w:pPr>
        <w:spacing w:line="360" w:lineRule="auto"/>
        <w:rPr>
          <w:color w:val="auto"/>
          <w:szCs w:val="21"/>
          <w:highlight w:val="none"/>
        </w:rPr>
      </w:pPr>
      <w:r>
        <w:rPr>
          <w:rFonts w:hint="eastAsia"/>
          <w:color w:val="auto"/>
          <w:szCs w:val="21"/>
          <w:highlight w:val="none"/>
        </w:rPr>
        <w:t>二、参与编制投标报价文件人员名单</w:t>
      </w:r>
    </w:p>
    <w:p>
      <w:pPr>
        <w:spacing w:line="360" w:lineRule="auto"/>
        <w:rPr>
          <w:color w:val="auto"/>
          <w:szCs w:val="21"/>
          <w:highlight w:val="none"/>
        </w:rPr>
      </w:pPr>
      <w:r>
        <w:rPr>
          <w:rFonts w:hint="eastAsia"/>
          <w:color w:val="auto"/>
          <w:szCs w:val="21"/>
          <w:highlight w:val="none"/>
        </w:rPr>
        <w:t>三、投标人认为应提供的其他资料</w:t>
      </w:r>
    </w:p>
    <w:p>
      <w:pPr>
        <w:spacing w:line="360" w:lineRule="auto"/>
        <w:rPr>
          <w:color w:val="auto"/>
          <w:szCs w:val="21"/>
          <w:highlight w:val="none"/>
        </w:rPr>
      </w:pPr>
    </w:p>
    <w:p>
      <w:pPr>
        <w:spacing w:line="360" w:lineRule="auto"/>
        <w:jc w:val="left"/>
        <w:rPr>
          <w:b/>
          <w:color w:val="auto"/>
          <w:sz w:val="30"/>
          <w:szCs w:val="30"/>
          <w:highlight w:val="none"/>
        </w:rPr>
      </w:pPr>
    </w:p>
    <w:p>
      <w:pPr>
        <w:spacing w:line="360" w:lineRule="auto"/>
        <w:rPr>
          <w:color w:val="auto"/>
          <w:szCs w:val="21"/>
          <w:highlight w:val="none"/>
        </w:rPr>
      </w:pPr>
      <w:r>
        <w:rPr>
          <w:rFonts w:hint="eastAsia"/>
          <w:color w:val="auto"/>
          <w:szCs w:val="21"/>
          <w:highlight w:val="none"/>
        </w:rPr>
        <w:t>注：页码由投标人自行编制。目录格式仅供参考，投标人可根据实际情况进行扩展及补充。</w:t>
      </w:r>
    </w:p>
    <w:p>
      <w:pPr>
        <w:autoSpaceDE w:val="0"/>
        <w:autoSpaceDN w:val="0"/>
        <w:adjustRightInd w:val="0"/>
        <w:spacing w:line="360" w:lineRule="auto"/>
        <w:jc w:val="center"/>
        <w:rPr>
          <w:rFonts w:ascii="黑体" w:hAnsi="黑体" w:eastAsia="黑体" w:cs="黑体"/>
          <w:b/>
          <w:bCs/>
          <w:color w:val="auto"/>
          <w:sz w:val="32"/>
          <w:szCs w:val="32"/>
          <w:highlight w:val="none"/>
          <w:lang w:val="zh-CN"/>
        </w:rPr>
      </w:pPr>
      <w:r>
        <w:rPr>
          <w:rFonts w:hint="eastAsia" w:ascii="黑体" w:hAnsi="黑体" w:eastAsia="黑体" w:cs="黑体"/>
          <w:b/>
          <w:color w:val="auto"/>
          <w:sz w:val="32"/>
          <w:szCs w:val="32"/>
          <w:highlight w:val="none"/>
        </w:rPr>
        <w:br w:type="page"/>
      </w:r>
      <w:r>
        <w:rPr>
          <w:rFonts w:hint="eastAsia" w:ascii="黑体" w:hAnsi="黑体" w:eastAsia="黑体" w:cs="黑体"/>
          <w:b/>
          <w:bCs/>
          <w:color w:val="auto"/>
          <w:sz w:val="32"/>
          <w:szCs w:val="32"/>
          <w:highlight w:val="none"/>
        </w:rPr>
        <w:t>投标报价</w:t>
      </w:r>
      <w:r>
        <w:rPr>
          <w:rFonts w:hint="eastAsia" w:ascii="黑体" w:hAnsi="黑体" w:eastAsia="黑体" w:cs="黑体"/>
          <w:b/>
          <w:bCs/>
          <w:color w:val="auto"/>
          <w:sz w:val="32"/>
          <w:szCs w:val="32"/>
          <w:highlight w:val="none"/>
          <w:lang w:val="zh-CN"/>
        </w:rPr>
        <w:t>书</w:t>
      </w:r>
    </w:p>
    <w:p>
      <w:pPr>
        <w:autoSpaceDE w:val="0"/>
        <w:autoSpaceDN w:val="0"/>
        <w:adjustRightInd w:val="0"/>
        <w:spacing w:line="360" w:lineRule="auto"/>
        <w:jc w:val="right"/>
        <w:rPr>
          <w:bCs/>
          <w:color w:val="auto"/>
          <w:szCs w:val="21"/>
          <w:highlight w:val="none"/>
          <w:lang w:val="zh-CN"/>
        </w:rPr>
      </w:pPr>
      <w:r>
        <w:rPr>
          <w:rFonts w:hint="eastAsia"/>
          <w:bCs/>
          <w:color w:val="auto"/>
          <w:szCs w:val="21"/>
          <w:highlight w:val="none"/>
          <w:lang w:val="zh-CN"/>
        </w:rPr>
        <w:t>投标日期：   年  月  日</w:t>
      </w:r>
    </w:p>
    <w:tbl>
      <w:tblPr>
        <w:tblStyle w:val="39"/>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764"/>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rPr>
              <w:t>项目</w:t>
            </w:r>
            <w:r>
              <w:rPr>
                <w:rFonts w:hint="eastAsia"/>
                <w:bCs/>
                <w:color w:val="auto"/>
                <w:szCs w:val="21"/>
                <w:highlight w:val="none"/>
                <w:lang w:val="zh-CN"/>
              </w:rPr>
              <w:t>名称</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940" w:type="dxa"/>
            <w:gridSpan w:val="2"/>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lang w:val="zh-CN"/>
              </w:rPr>
              <w:t>投标总报价（元）</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color w:val="auto"/>
                <w:szCs w:val="21"/>
                <w:highlight w:val="none"/>
              </w:rPr>
            </w:pPr>
            <w:r>
              <w:rPr>
                <w:rFonts w:hint="eastAsia"/>
                <w:bCs/>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40" w:type="dxa"/>
            <w:gridSpan w:val="2"/>
            <w:vMerge w:val="continue"/>
            <w:tcBorders>
              <w:left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color w:val="auto"/>
                <w:szCs w:val="21"/>
                <w:highlight w:val="none"/>
              </w:rPr>
            </w:pPr>
            <w:r>
              <w:rPr>
                <w:rFonts w:hint="eastAsia"/>
                <w:bCs/>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176" w:type="dxa"/>
            <w:vMerge w:val="restart"/>
            <w:tcBorders>
              <w:left w:val="single" w:color="auto" w:sz="4" w:space="0"/>
              <w:right w:val="single" w:color="auto" w:sz="4" w:space="0"/>
            </w:tcBorders>
            <w:vAlign w:val="center"/>
          </w:tcPr>
          <w:p>
            <w:pPr>
              <w:adjustRightInd w:val="0"/>
              <w:snapToGrid w:val="0"/>
              <w:spacing w:line="360" w:lineRule="auto"/>
              <w:jc w:val="center"/>
              <w:rPr>
                <w:rFonts w:hint="eastAsia" w:eastAsia="宋体"/>
                <w:bCs/>
                <w:color w:val="auto"/>
                <w:szCs w:val="21"/>
                <w:highlight w:val="none"/>
                <w:lang w:val="en-US" w:eastAsia="zh-CN"/>
              </w:rPr>
            </w:pPr>
            <w:r>
              <w:rPr>
                <w:rFonts w:hint="eastAsia"/>
                <w:bCs/>
                <w:color w:val="auto"/>
                <w:szCs w:val="21"/>
                <w:highlight w:val="none"/>
                <w:lang w:val="en-US" w:eastAsia="zh-CN"/>
              </w:rPr>
              <w:t>其中</w:t>
            </w:r>
          </w:p>
        </w:tc>
        <w:tc>
          <w:tcPr>
            <w:tcW w:w="1764" w:type="dxa"/>
            <w:vMerge w:val="restart"/>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r>
              <w:rPr>
                <w:rFonts w:hint="eastAsia"/>
                <w:bCs/>
                <w:color w:val="auto"/>
                <w:szCs w:val="21"/>
                <w:highlight w:val="none"/>
                <w:lang w:val="zh-CN"/>
              </w:rPr>
              <w:t>设计费（元）</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color w:val="auto"/>
                <w:szCs w:val="21"/>
                <w:highlight w:val="none"/>
              </w:rPr>
            </w:pPr>
            <w:r>
              <w:rPr>
                <w:rFonts w:hint="eastAsia"/>
                <w:bCs/>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76" w:type="dxa"/>
            <w:vMerge w:val="continue"/>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1764" w:type="dxa"/>
            <w:vMerge w:val="continue"/>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color w:val="auto"/>
                <w:szCs w:val="21"/>
                <w:highlight w:val="none"/>
                <w:u w:val="single"/>
                <w:lang w:val="zh-CN"/>
              </w:rPr>
            </w:pPr>
            <w:r>
              <w:rPr>
                <w:rFonts w:hint="eastAsia"/>
                <w:bCs/>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76" w:type="dxa"/>
            <w:vMerge w:val="continue"/>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1764" w:type="dxa"/>
            <w:vMerge w:val="continue"/>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bCs/>
                <w:color w:val="auto"/>
                <w:szCs w:val="21"/>
                <w:highlight w:val="none"/>
                <w:u w:val="single"/>
                <w:lang w:val="zh-CN"/>
              </w:rPr>
            </w:pPr>
            <w:r>
              <w:rPr>
                <w:rFonts w:hint="eastAsia"/>
                <w:bCs/>
                <w:color w:val="auto"/>
                <w:szCs w:val="21"/>
                <w:highlight w:val="none"/>
              </w:rPr>
              <w:t>下浮率：</w:t>
            </w:r>
            <w:r>
              <w:rPr>
                <w:rFonts w:hint="eastAsia"/>
                <w:bCs/>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76" w:type="dxa"/>
            <w:vMerge w:val="continue"/>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1764" w:type="dxa"/>
            <w:vMerge w:val="continue"/>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bCs/>
                <w:color w:val="auto"/>
                <w:szCs w:val="21"/>
                <w:highlight w:val="none"/>
              </w:rPr>
            </w:pPr>
            <w:r>
              <w:rPr>
                <w:rFonts w:hint="eastAsia"/>
                <w:bCs/>
                <w:color w:val="auto"/>
                <w:szCs w:val="21"/>
                <w:highlight w:val="none"/>
              </w:rPr>
              <w:t>注：</w:t>
            </w:r>
            <w:r>
              <w:rPr>
                <w:rFonts w:hint="eastAsia"/>
                <w:bCs/>
                <w:color w:val="auto"/>
                <w:szCs w:val="21"/>
                <w:highlight w:val="none"/>
                <w:lang w:val="zh-CN"/>
              </w:rPr>
              <w:t>设计</w:t>
            </w:r>
            <w:r>
              <w:rPr>
                <w:rFonts w:hint="eastAsia"/>
                <w:bCs/>
                <w:color w:val="auto"/>
                <w:szCs w:val="21"/>
                <w:highlight w:val="none"/>
              </w:rPr>
              <w:t>费报价=</w:t>
            </w:r>
            <w:r>
              <w:rPr>
                <w:rFonts w:hint="eastAsia"/>
                <w:bCs/>
                <w:color w:val="auto"/>
                <w:szCs w:val="21"/>
                <w:highlight w:val="none"/>
                <w:lang w:val="zh-CN"/>
              </w:rPr>
              <w:t>设计</w:t>
            </w:r>
            <w:r>
              <w:rPr>
                <w:rFonts w:hint="eastAsia"/>
                <w:bCs/>
                <w:color w:val="auto"/>
                <w:szCs w:val="21"/>
                <w:highlight w:val="none"/>
                <w:lang w:val="zh-CN"/>
              </w:rPr>
              <w:t>费</w:t>
            </w:r>
            <w:r>
              <w:rPr>
                <w:rFonts w:hint="eastAsia"/>
                <w:bCs/>
                <w:color w:val="auto"/>
                <w:szCs w:val="21"/>
                <w:highlight w:val="none"/>
              </w:rPr>
              <w:t>最高投标限价*（1-下浮率）。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76" w:type="dxa"/>
            <w:vMerge w:val="continue"/>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1764" w:type="dxa"/>
            <w:vMerge w:val="restart"/>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r>
              <w:rPr>
                <w:rFonts w:hint="eastAsia"/>
                <w:bCs/>
                <w:color w:val="auto"/>
                <w:szCs w:val="21"/>
                <w:highlight w:val="none"/>
              </w:rPr>
              <w:t>建安</w:t>
            </w:r>
            <w:r>
              <w:rPr>
                <w:rFonts w:hint="eastAsia"/>
                <w:bCs/>
                <w:color w:val="auto"/>
                <w:szCs w:val="21"/>
                <w:highlight w:val="none"/>
                <w:lang w:eastAsia="zh-CN"/>
              </w:rPr>
              <w:t>工程</w:t>
            </w:r>
            <w:r>
              <w:rPr>
                <w:rFonts w:hint="eastAsia"/>
                <w:bCs/>
                <w:color w:val="auto"/>
                <w:szCs w:val="21"/>
                <w:highlight w:val="none"/>
                <w:lang w:val="zh-CN"/>
              </w:rPr>
              <w:t>费（元）</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color w:val="auto"/>
                <w:szCs w:val="21"/>
                <w:highlight w:val="none"/>
                <w:lang w:val="zh-CN"/>
              </w:rPr>
            </w:pPr>
            <w:r>
              <w:rPr>
                <w:rFonts w:hint="eastAsia"/>
                <w:bCs/>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76" w:type="dxa"/>
            <w:vMerge w:val="continue"/>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1764" w:type="dxa"/>
            <w:vMerge w:val="continue"/>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color w:val="auto"/>
                <w:szCs w:val="21"/>
                <w:highlight w:val="none"/>
                <w:u w:val="single"/>
                <w:lang w:val="zh-CN"/>
              </w:rPr>
            </w:pPr>
            <w:r>
              <w:rPr>
                <w:rFonts w:hint="eastAsia"/>
                <w:bCs/>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76" w:type="dxa"/>
            <w:vMerge w:val="continue"/>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1764" w:type="dxa"/>
            <w:vMerge w:val="continue"/>
            <w:tcBorders>
              <w:left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bCs/>
                <w:color w:val="auto"/>
                <w:szCs w:val="21"/>
                <w:highlight w:val="none"/>
                <w:u w:val="single"/>
                <w:lang w:val="zh-CN"/>
              </w:rPr>
            </w:pPr>
            <w:r>
              <w:rPr>
                <w:rFonts w:hint="eastAsia"/>
                <w:bCs/>
                <w:color w:val="auto"/>
                <w:szCs w:val="21"/>
                <w:highlight w:val="none"/>
              </w:rPr>
              <w:t>下浮率：</w:t>
            </w:r>
            <w:r>
              <w:rPr>
                <w:rFonts w:hint="eastAsia"/>
                <w:bCs/>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76"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1764"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bCs/>
                <w:color w:val="auto"/>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bCs/>
                <w:color w:val="auto"/>
                <w:szCs w:val="21"/>
                <w:highlight w:val="none"/>
              </w:rPr>
            </w:pPr>
            <w:r>
              <w:rPr>
                <w:rFonts w:hint="eastAsia"/>
                <w:bCs/>
                <w:color w:val="auto"/>
                <w:szCs w:val="21"/>
                <w:highlight w:val="none"/>
              </w:rPr>
              <w:t>注：</w:t>
            </w:r>
            <w:r>
              <w:rPr>
                <w:rFonts w:hint="eastAsia"/>
                <w:bCs/>
                <w:color w:val="auto"/>
                <w:szCs w:val="21"/>
                <w:highlight w:val="none"/>
                <w:lang w:eastAsia="zh-CN"/>
              </w:rPr>
              <w:t>建安工程费</w:t>
            </w:r>
            <w:r>
              <w:rPr>
                <w:rFonts w:hint="eastAsia"/>
                <w:bCs/>
                <w:color w:val="auto"/>
                <w:szCs w:val="21"/>
                <w:highlight w:val="none"/>
              </w:rPr>
              <w:t>报价=建安</w:t>
            </w:r>
            <w:r>
              <w:rPr>
                <w:rFonts w:hint="eastAsia"/>
                <w:bCs/>
                <w:color w:val="auto"/>
                <w:szCs w:val="21"/>
                <w:highlight w:val="none"/>
                <w:lang w:eastAsia="zh-CN"/>
              </w:rPr>
              <w:t>工程费</w:t>
            </w:r>
            <w:r>
              <w:rPr>
                <w:rFonts w:hint="eastAsia"/>
                <w:bCs/>
                <w:color w:val="auto"/>
                <w:szCs w:val="21"/>
                <w:highlight w:val="none"/>
              </w:rPr>
              <w:t>最高投标限价*（1-下浮率）。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9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lang w:val="zh-CN"/>
              </w:rPr>
              <w:t>法定代表人</w:t>
            </w:r>
          </w:p>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lang w:val="zh-CN"/>
              </w:rPr>
              <w:t>（签名或盖章）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9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lang w:val="zh-CN"/>
              </w:rPr>
              <w:t>授权委托人</w:t>
            </w:r>
          </w:p>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lang w:val="zh-CN"/>
              </w:rPr>
              <w:t>（签名或盖章）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9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lang w:val="zh-CN"/>
              </w:rPr>
              <w:t>投标单位</w:t>
            </w:r>
          </w:p>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lang w:val="zh-CN"/>
              </w:rPr>
              <w:t>（企业公章）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p>
        </w:tc>
      </w:tr>
    </w:tbl>
    <w:p>
      <w:pPr>
        <w:autoSpaceDE w:val="0"/>
        <w:autoSpaceDN w:val="0"/>
        <w:adjustRightInd w:val="0"/>
        <w:spacing w:line="360" w:lineRule="auto"/>
        <w:ind w:left="-199" w:leftChars="-95" w:right="-405" w:rightChars="-193"/>
        <w:jc w:val="left"/>
        <w:rPr>
          <w:bCs/>
          <w:color w:val="auto"/>
          <w:szCs w:val="21"/>
          <w:highlight w:val="none"/>
        </w:rPr>
      </w:pPr>
      <w:r>
        <w:rPr>
          <w:rFonts w:hint="eastAsia"/>
          <w:bCs/>
          <w:color w:val="auto"/>
          <w:szCs w:val="21"/>
          <w:highlight w:val="none"/>
        </w:rPr>
        <w:t>注：</w:t>
      </w:r>
    </w:p>
    <w:p>
      <w:pPr>
        <w:autoSpaceDE w:val="0"/>
        <w:autoSpaceDN w:val="0"/>
        <w:adjustRightInd w:val="0"/>
        <w:spacing w:line="360" w:lineRule="auto"/>
        <w:ind w:left="-199" w:leftChars="-95" w:right="-405" w:rightChars="-193"/>
        <w:jc w:val="left"/>
        <w:rPr>
          <w:bCs/>
          <w:color w:val="auto"/>
          <w:szCs w:val="21"/>
          <w:highlight w:val="none"/>
        </w:rPr>
      </w:pPr>
      <w:r>
        <w:rPr>
          <w:rFonts w:hint="eastAsia"/>
          <w:bCs/>
          <w:color w:val="auto"/>
          <w:szCs w:val="21"/>
          <w:highlight w:val="none"/>
        </w:rPr>
        <w:t>1、项目</w:t>
      </w:r>
      <w:r>
        <w:rPr>
          <w:rFonts w:hint="eastAsia" w:ascii="Calibri" w:hAnsi="Calibri" w:cs="Times New Roman"/>
          <w:bCs/>
          <w:color w:val="auto"/>
          <w:sz w:val="21"/>
          <w:szCs w:val="21"/>
          <w:highlight w:val="none"/>
        </w:rPr>
        <w:t>最高投标限价：¥</w:t>
      </w:r>
      <w:r>
        <w:rPr>
          <w:rFonts w:hint="eastAsia" w:ascii="Calibri" w:hAnsi="Calibri" w:cs="Times New Roman"/>
          <w:bCs/>
          <w:color w:val="auto"/>
          <w:sz w:val="21"/>
          <w:szCs w:val="21"/>
          <w:highlight w:val="none"/>
          <w:lang w:val="en-US" w:eastAsia="zh-CN"/>
        </w:rPr>
        <w:t>3296000.00</w:t>
      </w:r>
      <w:r>
        <w:rPr>
          <w:rFonts w:hint="eastAsia" w:ascii="Calibri" w:hAnsi="Calibri" w:cs="Times New Roman"/>
          <w:bCs/>
          <w:color w:val="auto"/>
          <w:sz w:val="21"/>
          <w:szCs w:val="21"/>
          <w:highlight w:val="none"/>
        </w:rPr>
        <w:t>元，其中：设计费最高投标限价¥</w:t>
      </w:r>
      <w:r>
        <w:rPr>
          <w:rFonts w:hint="eastAsia" w:ascii="Calibri" w:hAnsi="Calibri" w:cs="Times New Roman"/>
          <w:bCs/>
          <w:color w:val="auto"/>
          <w:sz w:val="21"/>
          <w:szCs w:val="21"/>
          <w:highlight w:val="none"/>
          <w:lang w:val="en-US" w:eastAsia="zh-CN"/>
        </w:rPr>
        <w:t>96000.00</w:t>
      </w:r>
      <w:r>
        <w:rPr>
          <w:rFonts w:hint="eastAsia" w:ascii="Calibri" w:hAnsi="Calibri" w:cs="Times New Roman"/>
          <w:bCs/>
          <w:color w:val="auto"/>
          <w:sz w:val="21"/>
          <w:szCs w:val="21"/>
          <w:highlight w:val="none"/>
        </w:rPr>
        <w:t>元，建安工程费最高投标限价¥</w:t>
      </w:r>
      <w:r>
        <w:rPr>
          <w:rFonts w:hint="eastAsia" w:ascii="Calibri" w:hAnsi="Calibri" w:cs="Times New Roman"/>
          <w:bCs/>
          <w:color w:val="auto"/>
          <w:sz w:val="21"/>
          <w:szCs w:val="21"/>
          <w:highlight w:val="none"/>
          <w:lang w:val="en-US" w:eastAsia="zh-CN"/>
        </w:rPr>
        <w:t>3200000.00</w:t>
      </w:r>
      <w:r>
        <w:rPr>
          <w:rFonts w:hint="eastAsia" w:ascii="Calibri" w:hAnsi="Calibri" w:cs="Times New Roman"/>
          <w:bCs/>
          <w:color w:val="auto"/>
          <w:sz w:val="21"/>
          <w:szCs w:val="21"/>
          <w:highlight w:val="none"/>
        </w:rPr>
        <w:t>元（含安全文明施工措施费）</w:t>
      </w:r>
      <w:r>
        <w:rPr>
          <w:rFonts w:hint="eastAsia"/>
          <w:bCs/>
          <w:color w:val="auto"/>
          <w:szCs w:val="21"/>
          <w:highlight w:val="none"/>
        </w:rPr>
        <w:t>。投标总报价或设计费、</w:t>
      </w:r>
      <w:r>
        <w:rPr>
          <w:rFonts w:hint="eastAsia"/>
          <w:bCs/>
          <w:color w:val="auto"/>
          <w:szCs w:val="21"/>
          <w:highlight w:val="none"/>
          <w:lang w:val="en-US" w:eastAsia="zh-CN"/>
        </w:rPr>
        <w:t>建安工程费</w:t>
      </w:r>
      <w:r>
        <w:rPr>
          <w:rFonts w:hint="eastAsia"/>
          <w:bCs/>
          <w:color w:val="auto"/>
          <w:szCs w:val="21"/>
          <w:highlight w:val="none"/>
        </w:rPr>
        <w:t>超过对应的最高投标限价的投标文件均作废标处理。</w:t>
      </w:r>
    </w:p>
    <w:p>
      <w:pPr>
        <w:autoSpaceDE w:val="0"/>
        <w:autoSpaceDN w:val="0"/>
        <w:adjustRightInd w:val="0"/>
        <w:spacing w:line="360" w:lineRule="auto"/>
        <w:ind w:left="-199" w:leftChars="-95" w:right="-405" w:rightChars="-193"/>
        <w:jc w:val="left"/>
        <w:rPr>
          <w:bCs/>
          <w:color w:val="auto"/>
          <w:szCs w:val="21"/>
          <w:highlight w:val="none"/>
        </w:rPr>
      </w:pPr>
      <w:r>
        <w:rPr>
          <w:rFonts w:hint="eastAsia"/>
          <w:bCs/>
          <w:color w:val="auto"/>
          <w:szCs w:val="21"/>
          <w:highlight w:val="none"/>
        </w:rPr>
        <w:t>2、投标总报价的大写金额和小写金额不一致的，以大写金额为准，投标报价精确到小数点后两位。</w:t>
      </w:r>
    </w:p>
    <w:p>
      <w:pPr>
        <w:autoSpaceDE w:val="0"/>
        <w:autoSpaceDN w:val="0"/>
        <w:adjustRightInd w:val="0"/>
        <w:spacing w:line="360" w:lineRule="auto"/>
        <w:jc w:val="center"/>
        <w:rPr>
          <w:rFonts w:ascii="黑体" w:hAnsi="黑体" w:eastAsia="黑体" w:cs="黑体"/>
          <w:b/>
          <w:color w:val="auto"/>
          <w:sz w:val="32"/>
          <w:szCs w:val="32"/>
          <w:highlight w:val="none"/>
        </w:rPr>
      </w:pPr>
      <w:r>
        <w:rPr>
          <w:rFonts w:hint="eastAsia" w:ascii="黑体" w:hAnsi="黑体" w:eastAsia="黑体" w:cs="黑体"/>
          <w:b/>
          <w:color w:val="auto"/>
          <w:szCs w:val="21"/>
          <w:highlight w:val="none"/>
        </w:rPr>
        <w:br w:type="page"/>
      </w:r>
      <w:r>
        <w:rPr>
          <w:rFonts w:hint="eastAsia" w:ascii="黑体" w:hAnsi="黑体" w:eastAsia="黑体" w:cs="黑体"/>
          <w:b/>
          <w:color w:val="auto"/>
          <w:sz w:val="32"/>
          <w:szCs w:val="32"/>
          <w:highlight w:val="none"/>
        </w:rPr>
        <w:t>参与编制投标报价文件人员名单</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9"/>
        <w:gridCol w:w="1311"/>
        <w:gridCol w:w="2320"/>
        <w:gridCol w:w="2449"/>
        <w:gridCol w:w="24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r>
              <w:rPr>
                <w:rFonts w:hint="eastAsia"/>
                <w:color w:val="auto"/>
                <w:szCs w:val="21"/>
                <w:highlight w:val="none"/>
              </w:rPr>
              <w:t>姓名</w:t>
            </w:r>
          </w:p>
        </w:tc>
        <w:tc>
          <w:tcPr>
            <w:tcW w:w="1311" w:type="dxa"/>
            <w:vAlign w:val="center"/>
          </w:tcPr>
          <w:p>
            <w:pPr>
              <w:tabs>
                <w:tab w:val="left" w:pos="0"/>
                <w:tab w:val="left" w:pos="720"/>
              </w:tabs>
              <w:adjustRightInd w:val="0"/>
              <w:snapToGrid w:val="0"/>
              <w:spacing w:line="360" w:lineRule="auto"/>
              <w:jc w:val="center"/>
              <w:rPr>
                <w:color w:val="auto"/>
                <w:szCs w:val="21"/>
                <w:highlight w:val="none"/>
              </w:rPr>
            </w:pPr>
            <w:r>
              <w:rPr>
                <w:rFonts w:hint="eastAsia"/>
                <w:color w:val="auto"/>
                <w:szCs w:val="21"/>
                <w:highlight w:val="none"/>
              </w:rPr>
              <w:t>职务</w:t>
            </w:r>
          </w:p>
        </w:tc>
        <w:tc>
          <w:tcPr>
            <w:tcW w:w="2320" w:type="dxa"/>
            <w:vAlign w:val="center"/>
          </w:tcPr>
          <w:p>
            <w:pPr>
              <w:tabs>
                <w:tab w:val="left" w:pos="0"/>
                <w:tab w:val="left" w:pos="720"/>
              </w:tabs>
              <w:adjustRightInd w:val="0"/>
              <w:snapToGrid w:val="0"/>
              <w:spacing w:line="360" w:lineRule="auto"/>
              <w:jc w:val="center"/>
              <w:rPr>
                <w:color w:val="auto"/>
                <w:szCs w:val="21"/>
                <w:highlight w:val="none"/>
              </w:rPr>
            </w:pPr>
            <w:r>
              <w:rPr>
                <w:rFonts w:hint="eastAsia"/>
                <w:color w:val="auto"/>
                <w:szCs w:val="21"/>
                <w:highlight w:val="none"/>
              </w:rPr>
              <w:t>所承担工作</w:t>
            </w:r>
          </w:p>
        </w:tc>
        <w:tc>
          <w:tcPr>
            <w:tcW w:w="2449" w:type="dxa"/>
            <w:vAlign w:val="center"/>
          </w:tcPr>
          <w:p>
            <w:pPr>
              <w:tabs>
                <w:tab w:val="left" w:pos="0"/>
                <w:tab w:val="left" w:pos="720"/>
              </w:tabs>
              <w:adjustRightInd w:val="0"/>
              <w:snapToGrid w:val="0"/>
              <w:spacing w:line="360" w:lineRule="auto"/>
              <w:jc w:val="center"/>
              <w:rPr>
                <w:color w:val="auto"/>
                <w:szCs w:val="21"/>
                <w:highlight w:val="none"/>
              </w:rPr>
            </w:pPr>
            <w:r>
              <w:rPr>
                <w:rFonts w:hint="eastAsia"/>
                <w:color w:val="auto"/>
                <w:szCs w:val="21"/>
                <w:highlight w:val="none"/>
              </w:rPr>
              <w:t>身份证号码</w:t>
            </w:r>
          </w:p>
        </w:tc>
        <w:tc>
          <w:tcPr>
            <w:tcW w:w="2425" w:type="dxa"/>
            <w:vAlign w:val="center"/>
          </w:tcPr>
          <w:p>
            <w:pPr>
              <w:tabs>
                <w:tab w:val="left" w:pos="0"/>
                <w:tab w:val="left" w:pos="720"/>
              </w:tabs>
              <w:adjustRightInd w:val="0"/>
              <w:snapToGrid w:val="0"/>
              <w:spacing w:line="360" w:lineRule="auto"/>
              <w:jc w:val="center"/>
              <w:rPr>
                <w:color w:val="auto"/>
                <w:szCs w:val="21"/>
                <w:highlight w:val="none"/>
              </w:rPr>
            </w:pPr>
            <w:r>
              <w:rPr>
                <w:rFonts w:hint="eastAsia"/>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color w:val="auto"/>
                <w:szCs w:val="21"/>
                <w:highlight w:val="none"/>
              </w:rPr>
            </w:pPr>
          </w:p>
        </w:tc>
        <w:tc>
          <w:tcPr>
            <w:tcW w:w="1311" w:type="dxa"/>
            <w:vAlign w:val="center"/>
          </w:tcPr>
          <w:p>
            <w:pPr>
              <w:tabs>
                <w:tab w:val="left" w:pos="0"/>
                <w:tab w:val="left" w:pos="720"/>
              </w:tabs>
              <w:adjustRightInd w:val="0"/>
              <w:snapToGrid w:val="0"/>
              <w:spacing w:line="360" w:lineRule="auto"/>
              <w:jc w:val="center"/>
              <w:rPr>
                <w:color w:val="auto"/>
                <w:szCs w:val="21"/>
                <w:highlight w:val="none"/>
              </w:rPr>
            </w:pPr>
          </w:p>
        </w:tc>
        <w:tc>
          <w:tcPr>
            <w:tcW w:w="2320" w:type="dxa"/>
            <w:vAlign w:val="center"/>
          </w:tcPr>
          <w:p>
            <w:pPr>
              <w:tabs>
                <w:tab w:val="left" w:pos="0"/>
                <w:tab w:val="left" w:pos="720"/>
              </w:tabs>
              <w:adjustRightInd w:val="0"/>
              <w:snapToGrid w:val="0"/>
              <w:spacing w:line="360" w:lineRule="auto"/>
              <w:jc w:val="center"/>
              <w:rPr>
                <w:color w:val="auto"/>
                <w:szCs w:val="21"/>
                <w:highlight w:val="none"/>
              </w:rPr>
            </w:pPr>
          </w:p>
        </w:tc>
        <w:tc>
          <w:tcPr>
            <w:tcW w:w="2449" w:type="dxa"/>
            <w:vAlign w:val="center"/>
          </w:tcPr>
          <w:p>
            <w:pPr>
              <w:tabs>
                <w:tab w:val="left" w:pos="0"/>
                <w:tab w:val="left" w:pos="720"/>
              </w:tabs>
              <w:adjustRightInd w:val="0"/>
              <w:snapToGrid w:val="0"/>
              <w:spacing w:line="360" w:lineRule="auto"/>
              <w:jc w:val="center"/>
              <w:rPr>
                <w:color w:val="auto"/>
                <w:szCs w:val="21"/>
                <w:highlight w:val="none"/>
              </w:rPr>
            </w:pPr>
          </w:p>
        </w:tc>
        <w:tc>
          <w:tcPr>
            <w:tcW w:w="2425" w:type="dxa"/>
            <w:vAlign w:val="center"/>
          </w:tcPr>
          <w:p>
            <w:pPr>
              <w:tabs>
                <w:tab w:val="left" w:pos="0"/>
                <w:tab w:val="left" w:pos="720"/>
              </w:tabs>
              <w:adjustRightInd w:val="0"/>
              <w:snapToGrid w:val="0"/>
              <w:spacing w:line="360" w:lineRule="auto"/>
              <w:jc w:val="center"/>
              <w:rPr>
                <w:color w:val="auto"/>
                <w:szCs w:val="21"/>
                <w:highlight w:val="none"/>
              </w:rPr>
            </w:pPr>
          </w:p>
        </w:tc>
      </w:tr>
    </w:tbl>
    <w:p>
      <w:pPr>
        <w:pStyle w:val="21"/>
        <w:spacing w:line="360" w:lineRule="auto"/>
        <w:jc w:val="left"/>
        <w:rPr>
          <w:rFonts w:hAnsi="宋体"/>
          <w:color w:val="auto"/>
          <w:sz w:val="21"/>
          <w:szCs w:val="21"/>
          <w:highlight w:val="none"/>
        </w:rPr>
      </w:pPr>
      <w:r>
        <w:rPr>
          <w:rFonts w:hint="eastAsia" w:hAnsi="宋体"/>
          <w:color w:val="auto"/>
          <w:sz w:val="21"/>
          <w:szCs w:val="21"/>
          <w:highlight w:val="none"/>
        </w:rPr>
        <w:t>注：参与编制投标报价人员名单应包括如编制文件资料、负责清样校对、负责打印及复印等人员在内的人员名单。</w:t>
      </w:r>
    </w:p>
    <w:p>
      <w:pPr>
        <w:pStyle w:val="21"/>
        <w:spacing w:line="360" w:lineRule="auto"/>
        <w:jc w:val="left"/>
        <w:rPr>
          <w:rFonts w:hAnsi="宋体"/>
          <w:color w:val="auto"/>
          <w:sz w:val="21"/>
          <w:szCs w:val="21"/>
          <w:highlight w:val="none"/>
        </w:rPr>
      </w:pPr>
    </w:p>
    <w:p>
      <w:pPr>
        <w:pStyle w:val="15"/>
        <w:rPr>
          <w:color w:val="auto"/>
          <w:highlight w:val="none"/>
        </w:rPr>
      </w:pPr>
    </w:p>
    <w:sectPr>
      <w:footerReference r:id="rId7" w:type="default"/>
      <w:pgSz w:w="11906" w:h="16838"/>
      <w:pgMar w:top="1247" w:right="1134" w:bottom="1247" w:left="1361"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华文细黑">
    <w:altName w:val="微软雅黑"/>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6270"/>
        <w:tab w:val="clear" w:pos="4153"/>
      </w:tabs>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path/>
          <v:fill on="f" focussize="0,0"/>
          <v:stroke on="f" joinstyle="miter"/>
          <v:imagedata o:title=""/>
          <o:lock v:ext="edit"/>
          <v:textbox inset="0mm,0mm,0mm,0mm" style="mso-fit-shape-to-text:t;">
            <w:txbxContent>
              <w:p>
                <w:pPr>
                  <w:pStyle w:val="25"/>
                  <w:rPr>
                    <w:rStyle w:val="42"/>
                  </w:rPr>
                </w:pPr>
                <w:r>
                  <w:fldChar w:fldCharType="begin"/>
                </w:r>
                <w:r>
                  <w:rPr>
                    <w:rStyle w:val="42"/>
                  </w:rPr>
                  <w:instrText xml:space="preserve">PAGE  </w:instrText>
                </w:r>
                <w:r>
                  <w:fldChar w:fldCharType="separate"/>
                </w:r>
                <w:r>
                  <w:rPr>
                    <w:rStyle w:val="42"/>
                  </w:rPr>
                  <w:t>I</w:t>
                </w:r>
                <w:r>
                  <w:fldChar w:fldCharType="end"/>
                </w:r>
              </w:p>
              <w:p/>
            </w:txbxContent>
          </v:textbox>
        </v:shape>
      </w:pic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6270"/>
        <w:tab w:val="clear" w:pos="4153"/>
      </w:tabs>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PZg2s8BAACq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YMPat/hoMs8Jfi7Q8SR8qSpwwiLDJODT5i5TuuWduRPP1e9/G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09mDazwEAAKoDAAAOAAAAAAAAAAEAIAAAAB4BAABkcnMv&#10;ZTJvRG9jLnhtbFBLBQYAAAAABgAGAFkBAABfBQAAAAA=&#10;">
          <v:path/>
          <v:fill on="f" focussize="0,0"/>
          <v:stroke on="f" joinstyle="miter"/>
          <v:imagedata o:title=""/>
          <o:lock v:ext="edit"/>
          <v:textbox inset="0mm,0mm,0mm,0mm" style="mso-fit-shape-to-text:t;">
            <w:txbxContent>
              <w:p>
                <w:pPr>
                  <w:pStyle w:val="25"/>
                  <w:rPr>
                    <w:rStyle w:val="42"/>
                  </w:rPr>
                </w:pPr>
                <w:r>
                  <w:fldChar w:fldCharType="begin"/>
                </w:r>
                <w:r>
                  <w:rPr>
                    <w:rStyle w:val="42"/>
                  </w:rPr>
                  <w:instrText xml:space="preserve">PAGE  </w:instrText>
                </w:r>
                <w:r>
                  <w:fldChar w:fldCharType="separate"/>
                </w:r>
                <w:r>
                  <w:rPr>
                    <w:rStyle w:val="42"/>
                  </w:rPr>
                  <w:t>25</w:t>
                </w:r>
                <w:r>
                  <w:fldChar w:fldCharType="end"/>
                </w:r>
              </w:p>
              <w:p/>
            </w:txbxContent>
          </v:textbox>
        </v:shape>
      </w:pic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pict>
        <v:shape id="文本框 1027"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MbCJ88BAACqAwAADgAAAGRycy9lMm9Eb2MueG1srVPNjtMwEL4j8Q6W&#10;7zRpk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QxsInzwEAAKoDAAAOAAAAAAAAAAEAIAAAAB4BAABkcnMv&#10;ZTJvRG9jLnhtbFBLBQYAAAAABgAGAFkBAABfBQAAAAA=&#10;">
          <v:path/>
          <v:fill on="f" focussize="0,0"/>
          <v:stroke on="f" joinstyle="miter"/>
          <v:imagedata o:title=""/>
          <o:lock v:ext="edit"/>
          <v:textbox inset="0mm,0mm,0mm,0mm" style="mso-fit-shape-to-text:t;">
            <w:txbxContent>
              <w:p>
                <w:pPr>
                  <w:pStyle w:val="25"/>
                  <w:jc w:val="center"/>
                </w:pPr>
                <w:r>
                  <w:fldChar w:fldCharType="begin"/>
                </w:r>
                <w:r>
                  <w:instrText xml:space="preserve">PAGE   \* MERGEFORMAT</w:instrText>
                </w:r>
                <w:r>
                  <w:fldChar w:fldCharType="separate"/>
                </w:r>
                <w:r>
                  <w:rPr>
                    <w:lang w:val="zh-CN"/>
                  </w:rPr>
                  <w:t>55</w:t>
                </w:r>
                <w:r>
                  <w:rPr>
                    <w:lang w:val="zh-CN"/>
                  </w:rPr>
                  <w:fldChar w:fldCharType="end"/>
                </w:r>
              </w:p>
            </w:txbxContent>
          </v:textbox>
        </v:shape>
      </w:pict>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718C6"/>
    <w:multiLevelType w:val="singleLevel"/>
    <w:tmpl w:val="CB8718C6"/>
    <w:lvl w:ilvl="0" w:tentative="0">
      <w:start w:val="3"/>
      <w:numFmt w:val="decimal"/>
      <w:suff w:val="nothing"/>
      <w:lvlText w:val="%1、"/>
      <w:lvlJc w:val="left"/>
    </w:lvl>
  </w:abstractNum>
  <w:abstractNum w:abstractNumId="1">
    <w:nsid w:val="EC11FC5A"/>
    <w:multiLevelType w:val="singleLevel"/>
    <w:tmpl w:val="EC11FC5A"/>
    <w:lvl w:ilvl="0" w:tentative="0">
      <w:start w:val="5"/>
      <w:numFmt w:val="chineseCounting"/>
      <w:suff w:val="space"/>
      <w:lvlText w:val="第%1章"/>
      <w:lvlJc w:val="left"/>
      <w:rPr>
        <w:rFonts w:hint="eastAsia"/>
      </w:rPr>
    </w:lvl>
  </w:abstractNum>
  <w:abstractNum w:abstractNumId="2">
    <w:nsid w:val="00000004"/>
    <w:multiLevelType w:val="singleLevel"/>
    <w:tmpl w:val="00000004"/>
    <w:lvl w:ilvl="0" w:tentative="0">
      <w:start w:val="1"/>
      <w:numFmt w:val="chineseCounting"/>
      <w:suff w:val="nothing"/>
      <w:lvlText w:val="%1、"/>
      <w:lvlJc w:val="left"/>
      <w:rPr>
        <w:rFonts w:hint="eastAsia"/>
      </w:rPr>
    </w:lvl>
  </w:abstractNum>
  <w:abstractNum w:abstractNumId="3">
    <w:nsid w:val="2E1027E6"/>
    <w:multiLevelType w:val="singleLevel"/>
    <w:tmpl w:val="2E1027E6"/>
    <w:lvl w:ilvl="0" w:tentative="0">
      <w:start w:val="1"/>
      <w:numFmt w:val="decimal"/>
      <w:suff w:val="nothing"/>
      <w:lvlText w:val="%1）"/>
      <w:lvlJc w:val="left"/>
      <w:pPr>
        <w:ind w:left="5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NotDisplayPageBoundaries w:val="1"/>
  <w:bordersDoNotSurroundHeader w:val="1"/>
  <w:bordersDoNotSurroundFooter w:val="1"/>
  <w:trackRevisions w:val="1"/>
  <w:documentProtection w:enforcement="0"/>
  <w:defaultTabStop w:val="420"/>
  <w:drawingGridHorizontalSpacing w:val="210"/>
  <w:drawingGridVerticalSpacing w:val="-7946"/>
  <w:noPunctuationKerning w:val="1"/>
  <w:characterSpacingControl w:val="compressPunctuation"/>
  <w:doNotValidateAgainstSchema/>
  <w:doNotDemarcateInvalidXml/>
  <w:hdrShapeDefaults>
    <o:shapelayout v:ext="edit">
      <o:idmap v:ext="edit" data="1,3"/>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JjMjg4NjNjMGQ5OWQxMjU2NzFkNWEwMzQxMDU5MzIifQ=="/>
  </w:docVars>
  <w:rsids>
    <w:rsidRoot w:val="00172A27"/>
    <w:rsid w:val="00004230"/>
    <w:rsid w:val="00007188"/>
    <w:rsid w:val="000113DF"/>
    <w:rsid w:val="000117B8"/>
    <w:rsid w:val="00012AC2"/>
    <w:rsid w:val="00014219"/>
    <w:rsid w:val="00015068"/>
    <w:rsid w:val="000232F1"/>
    <w:rsid w:val="00023E15"/>
    <w:rsid w:val="0002575D"/>
    <w:rsid w:val="0002681D"/>
    <w:rsid w:val="00027581"/>
    <w:rsid w:val="00031634"/>
    <w:rsid w:val="000417B5"/>
    <w:rsid w:val="00042361"/>
    <w:rsid w:val="0004358C"/>
    <w:rsid w:val="000452D4"/>
    <w:rsid w:val="000468D8"/>
    <w:rsid w:val="00046EC8"/>
    <w:rsid w:val="00051D5E"/>
    <w:rsid w:val="0005348B"/>
    <w:rsid w:val="00057EF8"/>
    <w:rsid w:val="0006240A"/>
    <w:rsid w:val="000630D0"/>
    <w:rsid w:val="00065BBB"/>
    <w:rsid w:val="00067B9C"/>
    <w:rsid w:val="00070695"/>
    <w:rsid w:val="00071CA8"/>
    <w:rsid w:val="00075215"/>
    <w:rsid w:val="00076AA7"/>
    <w:rsid w:val="00081EDE"/>
    <w:rsid w:val="0008300A"/>
    <w:rsid w:val="00084F7C"/>
    <w:rsid w:val="000962E6"/>
    <w:rsid w:val="00096B88"/>
    <w:rsid w:val="000A0965"/>
    <w:rsid w:val="000A0A2B"/>
    <w:rsid w:val="000A598F"/>
    <w:rsid w:val="000B1384"/>
    <w:rsid w:val="000B64EC"/>
    <w:rsid w:val="000C05B3"/>
    <w:rsid w:val="000C0C24"/>
    <w:rsid w:val="000C4A6B"/>
    <w:rsid w:val="000D3682"/>
    <w:rsid w:val="000D4775"/>
    <w:rsid w:val="000D5442"/>
    <w:rsid w:val="000D62FF"/>
    <w:rsid w:val="000E0895"/>
    <w:rsid w:val="000E29C0"/>
    <w:rsid w:val="000E2D7E"/>
    <w:rsid w:val="000E481A"/>
    <w:rsid w:val="000E6C51"/>
    <w:rsid w:val="000E782D"/>
    <w:rsid w:val="000F0A0A"/>
    <w:rsid w:val="000F0E34"/>
    <w:rsid w:val="000F2299"/>
    <w:rsid w:val="000F296A"/>
    <w:rsid w:val="000F339D"/>
    <w:rsid w:val="000F3E9A"/>
    <w:rsid w:val="000F5B26"/>
    <w:rsid w:val="000F7192"/>
    <w:rsid w:val="00102E96"/>
    <w:rsid w:val="00103F59"/>
    <w:rsid w:val="00106A1C"/>
    <w:rsid w:val="00107450"/>
    <w:rsid w:val="001077F6"/>
    <w:rsid w:val="001116F9"/>
    <w:rsid w:val="00112D23"/>
    <w:rsid w:val="00115F66"/>
    <w:rsid w:val="0012198A"/>
    <w:rsid w:val="00122C81"/>
    <w:rsid w:val="00123751"/>
    <w:rsid w:val="00125A68"/>
    <w:rsid w:val="00127F71"/>
    <w:rsid w:val="001306DD"/>
    <w:rsid w:val="001318DB"/>
    <w:rsid w:val="001319FB"/>
    <w:rsid w:val="00132349"/>
    <w:rsid w:val="00132926"/>
    <w:rsid w:val="00133784"/>
    <w:rsid w:val="001366F6"/>
    <w:rsid w:val="00137F8B"/>
    <w:rsid w:val="00140E29"/>
    <w:rsid w:val="00140F9F"/>
    <w:rsid w:val="00145726"/>
    <w:rsid w:val="001458C2"/>
    <w:rsid w:val="0015134D"/>
    <w:rsid w:val="00152107"/>
    <w:rsid w:val="0015683E"/>
    <w:rsid w:val="001611C6"/>
    <w:rsid w:val="0016177A"/>
    <w:rsid w:val="001617FA"/>
    <w:rsid w:val="00165FAD"/>
    <w:rsid w:val="00172A27"/>
    <w:rsid w:val="00174E7B"/>
    <w:rsid w:val="00180812"/>
    <w:rsid w:val="001829A7"/>
    <w:rsid w:val="001909E2"/>
    <w:rsid w:val="001913E5"/>
    <w:rsid w:val="0019337B"/>
    <w:rsid w:val="00195EB4"/>
    <w:rsid w:val="001963AA"/>
    <w:rsid w:val="00196C50"/>
    <w:rsid w:val="001A17E0"/>
    <w:rsid w:val="001A2E3B"/>
    <w:rsid w:val="001A4C34"/>
    <w:rsid w:val="001A6A2B"/>
    <w:rsid w:val="001A7042"/>
    <w:rsid w:val="001B1192"/>
    <w:rsid w:val="001B1764"/>
    <w:rsid w:val="001B2C9E"/>
    <w:rsid w:val="001B6A2F"/>
    <w:rsid w:val="001C23C6"/>
    <w:rsid w:val="001C7E56"/>
    <w:rsid w:val="001D5EF9"/>
    <w:rsid w:val="001D6A79"/>
    <w:rsid w:val="001E1B1A"/>
    <w:rsid w:val="001E4701"/>
    <w:rsid w:val="001E646A"/>
    <w:rsid w:val="001E7266"/>
    <w:rsid w:val="001F6658"/>
    <w:rsid w:val="00212460"/>
    <w:rsid w:val="00213A1D"/>
    <w:rsid w:val="002179E9"/>
    <w:rsid w:val="0022061E"/>
    <w:rsid w:val="00220BF2"/>
    <w:rsid w:val="00226D25"/>
    <w:rsid w:val="00226D67"/>
    <w:rsid w:val="00227956"/>
    <w:rsid w:val="002339E9"/>
    <w:rsid w:val="00233C38"/>
    <w:rsid w:val="00234435"/>
    <w:rsid w:val="00237140"/>
    <w:rsid w:val="00240F35"/>
    <w:rsid w:val="0024204F"/>
    <w:rsid w:val="00242449"/>
    <w:rsid w:val="00242D77"/>
    <w:rsid w:val="00245470"/>
    <w:rsid w:val="00246C87"/>
    <w:rsid w:val="00247D97"/>
    <w:rsid w:val="00252161"/>
    <w:rsid w:val="00252E9D"/>
    <w:rsid w:val="00257989"/>
    <w:rsid w:val="00263DCA"/>
    <w:rsid w:val="00264259"/>
    <w:rsid w:val="00265988"/>
    <w:rsid w:val="00273152"/>
    <w:rsid w:val="0027506B"/>
    <w:rsid w:val="00280853"/>
    <w:rsid w:val="00282687"/>
    <w:rsid w:val="00283153"/>
    <w:rsid w:val="0028390B"/>
    <w:rsid w:val="002854BF"/>
    <w:rsid w:val="0028793A"/>
    <w:rsid w:val="002A083E"/>
    <w:rsid w:val="002A2D1E"/>
    <w:rsid w:val="002A4A00"/>
    <w:rsid w:val="002A72E8"/>
    <w:rsid w:val="002B1995"/>
    <w:rsid w:val="002B2253"/>
    <w:rsid w:val="002B3F10"/>
    <w:rsid w:val="002B6D7A"/>
    <w:rsid w:val="002C67FA"/>
    <w:rsid w:val="002D3AFB"/>
    <w:rsid w:val="002D3B4A"/>
    <w:rsid w:val="002E0CB9"/>
    <w:rsid w:val="002E4EA0"/>
    <w:rsid w:val="002E5C78"/>
    <w:rsid w:val="002E7D9E"/>
    <w:rsid w:val="002F0FF2"/>
    <w:rsid w:val="002F2775"/>
    <w:rsid w:val="002F38DB"/>
    <w:rsid w:val="00300677"/>
    <w:rsid w:val="00300F4A"/>
    <w:rsid w:val="00305E76"/>
    <w:rsid w:val="003060B9"/>
    <w:rsid w:val="00307345"/>
    <w:rsid w:val="003109D1"/>
    <w:rsid w:val="00310BE5"/>
    <w:rsid w:val="003131B0"/>
    <w:rsid w:val="00316641"/>
    <w:rsid w:val="00327297"/>
    <w:rsid w:val="003310DB"/>
    <w:rsid w:val="00331328"/>
    <w:rsid w:val="0033193F"/>
    <w:rsid w:val="00331B60"/>
    <w:rsid w:val="003343C3"/>
    <w:rsid w:val="0033631D"/>
    <w:rsid w:val="00336625"/>
    <w:rsid w:val="00337C47"/>
    <w:rsid w:val="00340F11"/>
    <w:rsid w:val="00341413"/>
    <w:rsid w:val="0034235F"/>
    <w:rsid w:val="00343096"/>
    <w:rsid w:val="00343E4D"/>
    <w:rsid w:val="00344A1D"/>
    <w:rsid w:val="0035270C"/>
    <w:rsid w:val="00352D41"/>
    <w:rsid w:val="00354253"/>
    <w:rsid w:val="00355029"/>
    <w:rsid w:val="003550AB"/>
    <w:rsid w:val="00357E24"/>
    <w:rsid w:val="00360675"/>
    <w:rsid w:val="00363049"/>
    <w:rsid w:val="00363B59"/>
    <w:rsid w:val="00366FC9"/>
    <w:rsid w:val="00372266"/>
    <w:rsid w:val="0037227B"/>
    <w:rsid w:val="00375F64"/>
    <w:rsid w:val="00381A89"/>
    <w:rsid w:val="0038478C"/>
    <w:rsid w:val="00390457"/>
    <w:rsid w:val="00391AC9"/>
    <w:rsid w:val="00392815"/>
    <w:rsid w:val="003961A6"/>
    <w:rsid w:val="003A2B32"/>
    <w:rsid w:val="003A6AEF"/>
    <w:rsid w:val="003B180D"/>
    <w:rsid w:val="003B1EA1"/>
    <w:rsid w:val="003B4876"/>
    <w:rsid w:val="003C0159"/>
    <w:rsid w:val="003C2C42"/>
    <w:rsid w:val="003C382C"/>
    <w:rsid w:val="003C51C7"/>
    <w:rsid w:val="003D2AEA"/>
    <w:rsid w:val="003D2DC9"/>
    <w:rsid w:val="003D3C44"/>
    <w:rsid w:val="003D4E4E"/>
    <w:rsid w:val="003D6897"/>
    <w:rsid w:val="003D7678"/>
    <w:rsid w:val="003E25D3"/>
    <w:rsid w:val="003E33EC"/>
    <w:rsid w:val="003E3687"/>
    <w:rsid w:val="003E3B8A"/>
    <w:rsid w:val="003E7EDA"/>
    <w:rsid w:val="003F2299"/>
    <w:rsid w:val="003F34B9"/>
    <w:rsid w:val="003F38DA"/>
    <w:rsid w:val="003F4F1C"/>
    <w:rsid w:val="00401E95"/>
    <w:rsid w:val="0040727B"/>
    <w:rsid w:val="00407EA8"/>
    <w:rsid w:val="004105F1"/>
    <w:rsid w:val="00410628"/>
    <w:rsid w:val="00411721"/>
    <w:rsid w:val="00415D40"/>
    <w:rsid w:val="00416F68"/>
    <w:rsid w:val="00417E61"/>
    <w:rsid w:val="004209B6"/>
    <w:rsid w:val="00424088"/>
    <w:rsid w:val="00427828"/>
    <w:rsid w:val="00431FFF"/>
    <w:rsid w:val="00436281"/>
    <w:rsid w:val="00437774"/>
    <w:rsid w:val="00443072"/>
    <w:rsid w:val="00447656"/>
    <w:rsid w:val="0045122F"/>
    <w:rsid w:val="00454684"/>
    <w:rsid w:val="004555E3"/>
    <w:rsid w:val="00457AB6"/>
    <w:rsid w:val="00460BC8"/>
    <w:rsid w:val="00467902"/>
    <w:rsid w:val="00467949"/>
    <w:rsid w:val="00470CA4"/>
    <w:rsid w:val="004759D1"/>
    <w:rsid w:val="00476DF0"/>
    <w:rsid w:val="00476FB2"/>
    <w:rsid w:val="004804C0"/>
    <w:rsid w:val="00481CA5"/>
    <w:rsid w:val="00482866"/>
    <w:rsid w:val="00484002"/>
    <w:rsid w:val="00484EB2"/>
    <w:rsid w:val="004905C3"/>
    <w:rsid w:val="0049208D"/>
    <w:rsid w:val="0049701D"/>
    <w:rsid w:val="004A0D63"/>
    <w:rsid w:val="004A6ADB"/>
    <w:rsid w:val="004B0BA1"/>
    <w:rsid w:val="004B1DC2"/>
    <w:rsid w:val="004B3889"/>
    <w:rsid w:val="004B6875"/>
    <w:rsid w:val="004B72C2"/>
    <w:rsid w:val="004B7395"/>
    <w:rsid w:val="004B7B5A"/>
    <w:rsid w:val="004C25EB"/>
    <w:rsid w:val="004C2C30"/>
    <w:rsid w:val="004C3176"/>
    <w:rsid w:val="004C4B98"/>
    <w:rsid w:val="004D249D"/>
    <w:rsid w:val="004D3406"/>
    <w:rsid w:val="004D475F"/>
    <w:rsid w:val="004D692C"/>
    <w:rsid w:val="004D7BBA"/>
    <w:rsid w:val="004E34EA"/>
    <w:rsid w:val="004E59CF"/>
    <w:rsid w:val="004F790B"/>
    <w:rsid w:val="004F7FEA"/>
    <w:rsid w:val="00502EDB"/>
    <w:rsid w:val="005057F6"/>
    <w:rsid w:val="005058E2"/>
    <w:rsid w:val="00511238"/>
    <w:rsid w:val="00511BF2"/>
    <w:rsid w:val="00512AE7"/>
    <w:rsid w:val="005246AF"/>
    <w:rsid w:val="00524A7A"/>
    <w:rsid w:val="00525070"/>
    <w:rsid w:val="005256C4"/>
    <w:rsid w:val="00527108"/>
    <w:rsid w:val="0053261C"/>
    <w:rsid w:val="005351BD"/>
    <w:rsid w:val="0053559E"/>
    <w:rsid w:val="0053595F"/>
    <w:rsid w:val="005414CA"/>
    <w:rsid w:val="0054505B"/>
    <w:rsid w:val="00551E54"/>
    <w:rsid w:val="005520FF"/>
    <w:rsid w:val="00557D6C"/>
    <w:rsid w:val="00560714"/>
    <w:rsid w:val="00561674"/>
    <w:rsid w:val="00565A62"/>
    <w:rsid w:val="0056651E"/>
    <w:rsid w:val="005670C4"/>
    <w:rsid w:val="00567F96"/>
    <w:rsid w:val="0057228C"/>
    <w:rsid w:val="00572D98"/>
    <w:rsid w:val="00575618"/>
    <w:rsid w:val="00577799"/>
    <w:rsid w:val="005811BF"/>
    <w:rsid w:val="0058247A"/>
    <w:rsid w:val="00583B3F"/>
    <w:rsid w:val="005840C0"/>
    <w:rsid w:val="00584D50"/>
    <w:rsid w:val="00584F55"/>
    <w:rsid w:val="00585D52"/>
    <w:rsid w:val="00585FBB"/>
    <w:rsid w:val="00591C86"/>
    <w:rsid w:val="00591F57"/>
    <w:rsid w:val="00594035"/>
    <w:rsid w:val="00597C58"/>
    <w:rsid w:val="005A2D60"/>
    <w:rsid w:val="005A34A9"/>
    <w:rsid w:val="005A3D4A"/>
    <w:rsid w:val="005A75B2"/>
    <w:rsid w:val="005B00D5"/>
    <w:rsid w:val="005B27F9"/>
    <w:rsid w:val="005C04E9"/>
    <w:rsid w:val="005C0574"/>
    <w:rsid w:val="005C0F2A"/>
    <w:rsid w:val="005C2242"/>
    <w:rsid w:val="005C224C"/>
    <w:rsid w:val="005C64ED"/>
    <w:rsid w:val="005C7694"/>
    <w:rsid w:val="005C793A"/>
    <w:rsid w:val="005D0DC7"/>
    <w:rsid w:val="005D2195"/>
    <w:rsid w:val="005D2353"/>
    <w:rsid w:val="005D2376"/>
    <w:rsid w:val="005D304B"/>
    <w:rsid w:val="005D3F84"/>
    <w:rsid w:val="005D50E5"/>
    <w:rsid w:val="005D7063"/>
    <w:rsid w:val="005E0F52"/>
    <w:rsid w:val="005E1503"/>
    <w:rsid w:val="005E46F7"/>
    <w:rsid w:val="005E4D7A"/>
    <w:rsid w:val="005E5BC6"/>
    <w:rsid w:val="005E690F"/>
    <w:rsid w:val="005F035D"/>
    <w:rsid w:val="005F07A7"/>
    <w:rsid w:val="005F15BB"/>
    <w:rsid w:val="005F2383"/>
    <w:rsid w:val="005F5EAB"/>
    <w:rsid w:val="0060108E"/>
    <w:rsid w:val="006030C6"/>
    <w:rsid w:val="00604A39"/>
    <w:rsid w:val="00605AB4"/>
    <w:rsid w:val="006117C5"/>
    <w:rsid w:val="0061377D"/>
    <w:rsid w:val="006145E8"/>
    <w:rsid w:val="00615A5D"/>
    <w:rsid w:val="00615C56"/>
    <w:rsid w:val="006161D9"/>
    <w:rsid w:val="0062026D"/>
    <w:rsid w:val="00620DE6"/>
    <w:rsid w:val="00622770"/>
    <w:rsid w:val="006229B7"/>
    <w:rsid w:val="0062392B"/>
    <w:rsid w:val="00625CAF"/>
    <w:rsid w:val="00630B8A"/>
    <w:rsid w:val="00637342"/>
    <w:rsid w:val="00637968"/>
    <w:rsid w:val="0064148A"/>
    <w:rsid w:val="006421AB"/>
    <w:rsid w:val="00642FB0"/>
    <w:rsid w:val="006465E1"/>
    <w:rsid w:val="006512D7"/>
    <w:rsid w:val="006529D7"/>
    <w:rsid w:val="00652C22"/>
    <w:rsid w:val="006534FE"/>
    <w:rsid w:val="00655B4F"/>
    <w:rsid w:val="006565E6"/>
    <w:rsid w:val="00656650"/>
    <w:rsid w:val="0066276E"/>
    <w:rsid w:val="00663694"/>
    <w:rsid w:val="00670A87"/>
    <w:rsid w:val="00673BA9"/>
    <w:rsid w:val="00674FFE"/>
    <w:rsid w:val="006762B0"/>
    <w:rsid w:val="00676F1B"/>
    <w:rsid w:val="006778E0"/>
    <w:rsid w:val="00681609"/>
    <w:rsid w:val="006825F0"/>
    <w:rsid w:val="00686CDA"/>
    <w:rsid w:val="00691C81"/>
    <w:rsid w:val="00693AE7"/>
    <w:rsid w:val="006943F0"/>
    <w:rsid w:val="0069447A"/>
    <w:rsid w:val="006A0389"/>
    <w:rsid w:val="006A056B"/>
    <w:rsid w:val="006A2919"/>
    <w:rsid w:val="006A5A4E"/>
    <w:rsid w:val="006B0F8D"/>
    <w:rsid w:val="006B5A75"/>
    <w:rsid w:val="006B62D5"/>
    <w:rsid w:val="006C0A86"/>
    <w:rsid w:val="006C5902"/>
    <w:rsid w:val="006D10F7"/>
    <w:rsid w:val="006D3182"/>
    <w:rsid w:val="006D3448"/>
    <w:rsid w:val="006D46AD"/>
    <w:rsid w:val="006D4CDC"/>
    <w:rsid w:val="006E1A08"/>
    <w:rsid w:val="006E29FB"/>
    <w:rsid w:val="006E41D4"/>
    <w:rsid w:val="006E6F10"/>
    <w:rsid w:val="006F0268"/>
    <w:rsid w:val="006F1AE4"/>
    <w:rsid w:val="006F42F3"/>
    <w:rsid w:val="006F4C7A"/>
    <w:rsid w:val="006F669A"/>
    <w:rsid w:val="006F6942"/>
    <w:rsid w:val="006F6DA8"/>
    <w:rsid w:val="006F7C52"/>
    <w:rsid w:val="0070077A"/>
    <w:rsid w:val="00700C14"/>
    <w:rsid w:val="007029FF"/>
    <w:rsid w:val="0070319B"/>
    <w:rsid w:val="00711267"/>
    <w:rsid w:val="00713515"/>
    <w:rsid w:val="00713DA6"/>
    <w:rsid w:val="0072125B"/>
    <w:rsid w:val="00725C1E"/>
    <w:rsid w:val="007310FC"/>
    <w:rsid w:val="007358ED"/>
    <w:rsid w:val="007411CE"/>
    <w:rsid w:val="00747474"/>
    <w:rsid w:val="007474F4"/>
    <w:rsid w:val="00750C55"/>
    <w:rsid w:val="00750CCE"/>
    <w:rsid w:val="00751345"/>
    <w:rsid w:val="00753713"/>
    <w:rsid w:val="00756A43"/>
    <w:rsid w:val="00761DA3"/>
    <w:rsid w:val="007643C5"/>
    <w:rsid w:val="00774A6D"/>
    <w:rsid w:val="007755BB"/>
    <w:rsid w:val="00783621"/>
    <w:rsid w:val="00785A93"/>
    <w:rsid w:val="00791AD8"/>
    <w:rsid w:val="00793574"/>
    <w:rsid w:val="00795F1D"/>
    <w:rsid w:val="00797AA2"/>
    <w:rsid w:val="007A0927"/>
    <w:rsid w:val="007A2961"/>
    <w:rsid w:val="007A2D9C"/>
    <w:rsid w:val="007A319E"/>
    <w:rsid w:val="007B4241"/>
    <w:rsid w:val="007B4BFF"/>
    <w:rsid w:val="007B5238"/>
    <w:rsid w:val="007C122D"/>
    <w:rsid w:val="007C3CD4"/>
    <w:rsid w:val="007C5957"/>
    <w:rsid w:val="007C7D65"/>
    <w:rsid w:val="007D254C"/>
    <w:rsid w:val="007D2CA7"/>
    <w:rsid w:val="007D6D25"/>
    <w:rsid w:val="007E17B2"/>
    <w:rsid w:val="007F60BA"/>
    <w:rsid w:val="007F6569"/>
    <w:rsid w:val="007F6CD6"/>
    <w:rsid w:val="007F7097"/>
    <w:rsid w:val="007F7804"/>
    <w:rsid w:val="008003A6"/>
    <w:rsid w:val="00800A59"/>
    <w:rsid w:val="00801B1D"/>
    <w:rsid w:val="00801B51"/>
    <w:rsid w:val="00811FE4"/>
    <w:rsid w:val="00812575"/>
    <w:rsid w:val="008227AE"/>
    <w:rsid w:val="00822BB2"/>
    <w:rsid w:val="008245DF"/>
    <w:rsid w:val="0082645F"/>
    <w:rsid w:val="008304BB"/>
    <w:rsid w:val="00830812"/>
    <w:rsid w:val="00844A78"/>
    <w:rsid w:val="00845B28"/>
    <w:rsid w:val="0085052E"/>
    <w:rsid w:val="008518E3"/>
    <w:rsid w:val="00851983"/>
    <w:rsid w:val="0085411E"/>
    <w:rsid w:val="008543AA"/>
    <w:rsid w:val="0085583D"/>
    <w:rsid w:val="00864B3F"/>
    <w:rsid w:val="00864E9C"/>
    <w:rsid w:val="00865CB4"/>
    <w:rsid w:val="00866624"/>
    <w:rsid w:val="00870AC3"/>
    <w:rsid w:val="00872A26"/>
    <w:rsid w:val="00874402"/>
    <w:rsid w:val="00874A07"/>
    <w:rsid w:val="00875E2E"/>
    <w:rsid w:val="00880985"/>
    <w:rsid w:val="0088205F"/>
    <w:rsid w:val="00883E07"/>
    <w:rsid w:val="00887F29"/>
    <w:rsid w:val="008902AA"/>
    <w:rsid w:val="00897BFF"/>
    <w:rsid w:val="008A0E9B"/>
    <w:rsid w:val="008A0FBD"/>
    <w:rsid w:val="008A15BC"/>
    <w:rsid w:val="008A48E5"/>
    <w:rsid w:val="008B06BA"/>
    <w:rsid w:val="008B415D"/>
    <w:rsid w:val="008B41E3"/>
    <w:rsid w:val="008B4997"/>
    <w:rsid w:val="008B5A88"/>
    <w:rsid w:val="008B5E9F"/>
    <w:rsid w:val="008B7C7D"/>
    <w:rsid w:val="008C0BB7"/>
    <w:rsid w:val="008C58AC"/>
    <w:rsid w:val="008C6DCD"/>
    <w:rsid w:val="008D083B"/>
    <w:rsid w:val="008D26EC"/>
    <w:rsid w:val="008D29BD"/>
    <w:rsid w:val="008D659C"/>
    <w:rsid w:val="008E1588"/>
    <w:rsid w:val="008E4374"/>
    <w:rsid w:val="008E58E9"/>
    <w:rsid w:val="008F1919"/>
    <w:rsid w:val="008F4D9C"/>
    <w:rsid w:val="008F7D64"/>
    <w:rsid w:val="009008E3"/>
    <w:rsid w:val="0090125D"/>
    <w:rsid w:val="00905FF1"/>
    <w:rsid w:val="0090768D"/>
    <w:rsid w:val="009114EA"/>
    <w:rsid w:val="009115DB"/>
    <w:rsid w:val="0091183D"/>
    <w:rsid w:val="009138E1"/>
    <w:rsid w:val="009141F6"/>
    <w:rsid w:val="00916FB2"/>
    <w:rsid w:val="00917615"/>
    <w:rsid w:val="00917D4C"/>
    <w:rsid w:val="00920D50"/>
    <w:rsid w:val="00923203"/>
    <w:rsid w:val="00927BBB"/>
    <w:rsid w:val="00930601"/>
    <w:rsid w:val="0093074C"/>
    <w:rsid w:val="00934F2C"/>
    <w:rsid w:val="009434E9"/>
    <w:rsid w:val="00945CF0"/>
    <w:rsid w:val="00946637"/>
    <w:rsid w:val="00952CC6"/>
    <w:rsid w:val="00954147"/>
    <w:rsid w:val="00960385"/>
    <w:rsid w:val="00960F2C"/>
    <w:rsid w:val="00961D87"/>
    <w:rsid w:val="009628E2"/>
    <w:rsid w:val="0096540B"/>
    <w:rsid w:val="00966644"/>
    <w:rsid w:val="00967137"/>
    <w:rsid w:val="00970B7B"/>
    <w:rsid w:val="00971F7D"/>
    <w:rsid w:val="009777BD"/>
    <w:rsid w:val="00977945"/>
    <w:rsid w:val="00984822"/>
    <w:rsid w:val="00984967"/>
    <w:rsid w:val="0099010E"/>
    <w:rsid w:val="00991163"/>
    <w:rsid w:val="009921F5"/>
    <w:rsid w:val="00994512"/>
    <w:rsid w:val="0099466B"/>
    <w:rsid w:val="00994EDE"/>
    <w:rsid w:val="00995ACF"/>
    <w:rsid w:val="00997F03"/>
    <w:rsid w:val="009A0062"/>
    <w:rsid w:val="009A1C2D"/>
    <w:rsid w:val="009A4B82"/>
    <w:rsid w:val="009A5D25"/>
    <w:rsid w:val="009A5EEA"/>
    <w:rsid w:val="009B54F4"/>
    <w:rsid w:val="009B5511"/>
    <w:rsid w:val="009B6193"/>
    <w:rsid w:val="009B6A13"/>
    <w:rsid w:val="009B7D28"/>
    <w:rsid w:val="009C2B93"/>
    <w:rsid w:val="009C4801"/>
    <w:rsid w:val="009C6CB9"/>
    <w:rsid w:val="009D60FA"/>
    <w:rsid w:val="009D7DEA"/>
    <w:rsid w:val="009E0751"/>
    <w:rsid w:val="009E36B2"/>
    <w:rsid w:val="009E659C"/>
    <w:rsid w:val="009E7E53"/>
    <w:rsid w:val="009F594B"/>
    <w:rsid w:val="009F68BC"/>
    <w:rsid w:val="009F6E0C"/>
    <w:rsid w:val="00A06454"/>
    <w:rsid w:val="00A07628"/>
    <w:rsid w:val="00A1430D"/>
    <w:rsid w:val="00A16AE6"/>
    <w:rsid w:val="00A2213F"/>
    <w:rsid w:val="00A24E3F"/>
    <w:rsid w:val="00A2645E"/>
    <w:rsid w:val="00A26914"/>
    <w:rsid w:val="00A30041"/>
    <w:rsid w:val="00A30A27"/>
    <w:rsid w:val="00A3166E"/>
    <w:rsid w:val="00A333D2"/>
    <w:rsid w:val="00A361C5"/>
    <w:rsid w:val="00A3662B"/>
    <w:rsid w:val="00A41C27"/>
    <w:rsid w:val="00A45C4A"/>
    <w:rsid w:val="00A50701"/>
    <w:rsid w:val="00A529DF"/>
    <w:rsid w:val="00A53DF0"/>
    <w:rsid w:val="00A53E44"/>
    <w:rsid w:val="00A55149"/>
    <w:rsid w:val="00A5595A"/>
    <w:rsid w:val="00A62EEC"/>
    <w:rsid w:val="00A63C4A"/>
    <w:rsid w:val="00A64610"/>
    <w:rsid w:val="00A66684"/>
    <w:rsid w:val="00A677C7"/>
    <w:rsid w:val="00A71A59"/>
    <w:rsid w:val="00A75297"/>
    <w:rsid w:val="00A7644D"/>
    <w:rsid w:val="00A76C70"/>
    <w:rsid w:val="00A76D08"/>
    <w:rsid w:val="00A81AC2"/>
    <w:rsid w:val="00A82324"/>
    <w:rsid w:val="00A8279D"/>
    <w:rsid w:val="00A837AD"/>
    <w:rsid w:val="00A843C6"/>
    <w:rsid w:val="00A86A54"/>
    <w:rsid w:val="00A90746"/>
    <w:rsid w:val="00A90F8F"/>
    <w:rsid w:val="00A92BFD"/>
    <w:rsid w:val="00A95D6A"/>
    <w:rsid w:val="00A969BA"/>
    <w:rsid w:val="00A974D8"/>
    <w:rsid w:val="00A97C94"/>
    <w:rsid w:val="00AA17D4"/>
    <w:rsid w:val="00AA2B29"/>
    <w:rsid w:val="00AA6A1D"/>
    <w:rsid w:val="00AB12DF"/>
    <w:rsid w:val="00AB202C"/>
    <w:rsid w:val="00AB2630"/>
    <w:rsid w:val="00AB49B2"/>
    <w:rsid w:val="00AB4CB6"/>
    <w:rsid w:val="00AC2F54"/>
    <w:rsid w:val="00AC5F49"/>
    <w:rsid w:val="00AC6548"/>
    <w:rsid w:val="00AC6E95"/>
    <w:rsid w:val="00AC7AFD"/>
    <w:rsid w:val="00AD14B7"/>
    <w:rsid w:val="00AD1CB8"/>
    <w:rsid w:val="00AD1D29"/>
    <w:rsid w:val="00AD313C"/>
    <w:rsid w:val="00AD351C"/>
    <w:rsid w:val="00AD356B"/>
    <w:rsid w:val="00AD3E69"/>
    <w:rsid w:val="00AD448D"/>
    <w:rsid w:val="00AD79FF"/>
    <w:rsid w:val="00AE14BB"/>
    <w:rsid w:val="00AE1589"/>
    <w:rsid w:val="00AE331E"/>
    <w:rsid w:val="00AF18C3"/>
    <w:rsid w:val="00AF3232"/>
    <w:rsid w:val="00AF4A01"/>
    <w:rsid w:val="00AF5B2D"/>
    <w:rsid w:val="00AF5D05"/>
    <w:rsid w:val="00B06E6E"/>
    <w:rsid w:val="00B07FC5"/>
    <w:rsid w:val="00B10C4A"/>
    <w:rsid w:val="00B11643"/>
    <w:rsid w:val="00B13F83"/>
    <w:rsid w:val="00B1674F"/>
    <w:rsid w:val="00B22DAD"/>
    <w:rsid w:val="00B2569E"/>
    <w:rsid w:val="00B268CF"/>
    <w:rsid w:val="00B26917"/>
    <w:rsid w:val="00B302C1"/>
    <w:rsid w:val="00B35C59"/>
    <w:rsid w:val="00B35F6F"/>
    <w:rsid w:val="00B366A9"/>
    <w:rsid w:val="00B36990"/>
    <w:rsid w:val="00B4070B"/>
    <w:rsid w:val="00B43A3F"/>
    <w:rsid w:val="00B4437C"/>
    <w:rsid w:val="00B44BE2"/>
    <w:rsid w:val="00B512B7"/>
    <w:rsid w:val="00B52A2F"/>
    <w:rsid w:val="00B53325"/>
    <w:rsid w:val="00B5775D"/>
    <w:rsid w:val="00B612A8"/>
    <w:rsid w:val="00B62AA7"/>
    <w:rsid w:val="00B6389C"/>
    <w:rsid w:val="00B6469F"/>
    <w:rsid w:val="00B65C4B"/>
    <w:rsid w:val="00B67BC6"/>
    <w:rsid w:val="00B733E7"/>
    <w:rsid w:val="00B73F33"/>
    <w:rsid w:val="00B765EB"/>
    <w:rsid w:val="00B76CE6"/>
    <w:rsid w:val="00B77907"/>
    <w:rsid w:val="00B82FBD"/>
    <w:rsid w:val="00B83B3A"/>
    <w:rsid w:val="00B841E6"/>
    <w:rsid w:val="00B845D3"/>
    <w:rsid w:val="00B86FF2"/>
    <w:rsid w:val="00B94291"/>
    <w:rsid w:val="00B94493"/>
    <w:rsid w:val="00B96C0C"/>
    <w:rsid w:val="00BA2497"/>
    <w:rsid w:val="00BA29AB"/>
    <w:rsid w:val="00BA2B5E"/>
    <w:rsid w:val="00BA6ED4"/>
    <w:rsid w:val="00BA7F79"/>
    <w:rsid w:val="00BB0341"/>
    <w:rsid w:val="00BB2E00"/>
    <w:rsid w:val="00BB3888"/>
    <w:rsid w:val="00BB3A8E"/>
    <w:rsid w:val="00BB4867"/>
    <w:rsid w:val="00BB61D6"/>
    <w:rsid w:val="00BB63A3"/>
    <w:rsid w:val="00BB70F3"/>
    <w:rsid w:val="00BB7597"/>
    <w:rsid w:val="00BC0A1A"/>
    <w:rsid w:val="00BC11CB"/>
    <w:rsid w:val="00BC26D4"/>
    <w:rsid w:val="00BC4B47"/>
    <w:rsid w:val="00BC4CDB"/>
    <w:rsid w:val="00BC4FA0"/>
    <w:rsid w:val="00BD0A0C"/>
    <w:rsid w:val="00BD4B29"/>
    <w:rsid w:val="00BD64E0"/>
    <w:rsid w:val="00BD667A"/>
    <w:rsid w:val="00BD683A"/>
    <w:rsid w:val="00BE0661"/>
    <w:rsid w:val="00BE34AB"/>
    <w:rsid w:val="00BE391B"/>
    <w:rsid w:val="00BF13F5"/>
    <w:rsid w:val="00BF21A8"/>
    <w:rsid w:val="00BF3C4F"/>
    <w:rsid w:val="00C02A44"/>
    <w:rsid w:val="00C03D0C"/>
    <w:rsid w:val="00C118E4"/>
    <w:rsid w:val="00C11A87"/>
    <w:rsid w:val="00C13A95"/>
    <w:rsid w:val="00C1545E"/>
    <w:rsid w:val="00C15E14"/>
    <w:rsid w:val="00C21D5E"/>
    <w:rsid w:val="00C31284"/>
    <w:rsid w:val="00C315DA"/>
    <w:rsid w:val="00C32E11"/>
    <w:rsid w:val="00C34CA2"/>
    <w:rsid w:val="00C368B0"/>
    <w:rsid w:val="00C5394D"/>
    <w:rsid w:val="00C56A31"/>
    <w:rsid w:val="00C61A7F"/>
    <w:rsid w:val="00C62DA4"/>
    <w:rsid w:val="00C631ED"/>
    <w:rsid w:val="00C63260"/>
    <w:rsid w:val="00C63D46"/>
    <w:rsid w:val="00C6754B"/>
    <w:rsid w:val="00C7047C"/>
    <w:rsid w:val="00C70DAB"/>
    <w:rsid w:val="00C72E7F"/>
    <w:rsid w:val="00C75C52"/>
    <w:rsid w:val="00C76D86"/>
    <w:rsid w:val="00C77FF9"/>
    <w:rsid w:val="00C800F3"/>
    <w:rsid w:val="00C802E0"/>
    <w:rsid w:val="00C845DE"/>
    <w:rsid w:val="00C84BC4"/>
    <w:rsid w:val="00C91154"/>
    <w:rsid w:val="00C96474"/>
    <w:rsid w:val="00CA1FDC"/>
    <w:rsid w:val="00CA27E1"/>
    <w:rsid w:val="00CA2FF1"/>
    <w:rsid w:val="00CA31B1"/>
    <w:rsid w:val="00CA4166"/>
    <w:rsid w:val="00CA6B78"/>
    <w:rsid w:val="00CA771C"/>
    <w:rsid w:val="00CA7F18"/>
    <w:rsid w:val="00CB1064"/>
    <w:rsid w:val="00CB1AB4"/>
    <w:rsid w:val="00CB4C9C"/>
    <w:rsid w:val="00CB6B76"/>
    <w:rsid w:val="00CC13C3"/>
    <w:rsid w:val="00CC1FC3"/>
    <w:rsid w:val="00CC3197"/>
    <w:rsid w:val="00CC3864"/>
    <w:rsid w:val="00CC4FC7"/>
    <w:rsid w:val="00CD012B"/>
    <w:rsid w:val="00CD66B0"/>
    <w:rsid w:val="00CD696D"/>
    <w:rsid w:val="00CE1A6C"/>
    <w:rsid w:val="00CE4DAF"/>
    <w:rsid w:val="00CE5EC3"/>
    <w:rsid w:val="00CF41DA"/>
    <w:rsid w:val="00CF66AD"/>
    <w:rsid w:val="00D06E23"/>
    <w:rsid w:val="00D07EB6"/>
    <w:rsid w:val="00D10320"/>
    <w:rsid w:val="00D15BCB"/>
    <w:rsid w:val="00D16A58"/>
    <w:rsid w:val="00D1775B"/>
    <w:rsid w:val="00D22430"/>
    <w:rsid w:val="00D24EC5"/>
    <w:rsid w:val="00D25B7D"/>
    <w:rsid w:val="00D2789B"/>
    <w:rsid w:val="00D27B4B"/>
    <w:rsid w:val="00D3180A"/>
    <w:rsid w:val="00D319BC"/>
    <w:rsid w:val="00D33438"/>
    <w:rsid w:val="00D35805"/>
    <w:rsid w:val="00D41CF3"/>
    <w:rsid w:val="00D43A89"/>
    <w:rsid w:val="00D440E7"/>
    <w:rsid w:val="00D44328"/>
    <w:rsid w:val="00D4550B"/>
    <w:rsid w:val="00D46095"/>
    <w:rsid w:val="00D46B1C"/>
    <w:rsid w:val="00D510BC"/>
    <w:rsid w:val="00D55723"/>
    <w:rsid w:val="00D60997"/>
    <w:rsid w:val="00D61486"/>
    <w:rsid w:val="00D61491"/>
    <w:rsid w:val="00D653D3"/>
    <w:rsid w:val="00D6626D"/>
    <w:rsid w:val="00D67545"/>
    <w:rsid w:val="00D71ADA"/>
    <w:rsid w:val="00D803C4"/>
    <w:rsid w:val="00D82B2D"/>
    <w:rsid w:val="00D902E0"/>
    <w:rsid w:val="00D9075D"/>
    <w:rsid w:val="00D91748"/>
    <w:rsid w:val="00D9479B"/>
    <w:rsid w:val="00D95D0F"/>
    <w:rsid w:val="00D96FB1"/>
    <w:rsid w:val="00D97A94"/>
    <w:rsid w:val="00DB06B4"/>
    <w:rsid w:val="00DB0C08"/>
    <w:rsid w:val="00DB1662"/>
    <w:rsid w:val="00DB17FE"/>
    <w:rsid w:val="00DB3070"/>
    <w:rsid w:val="00DB5035"/>
    <w:rsid w:val="00DB5119"/>
    <w:rsid w:val="00DB5FCA"/>
    <w:rsid w:val="00DC0DE2"/>
    <w:rsid w:val="00DC12B7"/>
    <w:rsid w:val="00DC1853"/>
    <w:rsid w:val="00DC1DC7"/>
    <w:rsid w:val="00DC21B8"/>
    <w:rsid w:val="00DC24CD"/>
    <w:rsid w:val="00DC7CF1"/>
    <w:rsid w:val="00DD0306"/>
    <w:rsid w:val="00DD57E3"/>
    <w:rsid w:val="00DE1F36"/>
    <w:rsid w:val="00DE4A8A"/>
    <w:rsid w:val="00DE559C"/>
    <w:rsid w:val="00DE5DF1"/>
    <w:rsid w:val="00DE65D8"/>
    <w:rsid w:val="00DF35D9"/>
    <w:rsid w:val="00DF490B"/>
    <w:rsid w:val="00DF5209"/>
    <w:rsid w:val="00E00F54"/>
    <w:rsid w:val="00E03603"/>
    <w:rsid w:val="00E045C4"/>
    <w:rsid w:val="00E12E76"/>
    <w:rsid w:val="00E15074"/>
    <w:rsid w:val="00E1511B"/>
    <w:rsid w:val="00E16004"/>
    <w:rsid w:val="00E222E5"/>
    <w:rsid w:val="00E22EAD"/>
    <w:rsid w:val="00E26C12"/>
    <w:rsid w:val="00E26FDD"/>
    <w:rsid w:val="00E33A7F"/>
    <w:rsid w:val="00E34476"/>
    <w:rsid w:val="00E34C0C"/>
    <w:rsid w:val="00E4128B"/>
    <w:rsid w:val="00E4506C"/>
    <w:rsid w:val="00E46C3A"/>
    <w:rsid w:val="00E4718C"/>
    <w:rsid w:val="00E5153D"/>
    <w:rsid w:val="00E52717"/>
    <w:rsid w:val="00E54270"/>
    <w:rsid w:val="00E60068"/>
    <w:rsid w:val="00E6235E"/>
    <w:rsid w:val="00E65F50"/>
    <w:rsid w:val="00E701E7"/>
    <w:rsid w:val="00E74251"/>
    <w:rsid w:val="00E77EEA"/>
    <w:rsid w:val="00E77F41"/>
    <w:rsid w:val="00E82C89"/>
    <w:rsid w:val="00E83FCE"/>
    <w:rsid w:val="00E84AE9"/>
    <w:rsid w:val="00E86C9E"/>
    <w:rsid w:val="00E91698"/>
    <w:rsid w:val="00E93926"/>
    <w:rsid w:val="00E956EE"/>
    <w:rsid w:val="00EA2630"/>
    <w:rsid w:val="00EA7B8A"/>
    <w:rsid w:val="00EB24A1"/>
    <w:rsid w:val="00EB6D08"/>
    <w:rsid w:val="00EC02EC"/>
    <w:rsid w:val="00EC0E08"/>
    <w:rsid w:val="00EC358D"/>
    <w:rsid w:val="00EC66CB"/>
    <w:rsid w:val="00EC7456"/>
    <w:rsid w:val="00ED195F"/>
    <w:rsid w:val="00ED2631"/>
    <w:rsid w:val="00ED29B1"/>
    <w:rsid w:val="00ED41BD"/>
    <w:rsid w:val="00ED61BF"/>
    <w:rsid w:val="00ED689D"/>
    <w:rsid w:val="00ED6C17"/>
    <w:rsid w:val="00EE6228"/>
    <w:rsid w:val="00EE6E97"/>
    <w:rsid w:val="00EE769F"/>
    <w:rsid w:val="00EF40A4"/>
    <w:rsid w:val="00F00BF2"/>
    <w:rsid w:val="00F03024"/>
    <w:rsid w:val="00F05781"/>
    <w:rsid w:val="00F05BD6"/>
    <w:rsid w:val="00F07766"/>
    <w:rsid w:val="00F07CCC"/>
    <w:rsid w:val="00F10EF5"/>
    <w:rsid w:val="00F17344"/>
    <w:rsid w:val="00F17BCE"/>
    <w:rsid w:val="00F25568"/>
    <w:rsid w:val="00F26312"/>
    <w:rsid w:val="00F267DC"/>
    <w:rsid w:val="00F269C5"/>
    <w:rsid w:val="00F3028C"/>
    <w:rsid w:val="00F30CEA"/>
    <w:rsid w:val="00F30F39"/>
    <w:rsid w:val="00F32F03"/>
    <w:rsid w:val="00F34197"/>
    <w:rsid w:val="00F34BB6"/>
    <w:rsid w:val="00F37559"/>
    <w:rsid w:val="00F37A96"/>
    <w:rsid w:val="00F45B2C"/>
    <w:rsid w:val="00F461B3"/>
    <w:rsid w:val="00F511B3"/>
    <w:rsid w:val="00F51B49"/>
    <w:rsid w:val="00F54306"/>
    <w:rsid w:val="00F5433C"/>
    <w:rsid w:val="00F604D6"/>
    <w:rsid w:val="00F613D2"/>
    <w:rsid w:val="00F66821"/>
    <w:rsid w:val="00F66B2A"/>
    <w:rsid w:val="00F722A3"/>
    <w:rsid w:val="00F75CB6"/>
    <w:rsid w:val="00F8047B"/>
    <w:rsid w:val="00F80F0E"/>
    <w:rsid w:val="00F81057"/>
    <w:rsid w:val="00F81F05"/>
    <w:rsid w:val="00F83E85"/>
    <w:rsid w:val="00F863C6"/>
    <w:rsid w:val="00F86DCE"/>
    <w:rsid w:val="00F916DE"/>
    <w:rsid w:val="00F92BAE"/>
    <w:rsid w:val="00F942D6"/>
    <w:rsid w:val="00F967D0"/>
    <w:rsid w:val="00FA0FD2"/>
    <w:rsid w:val="00FA15EB"/>
    <w:rsid w:val="00FA1680"/>
    <w:rsid w:val="00FA4FF7"/>
    <w:rsid w:val="00FA5789"/>
    <w:rsid w:val="00FB5988"/>
    <w:rsid w:val="00FB7894"/>
    <w:rsid w:val="00FC52E5"/>
    <w:rsid w:val="00FC5C28"/>
    <w:rsid w:val="00FC602E"/>
    <w:rsid w:val="00FC6429"/>
    <w:rsid w:val="00FC77B6"/>
    <w:rsid w:val="00FD2790"/>
    <w:rsid w:val="00FD6AD5"/>
    <w:rsid w:val="00FD7C7F"/>
    <w:rsid w:val="00FE05C2"/>
    <w:rsid w:val="00FF19AD"/>
    <w:rsid w:val="00FF7B92"/>
    <w:rsid w:val="010C528E"/>
    <w:rsid w:val="013250C0"/>
    <w:rsid w:val="01334788"/>
    <w:rsid w:val="01A66FB4"/>
    <w:rsid w:val="01B4367D"/>
    <w:rsid w:val="01C20632"/>
    <w:rsid w:val="01F84FD7"/>
    <w:rsid w:val="02346138"/>
    <w:rsid w:val="0239418B"/>
    <w:rsid w:val="0242733A"/>
    <w:rsid w:val="026736B8"/>
    <w:rsid w:val="0269377A"/>
    <w:rsid w:val="028265A2"/>
    <w:rsid w:val="028E4DDB"/>
    <w:rsid w:val="02C52150"/>
    <w:rsid w:val="02DB6548"/>
    <w:rsid w:val="02F27EAE"/>
    <w:rsid w:val="02FA119A"/>
    <w:rsid w:val="030502E0"/>
    <w:rsid w:val="032F22E2"/>
    <w:rsid w:val="0331353B"/>
    <w:rsid w:val="034372F4"/>
    <w:rsid w:val="034B4BE6"/>
    <w:rsid w:val="036D7EE4"/>
    <w:rsid w:val="03B8267A"/>
    <w:rsid w:val="03C21F10"/>
    <w:rsid w:val="03D206D8"/>
    <w:rsid w:val="03EA07D9"/>
    <w:rsid w:val="04271D71"/>
    <w:rsid w:val="046E6F3C"/>
    <w:rsid w:val="04762458"/>
    <w:rsid w:val="04942A4D"/>
    <w:rsid w:val="04AB667F"/>
    <w:rsid w:val="04B276B1"/>
    <w:rsid w:val="04CA7223"/>
    <w:rsid w:val="04D764F5"/>
    <w:rsid w:val="04F77729"/>
    <w:rsid w:val="052B5C4D"/>
    <w:rsid w:val="0547174E"/>
    <w:rsid w:val="057476A3"/>
    <w:rsid w:val="05802F9C"/>
    <w:rsid w:val="05A207AE"/>
    <w:rsid w:val="05C66AF7"/>
    <w:rsid w:val="05E56E6E"/>
    <w:rsid w:val="06216546"/>
    <w:rsid w:val="06257654"/>
    <w:rsid w:val="06330903"/>
    <w:rsid w:val="064A7DDF"/>
    <w:rsid w:val="067558A7"/>
    <w:rsid w:val="068C1967"/>
    <w:rsid w:val="06947230"/>
    <w:rsid w:val="06AB5199"/>
    <w:rsid w:val="06E75E06"/>
    <w:rsid w:val="06EA07A8"/>
    <w:rsid w:val="07244B6B"/>
    <w:rsid w:val="073672C8"/>
    <w:rsid w:val="076E6BAF"/>
    <w:rsid w:val="0788707B"/>
    <w:rsid w:val="07A0671C"/>
    <w:rsid w:val="07BC73B5"/>
    <w:rsid w:val="07C5321A"/>
    <w:rsid w:val="07C85D0D"/>
    <w:rsid w:val="07E06088"/>
    <w:rsid w:val="07EA1975"/>
    <w:rsid w:val="07F5090D"/>
    <w:rsid w:val="081E5C8D"/>
    <w:rsid w:val="086D635E"/>
    <w:rsid w:val="087113E5"/>
    <w:rsid w:val="087930B4"/>
    <w:rsid w:val="089A5DBD"/>
    <w:rsid w:val="08A32603"/>
    <w:rsid w:val="08EA7A02"/>
    <w:rsid w:val="090A081B"/>
    <w:rsid w:val="090A7312"/>
    <w:rsid w:val="094A14CB"/>
    <w:rsid w:val="0997692D"/>
    <w:rsid w:val="09CB7DBA"/>
    <w:rsid w:val="09E85792"/>
    <w:rsid w:val="09EF7D98"/>
    <w:rsid w:val="0A1870FD"/>
    <w:rsid w:val="0A255586"/>
    <w:rsid w:val="0A576C98"/>
    <w:rsid w:val="0A5B31A0"/>
    <w:rsid w:val="0AB46A71"/>
    <w:rsid w:val="0AB51B04"/>
    <w:rsid w:val="0AE2394F"/>
    <w:rsid w:val="0AF669C7"/>
    <w:rsid w:val="0B1B0ED2"/>
    <w:rsid w:val="0B261B7D"/>
    <w:rsid w:val="0B2A1901"/>
    <w:rsid w:val="0B2C161B"/>
    <w:rsid w:val="0B4C33E8"/>
    <w:rsid w:val="0B5F6424"/>
    <w:rsid w:val="0B9C5CFE"/>
    <w:rsid w:val="0BA57E29"/>
    <w:rsid w:val="0BFB5994"/>
    <w:rsid w:val="0C444B52"/>
    <w:rsid w:val="0C833461"/>
    <w:rsid w:val="0C930B8B"/>
    <w:rsid w:val="0CBA5558"/>
    <w:rsid w:val="0CC6479D"/>
    <w:rsid w:val="0CD361AE"/>
    <w:rsid w:val="0CEF1DD4"/>
    <w:rsid w:val="0D174332"/>
    <w:rsid w:val="0D193E25"/>
    <w:rsid w:val="0D1D2641"/>
    <w:rsid w:val="0D240982"/>
    <w:rsid w:val="0D2D41AC"/>
    <w:rsid w:val="0D364901"/>
    <w:rsid w:val="0D3E2BC2"/>
    <w:rsid w:val="0D4E6308"/>
    <w:rsid w:val="0D511930"/>
    <w:rsid w:val="0D6E463D"/>
    <w:rsid w:val="0D93638B"/>
    <w:rsid w:val="0DAF5AF8"/>
    <w:rsid w:val="0DB83735"/>
    <w:rsid w:val="0DE46919"/>
    <w:rsid w:val="0DF65E24"/>
    <w:rsid w:val="0E165C5A"/>
    <w:rsid w:val="0E215250"/>
    <w:rsid w:val="0E3F3599"/>
    <w:rsid w:val="0E415CE8"/>
    <w:rsid w:val="0E4D2492"/>
    <w:rsid w:val="0E537719"/>
    <w:rsid w:val="0E5A682B"/>
    <w:rsid w:val="0E650431"/>
    <w:rsid w:val="0EAC7CBC"/>
    <w:rsid w:val="0EB104B3"/>
    <w:rsid w:val="0ECC55BC"/>
    <w:rsid w:val="0ECD68A1"/>
    <w:rsid w:val="0EDC3A7D"/>
    <w:rsid w:val="0F0710E1"/>
    <w:rsid w:val="0F120D4E"/>
    <w:rsid w:val="0F1D5312"/>
    <w:rsid w:val="0F587BBB"/>
    <w:rsid w:val="0F6018A7"/>
    <w:rsid w:val="0F97156B"/>
    <w:rsid w:val="0FA978A5"/>
    <w:rsid w:val="0FB5357C"/>
    <w:rsid w:val="1001579B"/>
    <w:rsid w:val="10141CD8"/>
    <w:rsid w:val="101A7974"/>
    <w:rsid w:val="103D6844"/>
    <w:rsid w:val="1056152C"/>
    <w:rsid w:val="108D6BDC"/>
    <w:rsid w:val="10A10BD9"/>
    <w:rsid w:val="10B04615"/>
    <w:rsid w:val="10B564AE"/>
    <w:rsid w:val="10F17346"/>
    <w:rsid w:val="10F60360"/>
    <w:rsid w:val="110D108E"/>
    <w:rsid w:val="11160AA8"/>
    <w:rsid w:val="1117092B"/>
    <w:rsid w:val="112809FB"/>
    <w:rsid w:val="113E11D1"/>
    <w:rsid w:val="114602AE"/>
    <w:rsid w:val="11512BB8"/>
    <w:rsid w:val="11685B05"/>
    <w:rsid w:val="11AF6357"/>
    <w:rsid w:val="11B91958"/>
    <w:rsid w:val="11CA59B9"/>
    <w:rsid w:val="11F77ECD"/>
    <w:rsid w:val="12042FE4"/>
    <w:rsid w:val="1205136C"/>
    <w:rsid w:val="125F6DBC"/>
    <w:rsid w:val="12656274"/>
    <w:rsid w:val="127D35B3"/>
    <w:rsid w:val="12934512"/>
    <w:rsid w:val="12D32F6F"/>
    <w:rsid w:val="12E50F7A"/>
    <w:rsid w:val="12FF3426"/>
    <w:rsid w:val="132F24EA"/>
    <w:rsid w:val="136C46F4"/>
    <w:rsid w:val="139D1AD6"/>
    <w:rsid w:val="13AF75FF"/>
    <w:rsid w:val="13B401F1"/>
    <w:rsid w:val="13ED394E"/>
    <w:rsid w:val="1407788E"/>
    <w:rsid w:val="14157B94"/>
    <w:rsid w:val="141D110B"/>
    <w:rsid w:val="142D74CC"/>
    <w:rsid w:val="14565475"/>
    <w:rsid w:val="14AA1960"/>
    <w:rsid w:val="14D35429"/>
    <w:rsid w:val="14FA6CA3"/>
    <w:rsid w:val="14FB6263"/>
    <w:rsid w:val="14FD62EA"/>
    <w:rsid w:val="15035722"/>
    <w:rsid w:val="153D2BE9"/>
    <w:rsid w:val="154B5DAC"/>
    <w:rsid w:val="156B2FF9"/>
    <w:rsid w:val="15D31466"/>
    <w:rsid w:val="15F87AFC"/>
    <w:rsid w:val="15FC0905"/>
    <w:rsid w:val="160944AB"/>
    <w:rsid w:val="163B6F9E"/>
    <w:rsid w:val="16421D82"/>
    <w:rsid w:val="164B77EF"/>
    <w:rsid w:val="165A7AB5"/>
    <w:rsid w:val="167D1103"/>
    <w:rsid w:val="168960C6"/>
    <w:rsid w:val="1692644F"/>
    <w:rsid w:val="16931DB3"/>
    <w:rsid w:val="169D6502"/>
    <w:rsid w:val="16A47360"/>
    <w:rsid w:val="16C06660"/>
    <w:rsid w:val="16E87689"/>
    <w:rsid w:val="17150BFB"/>
    <w:rsid w:val="173F6C31"/>
    <w:rsid w:val="17400F9C"/>
    <w:rsid w:val="17501932"/>
    <w:rsid w:val="177213C1"/>
    <w:rsid w:val="17B61944"/>
    <w:rsid w:val="17C5378A"/>
    <w:rsid w:val="17C67E95"/>
    <w:rsid w:val="17DD1B3D"/>
    <w:rsid w:val="17E157A6"/>
    <w:rsid w:val="180A5717"/>
    <w:rsid w:val="18276000"/>
    <w:rsid w:val="18313FA8"/>
    <w:rsid w:val="185233F5"/>
    <w:rsid w:val="18611D26"/>
    <w:rsid w:val="186231B5"/>
    <w:rsid w:val="1862413D"/>
    <w:rsid w:val="18933137"/>
    <w:rsid w:val="189E0B68"/>
    <w:rsid w:val="18BF44DB"/>
    <w:rsid w:val="18D04E9E"/>
    <w:rsid w:val="18D33550"/>
    <w:rsid w:val="19706CFD"/>
    <w:rsid w:val="19827BA3"/>
    <w:rsid w:val="19852BDB"/>
    <w:rsid w:val="198A18F4"/>
    <w:rsid w:val="19982894"/>
    <w:rsid w:val="199D17B2"/>
    <w:rsid w:val="1A0772AB"/>
    <w:rsid w:val="1A150751"/>
    <w:rsid w:val="1A1D7568"/>
    <w:rsid w:val="1A3C6101"/>
    <w:rsid w:val="1A5F13D5"/>
    <w:rsid w:val="1AB13457"/>
    <w:rsid w:val="1AC71E4A"/>
    <w:rsid w:val="1AD87795"/>
    <w:rsid w:val="1ADD291A"/>
    <w:rsid w:val="1AE91AD2"/>
    <w:rsid w:val="1AEF4F2F"/>
    <w:rsid w:val="1B072721"/>
    <w:rsid w:val="1B282499"/>
    <w:rsid w:val="1B317F33"/>
    <w:rsid w:val="1B3B029F"/>
    <w:rsid w:val="1B3B13F5"/>
    <w:rsid w:val="1B3D7BDF"/>
    <w:rsid w:val="1B473410"/>
    <w:rsid w:val="1B53692C"/>
    <w:rsid w:val="1B5D746A"/>
    <w:rsid w:val="1BA8495C"/>
    <w:rsid w:val="1BB61DD9"/>
    <w:rsid w:val="1BE01F16"/>
    <w:rsid w:val="1C0E648D"/>
    <w:rsid w:val="1C1E1DC1"/>
    <w:rsid w:val="1C314A29"/>
    <w:rsid w:val="1C317C7E"/>
    <w:rsid w:val="1C5356EF"/>
    <w:rsid w:val="1C8B7974"/>
    <w:rsid w:val="1CB36944"/>
    <w:rsid w:val="1D16412B"/>
    <w:rsid w:val="1D1A0DBF"/>
    <w:rsid w:val="1D1E7745"/>
    <w:rsid w:val="1D2B0216"/>
    <w:rsid w:val="1D2D53EC"/>
    <w:rsid w:val="1D350C0D"/>
    <w:rsid w:val="1D3A7C22"/>
    <w:rsid w:val="1D5B61E6"/>
    <w:rsid w:val="1D5F6F9E"/>
    <w:rsid w:val="1D7B5F47"/>
    <w:rsid w:val="1D917F0B"/>
    <w:rsid w:val="1D9259F6"/>
    <w:rsid w:val="1DA046A6"/>
    <w:rsid w:val="1DA85311"/>
    <w:rsid w:val="1DB774C0"/>
    <w:rsid w:val="1E362721"/>
    <w:rsid w:val="1E431CAF"/>
    <w:rsid w:val="1E557791"/>
    <w:rsid w:val="1E64188F"/>
    <w:rsid w:val="1E666DE3"/>
    <w:rsid w:val="1E6F7F18"/>
    <w:rsid w:val="1E7148AD"/>
    <w:rsid w:val="1EA556AE"/>
    <w:rsid w:val="1EC60F40"/>
    <w:rsid w:val="1EC84BE2"/>
    <w:rsid w:val="1EEE706A"/>
    <w:rsid w:val="1EF56774"/>
    <w:rsid w:val="1F00136A"/>
    <w:rsid w:val="1F445432"/>
    <w:rsid w:val="1F4A3B9F"/>
    <w:rsid w:val="1F816474"/>
    <w:rsid w:val="1F9048FC"/>
    <w:rsid w:val="1FA56D3B"/>
    <w:rsid w:val="1FF32162"/>
    <w:rsid w:val="2018173E"/>
    <w:rsid w:val="203B7048"/>
    <w:rsid w:val="204775B2"/>
    <w:rsid w:val="206A4C40"/>
    <w:rsid w:val="20A522BB"/>
    <w:rsid w:val="20B0162F"/>
    <w:rsid w:val="20E27E60"/>
    <w:rsid w:val="20F62E33"/>
    <w:rsid w:val="21304699"/>
    <w:rsid w:val="214E7870"/>
    <w:rsid w:val="215E4FAB"/>
    <w:rsid w:val="216D5541"/>
    <w:rsid w:val="217F7A86"/>
    <w:rsid w:val="21E23326"/>
    <w:rsid w:val="21E85FCA"/>
    <w:rsid w:val="222258EE"/>
    <w:rsid w:val="223C36D7"/>
    <w:rsid w:val="223F1EE9"/>
    <w:rsid w:val="22976AE8"/>
    <w:rsid w:val="22AA267B"/>
    <w:rsid w:val="22B86265"/>
    <w:rsid w:val="22BE3CB0"/>
    <w:rsid w:val="22D91F81"/>
    <w:rsid w:val="232E269F"/>
    <w:rsid w:val="23736E8D"/>
    <w:rsid w:val="2385319A"/>
    <w:rsid w:val="23856B46"/>
    <w:rsid w:val="239973DA"/>
    <w:rsid w:val="23A8156D"/>
    <w:rsid w:val="23C37A6E"/>
    <w:rsid w:val="23CE57AE"/>
    <w:rsid w:val="23EB789A"/>
    <w:rsid w:val="24170DE9"/>
    <w:rsid w:val="242B5917"/>
    <w:rsid w:val="243741D6"/>
    <w:rsid w:val="243B00FC"/>
    <w:rsid w:val="245528AC"/>
    <w:rsid w:val="247D5AA8"/>
    <w:rsid w:val="24A417BB"/>
    <w:rsid w:val="24AE3B6A"/>
    <w:rsid w:val="24B40631"/>
    <w:rsid w:val="24CC07A8"/>
    <w:rsid w:val="24E56989"/>
    <w:rsid w:val="250066FE"/>
    <w:rsid w:val="253379D6"/>
    <w:rsid w:val="25373087"/>
    <w:rsid w:val="255D1336"/>
    <w:rsid w:val="259A2EBC"/>
    <w:rsid w:val="25A94438"/>
    <w:rsid w:val="25DD42B4"/>
    <w:rsid w:val="25ED42A4"/>
    <w:rsid w:val="260332E1"/>
    <w:rsid w:val="2604237F"/>
    <w:rsid w:val="26123EE1"/>
    <w:rsid w:val="261E4108"/>
    <w:rsid w:val="2621768A"/>
    <w:rsid w:val="26257636"/>
    <w:rsid w:val="26292A28"/>
    <w:rsid w:val="262E2431"/>
    <w:rsid w:val="263877EF"/>
    <w:rsid w:val="26427C13"/>
    <w:rsid w:val="265A438E"/>
    <w:rsid w:val="26BC38BA"/>
    <w:rsid w:val="26D174E0"/>
    <w:rsid w:val="26EA1DB4"/>
    <w:rsid w:val="2718248E"/>
    <w:rsid w:val="271A44C8"/>
    <w:rsid w:val="27215E65"/>
    <w:rsid w:val="272D1A5A"/>
    <w:rsid w:val="2742136D"/>
    <w:rsid w:val="276D4EBD"/>
    <w:rsid w:val="276D624A"/>
    <w:rsid w:val="277527C9"/>
    <w:rsid w:val="279B0BE0"/>
    <w:rsid w:val="27AC55ED"/>
    <w:rsid w:val="27B65134"/>
    <w:rsid w:val="27BD7CB3"/>
    <w:rsid w:val="27F81F2C"/>
    <w:rsid w:val="282A2FBF"/>
    <w:rsid w:val="284D4CE1"/>
    <w:rsid w:val="28884F3F"/>
    <w:rsid w:val="288A3A6E"/>
    <w:rsid w:val="289B53DE"/>
    <w:rsid w:val="289E73E3"/>
    <w:rsid w:val="28EA36A0"/>
    <w:rsid w:val="29230D98"/>
    <w:rsid w:val="29734AA2"/>
    <w:rsid w:val="29975184"/>
    <w:rsid w:val="29B27D0E"/>
    <w:rsid w:val="29B60371"/>
    <w:rsid w:val="29B96DA4"/>
    <w:rsid w:val="29EB44B2"/>
    <w:rsid w:val="2A1C19FE"/>
    <w:rsid w:val="2A2C6C70"/>
    <w:rsid w:val="2A560798"/>
    <w:rsid w:val="2A6B032A"/>
    <w:rsid w:val="2A7864C1"/>
    <w:rsid w:val="2A8D307C"/>
    <w:rsid w:val="2A9F612F"/>
    <w:rsid w:val="2AAF2EFC"/>
    <w:rsid w:val="2ADD4741"/>
    <w:rsid w:val="2AE632C3"/>
    <w:rsid w:val="2AF66151"/>
    <w:rsid w:val="2AF9698D"/>
    <w:rsid w:val="2B09048E"/>
    <w:rsid w:val="2B1400CF"/>
    <w:rsid w:val="2B1701F4"/>
    <w:rsid w:val="2B4138A5"/>
    <w:rsid w:val="2B6C37C8"/>
    <w:rsid w:val="2B843AC4"/>
    <w:rsid w:val="2B8A15BC"/>
    <w:rsid w:val="2B947C37"/>
    <w:rsid w:val="2B960392"/>
    <w:rsid w:val="2BAC24A6"/>
    <w:rsid w:val="2BAC6B19"/>
    <w:rsid w:val="2BAF7B59"/>
    <w:rsid w:val="2BBF0E89"/>
    <w:rsid w:val="2BC75583"/>
    <w:rsid w:val="2BEB29E9"/>
    <w:rsid w:val="2C336D31"/>
    <w:rsid w:val="2C337AAD"/>
    <w:rsid w:val="2C461694"/>
    <w:rsid w:val="2C4E6FBB"/>
    <w:rsid w:val="2C623D16"/>
    <w:rsid w:val="2C78448C"/>
    <w:rsid w:val="2C875270"/>
    <w:rsid w:val="2C965415"/>
    <w:rsid w:val="2CB23F2C"/>
    <w:rsid w:val="2CD813D3"/>
    <w:rsid w:val="2CE74F46"/>
    <w:rsid w:val="2D084BDC"/>
    <w:rsid w:val="2D0869D1"/>
    <w:rsid w:val="2D266300"/>
    <w:rsid w:val="2D430728"/>
    <w:rsid w:val="2D470279"/>
    <w:rsid w:val="2D67146E"/>
    <w:rsid w:val="2D684463"/>
    <w:rsid w:val="2D786683"/>
    <w:rsid w:val="2D962B7E"/>
    <w:rsid w:val="2DB83D5C"/>
    <w:rsid w:val="2DED5358"/>
    <w:rsid w:val="2DEE79B2"/>
    <w:rsid w:val="2DF410A0"/>
    <w:rsid w:val="2DF64E15"/>
    <w:rsid w:val="2DF802B3"/>
    <w:rsid w:val="2E0D0315"/>
    <w:rsid w:val="2E152094"/>
    <w:rsid w:val="2E1F33B7"/>
    <w:rsid w:val="2E2B674B"/>
    <w:rsid w:val="2E3B4D8F"/>
    <w:rsid w:val="2E690389"/>
    <w:rsid w:val="2E705D56"/>
    <w:rsid w:val="2E93460F"/>
    <w:rsid w:val="2ED628B7"/>
    <w:rsid w:val="2EF354FE"/>
    <w:rsid w:val="2F0371B0"/>
    <w:rsid w:val="2F1877C3"/>
    <w:rsid w:val="2F3D79DA"/>
    <w:rsid w:val="2F6273BF"/>
    <w:rsid w:val="2F7560D1"/>
    <w:rsid w:val="2F822E24"/>
    <w:rsid w:val="2F8F44F9"/>
    <w:rsid w:val="2F90501C"/>
    <w:rsid w:val="2FE8455B"/>
    <w:rsid w:val="2FE95C27"/>
    <w:rsid w:val="2FFC638E"/>
    <w:rsid w:val="302B23F0"/>
    <w:rsid w:val="302D1C95"/>
    <w:rsid w:val="30334951"/>
    <w:rsid w:val="303F1F52"/>
    <w:rsid w:val="30600FDD"/>
    <w:rsid w:val="30656F02"/>
    <w:rsid w:val="30A51AD1"/>
    <w:rsid w:val="30B413CC"/>
    <w:rsid w:val="30FD6FF5"/>
    <w:rsid w:val="3131082A"/>
    <w:rsid w:val="313425ED"/>
    <w:rsid w:val="313F1551"/>
    <w:rsid w:val="31A937D0"/>
    <w:rsid w:val="31B0675F"/>
    <w:rsid w:val="31B52536"/>
    <w:rsid w:val="31CC7FFB"/>
    <w:rsid w:val="31D04654"/>
    <w:rsid w:val="31E63009"/>
    <w:rsid w:val="31E92B10"/>
    <w:rsid w:val="31F26519"/>
    <w:rsid w:val="322D122B"/>
    <w:rsid w:val="322E4F53"/>
    <w:rsid w:val="326D247F"/>
    <w:rsid w:val="32A75BAB"/>
    <w:rsid w:val="32D71E4A"/>
    <w:rsid w:val="330E4AA6"/>
    <w:rsid w:val="3327108A"/>
    <w:rsid w:val="33370807"/>
    <w:rsid w:val="3347396E"/>
    <w:rsid w:val="334808EA"/>
    <w:rsid w:val="337803D8"/>
    <w:rsid w:val="33CE2E13"/>
    <w:rsid w:val="3425303A"/>
    <w:rsid w:val="343C3638"/>
    <w:rsid w:val="347B3F37"/>
    <w:rsid w:val="34AE330A"/>
    <w:rsid w:val="34EC597A"/>
    <w:rsid w:val="34F84A14"/>
    <w:rsid w:val="34FD55E0"/>
    <w:rsid w:val="350C652A"/>
    <w:rsid w:val="35215623"/>
    <w:rsid w:val="355634B1"/>
    <w:rsid w:val="355A1802"/>
    <w:rsid w:val="35842B40"/>
    <w:rsid w:val="35B25B7D"/>
    <w:rsid w:val="35C0722D"/>
    <w:rsid w:val="35C91C5E"/>
    <w:rsid w:val="362254F7"/>
    <w:rsid w:val="3642530D"/>
    <w:rsid w:val="36436038"/>
    <w:rsid w:val="36546FA8"/>
    <w:rsid w:val="367312C8"/>
    <w:rsid w:val="367C374B"/>
    <w:rsid w:val="36873BAC"/>
    <w:rsid w:val="36876A24"/>
    <w:rsid w:val="36A106FF"/>
    <w:rsid w:val="36A20F50"/>
    <w:rsid w:val="36A91052"/>
    <w:rsid w:val="37074A11"/>
    <w:rsid w:val="37095609"/>
    <w:rsid w:val="3772755D"/>
    <w:rsid w:val="37941B92"/>
    <w:rsid w:val="379C15D3"/>
    <w:rsid w:val="37AF2962"/>
    <w:rsid w:val="37B04A5B"/>
    <w:rsid w:val="37C026C0"/>
    <w:rsid w:val="37D0665A"/>
    <w:rsid w:val="38054D85"/>
    <w:rsid w:val="38146F9B"/>
    <w:rsid w:val="38436ADE"/>
    <w:rsid w:val="38883265"/>
    <w:rsid w:val="38AC1CC4"/>
    <w:rsid w:val="390455C8"/>
    <w:rsid w:val="392711B7"/>
    <w:rsid w:val="394043E4"/>
    <w:rsid w:val="394A00C4"/>
    <w:rsid w:val="39704603"/>
    <w:rsid w:val="399A2295"/>
    <w:rsid w:val="39A66029"/>
    <w:rsid w:val="39D73083"/>
    <w:rsid w:val="39F914B3"/>
    <w:rsid w:val="3A076BBA"/>
    <w:rsid w:val="3A0D1C58"/>
    <w:rsid w:val="3A136626"/>
    <w:rsid w:val="3A2E4CC2"/>
    <w:rsid w:val="3A45433C"/>
    <w:rsid w:val="3A486CF8"/>
    <w:rsid w:val="3A66264B"/>
    <w:rsid w:val="3ACA4067"/>
    <w:rsid w:val="3AD136DE"/>
    <w:rsid w:val="3B456C6F"/>
    <w:rsid w:val="3B494BA9"/>
    <w:rsid w:val="3B6A0C9F"/>
    <w:rsid w:val="3B884EC9"/>
    <w:rsid w:val="3B8D4D19"/>
    <w:rsid w:val="3BA03824"/>
    <w:rsid w:val="3BD020C5"/>
    <w:rsid w:val="3C0071B8"/>
    <w:rsid w:val="3C4533E3"/>
    <w:rsid w:val="3C604625"/>
    <w:rsid w:val="3C7D63B9"/>
    <w:rsid w:val="3C876A14"/>
    <w:rsid w:val="3CA05622"/>
    <w:rsid w:val="3CB27731"/>
    <w:rsid w:val="3CB55E96"/>
    <w:rsid w:val="3CBB2F45"/>
    <w:rsid w:val="3CE443F3"/>
    <w:rsid w:val="3D00259E"/>
    <w:rsid w:val="3D0C105D"/>
    <w:rsid w:val="3D3F0331"/>
    <w:rsid w:val="3D80093F"/>
    <w:rsid w:val="3D9520B5"/>
    <w:rsid w:val="3D9C10B4"/>
    <w:rsid w:val="3DA9522F"/>
    <w:rsid w:val="3DC908C6"/>
    <w:rsid w:val="3E5102CA"/>
    <w:rsid w:val="3E9075B2"/>
    <w:rsid w:val="3EA730B9"/>
    <w:rsid w:val="3ED43F1F"/>
    <w:rsid w:val="3EF04AEB"/>
    <w:rsid w:val="3F0F69F4"/>
    <w:rsid w:val="3F1009E8"/>
    <w:rsid w:val="3F3B517E"/>
    <w:rsid w:val="3F9D1749"/>
    <w:rsid w:val="3F9E5C9A"/>
    <w:rsid w:val="3FA0335B"/>
    <w:rsid w:val="3FF06B46"/>
    <w:rsid w:val="3FF838DD"/>
    <w:rsid w:val="3FFC1470"/>
    <w:rsid w:val="3FFF0F4C"/>
    <w:rsid w:val="401459E2"/>
    <w:rsid w:val="401A097A"/>
    <w:rsid w:val="402B188B"/>
    <w:rsid w:val="403E1E5B"/>
    <w:rsid w:val="408D38DE"/>
    <w:rsid w:val="40A1023E"/>
    <w:rsid w:val="40B64517"/>
    <w:rsid w:val="40BA4DAE"/>
    <w:rsid w:val="40FE1E1B"/>
    <w:rsid w:val="41006500"/>
    <w:rsid w:val="413C236F"/>
    <w:rsid w:val="4171143D"/>
    <w:rsid w:val="417B61D8"/>
    <w:rsid w:val="41973131"/>
    <w:rsid w:val="41C74FFE"/>
    <w:rsid w:val="421B2ECC"/>
    <w:rsid w:val="42485461"/>
    <w:rsid w:val="42624102"/>
    <w:rsid w:val="426376A0"/>
    <w:rsid w:val="426E55B3"/>
    <w:rsid w:val="4280555E"/>
    <w:rsid w:val="42A87727"/>
    <w:rsid w:val="42B100E1"/>
    <w:rsid w:val="42CD1A7E"/>
    <w:rsid w:val="42D515B0"/>
    <w:rsid w:val="42E01C7B"/>
    <w:rsid w:val="430D6BDD"/>
    <w:rsid w:val="430F35F3"/>
    <w:rsid w:val="43100147"/>
    <w:rsid w:val="431D7965"/>
    <w:rsid w:val="432C64AC"/>
    <w:rsid w:val="43581E5B"/>
    <w:rsid w:val="436718F8"/>
    <w:rsid w:val="439523B0"/>
    <w:rsid w:val="43953AB7"/>
    <w:rsid w:val="4395585E"/>
    <w:rsid w:val="43A507CE"/>
    <w:rsid w:val="43E000F9"/>
    <w:rsid w:val="43F90F3B"/>
    <w:rsid w:val="43FF7BD1"/>
    <w:rsid w:val="440230F8"/>
    <w:rsid w:val="44313ADA"/>
    <w:rsid w:val="44655647"/>
    <w:rsid w:val="44655966"/>
    <w:rsid w:val="446A1E1D"/>
    <w:rsid w:val="44732E22"/>
    <w:rsid w:val="44D34460"/>
    <w:rsid w:val="44EC7F57"/>
    <w:rsid w:val="456D6971"/>
    <w:rsid w:val="457134D6"/>
    <w:rsid w:val="45AF3BB4"/>
    <w:rsid w:val="45C707CE"/>
    <w:rsid w:val="45FA1099"/>
    <w:rsid w:val="46050A63"/>
    <w:rsid w:val="460D747C"/>
    <w:rsid w:val="46194719"/>
    <w:rsid w:val="462A6BF3"/>
    <w:rsid w:val="4641173A"/>
    <w:rsid w:val="466035F5"/>
    <w:rsid w:val="467A6960"/>
    <w:rsid w:val="46CB25FB"/>
    <w:rsid w:val="46E14C12"/>
    <w:rsid w:val="46E73A9D"/>
    <w:rsid w:val="47187E9A"/>
    <w:rsid w:val="473E40AB"/>
    <w:rsid w:val="4744627B"/>
    <w:rsid w:val="47456547"/>
    <w:rsid w:val="474F3022"/>
    <w:rsid w:val="47B81E47"/>
    <w:rsid w:val="47C20D98"/>
    <w:rsid w:val="47FE3492"/>
    <w:rsid w:val="48483F7F"/>
    <w:rsid w:val="4853644C"/>
    <w:rsid w:val="48697D37"/>
    <w:rsid w:val="486D0579"/>
    <w:rsid w:val="488F3F8D"/>
    <w:rsid w:val="48904946"/>
    <w:rsid w:val="489E4331"/>
    <w:rsid w:val="48A77428"/>
    <w:rsid w:val="48F701F3"/>
    <w:rsid w:val="490546FB"/>
    <w:rsid w:val="490D4385"/>
    <w:rsid w:val="492F0336"/>
    <w:rsid w:val="496B053C"/>
    <w:rsid w:val="498A6BB7"/>
    <w:rsid w:val="498E2FDD"/>
    <w:rsid w:val="499758D7"/>
    <w:rsid w:val="499A1FBF"/>
    <w:rsid w:val="49AE1E44"/>
    <w:rsid w:val="49B465E4"/>
    <w:rsid w:val="49D36B22"/>
    <w:rsid w:val="4A2D795D"/>
    <w:rsid w:val="4A5339DF"/>
    <w:rsid w:val="4A786F8C"/>
    <w:rsid w:val="4ABD1827"/>
    <w:rsid w:val="4AD51900"/>
    <w:rsid w:val="4AE75E3F"/>
    <w:rsid w:val="4B1F151D"/>
    <w:rsid w:val="4B4E43C2"/>
    <w:rsid w:val="4B7C795F"/>
    <w:rsid w:val="4B9E1622"/>
    <w:rsid w:val="4B9E5499"/>
    <w:rsid w:val="4BAA7DA5"/>
    <w:rsid w:val="4BD73E5B"/>
    <w:rsid w:val="4BDC61D3"/>
    <w:rsid w:val="4C30340E"/>
    <w:rsid w:val="4C371ED4"/>
    <w:rsid w:val="4C3F09F6"/>
    <w:rsid w:val="4C577947"/>
    <w:rsid w:val="4CAA56B2"/>
    <w:rsid w:val="4CAA5EE5"/>
    <w:rsid w:val="4CB40769"/>
    <w:rsid w:val="4CB81C26"/>
    <w:rsid w:val="4CD66B95"/>
    <w:rsid w:val="4CDB1460"/>
    <w:rsid w:val="4D1B13DF"/>
    <w:rsid w:val="4D33299C"/>
    <w:rsid w:val="4D345AFC"/>
    <w:rsid w:val="4D66747F"/>
    <w:rsid w:val="4D8957DD"/>
    <w:rsid w:val="4D98627E"/>
    <w:rsid w:val="4DB57276"/>
    <w:rsid w:val="4DB608B0"/>
    <w:rsid w:val="4DC2344C"/>
    <w:rsid w:val="4DCC5302"/>
    <w:rsid w:val="4DD27F78"/>
    <w:rsid w:val="4DD95517"/>
    <w:rsid w:val="4E265F35"/>
    <w:rsid w:val="4E2C43E6"/>
    <w:rsid w:val="4E4F07F9"/>
    <w:rsid w:val="4E581AB8"/>
    <w:rsid w:val="4E6C371F"/>
    <w:rsid w:val="4E7960B8"/>
    <w:rsid w:val="4E80380F"/>
    <w:rsid w:val="4E883291"/>
    <w:rsid w:val="4E8B2172"/>
    <w:rsid w:val="4E8B7D73"/>
    <w:rsid w:val="4E944E04"/>
    <w:rsid w:val="4E9D3F55"/>
    <w:rsid w:val="4ED34C95"/>
    <w:rsid w:val="4EF0430E"/>
    <w:rsid w:val="4F0066A1"/>
    <w:rsid w:val="4F460EAC"/>
    <w:rsid w:val="4F6039D5"/>
    <w:rsid w:val="4F6A65DF"/>
    <w:rsid w:val="4FA55E13"/>
    <w:rsid w:val="4FA92537"/>
    <w:rsid w:val="4FB6225D"/>
    <w:rsid w:val="4FD16883"/>
    <w:rsid w:val="4FE71F4D"/>
    <w:rsid w:val="4FE92D8A"/>
    <w:rsid w:val="4FEE547C"/>
    <w:rsid w:val="500451B4"/>
    <w:rsid w:val="50513DBE"/>
    <w:rsid w:val="50634346"/>
    <w:rsid w:val="506E0E2C"/>
    <w:rsid w:val="50A12BDE"/>
    <w:rsid w:val="50A22415"/>
    <w:rsid w:val="50D13A2E"/>
    <w:rsid w:val="512831A6"/>
    <w:rsid w:val="51287539"/>
    <w:rsid w:val="513349FD"/>
    <w:rsid w:val="513A07B6"/>
    <w:rsid w:val="513A2D43"/>
    <w:rsid w:val="51505520"/>
    <w:rsid w:val="51530094"/>
    <w:rsid w:val="51545314"/>
    <w:rsid w:val="515C0C04"/>
    <w:rsid w:val="51646D1A"/>
    <w:rsid w:val="51BD1681"/>
    <w:rsid w:val="51BE54FC"/>
    <w:rsid w:val="51C50C88"/>
    <w:rsid w:val="51C57BB6"/>
    <w:rsid w:val="51CF3A07"/>
    <w:rsid w:val="51D171E5"/>
    <w:rsid w:val="51D25FE1"/>
    <w:rsid w:val="51E1750A"/>
    <w:rsid w:val="51E33E74"/>
    <w:rsid w:val="520B7B24"/>
    <w:rsid w:val="521C0BB6"/>
    <w:rsid w:val="521C3A78"/>
    <w:rsid w:val="52363A6E"/>
    <w:rsid w:val="523A133F"/>
    <w:rsid w:val="52736C91"/>
    <w:rsid w:val="5293771F"/>
    <w:rsid w:val="529B64F9"/>
    <w:rsid w:val="52AB57B0"/>
    <w:rsid w:val="52BC6B1E"/>
    <w:rsid w:val="52D16BF7"/>
    <w:rsid w:val="53072F3F"/>
    <w:rsid w:val="5324447A"/>
    <w:rsid w:val="53301796"/>
    <w:rsid w:val="535378DE"/>
    <w:rsid w:val="53A25C1A"/>
    <w:rsid w:val="53C26E85"/>
    <w:rsid w:val="53D85BFC"/>
    <w:rsid w:val="540E28F0"/>
    <w:rsid w:val="542E491F"/>
    <w:rsid w:val="543B6AE0"/>
    <w:rsid w:val="546062BA"/>
    <w:rsid w:val="546C4910"/>
    <w:rsid w:val="547D3B66"/>
    <w:rsid w:val="54922220"/>
    <w:rsid w:val="549B7165"/>
    <w:rsid w:val="54D53B92"/>
    <w:rsid w:val="54E925B3"/>
    <w:rsid w:val="55002B5A"/>
    <w:rsid w:val="556C3448"/>
    <w:rsid w:val="55801A9A"/>
    <w:rsid w:val="55825812"/>
    <w:rsid w:val="558B56DE"/>
    <w:rsid w:val="559A60A0"/>
    <w:rsid w:val="55EB123E"/>
    <w:rsid w:val="56426652"/>
    <w:rsid w:val="56535110"/>
    <w:rsid w:val="566057C7"/>
    <w:rsid w:val="566A15A8"/>
    <w:rsid w:val="569354B1"/>
    <w:rsid w:val="569F2C55"/>
    <w:rsid w:val="56B471B4"/>
    <w:rsid w:val="56BC5B54"/>
    <w:rsid w:val="56C13B29"/>
    <w:rsid w:val="57064EA9"/>
    <w:rsid w:val="57305B52"/>
    <w:rsid w:val="575631D2"/>
    <w:rsid w:val="5762594A"/>
    <w:rsid w:val="576D7290"/>
    <w:rsid w:val="57C33473"/>
    <w:rsid w:val="57EB4109"/>
    <w:rsid w:val="580751C1"/>
    <w:rsid w:val="581D58AE"/>
    <w:rsid w:val="58471CAD"/>
    <w:rsid w:val="585574D5"/>
    <w:rsid w:val="58582053"/>
    <w:rsid w:val="58680E1B"/>
    <w:rsid w:val="58705FC5"/>
    <w:rsid w:val="58745084"/>
    <w:rsid w:val="587D1CE7"/>
    <w:rsid w:val="59076A6A"/>
    <w:rsid w:val="59076E25"/>
    <w:rsid w:val="592E4D8C"/>
    <w:rsid w:val="59321703"/>
    <w:rsid w:val="594930E9"/>
    <w:rsid w:val="5959534D"/>
    <w:rsid w:val="596B460B"/>
    <w:rsid w:val="59A66247"/>
    <w:rsid w:val="59AD0976"/>
    <w:rsid w:val="59BA7A63"/>
    <w:rsid w:val="59EE166C"/>
    <w:rsid w:val="59EF00DD"/>
    <w:rsid w:val="59F341F4"/>
    <w:rsid w:val="59FA3DCB"/>
    <w:rsid w:val="5A4A011A"/>
    <w:rsid w:val="5A9B5664"/>
    <w:rsid w:val="5AAF1D42"/>
    <w:rsid w:val="5AB56805"/>
    <w:rsid w:val="5AC926ED"/>
    <w:rsid w:val="5AD672EA"/>
    <w:rsid w:val="5AE62910"/>
    <w:rsid w:val="5AF654A7"/>
    <w:rsid w:val="5B2E25C1"/>
    <w:rsid w:val="5B526DEA"/>
    <w:rsid w:val="5B93240F"/>
    <w:rsid w:val="5BA814CE"/>
    <w:rsid w:val="5BAD3376"/>
    <w:rsid w:val="5BC46201"/>
    <w:rsid w:val="5BC648F3"/>
    <w:rsid w:val="5C1A514B"/>
    <w:rsid w:val="5C1F025F"/>
    <w:rsid w:val="5C321CD1"/>
    <w:rsid w:val="5C431A93"/>
    <w:rsid w:val="5C806A3E"/>
    <w:rsid w:val="5C8A3E79"/>
    <w:rsid w:val="5CC905AC"/>
    <w:rsid w:val="5CDA3CA1"/>
    <w:rsid w:val="5CE65D3B"/>
    <w:rsid w:val="5CEA2F22"/>
    <w:rsid w:val="5D301B5E"/>
    <w:rsid w:val="5D537D35"/>
    <w:rsid w:val="5D6338BC"/>
    <w:rsid w:val="5D737B74"/>
    <w:rsid w:val="5D851D93"/>
    <w:rsid w:val="5DB52ED4"/>
    <w:rsid w:val="5DC3245D"/>
    <w:rsid w:val="5DFB2052"/>
    <w:rsid w:val="5E111628"/>
    <w:rsid w:val="5E2249E7"/>
    <w:rsid w:val="5E2A0012"/>
    <w:rsid w:val="5E3407B3"/>
    <w:rsid w:val="5E424B36"/>
    <w:rsid w:val="5E4915C3"/>
    <w:rsid w:val="5E575074"/>
    <w:rsid w:val="5E6B289C"/>
    <w:rsid w:val="5E706ACF"/>
    <w:rsid w:val="5E771697"/>
    <w:rsid w:val="5E9C653C"/>
    <w:rsid w:val="5EA3001C"/>
    <w:rsid w:val="5ECB712B"/>
    <w:rsid w:val="5EE13914"/>
    <w:rsid w:val="5EFA66AB"/>
    <w:rsid w:val="5F0251E8"/>
    <w:rsid w:val="5F095D8A"/>
    <w:rsid w:val="5F0B2DAF"/>
    <w:rsid w:val="5F135C40"/>
    <w:rsid w:val="5F3563C3"/>
    <w:rsid w:val="5F4D5468"/>
    <w:rsid w:val="5FAB7A18"/>
    <w:rsid w:val="5FC25AB6"/>
    <w:rsid w:val="5FC363A7"/>
    <w:rsid w:val="5FD96164"/>
    <w:rsid w:val="600C03BB"/>
    <w:rsid w:val="60135AAD"/>
    <w:rsid w:val="60212DA9"/>
    <w:rsid w:val="60215989"/>
    <w:rsid w:val="602C59C3"/>
    <w:rsid w:val="60506531"/>
    <w:rsid w:val="607118EE"/>
    <w:rsid w:val="60A67819"/>
    <w:rsid w:val="60AC24F6"/>
    <w:rsid w:val="60C277F5"/>
    <w:rsid w:val="60E73EB1"/>
    <w:rsid w:val="60FF253F"/>
    <w:rsid w:val="610B655F"/>
    <w:rsid w:val="611067EB"/>
    <w:rsid w:val="616552B2"/>
    <w:rsid w:val="618417B4"/>
    <w:rsid w:val="61931EF3"/>
    <w:rsid w:val="619839DD"/>
    <w:rsid w:val="61AE3AC8"/>
    <w:rsid w:val="61C13BFA"/>
    <w:rsid w:val="61C50D79"/>
    <w:rsid w:val="61CA2071"/>
    <w:rsid w:val="61D01336"/>
    <w:rsid w:val="61D63EDA"/>
    <w:rsid w:val="61F544E2"/>
    <w:rsid w:val="6201592A"/>
    <w:rsid w:val="62084976"/>
    <w:rsid w:val="621363A6"/>
    <w:rsid w:val="622760E3"/>
    <w:rsid w:val="622D2C02"/>
    <w:rsid w:val="622F6651"/>
    <w:rsid w:val="6233790A"/>
    <w:rsid w:val="62523F0C"/>
    <w:rsid w:val="62687D5B"/>
    <w:rsid w:val="62701383"/>
    <w:rsid w:val="62752629"/>
    <w:rsid w:val="62792AF3"/>
    <w:rsid w:val="627D4BC8"/>
    <w:rsid w:val="62871E0E"/>
    <w:rsid w:val="629501CE"/>
    <w:rsid w:val="62A220EF"/>
    <w:rsid w:val="62D17084"/>
    <w:rsid w:val="62E223F2"/>
    <w:rsid w:val="62FC405D"/>
    <w:rsid w:val="63175D3F"/>
    <w:rsid w:val="632F59FF"/>
    <w:rsid w:val="634B337E"/>
    <w:rsid w:val="636C0CDB"/>
    <w:rsid w:val="63772071"/>
    <w:rsid w:val="63814C5E"/>
    <w:rsid w:val="63B72EE5"/>
    <w:rsid w:val="63ED50B6"/>
    <w:rsid w:val="640763BE"/>
    <w:rsid w:val="64416D9B"/>
    <w:rsid w:val="64555769"/>
    <w:rsid w:val="64761778"/>
    <w:rsid w:val="647A3012"/>
    <w:rsid w:val="647E080A"/>
    <w:rsid w:val="64873E0F"/>
    <w:rsid w:val="64C70A52"/>
    <w:rsid w:val="64F14070"/>
    <w:rsid w:val="6540192B"/>
    <w:rsid w:val="65D515B1"/>
    <w:rsid w:val="661659C4"/>
    <w:rsid w:val="662D17CA"/>
    <w:rsid w:val="66457067"/>
    <w:rsid w:val="666D35AE"/>
    <w:rsid w:val="6673247C"/>
    <w:rsid w:val="668654DE"/>
    <w:rsid w:val="669C0C38"/>
    <w:rsid w:val="66F7206B"/>
    <w:rsid w:val="66FB6A7C"/>
    <w:rsid w:val="674404A6"/>
    <w:rsid w:val="674D23CD"/>
    <w:rsid w:val="67520465"/>
    <w:rsid w:val="67526E31"/>
    <w:rsid w:val="67897AF0"/>
    <w:rsid w:val="67D16432"/>
    <w:rsid w:val="67EB1D0F"/>
    <w:rsid w:val="67ED5E98"/>
    <w:rsid w:val="67F93045"/>
    <w:rsid w:val="68030C59"/>
    <w:rsid w:val="68053CDC"/>
    <w:rsid w:val="683315F2"/>
    <w:rsid w:val="68384F8F"/>
    <w:rsid w:val="685346F8"/>
    <w:rsid w:val="685A600A"/>
    <w:rsid w:val="685E7E08"/>
    <w:rsid w:val="68732318"/>
    <w:rsid w:val="68825E19"/>
    <w:rsid w:val="68DC128B"/>
    <w:rsid w:val="68F24AF6"/>
    <w:rsid w:val="691A62C6"/>
    <w:rsid w:val="691C603D"/>
    <w:rsid w:val="6958336D"/>
    <w:rsid w:val="6969456F"/>
    <w:rsid w:val="69705AF8"/>
    <w:rsid w:val="697344C0"/>
    <w:rsid w:val="698A50AC"/>
    <w:rsid w:val="699F4416"/>
    <w:rsid w:val="69D7212A"/>
    <w:rsid w:val="69FD776F"/>
    <w:rsid w:val="6A4643CF"/>
    <w:rsid w:val="6A4928BD"/>
    <w:rsid w:val="6A6B044D"/>
    <w:rsid w:val="6A6B7140"/>
    <w:rsid w:val="6A8C371C"/>
    <w:rsid w:val="6A9034D2"/>
    <w:rsid w:val="6AA84FFB"/>
    <w:rsid w:val="6AF771C8"/>
    <w:rsid w:val="6AFA6964"/>
    <w:rsid w:val="6B001842"/>
    <w:rsid w:val="6B01423D"/>
    <w:rsid w:val="6B0A2AF3"/>
    <w:rsid w:val="6B4414F0"/>
    <w:rsid w:val="6B565AA8"/>
    <w:rsid w:val="6B5748FF"/>
    <w:rsid w:val="6B7B2B55"/>
    <w:rsid w:val="6B9F0C46"/>
    <w:rsid w:val="6BC321EF"/>
    <w:rsid w:val="6BD41082"/>
    <w:rsid w:val="6BE43EF7"/>
    <w:rsid w:val="6BF9582A"/>
    <w:rsid w:val="6C1C58EB"/>
    <w:rsid w:val="6C2B64B6"/>
    <w:rsid w:val="6C4B06A2"/>
    <w:rsid w:val="6C6555E3"/>
    <w:rsid w:val="6C6F1CAD"/>
    <w:rsid w:val="6C8501AE"/>
    <w:rsid w:val="6CA060FB"/>
    <w:rsid w:val="6CA06AC4"/>
    <w:rsid w:val="6D2263C3"/>
    <w:rsid w:val="6D357968"/>
    <w:rsid w:val="6D7A6056"/>
    <w:rsid w:val="6D8212B7"/>
    <w:rsid w:val="6D830E12"/>
    <w:rsid w:val="6D8E2AD7"/>
    <w:rsid w:val="6DB91241"/>
    <w:rsid w:val="6DE366CA"/>
    <w:rsid w:val="6DEF1072"/>
    <w:rsid w:val="6DF66873"/>
    <w:rsid w:val="6DF87BD4"/>
    <w:rsid w:val="6DFE5E41"/>
    <w:rsid w:val="6E027CA2"/>
    <w:rsid w:val="6E115D2C"/>
    <w:rsid w:val="6E3423AA"/>
    <w:rsid w:val="6E9A5546"/>
    <w:rsid w:val="6EE27C76"/>
    <w:rsid w:val="6EE946BF"/>
    <w:rsid w:val="6EF13F81"/>
    <w:rsid w:val="6F0F3454"/>
    <w:rsid w:val="6F3F4000"/>
    <w:rsid w:val="6F4469B9"/>
    <w:rsid w:val="6F5B58A9"/>
    <w:rsid w:val="6F7870DC"/>
    <w:rsid w:val="7014078E"/>
    <w:rsid w:val="703062F3"/>
    <w:rsid w:val="703A6FBE"/>
    <w:rsid w:val="706E1F45"/>
    <w:rsid w:val="706F49DA"/>
    <w:rsid w:val="7071160C"/>
    <w:rsid w:val="709F2080"/>
    <w:rsid w:val="70A2025E"/>
    <w:rsid w:val="70A30984"/>
    <w:rsid w:val="70C917AA"/>
    <w:rsid w:val="70D41C98"/>
    <w:rsid w:val="70E819EC"/>
    <w:rsid w:val="70F02008"/>
    <w:rsid w:val="70F14C5F"/>
    <w:rsid w:val="7132631C"/>
    <w:rsid w:val="717E1969"/>
    <w:rsid w:val="7184468B"/>
    <w:rsid w:val="71A843FB"/>
    <w:rsid w:val="71BB560F"/>
    <w:rsid w:val="71CC003B"/>
    <w:rsid w:val="71CD5DBA"/>
    <w:rsid w:val="71DA1C38"/>
    <w:rsid w:val="71E05DC1"/>
    <w:rsid w:val="721026A7"/>
    <w:rsid w:val="721C3518"/>
    <w:rsid w:val="721E66BD"/>
    <w:rsid w:val="723104CD"/>
    <w:rsid w:val="72536B56"/>
    <w:rsid w:val="72787E4E"/>
    <w:rsid w:val="729E164B"/>
    <w:rsid w:val="72C3452E"/>
    <w:rsid w:val="72F70913"/>
    <w:rsid w:val="733E5D12"/>
    <w:rsid w:val="73AA2F3F"/>
    <w:rsid w:val="73DC55C9"/>
    <w:rsid w:val="73E412FE"/>
    <w:rsid w:val="73EF726A"/>
    <w:rsid w:val="74115BC8"/>
    <w:rsid w:val="74121008"/>
    <w:rsid w:val="741268A9"/>
    <w:rsid w:val="741369A5"/>
    <w:rsid w:val="74435A34"/>
    <w:rsid w:val="74657F16"/>
    <w:rsid w:val="74675EF3"/>
    <w:rsid w:val="74A1707C"/>
    <w:rsid w:val="74BD16B9"/>
    <w:rsid w:val="750521E8"/>
    <w:rsid w:val="75364955"/>
    <w:rsid w:val="75396C52"/>
    <w:rsid w:val="753D4076"/>
    <w:rsid w:val="754B71DC"/>
    <w:rsid w:val="75506BD3"/>
    <w:rsid w:val="757A4188"/>
    <w:rsid w:val="757F3C79"/>
    <w:rsid w:val="759444D0"/>
    <w:rsid w:val="75B207EF"/>
    <w:rsid w:val="75B96A41"/>
    <w:rsid w:val="75DC6E28"/>
    <w:rsid w:val="75E05530"/>
    <w:rsid w:val="762A5C5B"/>
    <w:rsid w:val="76557DF7"/>
    <w:rsid w:val="767D12A6"/>
    <w:rsid w:val="76987D42"/>
    <w:rsid w:val="76992F80"/>
    <w:rsid w:val="76A676CF"/>
    <w:rsid w:val="76AD1C2C"/>
    <w:rsid w:val="76AD7DBE"/>
    <w:rsid w:val="76C52F8C"/>
    <w:rsid w:val="76D35374"/>
    <w:rsid w:val="76DB7DBB"/>
    <w:rsid w:val="76F740F6"/>
    <w:rsid w:val="76FC652B"/>
    <w:rsid w:val="7729054A"/>
    <w:rsid w:val="772D3436"/>
    <w:rsid w:val="772F2752"/>
    <w:rsid w:val="77A24B7F"/>
    <w:rsid w:val="77C667E4"/>
    <w:rsid w:val="77DD6545"/>
    <w:rsid w:val="77EF25BF"/>
    <w:rsid w:val="77FA1E94"/>
    <w:rsid w:val="7835260B"/>
    <w:rsid w:val="78572C09"/>
    <w:rsid w:val="78AC2E84"/>
    <w:rsid w:val="78B26C4E"/>
    <w:rsid w:val="78C91043"/>
    <w:rsid w:val="791A3516"/>
    <w:rsid w:val="79292F6F"/>
    <w:rsid w:val="792B19AA"/>
    <w:rsid w:val="793F37F2"/>
    <w:rsid w:val="79AE1496"/>
    <w:rsid w:val="79F67585"/>
    <w:rsid w:val="7A032C19"/>
    <w:rsid w:val="7A1507E2"/>
    <w:rsid w:val="7A193607"/>
    <w:rsid w:val="7A343E7F"/>
    <w:rsid w:val="7A3451CC"/>
    <w:rsid w:val="7A436A2A"/>
    <w:rsid w:val="7A52047C"/>
    <w:rsid w:val="7A6355C1"/>
    <w:rsid w:val="7A784B83"/>
    <w:rsid w:val="7A8F545A"/>
    <w:rsid w:val="7AB74CE8"/>
    <w:rsid w:val="7ABF146A"/>
    <w:rsid w:val="7AC2517E"/>
    <w:rsid w:val="7AF449DF"/>
    <w:rsid w:val="7AF828C6"/>
    <w:rsid w:val="7B1468FA"/>
    <w:rsid w:val="7B284CE0"/>
    <w:rsid w:val="7B366E08"/>
    <w:rsid w:val="7B53662E"/>
    <w:rsid w:val="7B6A615D"/>
    <w:rsid w:val="7B7E5148"/>
    <w:rsid w:val="7B9D72A8"/>
    <w:rsid w:val="7BF90168"/>
    <w:rsid w:val="7C0E27F5"/>
    <w:rsid w:val="7C1B2050"/>
    <w:rsid w:val="7C3009AD"/>
    <w:rsid w:val="7C322752"/>
    <w:rsid w:val="7C3837D0"/>
    <w:rsid w:val="7C553194"/>
    <w:rsid w:val="7C627104"/>
    <w:rsid w:val="7C6B7CF2"/>
    <w:rsid w:val="7C6C2208"/>
    <w:rsid w:val="7C6F7FDF"/>
    <w:rsid w:val="7C7472F4"/>
    <w:rsid w:val="7C8829AF"/>
    <w:rsid w:val="7C9062CD"/>
    <w:rsid w:val="7C926EDE"/>
    <w:rsid w:val="7CB93445"/>
    <w:rsid w:val="7CD16BE7"/>
    <w:rsid w:val="7CD27EE2"/>
    <w:rsid w:val="7CDB2690"/>
    <w:rsid w:val="7CE60296"/>
    <w:rsid w:val="7CFA35EF"/>
    <w:rsid w:val="7D0470A8"/>
    <w:rsid w:val="7D356BBC"/>
    <w:rsid w:val="7D45427D"/>
    <w:rsid w:val="7D8F6910"/>
    <w:rsid w:val="7D970AD2"/>
    <w:rsid w:val="7DF75E96"/>
    <w:rsid w:val="7E2D6D82"/>
    <w:rsid w:val="7E3A5658"/>
    <w:rsid w:val="7E704ED7"/>
    <w:rsid w:val="7E83284D"/>
    <w:rsid w:val="7EC10DC2"/>
    <w:rsid w:val="7EE709A7"/>
    <w:rsid w:val="7F1A40D9"/>
    <w:rsid w:val="7F227DCD"/>
    <w:rsid w:val="7F3A1A7A"/>
    <w:rsid w:val="7F3B0416"/>
    <w:rsid w:val="7F4209F2"/>
    <w:rsid w:val="7F50673F"/>
    <w:rsid w:val="7F9937B2"/>
    <w:rsid w:val="7F9C554F"/>
    <w:rsid w:val="7FE91E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7"/>
    <w:qFormat/>
    <w:uiPriority w:val="0"/>
    <w:pPr>
      <w:keepNext/>
      <w:keepLines/>
      <w:spacing w:before="340" w:after="330" w:line="576" w:lineRule="auto"/>
      <w:outlineLvl w:val="0"/>
    </w:pPr>
    <w:rPr>
      <w:rFonts w:ascii="Times New Roman" w:hAnsi="Times New Roman"/>
      <w:bCs/>
      <w:kern w:val="44"/>
      <w:sz w:val="44"/>
      <w:szCs w:val="44"/>
    </w:rPr>
  </w:style>
  <w:style w:type="paragraph" w:styleId="4">
    <w:name w:val="heading 2"/>
    <w:basedOn w:val="1"/>
    <w:next w:val="1"/>
    <w:link w:val="53"/>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8"/>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link w:val="63"/>
    <w:qFormat/>
    <w:uiPriority w:val="0"/>
    <w:pPr>
      <w:keepNext/>
      <w:keepLines/>
      <w:spacing w:before="280" w:after="290" w:line="374" w:lineRule="auto"/>
      <w:outlineLvl w:val="3"/>
    </w:pPr>
    <w:rPr>
      <w:rFonts w:ascii="Arial" w:hAnsi="Arial" w:eastAsia="黑体"/>
      <w:b/>
      <w:bCs/>
      <w:sz w:val="28"/>
      <w:szCs w:val="28"/>
    </w:rPr>
  </w:style>
  <w:style w:type="paragraph" w:styleId="7">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样式 小四 行距: 1.5 倍行距"/>
    <w:basedOn w:val="1"/>
    <w:qFormat/>
    <w:uiPriority w:val="0"/>
    <w:pPr>
      <w:ind w:firstLine="480"/>
    </w:pPr>
    <w:rPr>
      <w:rFonts w:cs="宋体"/>
    </w:rPr>
  </w:style>
  <w:style w:type="paragraph" w:styleId="11">
    <w:name w:val="toc 7"/>
    <w:basedOn w:val="1"/>
    <w:next w:val="1"/>
    <w:qFormat/>
    <w:uiPriority w:val="0"/>
    <w:pPr>
      <w:ind w:left="1260"/>
      <w:jc w:val="left"/>
    </w:pPr>
    <w:rPr>
      <w:sz w:val="18"/>
      <w:szCs w:val="18"/>
    </w:rPr>
  </w:style>
  <w:style w:type="paragraph" w:styleId="12">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13">
    <w:name w:val="Normal Indent"/>
    <w:basedOn w:val="1"/>
    <w:qFormat/>
    <w:uiPriority w:val="0"/>
    <w:pPr>
      <w:ind w:firstLine="420" w:firstLineChars="200"/>
    </w:pPr>
  </w:style>
  <w:style w:type="paragraph" w:styleId="14">
    <w:name w:val="Document Map"/>
    <w:basedOn w:val="1"/>
    <w:link w:val="52"/>
    <w:qFormat/>
    <w:uiPriority w:val="0"/>
    <w:pPr>
      <w:shd w:val="clear" w:color="auto" w:fill="000080"/>
    </w:pPr>
    <w:rPr>
      <w:rFonts w:ascii="Times New Roman" w:hAnsi="Times New Roman"/>
    </w:rPr>
  </w:style>
  <w:style w:type="paragraph" w:styleId="15">
    <w:name w:val="annotation text"/>
    <w:basedOn w:val="1"/>
    <w:link w:val="61"/>
    <w:qFormat/>
    <w:uiPriority w:val="0"/>
    <w:pPr>
      <w:jc w:val="left"/>
    </w:pPr>
    <w:rPr>
      <w:rFonts w:ascii="Times New Roman" w:hAnsi="Times New Roman"/>
    </w:rPr>
  </w:style>
  <w:style w:type="paragraph" w:styleId="16">
    <w:name w:val="Body Text 3"/>
    <w:basedOn w:val="1"/>
    <w:qFormat/>
    <w:uiPriority w:val="0"/>
    <w:rPr>
      <w:rFonts w:ascii="宋体"/>
      <w:sz w:val="24"/>
      <w:szCs w:val="20"/>
    </w:rPr>
  </w:style>
  <w:style w:type="paragraph" w:styleId="17">
    <w:name w:val="Body Text"/>
    <w:basedOn w:val="1"/>
    <w:link w:val="59"/>
    <w:qFormat/>
    <w:uiPriority w:val="0"/>
    <w:pPr>
      <w:spacing w:after="120"/>
    </w:pPr>
    <w:rPr>
      <w:rFonts w:ascii="Times New Roman" w:hAnsi="Times New Roman"/>
    </w:rPr>
  </w:style>
  <w:style w:type="paragraph" w:styleId="18">
    <w:name w:val="Body Text Indent"/>
    <w:basedOn w:val="1"/>
    <w:qFormat/>
    <w:uiPriority w:val="0"/>
    <w:pPr>
      <w:spacing w:after="120"/>
      <w:ind w:left="420" w:leftChars="200"/>
    </w:pPr>
  </w:style>
  <w:style w:type="paragraph" w:styleId="19">
    <w:name w:val="toc 5"/>
    <w:basedOn w:val="1"/>
    <w:next w:val="1"/>
    <w:qFormat/>
    <w:uiPriority w:val="0"/>
    <w:pPr>
      <w:ind w:left="840"/>
      <w:jc w:val="left"/>
    </w:pPr>
    <w:rPr>
      <w:sz w:val="18"/>
      <w:szCs w:val="18"/>
    </w:rPr>
  </w:style>
  <w:style w:type="paragraph" w:styleId="20">
    <w:name w:val="toc 3"/>
    <w:basedOn w:val="1"/>
    <w:next w:val="1"/>
    <w:qFormat/>
    <w:uiPriority w:val="0"/>
    <w:pPr>
      <w:ind w:left="420"/>
      <w:jc w:val="left"/>
    </w:pPr>
    <w:rPr>
      <w:iCs/>
      <w:sz w:val="20"/>
      <w:szCs w:val="20"/>
    </w:rPr>
  </w:style>
  <w:style w:type="paragraph" w:styleId="21">
    <w:name w:val="Plain Text"/>
    <w:basedOn w:val="1"/>
    <w:next w:val="1"/>
    <w:link w:val="54"/>
    <w:qFormat/>
    <w:uiPriority w:val="0"/>
    <w:rPr>
      <w:rFonts w:hAnsi="Courier New"/>
      <w:sz w:val="20"/>
    </w:rPr>
  </w:style>
  <w:style w:type="paragraph" w:styleId="22">
    <w:name w:val="toc 8"/>
    <w:basedOn w:val="1"/>
    <w:next w:val="1"/>
    <w:qFormat/>
    <w:uiPriority w:val="0"/>
    <w:pPr>
      <w:ind w:left="1470"/>
      <w:jc w:val="left"/>
    </w:pPr>
    <w:rPr>
      <w:sz w:val="18"/>
      <w:szCs w:val="18"/>
    </w:rPr>
  </w:style>
  <w:style w:type="paragraph" w:styleId="23">
    <w:name w:val="Date"/>
    <w:basedOn w:val="1"/>
    <w:next w:val="1"/>
    <w:qFormat/>
    <w:uiPriority w:val="0"/>
    <w:rPr>
      <w:sz w:val="24"/>
      <w:szCs w:val="20"/>
    </w:rPr>
  </w:style>
  <w:style w:type="paragraph" w:styleId="24">
    <w:name w:val="Balloon Text"/>
    <w:basedOn w:val="1"/>
    <w:qFormat/>
    <w:uiPriority w:val="0"/>
    <w:rPr>
      <w:sz w:val="18"/>
      <w:szCs w:val="18"/>
    </w:rPr>
  </w:style>
  <w:style w:type="paragraph" w:styleId="25">
    <w:name w:val="footer"/>
    <w:basedOn w:val="1"/>
    <w:link w:val="49"/>
    <w:qFormat/>
    <w:uiPriority w:val="99"/>
    <w:pPr>
      <w:tabs>
        <w:tab w:val="center" w:pos="4153"/>
        <w:tab w:val="right" w:pos="8306"/>
      </w:tabs>
      <w:snapToGrid w:val="0"/>
      <w:jc w:val="left"/>
    </w:pPr>
    <w:rPr>
      <w:rFonts w:ascii="Times New Roman" w:hAnsi="Times New Roman"/>
      <w:sz w:val="18"/>
      <w:szCs w:val="18"/>
    </w:rPr>
  </w:style>
  <w:style w:type="paragraph" w:styleId="26">
    <w:name w:val="header"/>
    <w:basedOn w:val="1"/>
    <w:link w:val="56"/>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7">
    <w:name w:val="toc 1"/>
    <w:basedOn w:val="1"/>
    <w:next w:val="1"/>
    <w:qFormat/>
    <w:uiPriority w:val="0"/>
    <w:pPr>
      <w:spacing w:before="120" w:after="120"/>
      <w:jc w:val="left"/>
    </w:pPr>
    <w:rPr>
      <w:b/>
      <w:bCs/>
      <w:caps/>
      <w:sz w:val="20"/>
      <w:szCs w:val="20"/>
    </w:rPr>
  </w:style>
  <w:style w:type="paragraph" w:styleId="28">
    <w:name w:val="toc 4"/>
    <w:basedOn w:val="1"/>
    <w:next w:val="1"/>
    <w:qFormat/>
    <w:uiPriority w:val="0"/>
    <w:pPr>
      <w:ind w:left="630"/>
      <w:jc w:val="left"/>
    </w:pPr>
    <w:rPr>
      <w:sz w:val="18"/>
      <w:szCs w:val="18"/>
    </w:rPr>
  </w:style>
  <w:style w:type="paragraph" w:styleId="29">
    <w:name w:val="toc 6"/>
    <w:basedOn w:val="1"/>
    <w:next w:val="1"/>
    <w:qFormat/>
    <w:uiPriority w:val="0"/>
    <w:pPr>
      <w:ind w:left="1050"/>
      <w:jc w:val="left"/>
    </w:pPr>
    <w:rPr>
      <w:sz w:val="18"/>
      <w:szCs w:val="1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qFormat/>
    <w:uiPriority w:val="0"/>
    <w:pPr>
      <w:ind w:left="1680"/>
      <w:jc w:val="left"/>
    </w:pPr>
    <w:rPr>
      <w:sz w:val="18"/>
      <w:szCs w:val="18"/>
    </w:rPr>
  </w:style>
  <w:style w:type="paragraph" w:styleId="33">
    <w:name w:val="Body Text 2"/>
    <w:basedOn w:val="1"/>
    <w:qFormat/>
    <w:uiPriority w:val="0"/>
    <w:rPr>
      <w:rFonts w:ascii="宋体" w:hAnsi="宋体"/>
      <w:kern w:val="0"/>
      <w:sz w:val="20"/>
      <w:u w:val="single"/>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5">
    <w:name w:val="index 1"/>
    <w:basedOn w:val="1"/>
    <w:next w:val="1"/>
    <w:qFormat/>
    <w:uiPriority w:val="0"/>
    <w:pPr>
      <w:spacing w:line="220" w:lineRule="exact"/>
      <w:jc w:val="center"/>
    </w:pPr>
    <w:rPr>
      <w:rFonts w:ascii="仿宋_GB2312" w:eastAsia="仿宋_GB2312"/>
      <w:szCs w:val="21"/>
    </w:rPr>
  </w:style>
  <w:style w:type="paragraph" w:styleId="36">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5"/>
    <w:next w:val="15"/>
    <w:link w:val="51"/>
    <w:qFormat/>
    <w:uiPriority w:val="0"/>
    <w:pPr>
      <w:jc w:val="both"/>
    </w:pPr>
    <w:rPr>
      <w:b/>
      <w:bCs/>
    </w:rPr>
  </w:style>
  <w:style w:type="paragraph" w:styleId="38">
    <w:name w:val="Body Text First Indent"/>
    <w:basedOn w:val="17"/>
    <w:link w:val="57"/>
    <w:qFormat/>
    <w:uiPriority w:val="0"/>
    <w:pPr>
      <w:spacing w:line="312" w:lineRule="auto"/>
      <w:ind w:firstLine="42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page number"/>
    <w:basedOn w:val="41"/>
    <w:qFormat/>
    <w:uiPriority w:val="0"/>
  </w:style>
  <w:style w:type="character" w:styleId="43">
    <w:name w:val="FollowedHyperlink"/>
    <w:qFormat/>
    <w:uiPriority w:val="0"/>
    <w:rPr>
      <w:color w:val="000000"/>
      <w:u w:val="none"/>
    </w:rPr>
  </w:style>
  <w:style w:type="character" w:styleId="44">
    <w:name w:val="Hyperlink"/>
    <w:qFormat/>
    <w:uiPriority w:val="0"/>
    <w:rPr>
      <w:color w:val="000000"/>
      <w:u w:val="non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character" w:customStyle="1" w:styleId="47">
    <w:name w:val="标题 1 Char"/>
    <w:link w:val="3"/>
    <w:qFormat/>
    <w:uiPriority w:val="0"/>
    <w:rPr>
      <w:rFonts w:eastAsia="宋体"/>
      <w:b/>
      <w:bCs/>
      <w:kern w:val="44"/>
      <w:sz w:val="44"/>
      <w:szCs w:val="44"/>
      <w:lang w:val="en-US" w:eastAsia="zh-CN" w:bidi="ar-SA"/>
    </w:rPr>
  </w:style>
  <w:style w:type="character" w:customStyle="1" w:styleId="48">
    <w:name w:val="times1"/>
    <w:qFormat/>
    <w:uiPriority w:val="0"/>
    <w:rPr>
      <w:color w:val="CDCDCD"/>
      <w:bdr w:val="single" w:color="CDCDCD" w:sz="6" w:space="0"/>
      <w:shd w:val="clear" w:color="auto" w:fill="EFEFEF"/>
    </w:rPr>
  </w:style>
  <w:style w:type="character" w:customStyle="1" w:styleId="49">
    <w:name w:val="页脚 Char"/>
    <w:link w:val="25"/>
    <w:qFormat/>
    <w:uiPriority w:val="99"/>
    <w:rPr>
      <w:rFonts w:eastAsia="宋体"/>
      <w:kern w:val="2"/>
      <w:sz w:val="18"/>
      <w:szCs w:val="18"/>
      <w:lang w:val="en-US" w:eastAsia="zh-CN" w:bidi="ar-SA"/>
    </w:rPr>
  </w:style>
  <w:style w:type="character" w:customStyle="1" w:styleId="50">
    <w:name w:val="font161"/>
    <w:qFormat/>
    <w:uiPriority w:val="0"/>
    <w:rPr>
      <w:b/>
      <w:bCs/>
      <w:sz w:val="32"/>
      <w:szCs w:val="32"/>
    </w:rPr>
  </w:style>
  <w:style w:type="character" w:customStyle="1" w:styleId="51">
    <w:name w:val="批注主题 Char"/>
    <w:link w:val="37"/>
    <w:qFormat/>
    <w:uiPriority w:val="0"/>
    <w:rPr>
      <w:rFonts w:eastAsia="宋体"/>
      <w:b/>
      <w:bCs/>
      <w:kern w:val="2"/>
      <w:sz w:val="21"/>
      <w:szCs w:val="24"/>
      <w:lang w:val="en-US" w:eastAsia="zh-CN" w:bidi="ar-SA"/>
    </w:rPr>
  </w:style>
  <w:style w:type="character" w:customStyle="1" w:styleId="52">
    <w:name w:val="文档结构图 Char"/>
    <w:link w:val="14"/>
    <w:qFormat/>
    <w:uiPriority w:val="0"/>
    <w:rPr>
      <w:rFonts w:eastAsia="宋体"/>
      <w:kern w:val="2"/>
      <w:sz w:val="21"/>
      <w:szCs w:val="24"/>
      <w:lang w:val="en-US" w:eastAsia="zh-CN" w:bidi="ar-SA"/>
    </w:rPr>
  </w:style>
  <w:style w:type="character" w:customStyle="1" w:styleId="53">
    <w:name w:val="标题 2 Char"/>
    <w:link w:val="4"/>
    <w:qFormat/>
    <w:uiPriority w:val="0"/>
    <w:rPr>
      <w:rFonts w:ascii="Arial" w:hAnsi="Arial" w:eastAsia="黑体"/>
      <w:b/>
      <w:bCs/>
      <w:kern w:val="2"/>
      <w:sz w:val="32"/>
      <w:szCs w:val="32"/>
      <w:lang w:val="en-US" w:eastAsia="zh-CN" w:bidi="ar-SA"/>
    </w:rPr>
  </w:style>
  <w:style w:type="character" w:customStyle="1" w:styleId="54">
    <w:name w:val="纯文本 Char"/>
    <w:basedOn w:val="41"/>
    <w:link w:val="21"/>
    <w:qFormat/>
    <w:uiPriority w:val="0"/>
    <w:rPr>
      <w:rFonts w:hint="eastAsia" w:ascii="宋体" w:hAnsi="Courier New" w:eastAsia="宋体" w:cs="Courier New"/>
      <w:kern w:val="2"/>
      <w:sz w:val="21"/>
      <w:szCs w:val="21"/>
    </w:rPr>
  </w:style>
  <w:style w:type="character" w:customStyle="1" w:styleId="55">
    <w:name w:val="hover41"/>
    <w:basedOn w:val="41"/>
    <w:qFormat/>
    <w:uiPriority w:val="0"/>
  </w:style>
  <w:style w:type="character" w:customStyle="1" w:styleId="56">
    <w:name w:val="页眉 Char"/>
    <w:link w:val="26"/>
    <w:qFormat/>
    <w:uiPriority w:val="99"/>
    <w:rPr>
      <w:rFonts w:eastAsia="宋体"/>
      <w:kern w:val="2"/>
      <w:sz w:val="18"/>
      <w:szCs w:val="18"/>
      <w:lang w:val="en-US" w:eastAsia="zh-CN" w:bidi="ar-SA"/>
    </w:rPr>
  </w:style>
  <w:style w:type="character" w:customStyle="1" w:styleId="57">
    <w:name w:val="正文首行缩进 Char"/>
    <w:link w:val="38"/>
    <w:qFormat/>
    <w:uiPriority w:val="0"/>
    <w:rPr>
      <w:rFonts w:eastAsia="宋体"/>
      <w:kern w:val="2"/>
      <w:sz w:val="21"/>
      <w:szCs w:val="24"/>
      <w:lang w:val="en-US" w:eastAsia="zh-CN" w:bidi="ar-SA"/>
    </w:rPr>
  </w:style>
  <w:style w:type="character" w:customStyle="1" w:styleId="58">
    <w:name w:val="标题 3 Char"/>
    <w:link w:val="5"/>
    <w:qFormat/>
    <w:uiPriority w:val="0"/>
    <w:rPr>
      <w:rFonts w:ascii="黑体" w:hAnsi="宋体" w:eastAsia="黑体"/>
      <w:bCs/>
      <w:kern w:val="2"/>
      <w:sz w:val="28"/>
      <w:szCs w:val="28"/>
      <w:lang w:val="en-US" w:eastAsia="zh-CN" w:bidi="ar-SA"/>
    </w:rPr>
  </w:style>
  <w:style w:type="character" w:customStyle="1" w:styleId="59">
    <w:name w:val="正文文本 Char"/>
    <w:link w:val="17"/>
    <w:qFormat/>
    <w:uiPriority w:val="0"/>
    <w:rPr>
      <w:rFonts w:eastAsia="宋体"/>
      <w:kern w:val="2"/>
      <w:sz w:val="21"/>
      <w:szCs w:val="24"/>
      <w:lang w:val="en-US" w:eastAsia="zh-CN" w:bidi="ar-SA"/>
    </w:rPr>
  </w:style>
  <w:style w:type="character" w:customStyle="1" w:styleId="60">
    <w:name w:val="times"/>
    <w:qFormat/>
    <w:uiPriority w:val="0"/>
    <w:rPr>
      <w:color w:val="3399FF"/>
      <w:bdr w:val="single" w:color="D1EDF8" w:sz="6" w:space="0"/>
      <w:shd w:val="clear" w:color="auto" w:fill="EAF9FF"/>
    </w:rPr>
  </w:style>
  <w:style w:type="character" w:customStyle="1" w:styleId="61">
    <w:name w:val="批注文字 Char"/>
    <w:link w:val="15"/>
    <w:qFormat/>
    <w:uiPriority w:val="0"/>
    <w:rPr>
      <w:rFonts w:eastAsia="宋体"/>
      <w:kern w:val="2"/>
      <w:sz w:val="21"/>
      <w:szCs w:val="24"/>
      <w:lang w:val="en-US" w:eastAsia="zh-CN" w:bidi="ar-SA"/>
    </w:rPr>
  </w:style>
  <w:style w:type="character" w:customStyle="1" w:styleId="62">
    <w:name w:val="p12"/>
    <w:basedOn w:val="41"/>
    <w:qFormat/>
    <w:uiPriority w:val="0"/>
  </w:style>
  <w:style w:type="character" w:customStyle="1" w:styleId="63">
    <w:name w:val="标题 4 Char"/>
    <w:link w:val="6"/>
    <w:qFormat/>
    <w:uiPriority w:val="0"/>
    <w:rPr>
      <w:rFonts w:ascii="Arial" w:hAnsi="Arial" w:eastAsia="黑体"/>
      <w:b/>
      <w:bCs/>
      <w:kern w:val="2"/>
      <w:sz w:val="28"/>
      <w:szCs w:val="28"/>
      <w:lang w:val="en-US" w:eastAsia="zh-CN" w:bidi="ar-SA"/>
    </w:rPr>
  </w:style>
  <w:style w:type="paragraph" w:customStyle="1" w:styleId="64">
    <w:name w:val="修订1"/>
    <w:qFormat/>
    <w:uiPriority w:val="0"/>
    <w:rPr>
      <w:rFonts w:ascii="Calibri" w:hAnsi="Calibri" w:eastAsia="宋体" w:cs="Times New Roman"/>
      <w:kern w:val="2"/>
      <w:sz w:val="21"/>
      <w:szCs w:val="24"/>
      <w:lang w:val="en-US" w:eastAsia="zh-CN" w:bidi="ar-SA"/>
    </w:rPr>
  </w:style>
  <w:style w:type="paragraph" w:customStyle="1" w:styleId="65">
    <w:name w:val="Char Char Char Char"/>
    <w:basedOn w:val="1"/>
    <w:qFormat/>
    <w:uiPriority w:val="0"/>
    <w:rPr>
      <w:rFonts w:eastAsia="楷体_GB2312"/>
      <w:szCs w:val="20"/>
    </w:rPr>
  </w:style>
  <w:style w:type="paragraph" w:customStyle="1" w:styleId="66">
    <w:name w:val="样式1"/>
    <w:basedOn w:val="1"/>
    <w:next w:val="6"/>
    <w:qFormat/>
    <w:uiPriority w:val="0"/>
    <w:pPr>
      <w:spacing w:line="360" w:lineRule="auto"/>
      <w:ind w:firstLine="420" w:firstLineChars="200"/>
    </w:pPr>
    <w:rPr>
      <w:rFonts w:ascii="宋体" w:hAnsi="宋体"/>
      <w:szCs w:val="21"/>
    </w:rPr>
  </w:style>
  <w:style w:type="paragraph" w:customStyle="1" w:styleId="67">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Cs w:val="0"/>
      <w:sz w:val="32"/>
      <w:szCs w:val="20"/>
    </w:rPr>
  </w:style>
  <w:style w:type="paragraph" w:customStyle="1" w:styleId="68">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9">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70">
    <w:name w:val="样式2"/>
    <w:basedOn w:val="5"/>
    <w:qFormat/>
    <w:uiPriority w:val="0"/>
    <w:rPr>
      <w:i/>
    </w:rPr>
  </w:style>
  <w:style w:type="paragraph" w:customStyle="1" w:styleId="71">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styleId="72">
    <w:name w:val="List Paragraph"/>
    <w:basedOn w:val="1"/>
    <w:qFormat/>
    <w:uiPriority w:val="34"/>
    <w:pPr>
      <w:ind w:firstLine="420" w:firstLineChars="200"/>
    </w:pPr>
    <w:rPr>
      <w:szCs w:val="22"/>
    </w:rPr>
  </w:style>
  <w:style w:type="paragraph" w:customStyle="1" w:styleId="73">
    <w:name w:val="表格"/>
    <w:basedOn w:val="1"/>
    <w:qFormat/>
    <w:uiPriority w:val="0"/>
    <w:pPr>
      <w:jc w:val="center"/>
      <w:textAlignment w:val="center"/>
    </w:pPr>
    <w:rPr>
      <w:rFonts w:ascii="华文细黑" w:hAnsi="华文细黑"/>
      <w:kern w:val="0"/>
      <w:szCs w:val="20"/>
    </w:rPr>
  </w:style>
  <w:style w:type="paragraph" w:customStyle="1" w:styleId="74">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75">
    <w:name w:val="1"/>
    <w:basedOn w:val="1"/>
    <w:qFormat/>
    <w:uiPriority w:val="0"/>
  </w:style>
  <w:style w:type="paragraph" w:customStyle="1" w:styleId="76">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7">
    <w:name w:val="Char"/>
    <w:basedOn w:val="1"/>
    <w:qFormat/>
    <w:uiPriority w:val="0"/>
    <w:pPr>
      <w:tabs>
        <w:tab w:val="left" w:pos="360"/>
      </w:tabs>
    </w:pPr>
    <w:rPr>
      <w:sz w:val="24"/>
    </w:rPr>
  </w:style>
  <w:style w:type="paragraph" w:customStyle="1" w:styleId="78">
    <w:name w:val="表格文字"/>
    <w:basedOn w:val="1"/>
    <w:qFormat/>
    <w:uiPriority w:val="0"/>
    <w:pPr>
      <w:adjustRightInd w:val="0"/>
      <w:spacing w:line="420" w:lineRule="atLeast"/>
      <w:jc w:val="left"/>
      <w:textAlignment w:val="baseline"/>
    </w:pPr>
    <w:rPr>
      <w:kern w:val="0"/>
      <w:szCs w:val="20"/>
    </w:rPr>
  </w:style>
  <w:style w:type="paragraph" w:customStyle="1" w:styleId="79">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列出段落1"/>
    <w:basedOn w:val="1"/>
    <w:qFormat/>
    <w:uiPriority w:val="34"/>
    <w:pPr>
      <w:ind w:firstLine="420" w:firstLineChars="200"/>
    </w:pPr>
    <w:rPr>
      <w:szCs w:val="20"/>
    </w:rPr>
  </w:style>
  <w:style w:type="paragraph" w:customStyle="1" w:styleId="81">
    <w:name w:val="文二"/>
    <w:basedOn w:val="1"/>
    <w:qFormat/>
    <w:uiPriority w:val="0"/>
    <w:pPr>
      <w:jc w:val="left"/>
    </w:pPr>
    <w:rPr>
      <w:rFonts w:ascii="宋体" w:hAnsi="宋体"/>
      <w:szCs w:val="21"/>
    </w:rPr>
  </w:style>
  <w:style w:type="paragraph" w:customStyle="1" w:styleId="82">
    <w:name w:val="样式 标题 3 + 首行缩进:  1.06 厘米"/>
    <w:basedOn w:val="5"/>
    <w:qFormat/>
    <w:uiPriority w:val="0"/>
    <w:pPr>
      <w:spacing w:before="120" w:after="0" w:line="240" w:lineRule="auto"/>
      <w:jc w:val="center"/>
    </w:pPr>
    <w:rPr>
      <w:rFonts w:ascii="宋体" w:cs="宋体"/>
      <w:color w:val="000000"/>
    </w:rPr>
  </w:style>
  <w:style w:type="paragraph" w:customStyle="1" w:styleId="8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4">
    <w:name w:val="表头"/>
    <w:basedOn w:val="1"/>
    <w:qFormat/>
    <w:uiPriority w:val="0"/>
    <w:pPr>
      <w:spacing w:line="360" w:lineRule="auto"/>
      <w:jc w:val="center"/>
    </w:pPr>
    <w:rPr>
      <w:rFonts w:ascii="黑体" w:eastAsia="黑体"/>
      <w:kern w:val="0"/>
      <w:sz w:val="24"/>
      <w:szCs w:val="20"/>
    </w:rPr>
  </w:style>
  <w:style w:type="paragraph" w:customStyle="1" w:styleId="85">
    <w:name w:val="样式 标题 3 + (中文) 黑体 小四 非加粗 段前: 7.8 磅 段后: 0 磅 行距: 固定值 20 磅"/>
    <w:basedOn w:val="5"/>
    <w:qFormat/>
    <w:uiPriority w:val="0"/>
    <w:pPr>
      <w:spacing w:before="0" w:after="0" w:line="400" w:lineRule="exact"/>
    </w:pPr>
    <w:rPr>
      <w:rFonts w:cs="宋体"/>
      <w:bCs w:val="0"/>
      <w:sz w:val="24"/>
      <w:szCs w:val="20"/>
    </w:rPr>
  </w:style>
  <w:style w:type="paragraph" w:customStyle="1" w:styleId="86">
    <w:name w:val="正题"/>
    <w:basedOn w:val="74"/>
    <w:next w:val="74"/>
    <w:qFormat/>
    <w:uiPriority w:val="0"/>
    <w:pPr>
      <w:ind w:firstLine="0" w:firstLineChars="0"/>
      <w:jc w:val="center"/>
    </w:pPr>
    <w:rPr>
      <w:rFonts w:eastAsia="黑体"/>
      <w:b/>
      <w:sz w:val="36"/>
      <w:szCs w:val="36"/>
    </w:rPr>
  </w:style>
  <w:style w:type="paragraph" w:customStyle="1" w:styleId="8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8">
    <w:name w:val="Char1"/>
    <w:basedOn w:val="1"/>
    <w:qFormat/>
    <w:uiPriority w:val="0"/>
    <w:pPr>
      <w:tabs>
        <w:tab w:val="left" w:pos="360"/>
      </w:tabs>
    </w:pPr>
    <w:rPr>
      <w:sz w:val="24"/>
    </w:rPr>
  </w:style>
  <w:style w:type="paragraph" w:customStyle="1" w:styleId="89">
    <w:name w:val="Table Paragraph"/>
    <w:basedOn w:val="1"/>
    <w:qFormat/>
    <w:uiPriority w:val="1"/>
    <w:rPr>
      <w:rFonts w:ascii="宋体" w:hAnsi="宋体" w:cs="宋体"/>
      <w:lang w:val="zh-CN" w:bidi="zh-CN"/>
    </w:rPr>
  </w:style>
  <w:style w:type="paragraph" w:customStyle="1" w:styleId="90">
    <w:name w:val="BodyText"/>
    <w:basedOn w:val="1"/>
    <w:qFormat/>
    <w:uiPriority w:val="0"/>
    <w:pPr>
      <w:spacing w:after="120"/>
    </w:pPr>
    <w:rPr>
      <w:rFonts w:ascii="Times New Roman" w:hAnsi="Times New Roman"/>
      <w:kern w:val="0"/>
      <w:sz w:val="20"/>
      <w:szCs w:val="20"/>
    </w:rPr>
  </w:style>
  <w:style w:type="paragraph" w:customStyle="1" w:styleId="91">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
    <w:name w:val="章节三"/>
    <w:basedOn w:val="1"/>
    <w:next w:val="1"/>
    <w:qFormat/>
    <w:uiPriority w:val="0"/>
    <w:pPr>
      <w:topLinePunct/>
      <w:adjustRightInd w:val="0"/>
      <w:snapToGrid w:val="0"/>
      <w:spacing w:beforeLines="50" w:afterLines="50"/>
      <w:jc w:val="left"/>
      <w:outlineLvl w:val="2"/>
    </w:pPr>
    <w:rPr>
      <w:rFonts w:ascii="黑体" w:hAnsi="宋体" w:eastAsia="黑体"/>
      <w:b/>
      <w:spacing w:val="4"/>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A2A3EA-505D-4B15-8F4C-7E247FF6D470}">
  <ds:schemaRefs/>
</ds:datastoreItem>
</file>

<file path=docProps/app.xml><?xml version="1.0" encoding="utf-8"?>
<Properties xmlns="http://schemas.openxmlformats.org/officeDocument/2006/extended-properties" xmlns:vt="http://schemas.openxmlformats.org/officeDocument/2006/docPropsVTypes">
  <Template>Normal</Template>
  <Pages>51</Pages>
  <Words>15490</Words>
  <Characters>16402</Characters>
  <Lines>153</Lines>
  <Paragraphs>43</Paragraphs>
  <TotalTime>9</TotalTime>
  <ScaleCrop>false</ScaleCrop>
  <LinksUpToDate>false</LinksUpToDate>
  <CharactersWithSpaces>17333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2020-02-17T08:45:00Z</dcterms:created>
  <cp:lastPrinted>2020-03-18T04:32:00Z</cp:lastPrinted>
  <dcterms:modified xsi:type="dcterms:W3CDTF">2023-07-11T02:32:24Z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4704BB2C65BF4CC089C4D2C91E8ED9B0</vt:lpwstr>
  </property>
</Properties>
</file>