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highlight w:val="none"/>
          <w:lang w:eastAsia="zh-CN"/>
        </w:rPr>
        <w:t>广州南沙综合保税区加工区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highlight w:val="none"/>
          <w:lang w:eastAsia="zh-CN"/>
        </w:rPr>
        <w:t>海关交通车租赁招标公告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highlight w:val="none"/>
        </w:rPr>
        <w:t>招标单位：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广州南沙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口岸服务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196"/>
        <w:textAlignment w:val="auto"/>
        <w:rPr>
          <w:rFonts w:ascii="仿宋_GB2312" w:hAnsi="仿宋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highlight w:val="none"/>
        </w:rPr>
        <w:t>二、项目名称：</w:t>
      </w:r>
      <w:r>
        <w:rPr>
          <w:rFonts w:hint="eastAsia" w:ascii="仿宋_GB2312" w:hAnsi="仿宋" w:eastAsia="仿宋_GB2312" w:cs="仿宋"/>
          <w:b w:val="0"/>
          <w:bCs w:val="0"/>
          <w:color w:val="000000"/>
          <w:sz w:val="32"/>
          <w:szCs w:val="32"/>
          <w:highlight w:val="none"/>
          <w:lang w:eastAsia="zh-CN"/>
        </w:rPr>
        <w:t>广州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南沙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综合保税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区加工区海关</w:t>
      </w:r>
      <w:bookmarkStart w:id="1" w:name="_GoBack"/>
      <w:bookmarkEnd w:id="1"/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交通车租赁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textAlignment w:val="auto"/>
        <w:rPr>
          <w:rFonts w:ascii="仿宋_GB2312" w:hAnsi="仿宋" w:eastAsia="仿宋_GB2312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highlight w:val="none"/>
        </w:rPr>
        <w:t>三、</w:t>
      </w:r>
      <w:r>
        <w:rPr>
          <w:rFonts w:hint="eastAsia" w:ascii="仿宋_GB2312" w:hAnsi="仿宋" w:eastAsia="仿宋_GB2312" w:cs="仿宋"/>
          <w:b/>
          <w:color w:val="000000"/>
          <w:sz w:val="32"/>
          <w:szCs w:val="32"/>
          <w:highlight w:val="none"/>
        </w:rPr>
        <w:t>招标项目概况、用车要求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ascii="仿宋_GB2312" w:hAnsi="仿宋" w:eastAsia="仿宋_GB2312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（一）项目概况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广州南沙综合保税区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加工区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位于万顷沙镇九涌半，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地理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位置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较偏僻，公共交通不便。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加工区内的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海关工作人员居住地在广州、番禺和南沙等地，分布较零散，而且其工作人员经常轮换调岗，上下班的交通安排要求灵活性较高。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另外，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海关业务模式复杂，加工区只是南沙海关其中的一个现场办公驻点，日常主要会务、审批等工作以及各部门之间的协调沟通等仍需到南沙海关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（位于南沙区进港大道）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及其他相关单位进行。根据以上情况，需租用两台既能满足上下班需求又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能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方便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海关工作人员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公务出行的车辆。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ascii="仿宋_GB2312" w:eastAsia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用车要求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供两台普通客车，车辆使用登记证登记日期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小于3年和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里程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少于15万公里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的11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座以上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18座以下的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普通客车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日常工作时间为周一至周五7:00-21:00（特殊情况包括假期加班），日常工作业务用车和接送上下班工作，以实际要求为准。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两台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车每月使用里程数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合计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8000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公里左右。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行车路线规定(参考线路)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4.1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往返线路：广州市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工业大道中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404号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广州市海珠区石岗路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32号（保利花园）—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广州市石牌西路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（海关宿舍北区）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—广州市中山八路（南岸路）—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广州市天河区黄埔大道中路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298号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—南沙区政府蕉门地铁站—南沙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综合保税区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加工区（万顷沙九涌半）。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4.2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往返线路：广州市白云机场—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番禺区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丽江花园（洛溪）—番禺区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口岸大街与清河东路交叉口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—番禺区广华南路（东怡新区公交站）—南沙区政府蕉门地铁站—南沙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综合保税区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加工区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（万顷沙九涌半）。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4.3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日常办事临时用车（线路为广州市区、南沙或番禺）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每台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车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核定的乘客座位购买20万元/人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承运人责任险。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6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若在接送人员上下班途中发生交通事故，或车辆机件故障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，须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第一时间派车转接，如不能在30分钟内安排应急车辆到达现场，应安排所有人员转乘出租的士以4人1台按班车指定线路接送，费用由中标单位全额支付。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highlight w:val="none"/>
        </w:rPr>
        <w:t>四、</w:t>
      </w:r>
      <w:r>
        <w:rPr>
          <w:rFonts w:hint="eastAsia" w:ascii="仿宋" w:hAnsi="仿宋" w:eastAsia="仿宋" w:cstheme="minorEastAsia"/>
          <w:b/>
          <w:sz w:val="32"/>
          <w:szCs w:val="32"/>
          <w:highlight w:val="none"/>
        </w:rPr>
        <w:t>投标人资格要求</w:t>
      </w:r>
    </w:p>
    <w:p>
      <w:pPr>
        <w:keepNext w:val="0"/>
        <w:keepLines w:val="0"/>
        <w:pageBreakBefore w:val="0"/>
        <w:widowControl w:val="0"/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（一）必须是中华人民共和国境内注册的企业法人，且营业执照在有效期内。</w:t>
      </w:r>
    </w:p>
    <w:p>
      <w:pPr>
        <w:keepNext w:val="0"/>
        <w:keepLines w:val="0"/>
        <w:pageBreakBefore w:val="0"/>
        <w:widowControl w:val="0"/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（二）必须是从事相关汽车租赁服务的单位。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投标人必须是发票开票单位，且开具的发票必须为增值税专用发票。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）本项目不接受联合体投标。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请投标人结合项目和自身实际、市场因素等进行综合评估并慎重投标，如因投标人原因导致未能履行合约，由此造成的一切后果由投标人承担。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/>
        <w:textAlignment w:val="auto"/>
        <w:rPr>
          <w:rFonts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）禁止关联企业同时投标，即法定代表人或单位负责人为同一个人或者存在直接控股、管理关系的不同供应商，不得同时参加投标。如同时参加，招标人有权拒收其投标文件。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theme="minorEastAsia"/>
          <w:sz w:val="32"/>
          <w:szCs w:val="32"/>
          <w:highlight w:val="none"/>
        </w:rPr>
      </w:pPr>
      <w:r>
        <w:rPr>
          <w:rFonts w:hint="eastAsia" w:ascii="仿宋" w:hAnsi="仿宋" w:eastAsia="仿宋" w:cstheme="minorEastAsia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theme="minorEastAsia"/>
          <w:sz w:val="32"/>
          <w:szCs w:val="32"/>
          <w:highlight w:val="none"/>
        </w:rPr>
        <w:t>、投标报价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theme="minorEastAsia"/>
          <w:b w:val="0"/>
          <w:sz w:val="32"/>
          <w:szCs w:val="32"/>
          <w:highlight w:val="none"/>
        </w:rPr>
      </w:pPr>
      <w:r>
        <w:rPr>
          <w:rFonts w:hint="eastAsia" w:ascii="仿宋" w:hAnsi="仿宋" w:eastAsia="仿宋" w:cstheme="minorEastAsia"/>
          <w:b w:val="0"/>
          <w:sz w:val="32"/>
          <w:szCs w:val="32"/>
          <w:highlight w:val="none"/>
        </w:rPr>
        <w:t>最高限价</w:t>
      </w:r>
      <w:r>
        <w:rPr>
          <w:rFonts w:hint="eastAsia" w:ascii="仿宋" w:hAnsi="仿宋" w:eastAsia="仿宋" w:cstheme="minorEastAsia"/>
          <w:b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hAnsi="仿宋" w:eastAsia="仿宋" w:cstheme="minorEastAsia"/>
          <w:b w:val="0"/>
          <w:sz w:val="32"/>
          <w:szCs w:val="32"/>
          <w:highlight w:val="none"/>
        </w:rPr>
        <w:t>万元/年，超过该报价视为</w:t>
      </w:r>
      <w:r>
        <w:rPr>
          <w:rFonts w:hint="eastAsia" w:ascii="仿宋" w:hAnsi="仿宋" w:eastAsia="仿宋" w:cstheme="minorEastAsia"/>
          <w:b w:val="0"/>
          <w:sz w:val="32"/>
          <w:szCs w:val="32"/>
          <w:highlight w:val="none"/>
          <w:lang w:val="en-US" w:eastAsia="zh-Hans"/>
        </w:rPr>
        <w:t>无效投标</w:t>
      </w:r>
      <w:r>
        <w:rPr>
          <w:rFonts w:hint="eastAsia" w:ascii="仿宋" w:hAnsi="仿宋" w:eastAsia="仿宋" w:cstheme="minorEastAsia"/>
          <w:b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_GB2312" w:cstheme="minorEastAsia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付款方式：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车辆租金每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季度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支付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(每三个月支付一次）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、采购信息发布及结果公告网站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Hlk101642174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广州南沙资产经营集团有限公司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"http://www.gdzbtb.gov.cn/"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http://www.gnao.com.cn/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）。招标公告及文件的修改、补充以广州南沙资产经营集团有限公司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网为准。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招标文件领取方式：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现场领取。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投标人必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提供有效法人证明书、授权委托书、资格证明文件及营业执照复印件（盖公章）方能签领招标文件。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招标文件获取地点：广州市南沙区万顷沙镇广州南沙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综合保税区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加工区管委会大楼五楼503室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、投标文件的递交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投标文件递交的截止时间：202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15:00时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逾期送达的或者未送达指定地点的投标文件，招标人不予受理。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递交投标文件地点：广州市南沙区万顷沙镇广州南沙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综合保税区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加工区管委会大楼五楼503室。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联系人：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陈晓彤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 电话：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39095006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、确认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投标单位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收到本招标文件后，请于202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7: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00（北京时间）以前以书面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盖章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扫描件形式（见《招标公告回执》格式）发送邮件至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692723458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@qq.com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，以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确认是否参加投标。</w:t>
      </w:r>
    </w:p>
    <w:p>
      <w:pPr>
        <w:pStyle w:val="2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5943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7.7pt;height:0pt;width:468pt;z-index:251659264;mso-width-relative:page;mso-height-relative:page;" filled="f" stroked="t" coordsize="21600,21600" o:gfxdata="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HYce7TAAAACAEAAA8AAAAAAAAAAQAg&#10;AAAAIgAAAGRycy9kb3ducmV2LnhtbFBLAQIUABQAAAAIAIdO4kD9Txul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招标公告回执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致广州南沙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口岸服务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我司已收到“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广州南沙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  <w:lang w:eastAsia="zh-CN"/>
        </w:rPr>
        <w:t>综合保税区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highlight w:val="none"/>
        </w:rPr>
        <w:t>加工区海关交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通车租赁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项目”招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标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文件，我司决定  □ 参加 □ 不参加 该项目投标。</w:t>
      </w:r>
    </w:p>
    <w:p>
      <w:pPr>
        <w:pStyle w:val="2"/>
        <w:rPr>
          <w:rFonts w:hint="eastAsia" w:ascii="仿宋_GB2312" w:eastAsia="仿宋_GB2312"/>
          <w:color w:val="000000"/>
          <w:sz w:val="28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投标人名称：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法定代表人：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日     期： 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color w:val="000000"/>
          <w:sz w:val="28"/>
          <w:szCs w:val="28"/>
          <w:highlight w:val="none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、开标评标时间：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开标时间：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10:00时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开标 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开标地点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广东省广州市南沙区龙穴岛口岸大厦18楼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多功能</w:t>
      </w:r>
      <w:r>
        <w:rPr>
          <w:rFonts w:hint="eastAsia" w:ascii="仿宋_GB2312" w:eastAsia="仿宋_GB2312"/>
          <w:color w:val="000000"/>
          <w:sz w:val="32"/>
          <w:szCs w:val="32"/>
        </w:rPr>
        <w:t>会议室。</w:t>
      </w:r>
    </w:p>
    <w:p>
      <w:pPr>
        <w:spacing w:line="500" w:lineRule="exact"/>
        <w:ind w:firstLine="643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十、招标人：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陈晓彤</w:t>
      </w:r>
      <w:r>
        <w:rPr>
          <w:rFonts w:hint="eastAsia" w:ascii="仿宋_GB2312" w:eastAsia="仿宋_GB2312"/>
          <w:color w:val="000000"/>
          <w:sz w:val="32"/>
          <w:szCs w:val="32"/>
        </w:rPr>
        <w:t>，电话：1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3416263862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联系地址：广州市南沙区万顷沙镇沙尾一村迪安路（广州南沙综合保税区加工区管委会大楼5楼503）        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firstLine="3840" w:firstLineChars="1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广州南沙口岸服务有限公司                                   </w:t>
      </w:r>
    </w:p>
    <w:p>
      <w:pPr>
        <w:spacing w:line="500" w:lineRule="exact"/>
        <w:ind w:firstLine="64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13日</w:t>
      </w:r>
    </w:p>
    <w:p>
      <w:pPr>
        <w:pStyle w:val="2"/>
        <w:rPr>
          <w:rFonts w:hint="eastAsia" w:ascii="仿宋_GB2312" w:eastAsia="仿宋_GB2312"/>
          <w:color w:val="000000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E64CB"/>
    <w:multiLevelType w:val="singleLevel"/>
    <w:tmpl w:val="D23E6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03A3"/>
    <w:rsid w:val="01643097"/>
    <w:rsid w:val="15662CA3"/>
    <w:rsid w:val="15E925DB"/>
    <w:rsid w:val="25CC17E4"/>
    <w:rsid w:val="29761E43"/>
    <w:rsid w:val="33823702"/>
    <w:rsid w:val="49A05305"/>
    <w:rsid w:val="4E6D5061"/>
    <w:rsid w:val="530C74C6"/>
    <w:rsid w:val="54DF646B"/>
    <w:rsid w:val="5E884A20"/>
    <w:rsid w:val="67075841"/>
    <w:rsid w:val="69B55AE0"/>
    <w:rsid w:val="6C2563EA"/>
    <w:rsid w:val="6DEF3F2D"/>
    <w:rsid w:val="74537CEB"/>
    <w:rsid w:val="781D1D63"/>
    <w:rsid w:val="7AAE0D8F"/>
    <w:rsid w:val="7E1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line="480" w:lineRule="atLeast"/>
    </w:pPr>
    <w:rPr>
      <w:rFonts w:ascii="楷体_GB2312" w:eastAsia="楷体_GB2312"/>
      <w:b/>
      <w:sz w:val="30"/>
    </w:r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2023-07-11T00:56:00Z</dcterms:created>
  <dc:creator>Administrator</dc:creator>
  <cp:lastModifiedBy>CarolChan_</cp:lastModifiedBy>
  <dcterms:modified xsi:type="dcterms:W3CDTF">2023-07-12T06:31:28Z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