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南横村逸晖路东侧A区2号203至205房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，按照“公开、公平、公正”的原则，通过公开信息，以及公平、公正的竞争程序确定承租人。现将我司拟出租物业，公告如下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广州市南沙区南横村逸晖路东侧A区2号203至205房，合计面积72.22平方米，整租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广州市南沙区南横村逸晖路东侧A区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72.22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1444.4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2888.8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物业费为5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招租物业布局图（黄色区域）如下：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510665" cy="2294255"/>
            <wp:effectExtent l="0" t="0" r="381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1、招租物业按现状出租，租金起价</w:t>
      </w:r>
      <w:r>
        <w:rPr>
          <w:rFonts w:hint="eastAsia" w:ascii="宋体" w:hAnsi="宋体" w:cs="Times New Roman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元/平方米/月，物业费为5元/平方米/月；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1年。租赁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第1</w:t>
      </w:r>
      <w:r>
        <w:rPr>
          <w:rFonts w:hint="eastAsia" w:ascii="宋体" w:hAnsi="宋体"/>
          <w:sz w:val="24"/>
          <w:highlight w:val="none"/>
          <w:u w:val="none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5、物业用途：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前，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须</w:t>
      </w:r>
      <w:r>
        <w:rPr>
          <w:rFonts w:hint="eastAsia" w:ascii="宋体" w:hAnsi="宋体"/>
          <w:sz w:val="24"/>
          <w:highlight w:val="none"/>
          <w:u w:val="none"/>
        </w:rPr>
        <w:t>按要求缴纳保证金到我公司指定账户，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人缴纳保证金后才有资格参加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公开招租</w:t>
      </w:r>
      <w:r>
        <w:rPr>
          <w:rFonts w:hint="eastAsia" w:ascii="宋体" w:hAnsi="宋体"/>
          <w:sz w:val="24"/>
          <w:highlight w:val="none"/>
          <w:u w:val="none"/>
        </w:rPr>
        <w:t>。账户信息如下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6886 7620 6313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1、企业：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2、交纳保证金的银行转账单或收据复印件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（用于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人未中标时退回保证金）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企业为报价人</w:t>
      </w:r>
      <w:r>
        <w:rPr>
          <w:rFonts w:hint="eastAsia" w:ascii="宋体" w:hAnsi="宋体"/>
          <w:sz w:val="24"/>
          <w:highlight w:val="none"/>
          <w:u w:val="none"/>
        </w:rPr>
        <w:t>以上每一项资料需加盖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人单位公章。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五、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收取竞价资料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七、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资料递交地址：广州市南沙区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八、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竞价现场</w:t>
      </w:r>
      <w:r>
        <w:rPr>
          <w:rFonts w:hint="eastAsia" w:ascii="宋体" w:hAnsi="宋体"/>
          <w:sz w:val="24"/>
          <w:highlight w:val="none"/>
          <w:u w:val="none"/>
        </w:rPr>
        <w:t>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  <w:r>
        <w:rPr>
          <w:rFonts w:hint="eastAsia" w:ascii="宋体" w:hAnsi="宋体"/>
          <w:sz w:val="24"/>
          <w:highlight w:val="none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十、</w:t>
      </w:r>
      <w:r>
        <w:rPr>
          <w:rFonts w:hint="eastAsia" w:ascii="宋体" w:hAnsi="宋体"/>
          <w:sz w:val="24"/>
          <w:highlight w:val="none"/>
          <w:u w:val="none"/>
        </w:rPr>
        <w:t>联系人：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张</w:t>
      </w:r>
      <w:r>
        <w:rPr>
          <w:rFonts w:hint="eastAsia" w:ascii="宋体" w:hAnsi="宋体"/>
          <w:sz w:val="24"/>
          <w:highlight w:val="none"/>
          <w:u w:val="none"/>
        </w:rPr>
        <w:t>先生，咨询电话：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13073035611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  <w:highlight w:val="none"/>
          <w:u w:val="none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top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（加盖公章或签名）</w:t>
            </w:r>
          </w:p>
        </w:tc>
        <w:tc>
          <w:tcPr>
            <w:tcW w:w="8024" w:type="dxa"/>
            <w:gridSpan w:val="5"/>
            <w:vAlign w:val="top"/>
          </w:tcPr>
          <w:p>
            <w:pPr>
              <w:jc w:val="left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highlight w:val="none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  <w:vAlign w:val="top"/>
          </w:tcPr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租金报价为每月租金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val="en-US" w:eastAsia="zh-CN"/>
              </w:rPr>
              <w:t>单价</w:t>
            </w:r>
            <w:r>
              <w:rPr>
                <w:rFonts w:ascii="宋体" w:hAnsi="宋体" w:cs="仿宋_GB2312"/>
                <w:sz w:val="24"/>
                <w:highlight w:val="none"/>
                <w:u w:val="none"/>
              </w:rPr>
              <w:t>(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大小写应相符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 w:val="24"/>
                <w:highlight w:val="none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  <w:highlight w:val="none"/>
          <w:u w:val="none"/>
        </w:rPr>
        <w:t>附件2：</w:t>
      </w:r>
      <w:r>
        <w:rPr>
          <w:rFonts w:hint="eastAsia" w:ascii="宋体" w:hAnsi="宋体"/>
          <w:bCs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Cs/>
          <w:sz w:val="24"/>
          <w:highlight w:val="none"/>
          <w:u w:val="none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  <w:r>
        <w:rPr>
          <w:rFonts w:hint="eastAsia" w:ascii="宋体" w:hAnsi="宋体"/>
          <w:b/>
          <w:sz w:val="44"/>
          <w:szCs w:val="4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  <w:highlight w:val="none"/>
          <w:u w:val="none"/>
        </w:rPr>
        <w:t>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项目名称：南横村逸晖路东侧</w:t>
      </w:r>
      <w:r>
        <w:rPr>
          <w:rFonts w:hint="eastAsia" w:ascii="宋体" w:hAnsi="宋体"/>
          <w:sz w:val="24"/>
          <w:lang w:val="en-US" w:eastAsia="zh-CN"/>
        </w:rPr>
        <w:t>A区2号203至205房</w:t>
      </w:r>
      <w:r>
        <w:rPr>
          <w:rFonts w:hint="eastAsia"/>
          <w:bCs/>
          <w:sz w:val="24"/>
          <w:szCs w:val="24"/>
          <w:lang w:val="en-US" w:eastAsia="zh-CN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南横村逸晖路东侧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A区2号203至205房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2CE719B"/>
    <w:rsid w:val="04765BCB"/>
    <w:rsid w:val="05AE1044"/>
    <w:rsid w:val="08C530C6"/>
    <w:rsid w:val="0C3C5092"/>
    <w:rsid w:val="12F91BFA"/>
    <w:rsid w:val="14CD6BCB"/>
    <w:rsid w:val="15413C70"/>
    <w:rsid w:val="15B954D7"/>
    <w:rsid w:val="18197833"/>
    <w:rsid w:val="1AFD4181"/>
    <w:rsid w:val="1B4F3B97"/>
    <w:rsid w:val="1D394795"/>
    <w:rsid w:val="254F434E"/>
    <w:rsid w:val="272939F3"/>
    <w:rsid w:val="2B3E3A73"/>
    <w:rsid w:val="2E2221AF"/>
    <w:rsid w:val="341E252A"/>
    <w:rsid w:val="34BB4EE7"/>
    <w:rsid w:val="34D122A0"/>
    <w:rsid w:val="37644EDD"/>
    <w:rsid w:val="399816E5"/>
    <w:rsid w:val="4032018F"/>
    <w:rsid w:val="46DB3086"/>
    <w:rsid w:val="479D7EE3"/>
    <w:rsid w:val="4A0677F0"/>
    <w:rsid w:val="4EC017DE"/>
    <w:rsid w:val="4FA52DA9"/>
    <w:rsid w:val="50860981"/>
    <w:rsid w:val="570255F2"/>
    <w:rsid w:val="57213A17"/>
    <w:rsid w:val="61662C05"/>
    <w:rsid w:val="61B61EE9"/>
    <w:rsid w:val="61C76BF7"/>
    <w:rsid w:val="626E35CE"/>
    <w:rsid w:val="64A0303B"/>
    <w:rsid w:val="6743095E"/>
    <w:rsid w:val="683E1633"/>
    <w:rsid w:val="6D2C6360"/>
    <w:rsid w:val="70521374"/>
    <w:rsid w:val="716478A3"/>
    <w:rsid w:val="72B658BC"/>
    <w:rsid w:val="75EF4FFC"/>
    <w:rsid w:val="7C3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2022-04-25T01:15:00Z</cp:lastPrinted>
  <dcterms:modified xsi:type="dcterms:W3CDTF">2023-07-14T09:20:58Z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