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ascii="宋体" w:hAnsi="宋体" w:eastAsia="宋体" w:cs="宋体"/>
          <w:color w:val="auto"/>
          <w:sz w:val="72"/>
          <w:szCs w:val="72"/>
          <w:highlight w:val="none"/>
        </w:rPr>
      </w:pPr>
      <w:r>
        <w:rPr>
          <w:rFonts w:hint="eastAsia" w:ascii="宋体" w:hAnsi="宋体" w:eastAsia="黑体"/>
          <w:color w:val="auto"/>
          <w:sz w:val="48"/>
          <w:szCs w:val="48"/>
          <w:highlight w:val="none"/>
          <w:lang w:eastAsia="zh-CN"/>
        </w:rPr>
        <w:t>港口新鲜集市（A地块）项目一期监理</w:t>
      </w: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eastAsia="zh-CN"/>
        </w:rPr>
        <w:t>广州南沙国际物流有限公司</w:t>
      </w:r>
      <w:r>
        <w:rPr>
          <w:rFonts w:hint="eastAsia" w:ascii="宋体" w:hAnsi="宋体" w:eastAsia="宋体" w:cs="宋体"/>
          <w:b/>
          <w:color w:val="auto"/>
          <w:sz w:val="32"/>
          <w:szCs w:val="32"/>
          <w:highlight w:val="none"/>
        </w:rPr>
        <w:t>（业主单位）</w:t>
      </w:r>
    </w:p>
    <w:p>
      <w:pPr>
        <w:spacing w:line="520" w:lineRule="exact"/>
        <w:ind w:right="-101" w:rightChars="-48" w:firstLine="2570" w:firstLineChars="800"/>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sz w:val="32"/>
          <w:szCs w:val="32"/>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2"/>
            <w:tabs>
              <w:tab w:val="right" w:leader="dot" w:pos="9419"/>
            </w:tabs>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_Toc30477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_Toc30477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_Toc17709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_Toc17709 \h </w:instrText>
          </w:r>
          <w:r>
            <w:rPr>
              <w:color w:val="auto"/>
              <w:sz w:val="32"/>
              <w:szCs w:val="32"/>
              <w:highlight w:val="none"/>
            </w:rPr>
            <w:fldChar w:fldCharType="separate"/>
          </w:r>
          <w:r>
            <w:rPr>
              <w:color w:val="auto"/>
              <w:sz w:val="32"/>
              <w:szCs w:val="32"/>
              <w:highlight w:val="none"/>
            </w:rPr>
            <w:t>15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_Toc14259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_Toc14259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_Toc22242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_Toc22242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_Toc11456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_Toc11456 \h </w:instrText>
          </w:r>
          <w:r>
            <w:rPr>
              <w:color w:val="auto"/>
              <w:sz w:val="32"/>
              <w:szCs w:val="32"/>
              <w:highlight w:val="none"/>
            </w:rPr>
            <w:fldChar w:fldCharType="separate"/>
          </w:r>
          <w:r>
            <w:rPr>
              <w:color w:val="auto"/>
              <w:sz w:val="32"/>
              <w:szCs w:val="32"/>
              <w:highlight w:val="none"/>
            </w:rPr>
            <w:t>36</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pPr>
            <w:spacing w:line="360" w:lineRule="auto"/>
            <w:rPr>
              <w:color w:val="auto"/>
              <w:sz w:val="32"/>
              <w:szCs w:val="32"/>
              <w:highlight w:val="none"/>
            </w:rPr>
          </w:pPr>
          <w:r>
            <w:rPr>
              <w:rFonts w:hint="eastAsia" w:asciiTheme="minorEastAsia" w:hAnsiTheme="minorEastAsia" w:cstheme="minorEastAsia"/>
              <w:color w:val="auto"/>
              <w:sz w:val="32"/>
              <w:szCs w:val="32"/>
              <w:highlight w:val="none"/>
            </w:rPr>
            <w:fldChar w:fldCharType="end"/>
          </w:r>
        </w:p>
      </w:sdtContent>
    </w:sdt>
    <w:p>
      <w:pPr>
        <w:pStyle w:val="2"/>
        <w:widowControl/>
        <w:spacing w:after="0" w:line="360" w:lineRule="auto"/>
        <w:ind w:firstLine="0"/>
        <w:rPr>
          <w:rFonts w:ascii="宋体" w:hAnsi="宋体" w:cs="宋体"/>
          <w:color w:val="auto"/>
          <w:sz w:val="32"/>
          <w:szCs w:val="32"/>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sz w:val="32"/>
          <w:szCs w:val="32"/>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2" w:name="_Toc30477"/>
      <w:bookmarkStart w:id="3" w:name="_Toc374128472"/>
      <w:bookmarkStart w:id="4" w:name="_Toc17710"/>
      <w:r>
        <w:rPr>
          <w:rFonts w:hint="eastAsia" w:ascii="黑体" w:hAnsi="宋体" w:cs="黑体"/>
          <w:b/>
          <w:color w:val="auto"/>
          <w:kern w:val="44"/>
          <w:sz w:val="44"/>
          <w:szCs w:val="44"/>
          <w:highlight w:val="none"/>
        </w:rPr>
        <w:t>第1章 投标须知及前附表</w:t>
      </w:r>
      <w:bookmarkEnd w:id="2"/>
      <w:bookmarkEnd w:id="3"/>
      <w:bookmarkEnd w:id="4"/>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港口新鲜集市（A地块）项目一期监理</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广州市南沙区龙穴岛西南侧，毗邻南沙港一期、南沙港四期码头</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tabs>
                <w:tab w:val="center" w:pos="4415"/>
              </w:tabs>
              <w:spacing w:after="0" w:line="384" w:lineRule="auto"/>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项目规划总面积约27950平方米。项目整体策划，分期开发，其中第一期位于地块东南侧，用地面积约15600平方米。一期主要打造进出口水果海鲜商品集市，同时配备餐饮及消费街区，包括集市广场、公共卫生间、绿化景观及配套的给排水、强弱电、灯光照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箱式建筑</w:t>
            </w:r>
            <w:r>
              <w:rPr>
                <w:rFonts w:hint="eastAsia" w:ascii="宋体" w:hAnsi="宋体" w:eastAsia="宋体" w:cs="宋体"/>
                <w:color w:val="auto"/>
                <w:sz w:val="21"/>
                <w:szCs w:val="21"/>
                <w:highlight w:val="none"/>
                <w:lang w:val="en-US" w:eastAsia="zh-CN"/>
              </w:rPr>
              <w:t>安装等</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tabs>
                <w:tab w:val="center" w:pos="4415"/>
              </w:tabs>
              <w:spacing w:after="0" w:line="384" w:lineRule="auto"/>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项目一期投资1150.37万元</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符合现行相关工程施工质量验收规范合格标准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8"/>
              <w:widowControl w:val="0"/>
              <w:spacing w:line="360" w:lineRule="auto"/>
              <w:ind w:firstLine="0" w:firstLineChars="0"/>
              <w:rPr>
                <w:rFonts w:hint="eastAsia" w:ascii="宋体" w:hAnsi="宋体" w:eastAsia="宋体" w:cs="宋体"/>
                <w:color w:val="auto"/>
                <w:kern w:val="0"/>
                <w:sz w:val="21"/>
                <w:szCs w:val="21"/>
                <w:highlight w:val="none"/>
                <w:u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监理范围：</w:t>
            </w:r>
            <w:r>
              <w:rPr>
                <w:rFonts w:hint="eastAsia" w:ascii="宋体" w:hAnsi="宋体" w:eastAsia="宋体" w:cs="宋体"/>
                <w:color w:val="auto"/>
                <w:kern w:val="0"/>
                <w:sz w:val="21"/>
                <w:szCs w:val="21"/>
                <w:highlight w:val="none"/>
                <w:u w:val="none"/>
              </w:rPr>
              <w:t>包括项目施工前期准备、施工管理、投资控制、竣工验收、工程</w:t>
            </w:r>
            <w:r>
              <w:rPr>
                <w:rFonts w:hint="eastAsia" w:ascii="宋体" w:hAnsi="宋体" w:eastAsia="宋体" w:cs="宋体"/>
                <w:color w:val="auto"/>
                <w:kern w:val="0"/>
                <w:sz w:val="21"/>
                <w:szCs w:val="21"/>
                <w:highlight w:val="none"/>
                <w:u w:val="none"/>
                <w:lang w:val="en-US" w:eastAsia="zh-CN"/>
              </w:rPr>
              <w:t>变更、</w:t>
            </w:r>
            <w:r>
              <w:rPr>
                <w:rFonts w:hint="eastAsia" w:ascii="宋体" w:hAnsi="宋体" w:eastAsia="宋体" w:cs="宋体"/>
                <w:color w:val="auto"/>
                <w:kern w:val="0"/>
                <w:sz w:val="21"/>
                <w:szCs w:val="21"/>
                <w:highlight w:val="none"/>
                <w:u w:val="none"/>
              </w:rPr>
              <w:t>结算审核、资产移交、质量保修等工作，并对工程项目进行质量、进度、投资、合同、信息、安全、环保等方面进行有效管理和控制，直至办理竣工验收手续</w:t>
            </w:r>
            <w:r>
              <w:rPr>
                <w:rFonts w:hint="eastAsia" w:ascii="宋体" w:hAnsi="宋体" w:eastAsia="宋体" w:cs="宋体"/>
                <w:color w:val="auto"/>
                <w:kern w:val="0"/>
                <w:sz w:val="21"/>
                <w:szCs w:val="21"/>
                <w:highlight w:val="none"/>
                <w:u w:val="none"/>
                <w:lang w:eastAsia="zh-CN"/>
              </w:rPr>
              <w:t>、</w:t>
            </w:r>
            <w:r>
              <w:rPr>
                <w:rFonts w:hint="eastAsia" w:ascii="宋体" w:hAnsi="宋体" w:eastAsia="宋体" w:cs="宋体"/>
                <w:color w:val="auto"/>
                <w:kern w:val="0"/>
                <w:sz w:val="21"/>
                <w:szCs w:val="21"/>
                <w:highlight w:val="none"/>
                <w:u w:val="none"/>
                <w:lang w:val="en-US" w:eastAsia="zh-CN"/>
              </w:rPr>
              <w:t>工程资料</w:t>
            </w:r>
            <w:r>
              <w:rPr>
                <w:rFonts w:hint="eastAsia" w:ascii="宋体" w:hAnsi="宋体" w:eastAsia="宋体" w:cs="宋体"/>
                <w:color w:val="auto"/>
                <w:kern w:val="0"/>
                <w:sz w:val="21"/>
                <w:szCs w:val="21"/>
                <w:highlight w:val="none"/>
                <w:u w:val="none"/>
              </w:rPr>
              <w:t>和工程结算、质量保修期满等的全过程监理服务和工程相关协调工作。</w:t>
            </w:r>
          </w:p>
          <w:p>
            <w:pPr>
              <w:pStyle w:val="8"/>
              <w:spacing w:line="360" w:lineRule="auto"/>
              <w:rPr>
                <w:rFonts w:hint="eastAsia" w:ascii="宋体" w:hAnsi="宋体" w:eastAsia="宋体" w:cs="宋体"/>
                <w:color w:val="auto"/>
                <w:highlight w:val="none"/>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监理工作内容：</w:t>
            </w:r>
            <w:r>
              <w:rPr>
                <w:rFonts w:hint="eastAsia" w:ascii="宋体" w:hAnsi="宋体" w:eastAsia="宋体" w:cs="宋体"/>
                <w:color w:val="auto"/>
                <w:kern w:val="0"/>
                <w:sz w:val="21"/>
                <w:szCs w:val="21"/>
                <w:highlight w:val="none"/>
                <w:u w:val="none"/>
              </w:rPr>
              <w:t>本项目</w:t>
            </w:r>
            <w:r>
              <w:rPr>
                <w:rFonts w:hint="eastAsia" w:ascii="宋体" w:hAnsi="宋体" w:eastAsia="宋体" w:cs="宋体"/>
                <w:color w:val="auto"/>
                <w:kern w:val="0"/>
                <w:sz w:val="21"/>
                <w:szCs w:val="21"/>
                <w:highlight w:val="none"/>
                <w:u w:val="none"/>
                <w:lang w:val="en-US" w:eastAsia="zh-CN"/>
              </w:rPr>
              <w:t>一期</w:t>
            </w:r>
            <w:r>
              <w:rPr>
                <w:rFonts w:hint="eastAsia" w:ascii="宋体" w:hAnsi="宋体" w:eastAsia="宋体" w:cs="宋体"/>
                <w:color w:val="auto"/>
                <w:kern w:val="0"/>
                <w:sz w:val="21"/>
                <w:szCs w:val="21"/>
                <w:highlight w:val="none"/>
                <w:u w:val="none"/>
              </w:rPr>
              <w:t>工程</w:t>
            </w:r>
            <w:r>
              <w:rPr>
                <w:rFonts w:hint="eastAsia" w:ascii="宋体" w:hAnsi="宋体" w:eastAsia="宋体" w:cs="宋体"/>
                <w:color w:val="auto"/>
                <w:kern w:val="0"/>
                <w:sz w:val="21"/>
                <w:szCs w:val="21"/>
                <w:highlight w:val="none"/>
                <w:u w:val="none"/>
                <w:lang w:val="en-US" w:eastAsia="zh-CN"/>
              </w:rPr>
              <w:t>施工</w:t>
            </w:r>
            <w:r>
              <w:rPr>
                <w:rFonts w:hint="eastAsia" w:ascii="宋体" w:hAnsi="宋体" w:eastAsia="宋体" w:cs="宋体"/>
                <w:color w:val="auto"/>
                <w:kern w:val="0"/>
                <w:sz w:val="21"/>
                <w:szCs w:val="21"/>
                <w:highlight w:val="none"/>
                <w:u w:val="none"/>
                <w:lang w:eastAsia="zh-CN"/>
              </w:rPr>
              <w:t>监理</w:t>
            </w:r>
            <w:r>
              <w:rPr>
                <w:rFonts w:hint="eastAsia" w:ascii="宋体" w:hAnsi="宋体" w:eastAsia="宋体" w:cs="宋体"/>
                <w:color w:val="auto"/>
                <w:kern w:val="0"/>
                <w:sz w:val="21"/>
                <w:szCs w:val="21"/>
                <w:highlight w:val="none"/>
                <w:u w:val="none"/>
              </w:rPr>
              <w:t>及工程</w:t>
            </w:r>
            <w:r>
              <w:rPr>
                <w:rFonts w:hint="eastAsia" w:ascii="宋体" w:hAnsi="宋体" w:eastAsia="宋体" w:cs="宋体"/>
                <w:color w:val="auto"/>
                <w:kern w:val="0"/>
                <w:sz w:val="21"/>
                <w:szCs w:val="21"/>
                <w:highlight w:val="none"/>
                <w:u w:val="none"/>
                <w:lang w:val="en-US" w:eastAsia="zh-CN"/>
              </w:rPr>
              <w:t>保修</w:t>
            </w:r>
            <w:r>
              <w:rPr>
                <w:rFonts w:hint="eastAsia" w:ascii="宋体" w:hAnsi="宋体" w:eastAsia="宋体" w:cs="宋体"/>
                <w:color w:val="auto"/>
                <w:kern w:val="0"/>
                <w:sz w:val="21"/>
                <w:szCs w:val="21"/>
                <w:highlight w:val="none"/>
                <w:u w:val="none"/>
              </w:rPr>
              <w:t>阶段的监理。协助</w:t>
            </w:r>
            <w:r>
              <w:rPr>
                <w:rFonts w:hint="eastAsia" w:ascii="宋体" w:hAnsi="宋体" w:eastAsia="宋体" w:cs="宋体"/>
                <w:color w:val="auto"/>
                <w:kern w:val="0"/>
                <w:sz w:val="21"/>
                <w:szCs w:val="21"/>
                <w:highlight w:val="none"/>
                <w:u w:val="none"/>
                <w:lang w:eastAsia="zh-CN"/>
              </w:rPr>
              <w:t>委托人</w:t>
            </w:r>
            <w:r>
              <w:rPr>
                <w:rFonts w:hint="eastAsia" w:ascii="宋体" w:hAnsi="宋体" w:eastAsia="宋体" w:cs="宋体"/>
                <w:color w:val="auto"/>
                <w:kern w:val="0"/>
                <w:sz w:val="21"/>
                <w:szCs w:val="21"/>
                <w:highlight w:val="none"/>
                <w:u w:val="none"/>
              </w:rPr>
              <w:t>做好开工前准备工作、负责单价和工程计量审查、工程进度款审核、工程进度计划审查、工程施工质量监督、工程施工安全监督、审核竣工资料和工程结算工作，做好施工、保修阶段监理应做的各项工作。</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0"/>
                <w:numId w:val="0"/>
              </w:num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施工准备期、施工期和质量保修期的监理服务期之和</w:t>
            </w:r>
            <w:r>
              <w:rPr>
                <w:rFonts w:hint="eastAsia" w:ascii="宋体" w:hAnsi="宋体" w:eastAsia="宋体" w:cs="宋体"/>
                <w:color w:val="auto"/>
                <w:szCs w:val="21"/>
                <w:highlight w:val="none"/>
                <w:lang w:eastAsia="zh-CN"/>
              </w:rPr>
              <w:t>。</w:t>
            </w:r>
          </w:p>
          <w:p>
            <w:pPr>
              <w:numPr>
                <w:ilvl w:val="0"/>
                <w:numId w:val="0"/>
              </w:numPr>
              <w:spacing w:line="360" w:lineRule="auto"/>
              <w:ind w:firstLine="0"/>
              <w:jc w:val="left"/>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u w:val="none"/>
                <w:lang w:eastAsia="zh-CN"/>
              </w:rPr>
              <w:t>工期：</w:t>
            </w:r>
            <w:r>
              <w:rPr>
                <w:rFonts w:hint="eastAsia" w:ascii="宋体" w:hAnsi="宋体" w:eastAsia="宋体" w:cs="宋体"/>
                <w:color w:val="auto"/>
                <w:sz w:val="21"/>
                <w:szCs w:val="21"/>
                <w:highlight w:val="none"/>
                <w:u w:val="none"/>
                <w:lang w:val="en-US" w:eastAsia="zh-CN"/>
              </w:rPr>
              <w:t>施工期约120日历天 。</w:t>
            </w:r>
            <w:r>
              <w:rPr>
                <w:rFonts w:hint="eastAsia" w:ascii="宋体" w:hAnsi="宋体" w:eastAsia="宋体" w:cs="宋体"/>
                <w:color w:val="auto"/>
                <w:sz w:val="21"/>
                <w:szCs w:val="21"/>
                <w:highlight w:val="none"/>
                <w:u w:val="none"/>
                <w:lang w:eastAsia="zh-CN"/>
              </w:rPr>
              <w:t>开工日期</w:t>
            </w:r>
            <w:r>
              <w:rPr>
                <w:rFonts w:hint="eastAsia" w:ascii="宋体" w:hAnsi="宋体" w:eastAsia="宋体" w:cs="宋体"/>
                <w:color w:val="auto"/>
                <w:sz w:val="21"/>
                <w:szCs w:val="21"/>
                <w:highlight w:val="none"/>
                <w:u w:val="none"/>
                <w:lang w:val="en-US" w:eastAsia="zh-CN"/>
              </w:rPr>
              <w:t>具体</w:t>
            </w:r>
            <w:r>
              <w:rPr>
                <w:rFonts w:hint="eastAsia" w:ascii="宋体" w:hAnsi="宋体" w:eastAsia="宋体" w:cs="宋体"/>
                <w:color w:val="auto"/>
                <w:sz w:val="21"/>
                <w:szCs w:val="21"/>
                <w:highlight w:val="none"/>
                <w:u w:val="none"/>
                <w:lang w:eastAsia="zh-CN"/>
              </w:rPr>
              <w:t>以招标人（含监理人）确认的《开工报告》中确定的日期为准，竣工日期以《竣工验收证明书》上招标人（含监理人）共同确认的“验收通过日期”为准。</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u w:val="none"/>
                <w:lang w:eastAsia="zh-CN"/>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i w:val="0"/>
                <w:iCs w:val="0"/>
                <w:caps w:val="0"/>
                <w:color w:val="auto"/>
                <w:spacing w:val="0"/>
                <w:kern w:val="2"/>
                <w:sz w:val="21"/>
                <w:szCs w:val="21"/>
                <w:highlight w:val="none"/>
                <w:u w:val="none"/>
                <w:shd w:val="clear"/>
                <w:lang w:val="en-US" w:eastAsia="zh-CN" w:bidi="ar"/>
              </w:rPr>
              <w:t>监理乙</w:t>
            </w:r>
            <w:r>
              <w:rPr>
                <w:rFonts w:hint="eastAsia" w:ascii="宋体" w:hAnsi="宋体" w:eastAsia="宋体" w:cs="宋体"/>
                <w:i w:val="0"/>
                <w:iCs w:val="0"/>
                <w:caps w:val="0"/>
                <w:color w:val="auto"/>
                <w:spacing w:val="0"/>
                <w:kern w:val="2"/>
                <w:sz w:val="21"/>
                <w:szCs w:val="21"/>
                <w:highlight w:val="none"/>
                <w:u w:val="none"/>
                <w:shd w:val="clear" w:color="auto" w:fill="auto"/>
                <w:lang w:val="en-US" w:eastAsia="zh-CN" w:bidi="ar"/>
              </w:rPr>
              <w:t>级或以上资质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2"/>
              <w:widowControl/>
              <w:spacing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eastAsia" w:ascii="宋体" w:hAnsi="宋体" w:eastAsia="宋体" w:cs="宋体"/>
                <w:b w:val="0"/>
                <w:bCs w:val="0"/>
                <w:color w:val="auto"/>
                <w:kern w:val="0"/>
                <w:sz w:val="21"/>
                <w:szCs w:val="21"/>
                <w:highlight w:val="none"/>
                <w:u w:val="none"/>
                <w:lang w:bidi="ar-SA"/>
              </w:rPr>
            </w:pPr>
            <w:r>
              <w:rPr>
                <w:rFonts w:hint="eastAsia" w:ascii="宋体" w:hAnsi="宋体" w:eastAsia="宋体" w:cs="宋体"/>
                <w:b w:val="0"/>
                <w:bCs w:val="0"/>
                <w:color w:val="auto"/>
                <w:kern w:val="0"/>
                <w:sz w:val="21"/>
                <w:szCs w:val="21"/>
                <w:highlight w:val="none"/>
                <w:u w:val="none"/>
                <w:lang w:val="en-US" w:eastAsia="zh-CN" w:bidi="ar-SA"/>
              </w:rPr>
              <w:t>1</w:t>
            </w:r>
            <w:r>
              <w:rPr>
                <w:rFonts w:hint="eastAsia" w:ascii="宋体" w:hAnsi="宋体" w:eastAsia="宋体" w:cs="宋体"/>
                <w:b w:val="0"/>
                <w:bCs w:val="0"/>
                <w:color w:val="auto"/>
                <w:kern w:val="0"/>
                <w:sz w:val="21"/>
                <w:szCs w:val="21"/>
                <w:highlight w:val="none"/>
                <w:u w:val="none"/>
                <w:lang w:bidi="ar-SA"/>
              </w:rPr>
              <w:t>、总监理工程师</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i w:val="0"/>
                <w:iCs w:val="0"/>
                <w:caps w:val="0"/>
                <w:color w:val="auto"/>
                <w:spacing w:val="0"/>
                <w:kern w:val="2"/>
                <w:sz w:val="21"/>
                <w:szCs w:val="21"/>
                <w:highlight w:val="none"/>
                <w:u w:val="none"/>
                <w:shd w:val="clear" w:color="auto" w:fill="auto"/>
                <w:lang w:val="en-US" w:eastAsia="zh-CN" w:bidi="ar"/>
              </w:rPr>
              <w:t>类专业中级或以上职称，</w:t>
            </w:r>
            <w:r>
              <w:rPr>
                <w:rFonts w:hint="eastAsia" w:ascii="宋体" w:hAnsi="宋体" w:eastAsia="宋体" w:cs="宋体"/>
                <w:color w:val="auto"/>
                <w:sz w:val="21"/>
                <w:szCs w:val="21"/>
                <w:highlight w:val="none"/>
              </w:rPr>
              <w:t>具有</w:t>
            </w:r>
            <w:r>
              <w:rPr>
                <w:rFonts w:hint="eastAsia" w:ascii="宋体" w:hAnsi="宋体" w:eastAsia="宋体" w:cs="宋体"/>
                <w:color w:val="auto"/>
                <w:sz w:val="21"/>
                <w:szCs w:val="21"/>
                <w:highlight w:val="none"/>
                <w:lang w:eastAsia="zh-CN"/>
              </w:rPr>
              <w:t>房屋建筑工程类</w:t>
            </w:r>
            <w:r>
              <w:rPr>
                <w:rFonts w:hint="eastAsia" w:ascii="宋体" w:hAnsi="宋体" w:eastAsia="宋体" w:cs="宋体"/>
                <w:color w:val="auto"/>
                <w:sz w:val="21"/>
                <w:szCs w:val="21"/>
                <w:highlight w:val="none"/>
              </w:rPr>
              <w:t>注册监理工程师证书。</w:t>
            </w:r>
          </w:p>
          <w:p>
            <w:pPr>
              <w:spacing w:line="360" w:lineRule="auto"/>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pPr>
            <w:r>
              <w:rPr>
                <w:rFonts w:hint="eastAsia" w:ascii="宋体" w:hAnsi="宋体" w:eastAsia="宋体" w:cs="宋体"/>
                <w:b w:val="0"/>
                <w:bCs w:val="0"/>
                <w:color w:val="auto"/>
                <w:kern w:val="0"/>
                <w:sz w:val="21"/>
                <w:szCs w:val="21"/>
                <w:highlight w:val="none"/>
                <w:u w:val="none"/>
                <w:shd w:val="clear"/>
                <w:lang w:val="en-US" w:eastAsia="zh-CN" w:bidi="ar-SA"/>
              </w:rPr>
              <w:t>2、总监代表</w:t>
            </w:r>
            <w:r>
              <w:rPr>
                <w:rFonts w:hint="eastAsia" w:ascii="宋体" w:hAnsi="宋体" w:eastAsia="宋体" w:cs="宋体"/>
                <w:b w:val="0"/>
                <w:bCs w:val="0"/>
                <w:color w:val="auto"/>
                <w:kern w:val="0"/>
                <w:sz w:val="21"/>
                <w:szCs w:val="21"/>
                <w:highlight w:val="none"/>
                <w:u w:val="none"/>
                <w:shd w:val="clear"/>
                <w:lang w:val="en-US" w:eastAsia="zh-CN" w:bidi="ar-SA"/>
              </w:rPr>
              <w:t>2</w:t>
            </w:r>
            <w:r>
              <w:rPr>
                <w:rFonts w:hint="eastAsia" w:ascii="宋体" w:hAnsi="宋体" w:eastAsia="宋体" w:cs="宋体"/>
                <w:b w:val="0"/>
                <w:bCs w:val="0"/>
                <w:color w:val="auto"/>
                <w:kern w:val="0"/>
                <w:sz w:val="21"/>
                <w:szCs w:val="21"/>
                <w:highlight w:val="none"/>
                <w:u w:val="none"/>
                <w:shd w:val="clear"/>
                <w:lang w:val="en-US" w:eastAsia="zh-CN" w:bidi="ar-SA"/>
              </w:rPr>
              <w:t>名，</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具有</w:t>
            </w:r>
            <w:r>
              <w:rPr>
                <w:rFonts w:hint="eastAsia" w:ascii="宋体" w:hAnsi="宋体" w:eastAsia="宋体" w:cs="宋体"/>
                <w:i w:val="0"/>
                <w:iCs w:val="0"/>
                <w:caps w:val="0"/>
                <w:color w:val="auto"/>
                <w:spacing w:val="0"/>
                <w:sz w:val="21"/>
                <w:szCs w:val="21"/>
                <w:highlight w:val="none"/>
                <w:shd w:val="clear"/>
              </w:rPr>
              <w:t>房屋建筑</w:t>
            </w:r>
            <w:r>
              <w:rPr>
                <w:rFonts w:hint="eastAsia" w:ascii="宋体" w:hAnsi="宋体" w:eastAsia="宋体" w:cs="宋体"/>
                <w:i w:val="0"/>
                <w:iCs w:val="0"/>
                <w:caps w:val="0"/>
                <w:color w:val="auto"/>
                <w:spacing w:val="0"/>
                <w:sz w:val="21"/>
                <w:szCs w:val="21"/>
                <w:highlight w:val="none"/>
                <w:shd w:val="clear"/>
                <w:lang w:eastAsia="zh-CN"/>
              </w:rPr>
              <w:t>工程</w:t>
            </w:r>
            <w:r>
              <w:rPr>
                <w:rFonts w:hint="eastAsia" w:ascii="宋体" w:hAnsi="宋体" w:eastAsia="宋体" w:cs="宋体"/>
                <w:b w:val="0"/>
                <w:bCs w:val="0"/>
                <w:i w:val="0"/>
                <w:iCs w:val="0"/>
                <w:caps w:val="0"/>
                <w:color w:val="auto"/>
                <w:spacing w:val="0"/>
                <w:kern w:val="0"/>
                <w:sz w:val="21"/>
                <w:szCs w:val="21"/>
                <w:highlight w:val="none"/>
                <w:u w:val="none"/>
                <w:shd w:val="clear"/>
                <w:lang w:val="en-US" w:eastAsia="zh-CN" w:bidi="ar-SA"/>
              </w:rPr>
              <w:t>类专业中级或以上职称。</w:t>
            </w:r>
          </w:p>
          <w:p>
            <w:pPr>
              <w:spacing w:line="360" w:lineRule="auto"/>
              <w:contextualSpacing w:val="0"/>
              <w:rPr>
                <w:rFonts w:hint="eastAsia" w:ascii="宋体" w:hAnsi="宋体" w:eastAsia="宋体" w:cs="宋体"/>
                <w:color w:val="auto"/>
                <w:szCs w:val="21"/>
                <w:highlight w:val="none"/>
              </w:rPr>
            </w:pPr>
            <w:r>
              <w:rPr>
                <w:rFonts w:hint="eastAsia" w:ascii="宋体" w:hAnsi="宋体" w:eastAsia="宋体" w:cs="宋体"/>
                <w:b w:val="0"/>
                <w:bCs w:val="0"/>
                <w:color w:val="auto"/>
                <w:kern w:val="0"/>
                <w:sz w:val="21"/>
                <w:szCs w:val="21"/>
                <w:highlight w:val="none"/>
                <w:u w:val="none"/>
                <w:lang w:val="en-US" w:eastAsia="zh-CN" w:bidi="ar-SA"/>
              </w:rPr>
              <w:t>3、</w:t>
            </w:r>
            <w:r>
              <w:rPr>
                <w:rFonts w:hint="eastAsia" w:ascii="宋体" w:hAnsi="宋体" w:eastAsia="宋体" w:cs="宋体"/>
                <w:b w:val="0"/>
                <w:bCs w:val="0"/>
                <w:color w:val="auto"/>
                <w:kern w:val="0"/>
                <w:sz w:val="21"/>
                <w:szCs w:val="21"/>
                <w:highlight w:val="none"/>
                <w:u w:val="none"/>
                <w:lang w:bidi="ar-SA"/>
              </w:rPr>
              <w:t>监理员</w:t>
            </w:r>
            <w:r>
              <w:rPr>
                <w:rFonts w:hint="eastAsia" w:ascii="宋体" w:hAnsi="宋体" w:eastAsia="宋体" w:cs="宋体"/>
                <w:b w:val="0"/>
                <w:bCs w:val="0"/>
                <w:color w:val="auto"/>
                <w:kern w:val="0"/>
                <w:sz w:val="21"/>
                <w:szCs w:val="21"/>
                <w:highlight w:val="none"/>
                <w:u w:val="none"/>
                <w:lang w:val="en-US" w:eastAsia="zh-CN" w:bidi="ar-SA"/>
              </w:rPr>
              <w:t>2</w:t>
            </w:r>
            <w:r>
              <w:rPr>
                <w:rFonts w:hint="eastAsia" w:ascii="宋体" w:hAnsi="宋体" w:eastAsia="宋体" w:cs="宋体"/>
                <w:b w:val="0"/>
                <w:bCs w:val="0"/>
                <w:color w:val="auto"/>
                <w:kern w:val="0"/>
                <w:sz w:val="21"/>
                <w:szCs w:val="21"/>
                <w:highlight w:val="none"/>
                <w:u w:val="none"/>
                <w:lang w:bidi="ar-SA"/>
              </w:rPr>
              <w:t>名，具有监理员岗位证书</w:t>
            </w:r>
            <w:r>
              <w:rPr>
                <w:rFonts w:hint="eastAsia" w:ascii="宋体" w:hAnsi="宋体" w:eastAsia="宋体" w:cs="宋体"/>
                <w:b w:val="0"/>
                <w:bCs w:val="0"/>
                <w:color w:val="auto"/>
                <w:kern w:val="0"/>
                <w:sz w:val="21"/>
                <w:szCs w:val="21"/>
                <w:highlight w:val="none"/>
                <w:u w:val="none"/>
                <w:lang w:eastAsia="zh-CN" w:bidi="ar-SA"/>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6"/>
              <w:numPr>
                <w:ilvl w:val="-1"/>
                <w:numId w:val="0"/>
              </w:numPr>
              <w:spacing w:line="360" w:lineRule="auto"/>
              <w:ind w:firstLine="0" w:firstLineChars="0"/>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本次监理费招标控制价</w:t>
            </w:r>
            <w:r>
              <w:rPr>
                <w:rFonts w:hint="eastAsia" w:ascii="宋体" w:hAnsi="宋体" w:eastAsia="宋体" w:cs="宋体"/>
                <w:color w:val="auto"/>
                <w:sz w:val="21"/>
                <w:szCs w:val="21"/>
                <w:highlight w:val="none"/>
                <w:u w:val="none"/>
              </w:rPr>
              <w:t>为¥</w:t>
            </w:r>
            <w:r>
              <w:rPr>
                <w:rFonts w:hint="eastAsia" w:ascii="宋体" w:hAnsi="宋体" w:eastAsia="宋体" w:cs="宋体"/>
                <w:b w:val="0"/>
                <w:bCs w:val="0"/>
                <w:color w:val="auto"/>
                <w:sz w:val="21"/>
                <w:szCs w:val="21"/>
                <w:highlight w:val="none"/>
                <w:lang w:val="en-US" w:eastAsia="zh-CN"/>
              </w:rPr>
              <w:t>149572.70</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，参照</w:t>
            </w:r>
            <w:r>
              <w:rPr>
                <w:rFonts w:hint="eastAsia" w:ascii="宋体" w:hAnsi="宋体" w:eastAsia="宋体" w:cs="宋体"/>
                <w:color w:val="auto"/>
                <w:sz w:val="21"/>
                <w:szCs w:val="21"/>
                <w:highlight w:val="none"/>
                <w:u w:val="none"/>
              </w:rPr>
              <w:t>发改办价格[2007]670号文件</w:t>
            </w:r>
            <w:r>
              <w:rPr>
                <w:rFonts w:hint="eastAsia" w:ascii="宋体" w:hAnsi="宋体" w:eastAsia="宋体" w:cs="宋体"/>
                <w:color w:val="auto"/>
                <w:sz w:val="21"/>
                <w:szCs w:val="21"/>
                <w:highlight w:val="none"/>
                <w:u w:val="none"/>
                <w:lang w:eastAsia="zh-CN"/>
              </w:rPr>
              <w:t>为计费标准，</w:t>
            </w:r>
            <w:r>
              <w:rPr>
                <w:rFonts w:hint="eastAsia" w:ascii="宋体" w:hAnsi="宋体" w:eastAsia="宋体" w:cs="宋体"/>
                <w:color w:val="auto"/>
                <w:sz w:val="21"/>
                <w:szCs w:val="21"/>
                <w:highlight w:val="none"/>
                <w:u w:val="none"/>
              </w:rPr>
              <w:t>暂按</w:t>
            </w:r>
            <w:r>
              <w:rPr>
                <w:rFonts w:hint="eastAsia" w:ascii="宋体" w:hAnsi="宋体" w:eastAsia="宋体" w:cs="宋体"/>
                <w:color w:val="auto"/>
                <w:sz w:val="21"/>
                <w:szCs w:val="21"/>
                <w:highlight w:val="none"/>
                <w:u w:val="none"/>
                <w:lang w:eastAsia="zh-CN"/>
              </w:rPr>
              <w:t>建安工程费</w:t>
            </w:r>
            <w:r>
              <w:rPr>
                <w:rFonts w:hint="eastAsia" w:ascii="宋体" w:hAnsi="宋体" w:eastAsia="宋体" w:cs="宋体"/>
                <w:b w:val="0"/>
                <w:bCs w:val="0"/>
                <w:color w:val="auto"/>
                <w:sz w:val="21"/>
                <w:szCs w:val="21"/>
                <w:highlight w:val="none"/>
                <w:lang w:val="en-US" w:eastAsia="zh-CN"/>
              </w:rPr>
              <w:t>755.97</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为计费基数，结合系数（</w:t>
            </w:r>
            <w:r>
              <w:rPr>
                <w:rFonts w:hint="eastAsia" w:ascii="宋体" w:hAnsi="宋体" w:eastAsia="宋体" w:cs="宋体"/>
                <w:color w:val="auto"/>
                <w:sz w:val="21"/>
                <w:szCs w:val="21"/>
                <w:highlight w:val="none"/>
                <w:u w:val="none"/>
              </w:rPr>
              <w:t>专业调整系数取1.</w:t>
            </w:r>
            <w:r>
              <w:rPr>
                <w:rFonts w:hint="eastAsia" w:ascii="宋体" w:hAnsi="宋体" w:eastAsia="宋体" w:cs="宋体"/>
                <w:color w:val="auto"/>
                <w:sz w:val="21"/>
                <w:szCs w:val="21"/>
                <w:highlight w:val="none"/>
                <w:u w:val="none"/>
                <w:lang w:val="en-US" w:eastAsia="zh-CN"/>
              </w:rPr>
              <w:t>0</w:t>
            </w:r>
            <w:r>
              <w:rPr>
                <w:rFonts w:hint="eastAsia" w:ascii="宋体" w:hAnsi="宋体" w:eastAsia="宋体" w:cs="宋体"/>
                <w:color w:val="auto"/>
                <w:sz w:val="21"/>
                <w:szCs w:val="21"/>
                <w:highlight w:val="none"/>
                <w:u w:val="none"/>
              </w:rPr>
              <w:t>，工程复杂程度调整系数取</w:t>
            </w:r>
            <w:r>
              <w:rPr>
                <w:rFonts w:hint="eastAsia" w:ascii="宋体" w:hAnsi="宋体" w:eastAsia="宋体" w:cs="宋体"/>
                <w:color w:val="auto"/>
                <w:sz w:val="21"/>
                <w:szCs w:val="21"/>
                <w:highlight w:val="none"/>
                <w:u w:val="none"/>
                <w:lang w:eastAsia="zh-CN"/>
              </w:rPr>
              <w:t>0</w:t>
            </w:r>
            <w:r>
              <w:rPr>
                <w:rFonts w:hint="eastAsia" w:ascii="宋体" w:hAnsi="宋体" w:eastAsia="宋体" w:cs="宋体"/>
                <w:color w:val="auto"/>
                <w:sz w:val="21"/>
                <w:szCs w:val="21"/>
                <w:highlight w:val="none"/>
                <w:u w:val="none"/>
                <w:lang w:val="en-US" w:eastAsia="zh-CN"/>
              </w:rPr>
              <w:t>.85</w:t>
            </w:r>
            <w:r>
              <w:rPr>
                <w:rFonts w:hint="eastAsia" w:ascii="宋体" w:hAnsi="宋体" w:eastAsia="宋体" w:cs="宋体"/>
                <w:color w:val="auto"/>
                <w:sz w:val="21"/>
                <w:szCs w:val="21"/>
                <w:highlight w:val="none"/>
                <w:u w:val="none"/>
              </w:rPr>
              <w:t>，高程调整系数取1.0</w:t>
            </w:r>
            <w:r>
              <w:rPr>
                <w:rFonts w:hint="eastAsia" w:ascii="宋体" w:hAnsi="宋体" w:eastAsia="宋体" w:cs="宋体"/>
                <w:color w:val="auto"/>
                <w:sz w:val="21"/>
                <w:szCs w:val="21"/>
                <w:highlight w:val="none"/>
                <w:u w:val="none"/>
                <w:lang w:eastAsia="zh-CN"/>
              </w:rPr>
              <w:t>）计算得出监理</w:t>
            </w:r>
            <w:r>
              <w:rPr>
                <w:rFonts w:hint="eastAsia" w:ascii="宋体" w:hAnsi="宋体" w:eastAsia="宋体" w:cs="宋体"/>
                <w:color w:val="auto"/>
                <w:sz w:val="21"/>
                <w:szCs w:val="21"/>
                <w:highlight w:val="none"/>
                <w:u w:val="none"/>
                <w:lang w:val="en-US" w:eastAsia="zh-CN"/>
              </w:rPr>
              <w:t>收费基准价（</w:t>
            </w:r>
            <w:r>
              <w:rPr>
                <w:rFonts w:hint="eastAsia" w:ascii="宋体" w:hAnsi="宋体" w:eastAsia="宋体" w:cs="宋体"/>
                <w:b w:val="0"/>
                <w:bCs w:val="0"/>
                <w:color w:val="auto"/>
                <w:sz w:val="21"/>
                <w:szCs w:val="21"/>
                <w:highlight w:val="none"/>
                <w:lang w:val="en-US" w:eastAsia="zh-CN"/>
              </w:rPr>
              <w:t>199430.26</w:t>
            </w:r>
            <w:r>
              <w:rPr>
                <w:rFonts w:hint="eastAsia" w:ascii="宋体" w:hAnsi="宋体" w:eastAsia="宋体" w:cs="宋体"/>
                <w:color w:val="auto"/>
                <w:sz w:val="21"/>
                <w:szCs w:val="21"/>
                <w:highlight w:val="none"/>
                <w:u w:val="none"/>
                <w:lang w:val="en-US" w:eastAsia="zh-CN"/>
              </w:rPr>
              <w:t>元）</w:t>
            </w:r>
            <w:r>
              <w:rPr>
                <w:rFonts w:hint="eastAsia" w:ascii="宋体" w:hAnsi="宋体" w:eastAsia="宋体" w:cs="宋体"/>
                <w:color w:val="auto"/>
                <w:sz w:val="21"/>
                <w:szCs w:val="21"/>
                <w:highlight w:val="none"/>
                <w:u w:val="none"/>
              </w:rPr>
              <w:t>，下浮</w:t>
            </w:r>
            <w:r>
              <w:rPr>
                <w:rFonts w:hint="eastAsia" w:ascii="宋体" w:hAnsi="宋体" w:eastAsia="宋体" w:cs="宋体"/>
                <w:color w:val="auto"/>
                <w:sz w:val="21"/>
                <w:szCs w:val="21"/>
                <w:highlight w:val="none"/>
                <w:u w:val="none"/>
                <w:lang w:val="en-US" w:eastAsia="zh-CN"/>
              </w:rPr>
              <w:t>25</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none"/>
                <w:lang w:eastAsia="zh-CN"/>
              </w:rPr>
              <w:t>得出</w:t>
            </w:r>
            <w:r>
              <w:rPr>
                <w:rFonts w:hint="eastAsia" w:ascii="宋体" w:hAnsi="宋体" w:eastAsia="宋体" w:cs="宋体"/>
                <w:color w:val="auto"/>
                <w:sz w:val="21"/>
                <w:szCs w:val="21"/>
                <w:highlight w:val="none"/>
                <w:u w:val="none"/>
              </w:rPr>
              <w:t>。</w:t>
            </w:r>
          </w:p>
          <w:p>
            <w:pPr>
              <w:pStyle w:val="6"/>
              <w:spacing w:line="360" w:lineRule="auto"/>
              <w:ind w:firstLine="0" w:firstLine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0"/>
                <w:sz w:val="21"/>
                <w:szCs w:val="21"/>
                <w:highlight w:val="none"/>
                <w:u w:val="none"/>
              </w:rPr>
              <w:t>投标</w:t>
            </w:r>
            <w:r>
              <w:rPr>
                <w:rFonts w:hint="eastAsia" w:ascii="宋体" w:hAnsi="宋体" w:eastAsia="宋体" w:cs="宋体"/>
                <w:color w:val="auto"/>
                <w:kern w:val="0"/>
                <w:sz w:val="21"/>
                <w:szCs w:val="21"/>
                <w:highlight w:val="none"/>
                <w:u w:val="none"/>
                <w:lang w:eastAsia="zh-CN"/>
              </w:rPr>
              <w:t>报价不得高于招标控制价，否则</w:t>
            </w:r>
            <w:r>
              <w:rPr>
                <w:rFonts w:hint="eastAsia" w:ascii="宋体" w:hAnsi="宋体" w:eastAsia="宋体" w:cs="宋体"/>
                <w:color w:val="auto"/>
                <w:kern w:val="0"/>
                <w:sz w:val="21"/>
                <w:szCs w:val="21"/>
                <w:highlight w:val="none"/>
                <w:u w:val="none"/>
              </w:rPr>
              <w:t>按废标处理。</w:t>
            </w:r>
            <w:r>
              <w:rPr>
                <w:rFonts w:hint="eastAsia" w:ascii="宋体" w:hAnsi="宋体" w:eastAsia="宋体" w:cs="宋体"/>
                <w:color w:val="auto"/>
                <w:kern w:val="2"/>
                <w:sz w:val="21"/>
                <w:szCs w:val="21"/>
                <w:highlight w:val="none"/>
                <w:lang w:val="en-US" w:eastAsia="zh-CN"/>
              </w:rPr>
              <w:t>监理投标下浮率=1-（监理报价/监理收费基准价</w:t>
            </w:r>
            <w:r>
              <w:rPr>
                <w:rFonts w:hint="eastAsia" w:ascii="宋体" w:hAnsi="宋体" w:eastAsia="宋体" w:cs="宋体"/>
                <w:b w:val="0"/>
                <w:bCs w:val="0"/>
                <w:color w:val="auto"/>
                <w:sz w:val="21"/>
                <w:szCs w:val="21"/>
                <w:highlight w:val="none"/>
                <w:lang w:val="en-US" w:eastAsia="zh-CN"/>
              </w:rPr>
              <w:t>199430.26</w:t>
            </w:r>
            <w:r>
              <w:rPr>
                <w:rFonts w:hint="eastAsia" w:ascii="宋体" w:hAnsi="宋体" w:eastAsia="宋体" w:cs="宋体"/>
                <w:color w:val="auto"/>
                <w:sz w:val="21"/>
                <w:szCs w:val="21"/>
                <w:highlight w:val="none"/>
                <w:u w:val="none"/>
                <w:lang w:val="en-US" w:eastAsia="zh-CN"/>
              </w:rPr>
              <w:t>元</w:t>
            </w:r>
            <w:r>
              <w:rPr>
                <w:rFonts w:hint="eastAsia" w:ascii="宋体" w:hAnsi="宋体" w:eastAsia="宋体" w:cs="宋体"/>
                <w:color w:val="auto"/>
                <w:kern w:val="2"/>
                <w:sz w:val="21"/>
                <w:szCs w:val="21"/>
                <w:highlight w:val="none"/>
                <w:lang w:val="en-US" w:eastAsia="zh-CN"/>
              </w:rPr>
              <w:t>）*100%。</w:t>
            </w:r>
          </w:p>
          <w:p>
            <w:pPr>
              <w:pStyle w:val="6"/>
              <w:spacing w:line="360" w:lineRule="auto"/>
              <w:ind w:firstLine="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监理费结算价参照发改办价格[2007]670号文件为计费标准，以经过审核确认的建安工程结算价（不含箱式建筑采购及安装费用）为计费基数，结合系数（专业调整系数取1.0，工程复杂程度调整系数取0.85，高程调整系数取1.0）计算</w:t>
            </w:r>
            <w:r>
              <w:rPr>
                <w:rFonts w:hint="eastAsia" w:ascii="宋体" w:hAnsi="宋体" w:eastAsia="宋体" w:cs="宋体"/>
                <w:color w:val="auto"/>
                <w:sz w:val="21"/>
                <w:szCs w:val="21"/>
                <w:highlight w:val="none"/>
                <w:u w:val="none"/>
                <w:lang w:eastAsia="zh-CN"/>
              </w:rPr>
              <w:t>得出监理</w:t>
            </w:r>
            <w:r>
              <w:rPr>
                <w:rFonts w:hint="eastAsia" w:ascii="宋体" w:hAnsi="宋体" w:eastAsia="宋体" w:cs="宋体"/>
                <w:color w:val="auto"/>
                <w:sz w:val="21"/>
                <w:szCs w:val="21"/>
                <w:highlight w:val="none"/>
                <w:u w:val="none"/>
                <w:lang w:val="en-US" w:eastAsia="zh-CN"/>
              </w:rPr>
              <w:t>收费基准价，再乘以</w:t>
            </w:r>
            <w:r>
              <w:rPr>
                <w:rFonts w:hint="eastAsia" w:ascii="宋体" w:hAnsi="宋体" w:eastAsia="宋体" w:cs="宋体"/>
                <w:color w:val="auto"/>
                <w:kern w:val="2"/>
                <w:sz w:val="21"/>
                <w:szCs w:val="21"/>
                <w:highlight w:val="none"/>
                <w:lang w:val="en-US" w:eastAsia="zh-CN"/>
              </w:rPr>
              <w:t>中标下浮率得出结算价。</w:t>
            </w:r>
          </w:p>
          <w:p>
            <w:pPr>
              <w:pStyle w:val="6"/>
              <w:widowControl/>
              <w:spacing w:before="0" w:line="240" w:lineRule="auto"/>
              <w:ind w:right="0" w:rightChars="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计算公式：结算价=监理收费基准价*（1-中标下浮率）。</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u w:val="single"/>
                <w:lang w:eastAsia="zh-CN"/>
              </w:rPr>
              <w:t>伍仟</w:t>
            </w:r>
            <w:r>
              <w:rPr>
                <w:rFonts w:hint="eastAsia" w:ascii="宋体" w:hAnsi="宋体" w:eastAsia="宋体" w:cs="宋体"/>
                <w:color w:val="auto"/>
                <w:sz w:val="21"/>
                <w:szCs w:val="21"/>
                <w:highlight w:val="none"/>
              </w:rPr>
              <w:t>元。</w:t>
            </w:r>
          </w:p>
          <w:p>
            <w:pPr>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w:t>
            </w:r>
            <w:r>
              <w:rPr>
                <w:rFonts w:hint="eastAsia" w:ascii="宋体" w:hAnsi="宋体" w:eastAsia="宋体" w:cs="宋体"/>
                <w:color w:val="auto"/>
                <w:sz w:val="21"/>
                <w:szCs w:val="21"/>
                <w:highlight w:val="none"/>
                <w:u w:val="none"/>
                <w:lang w:val="en-US" w:eastAsia="zh-CN"/>
              </w:rPr>
              <w:t>月</w:t>
            </w:r>
            <w:r>
              <w:rPr>
                <w:rFonts w:hint="eastAsia" w:ascii="宋体" w:hAnsi="宋体" w:eastAsia="宋体" w:cs="宋体"/>
                <w:color w:val="auto"/>
                <w:sz w:val="21"/>
                <w:szCs w:val="21"/>
                <w:highlight w:val="none"/>
                <w:u w:val="none"/>
                <w:lang w:val="en-US" w:eastAsia="zh-CN"/>
              </w:rPr>
              <w:t>19</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w:t>
            </w:r>
            <w:r>
              <w:rPr>
                <w:rFonts w:hint="eastAsia" w:ascii="宋体" w:hAnsi="宋体" w:eastAsia="宋体" w:cs="宋体"/>
                <w:color w:val="auto"/>
                <w:sz w:val="21"/>
                <w:szCs w:val="21"/>
                <w:highlight w:val="none"/>
                <w:u w:val="none"/>
                <w:lang w:val="en-US" w:eastAsia="zh-CN"/>
              </w:rPr>
              <w:t>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lang w:eastAsia="zh-CN"/>
              </w:rPr>
              <w:t>港口新鲜集市（A地块）项目一期</w:t>
            </w:r>
            <w:r>
              <w:rPr>
                <w:rFonts w:hint="eastAsia" w:ascii="宋体" w:hAnsi="宋体" w:eastAsia="宋体" w:cs="宋体"/>
                <w:color w:val="auto"/>
                <w:szCs w:val="21"/>
                <w:highlight w:val="none"/>
                <w:lang w:eastAsia="zh-CN"/>
              </w:rPr>
              <w:t>监理</w:t>
            </w:r>
            <w:r>
              <w:rPr>
                <w:rFonts w:hint="eastAsia" w:ascii="宋体" w:hAnsi="宋体" w:eastAsia="宋体" w:cs="宋体"/>
                <w:color w:val="auto"/>
                <w:sz w:val="21"/>
                <w:szCs w:val="21"/>
                <w:highlight w:val="none"/>
              </w:rPr>
              <w:t>投标保证金】</w:t>
            </w:r>
          </w:p>
          <w:p>
            <w:pPr>
              <w:pStyle w:val="2"/>
              <w:widowControl/>
              <w:spacing w:beforeAutospacing="0"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2"/>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0分至202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0分前</w:t>
            </w:r>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0分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60" w:lineRule="auto"/>
              <w:rPr>
                <w:rFonts w:hint="eastAsia" w:ascii="宋体" w:hAnsi="宋体" w:eastAsia="宋体" w:cs="宋体"/>
                <w:b w:val="0"/>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1.4 “承包商”指被招标人接受并与其签订承包合同的当事人</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“投标文件”指投标人根据本招标文件向招标人提交的全部文件。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单位承担</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服务期要求：见投标须知前附表第7项。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11.1投标文件目录</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11.2投标函（按招标文件第2章格式填写）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11.3服务承诺书（按招标文件第2章格式填写）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11.5公司法人营业执照及资质证书复印件</w:t>
      </w:r>
      <w:r>
        <w:rPr>
          <w:rFonts w:hint="eastAsia" w:ascii="宋体" w:hAnsi="宋体" w:eastAsia="宋体" w:cs="宋体"/>
          <w:color w:val="auto"/>
          <w:sz w:val="24"/>
          <w:highlight w:val="none"/>
          <w:lang w:eastAsia="zh-CN"/>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lang w:val="en-US" w:eastAsia="zh-CN"/>
        </w:rPr>
        <w:t>证书</w:t>
      </w:r>
      <w:r>
        <w:rPr>
          <w:rFonts w:hint="eastAsia" w:ascii="宋体" w:hAnsi="宋体" w:eastAsia="宋体" w:cs="宋体"/>
          <w:color w:val="auto"/>
          <w:sz w:val="24"/>
          <w:highlight w:val="none"/>
        </w:rPr>
        <w:t>复印件</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年</w:t>
      </w:r>
      <w:r>
        <w:rPr>
          <w:rFonts w:hint="eastAsia" w:ascii="宋体" w:hAnsi="宋体" w:eastAsia="宋体" w:cs="宋体"/>
          <w:color w:val="auto"/>
          <w:sz w:val="24"/>
          <w:highlight w:val="none"/>
        </w:rPr>
        <w:t>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相关经验及业绩（按招标文件第2章格式填写）；</w:t>
      </w:r>
    </w:p>
    <w:p>
      <w:pPr>
        <w:pStyle w:val="8"/>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11.12报价表</w:t>
      </w:r>
      <w:r>
        <w:rPr>
          <w:rFonts w:hint="eastAsia" w:hAnsi="宋体" w:cs="宋体"/>
          <w:color w:val="auto"/>
          <w:sz w:val="24"/>
          <w:highlight w:val="none"/>
          <w:lang w:eastAsia="zh-CN"/>
        </w:rPr>
        <w:t>；</w:t>
      </w:r>
    </w:p>
    <w:p>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 xml:space="preserve">11.13 </w:t>
      </w:r>
      <w:r>
        <w:rPr>
          <w:rFonts w:hint="eastAsia" w:hAnsi="宋体" w:cs="宋体"/>
          <w:color w:val="auto"/>
          <w:sz w:val="24"/>
          <w:highlight w:val="none"/>
          <w:lang w:eastAsia="zh-CN"/>
        </w:rPr>
        <w:t>监理大纲（作为技术标单独成册）；</w:t>
      </w:r>
    </w:p>
    <w:p>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w:t>
      </w:r>
      <w:r>
        <w:rPr>
          <w:rFonts w:hint="eastAsia" w:hAnsi="宋体" w:cs="宋体"/>
          <w:color w:val="auto"/>
          <w:sz w:val="24"/>
          <w:highlight w:val="none"/>
          <w:lang w:eastAsia="zh-CN"/>
        </w:rPr>
        <w:t>需带有</w:t>
      </w:r>
      <w:r>
        <w:rPr>
          <w:rFonts w:hint="eastAsia" w:hAnsi="宋体" w:cs="宋体"/>
          <w:color w:val="auto"/>
          <w:sz w:val="24"/>
          <w:highlight w:val="none"/>
          <w:lang w:val="en-US" w:eastAsia="zh-CN"/>
        </w:rPr>
        <w:t>公司印章，</w:t>
      </w:r>
      <w:r>
        <w:rPr>
          <w:rFonts w:hAnsi="宋体" w:cs="宋体"/>
          <w:color w:val="auto"/>
          <w:sz w:val="24"/>
          <w:highlight w:val="none"/>
        </w:rPr>
        <w:t>刻录光盘或提供U盘）</w:t>
      </w:r>
      <w:r>
        <w:rPr>
          <w:rFonts w:hint="eastAsia" w:hAnsi="宋体" w:cs="宋体"/>
          <w:color w:val="auto"/>
          <w:sz w:val="24"/>
          <w:highlight w:val="none"/>
          <w:lang w:eastAsia="zh-CN"/>
        </w:rPr>
        <w:t>；</w:t>
      </w:r>
    </w:p>
    <w:p>
      <w:pPr>
        <w:pStyle w:val="8"/>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投标人认为需要提交的其他资料。</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w:t>
      </w:r>
      <w:r>
        <w:rPr>
          <w:rFonts w:hint="eastAsia" w:ascii="宋体" w:hAnsi="宋体" w:cs="宋体"/>
          <w:color w:val="auto"/>
          <w:sz w:val="24"/>
          <w:szCs w:val="24"/>
          <w:highlight w:val="none"/>
          <w:lang w:eastAsia="zh-CN"/>
        </w:rPr>
        <w:t>报</w:t>
      </w:r>
      <w:r>
        <w:rPr>
          <w:rFonts w:hint="eastAsia" w:ascii="宋体" w:hAnsi="宋体" w:cs="宋体"/>
          <w:color w:val="auto"/>
          <w:sz w:val="24"/>
          <w:szCs w:val="24"/>
          <w:highlight w:val="none"/>
        </w:rPr>
        <w:t>价不得超过最高投标限价，否则按废标处理）。（小数点后保留二位小数，第三位小数四舍五入）</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投标文件的包封要求：商务标一正四副、技术标一正四副及电子文件一起包封。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评标小组依据投标须知前附表第20项规定的评标标准和方法，详见本招标文件《评标办法》，对投标文件进行评审和比较，向招标人提出书面评标报告，并推荐经评审投标</w:t>
      </w:r>
      <w:r>
        <w:rPr>
          <w:rFonts w:hint="eastAsia" w:ascii="宋体" w:hAnsi="宋体" w:eastAsia="宋体" w:cs="宋体"/>
          <w:color w:val="auto"/>
          <w:sz w:val="24"/>
          <w:highlight w:val="none"/>
          <w:lang w:eastAsia="zh-CN"/>
        </w:rPr>
        <w:t>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hint="default"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4"/>
        <w:widowControl/>
        <w:spacing w:before="0" w:after="0" w:line="360" w:lineRule="auto"/>
        <w:jc w:val="center"/>
        <w:rPr>
          <w:rFonts w:ascii="黑体" w:hAnsi="宋体" w:cs="黑体"/>
          <w:b/>
          <w:color w:val="auto"/>
          <w:kern w:val="44"/>
          <w:sz w:val="44"/>
          <w:szCs w:val="44"/>
          <w:highlight w:val="none"/>
        </w:rPr>
      </w:pPr>
      <w:bookmarkStart w:id="5" w:name="_Toc374128473"/>
      <w:bookmarkEnd w:id="5"/>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6" w:name="_Toc17709"/>
      <w:bookmarkStart w:id="7" w:name="_Toc32057"/>
      <w:r>
        <w:rPr>
          <w:rFonts w:hint="eastAsia" w:ascii="黑体" w:hAnsi="宋体" w:cs="黑体"/>
          <w:b/>
          <w:color w:val="auto"/>
          <w:kern w:val="44"/>
          <w:sz w:val="44"/>
          <w:szCs w:val="44"/>
          <w:highlight w:val="none"/>
        </w:rPr>
        <w:t>第2章  投标格式文件</w:t>
      </w:r>
      <w:bookmarkEnd w:id="6"/>
      <w:bookmarkEnd w:id="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港口新鲜集市（A地块）项目一期监理</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广州南沙国际物流有限公司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8" w:name="_Toc216145749"/>
      <w:bookmarkEnd w:id="8"/>
      <w:bookmarkStart w:id="9" w:name="_Toc223342668"/>
      <w:bookmarkEnd w:id="9"/>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10" w:name="_Toc172416501"/>
      <w:bookmarkEnd w:id="10"/>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1" w:name="_Toc216145759"/>
      <w:bookmarkEnd w:id="11"/>
      <w:bookmarkStart w:id="1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2"/>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广州南沙国际物流有限公司</w:t>
      </w:r>
      <w:r>
        <w:rPr>
          <w:rFonts w:hint="eastAsia" w:ascii="宋体" w:hAnsi="宋体" w:eastAsia="宋体" w:cs="宋体"/>
          <w:color w:val="auto"/>
          <w:sz w:val="24"/>
          <w:highlight w:val="none"/>
          <w:u w:val="single"/>
        </w:rPr>
        <w:t>、广州南沙建设维护管理有限公司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港口新鲜集市（A地块）项目一期监理</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各专业人员</w:t>
      </w:r>
      <w:r>
        <w:rPr>
          <w:rFonts w:hint="eastAsia" w:ascii="宋体" w:hAnsi="宋体" w:eastAsia="宋体" w:cs="宋体"/>
          <w:color w:val="auto"/>
          <w:sz w:val="24"/>
          <w:szCs w:val="24"/>
          <w:highlight w:val="none"/>
        </w:rPr>
        <w:t>随工程</w:t>
      </w:r>
      <w:r>
        <w:rPr>
          <w:rFonts w:hint="eastAsia" w:ascii="宋体" w:hAnsi="宋体" w:eastAsia="宋体" w:cs="宋体"/>
          <w:color w:val="auto"/>
          <w:sz w:val="24"/>
          <w:szCs w:val="24"/>
          <w:highlight w:val="none"/>
          <w:lang w:eastAsia="zh-CN"/>
        </w:rPr>
        <w:t>进展</w:t>
      </w:r>
      <w:r>
        <w:rPr>
          <w:rFonts w:hint="eastAsia" w:ascii="宋体" w:hAnsi="宋体" w:eastAsia="宋体" w:cs="宋体"/>
          <w:color w:val="auto"/>
          <w:sz w:val="24"/>
          <w:szCs w:val="24"/>
          <w:highlight w:val="none"/>
        </w:rPr>
        <w:t>情况按业主要求进行调配</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3" w:name="_Toc415833503"/>
      <w:bookmarkEnd w:id="13"/>
      <w:bookmarkStart w:id="14" w:name="_Toc196130013"/>
      <w:bookmarkEnd w:id="14"/>
      <w:bookmarkStart w:id="15" w:name="_Toc196036941"/>
      <w:bookmarkEnd w:id="15"/>
      <w:bookmarkStart w:id="16" w:name="_Toc41822703"/>
      <w:bookmarkEnd w:id="16"/>
      <w:bookmarkStart w:id="17" w:name="_Toc197235848"/>
      <w:bookmarkEnd w:id="17"/>
      <w:bookmarkStart w:id="18" w:name="_Toc415728297"/>
      <w:bookmarkEnd w:id="18"/>
      <w:bookmarkStart w:id="19" w:name="_Toc459403394"/>
      <w:bookmarkEnd w:id="19"/>
      <w:bookmarkStart w:id="20" w:name="_Toc196037097"/>
      <w:bookmarkEnd w:id="20"/>
      <w:bookmarkStart w:id="21" w:name="_Toc326909213"/>
      <w:bookmarkEnd w:id="21"/>
      <w:bookmarkStart w:id="22" w:name="_Toc199647675"/>
      <w:bookmarkEnd w:id="22"/>
      <w:bookmarkStart w:id="23" w:name="_Toc196130110"/>
      <w:bookmarkEnd w:id="23"/>
      <w:bookmarkStart w:id="24" w:name="_Toc462911098"/>
      <w:r>
        <w:rPr>
          <w:rFonts w:hint="eastAsia" w:ascii="宋体" w:hAnsi="宋体" w:eastAsia="宋体" w:cs="黑体"/>
          <w:b/>
          <w:color w:val="auto"/>
          <w:spacing w:val="4"/>
          <w:kern w:val="0"/>
          <w:sz w:val="28"/>
          <w:szCs w:val="28"/>
          <w:highlight w:val="none"/>
        </w:rPr>
        <w:t>格式五</w:t>
      </w:r>
      <w:bookmarkEnd w:id="24"/>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5" w:name="_Toc41822704"/>
      <w:bookmarkEnd w:id="25"/>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：附上</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公司架构图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公司负责人、公司分管负责人、</w:t>
            </w:r>
            <w:r>
              <w:rPr>
                <w:rFonts w:hint="eastAsia" w:ascii="仿宋" w:hAnsi="仿宋" w:eastAsia="仿宋" w:cs="仿宋"/>
                <w:color w:val="auto"/>
                <w:sz w:val="24"/>
                <w:highlight w:val="none"/>
                <w:lang w:eastAsia="zh-CN"/>
              </w:rPr>
              <w:t>监理</w:t>
            </w:r>
            <w:r>
              <w:rPr>
                <w:rFonts w:hint="eastAsia" w:ascii="仿宋" w:hAnsi="仿宋" w:eastAsia="仿宋" w:cs="仿宋"/>
                <w:color w:val="auto"/>
                <w:sz w:val="24"/>
                <w:highlight w:val="none"/>
              </w:rPr>
              <w:t>部门负责人名称及其联系电话</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szCs w:val="24"/>
                <w:highlight w:val="none"/>
              </w:rPr>
              <w:t>企业资质、营业执照复印件</w:t>
            </w:r>
            <w:r>
              <w:rPr>
                <w:rFonts w:hint="eastAsia" w:ascii="仿宋" w:hAnsi="仿宋" w:eastAsia="仿宋" w:cs="仿宋"/>
                <w:color w:val="auto"/>
                <w:sz w:val="24"/>
                <w:szCs w:val="24"/>
                <w:highlight w:val="none"/>
                <w:lang w:eastAsia="zh-CN"/>
              </w:rPr>
              <w:t>。</w:t>
            </w:r>
          </w:p>
        </w:tc>
      </w:tr>
    </w:tbl>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6" w:name="_Toc196036942"/>
      <w:bookmarkEnd w:id="26"/>
      <w:bookmarkStart w:id="27" w:name="_Toc196130014"/>
      <w:bookmarkEnd w:id="27"/>
      <w:bookmarkStart w:id="28" w:name="_Toc196130111"/>
      <w:bookmarkEnd w:id="28"/>
      <w:bookmarkStart w:id="29" w:name="_Toc197235849"/>
      <w:bookmarkEnd w:id="29"/>
      <w:bookmarkStart w:id="30" w:name="_Toc196037098"/>
      <w:bookmarkEnd w:id="30"/>
      <w:bookmarkStart w:id="31" w:name="_Toc415728298"/>
      <w:bookmarkEnd w:id="31"/>
      <w:bookmarkStart w:id="32" w:name="_Toc199647676"/>
      <w:bookmarkEnd w:id="32"/>
      <w:bookmarkStart w:id="33" w:name="_Toc326909214"/>
      <w:bookmarkEnd w:id="33"/>
      <w:bookmarkStart w:id="34" w:name="_Toc459403395"/>
      <w:bookmarkEnd w:id="34"/>
      <w:bookmarkStart w:id="35" w:name="_Toc415833504"/>
      <w:bookmarkEnd w:id="35"/>
      <w:bookmarkStart w:id="36" w:name="_Toc462911099"/>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pStyle w:val="6"/>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6"/>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eastAsia="zh-CN"/>
        </w:rPr>
        <w:t>201</w:t>
      </w:r>
      <w:r>
        <w:rPr>
          <w:rFonts w:hint="eastAsia" w:ascii="仿宋" w:hAnsi="仿宋" w:eastAsia="仿宋" w:cs="仿宋"/>
          <w:color w:val="auto"/>
          <w:kern w:val="24"/>
          <w:sz w:val="24"/>
          <w:highlight w:val="none"/>
          <w:lang w:val="en-US" w:eastAsia="zh-CN"/>
        </w:rPr>
        <w:t>8</w:t>
      </w:r>
      <w:r>
        <w:rPr>
          <w:rFonts w:hint="eastAsia" w:ascii="仿宋" w:hAnsi="仿宋" w:eastAsia="仿宋" w:cs="仿宋"/>
          <w:color w:val="auto"/>
          <w:kern w:val="24"/>
          <w:sz w:val="24"/>
          <w:highlight w:val="none"/>
          <w:lang w:eastAsia="zh-CN"/>
        </w:rPr>
        <w:t>年</w:t>
      </w:r>
      <w:r>
        <w:rPr>
          <w:rFonts w:hint="eastAsia" w:ascii="仿宋" w:hAnsi="仿宋" w:eastAsia="仿宋" w:cs="仿宋"/>
          <w:color w:val="auto"/>
          <w:kern w:val="24"/>
          <w:sz w:val="24"/>
          <w:highlight w:val="none"/>
        </w:rPr>
        <w:t>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7" w:name="_Toc199647677"/>
      <w:bookmarkEnd w:id="37"/>
      <w:bookmarkStart w:id="38" w:name="_Toc196130112"/>
      <w:bookmarkEnd w:id="38"/>
      <w:bookmarkStart w:id="39" w:name="_Toc197235850"/>
      <w:bookmarkEnd w:id="39"/>
      <w:bookmarkStart w:id="40" w:name="_Toc196130015"/>
      <w:bookmarkEnd w:id="40"/>
      <w:bookmarkStart w:id="41" w:name="_Toc196036943"/>
      <w:bookmarkEnd w:id="41"/>
      <w:bookmarkStart w:id="42" w:name="_Toc41822705"/>
      <w:bookmarkEnd w:id="42"/>
      <w:bookmarkStart w:id="43" w:name="_Toc196037099"/>
      <w:bookmarkEnd w:id="43"/>
      <w:bookmarkStart w:id="44" w:name="_Toc326909215"/>
      <w:r>
        <w:rPr>
          <w:rFonts w:hint="eastAsia" w:ascii="仿宋" w:hAnsi="仿宋" w:eastAsia="仿宋" w:cs="仿宋"/>
          <w:b/>
          <w:bCs/>
          <w:color w:val="auto"/>
          <w:kern w:val="24"/>
          <w:sz w:val="36"/>
          <w:szCs w:val="36"/>
          <w:highlight w:val="none"/>
        </w:rPr>
        <w:t>业绩一览表</w:t>
      </w:r>
      <w:bookmarkEnd w:id="44"/>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总监代表</w:t>
      </w:r>
      <w:r>
        <w:rPr>
          <w:rFonts w:hint="eastAsia" w:ascii="仿宋" w:hAnsi="仿宋" w:eastAsia="仿宋" w:cs="仿宋"/>
          <w:color w:val="auto"/>
          <w:szCs w:val="21"/>
          <w:highlight w:val="none"/>
        </w:rPr>
        <w:t>）等。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lang w:eastAsia="zh-CN"/>
        </w:rPr>
        <w:t>总监理工程师</w:t>
      </w:r>
      <w:r>
        <w:rPr>
          <w:rFonts w:hint="eastAsia" w:ascii="仿宋" w:hAnsi="仿宋" w:eastAsia="仿宋" w:cs="宋体"/>
          <w:b/>
          <w:color w:val="auto"/>
          <w:sz w:val="36"/>
          <w:szCs w:val="36"/>
          <w:highlight w:val="none"/>
        </w:rPr>
        <w:t>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pPr>
        <w:ind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3、业绩证明资料（如有）须提供：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89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933"/>
        <w:gridCol w:w="2700"/>
        <w:gridCol w:w="1932"/>
        <w:gridCol w:w="2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94"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资质等级</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及证书号</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283"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监理费</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报价（元）</w:t>
            </w:r>
          </w:p>
        </w:tc>
        <w:tc>
          <w:tcPr>
            <w:tcW w:w="7034" w:type="dxa"/>
            <w:gridSpan w:val="3"/>
            <w:noWrap w:val="0"/>
            <w:tcMar>
              <w:top w:w="0" w:type="dxa"/>
              <w:left w:w="108" w:type="dxa"/>
              <w:bottom w:w="0" w:type="dxa"/>
              <w:right w:w="108" w:type="dxa"/>
            </w:tcMar>
            <w:vAlign w:val="center"/>
          </w:tcPr>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p>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下浮率：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6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监理服务期</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按招标文件要求</w:t>
            </w: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监理质量目标</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restart"/>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拟委派的项目总监理工程师</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姓    名</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技术职称</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注册证号</w:t>
            </w:r>
          </w:p>
        </w:tc>
        <w:tc>
          <w:tcPr>
            <w:tcW w:w="4334" w:type="dxa"/>
            <w:gridSpan w:val="2"/>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680" w:hRule="atLeast"/>
          <w:jc w:val="center"/>
        </w:trPr>
        <w:tc>
          <w:tcPr>
            <w:tcW w:w="1933"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投标人法定</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700"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本项目的授权</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402" w:type="dxa"/>
            <w:noWrap w:val="0"/>
            <w:tcMar>
              <w:top w:w="0" w:type="dxa"/>
              <w:left w:w="108" w:type="dxa"/>
              <w:bottom w:w="0" w:type="dxa"/>
              <w:right w:w="108" w:type="dxa"/>
            </w:tcMar>
            <w:vAlign w:val="center"/>
          </w:tcPr>
          <w:p>
            <w:pPr>
              <w:widowControl/>
              <w:snapToGrid w:val="0"/>
              <w:spacing w:line="360" w:lineRule="auto"/>
              <w:ind w:right="-108"/>
              <w:jc w:val="center"/>
              <w:rPr>
                <w:rFonts w:hint="eastAsia" w:ascii="仿宋" w:hAnsi="仿宋" w:eastAsia="仿宋" w:cs="仿宋"/>
                <w:color w:val="auto"/>
                <w:sz w:val="24"/>
                <w:szCs w:val="24"/>
                <w:highlight w:val="none"/>
              </w:rPr>
            </w:pPr>
          </w:p>
        </w:tc>
      </w:tr>
    </w:tbl>
    <w:p>
      <w:pPr>
        <w:pStyle w:val="8"/>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8"/>
        <w:spacing w:line="360" w:lineRule="auto"/>
        <w:rPr>
          <w:rFonts w:hint="default" w:hAnsi="宋体" w:cs="宋体"/>
          <w:bCs/>
          <w:color w:val="auto"/>
          <w:highlight w:val="none"/>
        </w:rPr>
      </w:pPr>
      <w:r>
        <w:rPr>
          <w:rFonts w:hAnsi="宋体" w:cs="宋体"/>
          <w:bCs/>
          <w:color w:val="auto"/>
          <w:highlight w:val="none"/>
        </w:rPr>
        <w:t>（1）投标总报价的大写金额和小写金额不一致的，以大写金额为准，投标报价精确到小数点后两位</w:t>
      </w:r>
      <w:r>
        <w:rPr>
          <w:rFonts w:hint="eastAsia" w:hAnsi="宋体" w:cs="宋体"/>
          <w:bCs/>
          <w:color w:val="auto"/>
          <w:highlight w:val="none"/>
          <w:lang w:eastAsia="zh-CN"/>
        </w:rPr>
        <w:t>（四舍五入）</w:t>
      </w:r>
      <w:r>
        <w:rPr>
          <w:rFonts w:hAnsi="宋体" w:cs="宋体"/>
          <w:bCs/>
          <w:color w:val="auto"/>
          <w:highlight w:val="none"/>
        </w:rPr>
        <w:t>。</w:t>
      </w:r>
    </w:p>
    <w:p>
      <w:pPr>
        <w:spacing w:line="360" w:lineRule="auto"/>
        <w:rPr>
          <w:rFonts w:hAnsi="宋体"/>
          <w:b/>
          <w:color w:val="auto"/>
          <w:highlight w:val="none"/>
        </w:rPr>
      </w:pPr>
      <w:r>
        <w:rPr>
          <w:rFonts w:hint="eastAsia" w:ascii="宋体" w:hAnsi="宋体" w:eastAsia="宋体" w:cs="宋体"/>
          <w:bCs/>
          <w:color w:val="auto"/>
          <w:szCs w:val="21"/>
          <w:highlight w:val="none"/>
        </w:rPr>
        <w:t>（2）</w:t>
      </w:r>
      <w:r>
        <w:rPr>
          <w:rFonts w:hint="eastAsia" w:ascii="宋体" w:hAnsi="宋体" w:eastAsia="宋体" w:cs="宋体"/>
          <w:bCs/>
          <w:color w:val="auto"/>
          <w:kern w:val="2"/>
          <w:sz w:val="21"/>
          <w:szCs w:val="21"/>
          <w:highlight w:val="none"/>
          <w:u w:val="none"/>
        </w:rPr>
        <w:t>投标</w:t>
      </w:r>
      <w:r>
        <w:rPr>
          <w:rFonts w:hint="eastAsia" w:ascii="宋体" w:hAnsi="宋体" w:eastAsia="宋体" w:cs="宋体"/>
          <w:bCs/>
          <w:color w:val="auto"/>
          <w:kern w:val="2"/>
          <w:sz w:val="21"/>
          <w:szCs w:val="21"/>
          <w:highlight w:val="none"/>
          <w:u w:val="none"/>
          <w:lang w:eastAsia="zh-CN"/>
        </w:rPr>
        <w:t>报价不得高于招标控制价，否则</w:t>
      </w:r>
      <w:r>
        <w:rPr>
          <w:rFonts w:hint="eastAsia" w:ascii="宋体" w:hAnsi="宋体" w:eastAsia="宋体" w:cs="宋体"/>
          <w:bCs/>
          <w:color w:val="auto"/>
          <w:kern w:val="2"/>
          <w:sz w:val="21"/>
          <w:szCs w:val="21"/>
          <w:highlight w:val="none"/>
          <w:u w:val="none"/>
        </w:rPr>
        <w:t>按废标处理。</w:t>
      </w:r>
      <w:r>
        <w:rPr>
          <w:rFonts w:hint="eastAsia" w:ascii="宋体" w:hAnsi="宋体" w:eastAsia="宋体" w:cs="宋体"/>
          <w:bCs/>
          <w:color w:val="auto"/>
          <w:kern w:val="2"/>
          <w:sz w:val="21"/>
          <w:szCs w:val="21"/>
          <w:highlight w:val="none"/>
          <w:lang w:val="en-US" w:eastAsia="zh-CN"/>
        </w:rPr>
        <w:t>监理投标下浮率=1-（监理报价/监理收费基准价</w:t>
      </w:r>
      <w:r>
        <w:rPr>
          <w:rFonts w:hint="eastAsia" w:ascii="宋体" w:hAnsi="宋体" w:eastAsia="宋体" w:cs="宋体"/>
          <w:b w:val="0"/>
          <w:bCs/>
          <w:color w:val="auto"/>
          <w:sz w:val="21"/>
          <w:szCs w:val="21"/>
          <w:highlight w:val="none"/>
          <w:lang w:val="en-US" w:eastAsia="zh-CN"/>
        </w:rPr>
        <w:t>199430.26</w:t>
      </w:r>
      <w:r>
        <w:rPr>
          <w:rFonts w:hint="eastAsia" w:ascii="宋体" w:hAnsi="宋体" w:eastAsia="宋体" w:cs="宋体"/>
          <w:bCs/>
          <w:color w:val="auto"/>
          <w:sz w:val="21"/>
          <w:szCs w:val="21"/>
          <w:highlight w:val="none"/>
          <w:u w:val="none"/>
          <w:lang w:val="en-US" w:eastAsia="zh-CN"/>
        </w:rPr>
        <w:t>元</w:t>
      </w:r>
      <w:r>
        <w:rPr>
          <w:rFonts w:hint="eastAsia" w:ascii="宋体" w:hAnsi="宋体" w:eastAsia="宋体" w:cs="宋体"/>
          <w:bCs/>
          <w:color w:val="auto"/>
          <w:kern w:val="2"/>
          <w:sz w:val="21"/>
          <w:szCs w:val="21"/>
          <w:highlight w:val="none"/>
          <w:lang w:val="en-US" w:eastAsia="zh-CN"/>
        </w:rPr>
        <w:t>）</w:t>
      </w:r>
      <w:r>
        <w:rPr>
          <w:rFonts w:hint="eastAsia" w:ascii="宋体" w:hAnsi="宋体" w:eastAsia="宋体" w:cs="宋体"/>
          <w:bCs/>
          <w:color w:val="auto"/>
          <w:kern w:val="2"/>
          <w:sz w:val="21"/>
          <w:szCs w:val="21"/>
          <w:highlight w:val="none"/>
          <w:lang w:val="en-US" w:eastAsia="zh-CN"/>
        </w:rPr>
        <w:t>*100%。</w:t>
      </w:r>
    </w:p>
    <w:p>
      <w:pPr>
        <w:jc w:val="left"/>
        <w:rPr>
          <w:rFonts w:hint="eastAsia"/>
          <w:b/>
          <w:color w:val="auto"/>
          <w:sz w:val="24"/>
          <w:highlight w:val="none"/>
        </w:rPr>
      </w:pPr>
      <w:r>
        <w:rPr>
          <w:rFonts w:hint="eastAsia"/>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rPr>
      </w:pPr>
    </w:p>
    <w:p>
      <w:pPr>
        <w:spacing w:line="72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8"/>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widowControl/>
        <w:spacing w:before="0" w:after="0" w:line="360" w:lineRule="auto"/>
        <w:jc w:val="center"/>
        <w:rPr>
          <w:rFonts w:ascii="黑体" w:hAnsi="宋体" w:cs="黑体"/>
          <w:b/>
          <w:color w:val="auto"/>
          <w:kern w:val="44"/>
          <w:sz w:val="44"/>
          <w:szCs w:val="44"/>
          <w:highlight w:val="none"/>
        </w:rPr>
      </w:pPr>
      <w:bookmarkStart w:id="45" w:name="_Toc374128477"/>
      <w:bookmarkEnd w:id="45"/>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p>
    <w:p>
      <w:pPr>
        <w:pStyle w:val="4"/>
        <w:widowControl/>
        <w:spacing w:before="0" w:after="0" w:line="360" w:lineRule="auto"/>
        <w:jc w:val="center"/>
        <w:rPr>
          <w:rFonts w:ascii="黑体" w:hAnsi="宋体" w:cs="黑体"/>
          <w:b/>
          <w:color w:val="auto"/>
          <w:kern w:val="44"/>
          <w:sz w:val="44"/>
          <w:szCs w:val="44"/>
          <w:highlight w:val="none"/>
        </w:rPr>
      </w:pPr>
      <w:bookmarkStart w:id="46" w:name="_Toc1265"/>
      <w:bookmarkStart w:id="47" w:name="_Toc14259"/>
      <w:r>
        <w:rPr>
          <w:rFonts w:hint="eastAsia" w:ascii="黑体" w:hAnsi="宋体" w:cs="黑体"/>
          <w:b/>
          <w:color w:val="auto"/>
          <w:kern w:val="44"/>
          <w:sz w:val="44"/>
          <w:szCs w:val="44"/>
          <w:highlight w:val="none"/>
        </w:rPr>
        <w:t>第3章 评标办法</w:t>
      </w:r>
      <w:bookmarkEnd w:id="46"/>
      <w:bookmarkEnd w:id="47"/>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w:t>
      </w:r>
      <w:r>
        <w:rPr>
          <w:rFonts w:hint="eastAsia" w:ascii="仿宋" w:hAnsi="仿宋" w:eastAsia="仿宋" w:cs="仿宋"/>
          <w:color w:val="auto"/>
          <w:sz w:val="28"/>
          <w:szCs w:val="28"/>
          <w:highlight w:val="none"/>
          <w:lang w:eastAsia="zh-CN"/>
        </w:rPr>
        <w:t>监理</w:t>
      </w:r>
      <w:r>
        <w:rPr>
          <w:rFonts w:hint="eastAsia" w:ascii="仿宋" w:hAnsi="仿宋" w:eastAsia="仿宋" w:cs="仿宋"/>
          <w:color w:val="auto"/>
          <w:sz w:val="28"/>
          <w:szCs w:val="28"/>
          <w:highlight w:val="none"/>
        </w:rPr>
        <w:t>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8"/>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8"/>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w:t>
      </w:r>
      <w:r>
        <w:rPr>
          <w:rFonts w:hint="eastAsia" w:ascii="仿宋" w:hAnsi="仿宋" w:eastAsia="仿宋" w:cs="仿宋"/>
          <w:color w:val="auto"/>
          <w:sz w:val="28"/>
          <w:szCs w:val="28"/>
          <w:highlight w:val="none"/>
          <w:lang w:eastAsia="zh-CN"/>
        </w:rPr>
        <w:t>总监理工程师</w:t>
      </w:r>
      <w:r>
        <w:rPr>
          <w:rFonts w:hint="eastAsia" w:ascii="仿宋" w:hAnsi="仿宋" w:eastAsia="仿宋" w:cs="仿宋"/>
          <w:color w:val="auto"/>
          <w:sz w:val="28"/>
          <w:szCs w:val="28"/>
          <w:highlight w:val="none"/>
        </w:rPr>
        <w:t>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pStyle w:val="8"/>
        <w:rPr>
          <w:rFonts w:hint="default" w:ascii="仿宋" w:hAnsi="仿宋" w:eastAsia="仿宋" w:cs="仿宋"/>
          <w:color w:val="auto"/>
          <w:sz w:val="28"/>
          <w:szCs w:val="28"/>
          <w:highlight w:val="none"/>
        </w:rPr>
      </w:pPr>
    </w:p>
    <w:p>
      <w:pPr>
        <w:pStyle w:val="8"/>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8" w:name="OLE_LINK3"/>
      <w:bookmarkEnd w:id="48"/>
      <w:r>
        <w:rPr>
          <w:rFonts w:ascii="仿宋" w:hAnsi="仿宋" w:eastAsia="仿宋" w:cs="仿宋"/>
          <w:b/>
          <w:color w:val="auto"/>
          <w:sz w:val="28"/>
          <w:szCs w:val="28"/>
          <w:highlight w:val="none"/>
          <w:u w:val="single"/>
        </w:rPr>
        <w:t>附件2 综合评分表</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9" w:name="_Toc14580"/>
      <w:bookmarkStart w:id="50" w:name="_Toc22242"/>
      <w:r>
        <w:rPr>
          <w:rFonts w:hint="eastAsia" w:ascii="仿宋" w:hAnsi="仿宋" w:eastAsia="仿宋" w:cs="仿宋"/>
          <w:color w:val="auto"/>
          <w:sz w:val="28"/>
          <w:szCs w:val="28"/>
          <w:highlight w:val="none"/>
        </w:rPr>
        <w:t>附件1：符合性审查表</w:t>
      </w:r>
      <w:bookmarkEnd w:id="49"/>
      <w:bookmarkEnd w:id="50"/>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总监理工程师、总监代表、监理员</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6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bCs w:val="0"/>
                <w:color w:val="auto"/>
                <w:kern w:val="2"/>
                <w:sz w:val="21"/>
                <w:szCs w:val="21"/>
                <w:highlight w:val="none"/>
                <w:u w:val="none"/>
              </w:rPr>
              <w:t>投标</w:t>
            </w:r>
            <w:r>
              <w:rPr>
                <w:rFonts w:hint="eastAsia" w:ascii="仿宋" w:hAnsi="仿宋" w:eastAsia="仿宋" w:cs="仿宋"/>
                <w:bCs w:val="0"/>
                <w:color w:val="auto"/>
                <w:kern w:val="2"/>
                <w:sz w:val="21"/>
                <w:szCs w:val="21"/>
                <w:highlight w:val="none"/>
                <w:u w:val="none"/>
                <w:lang w:eastAsia="zh-CN"/>
              </w:rPr>
              <w:t>报价不高于招标控制价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51" w:name="_Toc27480"/>
      <w:bookmarkStart w:id="52" w:name="_Toc11456"/>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51"/>
      <w:bookmarkEnd w:id="52"/>
    </w:p>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tbl>
      <w:tblPr>
        <w:tblStyle w:val="13"/>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4"/>
        <w:gridCol w:w="1863"/>
        <w:gridCol w:w="52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298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评分因素</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45" w:hRule="atLeast"/>
          <w:jc w:val="center"/>
        </w:trPr>
        <w:tc>
          <w:tcPr>
            <w:tcW w:w="1124" w:type="dxa"/>
            <w:vMerge w:val="restart"/>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商务部分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1863" w:type="dxa"/>
            <w:tcBorders>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类似项目业绩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jc w:val="left"/>
              <w:rPr>
                <w:rFonts w:hint="eastAsia"/>
                <w:color w:val="auto"/>
                <w:highlight w:val="none"/>
              </w:rPr>
            </w:pPr>
            <w:r>
              <w:rPr>
                <w:rFonts w:hint="eastAsia" w:ascii="宋体" w:hAnsi="宋体" w:cs="宋体"/>
                <w:color w:val="auto"/>
                <w:szCs w:val="21"/>
                <w:highlight w:val="none"/>
                <w:lang w:eastAsia="zh-CN"/>
              </w:rPr>
              <w:t>201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eastAsia="zh-CN"/>
              </w:rPr>
              <w:t>年</w:t>
            </w:r>
            <w:r>
              <w:rPr>
                <w:rFonts w:hint="eastAsia" w:ascii="宋体" w:hAnsi="宋体" w:cs="宋体"/>
                <w:color w:val="auto"/>
                <w:szCs w:val="21"/>
                <w:highlight w:val="none"/>
              </w:rPr>
              <w:t>1月1日至今，每完成过一个质量合格的</w:t>
            </w:r>
            <w:r>
              <w:rPr>
                <w:rFonts w:hint="eastAsia" w:ascii="宋体" w:hAnsi="宋体" w:cs="宋体"/>
                <w:color w:val="auto"/>
                <w:szCs w:val="21"/>
                <w:highlight w:val="none"/>
                <w:lang w:eastAsia="zh-CN"/>
              </w:rPr>
              <w:t>总投资</w:t>
            </w:r>
            <w:r>
              <w:rPr>
                <w:rFonts w:hint="eastAsia" w:ascii="宋体" w:hAnsi="宋体" w:cs="宋体"/>
                <w:color w:val="auto"/>
                <w:szCs w:val="21"/>
                <w:highlight w:val="none"/>
                <w:lang w:val="en-US" w:eastAsia="zh-CN"/>
              </w:rPr>
              <w:t>700万元以上</w:t>
            </w:r>
            <w:r>
              <w:rPr>
                <w:rFonts w:hint="eastAsia" w:ascii="宋体" w:hAnsi="宋体" w:cs="宋体"/>
                <w:color w:val="auto"/>
                <w:szCs w:val="21"/>
                <w:highlight w:val="none"/>
                <w:lang w:eastAsia="zh-CN"/>
              </w:rPr>
              <w:t>建筑</w:t>
            </w:r>
            <w:r>
              <w:rPr>
                <w:rFonts w:hint="eastAsia" w:ascii="宋体" w:hAnsi="宋体" w:cs="宋体"/>
                <w:color w:val="auto"/>
                <w:szCs w:val="21"/>
                <w:highlight w:val="none"/>
              </w:rPr>
              <w:t>工程监理业绩得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分，最多得6分</w:t>
            </w:r>
            <w:r>
              <w:rPr>
                <w:rFonts w:hint="eastAsia" w:ascii="宋体" w:hAnsi="宋体" w:cs="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获奖监理业绩</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（6分）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201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rPr>
              <w:t>1月1日至今</w:t>
            </w:r>
            <w:r>
              <w:rPr>
                <w:rFonts w:hint="eastAsia" w:ascii="宋体" w:hAnsi="宋体" w:cs="宋体"/>
                <w:color w:val="auto"/>
                <w:sz w:val="21"/>
                <w:szCs w:val="21"/>
                <w:highlight w:val="none"/>
                <w:lang w:eastAsia="zh-CN"/>
              </w:rPr>
              <w:t>所监理的</w:t>
            </w:r>
            <w:r>
              <w:rPr>
                <w:rFonts w:hint="eastAsia" w:ascii="宋体" w:hAnsi="宋体" w:cs="宋体"/>
                <w:color w:val="auto"/>
                <w:szCs w:val="21"/>
                <w:highlight w:val="none"/>
                <w:lang w:eastAsia="zh-CN"/>
              </w:rPr>
              <w:t>建筑</w:t>
            </w:r>
            <w:r>
              <w:rPr>
                <w:rFonts w:hint="eastAsia" w:ascii="宋体" w:hAnsi="宋体" w:cs="宋体"/>
                <w:color w:val="auto"/>
                <w:sz w:val="21"/>
                <w:szCs w:val="21"/>
                <w:highlight w:val="none"/>
                <w:lang w:eastAsia="zh-CN"/>
              </w:rPr>
              <w:t>工程项目获得国家级奖项的，每项得</w:t>
            </w:r>
            <w:r>
              <w:rPr>
                <w:rFonts w:hint="eastAsia" w:ascii="宋体" w:hAnsi="宋体" w:cs="宋体"/>
                <w:color w:val="auto"/>
                <w:sz w:val="21"/>
                <w:szCs w:val="21"/>
                <w:highlight w:val="none"/>
                <w:lang w:val="en-US" w:eastAsia="zh-CN"/>
              </w:rPr>
              <w:t>3分；省级的每项得2分；市级的每项得1分。同一项目只取一项最高奖项计分，不重复计算，</w:t>
            </w:r>
            <w:r>
              <w:rPr>
                <w:rFonts w:hint="eastAsia" w:ascii="宋体" w:hAnsi="宋体" w:cs="宋体"/>
                <w:color w:val="auto"/>
                <w:sz w:val="21"/>
                <w:szCs w:val="21"/>
                <w:highlight w:val="none"/>
              </w:rPr>
              <w:t>本项最多得6分。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总监理工程师资历（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1"/>
                <w:numId w:val="0"/>
              </w:numPr>
              <w:ind w:left="113" w:leftChars="54" w:right="141" w:rightChars="67" w:firstLine="1" w:firstLineChars="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具有</w:t>
            </w:r>
            <w:r>
              <w:rPr>
                <w:rFonts w:hint="eastAsia" w:ascii="宋体" w:hAnsi="宋体" w:cs="宋体" w:eastAsiaTheme="minorEastAsia"/>
                <w:i w:val="0"/>
                <w:iCs w:val="0"/>
                <w:caps w:val="0"/>
                <w:color w:val="auto"/>
                <w:spacing w:val="0"/>
                <w:sz w:val="21"/>
                <w:szCs w:val="21"/>
                <w:highlight w:val="none"/>
                <w:shd w:val="clear"/>
              </w:rPr>
              <w:t>房屋建筑</w:t>
            </w:r>
            <w:r>
              <w:rPr>
                <w:rFonts w:hint="eastAsia" w:ascii="宋体" w:hAnsi="宋体" w:cs="宋体" w:eastAsiaTheme="minorEastAsia"/>
                <w:i w:val="0"/>
                <w:iCs w:val="0"/>
                <w:caps w:val="0"/>
                <w:color w:val="auto"/>
                <w:spacing w:val="0"/>
                <w:sz w:val="21"/>
                <w:szCs w:val="21"/>
                <w:highlight w:val="none"/>
                <w:shd w:val="clear"/>
                <w:lang w:eastAsia="zh-CN"/>
              </w:rPr>
              <w:t>工程</w:t>
            </w:r>
            <w:r>
              <w:rPr>
                <w:rFonts w:hint="eastAsia" w:ascii="宋体" w:hAnsi="宋体" w:cs="宋体"/>
                <w:color w:val="auto"/>
                <w:szCs w:val="21"/>
                <w:highlight w:val="none"/>
                <w:lang w:val="en-US" w:eastAsia="zh-CN"/>
              </w:rPr>
              <w:t>专业高</w:t>
            </w:r>
            <w:r>
              <w:rPr>
                <w:rFonts w:hint="eastAsia" w:ascii="宋体" w:hAnsi="宋体" w:cs="宋体"/>
                <w:color w:val="auto"/>
                <w:szCs w:val="21"/>
                <w:highlight w:val="none"/>
              </w:rPr>
              <w:t>级工程师</w:t>
            </w:r>
            <w:r>
              <w:rPr>
                <w:rFonts w:hint="eastAsia" w:ascii="宋体" w:hAnsi="宋体" w:cs="宋体"/>
                <w:color w:val="auto"/>
                <w:szCs w:val="21"/>
                <w:highlight w:val="none"/>
                <w:lang w:eastAsia="zh-CN"/>
              </w:rPr>
              <w:t>或以上</w:t>
            </w:r>
            <w:r>
              <w:rPr>
                <w:rFonts w:hint="eastAsia" w:ascii="宋体" w:hAnsi="宋体" w:cs="宋体"/>
                <w:color w:val="auto"/>
                <w:szCs w:val="21"/>
                <w:highlight w:val="none"/>
              </w:rPr>
              <w:t>职称得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113" w:leftChars="54" w:right="141" w:rightChars="67" w:firstLine="1"/>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2、工作年限大于或等于10年的，得1分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以本科或专科毕业证时间为准。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48"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总监代表</w:t>
            </w:r>
            <w:r>
              <w:rPr>
                <w:rFonts w:hint="eastAsia" w:ascii="宋体" w:hAnsi="宋体" w:cs="宋体"/>
                <w:color w:val="auto"/>
                <w:sz w:val="21"/>
                <w:szCs w:val="21"/>
                <w:highlight w:val="none"/>
              </w:rPr>
              <w:t>资历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numPr>
                <w:ilvl w:val="0"/>
                <w:numId w:val="4"/>
              </w:numPr>
              <w:ind w:left="113" w:leftChars="54" w:right="141" w:rightChars="67" w:firstLine="1"/>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rPr>
              <w:t>具有</w:t>
            </w:r>
            <w:r>
              <w:rPr>
                <w:rFonts w:hint="eastAsia" w:ascii="宋体" w:hAnsi="宋体" w:cs="宋体" w:eastAsiaTheme="minorEastAsia"/>
                <w:i w:val="0"/>
                <w:iCs w:val="0"/>
                <w:caps w:val="0"/>
                <w:color w:val="auto"/>
                <w:spacing w:val="0"/>
                <w:sz w:val="21"/>
                <w:szCs w:val="21"/>
                <w:highlight w:val="none"/>
                <w:shd w:val="clear"/>
              </w:rPr>
              <w:t>房屋建筑</w:t>
            </w:r>
            <w:r>
              <w:rPr>
                <w:rFonts w:hint="eastAsia" w:ascii="宋体" w:hAnsi="宋体" w:cs="宋体" w:eastAsiaTheme="minorEastAsia"/>
                <w:i w:val="0"/>
                <w:iCs w:val="0"/>
                <w:caps w:val="0"/>
                <w:color w:val="auto"/>
                <w:spacing w:val="0"/>
                <w:sz w:val="21"/>
                <w:szCs w:val="21"/>
                <w:highlight w:val="none"/>
                <w:shd w:val="clear"/>
                <w:lang w:eastAsia="zh-CN"/>
              </w:rPr>
              <w:t>工程</w:t>
            </w:r>
            <w:r>
              <w:rPr>
                <w:rFonts w:hint="eastAsia" w:ascii="宋体" w:hAnsi="宋体" w:cs="宋体"/>
                <w:color w:val="auto"/>
                <w:szCs w:val="21"/>
                <w:highlight w:val="none"/>
                <w:lang w:val="en-US" w:eastAsia="zh-CN"/>
              </w:rPr>
              <w:t>专业高</w:t>
            </w:r>
            <w:r>
              <w:rPr>
                <w:rFonts w:hint="eastAsia" w:ascii="宋体" w:hAnsi="宋体" w:cs="宋体"/>
                <w:color w:val="auto"/>
                <w:szCs w:val="21"/>
                <w:highlight w:val="none"/>
              </w:rPr>
              <w:t>级工程师</w:t>
            </w:r>
            <w:r>
              <w:rPr>
                <w:rFonts w:hint="eastAsia" w:ascii="宋体" w:hAnsi="宋体" w:cs="宋体"/>
                <w:color w:val="auto"/>
                <w:szCs w:val="21"/>
                <w:highlight w:val="none"/>
                <w:lang w:eastAsia="zh-CN"/>
              </w:rPr>
              <w:t>或以上</w:t>
            </w:r>
            <w:r>
              <w:rPr>
                <w:rFonts w:hint="eastAsia" w:ascii="宋体" w:hAnsi="宋体" w:cs="宋体"/>
                <w:color w:val="auto"/>
                <w:szCs w:val="21"/>
                <w:highlight w:val="none"/>
              </w:rPr>
              <w:t>职称</w:t>
            </w:r>
            <w:r>
              <w:rPr>
                <w:rFonts w:hint="eastAsia" w:ascii="宋体" w:hAnsi="宋体" w:cs="宋体"/>
                <w:color w:val="auto"/>
                <w:szCs w:val="21"/>
                <w:highlight w:val="none"/>
                <w:lang w:eastAsia="zh-CN"/>
              </w:rPr>
              <w:t>，</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w:t>
            </w:r>
          </w:p>
          <w:p>
            <w:pPr>
              <w:numPr>
                <w:ilvl w:val="-1"/>
                <w:numId w:val="0"/>
              </w:numPr>
              <w:ind w:left="113" w:leftChars="54" w:right="141" w:rightChars="67" w:firstLine="1" w:firstLineChars="0"/>
              <w:jc w:val="left"/>
              <w:rPr>
                <w:rFonts w:hint="eastAsia" w:ascii="宋体" w:hAnsi="宋体" w:cs="宋体" w:eastAsiaTheme="minorEastAsia"/>
                <w:color w:val="auto"/>
                <w:sz w:val="21"/>
                <w:szCs w:val="21"/>
                <w:highlight w:val="none"/>
                <w:lang w:eastAsia="zh-CN"/>
              </w:rPr>
            </w:pPr>
            <w:r>
              <w:rPr>
                <w:rFonts w:hint="eastAsia" w:ascii="宋体" w:hAnsi="宋体" w:cs="宋体"/>
                <w:color w:val="auto"/>
                <w:szCs w:val="21"/>
                <w:highlight w:val="none"/>
                <w:lang w:val="en-US" w:eastAsia="zh-CN"/>
              </w:rPr>
              <w:t>2、工作年限大于或等于10年的，得1分。</w:t>
            </w:r>
            <w:r>
              <w:rPr>
                <w:rFonts w:hint="eastAsia" w:ascii="宋体" w:hAnsi="宋体" w:cs="宋体"/>
                <w:color w:val="auto"/>
                <w:szCs w:val="21"/>
                <w:highlight w:val="none"/>
                <w:lang w:val="en-US" w:eastAsia="zh-CN"/>
              </w:rPr>
              <w:t>以</w:t>
            </w:r>
            <w:r>
              <w:rPr>
                <w:rFonts w:hint="eastAsia" w:ascii="宋体" w:hAnsi="宋体" w:cs="宋体"/>
                <w:color w:val="auto"/>
                <w:szCs w:val="21"/>
                <w:highlight w:val="none"/>
                <w:lang w:val="en-US" w:eastAsia="zh-CN"/>
              </w:rPr>
              <w:t>本科或专科</w:t>
            </w:r>
            <w:r>
              <w:rPr>
                <w:rFonts w:hint="eastAsia" w:ascii="宋体" w:hAnsi="宋体" w:cs="宋体"/>
                <w:color w:val="auto"/>
                <w:szCs w:val="21"/>
                <w:highlight w:val="none"/>
                <w:lang w:val="en-US" w:eastAsia="zh-CN"/>
              </w:rPr>
              <w:t>毕业证时间为准。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体系认证（</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具有</w:t>
            </w:r>
            <w:r>
              <w:rPr>
                <w:rFonts w:hint="eastAsia" w:ascii="宋体" w:hAnsi="宋体" w:cs="宋体"/>
                <w:color w:val="auto"/>
                <w:sz w:val="21"/>
                <w:szCs w:val="21"/>
                <w:highlight w:val="none"/>
                <w:lang w:val="en-US" w:eastAsia="zh-CN"/>
              </w:rPr>
              <w:t>ISO</w:t>
            </w:r>
            <w:r>
              <w:rPr>
                <w:rFonts w:hint="eastAsia" w:ascii="宋体" w:hAnsi="宋体" w:cs="宋体"/>
                <w:color w:val="auto"/>
                <w:sz w:val="21"/>
                <w:szCs w:val="21"/>
                <w:highlight w:val="none"/>
              </w:rPr>
              <w:t>质量管理体系认证证书、环境管理体系认证证书、职业健康安全管理体系认证证书</w:t>
            </w:r>
            <w:r>
              <w:rPr>
                <w:rFonts w:hint="eastAsia" w:ascii="宋体" w:hAnsi="宋体" w:cs="宋体"/>
                <w:color w:val="auto"/>
                <w:sz w:val="21"/>
                <w:szCs w:val="21"/>
                <w:highlight w:val="none"/>
                <w:lang w:eastAsia="zh-CN"/>
              </w:rPr>
              <w:t>的，每有</w:t>
            </w:r>
            <w:r>
              <w:rPr>
                <w:rFonts w:hint="eastAsia" w:ascii="宋体" w:hAnsi="宋体" w:cs="宋体"/>
                <w:color w:val="auto"/>
                <w:sz w:val="21"/>
                <w:szCs w:val="21"/>
                <w:highlight w:val="none"/>
                <w:lang w:val="en-US" w:eastAsia="zh-CN"/>
              </w:rPr>
              <w:t>1项得1分，最多得3分</w:t>
            </w:r>
            <w:r>
              <w:rPr>
                <w:rFonts w:hint="eastAsia" w:ascii="宋体" w:hAnsi="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6"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A级纳税人称号（</w:t>
            </w:r>
            <w:r>
              <w:rPr>
                <w:rFonts w:ascii="宋体" w:hAnsi="宋体" w:cs="宋体"/>
                <w:color w:val="auto"/>
                <w:sz w:val="21"/>
                <w:szCs w:val="21"/>
                <w:highlight w:val="none"/>
              </w:rPr>
              <w:t>3</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rPr>
              <w:t>1月1日至今获得过“A级纳税人”称号</w:t>
            </w:r>
            <w:r>
              <w:rPr>
                <w:rFonts w:hint="eastAsia" w:ascii="宋体" w:hAnsi="宋体" w:cs="宋体"/>
                <w:color w:val="auto"/>
                <w:sz w:val="21"/>
                <w:szCs w:val="21"/>
                <w:highlight w:val="none"/>
                <w:lang w:val="en-US" w:eastAsia="zh-CN"/>
              </w:rPr>
              <w:t>的，每有1次得1分，最多得3分没有获得过的不得分。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企业</w:t>
            </w:r>
            <w:r>
              <w:rPr>
                <w:rFonts w:hint="eastAsia" w:ascii="宋体" w:hAnsi="宋体" w:cs="宋体"/>
                <w:color w:val="auto"/>
                <w:sz w:val="21"/>
                <w:szCs w:val="21"/>
                <w:highlight w:val="none"/>
                <w:lang w:val="en-US" w:eastAsia="zh-CN"/>
              </w:rPr>
              <w:t>荣誉</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201</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年</w:t>
            </w:r>
            <w:r>
              <w:rPr>
                <w:rFonts w:hint="eastAsia" w:ascii="宋体" w:hAnsi="宋体" w:cs="宋体"/>
                <w:color w:val="auto"/>
                <w:sz w:val="21"/>
                <w:szCs w:val="21"/>
                <w:highlight w:val="none"/>
              </w:rPr>
              <w:t>1月1日至今投标人：</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连续</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年或以上获得省级或以上诚信示范企业称号的得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年或</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年以下的得</w:t>
            </w:r>
            <w:r>
              <w:rPr>
                <w:rFonts w:ascii="宋体" w:hAnsi="宋体" w:cs="宋体"/>
                <w:color w:val="auto"/>
                <w:sz w:val="21"/>
                <w:szCs w:val="21"/>
                <w:highlight w:val="none"/>
              </w:rPr>
              <w:t>1</w:t>
            </w:r>
            <w:r>
              <w:rPr>
                <w:rFonts w:hint="eastAsia" w:ascii="宋体" w:hAnsi="宋体" w:cs="宋体"/>
                <w:color w:val="auto"/>
                <w:sz w:val="21"/>
                <w:szCs w:val="21"/>
                <w:highlight w:val="none"/>
              </w:rPr>
              <w:t>分，没有的不得分；</w:t>
            </w:r>
            <w:r>
              <w:rPr>
                <w:rFonts w:hint="eastAsia" w:ascii="宋体" w:hAnsi="宋体" w:cs="宋体"/>
                <w:color w:val="auto"/>
                <w:sz w:val="21"/>
                <w:szCs w:val="21"/>
                <w:highlight w:val="none"/>
                <w:lang w:eastAsia="zh-CN"/>
              </w:rPr>
              <w:t>本小项最多得</w:t>
            </w:r>
            <w:r>
              <w:rPr>
                <w:rFonts w:hint="eastAsia" w:ascii="宋体" w:hAnsi="宋体" w:cs="宋体"/>
                <w:color w:val="auto"/>
                <w:sz w:val="21"/>
                <w:szCs w:val="21"/>
                <w:highlight w:val="none"/>
                <w:lang w:val="en-US" w:eastAsia="zh-CN"/>
              </w:rPr>
              <w:t>2分。</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获得市级或以上先进监理企业称号的每次得1分，最多得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分，没有的不得分</w:t>
            </w:r>
            <w:r>
              <w:rPr>
                <w:rFonts w:hint="eastAsia" w:ascii="宋体" w:hAnsi="宋体" w:cs="宋体"/>
                <w:color w:val="auto"/>
                <w:sz w:val="21"/>
                <w:szCs w:val="21"/>
                <w:highlight w:val="none"/>
                <w:lang w:eastAsia="zh-CN"/>
              </w:rPr>
              <w:t>。</w:t>
            </w:r>
            <w:r>
              <w:rPr>
                <w:rFonts w:ascii="宋体" w:hAnsi="宋体" w:cs="宋体"/>
                <w:color w:val="auto"/>
                <w:sz w:val="21"/>
                <w:szCs w:val="21"/>
                <w:highlight w:val="none"/>
              </w:rPr>
              <w:br w:type="textWrapping"/>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获得过省级或以上人民政府（或行政部门或行业协会）颁发的</w:t>
            </w:r>
            <w:r>
              <w:rPr>
                <w:rFonts w:hint="eastAsia" w:ascii="宋体" w:hAnsi="宋体" w:cs="宋体"/>
                <w:color w:val="auto"/>
                <w:sz w:val="21"/>
                <w:szCs w:val="21"/>
                <w:highlight w:val="none"/>
              </w:rPr>
              <w:t>土木建筑类</w:t>
            </w:r>
            <w:r>
              <w:rPr>
                <w:rFonts w:hint="eastAsia" w:ascii="宋体" w:hAnsi="宋体" w:cs="宋体"/>
                <w:color w:val="auto"/>
                <w:sz w:val="21"/>
                <w:szCs w:val="21"/>
                <w:highlight w:val="none"/>
              </w:rPr>
              <w:t>科技创新先进企业的得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分，没有的不得分。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restart"/>
            <w:tcBorders>
              <w:top w:val="single" w:color="auto" w:sz="4" w:space="0"/>
              <w:right w:val="single" w:color="auto" w:sz="4" w:space="0"/>
            </w:tcBorders>
            <w:noWrap w:val="0"/>
            <w:vAlign w:val="center"/>
          </w:tcPr>
          <w:p>
            <w:pPr>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技术部分（</w:t>
            </w:r>
            <w:r>
              <w:rPr>
                <w:rFonts w:hint="eastAsia" w:ascii="宋体" w:hAnsi="宋体" w:cs="宋体"/>
                <w:color w:val="auto"/>
                <w:sz w:val="21"/>
                <w:szCs w:val="21"/>
                <w:highlight w:val="none"/>
              </w:rPr>
              <w:t>监理大纲</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0分）</w:t>
            </w: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strike/>
                <w:color w:val="auto"/>
                <w:sz w:val="21"/>
                <w:szCs w:val="21"/>
                <w:highlight w:val="none"/>
              </w:rPr>
            </w:pPr>
            <w:r>
              <w:rPr>
                <w:rFonts w:hint="eastAsia" w:ascii="宋体" w:hAnsi="宋体" w:cs="宋体"/>
                <w:color w:val="auto"/>
                <w:sz w:val="21"/>
                <w:szCs w:val="21"/>
                <w:highlight w:val="none"/>
              </w:rPr>
              <w:t>进度控制措施（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提出的进度控制目标明确、方法合理可行、措施具体、针对性强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提出的进度控制目标明确、方法可行、措施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strike/>
                <w:color w:val="auto"/>
                <w:sz w:val="21"/>
                <w:szCs w:val="21"/>
                <w:highlight w:val="none"/>
              </w:rPr>
            </w:pPr>
            <w:r>
              <w:rPr>
                <w:rFonts w:hint="eastAsia" w:eastAsiaTheme="minor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提出的进度控制目标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质量控制措施（</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质量</w:t>
            </w:r>
            <w:r>
              <w:rPr>
                <w:rFonts w:hint="eastAsia" w:eastAsiaTheme="minorEastAsia"/>
                <w:color w:val="auto"/>
                <w:kern w:val="2"/>
                <w:sz w:val="21"/>
                <w:szCs w:val="24"/>
                <w:highlight w:val="none"/>
              </w:rPr>
              <w:t>控制目标明确、方法合理可行、措施具体、针对性强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质量</w:t>
            </w:r>
            <w:r>
              <w:rPr>
                <w:rFonts w:hint="eastAsia" w:eastAsiaTheme="minorEastAsia"/>
                <w:color w:val="auto"/>
                <w:kern w:val="2"/>
                <w:sz w:val="21"/>
                <w:szCs w:val="24"/>
                <w:highlight w:val="none"/>
              </w:rPr>
              <w:t>控制目标明确、方法可行、措施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质量</w:t>
            </w:r>
            <w:r>
              <w:rPr>
                <w:rFonts w:hint="eastAsia" w:eastAsiaTheme="minorEastAsia"/>
                <w:color w:val="auto"/>
                <w:kern w:val="2"/>
                <w:sz w:val="21"/>
                <w:szCs w:val="24"/>
                <w:highlight w:val="none"/>
              </w:rPr>
              <w:t>控制目标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4"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安全、文明施工管理</w:t>
            </w:r>
          </w:p>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安全、文明施工管理</w:t>
            </w:r>
            <w:r>
              <w:rPr>
                <w:rFonts w:hint="eastAsia" w:eastAsiaTheme="minorEastAsia"/>
                <w:color w:val="auto"/>
                <w:kern w:val="2"/>
                <w:sz w:val="21"/>
                <w:szCs w:val="24"/>
                <w:highlight w:val="none"/>
              </w:rPr>
              <w:t>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安全、文明施工管理</w:t>
            </w:r>
            <w:r>
              <w:rPr>
                <w:rFonts w:hint="eastAsia" w:eastAsiaTheme="minorEastAsia"/>
                <w:color w:val="auto"/>
                <w:kern w:val="2"/>
                <w:sz w:val="21"/>
                <w:szCs w:val="24"/>
                <w:highlight w:val="none"/>
              </w:rPr>
              <w:t>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安全、文明施工管理</w:t>
            </w:r>
            <w:r>
              <w:rPr>
                <w:rFonts w:hint="eastAsia" w:eastAsiaTheme="minorEastAsia"/>
                <w:color w:val="auto"/>
                <w:kern w:val="2"/>
                <w:sz w:val="21"/>
                <w:szCs w:val="24"/>
                <w:highlight w:val="none"/>
              </w:rPr>
              <w:t>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38" w:hRule="atLeast"/>
          <w:jc w:val="center"/>
        </w:trPr>
        <w:tc>
          <w:tcPr>
            <w:tcW w:w="1124" w:type="dxa"/>
            <w:vMerge w:val="continue"/>
            <w:tcBorders>
              <w:right w:val="single" w:color="auto" w:sz="4" w:space="0"/>
            </w:tcBorders>
            <w:noWrap w:val="0"/>
            <w:vAlign w:val="center"/>
          </w:tcPr>
          <w:p>
            <w:pPr>
              <w:ind w:left="113" w:leftChars="54" w:right="141" w:rightChars="67" w:firstLine="1"/>
              <w:jc w:val="left"/>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工程进度款、工程结算的管理</w:t>
            </w:r>
            <w:r>
              <w:rPr>
                <w:rFonts w:hint="eastAsia" w:ascii="宋体" w:hAnsi="宋体" w:cs="宋体"/>
                <w:color w:val="auto"/>
                <w:sz w:val="21"/>
                <w:szCs w:val="21"/>
                <w:highlight w:val="none"/>
                <w:lang w:eastAsia="zh-CN"/>
              </w:rPr>
              <w:t>措施</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1、</w:t>
            </w:r>
            <w:r>
              <w:rPr>
                <w:rFonts w:hint="eastAsia" w:eastAsiaTheme="minorEastAsia"/>
                <w:color w:val="auto"/>
                <w:kern w:val="2"/>
                <w:sz w:val="21"/>
                <w:szCs w:val="24"/>
                <w:highlight w:val="none"/>
                <w:lang w:eastAsia="zh-CN"/>
              </w:rPr>
              <w:t>优：</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管理措施</w:t>
            </w:r>
            <w:r>
              <w:rPr>
                <w:rFonts w:hint="eastAsia" w:eastAsiaTheme="minorEastAsia"/>
                <w:color w:val="auto"/>
                <w:kern w:val="2"/>
                <w:sz w:val="21"/>
                <w:szCs w:val="24"/>
                <w:highlight w:val="none"/>
              </w:rPr>
              <w:t>目标明确、方法合理可行、措施具体、针对性强</w:t>
            </w:r>
            <w:r>
              <w:rPr>
                <w:rFonts w:hint="eastAsia" w:eastAsiaTheme="minorEastAsia"/>
                <w:color w:val="auto"/>
                <w:kern w:val="2"/>
                <w:sz w:val="21"/>
                <w:szCs w:val="24"/>
                <w:highlight w:val="none"/>
                <w:lang w:eastAsia="zh-CN"/>
              </w:rPr>
              <w:t>，</w:t>
            </w:r>
            <w:r>
              <w:rPr>
                <w:rFonts w:hint="eastAsia" w:eastAsiaTheme="minorEastAsia"/>
                <w:color w:val="auto"/>
                <w:kern w:val="2"/>
                <w:sz w:val="21"/>
                <w:szCs w:val="24"/>
                <w:highlight w:val="none"/>
              </w:rPr>
              <w:t>得4</w:t>
            </w:r>
            <w:r>
              <w:rPr>
                <w:rFonts w:hint="eastAsia" w:eastAsiaTheme="minorEastAsia"/>
                <w:color w:val="auto"/>
                <w:kern w:val="2"/>
                <w:sz w:val="21"/>
                <w:szCs w:val="24"/>
                <w:highlight w:val="none"/>
                <w:lang w:val="en-US" w:eastAsia="zh-CN"/>
              </w:rPr>
              <w:t>-5</w:t>
            </w:r>
            <w:r>
              <w:rPr>
                <w:rFonts w:hint="eastAsia" w:eastAsiaTheme="minorEastAsia"/>
                <w:color w:val="auto"/>
                <w:kern w:val="2"/>
                <w:sz w:val="21"/>
                <w:szCs w:val="24"/>
                <w:highlight w:val="none"/>
              </w:rPr>
              <w:t>分。</w:t>
            </w:r>
          </w:p>
          <w:p>
            <w:pPr>
              <w:pStyle w:val="6"/>
              <w:spacing w:line="240" w:lineRule="auto"/>
              <w:ind w:firstLine="0"/>
              <w:rPr>
                <w:rFonts w:hint="eastAsia" w:eastAsiaTheme="minorEastAsia"/>
                <w:color w:val="auto"/>
                <w:kern w:val="2"/>
                <w:sz w:val="21"/>
                <w:szCs w:val="24"/>
                <w:highlight w:val="none"/>
                <w:lang w:eastAsia="zh-CN"/>
              </w:rPr>
            </w:pP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lang w:eastAsia="zh-CN"/>
              </w:rPr>
              <w:t>中：</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管理措施</w:t>
            </w:r>
            <w:r>
              <w:rPr>
                <w:rFonts w:hint="eastAsia" w:eastAsiaTheme="minorEastAsia"/>
                <w:color w:val="auto"/>
                <w:kern w:val="2"/>
                <w:sz w:val="21"/>
                <w:szCs w:val="24"/>
                <w:highlight w:val="none"/>
              </w:rPr>
              <w:t>目标明确、方法可行、措施</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一般，</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2-</w:t>
            </w:r>
            <w:r>
              <w:rPr>
                <w:rFonts w:hint="eastAsia" w:eastAsiaTheme="minorEastAsia"/>
                <w:color w:val="auto"/>
                <w:kern w:val="2"/>
                <w:sz w:val="21"/>
                <w:szCs w:val="24"/>
                <w:highlight w:val="none"/>
              </w:rPr>
              <w:t>3分。</w:t>
            </w:r>
          </w:p>
          <w:p>
            <w:pPr>
              <w:ind w:left="0" w:leftChars="0" w:right="141" w:rightChars="67" w:firstLine="0" w:firstLineChars="0"/>
              <w:jc w:val="left"/>
              <w:rPr>
                <w:rFonts w:hint="eastAsia" w:ascii="宋体" w:hAnsi="宋体" w:cs="宋体"/>
                <w:color w:val="auto"/>
                <w:sz w:val="21"/>
                <w:szCs w:val="21"/>
                <w:highlight w:val="none"/>
              </w:rPr>
            </w:pPr>
            <w:r>
              <w:rPr>
                <w:rFonts w:hint="eastAsia"/>
                <w:color w:val="auto"/>
                <w:kern w:val="2"/>
                <w:sz w:val="21"/>
                <w:szCs w:val="24"/>
                <w:highlight w:val="none"/>
                <w:lang w:val="en-US" w:eastAsia="zh-CN"/>
              </w:rPr>
              <w:t>3、</w:t>
            </w:r>
            <w:r>
              <w:rPr>
                <w:rFonts w:hint="eastAsia" w:eastAsiaTheme="minorEastAsia"/>
                <w:color w:val="auto"/>
                <w:kern w:val="2"/>
                <w:sz w:val="21"/>
                <w:szCs w:val="24"/>
                <w:highlight w:val="none"/>
                <w:lang w:eastAsia="zh-CN"/>
              </w:rPr>
              <w:t>差：</w:t>
            </w:r>
            <w:r>
              <w:rPr>
                <w:rFonts w:hint="eastAsia" w:eastAsiaTheme="minorEastAsia"/>
                <w:color w:val="auto"/>
                <w:kern w:val="2"/>
                <w:sz w:val="21"/>
                <w:szCs w:val="24"/>
                <w:highlight w:val="none"/>
              </w:rPr>
              <w:t>提出的</w:t>
            </w:r>
            <w:r>
              <w:rPr>
                <w:rFonts w:hint="eastAsia" w:eastAsiaTheme="minorEastAsia"/>
                <w:color w:val="auto"/>
                <w:kern w:val="2"/>
                <w:sz w:val="21"/>
                <w:szCs w:val="24"/>
                <w:highlight w:val="none"/>
                <w:lang w:eastAsia="zh-CN"/>
              </w:rPr>
              <w:t>管理措施</w:t>
            </w:r>
            <w:r>
              <w:rPr>
                <w:rFonts w:hint="eastAsia" w:eastAsiaTheme="minorEastAsia"/>
                <w:color w:val="auto"/>
                <w:kern w:val="2"/>
                <w:sz w:val="21"/>
                <w:szCs w:val="24"/>
                <w:highlight w:val="none"/>
              </w:rPr>
              <w:t>目标</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明确、方法</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合理可行、措施</w:t>
            </w:r>
            <w:r>
              <w:rPr>
                <w:rFonts w:hint="eastAsia" w:eastAsiaTheme="minorEastAsia"/>
                <w:color w:val="auto"/>
                <w:kern w:val="2"/>
                <w:sz w:val="21"/>
                <w:szCs w:val="24"/>
                <w:highlight w:val="none"/>
                <w:lang w:eastAsia="zh-CN"/>
              </w:rPr>
              <w:t>不够</w:t>
            </w:r>
            <w:r>
              <w:rPr>
                <w:rFonts w:hint="eastAsia" w:eastAsiaTheme="minorEastAsia"/>
                <w:color w:val="auto"/>
                <w:kern w:val="2"/>
                <w:sz w:val="21"/>
                <w:szCs w:val="24"/>
                <w:highlight w:val="none"/>
              </w:rPr>
              <w:t>具体、针对性</w:t>
            </w:r>
            <w:r>
              <w:rPr>
                <w:rFonts w:hint="eastAsia" w:eastAsiaTheme="minorEastAsia"/>
                <w:color w:val="auto"/>
                <w:kern w:val="2"/>
                <w:sz w:val="21"/>
                <w:szCs w:val="24"/>
                <w:highlight w:val="none"/>
                <w:lang w:eastAsia="zh-CN"/>
              </w:rPr>
              <w:t>不足，</w:t>
            </w:r>
            <w:r>
              <w:rPr>
                <w:rFonts w:hint="eastAsia" w:eastAsiaTheme="minorEastAsia"/>
                <w:color w:val="auto"/>
                <w:kern w:val="2"/>
                <w:sz w:val="21"/>
                <w:szCs w:val="24"/>
                <w:highlight w:val="none"/>
              </w:rPr>
              <w:t>得</w:t>
            </w:r>
            <w:r>
              <w:rPr>
                <w:rFonts w:hint="eastAsia" w:eastAsiaTheme="minorEastAsia"/>
                <w:color w:val="auto"/>
                <w:kern w:val="2"/>
                <w:sz w:val="21"/>
                <w:szCs w:val="24"/>
                <w:highlight w:val="none"/>
                <w:lang w:val="en-US" w:eastAsia="zh-CN"/>
              </w:rPr>
              <w:t>0-1</w:t>
            </w:r>
            <w:r>
              <w:rPr>
                <w:rFonts w:hint="eastAsia" w:eastAsiaTheme="minorEastAsia"/>
                <w:color w:val="auto"/>
                <w:kern w:val="2"/>
                <w:sz w:val="21"/>
                <w:szCs w:val="24"/>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6" w:hRule="atLeast"/>
          <w:jc w:val="center"/>
        </w:trPr>
        <w:tc>
          <w:tcPr>
            <w:tcW w:w="2987" w:type="dxa"/>
            <w:gridSpan w:val="2"/>
            <w:tcBorders>
              <w:top w:val="single" w:color="auto" w:sz="4" w:space="0"/>
              <w:bottom w:val="single" w:color="auto" w:sz="4" w:space="0"/>
              <w:right w:val="single" w:color="auto" w:sz="4" w:space="0"/>
            </w:tcBorders>
            <w:noWrap w:val="0"/>
            <w:vAlign w:val="center"/>
          </w:tcPr>
          <w:p>
            <w:pPr>
              <w:ind w:left="113" w:leftChars="54" w:right="141" w:rightChars="67" w:firstLine="1" w:firstLineChars="0"/>
              <w:jc w:val="center"/>
              <w:rPr>
                <w:rFonts w:hint="default"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报价得分（</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0分）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6家或以上的，则去掉一家最高报价、一家最低报价后，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val="en-US" w:eastAsia="zh-CN"/>
              </w:rPr>
              <w:t>剩余</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pPr>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8"/>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w:t>
            </w:r>
            <w:r>
              <w:rPr>
                <w:rFonts w:hint="eastAsia" w:hAnsi="宋体" w:cs="宋体"/>
                <w:color w:val="auto"/>
                <w:highlight w:val="none"/>
                <w:lang w:val="en-US" w:eastAsia="zh-CN"/>
              </w:rPr>
              <w:t>5</w:t>
            </w:r>
            <w:r>
              <w:rPr>
                <w:rFonts w:hint="eastAsia" w:ascii="宋体" w:hAnsi="宋体" w:eastAsia="宋体" w:cs="宋体"/>
                <w:color w:val="auto"/>
                <w:highlight w:val="none"/>
                <w:lang w:val="en-US" w:eastAsia="zh-CN"/>
              </w:rPr>
              <w:t>0。</w:t>
            </w:r>
          </w:p>
          <w:p>
            <w:pPr>
              <w:pStyle w:val="8"/>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w:t>
            </w:r>
            <w:r>
              <w:rPr>
                <w:rFonts w:hint="eastAsia" w:hAnsi="宋体" w:cs="宋体"/>
                <w:color w:val="auto"/>
                <w:highlight w:val="none"/>
                <w:lang w:val="en-US" w:eastAsia="zh-CN"/>
              </w:rPr>
              <w:t>5</w:t>
            </w:r>
            <w:r>
              <w:rPr>
                <w:rFonts w:hint="eastAsia" w:ascii="宋体" w:hAnsi="宋体" w:eastAsia="宋体" w:cs="宋体"/>
                <w:color w:val="auto"/>
                <w:highlight w:val="none"/>
                <w:lang w:val="en-US" w:eastAsia="zh-CN"/>
              </w:rPr>
              <w:t>0-[（报价-基准价）/基准价]×100×1</w:t>
            </w:r>
          </w:p>
          <w:p>
            <w:pPr>
              <w:ind w:left="0" w:leftChars="0" w:right="141" w:rightChars="67" w:firstLine="0" w:firstLineChars="0"/>
              <w:jc w:val="left"/>
              <w:rPr>
                <w:rFonts w:hint="eastAsia" w:ascii="宋体" w:hAnsi="宋体" w:cs="宋体"/>
                <w:color w:val="auto"/>
                <w:sz w:val="21"/>
                <w:szCs w:val="21"/>
                <w:highlight w:val="none"/>
                <w:lang w:val="en-US" w:eastAsia="zh-CN" w:bidi="ar-SA"/>
              </w:rPr>
            </w:pPr>
            <w:r>
              <w:rPr>
                <w:rFonts w:hint="eastAsia" w:ascii="宋体" w:hAnsi="宋体" w:eastAsia="宋体" w:cs="宋体"/>
                <w:color w:val="auto"/>
                <w:highlight w:val="none"/>
                <w:lang w:val="en-US" w:eastAsia="zh-CN"/>
              </w:rPr>
              <w:t>3、报价低于基准价的，得分=</w:t>
            </w:r>
            <w:r>
              <w:rPr>
                <w:rFonts w:hint="eastAsia" w:hAnsi="宋体" w:cs="宋体"/>
                <w:color w:val="auto"/>
                <w:highlight w:val="none"/>
                <w:lang w:val="en-US" w:eastAsia="zh-CN"/>
              </w:rPr>
              <w:t>5</w:t>
            </w:r>
            <w:r>
              <w:rPr>
                <w:rFonts w:hint="eastAsia" w:ascii="宋体" w:hAnsi="宋体" w:eastAsia="宋体" w:cs="宋体"/>
                <w:color w:val="auto"/>
                <w:highlight w:val="none"/>
                <w:lang w:val="en-US" w:eastAsia="zh-CN"/>
              </w:rPr>
              <w:t>0-[（基准价-报价）/基准价]×100×0.5</w:t>
            </w:r>
          </w:p>
        </w:tc>
      </w:tr>
    </w:tbl>
    <w:p>
      <w:pPr>
        <w:snapToGrid w:val="0"/>
        <w:ind w:left="74"/>
        <w:rPr>
          <w:rFonts w:ascii="仿宋" w:hAnsi="仿宋" w:eastAsia="仿宋" w:cs="宋体"/>
          <w:color w:val="auto"/>
          <w:sz w:val="24"/>
          <w:highlight w:val="none"/>
        </w:rPr>
      </w:pPr>
    </w:p>
    <w:p>
      <w:pPr>
        <w:pStyle w:val="21"/>
        <w:spacing w:line="340" w:lineRule="exact"/>
        <w:ind w:left="0" w:leftChars="0" w:firstLine="0" w:firstLineChars="0"/>
        <w:rPr>
          <w:rFonts w:hint="eastAsia"/>
          <w:color w:val="auto"/>
          <w:sz w:val="21"/>
          <w:szCs w:val="21"/>
          <w:highlight w:val="none"/>
        </w:rPr>
      </w:pPr>
      <w:r>
        <w:rPr>
          <w:rFonts w:hint="eastAsia"/>
          <w:color w:val="auto"/>
          <w:sz w:val="21"/>
          <w:szCs w:val="21"/>
          <w:highlight w:val="none"/>
        </w:rPr>
        <w:t>说明：</w:t>
      </w:r>
    </w:p>
    <w:p>
      <w:pPr>
        <w:pStyle w:val="21"/>
        <w:numPr>
          <w:ilvl w:val="0"/>
          <w:numId w:val="6"/>
        </w:numPr>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业绩</w:t>
      </w:r>
      <w:r>
        <w:rPr>
          <w:rFonts w:hint="eastAsia" w:ascii="Times New Roman" w:hAnsi="Times New Roman" w:eastAsia="宋体" w:cs="Times New Roman"/>
          <w:color w:val="auto"/>
          <w:sz w:val="21"/>
          <w:szCs w:val="21"/>
          <w:highlight w:val="none"/>
        </w:rPr>
        <w:t>需提供中标通知书或免招标的相关证明、监理</w:t>
      </w:r>
      <w:r>
        <w:rPr>
          <w:rFonts w:hint="eastAsia"/>
          <w:color w:val="auto"/>
          <w:sz w:val="21"/>
          <w:szCs w:val="21"/>
          <w:highlight w:val="none"/>
        </w:rPr>
        <w:t>合同、竣工验收报告原件扫描件，完成时间以竣工验收报告或竣工验收证明为准。</w:t>
      </w:r>
    </w:p>
    <w:p>
      <w:pPr>
        <w:pStyle w:val="21"/>
        <w:numPr>
          <w:ilvl w:val="0"/>
          <w:numId w:val="6"/>
        </w:numPr>
        <w:spacing w:line="340" w:lineRule="exact"/>
        <w:ind w:left="0" w:leftChars="0" w:firstLine="436" w:firstLineChars="200"/>
        <w:rPr>
          <w:rFonts w:hint="eastAsia"/>
          <w:color w:val="auto"/>
          <w:sz w:val="21"/>
          <w:szCs w:val="21"/>
          <w:highlight w:val="none"/>
        </w:rPr>
      </w:pPr>
      <w:r>
        <w:rPr>
          <w:rFonts w:hint="eastAsia"/>
          <w:color w:val="auto"/>
          <w:sz w:val="21"/>
          <w:szCs w:val="21"/>
          <w:highlight w:val="none"/>
        </w:rPr>
        <w:t>获奖监理业绩：国家级质量奖指国家优质工程银质奖、国家优质工程金质奖、国家优质工程奖、鲁班奖、中国土木工程詹天佑奖；省级质量奖指省级（含副省级市）建设行政主管部门或行业协会颁发（行业协会须在民政部门备案）的工程质量奖项；市级质量奖是指市级建设行政主管部门或行业协会颁发的工程质量奖项。同一工程项目按最高奖项计取，时间以获奖证书发证日期为准，不重复计分。需提供获奖证书原件扫描件。</w:t>
      </w:r>
    </w:p>
    <w:p>
      <w:pPr>
        <w:pStyle w:val="21"/>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3、</w:t>
      </w:r>
      <w:r>
        <w:rPr>
          <w:rFonts w:hint="eastAsia"/>
          <w:color w:val="auto"/>
          <w:sz w:val="21"/>
          <w:szCs w:val="21"/>
          <w:highlight w:val="none"/>
        </w:rPr>
        <w:t>“A级纳税人称号”以“国家税务总局”官网（http://www.chinatax.gov.cn/index.html）查询结果为准，纳税人等级只计算投标人自身（不计算投标人的分公司和子公司）。投标人须提供在上述官网的查询结果网页截图（不符合条件或未提交上述截图的不计分）。</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4、</w:t>
      </w:r>
      <w:r>
        <w:rPr>
          <w:rFonts w:hint="eastAsia" w:ascii="宋体" w:hAnsi="宋体" w:cs="宋体"/>
          <w:color w:val="auto"/>
          <w:szCs w:val="21"/>
          <w:highlight w:val="none"/>
          <w:lang w:eastAsia="zh-CN"/>
        </w:rPr>
        <w:t>投标人</w:t>
      </w:r>
      <w:r>
        <w:rPr>
          <w:rFonts w:ascii="宋体" w:hAnsi="宋体" w:cs="宋体"/>
          <w:color w:val="auto"/>
          <w:szCs w:val="18"/>
          <w:highlight w:val="none"/>
        </w:rPr>
        <w:t>所提供的投入人员必须为</w:t>
      </w:r>
      <w:r>
        <w:rPr>
          <w:rFonts w:hint="eastAsia" w:ascii="宋体" w:hAnsi="宋体" w:cs="宋体"/>
          <w:color w:val="auto"/>
          <w:szCs w:val="18"/>
          <w:highlight w:val="none"/>
          <w:lang w:eastAsia="zh-CN"/>
        </w:rPr>
        <w:t>本</w:t>
      </w:r>
      <w:r>
        <w:rPr>
          <w:rFonts w:ascii="宋体" w:hAnsi="宋体" w:cs="宋体"/>
          <w:color w:val="auto"/>
          <w:szCs w:val="18"/>
          <w:highlight w:val="none"/>
        </w:rPr>
        <w:t>单位人员，以提供投标人为其购买的</w:t>
      </w:r>
      <w:r>
        <w:rPr>
          <w:rFonts w:hint="eastAsia" w:ascii="宋体" w:hAnsi="宋体" w:cs="宋体"/>
          <w:color w:val="auto"/>
          <w:szCs w:val="18"/>
          <w:highlight w:val="none"/>
        </w:rPr>
        <w:t>投标截止日前一个月（202</w:t>
      </w: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年</w:t>
      </w:r>
      <w:r>
        <w:rPr>
          <w:rFonts w:hint="eastAsia" w:ascii="宋体" w:hAnsi="宋体" w:cs="宋体"/>
          <w:color w:val="auto"/>
          <w:szCs w:val="18"/>
          <w:highlight w:val="none"/>
          <w:lang w:val="en-US" w:eastAsia="zh-CN"/>
        </w:rPr>
        <w:t>6</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lang w:eastAsia="zh-CN"/>
        </w:rPr>
        <w:t>总监理工程师</w:t>
      </w:r>
      <w:r>
        <w:rPr>
          <w:rFonts w:hint="eastAsia" w:ascii="宋体" w:hAnsi="宋体" w:cs="宋体"/>
          <w:color w:val="auto"/>
          <w:szCs w:val="18"/>
          <w:highlight w:val="none"/>
        </w:rPr>
        <w:t>、各专业负责人注册关系必须在本单位，以上注册及职称均需提供相应证明材料。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5</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ind w:left="74"/>
        <w:rPr>
          <w:rFonts w:ascii="仿宋" w:hAnsi="仿宋" w:eastAsia="仿宋" w:cs="仿宋"/>
          <w:color w:val="auto"/>
          <w:szCs w:val="21"/>
          <w:highlight w:val="none"/>
        </w:rPr>
      </w:pPr>
    </w:p>
    <w:p>
      <w:pPr>
        <w:rPr>
          <w:color w:val="auto"/>
          <w:highlight w:val="none"/>
        </w:rPr>
      </w:pPr>
      <w:r>
        <w:rPr>
          <w:rFonts w:hint="eastAsia"/>
          <w:color w:val="auto"/>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bookmarkStart w:id="53" w:name="_Toc2521"/>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53"/>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广州南沙国际物流有限公司</w:t>
      </w:r>
      <w:r>
        <w:rPr>
          <w:rFonts w:hint="eastAsia" w:ascii="宋体" w:hAnsi="宋体" w:eastAsia="宋体"/>
          <w:color w:val="auto"/>
          <w:sz w:val="24"/>
          <w:szCs w:val="24"/>
          <w:highlight w:val="none"/>
          <w:u w:val="single"/>
        </w:rPr>
        <w:t xml:space="preserve">、广州南沙建设维护管理有限公司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港口新鲜集市（A地块）项目一期监理</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w:t>
      </w:r>
      <w:r>
        <w:rPr>
          <w:rFonts w:hint="eastAsia" w:ascii="宋体" w:hAnsi="宋体" w:eastAsia="宋体"/>
          <w:color w:val="auto"/>
          <w:sz w:val="24"/>
          <w:szCs w:val="24"/>
          <w:highlight w:val="none"/>
          <w:lang w:eastAsia="zh-CN"/>
        </w:rPr>
        <w:t>设计</w:t>
      </w:r>
      <w:r>
        <w:rPr>
          <w:rFonts w:hint="eastAsia" w:ascii="宋体" w:hAnsi="宋体" w:eastAsia="宋体"/>
          <w:color w:val="auto"/>
          <w:sz w:val="24"/>
          <w:szCs w:val="24"/>
          <w:highlight w:val="none"/>
        </w:rPr>
        <w:t>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w:t>
      </w:r>
      <w:bookmarkStart w:id="54" w:name="_GoBack"/>
      <w:bookmarkEnd w:id="54"/>
      <w:r>
        <w:rPr>
          <w:rFonts w:hint="eastAsia" w:ascii="宋体" w:hAnsi="宋体" w:eastAsia="宋体"/>
          <w:color w:val="auto"/>
          <w:sz w:val="24"/>
          <w:szCs w:val="24"/>
          <w:highlight w:val="none"/>
        </w:rPr>
        <w:t>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2"/>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8"/>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2D0D408F"/>
    <w:multiLevelType w:val="singleLevel"/>
    <w:tmpl w:val="2D0D408F"/>
    <w:lvl w:ilvl="0" w:tentative="0">
      <w:start w:val="1"/>
      <w:numFmt w:val="decimal"/>
      <w:suff w:val="nothing"/>
      <w:lvlText w:val="%1、"/>
      <w:lvlJc w:val="left"/>
    </w:lvl>
  </w:abstractNum>
  <w:abstractNum w:abstractNumId="4">
    <w:nsid w:val="4BF31D80"/>
    <w:multiLevelType w:val="singleLevel"/>
    <w:tmpl w:val="4BF31D80"/>
    <w:lvl w:ilvl="0" w:tentative="0">
      <w:start w:val="1"/>
      <w:numFmt w:val="decimal"/>
      <w:suff w:val="nothing"/>
      <w:lvlText w:val="%1、"/>
      <w:lvlJc w:val="left"/>
    </w:lvl>
  </w:abstractNum>
  <w:abstractNum w:abstractNumId="5">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3767F"/>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2F412F"/>
    <w:rsid w:val="02F7533D"/>
    <w:rsid w:val="03562994"/>
    <w:rsid w:val="035A0EDE"/>
    <w:rsid w:val="03C74BB5"/>
    <w:rsid w:val="03CB6D70"/>
    <w:rsid w:val="03D5206B"/>
    <w:rsid w:val="04364A4F"/>
    <w:rsid w:val="043A0F20"/>
    <w:rsid w:val="04754D24"/>
    <w:rsid w:val="04E40895"/>
    <w:rsid w:val="050B0AD1"/>
    <w:rsid w:val="050F7FDE"/>
    <w:rsid w:val="051B7598"/>
    <w:rsid w:val="05577B55"/>
    <w:rsid w:val="056A06BF"/>
    <w:rsid w:val="05F56343"/>
    <w:rsid w:val="083975B8"/>
    <w:rsid w:val="083B43B1"/>
    <w:rsid w:val="08757A2C"/>
    <w:rsid w:val="08A86F0A"/>
    <w:rsid w:val="09A667E8"/>
    <w:rsid w:val="0ABC5AEC"/>
    <w:rsid w:val="0B093D1A"/>
    <w:rsid w:val="0B372B92"/>
    <w:rsid w:val="0C855B7E"/>
    <w:rsid w:val="0C87037B"/>
    <w:rsid w:val="0CEF0CD8"/>
    <w:rsid w:val="0DEA03BD"/>
    <w:rsid w:val="0E0802A4"/>
    <w:rsid w:val="0E1B10A8"/>
    <w:rsid w:val="0E80564C"/>
    <w:rsid w:val="0EA03B8A"/>
    <w:rsid w:val="0EAC0C18"/>
    <w:rsid w:val="0EB25F9A"/>
    <w:rsid w:val="0F0E1360"/>
    <w:rsid w:val="0F8D0176"/>
    <w:rsid w:val="0FA05580"/>
    <w:rsid w:val="115626A3"/>
    <w:rsid w:val="11E608FC"/>
    <w:rsid w:val="12E86716"/>
    <w:rsid w:val="134D0507"/>
    <w:rsid w:val="14082F52"/>
    <w:rsid w:val="14085DAD"/>
    <w:rsid w:val="14233C6D"/>
    <w:rsid w:val="14452035"/>
    <w:rsid w:val="145B3800"/>
    <w:rsid w:val="147E4E1C"/>
    <w:rsid w:val="15B80929"/>
    <w:rsid w:val="16007AF5"/>
    <w:rsid w:val="163A203A"/>
    <w:rsid w:val="17BF20B0"/>
    <w:rsid w:val="17C17C60"/>
    <w:rsid w:val="17C214C3"/>
    <w:rsid w:val="17E977C8"/>
    <w:rsid w:val="1873680D"/>
    <w:rsid w:val="187D188E"/>
    <w:rsid w:val="18AF3306"/>
    <w:rsid w:val="18F12637"/>
    <w:rsid w:val="1922150A"/>
    <w:rsid w:val="19880595"/>
    <w:rsid w:val="1AB46DAB"/>
    <w:rsid w:val="1B374A18"/>
    <w:rsid w:val="1B6C2995"/>
    <w:rsid w:val="1BC44893"/>
    <w:rsid w:val="1BC65F54"/>
    <w:rsid w:val="1BDF2274"/>
    <w:rsid w:val="1C05708F"/>
    <w:rsid w:val="1C307374"/>
    <w:rsid w:val="1C9203A6"/>
    <w:rsid w:val="1E8832A2"/>
    <w:rsid w:val="1F1C5732"/>
    <w:rsid w:val="1F2D5E39"/>
    <w:rsid w:val="1F37249F"/>
    <w:rsid w:val="1FC2316E"/>
    <w:rsid w:val="20336A96"/>
    <w:rsid w:val="206C021E"/>
    <w:rsid w:val="21325ABC"/>
    <w:rsid w:val="21424D60"/>
    <w:rsid w:val="220D3E3F"/>
    <w:rsid w:val="224A02E7"/>
    <w:rsid w:val="227411DF"/>
    <w:rsid w:val="22803312"/>
    <w:rsid w:val="238E7B64"/>
    <w:rsid w:val="24040FBB"/>
    <w:rsid w:val="24856237"/>
    <w:rsid w:val="24FE116D"/>
    <w:rsid w:val="25053D8A"/>
    <w:rsid w:val="25791876"/>
    <w:rsid w:val="26B94C66"/>
    <w:rsid w:val="26CC7C68"/>
    <w:rsid w:val="26FF6942"/>
    <w:rsid w:val="272B74FA"/>
    <w:rsid w:val="28067A29"/>
    <w:rsid w:val="2865301D"/>
    <w:rsid w:val="28732366"/>
    <w:rsid w:val="28C86C87"/>
    <w:rsid w:val="28D41348"/>
    <w:rsid w:val="28FB65E3"/>
    <w:rsid w:val="2919115F"/>
    <w:rsid w:val="296119D7"/>
    <w:rsid w:val="2A3A7A42"/>
    <w:rsid w:val="2A97100B"/>
    <w:rsid w:val="2B401296"/>
    <w:rsid w:val="2D0635AD"/>
    <w:rsid w:val="2DDB1EBF"/>
    <w:rsid w:val="2DF963B5"/>
    <w:rsid w:val="2E6961DD"/>
    <w:rsid w:val="2EA67F31"/>
    <w:rsid w:val="2EC40C57"/>
    <w:rsid w:val="2EE433BF"/>
    <w:rsid w:val="2F2E4A11"/>
    <w:rsid w:val="30334755"/>
    <w:rsid w:val="309A6C96"/>
    <w:rsid w:val="311233CC"/>
    <w:rsid w:val="319E2F70"/>
    <w:rsid w:val="324A67B5"/>
    <w:rsid w:val="32DA1944"/>
    <w:rsid w:val="332E1E50"/>
    <w:rsid w:val="339B1F83"/>
    <w:rsid w:val="34375C94"/>
    <w:rsid w:val="34935BA4"/>
    <w:rsid w:val="34A264CA"/>
    <w:rsid w:val="36BA638E"/>
    <w:rsid w:val="3703456E"/>
    <w:rsid w:val="37A26BD4"/>
    <w:rsid w:val="380D685F"/>
    <w:rsid w:val="386E2C1B"/>
    <w:rsid w:val="39290F4A"/>
    <w:rsid w:val="39FC703A"/>
    <w:rsid w:val="3A4968CA"/>
    <w:rsid w:val="3A776CC5"/>
    <w:rsid w:val="3B6D4312"/>
    <w:rsid w:val="3B7D5E2D"/>
    <w:rsid w:val="3BB9179A"/>
    <w:rsid w:val="3C536A33"/>
    <w:rsid w:val="3CB7521C"/>
    <w:rsid w:val="3CE76215"/>
    <w:rsid w:val="3CFF0303"/>
    <w:rsid w:val="3D7619F9"/>
    <w:rsid w:val="3D96007A"/>
    <w:rsid w:val="3E1201FF"/>
    <w:rsid w:val="3E512B11"/>
    <w:rsid w:val="3E9F1660"/>
    <w:rsid w:val="3F5F332B"/>
    <w:rsid w:val="3F8502F8"/>
    <w:rsid w:val="3FD704B2"/>
    <w:rsid w:val="3FE0447A"/>
    <w:rsid w:val="405854B3"/>
    <w:rsid w:val="409313F9"/>
    <w:rsid w:val="40CA2819"/>
    <w:rsid w:val="40F706D6"/>
    <w:rsid w:val="412D70FE"/>
    <w:rsid w:val="418C72E5"/>
    <w:rsid w:val="41B70218"/>
    <w:rsid w:val="41EC3A6C"/>
    <w:rsid w:val="42A2655E"/>
    <w:rsid w:val="42E71D47"/>
    <w:rsid w:val="436C5E0D"/>
    <w:rsid w:val="440F6ACF"/>
    <w:rsid w:val="441C3545"/>
    <w:rsid w:val="44631084"/>
    <w:rsid w:val="446A549B"/>
    <w:rsid w:val="44800368"/>
    <w:rsid w:val="460B5EC1"/>
    <w:rsid w:val="46871AD6"/>
    <w:rsid w:val="4735560E"/>
    <w:rsid w:val="47413F22"/>
    <w:rsid w:val="47D55FFA"/>
    <w:rsid w:val="481D5A38"/>
    <w:rsid w:val="487975A7"/>
    <w:rsid w:val="48872B1F"/>
    <w:rsid w:val="48C50C50"/>
    <w:rsid w:val="48E72086"/>
    <w:rsid w:val="494D5092"/>
    <w:rsid w:val="49732ED5"/>
    <w:rsid w:val="499917D4"/>
    <w:rsid w:val="4A1079FD"/>
    <w:rsid w:val="4A1D620C"/>
    <w:rsid w:val="4AE21D6F"/>
    <w:rsid w:val="4BC136D0"/>
    <w:rsid w:val="4BF418E4"/>
    <w:rsid w:val="4C2E17B4"/>
    <w:rsid w:val="4D904DD7"/>
    <w:rsid w:val="4D9C287D"/>
    <w:rsid w:val="4DC53F66"/>
    <w:rsid w:val="4E4F4497"/>
    <w:rsid w:val="4F75768A"/>
    <w:rsid w:val="4FEA2AE8"/>
    <w:rsid w:val="50F25C6E"/>
    <w:rsid w:val="51552F81"/>
    <w:rsid w:val="51AB2104"/>
    <w:rsid w:val="52840C61"/>
    <w:rsid w:val="53427976"/>
    <w:rsid w:val="53A63423"/>
    <w:rsid w:val="53CD7A2C"/>
    <w:rsid w:val="54386D63"/>
    <w:rsid w:val="54A36172"/>
    <w:rsid w:val="54B0714A"/>
    <w:rsid w:val="54BC0EE8"/>
    <w:rsid w:val="550D4C07"/>
    <w:rsid w:val="55D41C4B"/>
    <w:rsid w:val="594F1692"/>
    <w:rsid w:val="59566C52"/>
    <w:rsid w:val="5AAF5CCA"/>
    <w:rsid w:val="5AD32383"/>
    <w:rsid w:val="5AD75A27"/>
    <w:rsid w:val="5B6E68B8"/>
    <w:rsid w:val="5B8D6C19"/>
    <w:rsid w:val="5BCE61FA"/>
    <w:rsid w:val="5C7B5930"/>
    <w:rsid w:val="5C9B134E"/>
    <w:rsid w:val="5CE91666"/>
    <w:rsid w:val="5D017965"/>
    <w:rsid w:val="5D580334"/>
    <w:rsid w:val="5DAA1580"/>
    <w:rsid w:val="5DC2572F"/>
    <w:rsid w:val="5E1A6FB5"/>
    <w:rsid w:val="5E754EC0"/>
    <w:rsid w:val="5E7A3CE2"/>
    <w:rsid w:val="5F355496"/>
    <w:rsid w:val="5F881C77"/>
    <w:rsid w:val="61A7533B"/>
    <w:rsid w:val="62B2296D"/>
    <w:rsid w:val="62C266BA"/>
    <w:rsid w:val="631A1780"/>
    <w:rsid w:val="636147EE"/>
    <w:rsid w:val="63677EFB"/>
    <w:rsid w:val="63DB6B9E"/>
    <w:rsid w:val="63F47577"/>
    <w:rsid w:val="65B441A4"/>
    <w:rsid w:val="65D74553"/>
    <w:rsid w:val="66373494"/>
    <w:rsid w:val="66591B82"/>
    <w:rsid w:val="666176C6"/>
    <w:rsid w:val="66790C75"/>
    <w:rsid w:val="67A63985"/>
    <w:rsid w:val="686731DA"/>
    <w:rsid w:val="6898637C"/>
    <w:rsid w:val="68B16D7B"/>
    <w:rsid w:val="68BA7003"/>
    <w:rsid w:val="68C057C9"/>
    <w:rsid w:val="6AC36D45"/>
    <w:rsid w:val="6B735ED1"/>
    <w:rsid w:val="6BE11926"/>
    <w:rsid w:val="6C920572"/>
    <w:rsid w:val="6C9C1458"/>
    <w:rsid w:val="6D5B4E6F"/>
    <w:rsid w:val="6DC31ECB"/>
    <w:rsid w:val="6E4A3E00"/>
    <w:rsid w:val="6E656845"/>
    <w:rsid w:val="6EA64B45"/>
    <w:rsid w:val="6F471F5D"/>
    <w:rsid w:val="710F157A"/>
    <w:rsid w:val="718C3480"/>
    <w:rsid w:val="71BE7433"/>
    <w:rsid w:val="726F354B"/>
    <w:rsid w:val="729606F7"/>
    <w:rsid w:val="72B9765A"/>
    <w:rsid w:val="72F3401B"/>
    <w:rsid w:val="731416B4"/>
    <w:rsid w:val="73712518"/>
    <w:rsid w:val="738E7AB2"/>
    <w:rsid w:val="73972D03"/>
    <w:rsid w:val="73A54F01"/>
    <w:rsid w:val="73DF2037"/>
    <w:rsid w:val="73F47C56"/>
    <w:rsid w:val="74624F7D"/>
    <w:rsid w:val="7546516B"/>
    <w:rsid w:val="756579A1"/>
    <w:rsid w:val="757E5780"/>
    <w:rsid w:val="75AF555B"/>
    <w:rsid w:val="75C126B7"/>
    <w:rsid w:val="76F3488A"/>
    <w:rsid w:val="77281C38"/>
    <w:rsid w:val="77B27D81"/>
    <w:rsid w:val="781828A1"/>
    <w:rsid w:val="78780B98"/>
    <w:rsid w:val="788E06C1"/>
    <w:rsid w:val="78AA6CAB"/>
    <w:rsid w:val="78D76423"/>
    <w:rsid w:val="79E02BD8"/>
    <w:rsid w:val="7A0E4FD1"/>
    <w:rsid w:val="7A3458D0"/>
    <w:rsid w:val="7A4B048B"/>
    <w:rsid w:val="7A96669D"/>
    <w:rsid w:val="7ACD133D"/>
    <w:rsid w:val="7B667A30"/>
    <w:rsid w:val="7B672810"/>
    <w:rsid w:val="7B681B66"/>
    <w:rsid w:val="7C6B2EC5"/>
    <w:rsid w:val="7D3B567D"/>
    <w:rsid w:val="7DA46C42"/>
    <w:rsid w:val="7E300909"/>
    <w:rsid w:val="7E937282"/>
    <w:rsid w:val="7EC84C80"/>
    <w:rsid w:val="7EF55FF4"/>
    <w:rsid w:val="7F2C666B"/>
    <w:rsid w:val="7F565D1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0"/>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qFormat/>
    <w:uiPriority w:val="0"/>
  </w:style>
  <w:style w:type="paragraph" w:styleId="6">
    <w:name w:val="Normal Indent"/>
    <w:basedOn w:val="1"/>
    <w:next w:val="1"/>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semiHidden/>
    <w:unhideWhenUsed/>
    <w:qFormat/>
    <w:uiPriority w:val="0"/>
    <w:pPr>
      <w:jc w:val="left"/>
    </w:pPr>
  </w:style>
  <w:style w:type="paragraph" w:styleId="8">
    <w:name w:val="Plain Text"/>
    <w:basedOn w:val="1"/>
    <w:next w:val="1"/>
    <w:link w:val="29"/>
    <w:qFormat/>
    <w:uiPriority w:val="0"/>
    <w:rPr>
      <w:rFonts w:hint="eastAsia" w:ascii="宋体" w:hAnsi="Courier New" w:eastAsia="宋体" w:cs="Times New Roman"/>
      <w:szCs w:val="21"/>
    </w:rPr>
  </w:style>
  <w:style w:type="paragraph" w:styleId="9">
    <w:name w:val="Balloon Text"/>
    <w:basedOn w:val="1"/>
    <w:link w:val="27"/>
    <w:qFormat/>
    <w:uiPriority w:val="0"/>
    <w:rPr>
      <w:sz w:val="18"/>
      <w:szCs w:val="18"/>
    </w:rPr>
  </w:style>
  <w:style w:type="paragraph" w:styleId="10">
    <w:name w:val="footer"/>
    <w:basedOn w:val="1"/>
    <w:link w:val="26"/>
    <w:qFormat/>
    <w:uiPriority w:val="0"/>
    <w:pPr>
      <w:tabs>
        <w:tab w:val="center" w:pos="4153"/>
        <w:tab w:val="right" w:pos="8306"/>
      </w:tabs>
      <w:snapToGrid w:val="0"/>
      <w:jc w:val="left"/>
    </w:pPr>
    <w:rPr>
      <w:sz w:val="18"/>
      <w:szCs w:val="18"/>
    </w:rPr>
  </w:style>
  <w:style w:type="paragraph" w:styleId="11">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1"/>
    <w:qFormat/>
    <w:uiPriority w:val="0"/>
    <w:rPr>
      <w:rFonts w:asciiTheme="minorHAnsi" w:hAnsiTheme="minorHAnsi" w:eastAsiaTheme="minorEastAsia" w:cstheme="minorBidi"/>
      <w:kern w:val="2"/>
      <w:sz w:val="18"/>
      <w:szCs w:val="18"/>
    </w:rPr>
  </w:style>
  <w:style w:type="character" w:customStyle="1" w:styleId="26">
    <w:name w:val="页脚 Char"/>
    <w:basedOn w:val="14"/>
    <w:link w:val="10"/>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9"/>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8"/>
    <w:qFormat/>
    <w:uiPriority w:val="0"/>
    <w:rPr>
      <w:rFonts w:ascii="宋体" w:hAnsi="Courier New"/>
      <w:kern w:val="2"/>
      <w:sz w:val="21"/>
      <w:szCs w:val="21"/>
    </w:rPr>
  </w:style>
  <w:style w:type="character" w:customStyle="1" w:styleId="30">
    <w:name w:val="正文首行缩进 Char"/>
    <w:basedOn w:val="14"/>
    <w:link w:val="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 w:type="paragraph" w:customStyle="1" w:styleId="35">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16008</Words>
  <Characters>16879</Characters>
  <Lines>139</Lines>
  <Paragraphs>39</Paragraphs>
  <TotalTime>1</TotalTime>
  <ScaleCrop>false</ScaleCrop>
  <LinksUpToDate>false</LinksUpToDate>
  <CharactersWithSpaces>19006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2023-07-17T05:03:11Z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34A582031BBD4A8392FE98AAD5F97DA6</vt:lpwstr>
  </property>
</Properties>
</file>