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hint="eastAsia" w:ascii="宋体" w:hAnsi="宋体" w:eastAsia="黑体" w:cs="宋体"/>
          <w:b/>
          <w:color w:val="auto"/>
          <w:sz w:val="44"/>
          <w:szCs w:val="44"/>
          <w:highlight w:val="none"/>
          <w:lang w:eastAsia="zh-CN"/>
        </w:rPr>
      </w:pPr>
      <w:r>
        <w:rPr>
          <w:rFonts w:hint="eastAsia" w:ascii="宋体" w:hAnsi="宋体" w:eastAsia="黑体"/>
          <w:color w:val="auto"/>
          <w:sz w:val="48"/>
          <w:szCs w:val="48"/>
          <w:highlight w:val="none"/>
          <w:lang w:eastAsia="zh-CN"/>
        </w:rPr>
        <w:t>南沙天后墟商业古街项目设计服务</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pPr>
        <w:spacing w:line="360" w:lineRule="auto"/>
        <w:ind w:firstLine="2123" w:firstLineChars="661"/>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2023年</w:t>
      </w:r>
      <w:r>
        <w:rPr>
          <w:rFonts w:hint="eastAsia" w:ascii="宋体" w:hAnsi="宋体" w:eastAsia="宋体" w:cs="宋体"/>
          <w:b/>
          <w:color w:val="auto"/>
          <w:sz w:val="32"/>
          <w:szCs w:val="32"/>
          <w:highlight w:val="none"/>
          <w:lang w:val="en-US" w:eastAsia="zh-CN"/>
        </w:rPr>
        <w:t>7</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lang w:val="en-US" w:eastAsia="zh-CN"/>
        </w:rPr>
        <w:t>18日</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1"/>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12"/>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南沙天后墟商业古街项目设计服务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rPr>
              <w:t>广州市南沙</w:t>
            </w:r>
            <w:r>
              <w:rPr>
                <w:rFonts w:hint="eastAsia" w:ascii="宋体" w:hAnsi="宋体" w:eastAsia="宋体" w:cs="宋体"/>
                <w:color w:val="auto"/>
                <w:highlight w:val="none"/>
                <w:lang w:eastAsia="zh-CN"/>
              </w:rPr>
              <w:t>区天后宫</w:t>
            </w:r>
            <w:r>
              <w:rPr>
                <w:rFonts w:hint="eastAsia" w:ascii="宋体" w:hAnsi="宋体" w:eastAsia="宋体" w:cs="宋体"/>
                <w:color w:val="auto"/>
                <w:sz w:val="21"/>
                <w:szCs w:val="21"/>
                <w:highlight w:val="none"/>
                <w:lang w:eastAsia="zh-CN"/>
              </w:rPr>
              <w:t>景区内</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rPr>
              <w:t>项目地块位于天后宫景区东南侧，毗邻滨海公园，规划总用地面积约9387㎡，建设内容包括:妈祖会馆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商业建筑(临时性可移动)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西门门楼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东门门楼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古街主干道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园路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停车场</w:t>
            </w:r>
            <w:r>
              <w:rPr>
                <w:rFonts w:hint="eastAsia" w:ascii="宋体" w:hAnsi="宋体" w:eastAsia="宋体" w:cs="宋体"/>
                <w:color w:val="auto"/>
                <w:sz w:val="21"/>
                <w:szCs w:val="21"/>
                <w:highlight w:val="none"/>
                <w:lang w:val="en-US" w:eastAsia="zh-CN"/>
              </w:rPr>
              <w:t>等，详见设计任务书</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总投资约</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zh-CN"/>
              </w:rPr>
              <w:t>00</w:t>
            </w:r>
            <w:r>
              <w:rPr>
                <w:rFonts w:hint="eastAsia" w:ascii="宋体" w:hAnsi="宋体" w:eastAsia="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eastAsia="宋体" w:cs="宋体"/>
                <w:color w:val="auto"/>
                <w:kern w:val="0"/>
                <w:sz w:val="21"/>
                <w:szCs w:val="21"/>
                <w:highlight w:val="none"/>
              </w:rPr>
              <w:t>完成项目工程可行性研究、初步设计及评审</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含概算</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、施工图设计</w:t>
            </w:r>
            <w:r>
              <w:rPr>
                <w:rFonts w:hint="eastAsia" w:ascii="宋体" w:hAnsi="宋体" w:eastAsia="宋体" w:cs="宋体"/>
                <w:color w:val="auto"/>
                <w:kern w:val="0"/>
                <w:sz w:val="21"/>
                <w:szCs w:val="21"/>
                <w:highlight w:val="none"/>
                <w:lang w:eastAsia="zh-CN"/>
              </w:rPr>
              <w:t>、竣工图审核等工作</w:t>
            </w:r>
            <w:r>
              <w:rPr>
                <w:rFonts w:hint="eastAsia" w:ascii="宋体" w:hAnsi="宋体" w:eastAsia="宋体" w:cs="宋体"/>
                <w:color w:val="auto"/>
                <w:kern w:val="0"/>
                <w:sz w:val="21"/>
                <w:szCs w:val="21"/>
                <w:highlight w:val="none"/>
              </w:rPr>
              <w:t>，具体</w:t>
            </w:r>
            <w:r>
              <w:rPr>
                <w:rFonts w:hint="eastAsia" w:ascii="宋体" w:hAnsi="宋体" w:eastAsia="宋体" w:cs="宋体"/>
                <w:color w:val="auto"/>
                <w:kern w:val="0"/>
                <w:sz w:val="21"/>
                <w:szCs w:val="21"/>
                <w:highlight w:val="none"/>
                <w:lang w:eastAsia="zh-CN"/>
              </w:rPr>
              <w:t>内容详见设计任务书</w:t>
            </w:r>
            <w:r>
              <w:rPr>
                <w:rFonts w:hint="eastAsia" w:ascii="宋体" w:hAnsi="宋体" w:eastAsia="宋体" w:cs="宋体"/>
                <w:color w:val="auto"/>
                <w:highlight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自招标人发出</w:t>
            </w:r>
            <w:r>
              <w:rPr>
                <w:rFonts w:hint="eastAsia" w:ascii="宋体" w:hAnsi="宋体" w:eastAsia="宋体" w:cs="宋体"/>
                <w:color w:val="auto"/>
                <w:sz w:val="21"/>
                <w:szCs w:val="21"/>
                <w:highlight w:val="none"/>
                <w:lang w:val="en-US" w:eastAsia="zh-CN"/>
              </w:rPr>
              <w:t>中标通知书后，至项目完成财评结算止。</w:t>
            </w:r>
          </w:p>
          <w:p>
            <w:pPr>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具体出图要求如下：</w:t>
            </w:r>
          </w:p>
          <w:p>
            <w:p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1、初步设计及评审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含概算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的工期要求：发出中标通知书后</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日历天内完成。</w:t>
            </w:r>
          </w:p>
          <w:p>
            <w:p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2、施工图设计的工期要求：发出中标通知书后</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0日历天内完成。</w:t>
            </w:r>
          </w:p>
          <w:p>
            <w:p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3、在收到</w:t>
            </w:r>
            <w:r>
              <w:rPr>
                <w:rFonts w:hint="eastAsia" w:ascii="宋体" w:hAnsi="宋体" w:eastAsia="宋体" w:cs="宋体"/>
                <w:color w:val="auto"/>
                <w:sz w:val="21"/>
                <w:szCs w:val="21"/>
                <w:highlight w:val="none"/>
                <w:lang w:val="en-US" w:eastAsia="zh-CN"/>
              </w:rPr>
              <w:t>招标人</w:t>
            </w:r>
            <w:r>
              <w:rPr>
                <w:rFonts w:hint="eastAsia" w:ascii="宋体" w:hAnsi="宋体" w:eastAsia="宋体" w:cs="宋体"/>
                <w:color w:val="auto"/>
                <w:sz w:val="21"/>
                <w:szCs w:val="21"/>
                <w:highlight w:val="none"/>
              </w:rPr>
              <w:t>发出的财评中心对图纸疑问及补充修改等要求后，需在24小时内完成回复。</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4、在收到</w:t>
            </w:r>
            <w:r>
              <w:rPr>
                <w:rFonts w:hint="eastAsia" w:ascii="宋体" w:hAnsi="宋体" w:eastAsia="宋体" w:cs="宋体"/>
                <w:color w:val="auto"/>
                <w:sz w:val="21"/>
                <w:szCs w:val="21"/>
                <w:highlight w:val="none"/>
                <w:lang w:val="en-US" w:eastAsia="zh-CN"/>
              </w:rPr>
              <w:t>招标人</w:t>
            </w:r>
            <w:r>
              <w:rPr>
                <w:rFonts w:hint="eastAsia" w:ascii="宋体" w:hAnsi="宋体" w:eastAsia="宋体" w:cs="宋体"/>
                <w:color w:val="auto"/>
                <w:sz w:val="21"/>
                <w:szCs w:val="21"/>
                <w:highlight w:val="none"/>
              </w:rPr>
              <w:t>发出的有关设计变更等工作联系函后，需在48小时内完成回复。</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投标人具有建设行政主管部门颁发的建筑行业设计</w:t>
            </w:r>
            <w:r>
              <w:rPr>
                <w:rFonts w:hint="eastAsia" w:ascii="宋体" w:hAnsi="宋体" w:eastAsia="宋体" w:cs="宋体"/>
                <w:color w:val="auto"/>
                <w:highlight w:val="none"/>
                <w:lang w:val="en-US" w:eastAsia="zh-CN"/>
              </w:rPr>
              <w:t>乙</w:t>
            </w:r>
            <w:r>
              <w:rPr>
                <w:rFonts w:hint="eastAsia" w:ascii="宋体" w:hAnsi="宋体" w:eastAsia="宋体" w:cs="宋体"/>
                <w:color w:val="auto"/>
                <w:highlight w:val="none"/>
              </w:rPr>
              <w:t>级资质或建筑行业（建筑工程）专业</w:t>
            </w:r>
            <w:r>
              <w:rPr>
                <w:rFonts w:hint="eastAsia" w:ascii="宋体" w:hAnsi="宋体" w:eastAsia="宋体" w:cs="宋体"/>
                <w:color w:val="auto"/>
                <w:highlight w:val="none"/>
                <w:lang w:eastAsia="zh-CN"/>
              </w:rPr>
              <w:t>设计</w:t>
            </w:r>
            <w:r>
              <w:rPr>
                <w:rFonts w:hint="eastAsia" w:ascii="宋体" w:hAnsi="宋体" w:eastAsia="宋体" w:cs="宋体"/>
                <w:color w:val="auto"/>
                <w:highlight w:val="none"/>
                <w:lang w:eastAsia="zh-CN"/>
              </w:rPr>
              <w:t>乙</w:t>
            </w:r>
            <w:r>
              <w:rPr>
                <w:rFonts w:hint="eastAsia" w:ascii="宋体" w:hAnsi="宋体" w:eastAsia="宋体" w:cs="宋体"/>
                <w:color w:val="auto"/>
                <w:highlight w:val="none"/>
              </w:rPr>
              <w:t>级资质</w:t>
            </w:r>
            <w:r>
              <w:rPr>
                <w:rFonts w:hint="eastAsia" w:ascii="宋体" w:hAnsi="宋体" w:eastAsia="宋体" w:cs="宋体"/>
                <w:color w:val="auto"/>
                <w:highlight w:val="none"/>
                <w:lang w:eastAsia="zh-CN"/>
              </w:rPr>
              <w:t>。</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1、项目负责人要求：具有</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级注册建筑师资格证书。</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2、其他专业负责人要求：</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（1）具有建筑相关专业中级职称或以上；</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（2）具有结构相关专业中级职称或以上；</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（3）具有给排水相关专业中级职称或以上；</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（4）具有暖通相关专业中级职称或以上；</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（5）具有电气相关专业中级职称或以上</w:t>
            </w:r>
            <w:r>
              <w:rPr>
                <w:rFonts w:hint="eastAsia" w:ascii="宋体" w:hAnsi="宋体" w:eastAsia="宋体" w:cs="宋体"/>
                <w:color w:val="auto"/>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spacing w:line="360" w:lineRule="auto"/>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本次设计服务招标最高投标限价为</w:t>
            </w:r>
            <w:r>
              <w:rPr>
                <w:rFonts w:hint="eastAsia" w:ascii="宋体" w:hAnsi="宋体" w:eastAsia="宋体" w:cs="宋体"/>
                <w:color w:val="auto"/>
                <w:sz w:val="21"/>
                <w:szCs w:val="21"/>
                <w:highlight w:val="none"/>
                <w:lang w:val="en-US" w:eastAsia="zh-CN"/>
              </w:rPr>
              <w:t>425309.98</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暂按工程建安费</w:t>
            </w:r>
            <w:r>
              <w:rPr>
                <w:rFonts w:hint="eastAsia" w:ascii="宋体" w:hAnsi="宋体" w:eastAsia="宋体" w:cs="宋体"/>
                <w:color w:val="auto"/>
                <w:sz w:val="21"/>
                <w:szCs w:val="21"/>
                <w:highlight w:val="none"/>
                <w:lang w:val="en-US" w:eastAsia="zh-CN"/>
              </w:rPr>
              <w:t>931.60</w:t>
            </w:r>
            <w:r>
              <w:rPr>
                <w:rFonts w:hint="eastAsia" w:ascii="宋体" w:hAnsi="宋体" w:eastAsia="宋体" w:cs="宋体"/>
                <w:color w:val="auto"/>
                <w:sz w:val="21"/>
                <w:szCs w:val="21"/>
                <w:highlight w:val="none"/>
              </w:rPr>
              <w:t>万元为计费基数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参照国家发展计划委员会、建设部2002年颁布的《工程勘察设计收费标准》计价格【2002】10号文</w:t>
            </w:r>
            <w:r>
              <w:rPr>
                <w:rFonts w:hint="eastAsia" w:ascii="宋体" w:hAnsi="宋体" w:eastAsia="宋体" w:cs="宋体"/>
                <w:color w:val="auto"/>
                <w:sz w:val="21"/>
                <w:szCs w:val="21"/>
                <w:highlight w:val="none"/>
                <w:lang w:eastAsia="zh-CN"/>
              </w:rPr>
              <w:t>为计费标准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结合</w:t>
            </w:r>
            <w:r>
              <w:rPr>
                <w:rFonts w:hint="eastAsia" w:ascii="宋体" w:hAnsi="宋体" w:eastAsia="宋体" w:cs="宋体"/>
                <w:color w:val="auto"/>
                <w:sz w:val="21"/>
                <w:szCs w:val="21"/>
                <w:highlight w:val="none"/>
              </w:rPr>
              <w:t>设计费调整系数（</w:t>
            </w:r>
            <w:r>
              <w:rPr>
                <w:rFonts w:hint="eastAsia" w:ascii="宋体" w:hAnsi="宋体" w:eastAsia="宋体" w:cs="宋体"/>
                <w:b w:val="0"/>
                <w:bCs w:val="0"/>
                <w:color w:val="auto"/>
                <w:kern w:val="2"/>
                <w:sz w:val="21"/>
                <w:szCs w:val="21"/>
                <w:highlight w:val="none"/>
                <w:lang w:val="en-US" w:eastAsia="zh-CN" w:bidi="ar-SA"/>
              </w:rPr>
              <w:t>专业调整系数1.0，工程复杂程度调整系数为1.0，附加调整系数为1.3</w:t>
            </w:r>
            <w:r>
              <w:rPr>
                <w:rFonts w:hint="eastAsia" w:ascii="宋体" w:hAnsi="宋体" w:eastAsia="宋体" w:cs="宋体"/>
                <w:color w:val="auto"/>
                <w:sz w:val="21"/>
                <w:szCs w:val="21"/>
                <w:highlight w:val="none"/>
              </w:rPr>
              <w:t>）计算出基本设计费用</w:t>
            </w:r>
            <w:r>
              <w:rPr>
                <w:rFonts w:hint="eastAsia" w:ascii="宋体" w:hAnsi="宋体" w:eastAsia="宋体" w:cs="宋体"/>
                <w:color w:val="auto"/>
                <w:sz w:val="21"/>
                <w:szCs w:val="21"/>
                <w:highlight w:val="none"/>
                <w:lang w:val="en-US" w:eastAsia="zh-CN"/>
              </w:rPr>
              <w:t>472566.64元，</w:t>
            </w:r>
            <w:r>
              <w:rPr>
                <w:rFonts w:hint="eastAsia" w:ascii="宋体" w:hAnsi="宋体" w:eastAsia="宋体" w:cs="宋体"/>
                <w:color w:val="auto"/>
                <w:sz w:val="21"/>
                <w:szCs w:val="21"/>
                <w:highlight w:val="none"/>
              </w:rPr>
              <w:t>再乘以（1-下浮率</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）计算得出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p>
          <w:p>
            <w:pPr>
              <w:pStyle w:val="2"/>
              <w:spacing w:line="360" w:lineRule="auto"/>
              <w:ind w:firstLine="0"/>
              <w:rPr>
                <w:rFonts w:hint="eastAsia" w:ascii="宋体" w:hAnsi="宋体" w:eastAsia="宋体" w:cs="宋体"/>
                <w:color w:val="auto"/>
                <w:sz w:val="21"/>
                <w:szCs w:val="21"/>
                <w:highlight w:val="none"/>
                <w:lang w:eastAsia="zh-CN"/>
              </w:rPr>
            </w:pPr>
            <w:r>
              <w:rPr>
                <w:rFonts w:hint="eastAsia" w:ascii="宋体" w:hAnsi="宋体" w:eastAsia="宋体" w:cs="宋体"/>
                <w:snapToGrid/>
                <w:color w:val="auto"/>
                <w:sz w:val="21"/>
                <w:szCs w:val="21"/>
                <w:highlight w:val="none"/>
                <w:lang w:val="en-US" w:eastAsia="zh-CN"/>
              </w:rPr>
              <w:t>设计</w:t>
            </w:r>
            <w:r>
              <w:rPr>
                <w:rFonts w:hint="eastAsia" w:ascii="宋体" w:hAnsi="宋体" w:eastAsia="宋体" w:cs="宋体"/>
                <w:snapToGrid/>
                <w:color w:val="auto"/>
                <w:sz w:val="21"/>
                <w:szCs w:val="21"/>
                <w:highlight w:val="none"/>
              </w:rPr>
              <w:t>结算价以</w:t>
            </w:r>
            <w:r>
              <w:rPr>
                <w:rFonts w:hint="eastAsia" w:ascii="宋体" w:hAnsi="宋体" w:eastAsia="宋体" w:cs="宋体"/>
                <w:snapToGrid/>
                <w:color w:val="auto"/>
                <w:sz w:val="21"/>
                <w:szCs w:val="21"/>
                <w:highlight w:val="none"/>
                <w:lang w:val="en-US" w:eastAsia="zh-CN"/>
              </w:rPr>
              <w:t>最终业主审定为准的</w:t>
            </w:r>
            <w:r>
              <w:rPr>
                <w:rFonts w:hint="eastAsia" w:ascii="宋体" w:hAnsi="宋体" w:eastAsia="宋体" w:cs="宋体"/>
                <w:snapToGrid/>
                <w:color w:val="auto"/>
                <w:sz w:val="21"/>
                <w:szCs w:val="21"/>
                <w:highlight w:val="none"/>
              </w:rPr>
              <w:t>建安工程费</w:t>
            </w:r>
            <w:r>
              <w:rPr>
                <w:rFonts w:hint="eastAsia" w:ascii="宋体" w:hAnsi="宋体" w:eastAsia="宋体" w:cs="宋体"/>
                <w:snapToGrid/>
                <w:color w:val="auto"/>
                <w:sz w:val="21"/>
                <w:szCs w:val="21"/>
                <w:highlight w:val="none"/>
                <w:lang w:val="en-US" w:eastAsia="zh-CN"/>
              </w:rPr>
              <w:t>的招标控制价</w:t>
            </w:r>
            <w:r>
              <w:rPr>
                <w:rFonts w:hint="eastAsia" w:ascii="宋体" w:hAnsi="宋体" w:eastAsia="宋体" w:cs="宋体"/>
                <w:snapToGrid/>
                <w:color w:val="auto"/>
                <w:sz w:val="21"/>
                <w:szCs w:val="21"/>
                <w:highlight w:val="none"/>
              </w:rPr>
              <w:t>为计费基数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参照国家发展计划委员会、建设部2002年颁布的《工程勘察设计收费标准》计价格【2002】10号文</w:t>
            </w:r>
            <w:r>
              <w:rPr>
                <w:rFonts w:hint="eastAsia" w:ascii="宋体" w:hAnsi="宋体" w:eastAsia="宋体" w:cs="宋体"/>
                <w:color w:val="auto"/>
                <w:sz w:val="21"/>
                <w:szCs w:val="21"/>
                <w:highlight w:val="none"/>
                <w:lang w:eastAsia="zh-CN"/>
              </w:rPr>
              <w:t>为计费标准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结合</w:t>
            </w:r>
            <w:r>
              <w:rPr>
                <w:rFonts w:hint="eastAsia" w:ascii="宋体" w:hAnsi="宋体" w:eastAsia="宋体" w:cs="宋体"/>
                <w:color w:val="auto"/>
                <w:sz w:val="21"/>
                <w:szCs w:val="21"/>
                <w:highlight w:val="none"/>
              </w:rPr>
              <w:t>设计费调整系数（</w:t>
            </w:r>
            <w:r>
              <w:rPr>
                <w:rFonts w:hint="eastAsia" w:ascii="宋体" w:hAnsi="宋体" w:eastAsia="宋体" w:cs="宋体"/>
                <w:b w:val="0"/>
                <w:bCs w:val="0"/>
                <w:color w:val="auto"/>
                <w:kern w:val="2"/>
                <w:sz w:val="21"/>
                <w:szCs w:val="21"/>
                <w:highlight w:val="none"/>
                <w:lang w:val="en-US" w:eastAsia="zh-CN" w:bidi="ar-SA"/>
              </w:rPr>
              <w:t>专业调整系数1.0，工程复杂程度调整系数为1.0，附加调整系数为1.3</w:t>
            </w:r>
            <w:r>
              <w:rPr>
                <w:rFonts w:hint="eastAsia" w:ascii="宋体" w:hAnsi="宋体" w:eastAsia="宋体" w:cs="宋体"/>
                <w:color w:val="auto"/>
                <w:sz w:val="21"/>
                <w:szCs w:val="21"/>
                <w:highlight w:val="none"/>
              </w:rPr>
              <w:t>）计算出基本设计费用，再乘以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1-投标下浮率</w:t>
            </w:r>
            <w:r>
              <w:rPr>
                <w:rFonts w:hint="eastAsia" w:ascii="宋体" w:hAnsi="宋体" w:eastAsia="宋体" w:cs="宋体"/>
                <w:color w:val="auto"/>
                <w:sz w:val="21"/>
                <w:szCs w:val="21"/>
                <w:highlight w:val="none"/>
                <w:lang w:val="en-US" w:eastAsia="zh-CN"/>
              </w:rPr>
              <w:t>），</w:t>
            </w:r>
            <w:r>
              <w:rPr>
                <w:rFonts w:hint="eastAsia" w:ascii="宋体" w:hAnsi="宋体" w:eastAsia="宋体" w:cs="宋体"/>
                <w:bCs w:val="0"/>
                <w:color w:val="auto"/>
                <w:sz w:val="21"/>
                <w:szCs w:val="21"/>
                <w:highlight w:val="none"/>
                <w:lang w:val="en-US" w:eastAsia="zh-CN"/>
              </w:rPr>
              <w:t>投标下浮率=1-投标报价/</w:t>
            </w:r>
            <w:r>
              <w:rPr>
                <w:rFonts w:hint="eastAsia" w:ascii="宋体" w:hAnsi="宋体" w:eastAsia="宋体" w:cs="宋体"/>
                <w:color w:val="auto"/>
                <w:sz w:val="21"/>
                <w:szCs w:val="21"/>
                <w:highlight w:val="none"/>
                <w:lang w:val="en-US" w:eastAsia="zh-CN"/>
              </w:rPr>
              <w:t>472566.64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基本设计费用</w:t>
            </w:r>
            <w:r>
              <w:rPr>
                <w:rFonts w:hint="eastAsia" w:ascii="宋体" w:hAnsi="宋体" w:eastAsia="宋体" w:cs="宋体"/>
                <w:bCs w:val="0"/>
                <w:color w:val="auto"/>
                <w:sz w:val="21"/>
                <w:szCs w:val="21"/>
                <w:highlight w:val="none"/>
                <w:lang w:val="en-US" w:eastAsia="zh-CN"/>
              </w:rPr>
              <w:t>）*100%。</w:t>
            </w:r>
            <w:r>
              <w:rPr>
                <w:rFonts w:hint="eastAsia" w:ascii="宋体" w:hAnsi="宋体" w:eastAsia="宋体" w:cs="宋体"/>
                <w:snapToGrid/>
                <w:color w:val="auto"/>
                <w:sz w:val="21"/>
                <w:szCs w:val="21"/>
                <w:highlight w:val="none"/>
                <w:lang w:val="en-US" w:eastAsia="zh-CN"/>
              </w:rPr>
              <w:t>设计</w:t>
            </w:r>
            <w:r>
              <w:rPr>
                <w:rFonts w:hint="eastAsia" w:ascii="宋体" w:hAnsi="宋体" w:eastAsia="宋体" w:cs="宋体"/>
                <w:snapToGrid/>
                <w:color w:val="auto"/>
                <w:sz w:val="21"/>
                <w:szCs w:val="21"/>
                <w:highlight w:val="none"/>
              </w:rPr>
              <w:t>结算价</w:t>
            </w:r>
            <w:r>
              <w:rPr>
                <w:rFonts w:hint="eastAsia" w:ascii="宋体" w:hAnsi="宋体" w:eastAsia="宋体" w:cs="宋体"/>
                <w:snapToGrid/>
                <w:color w:val="auto"/>
                <w:sz w:val="21"/>
                <w:szCs w:val="21"/>
                <w:highlight w:val="none"/>
                <w:lang w:eastAsia="zh-CN"/>
              </w:rPr>
              <w:t>不得超过中标价，若超过，则以中标价进行结算。</w:t>
            </w:r>
          </w:p>
          <w:p>
            <w:pPr>
              <w:pStyle w:val="2"/>
              <w:widowControl/>
              <w:spacing w:before="0" w:line="360" w:lineRule="auto"/>
              <w:ind w:right="0" w:rightChars="0" w:firstLine="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设计服务</w:t>
            </w:r>
            <w:r>
              <w:rPr>
                <w:rFonts w:hint="eastAsia" w:ascii="宋体" w:hAnsi="宋体" w:eastAsia="宋体" w:cs="宋体"/>
                <w:color w:val="auto"/>
                <w:kern w:val="2"/>
                <w:sz w:val="21"/>
                <w:szCs w:val="21"/>
                <w:highlight w:val="none"/>
              </w:rPr>
              <w:t>费包含完成该设计项目的成本、利润、税金、图纸资料文印费、</w:t>
            </w:r>
            <w:r>
              <w:rPr>
                <w:rFonts w:hint="eastAsia" w:ascii="宋体" w:hAnsi="宋体" w:eastAsia="宋体" w:cs="宋体"/>
                <w:color w:val="auto"/>
                <w:kern w:val="2"/>
                <w:sz w:val="21"/>
                <w:szCs w:val="21"/>
                <w:highlight w:val="none"/>
                <w:lang w:val="en-US" w:eastAsia="zh-CN"/>
              </w:rPr>
              <w:t>分包费</w:t>
            </w:r>
            <w:r>
              <w:rPr>
                <w:rFonts w:hint="eastAsia" w:ascii="宋体" w:hAnsi="宋体" w:eastAsia="宋体" w:cs="宋体"/>
                <w:color w:val="auto"/>
                <w:kern w:val="2"/>
                <w:sz w:val="21"/>
                <w:szCs w:val="21"/>
                <w:highlight w:val="none"/>
              </w:rPr>
              <w:t>、专家评审费等一切费用，投标人应考虑上述情况进行投标下浮率的报价。</w:t>
            </w:r>
            <w:r>
              <w:rPr>
                <w:rFonts w:hint="eastAsia" w:ascii="宋体" w:hAnsi="宋体" w:eastAsia="宋体" w:cs="宋体"/>
                <w:color w:val="auto"/>
                <w:kern w:val="2"/>
                <w:sz w:val="21"/>
                <w:szCs w:val="21"/>
                <w:highlight w:val="none"/>
                <w:lang w:val="en-US" w:eastAsia="zh-CN"/>
              </w:rPr>
              <w:t>投标报价超过最高投标限价的为废标。</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u w:val="none"/>
                <w:lang w:eastAsia="zh-CN"/>
              </w:rPr>
              <w:t>伍仟</w:t>
            </w:r>
            <w:r>
              <w:rPr>
                <w:rFonts w:hint="eastAsia" w:ascii="宋体" w:hAnsi="宋体" w:eastAsia="宋体" w:cs="宋体"/>
                <w:color w:val="auto"/>
                <w:szCs w:val="21"/>
                <w:highlight w:val="none"/>
                <w:u w:val="none"/>
              </w:rPr>
              <w:t>元</w:t>
            </w:r>
            <w:r>
              <w:rPr>
                <w:rFonts w:hint="eastAsia" w:ascii="宋体" w:hAnsi="宋体" w:eastAsia="宋体" w:cs="宋体"/>
                <w:color w:val="auto"/>
                <w:szCs w:val="21"/>
                <w:highlight w:val="none"/>
              </w:rPr>
              <w:t>。</w:t>
            </w:r>
          </w:p>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账户名称：广州南沙建设维护管理有限公司</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开户银行：中国工商银行广东自由贸易试验区南沙分行 </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u w:val="none"/>
              </w:rPr>
              <w:t>前</w:t>
            </w:r>
            <w:r>
              <w:rPr>
                <w:rFonts w:hint="eastAsia" w:ascii="宋体" w:hAnsi="宋体" w:eastAsia="宋体" w:cs="宋体"/>
                <w:color w:val="auto"/>
                <w:szCs w:val="21"/>
                <w:highlight w:val="none"/>
              </w:rPr>
              <w:t>以投标人转出【以招标单位查询的信息为准，汇款时备注：</w:t>
            </w:r>
            <w:r>
              <w:rPr>
                <w:rFonts w:hint="eastAsia" w:ascii="宋体" w:hAnsi="宋体" w:eastAsia="宋体" w:cs="宋体"/>
                <w:color w:val="auto"/>
                <w:szCs w:val="21"/>
                <w:highlight w:val="none"/>
                <w:lang w:eastAsia="zh-CN"/>
              </w:rPr>
              <w:t>南沙天后墟商业古街项目设计服务</w:t>
            </w:r>
            <w:r>
              <w:rPr>
                <w:rFonts w:hint="eastAsia" w:ascii="宋体" w:hAnsi="宋体" w:eastAsia="宋体" w:cs="宋体"/>
                <w:color w:val="auto"/>
                <w:szCs w:val="21"/>
                <w:highlight w:val="none"/>
              </w:rPr>
              <w:t>投标保证金】</w:t>
            </w:r>
          </w:p>
          <w:p>
            <w:pPr>
              <w:pStyle w:val="12"/>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lang w:eastAsia="zh-CN"/>
              </w:rPr>
              <w:t>2023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rPr>
              <w:t>前</w:t>
            </w:r>
          </w:p>
          <w:p>
            <w:pPr>
              <w:pStyle w:val="12"/>
              <w:widowControl/>
              <w:spacing w:after="0" w:line="320" w:lineRule="exact"/>
              <w:ind w:firstLine="0"/>
              <w:rPr>
                <w:rFonts w:hint="eastAsia" w:ascii="宋体" w:hAnsi="宋体" w:eastAsia="宋体" w:cs="宋体"/>
                <w:b/>
                <w:color w:val="auto"/>
                <w:highlight w:val="none"/>
              </w:rPr>
            </w:pPr>
            <w:r>
              <w:rPr>
                <w:rFonts w:hint="eastAsia" w:ascii="宋体" w:hAnsi="宋体" w:eastAsia="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20" w:lineRule="exac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2"/>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2.1本招标项目按照《中华人民共和国招标投标法》等有关法律、行政法规和部门规章，采取邀请招标的办法，选择有经验、有实力、社会信誉好的设计咨询单位承担设计服务，确保本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设计服务</w:t>
      </w:r>
      <w:r>
        <w:rPr>
          <w:rFonts w:hint="eastAsia" w:ascii="宋体" w:hAnsi="宋体" w:eastAsia="宋体" w:cs="宋体"/>
          <w:color w:val="auto"/>
          <w:sz w:val="24"/>
          <w:highlight w:val="none"/>
          <w:lang w:eastAsia="zh-CN"/>
        </w:rPr>
        <w:t>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11.5公司法人营业执照及设计资质证书复印件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w:t>
      </w:r>
      <w:r>
        <w:rPr>
          <w:rFonts w:hint="eastAsia" w:ascii="宋体" w:hAnsi="宋体" w:eastAsia="宋体" w:cs="宋体"/>
          <w:color w:val="auto"/>
          <w:sz w:val="24"/>
          <w:highlight w:val="none"/>
          <w:lang w:eastAsia="zh-CN"/>
        </w:rPr>
        <w:t>简介</w:t>
      </w:r>
      <w:r>
        <w:rPr>
          <w:rFonts w:hint="eastAsia" w:ascii="宋体" w:hAnsi="宋体" w:eastAsia="宋体" w:cs="宋体"/>
          <w:color w:val="auto"/>
          <w:sz w:val="24"/>
          <w:highlight w:val="none"/>
        </w:rPr>
        <w:t>（按招标文件第2章格式填写）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pStyle w:val="7"/>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w:t>
      </w:r>
      <w:r>
        <w:rPr>
          <w:rFonts w:hint="eastAsia" w:hAnsi="宋体" w:cs="宋体"/>
          <w:color w:val="auto"/>
          <w:sz w:val="24"/>
          <w:highlight w:val="none"/>
          <w:lang w:eastAsia="zh-CN"/>
        </w:rPr>
        <w:t>需为带有公司印章的电子版，</w:t>
      </w:r>
      <w:r>
        <w:rPr>
          <w:rFonts w:hAnsi="宋体" w:cs="宋体"/>
          <w:color w:val="auto"/>
          <w:sz w:val="24"/>
          <w:highlight w:val="none"/>
        </w:rPr>
        <w:t>刻录光盘或提供U盘）</w:t>
      </w:r>
    </w:p>
    <w:p>
      <w:pPr>
        <w:pStyle w:val="7"/>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13.3投标报价方式：投标单位自行报价（总投标价不得超过最高投标限价，否则按废标处理）。（小数点后保留二位小数，第三位小数四舍五入）</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本招标(项目)的设计咨询合同将授予按本须知第27.3款所确定的中标人。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32.3中标人在投标过程使用的投标人名称、银行名称和账号至项目完成竣工结算不得变更，否则，招标人有权停止设计服务款项的拨付及至解除合同，由此造成的一切责任由中标人承担。</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3"/>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南沙天后墟商业古街项目设计服务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1、我方经分析研究了贵方提供的招标文件中的项目介绍、投标人须知、合同条件以及本次招标答疑或澄清文件后，我公司愿意以投标报价表中承诺报价，完成贵方设计任务，并提供增值税专业发票税率为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%，并按合同条件的要求，承担并完成设计服务任务。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4、在正式签订设计服务合同之前，本投标书连同贵方的中标通知书应成为约束贵、我双方的合同文件。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南沙天后墟商业古街项目设计服务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不包括项目负责人）：建筑、结构、给排水、暖通、电气各配备1名负责人，具有相应专业中级或以上职称；各专业人员根据项目进度完成设计任务及施工配合服务。</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9647675"/>
      <w:bookmarkEnd w:id="11"/>
      <w:bookmarkStart w:id="12" w:name="_Toc459403394"/>
      <w:bookmarkEnd w:id="12"/>
      <w:bookmarkStart w:id="13" w:name="_Toc196130013"/>
      <w:bookmarkEnd w:id="13"/>
      <w:bookmarkStart w:id="14" w:name="_Toc196130110"/>
      <w:bookmarkEnd w:id="14"/>
      <w:bookmarkStart w:id="15" w:name="_Toc196036941"/>
      <w:bookmarkEnd w:id="15"/>
      <w:bookmarkStart w:id="16" w:name="_Toc197235848"/>
      <w:bookmarkEnd w:id="16"/>
      <w:bookmarkStart w:id="17" w:name="_Toc415833503"/>
      <w:bookmarkEnd w:id="17"/>
      <w:bookmarkStart w:id="18" w:name="_Toc196037097"/>
      <w:bookmarkEnd w:id="18"/>
      <w:bookmarkStart w:id="19" w:name="_Toc415728297"/>
      <w:bookmarkEnd w:id="19"/>
      <w:bookmarkStart w:id="20" w:name="_Toc326909213"/>
      <w:bookmarkEnd w:id="20"/>
      <w:bookmarkStart w:id="21" w:name="_Toc4182270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728298"/>
      <w:bookmarkEnd w:id="24"/>
      <w:bookmarkStart w:id="25" w:name="_Toc196130014"/>
      <w:bookmarkEnd w:id="25"/>
      <w:bookmarkStart w:id="26" w:name="_Toc196130111"/>
      <w:bookmarkEnd w:id="26"/>
      <w:bookmarkStart w:id="27" w:name="_Toc415833504"/>
      <w:bookmarkEnd w:id="27"/>
      <w:bookmarkStart w:id="28" w:name="_Toc199647676"/>
      <w:bookmarkEnd w:id="28"/>
      <w:bookmarkStart w:id="29" w:name="_Toc197235849"/>
      <w:bookmarkEnd w:id="29"/>
      <w:bookmarkStart w:id="30" w:name="_Toc326909214"/>
      <w:bookmarkEnd w:id="30"/>
      <w:bookmarkStart w:id="31" w:name="_Toc459403395"/>
      <w:bookmarkEnd w:id="31"/>
      <w:bookmarkStart w:id="32" w:name="_Toc196037098"/>
      <w:bookmarkEnd w:id="32"/>
      <w:bookmarkStart w:id="33" w:name="_Toc196036942"/>
      <w:bookmarkEnd w:id="33"/>
      <w:bookmarkStart w:id="34" w:name="_Toc462911099"/>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hint="eastAsia" w:ascii="仿宋" w:hAnsi="仿宋" w:eastAsia="仿宋" w:cs="仿宋"/>
          <w:color w:val="auto"/>
          <w:kern w:val="24"/>
          <w:sz w:val="24"/>
          <w:highlight w:val="none"/>
          <w:lang w:val="en-US" w:eastAsia="zh-CN"/>
        </w:rPr>
        <w:t>8</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197235850"/>
      <w:bookmarkEnd w:id="35"/>
      <w:bookmarkStart w:id="36" w:name="_Toc41822705"/>
      <w:bookmarkEnd w:id="36"/>
      <w:bookmarkStart w:id="37" w:name="_Toc196037099"/>
      <w:bookmarkEnd w:id="37"/>
      <w:bookmarkStart w:id="38" w:name="_Toc196130112"/>
      <w:bookmarkEnd w:id="38"/>
      <w:bookmarkStart w:id="39" w:name="_Toc199647677"/>
      <w:bookmarkEnd w:id="39"/>
      <w:bookmarkStart w:id="40" w:name="_Toc196130015"/>
      <w:bookmarkEnd w:id="40"/>
      <w:bookmarkStart w:id="41" w:name="_Toc196036943"/>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注：1、投标人提供的同类项目业绩证明资料附于该表后面。业绩证明资料须提供：（1）合同；相关证明资料必须能反映出评标所需指标，否则相应子项不予计分；时间以合同文件签订时间为准。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注：1、“拟承担工作”栏，应注明主要设计咨询人员（须注明项目负责人、各专业负责人）等。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宋体"/>
          <w:b/>
          <w:color w:val="auto"/>
          <w:sz w:val="36"/>
          <w:szCs w:val="36"/>
          <w:highlight w:val="none"/>
          <w:lang w:eastAsia="zh-CN"/>
        </w:rPr>
      </w:pPr>
      <w:r>
        <w:rPr>
          <w:rFonts w:hint="eastAsia" w:ascii="仿宋" w:hAnsi="仿宋" w:eastAsia="仿宋" w:cs="宋体"/>
          <w:b/>
          <w:color w:val="auto"/>
          <w:sz w:val="36"/>
          <w:szCs w:val="36"/>
          <w:highlight w:val="none"/>
        </w:rPr>
        <w:t>项目负责人</w:t>
      </w:r>
      <w:r>
        <w:rPr>
          <w:rFonts w:hint="eastAsia" w:ascii="仿宋" w:hAnsi="仿宋" w:eastAsia="仿宋" w:cs="宋体"/>
          <w:b/>
          <w:color w:val="auto"/>
          <w:sz w:val="36"/>
          <w:szCs w:val="36"/>
          <w:highlight w:val="none"/>
          <w:lang w:eastAsia="zh-CN"/>
        </w:rPr>
        <w:t>简介</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2、须附执业证书及资格证书（如有）、身份证、职称证书等证明材料（复印件，加盖单位公章）。</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711" w:type="dxa"/>
            <w:vMerge w:val="restart"/>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投标报价（元）</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Merge w:val="continue"/>
            <w:vAlign w:val="center"/>
          </w:tcPr>
          <w:p>
            <w:pPr>
              <w:autoSpaceDE w:val="0"/>
              <w:autoSpaceDN w:val="0"/>
              <w:adjustRightInd w:val="0"/>
              <w:snapToGrid w:val="0"/>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lang w:val="zh-CN"/>
              </w:rPr>
              <w:t>投标下浮率（</w:t>
            </w:r>
            <w:r>
              <w:rPr>
                <w:rFonts w:ascii="宋体" w:hAnsi="宋体" w:cs="宋体"/>
                <w:bCs/>
                <w:color w:val="auto"/>
                <w:szCs w:val="21"/>
                <w:highlight w:val="none"/>
              </w:rPr>
              <w:t>%</w:t>
            </w:r>
            <w:r>
              <w:rPr>
                <w:rFonts w:hint="eastAsia" w:ascii="宋体" w:hAnsi="宋体" w:cs="宋体"/>
                <w:bCs/>
                <w:color w:val="auto"/>
                <w:szCs w:val="21"/>
                <w:highlight w:val="none"/>
                <w:lang w:val="zh-CN"/>
              </w:rPr>
              <w:t>）</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bl>
    <w:p>
      <w:pPr>
        <w:pStyle w:val="7"/>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7"/>
        <w:spacing w:line="360" w:lineRule="auto"/>
        <w:rPr>
          <w:rFonts w:hint="default" w:hAnsi="宋体" w:cs="宋体"/>
          <w:bCs/>
          <w:color w:val="auto"/>
          <w:highlight w:val="none"/>
        </w:rPr>
      </w:pPr>
      <w:r>
        <w:rPr>
          <w:rFonts w:hAnsi="宋体" w:cs="宋体"/>
          <w:bCs/>
          <w:color w:val="auto"/>
          <w:highlight w:val="none"/>
        </w:rPr>
        <w:t>（1）投标报价的大写金额和小写金额不一致的，以大写金额为准，投标报价精确到小数点后两位。</w:t>
      </w:r>
    </w:p>
    <w:p>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 w:val="21"/>
          <w:szCs w:val="21"/>
          <w:highlight w:val="none"/>
        </w:rPr>
        <w:t>本次设计服务招标最高投</w:t>
      </w:r>
      <w:r>
        <w:rPr>
          <w:rFonts w:hint="eastAsia" w:ascii="宋体" w:hAnsi="宋体" w:eastAsia="宋体" w:cs="宋体"/>
          <w:color w:val="auto"/>
          <w:sz w:val="21"/>
          <w:szCs w:val="21"/>
          <w:highlight w:val="none"/>
        </w:rPr>
        <w:t>标限价为</w:t>
      </w:r>
      <w:r>
        <w:rPr>
          <w:rFonts w:hint="eastAsia" w:ascii="宋体" w:hAnsi="宋体" w:eastAsia="宋体" w:cs="宋体"/>
          <w:color w:val="auto"/>
          <w:sz w:val="21"/>
          <w:szCs w:val="21"/>
          <w:highlight w:val="none"/>
          <w:lang w:val="en-US" w:eastAsia="zh-CN"/>
        </w:rPr>
        <w:t>425309.98</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Cs w:val="21"/>
          <w:highlight w:val="none"/>
        </w:rPr>
        <w:t>投标报价不得超过最高投标限价</w:t>
      </w:r>
      <w:r>
        <w:rPr>
          <w:rFonts w:hint="eastAsia" w:ascii="宋体" w:hAnsi="宋体" w:eastAsia="宋体" w:cs="宋体"/>
          <w:bCs/>
          <w:color w:val="auto"/>
          <w:szCs w:val="21"/>
          <w:highlight w:val="none"/>
        </w:rPr>
        <w:t>，否则按废标处理。</w:t>
      </w:r>
    </w:p>
    <w:p>
      <w:pPr>
        <w:spacing w:line="360" w:lineRule="auto"/>
        <w:rPr>
          <w:rFonts w:hAnsi="宋体"/>
          <w:b/>
          <w:color w:val="auto"/>
          <w:highlight w:val="none"/>
        </w:rPr>
      </w:pP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投标下浮率=1-投标</w:t>
      </w:r>
      <w:r>
        <w:rPr>
          <w:rFonts w:hint="eastAsia" w:ascii="宋体" w:hAnsi="宋体" w:eastAsia="宋体" w:cs="宋体"/>
          <w:bCs w:val="0"/>
          <w:color w:val="auto"/>
          <w:szCs w:val="21"/>
          <w:highlight w:val="none"/>
          <w:lang w:val="en-US" w:eastAsia="zh-CN"/>
        </w:rPr>
        <w:t>报价/</w:t>
      </w:r>
      <w:r>
        <w:rPr>
          <w:rFonts w:hint="eastAsia" w:ascii="宋体" w:hAnsi="宋体" w:eastAsia="宋体" w:cs="宋体"/>
          <w:color w:val="auto"/>
          <w:sz w:val="21"/>
          <w:szCs w:val="21"/>
          <w:highlight w:val="none"/>
          <w:lang w:val="en-US" w:eastAsia="zh-CN"/>
        </w:rPr>
        <w:t>472566.64元（</w:t>
      </w:r>
      <w:r>
        <w:rPr>
          <w:rFonts w:hint="eastAsia" w:ascii="宋体" w:hAnsi="宋体" w:eastAsia="宋体" w:cs="宋体"/>
          <w:color w:val="auto"/>
          <w:sz w:val="21"/>
          <w:szCs w:val="21"/>
          <w:highlight w:val="none"/>
        </w:rPr>
        <w:t>基本设计费用</w:t>
      </w:r>
      <w:r>
        <w:rPr>
          <w:rFonts w:hint="eastAsia" w:ascii="宋体" w:hAnsi="宋体" w:eastAsia="宋体" w:cs="宋体"/>
          <w:bCs w:val="0"/>
          <w:color w:val="auto"/>
          <w:szCs w:val="21"/>
          <w:highlight w:val="none"/>
          <w:lang w:val="en-US" w:eastAsia="zh-CN"/>
        </w:rPr>
        <w:t>）*</w:t>
      </w:r>
      <w:r>
        <w:rPr>
          <w:rFonts w:hint="eastAsia" w:ascii="宋体" w:hAnsi="宋体" w:eastAsia="宋体" w:cs="宋体"/>
          <w:bCs/>
          <w:color w:val="auto"/>
          <w:szCs w:val="21"/>
          <w:highlight w:val="none"/>
          <w:lang w:val="en-US" w:eastAsia="zh-CN"/>
        </w:rPr>
        <w:t>100%。</w:t>
      </w: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pStyle w:val="7"/>
        <w:rPr>
          <w:rFonts w:hint="default"/>
          <w:color w:val="auto"/>
          <w:highlight w:val="none"/>
        </w:rPr>
      </w:pPr>
    </w:p>
    <w:p>
      <w:pPr>
        <w:jc w:val="left"/>
        <w:rPr>
          <w:b/>
          <w:color w:val="auto"/>
          <w:sz w:val="24"/>
          <w:highlight w:val="none"/>
        </w:rPr>
      </w:pPr>
      <w:r>
        <w:rPr>
          <w:rFonts w:hint="eastAsia" w:ascii="宋体" w:hAnsi="宋体" w:eastAsia="宋体" w:cs="宋体"/>
          <w:color w:val="auto"/>
          <w:sz w:val="24"/>
          <w:highlight w:val="none"/>
        </w:rPr>
        <w:t xml:space="preserve"> </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spacing w:line="240" w:lineRule="auto"/>
        <w:rPr>
          <w:rFonts w:hint="eastAsia" w:ascii="宋体" w:hAnsi="宋体" w:eastAsia="宋体" w:cs="宋体"/>
          <w:color w:val="auto"/>
          <w:sz w:val="24"/>
          <w:highlight w:val="none"/>
        </w:rPr>
      </w:pPr>
      <w:r>
        <w:rPr>
          <w:b/>
          <w:color w:val="auto"/>
          <w:sz w:val="24"/>
          <w:highlight w:val="none"/>
        </w:rPr>
        <w:br w:type="page"/>
      </w:r>
    </w:p>
    <w:p>
      <w:pPr>
        <w:pStyle w:val="2"/>
        <w:rPr>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7"/>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若中标人在实际工作中服务质量存在问题，未能表现出符合要求的设计水平，经招标人研究确定，可解除与中标人的合同关系，并按照中标候选人顺序依次选取新的中标人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pStyle w:val="7"/>
        <w:rPr>
          <w:rFonts w:hint="default" w:ascii="仿宋" w:hAnsi="仿宋" w:eastAsia="仿宋" w:cs="仿宋"/>
          <w:color w:val="auto"/>
          <w:sz w:val="28"/>
          <w:szCs w:val="28"/>
          <w:highlight w:val="none"/>
        </w:rPr>
      </w:pPr>
    </w:p>
    <w:p>
      <w:pPr>
        <w:pStyle w:val="7"/>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投标报价不超过最高投标限价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p>
      <w:pPr>
        <w:snapToGrid w:val="0"/>
        <w:ind w:left="74"/>
        <w:rPr>
          <w:rFonts w:ascii="仿宋" w:hAnsi="仿宋" w:eastAsia="仿宋" w:cs="宋体"/>
          <w:color w:val="auto"/>
          <w:sz w:val="24"/>
          <w:highlight w:val="none"/>
        </w:rPr>
      </w:pPr>
    </w:p>
    <w:tbl>
      <w:tblPr>
        <w:tblStyle w:val="13"/>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01"/>
        <w:gridCol w:w="735"/>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27"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评审内容</w:t>
            </w:r>
          </w:p>
        </w:tc>
        <w:tc>
          <w:tcPr>
            <w:tcW w:w="1101"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评分因素</w:t>
            </w:r>
          </w:p>
        </w:tc>
        <w:tc>
          <w:tcPr>
            <w:tcW w:w="735"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得分</w:t>
            </w:r>
          </w:p>
        </w:tc>
        <w:tc>
          <w:tcPr>
            <w:tcW w:w="5428"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商务部分</w:t>
            </w:r>
          </w:p>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分）</w:t>
            </w:r>
          </w:p>
        </w:tc>
        <w:tc>
          <w:tcPr>
            <w:tcW w:w="1101"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kern w:val="0"/>
                <w:szCs w:val="21"/>
                <w:highlight w:val="none"/>
              </w:rPr>
              <w:t>企业资质</w:t>
            </w:r>
          </w:p>
        </w:tc>
        <w:tc>
          <w:tcPr>
            <w:tcW w:w="735" w:type="dxa"/>
            <w:noWrap w:val="0"/>
            <w:vAlign w:val="center"/>
          </w:tcPr>
          <w:p>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5428" w:type="dxa"/>
            <w:noWrap w:val="0"/>
            <w:vAlign w:val="center"/>
          </w:tcPr>
          <w:p>
            <w:pPr>
              <w:autoSpaceDE w:val="0"/>
              <w:autoSpaceDN w:val="0"/>
              <w:adjustRightInd w:val="0"/>
              <w:spacing w:line="360" w:lineRule="auto"/>
              <w:ind w:right="-65" w:rightChars="-31"/>
              <w:rPr>
                <w:rFonts w:hint="eastAsia" w:ascii="宋体" w:hAnsi="宋体" w:cs="宋体"/>
                <w:color w:val="auto"/>
                <w:szCs w:val="21"/>
                <w:highlight w:val="none"/>
              </w:rPr>
            </w:pPr>
            <w:r>
              <w:rPr>
                <w:rFonts w:hint="eastAsia" w:ascii="宋体" w:hAnsi="宋体" w:cs="宋体"/>
                <w:color w:val="auto"/>
                <w:szCs w:val="21"/>
                <w:highlight w:val="none"/>
              </w:rPr>
              <w:t>1、具备工程设计综合资质甲级资质的，得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eastAsiaTheme="minorEastAsia"/>
                <w:color w:val="auto"/>
                <w:sz w:val="21"/>
                <w:szCs w:val="21"/>
                <w:highlight w:val="none"/>
              </w:rPr>
              <w:t>具有建筑行业设计</w:t>
            </w:r>
            <w:r>
              <w:rPr>
                <w:rFonts w:hint="eastAsia" w:ascii="宋体" w:hAnsi="宋体" w:cs="宋体" w:eastAsiaTheme="minorEastAsia"/>
                <w:color w:val="auto"/>
                <w:sz w:val="21"/>
                <w:szCs w:val="21"/>
                <w:highlight w:val="none"/>
                <w:lang w:eastAsia="zh-CN"/>
              </w:rPr>
              <w:t>甲</w:t>
            </w:r>
            <w:r>
              <w:rPr>
                <w:rFonts w:hint="eastAsia" w:ascii="宋体" w:hAnsi="宋体" w:cs="宋体" w:eastAsiaTheme="minorEastAsia"/>
                <w:color w:val="auto"/>
                <w:sz w:val="21"/>
                <w:szCs w:val="21"/>
                <w:highlight w:val="none"/>
              </w:rPr>
              <w:t>级资质或建筑行业（建筑工程）专业</w:t>
            </w:r>
            <w:r>
              <w:rPr>
                <w:rFonts w:hint="eastAsia" w:ascii="宋体" w:hAnsi="宋体" w:cs="宋体" w:eastAsiaTheme="minorEastAsia"/>
                <w:color w:val="auto"/>
                <w:sz w:val="21"/>
                <w:szCs w:val="21"/>
                <w:highlight w:val="none"/>
                <w:lang w:eastAsia="zh-CN"/>
              </w:rPr>
              <w:t>设计甲</w:t>
            </w:r>
            <w:r>
              <w:rPr>
                <w:rFonts w:hint="eastAsia" w:ascii="宋体" w:hAnsi="宋体" w:cs="宋体" w:eastAsiaTheme="minorEastAsia"/>
                <w:color w:val="auto"/>
                <w:sz w:val="21"/>
                <w:szCs w:val="21"/>
                <w:highlight w:val="none"/>
              </w:rPr>
              <w:t>级资质</w:t>
            </w:r>
            <w:r>
              <w:rPr>
                <w:rFonts w:hint="eastAsia" w:ascii="宋体" w:hAnsi="宋体" w:cs="宋体" w:eastAsiaTheme="minorEastAsia"/>
                <w:color w:val="auto"/>
                <w:sz w:val="21"/>
                <w:szCs w:val="21"/>
                <w:highlight w:val="none"/>
                <w:lang w:eastAsia="zh-CN"/>
              </w:rPr>
              <w:t>的，得</w:t>
            </w:r>
            <w:r>
              <w:rPr>
                <w:rFonts w:hint="eastAsia" w:ascii="宋体" w:hAnsi="宋体" w:cs="宋体"/>
                <w:color w:val="auto"/>
                <w:sz w:val="21"/>
                <w:szCs w:val="21"/>
                <w:highlight w:val="none"/>
                <w:lang w:val="en-US" w:eastAsia="zh-CN"/>
              </w:rPr>
              <w:t>1</w:t>
            </w:r>
            <w:r>
              <w:rPr>
                <w:rFonts w:hint="eastAsia" w:ascii="宋体" w:hAnsi="宋体" w:cs="宋体" w:eastAsiaTheme="minorEastAsia"/>
                <w:color w:val="auto"/>
                <w:sz w:val="21"/>
                <w:szCs w:val="21"/>
                <w:highlight w:val="none"/>
                <w:lang w:val="en-US" w:eastAsia="zh-CN"/>
              </w:rPr>
              <w:t>分</w:t>
            </w:r>
            <w:r>
              <w:rPr>
                <w:rFonts w:hint="eastAsia" w:ascii="宋体" w:hAnsi="宋体" w:cs="宋体"/>
                <w:color w:val="auto"/>
                <w:szCs w:val="21"/>
                <w:highlight w:val="none"/>
              </w:rPr>
              <w:t>。</w:t>
            </w:r>
            <w:r>
              <w:rPr>
                <w:rFonts w:hint="eastAsia" w:ascii="宋体" w:hAnsi="宋体" w:cs="宋体"/>
                <w:color w:val="auto"/>
                <w:szCs w:val="21"/>
                <w:highlight w:val="none"/>
                <w:lang w:eastAsia="zh-CN"/>
              </w:rPr>
              <w:t>本小项最多得</w:t>
            </w:r>
            <w:r>
              <w:rPr>
                <w:rFonts w:hint="eastAsia" w:ascii="宋体" w:hAnsi="宋体" w:cs="宋体"/>
                <w:color w:val="auto"/>
                <w:szCs w:val="21"/>
                <w:highlight w:val="none"/>
                <w:lang w:val="en-US" w:eastAsia="zh-CN"/>
              </w:rPr>
              <w:t>2分。</w:t>
            </w:r>
          </w:p>
          <w:p>
            <w:pPr>
              <w:numPr>
                <w:ilvl w:val="-1"/>
                <w:numId w:val="0"/>
              </w:numPr>
              <w:adjustRightInd w:val="0"/>
              <w:snapToGrid w:val="0"/>
              <w:spacing w:line="360" w:lineRule="auto"/>
              <w:ind w:left="0" w:firstLine="0"/>
              <w:rPr>
                <w:rFonts w:hint="default" w:eastAsiaTheme="minorEastAsia"/>
                <w:color w:val="auto"/>
                <w:szCs w:val="21"/>
                <w:highlight w:val="none"/>
                <w:lang w:val="en-US" w:eastAsia="zh-CN"/>
              </w:rPr>
            </w:pPr>
            <w:r>
              <w:rPr>
                <w:rFonts w:hint="eastAsia" w:ascii="宋体" w:hAnsi="宋体" w:cs="宋体"/>
                <w:color w:val="auto"/>
                <w:szCs w:val="21"/>
                <w:highlight w:val="none"/>
              </w:rPr>
              <w:t>2、</w:t>
            </w:r>
            <w:r>
              <w:rPr>
                <w:rFonts w:hint="eastAsia"/>
                <w:color w:val="auto"/>
                <w:szCs w:val="21"/>
                <w:highlight w:val="none"/>
                <w:lang w:eastAsia="zh-CN"/>
              </w:rPr>
              <w:t>具有</w:t>
            </w:r>
            <w:r>
              <w:rPr>
                <w:rFonts w:hint="eastAsia"/>
                <w:color w:val="auto"/>
                <w:szCs w:val="21"/>
                <w:highlight w:val="none"/>
              </w:rPr>
              <w:t>城乡规划编制资质甲级的</w:t>
            </w:r>
            <w:r>
              <w:rPr>
                <w:rFonts w:hint="eastAsia"/>
                <w:color w:val="auto"/>
                <w:szCs w:val="21"/>
                <w:highlight w:val="none"/>
                <w:lang w:eastAsia="zh-CN"/>
              </w:rPr>
              <w:t>，得</w:t>
            </w:r>
            <w:r>
              <w:rPr>
                <w:rFonts w:hint="eastAsia"/>
                <w:color w:val="auto"/>
                <w:szCs w:val="21"/>
                <w:highlight w:val="none"/>
                <w:lang w:val="en-US" w:eastAsia="zh-CN"/>
              </w:rPr>
              <w:t>2</w:t>
            </w:r>
            <w:r>
              <w:rPr>
                <w:rFonts w:hint="eastAsia"/>
                <w:color w:val="auto"/>
                <w:szCs w:val="21"/>
                <w:highlight w:val="none"/>
              </w:rPr>
              <w:t>分；</w:t>
            </w:r>
            <w:r>
              <w:rPr>
                <w:rFonts w:hint="eastAsia"/>
                <w:color w:val="auto"/>
                <w:szCs w:val="21"/>
                <w:highlight w:val="none"/>
                <w:lang w:eastAsia="zh-CN"/>
              </w:rPr>
              <w:t>具有</w:t>
            </w:r>
            <w:r>
              <w:rPr>
                <w:rFonts w:hint="eastAsia"/>
                <w:color w:val="auto"/>
                <w:szCs w:val="21"/>
                <w:highlight w:val="none"/>
              </w:rPr>
              <w:t>城乡规划编制资质乙级的</w:t>
            </w:r>
            <w:r>
              <w:rPr>
                <w:rFonts w:hint="eastAsia"/>
                <w:color w:val="auto"/>
                <w:szCs w:val="21"/>
                <w:highlight w:val="none"/>
                <w:lang w:eastAsia="zh-CN"/>
              </w:rPr>
              <w:t>，得</w:t>
            </w:r>
            <w:r>
              <w:rPr>
                <w:rFonts w:hint="eastAsia"/>
                <w:color w:val="auto"/>
                <w:szCs w:val="21"/>
                <w:highlight w:val="none"/>
                <w:lang w:val="en-US" w:eastAsia="zh-CN"/>
              </w:rPr>
              <w:t>1</w:t>
            </w:r>
            <w:r>
              <w:rPr>
                <w:rFonts w:hint="eastAsia"/>
                <w:color w:val="auto"/>
                <w:szCs w:val="21"/>
                <w:highlight w:val="none"/>
              </w:rPr>
              <w:t>分</w:t>
            </w:r>
            <w:r>
              <w:rPr>
                <w:rFonts w:hint="eastAsia"/>
                <w:color w:val="auto"/>
                <w:szCs w:val="21"/>
                <w:highlight w:val="none"/>
                <w:lang w:eastAsia="zh-CN"/>
              </w:rPr>
              <w:t>。本小项最多得</w:t>
            </w:r>
            <w:r>
              <w:rPr>
                <w:rFonts w:hint="eastAsia"/>
                <w:color w:val="auto"/>
                <w:szCs w:val="21"/>
                <w:highlight w:val="none"/>
                <w:lang w:val="en-US" w:eastAsia="zh-CN"/>
              </w:rPr>
              <w:t>2分。</w:t>
            </w:r>
          </w:p>
          <w:p>
            <w:pPr>
              <w:spacing w:line="360" w:lineRule="auto"/>
              <w:rPr>
                <w:rFonts w:hint="eastAsia" w:ascii="宋体" w:hAnsi="宋体" w:cs="宋体"/>
                <w:color w:val="auto"/>
                <w:szCs w:val="21"/>
                <w:highlight w:val="none"/>
              </w:rPr>
            </w:pPr>
            <w:r>
              <w:rPr>
                <w:rFonts w:hint="eastAsia"/>
                <w:color w:val="auto"/>
                <w:szCs w:val="21"/>
                <w:highlight w:val="none"/>
              </w:rPr>
              <w:t>注：资质</w:t>
            </w:r>
            <w:r>
              <w:rPr>
                <w:rFonts w:hint="eastAsia"/>
                <w:color w:val="auto"/>
                <w:szCs w:val="21"/>
                <w:highlight w:val="none"/>
                <w:lang w:eastAsia="zh-CN"/>
              </w:rPr>
              <w:t>证书必须在</w:t>
            </w:r>
            <w:r>
              <w:rPr>
                <w:rFonts w:hint="eastAsia"/>
                <w:color w:val="auto"/>
                <w:szCs w:val="21"/>
                <w:highlight w:val="none"/>
              </w:rPr>
              <w:t>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noWrap w:val="0"/>
            <w:vAlign w:val="center"/>
          </w:tcPr>
          <w:p>
            <w:pPr>
              <w:spacing w:line="360" w:lineRule="auto"/>
              <w:jc w:val="center"/>
              <w:rPr>
                <w:rFonts w:hint="eastAsia" w:ascii="宋体" w:hAnsi="宋体" w:cs="宋体"/>
                <w:color w:val="auto"/>
                <w:szCs w:val="21"/>
                <w:highlight w:val="none"/>
              </w:rPr>
            </w:pPr>
          </w:p>
        </w:tc>
        <w:tc>
          <w:tcPr>
            <w:tcW w:w="1101" w:type="dxa"/>
            <w:noWrap w:val="0"/>
            <w:vAlign w:val="center"/>
          </w:tcPr>
          <w:p>
            <w:pPr>
              <w:spacing w:line="360" w:lineRule="auto"/>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企业业绩</w:t>
            </w:r>
          </w:p>
        </w:tc>
        <w:tc>
          <w:tcPr>
            <w:tcW w:w="735" w:type="dxa"/>
            <w:noWrap w:val="0"/>
            <w:vAlign w:val="center"/>
          </w:tcPr>
          <w:p>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5428" w:type="dxa"/>
            <w:noWrap w:val="0"/>
            <w:vAlign w:val="center"/>
          </w:tcPr>
          <w:p>
            <w:pPr>
              <w:spacing w:line="360" w:lineRule="auto"/>
              <w:rPr>
                <w:rFonts w:hint="default"/>
                <w:color w:val="auto"/>
                <w:highlight w:val="none"/>
              </w:rPr>
            </w:pPr>
            <w:r>
              <w:rPr>
                <w:rFonts w:hint="eastAsia" w:ascii="宋体" w:hAnsi="宋体" w:cs="宋体"/>
                <w:color w:val="auto"/>
                <w:szCs w:val="21"/>
                <w:highlight w:val="none"/>
              </w:rPr>
              <w:t>2018年1月1日至今独立承担过设计面积1000平方米或以上的建筑工程类项目设计业绩，每项得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注：企业业绩认定证明材料需提供设计合同复印件；业绩认定时间以设计合同签订时间为准。如业绩资料不能证明评标所需指标，须另提供经业主确认的证明资料复印件，无证明材料不计分。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spacing w:line="360" w:lineRule="auto"/>
              <w:jc w:val="center"/>
              <w:rPr>
                <w:rFonts w:hint="eastAsia" w:ascii="宋体" w:hAnsi="宋体" w:cs="宋体"/>
                <w:color w:val="auto"/>
                <w:szCs w:val="21"/>
                <w:highlight w:val="none"/>
              </w:rPr>
            </w:pPr>
          </w:p>
        </w:tc>
        <w:tc>
          <w:tcPr>
            <w:tcW w:w="1101" w:type="dxa"/>
            <w:noWrap w:val="0"/>
            <w:vAlign w:val="center"/>
          </w:tcPr>
          <w:p>
            <w:pPr>
              <w:spacing w:line="360" w:lineRule="auto"/>
              <w:jc w:val="center"/>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企业</w:t>
            </w:r>
            <w:r>
              <w:rPr>
                <w:rFonts w:hint="eastAsia" w:ascii="宋体" w:hAnsi="宋体" w:cs="宋体"/>
                <w:color w:val="auto"/>
                <w:szCs w:val="21"/>
                <w:highlight w:val="none"/>
                <w:lang w:eastAsia="zh-CN"/>
              </w:rPr>
              <w:t>实力</w:t>
            </w:r>
          </w:p>
        </w:tc>
        <w:tc>
          <w:tcPr>
            <w:tcW w:w="735" w:type="dxa"/>
            <w:noWrap w:val="0"/>
            <w:vAlign w:val="center"/>
          </w:tcPr>
          <w:p>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5428" w:type="dxa"/>
            <w:noWrap w:val="0"/>
            <w:vAlign w:val="center"/>
          </w:tcPr>
          <w:p>
            <w:pPr>
              <w:spacing w:line="360" w:lineRule="auto"/>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201</w:t>
            </w:r>
            <w:r>
              <w:rPr>
                <w:rFonts w:hint="eastAsia"/>
                <w:color w:val="auto"/>
                <w:szCs w:val="21"/>
                <w:highlight w:val="none"/>
                <w:lang w:val="en-US" w:eastAsia="zh-CN"/>
              </w:rPr>
              <w:t>8</w:t>
            </w:r>
            <w:r>
              <w:rPr>
                <w:rFonts w:hint="eastAsia"/>
                <w:color w:val="auto"/>
                <w:szCs w:val="21"/>
                <w:highlight w:val="none"/>
              </w:rPr>
              <w:t>年1月1日至今，投标人获得省级</w:t>
            </w:r>
            <w:r>
              <w:rPr>
                <w:rFonts w:hint="eastAsia"/>
                <w:color w:val="auto"/>
                <w:szCs w:val="21"/>
                <w:highlight w:val="none"/>
                <w:lang w:eastAsia="zh-CN"/>
              </w:rPr>
              <w:t>或以上</w:t>
            </w:r>
            <w:r>
              <w:rPr>
                <w:rFonts w:hint="eastAsia"/>
                <w:color w:val="auto"/>
                <w:szCs w:val="21"/>
                <w:highlight w:val="none"/>
              </w:rPr>
              <w:t>政府</w:t>
            </w:r>
            <w:r>
              <w:rPr>
                <w:rFonts w:hint="eastAsia"/>
                <w:color w:val="auto"/>
                <w:szCs w:val="21"/>
                <w:highlight w:val="none"/>
                <w:lang w:eastAsia="zh-CN"/>
              </w:rPr>
              <w:t>部门</w:t>
            </w:r>
            <w:r>
              <w:rPr>
                <w:rFonts w:hint="eastAsia"/>
                <w:color w:val="auto"/>
                <w:szCs w:val="21"/>
                <w:highlight w:val="none"/>
              </w:rPr>
              <w:t>颁发的“科学技术奖”或“科技进步奖”等科技奖项的，每项得</w:t>
            </w:r>
            <w:r>
              <w:rPr>
                <w:rFonts w:hint="eastAsia"/>
                <w:color w:val="auto"/>
                <w:szCs w:val="21"/>
                <w:highlight w:val="none"/>
                <w:lang w:val="en-US" w:eastAsia="zh-CN"/>
              </w:rPr>
              <w:t>4</w:t>
            </w:r>
            <w:r>
              <w:rPr>
                <w:rFonts w:hint="eastAsia"/>
                <w:color w:val="auto"/>
                <w:szCs w:val="21"/>
                <w:highlight w:val="none"/>
              </w:rPr>
              <w:t>分，市级政府</w:t>
            </w:r>
            <w:r>
              <w:rPr>
                <w:rFonts w:hint="eastAsia"/>
                <w:color w:val="auto"/>
                <w:szCs w:val="21"/>
                <w:highlight w:val="none"/>
                <w:lang w:eastAsia="zh-CN"/>
              </w:rPr>
              <w:t>部门</w:t>
            </w:r>
            <w:r>
              <w:rPr>
                <w:rFonts w:hint="eastAsia"/>
                <w:color w:val="auto"/>
                <w:szCs w:val="21"/>
                <w:highlight w:val="none"/>
              </w:rPr>
              <w:t>颁发的“科学技术奖”或“科技进步奖”等科技奖项的，每项得2分</w:t>
            </w:r>
            <w:r>
              <w:rPr>
                <w:rFonts w:hint="eastAsia"/>
                <w:color w:val="auto"/>
                <w:szCs w:val="21"/>
                <w:highlight w:val="none"/>
                <w:lang w:eastAsia="zh-CN"/>
              </w:rPr>
              <w:t>。</w:t>
            </w:r>
            <w:r>
              <w:rPr>
                <w:rFonts w:hint="eastAsia"/>
                <w:color w:val="auto"/>
                <w:szCs w:val="21"/>
                <w:highlight w:val="none"/>
              </w:rPr>
              <w:t>本</w:t>
            </w:r>
            <w:r>
              <w:rPr>
                <w:rFonts w:hint="eastAsia"/>
                <w:color w:val="auto"/>
                <w:szCs w:val="21"/>
                <w:highlight w:val="none"/>
                <w:lang w:eastAsia="zh-CN"/>
              </w:rPr>
              <w:t>小</w:t>
            </w:r>
            <w:r>
              <w:rPr>
                <w:rFonts w:hint="eastAsia"/>
                <w:color w:val="auto"/>
                <w:szCs w:val="21"/>
                <w:highlight w:val="none"/>
              </w:rPr>
              <w:t>项最高得</w:t>
            </w:r>
            <w:r>
              <w:rPr>
                <w:rFonts w:hint="eastAsia"/>
                <w:color w:val="auto"/>
                <w:szCs w:val="21"/>
                <w:highlight w:val="none"/>
                <w:lang w:val="en-US" w:eastAsia="zh-CN"/>
              </w:rPr>
              <w:t>4</w:t>
            </w:r>
            <w:r>
              <w:rPr>
                <w:rFonts w:hint="eastAsia"/>
                <w:color w:val="auto"/>
                <w:szCs w:val="21"/>
                <w:highlight w:val="none"/>
              </w:rPr>
              <w:t>分。 须提供相关获奖证书原件扫描件，时间以获奖证书颁发的时间为准，发证部门以政府</w:t>
            </w:r>
            <w:r>
              <w:rPr>
                <w:rFonts w:hint="eastAsia"/>
                <w:color w:val="auto"/>
                <w:szCs w:val="21"/>
                <w:highlight w:val="none"/>
                <w:lang w:val="en-US" w:eastAsia="zh-CN"/>
              </w:rPr>
              <w:t>部门</w:t>
            </w:r>
            <w:r>
              <w:rPr>
                <w:rFonts w:hint="eastAsia"/>
                <w:color w:val="auto"/>
                <w:szCs w:val="21"/>
                <w:highlight w:val="none"/>
              </w:rPr>
              <w:t>颁发为准。相同技术或成果获奖按最高级别奖项只计一次得分，其它情况不得分。</w:t>
            </w:r>
          </w:p>
          <w:p>
            <w:pPr>
              <w:widowControl/>
              <w:adjustRightInd w:val="0"/>
              <w:snapToGrid w:val="0"/>
              <w:spacing w:line="360" w:lineRule="auto"/>
              <w:jc w:val="left"/>
              <w:rPr>
                <w:rFonts w:hint="eastAsia" w:ascii="宋体" w:hAnsi="宋体" w:cs="宋体"/>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2、投标人参与过国家级相关行业标准编制的每项得</w:t>
            </w:r>
            <w:r>
              <w:rPr>
                <w:rFonts w:hint="eastAsia" w:eastAsia="宋体" w:cs="Times New Roman"/>
                <w:color w:val="auto"/>
                <w:kern w:val="2"/>
                <w:sz w:val="21"/>
                <w:szCs w:val="21"/>
                <w:highlight w:val="none"/>
                <w:lang w:val="en-US" w:eastAsia="zh-CN" w:bidi="ar-SA"/>
              </w:rPr>
              <w:t>4</w:t>
            </w:r>
            <w:r>
              <w:rPr>
                <w:rFonts w:hint="eastAsia" w:ascii="Times New Roman" w:hAnsi="Times New Roman" w:eastAsia="宋体" w:cs="Times New Roman"/>
                <w:color w:val="auto"/>
                <w:kern w:val="2"/>
                <w:sz w:val="21"/>
                <w:szCs w:val="21"/>
                <w:highlight w:val="none"/>
                <w:lang w:val="en-US" w:eastAsia="zh-CN" w:bidi="ar-SA"/>
              </w:rPr>
              <w:t>分，省级相关行业标准编制的每项得</w:t>
            </w:r>
            <w:r>
              <w:rPr>
                <w:rFonts w:hint="eastAsia" w:eastAsia="宋体" w:cs="Times New Roman"/>
                <w:color w:val="auto"/>
                <w:kern w:val="2"/>
                <w:sz w:val="21"/>
                <w:szCs w:val="21"/>
                <w:highlight w:val="none"/>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分，市级相关行业标准编制的每项得</w:t>
            </w:r>
            <w:r>
              <w:rPr>
                <w:rFonts w:hint="eastAsia"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分。本小项最高得</w:t>
            </w:r>
            <w:r>
              <w:rPr>
                <w:rFonts w:hint="eastAsia" w:eastAsia="宋体" w:cs="Times New Roman"/>
                <w:color w:val="auto"/>
                <w:kern w:val="2"/>
                <w:sz w:val="21"/>
                <w:szCs w:val="21"/>
                <w:highlight w:val="none"/>
                <w:lang w:val="en-US" w:eastAsia="zh-CN" w:bidi="ar-SA"/>
              </w:rPr>
              <w:t>4</w:t>
            </w:r>
            <w:r>
              <w:rPr>
                <w:rFonts w:hint="eastAsia" w:ascii="Times New Roman" w:hAnsi="Times New Roman" w:eastAsia="宋体" w:cs="Times New Roman"/>
                <w:color w:val="auto"/>
                <w:kern w:val="2"/>
                <w:sz w:val="21"/>
                <w:szCs w:val="21"/>
                <w:highlight w:val="none"/>
                <w:lang w:val="en-US" w:eastAsia="zh-CN" w:bidi="ar-SA"/>
              </w:rPr>
              <w:t>分。提供投标人参与相关行业标准编制的证明材料。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noWrap w:val="0"/>
            <w:vAlign w:val="center"/>
          </w:tcPr>
          <w:p>
            <w:pPr>
              <w:spacing w:line="360" w:lineRule="auto"/>
              <w:jc w:val="center"/>
              <w:rPr>
                <w:rFonts w:hint="eastAsia" w:ascii="宋体" w:hAnsi="宋体" w:cs="宋体"/>
                <w:color w:val="auto"/>
                <w:szCs w:val="21"/>
                <w:highlight w:val="none"/>
              </w:rPr>
            </w:pPr>
          </w:p>
        </w:tc>
        <w:tc>
          <w:tcPr>
            <w:tcW w:w="1101"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认证体系</w:t>
            </w:r>
          </w:p>
        </w:tc>
        <w:tc>
          <w:tcPr>
            <w:tcW w:w="735" w:type="dxa"/>
            <w:noWrap w:val="0"/>
            <w:vAlign w:val="center"/>
          </w:tcPr>
          <w:p>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c>
          <w:tcPr>
            <w:tcW w:w="5428" w:type="dxa"/>
            <w:noWrap w:val="0"/>
            <w:vAlign w:val="center"/>
          </w:tcPr>
          <w:p>
            <w:pPr>
              <w:widowControl/>
              <w:snapToGrid w:val="0"/>
              <w:spacing w:line="360" w:lineRule="auto"/>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具有ISO的国际质量管理体系认证、环境管理体系认证、职业健康安全管理体系认证的，每有一项体系认证得</w:t>
            </w:r>
            <w:r>
              <w:rPr>
                <w:rFonts w:hint="eastAsia" w:ascii="宋体" w:hAnsi="宋体" w:cs="宋体"/>
                <w:color w:val="auto"/>
                <w:szCs w:val="21"/>
                <w:highlight w:val="none"/>
                <w:lang w:val="en-US" w:eastAsia="zh-CN" w:bidi="ar"/>
              </w:rPr>
              <w:t>1</w:t>
            </w:r>
            <w:r>
              <w:rPr>
                <w:rFonts w:hint="eastAsia" w:ascii="宋体" w:hAnsi="宋体" w:cs="宋体"/>
                <w:color w:val="auto"/>
                <w:szCs w:val="21"/>
                <w:highlight w:val="none"/>
                <w:lang w:bidi="ar"/>
              </w:rPr>
              <w:t>分，最高得</w:t>
            </w:r>
            <w:r>
              <w:rPr>
                <w:rFonts w:hint="eastAsia" w:ascii="宋体" w:hAnsi="宋体" w:cs="宋体"/>
                <w:color w:val="auto"/>
                <w:szCs w:val="21"/>
                <w:highlight w:val="none"/>
                <w:lang w:val="en-US" w:eastAsia="zh-CN" w:bidi="ar"/>
              </w:rPr>
              <w:t>3</w:t>
            </w:r>
            <w:r>
              <w:rPr>
                <w:rFonts w:hint="eastAsia" w:ascii="宋体" w:hAnsi="宋体" w:cs="宋体"/>
                <w:color w:val="auto"/>
                <w:szCs w:val="21"/>
                <w:highlight w:val="none"/>
                <w:lang w:bidi="ar"/>
              </w:rPr>
              <w:t>分。</w:t>
            </w:r>
          </w:p>
          <w:p>
            <w:pPr>
              <w:widowControl/>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bidi="ar"/>
              </w:rPr>
              <w:t>注：提供证书原件扫描件</w:t>
            </w:r>
            <w:r>
              <w:rPr>
                <w:rFonts w:hint="eastAsia" w:ascii="宋体" w:hAnsi="宋体" w:cs="宋体"/>
                <w:color w:val="auto"/>
                <w:szCs w:val="21"/>
                <w:highlight w:val="none"/>
              </w:rPr>
              <w:t>，无证明材料则不计分</w:t>
            </w:r>
            <w:r>
              <w:rPr>
                <w:rFonts w:hint="eastAsia" w:ascii="宋体" w:hAnsi="宋体" w:cs="宋体"/>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127" w:type="dxa"/>
            <w:vMerge w:val="continue"/>
            <w:noWrap w:val="0"/>
            <w:vAlign w:val="center"/>
          </w:tcPr>
          <w:p>
            <w:pPr>
              <w:spacing w:line="360" w:lineRule="auto"/>
              <w:jc w:val="center"/>
              <w:rPr>
                <w:rFonts w:hint="eastAsia" w:ascii="宋体" w:hAnsi="宋体" w:cs="宋体"/>
                <w:color w:val="auto"/>
                <w:szCs w:val="21"/>
                <w:highlight w:val="none"/>
              </w:rPr>
            </w:pPr>
          </w:p>
        </w:tc>
        <w:tc>
          <w:tcPr>
            <w:tcW w:w="1101"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项目负责人</w:t>
            </w:r>
          </w:p>
        </w:tc>
        <w:tc>
          <w:tcPr>
            <w:tcW w:w="735" w:type="dxa"/>
            <w:noWrap w:val="0"/>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5428" w:type="dxa"/>
            <w:noWrap w:val="0"/>
            <w:vAlign w:val="center"/>
          </w:tcPr>
          <w:p>
            <w:pPr>
              <w:pStyle w:val="35"/>
              <w:spacing w:line="360" w:lineRule="auto"/>
              <w:rPr>
                <w:color w:val="auto"/>
                <w:highlight w:val="none"/>
              </w:rPr>
            </w:pPr>
            <w:r>
              <w:rPr>
                <w:rFonts w:hint="eastAsia"/>
                <w:color w:val="auto"/>
                <w:highlight w:val="none"/>
              </w:rPr>
              <w:t>拟派的项目负责人</w:t>
            </w:r>
          </w:p>
          <w:p>
            <w:pPr>
              <w:pStyle w:val="35"/>
              <w:spacing w:line="360" w:lineRule="auto"/>
              <w:rPr>
                <w:rFonts w:hint="eastAsia"/>
                <w:color w:val="auto"/>
                <w:highlight w:val="none"/>
              </w:rPr>
            </w:pPr>
            <w:r>
              <w:rPr>
                <w:rFonts w:hint="eastAsia"/>
                <w:color w:val="auto"/>
                <w:highlight w:val="none"/>
              </w:rPr>
              <w:t>（1）具备有高级</w:t>
            </w:r>
            <w:r>
              <w:rPr>
                <w:rFonts w:hint="eastAsia"/>
                <w:color w:val="auto"/>
                <w:highlight w:val="none"/>
                <w:lang w:eastAsia="zh-CN"/>
              </w:rPr>
              <w:t>（或以上）</w:t>
            </w:r>
            <w:r>
              <w:rPr>
                <w:rFonts w:hint="eastAsia"/>
                <w:color w:val="auto"/>
                <w:highlight w:val="none"/>
              </w:rPr>
              <w:t>工程师职称的，得</w:t>
            </w:r>
            <w:r>
              <w:rPr>
                <w:rFonts w:hint="eastAsia"/>
                <w:color w:val="auto"/>
                <w:highlight w:val="none"/>
                <w:lang w:val="en-US" w:eastAsia="zh-CN"/>
              </w:rPr>
              <w:t>2</w:t>
            </w:r>
            <w:r>
              <w:rPr>
                <w:rFonts w:hint="eastAsia"/>
                <w:color w:val="auto"/>
                <w:highlight w:val="none"/>
              </w:rPr>
              <w:t xml:space="preserve">分； </w:t>
            </w:r>
          </w:p>
          <w:p>
            <w:pPr>
              <w:pStyle w:val="35"/>
              <w:spacing w:line="360" w:lineRule="auto"/>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）承接的建筑工程类设计业绩，获得设计奖项：国家级奖项每项得</w:t>
            </w:r>
            <w:r>
              <w:rPr>
                <w:rFonts w:hint="eastAsia"/>
                <w:color w:val="auto"/>
                <w:highlight w:val="none"/>
                <w:lang w:val="en-US" w:eastAsia="zh-CN"/>
              </w:rPr>
              <w:t>3</w:t>
            </w:r>
            <w:r>
              <w:rPr>
                <w:rFonts w:hint="eastAsia"/>
                <w:color w:val="auto"/>
                <w:highlight w:val="none"/>
              </w:rPr>
              <w:t>分；获得省级奖项每项得</w:t>
            </w:r>
            <w:r>
              <w:rPr>
                <w:rFonts w:hint="eastAsia"/>
                <w:color w:val="auto"/>
                <w:highlight w:val="none"/>
                <w:lang w:val="en-US" w:eastAsia="zh-CN"/>
              </w:rPr>
              <w:t>2</w:t>
            </w:r>
            <w:r>
              <w:rPr>
                <w:rFonts w:hint="eastAsia"/>
                <w:color w:val="auto"/>
                <w:highlight w:val="none"/>
              </w:rPr>
              <w:t>分；获得市级奖项每项得</w:t>
            </w:r>
            <w:r>
              <w:rPr>
                <w:rFonts w:hint="eastAsia"/>
                <w:color w:val="auto"/>
                <w:highlight w:val="none"/>
                <w:lang w:val="en-US" w:eastAsia="zh-CN"/>
              </w:rPr>
              <w:t>1</w:t>
            </w:r>
            <w:r>
              <w:rPr>
                <w:rFonts w:hint="eastAsia"/>
                <w:color w:val="auto"/>
                <w:highlight w:val="none"/>
              </w:rPr>
              <w:t>分</w:t>
            </w:r>
            <w:r>
              <w:rPr>
                <w:rFonts w:hint="eastAsia"/>
                <w:color w:val="auto"/>
                <w:highlight w:val="none"/>
                <w:lang w:eastAsia="zh-CN"/>
              </w:rPr>
              <w:t>。</w:t>
            </w:r>
            <w:r>
              <w:rPr>
                <w:rFonts w:hint="eastAsia"/>
                <w:color w:val="auto"/>
                <w:highlight w:val="none"/>
              </w:rPr>
              <w:t>本小项最多得</w:t>
            </w:r>
            <w:r>
              <w:rPr>
                <w:rFonts w:hint="eastAsia"/>
                <w:color w:val="auto"/>
                <w:highlight w:val="none"/>
                <w:lang w:val="en-US" w:eastAsia="zh-CN"/>
              </w:rPr>
              <w:t>3</w:t>
            </w:r>
            <w:r>
              <w:rPr>
                <w:rFonts w:hint="eastAsia"/>
                <w:color w:val="auto"/>
                <w:highlight w:val="none"/>
              </w:rPr>
              <w:t>分。</w:t>
            </w:r>
          </w:p>
          <w:p>
            <w:pPr>
              <w:pStyle w:val="35"/>
              <w:spacing w:line="360" w:lineRule="auto"/>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承接的项目获得省级或以上的“科学技术奖”或“科技进步奖”等科技奖项的，每项</w:t>
            </w:r>
            <w:r>
              <w:rPr>
                <w:rFonts w:hint="eastAsia"/>
                <w:color w:val="auto"/>
                <w:highlight w:val="none"/>
                <w:lang w:eastAsia="zh-CN"/>
              </w:rPr>
              <w:t>得</w:t>
            </w:r>
            <w:r>
              <w:rPr>
                <w:rFonts w:hint="eastAsia"/>
                <w:color w:val="auto"/>
                <w:highlight w:val="none"/>
                <w:lang w:val="en-US" w:eastAsia="zh-CN"/>
              </w:rPr>
              <w:t>2</w:t>
            </w:r>
            <w:r>
              <w:rPr>
                <w:rFonts w:hint="eastAsia"/>
                <w:color w:val="auto"/>
                <w:highlight w:val="none"/>
              </w:rPr>
              <w:t>分；</w:t>
            </w:r>
            <w:r>
              <w:rPr>
                <w:rFonts w:hint="eastAsia"/>
                <w:color w:val="auto"/>
                <w:highlight w:val="none"/>
                <w:lang w:eastAsia="zh-CN"/>
              </w:rPr>
              <w:t>获得</w:t>
            </w:r>
            <w:r>
              <w:rPr>
                <w:rFonts w:hint="eastAsia"/>
                <w:color w:val="auto"/>
                <w:highlight w:val="none"/>
              </w:rPr>
              <w:t>市级的“科学技术奖”或“科技进步奖”等科技奖项的，每项</w:t>
            </w:r>
            <w:r>
              <w:rPr>
                <w:rFonts w:hint="eastAsia"/>
                <w:color w:val="auto"/>
                <w:highlight w:val="none"/>
                <w:lang w:eastAsia="zh-CN"/>
              </w:rPr>
              <w:t>得</w:t>
            </w:r>
            <w:r>
              <w:rPr>
                <w:rFonts w:hint="eastAsia"/>
                <w:color w:val="auto"/>
                <w:highlight w:val="none"/>
                <w:lang w:val="en-US" w:eastAsia="zh-CN"/>
              </w:rPr>
              <w:t>1</w:t>
            </w:r>
            <w:r>
              <w:rPr>
                <w:rFonts w:hint="eastAsia"/>
                <w:color w:val="auto"/>
                <w:highlight w:val="none"/>
              </w:rPr>
              <w:t>分</w:t>
            </w:r>
            <w:r>
              <w:rPr>
                <w:rFonts w:hint="eastAsia"/>
                <w:color w:val="auto"/>
                <w:highlight w:val="none"/>
                <w:lang w:val="en-US" w:eastAsia="zh-CN"/>
              </w:rPr>
              <w:t>.。</w:t>
            </w:r>
            <w:r>
              <w:rPr>
                <w:rFonts w:hint="eastAsia"/>
                <w:color w:val="auto"/>
                <w:highlight w:val="none"/>
              </w:rPr>
              <w:t>本小项最多得</w:t>
            </w:r>
            <w:r>
              <w:rPr>
                <w:rFonts w:hint="eastAsia"/>
                <w:color w:val="auto"/>
                <w:highlight w:val="none"/>
                <w:lang w:val="en-US" w:eastAsia="zh-CN"/>
              </w:rPr>
              <w:t>2</w:t>
            </w:r>
            <w:r>
              <w:rPr>
                <w:rFonts w:hint="eastAsia"/>
                <w:color w:val="auto"/>
                <w:highlight w:val="none"/>
              </w:rPr>
              <w:t>分。</w:t>
            </w:r>
          </w:p>
          <w:p>
            <w:pPr>
              <w:pStyle w:val="35"/>
              <w:spacing w:line="360" w:lineRule="auto"/>
              <w:rPr>
                <w:rFonts w:hint="eastAsia" w:ascii="宋体" w:hAnsi="宋体" w:cs="宋体"/>
                <w:color w:val="auto"/>
                <w:highlight w:val="none"/>
              </w:rPr>
            </w:pPr>
            <w:r>
              <w:rPr>
                <w:rFonts w:hint="eastAsia" w:ascii="宋体" w:hAnsi="宋体" w:cs="宋体"/>
                <w:color w:val="auto"/>
                <w:highlight w:val="none"/>
              </w:rPr>
              <w:t>注：</w:t>
            </w:r>
          </w:p>
          <w:p>
            <w:pPr>
              <w:pStyle w:val="35"/>
              <w:spacing w:line="360" w:lineRule="auto"/>
              <w:rPr>
                <w:rFonts w:hint="eastAsia" w:ascii="宋体" w:hAnsi="宋体" w:cs="宋体"/>
                <w:color w:val="auto"/>
                <w:highlight w:val="none"/>
              </w:rPr>
            </w:pPr>
            <w:r>
              <w:rPr>
                <w:rFonts w:hint="eastAsia" w:ascii="宋体" w:hAnsi="宋体" w:cs="宋体"/>
                <w:color w:val="auto"/>
                <w:highlight w:val="none"/>
              </w:rPr>
              <w:t>1、需提供职称（资格）、获奖证书等材料复印件作为得分依据）；</w:t>
            </w:r>
          </w:p>
          <w:p>
            <w:pPr>
              <w:pStyle w:val="35"/>
              <w:spacing w:line="360" w:lineRule="auto"/>
              <w:rPr>
                <w:rFonts w:ascii="宋体" w:hAnsi="宋体" w:cs="宋体"/>
                <w:color w:val="auto"/>
                <w:highlight w:val="none"/>
              </w:rPr>
            </w:pPr>
            <w:r>
              <w:rPr>
                <w:rFonts w:ascii="宋体" w:hAnsi="宋体" w:cs="宋体"/>
                <w:color w:val="auto"/>
                <w:highlight w:val="none"/>
              </w:rPr>
              <w:t>2</w:t>
            </w:r>
            <w:r>
              <w:rPr>
                <w:rFonts w:hint="eastAsia" w:ascii="宋体" w:hAnsi="宋体" w:cs="宋体"/>
                <w:color w:val="auto"/>
                <w:highlight w:val="none"/>
              </w:rPr>
              <w:t>、设计业绩的获奖业绩认定证明材料以获奖证书为准。奖项包括：国家级（建筑工程类）奖是指住建部颁发的“全国优秀工程勘察设计行业奖”、中国勘察设计协会颁发的“全国优秀工程勘察设计行业奖”或“行业优秀勘察设计奖”、国务院颁发的“国家科学技术奖”、住建部的华夏建设科学技术奖励委员会颁发的”华夏建设科学技术奖”；省级（建筑工程类）奖是指省级建设行政主管部门认可或批准的行业协会颁发的“优秀工程勘察设计奖”、省级人民政府颁发的“省科学技术奖”；副省级奖是指副省级建设行政主管部门认可或批准的行业协会颁发的“优秀工程勘察设计奖”、副省级（建筑工程类）人民政府颁发的“副省科学技术奖”。以上各类奖项不含绿色建筑、建筑智能化、建筑结构、建筑电气、水系统工程、园林景观、建筑工程标准设计、计算机软件、人防工程、建筑环境与能源应用、抗震救灾等专项类奖项。</w:t>
            </w:r>
            <w:r>
              <w:rPr>
                <w:rFonts w:hint="eastAsia"/>
                <w:color w:val="auto"/>
                <w:highlight w:val="none"/>
              </w:rPr>
              <w:t>需提供获奖证书、合同关键页等证明文件复印件。</w:t>
            </w:r>
            <w:r>
              <w:rPr>
                <w:rFonts w:hint="eastAsia" w:ascii="宋体" w:hAnsi="宋体" w:cs="宋体"/>
                <w:color w:val="auto"/>
                <w:highlight w:val="none"/>
              </w:rPr>
              <w:t>一个项目获多个级别奖项的按最高奖项只计算一次，不重复计算。</w:t>
            </w:r>
          </w:p>
          <w:p>
            <w:pPr>
              <w:pStyle w:val="35"/>
              <w:widowControl/>
              <w:spacing w:line="360" w:lineRule="auto"/>
              <w:jc w:val="left"/>
              <w:rPr>
                <w:rFonts w:hint="eastAsia" w:ascii="宋体" w:hAnsi="宋体" w:cs="宋体"/>
                <w:color w:val="auto"/>
                <w:szCs w:val="21"/>
                <w:highlight w:val="none"/>
              </w:rPr>
            </w:pPr>
            <w:r>
              <w:rPr>
                <w:rFonts w:hint="eastAsia" w:ascii="宋体" w:hAnsi="宋体" w:cs="宋体"/>
                <w:color w:val="auto"/>
                <w:highlight w:val="none"/>
              </w:rPr>
              <w:t>4、科技奖项</w:t>
            </w:r>
            <w:r>
              <w:rPr>
                <w:rFonts w:hint="eastAsia" w:ascii="宋体" w:hAnsi="宋体" w:cs="宋体"/>
                <w:bCs/>
                <w:color w:val="auto"/>
                <w:highlight w:val="none"/>
              </w:rPr>
              <w:t>须提供相关获奖证书原件扫描件，发证部门以人民政府颁发为准。相同技术或成果获奖按最高级别奖项只计一次得分，其它情况不得分。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127" w:type="dxa"/>
            <w:vMerge w:val="continue"/>
            <w:noWrap w:val="0"/>
            <w:vAlign w:val="center"/>
          </w:tcPr>
          <w:p>
            <w:pPr>
              <w:spacing w:line="360" w:lineRule="auto"/>
              <w:jc w:val="center"/>
              <w:rPr>
                <w:rFonts w:hint="eastAsia" w:ascii="宋体" w:hAnsi="宋体" w:cs="宋体"/>
                <w:color w:val="auto"/>
                <w:szCs w:val="21"/>
                <w:highlight w:val="none"/>
              </w:rPr>
            </w:pPr>
          </w:p>
        </w:tc>
        <w:tc>
          <w:tcPr>
            <w:tcW w:w="1101"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各专业负责人</w:t>
            </w:r>
          </w:p>
        </w:tc>
        <w:tc>
          <w:tcPr>
            <w:tcW w:w="735" w:type="dxa"/>
            <w:noWrap w:val="0"/>
            <w:vAlign w:val="center"/>
          </w:tcPr>
          <w:p>
            <w:pPr>
              <w:spacing w:line="360" w:lineRule="auto"/>
              <w:jc w:val="center"/>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lang w:val="en-US" w:eastAsia="zh-CN"/>
              </w:rPr>
              <w:t>3</w:t>
            </w:r>
          </w:p>
        </w:tc>
        <w:tc>
          <w:tcPr>
            <w:tcW w:w="5428" w:type="dxa"/>
            <w:noWrap w:val="0"/>
            <w:vAlign w:val="center"/>
          </w:tcPr>
          <w:p>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bidi="ar"/>
              </w:rPr>
              <w:t>项目团队</w:t>
            </w:r>
            <w:r>
              <w:rPr>
                <w:rFonts w:hint="eastAsia" w:ascii="宋体" w:hAnsi="宋体" w:cs="宋体"/>
                <w:color w:val="auto"/>
                <w:szCs w:val="21"/>
                <w:highlight w:val="none"/>
                <w:lang w:eastAsia="zh-CN" w:bidi="ar"/>
              </w:rPr>
              <w:t>的</w:t>
            </w:r>
            <w:r>
              <w:rPr>
                <w:rFonts w:hint="eastAsia" w:ascii="宋体" w:hAnsi="宋体" w:cs="宋体"/>
                <w:color w:val="auto"/>
                <w:szCs w:val="21"/>
                <w:highlight w:val="none"/>
                <w:lang w:bidi="ar"/>
              </w:rPr>
              <w:t>建筑，结构、给排水、暖通、电气专业负责人中，具备专业注册资格或高级（或以上）工程师的每</w:t>
            </w:r>
            <w:r>
              <w:rPr>
                <w:rFonts w:hint="eastAsia" w:ascii="宋体" w:hAnsi="宋体" w:cs="宋体"/>
                <w:color w:val="auto"/>
                <w:szCs w:val="21"/>
                <w:highlight w:val="none"/>
                <w:lang w:eastAsia="zh-CN" w:bidi="ar"/>
              </w:rPr>
              <w:t>人</w:t>
            </w:r>
            <w:r>
              <w:rPr>
                <w:rFonts w:hint="eastAsia" w:ascii="宋体" w:hAnsi="宋体" w:cs="宋体"/>
                <w:color w:val="auto"/>
                <w:szCs w:val="21"/>
                <w:highlight w:val="none"/>
                <w:lang w:bidi="ar"/>
              </w:rPr>
              <w:t>得</w:t>
            </w:r>
            <w:r>
              <w:rPr>
                <w:rFonts w:hint="eastAsia" w:ascii="宋体" w:hAnsi="宋体" w:cs="宋体"/>
                <w:color w:val="auto"/>
                <w:szCs w:val="21"/>
                <w:highlight w:val="none"/>
                <w:lang w:val="en-US" w:eastAsia="zh-CN" w:bidi="ar"/>
              </w:rPr>
              <w:t>1</w:t>
            </w:r>
            <w:r>
              <w:rPr>
                <w:rFonts w:hint="eastAsia" w:ascii="宋体" w:hAnsi="宋体" w:cs="宋体"/>
                <w:color w:val="auto"/>
                <w:szCs w:val="21"/>
                <w:highlight w:val="none"/>
                <w:lang w:bidi="ar"/>
              </w:rPr>
              <w:t>分</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p>
            <w:pPr>
              <w:widowControl/>
              <w:snapToGrid w:val="0"/>
              <w:spacing w:line="360" w:lineRule="auto"/>
              <w:jc w:val="left"/>
              <w:rPr>
                <w:rFonts w:hint="eastAsia" w:ascii="宋体" w:hAnsi="宋体" w:cs="宋体"/>
                <w:b/>
                <w:color w:val="auto"/>
                <w:szCs w:val="21"/>
                <w:highlight w:val="none"/>
                <w:u w:val="single"/>
              </w:rPr>
            </w:pPr>
            <w:r>
              <w:rPr>
                <w:rFonts w:hint="eastAsia" w:ascii="宋体" w:hAnsi="宋体" w:cs="宋体"/>
                <w:color w:val="auto"/>
                <w:szCs w:val="21"/>
                <w:highlight w:val="none"/>
              </w:rPr>
              <w:t>注：提供职称证、注册证书等证明材料，无证明材料则不计分。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1127" w:type="dxa"/>
            <w:vMerge w:val="restart"/>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技术部分（</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0分）</w:t>
            </w:r>
          </w:p>
        </w:tc>
        <w:tc>
          <w:tcPr>
            <w:tcW w:w="1101" w:type="dxa"/>
            <w:noWrap w:val="0"/>
            <w:vAlign w:val="center"/>
          </w:tcPr>
          <w:p>
            <w:pPr>
              <w:spacing w:line="360" w:lineRule="auto"/>
              <w:jc w:val="center"/>
              <w:rPr>
                <w:rFonts w:hint="eastAsia" w:ascii="宋体" w:hAnsi="宋体" w:cs="宋体"/>
                <w:bCs/>
                <w:color w:val="auto"/>
                <w:szCs w:val="21"/>
                <w:highlight w:val="none"/>
              </w:rPr>
            </w:pPr>
            <w:r>
              <w:rPr>
                <w:rFonts w:hint="eastAsia" w:ascii="宋体" w:hAnsi="宋体" w:cs="宋体"/>
                <w:color w:val="auto"/>
                <w:szCs w:val="21"/>
                <w:highlight w:val="none"/>
                <w:lang w:val="en-US" w:eastAsia="zh-CN"/>
              </w:rPr>
              <w:t>设计</w:t>
            </w:r>
            <w:r>
              <w:rPr>
                <w:rFonts w:hint="eastAsia" w:ascii="宋体" w:hAnsi="宋体" w:cs="宋体"/>
                <w:color w:val="auto"/>
                <w:szCs w:val="21"/>
                <w:highlight w:val="none"/>
              </w:rPr>
              <w:t>服务方案</w:t>
            </w:r>
          </w:p>
        </w:tc>
        <w:tc>
          <w:tcPr>
            <w:tcW w:w="735" w:type="dxa"/>
            <w:noWrap w:val="0"/>
            <w:vAlign w:val="center"/>
          </w:tcPr>
          <w:p>
            <w:pPr>
              <w:spacing w:line="360" w:lineRule="auto"/>
              <w:jc w:val="center"/>
              <w:rPr>
                <w:rFonts w:hint="default" w:ascii="宋体" w:hAnsi="宋体" w:cs="宋体" w:eastAsiaTheme="minorEastAsia"/>
                <w:color w:val="auto"/>
                <w:szCs w:val="21"/>
                <w:highlight w:val="none"/>
                <w:lang w:val="en-US" w:eastAsia="zh-CN"/>
              </w:rPr>
            </w:pPr>
            <w:r>
              <w:rPr>
                <w:rFonts w:hint="eastAsia" w:ascii="宋体" w:hAnsi="宋体" w:cs="宋体"/>
                <w:bCs/>
                <w:color w:val="auto"/>
                <w:szCs w:val="21"/>
                <w:highlight w:val="none"/>
                <w:lang w:val="en-US" w:eastAsia="zh-CN"/>
              </w:rPr>
              <w:t>10</w:t>
            </w:r>
          </w:p>
        </w:tc>
        <w:tc>
          <w:tcPr>
            <w:tcW w:w="5428" w:type="dxa"/>
            <w:noWrap w:val="0"/>
            <w:vAlign w:val="center"/>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（优）投标人制定的</w:t>
            </w:r>
            <w:r>
              <w:rPr>
                <w:rFonts w:hint="eastAsia" w:ascii="宋体" w:hAnsi="宋体" w:cs="宋体"/>
                <w:color w:val="auto"/>
                <w:szCs w:val="21"/>
                <w:highlight w:val="none"/>
                <w:lang w:val="en-US" w:eastAsia="zh-CN"/>
              </w:rPr>
              <w:t>设计</w:t>
            </w:r>
            <w:r>
              <w:rPr>
                <w:rFonts w:hint="eastAsia" w:ascii="宋体" w:hAnsi="宋体" w:cs="宋体"/>
                <w:color w:val="auto"/>
                <w:szCs w:val="21"/>
                <w:highlight w:val="none"/>
              </w:rPr>
              <w:t>服务措施齐全、保障方法到位、目标明确。得</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（中）投标人制定的</w:t>
            </w:r>
            <w:r>
              <w:rPr>
                <w:rFonts w:hint="eastAsia" w:ascii="宋体" w:hAnsi="宋体" w:cs="宋体"/>
                <w:color w:val="auto"/>
                <w:szCs w:val="21"/>
                <w:highlight w:val="none"/>
                <w:lang w:val="en-US" w:eastAsia="zh-CN"/>
              </w:rPr>
              <w:t>设计</w:t>
            </w:r>
            <w:r>
              <w:rPr>
                <w:rFonts w:hint="eastAsia" w:ascii="宋体" w:hAnsi="宋体" w:cs="宋体"/>
                <w:color w:val="auto"/>
                <w:szCs w:val="21"/>
                <w:highlight w:val="none"/>
              </w:rPr>
              <w:t>服务措施基本齐全、保障方法基本到位、目标基本明确。得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分；</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（差）投标人制定的</w:t>
            </w:r>
            <w:r>
              <w:rPr>
                <w:rFonts w:hint="eastAsia" w:ascii="宋体" w:hAnsi="宋体" w:cs="宋体"/>
                <w:color w:val="auto"/>
                <w:szCs w:val="21"/>
                <w:highlight w:val="none"/>
                <w:lang w:val="en-US" w:eastAsia="zh-CN"/>
              </w:rPr>
              <w:t>设计</w:t>
            </w:r>
            <w:r>
              <w:rPr>
                <w:rFonts w:hint="eastAsia" w:ascii="宋体" w:hAnsi="宋体" w:cs="宋体"/>
                <w:color w:val="auto"/>
                <w:szCs w:val="21"/>
                <w:highlight w:val="none"/>
              </w:rPr>
              <w:t>服务措施不齐全、体系不完整、保障方法不到位、目标不明确。得0-</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noWrap w:val="0"/>
            <w:vAlign w:val="center"/>
          </w:tcPr>
          <w:p>
            <w:pPr>
              <w:spacing w:line="360" w:lineRule="auto"/>
              <w:jc w:val="center"/>
              <w:rPr>
                <w:rFonts w:hint="eastAsia" w:ascii="宋体" w:hAnsi="宋体" w:cs="宋体"/>
                <w:color w:val="auto"/>
                <w:szCs w:val="21"/>
                <w:highlight w:val="none"/>
              </w:rPr>
            </w:pPr>
          </w:p>
        </w:tc>
        <w:tc>
          <w:tcPr>
            <w:tcW w:w="1101"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项目进度控制</w:t>
            </w:r>
          </w:p>
        </w:tc>
        <w:tc>
          <w:tcPr>
            <w:tcW w:w="735" w:type="dxa"/>
            <w:noWrap w:val="0"/>
            <w:vAlign w:val="center"/>
          </w:tcPr>
          <w:p>
            <w:pPr>
              <w:spacing w:line="360" w:lineRule="auto"/>
              <w:jc w:val="center"/>
              <w:rPr>
                <w:rFonts w:hint="default" w:ascii="宋体" w:hAnsi="宋体" w:cs="宋体" w:eastAsiaTheme="minorEastAsia"/>
                <w:color w:val="auto"/>
                <w:szCs w:val="21"/>
                <w:highlight w:val="none"/>
                <w:lang w:val="en-US" w:eastAsia="zh-CN"/>
              </w:rPr>
            </w:pPr>
            <w:r>
              <w:rPr>
                <w:rFonts w:hint="eastAsia" w:ascii="宋体" w:hAnsi="宋体" w:cs="宋体"/>
                <w:color w:val="auto"/>
                <w:szCs w:val="21"/>
                <w:highlight w:val="none"/>
                <w:lang w:val="en-US" w:eastAsia="zh-CN"/>
              </w:rPr>
              <w:t>15</w:t>
            </w:r>
          </w:p>
        </w:tc>
        <w:tc>
          <w:tcPr>
            <w:tcW w:w="5428" w:type="dxa"/>
            <w:noWrap w:val="0"/>
            <w:vAlign w:val="center"/>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（优）投标人制定的工作计划安排合理，进度控制措施准确、合理，能在规定的时间内按要求高质量、高效地完成项目服务。得</w:t>
            </w:r>
            <w:r>
              <w:rPr>
                <w:rFonts w:hint="eastAsia" w:ascii="宋体" w:hAnsi="宋体" w:cs="宋体"/>
                <w:color w:val="auto"/>
                <w:szCs w:val="21"/>
                <w:highlight w:val="none"/>
                <w:lang w:val="en-US" w:eastAsia="zh-CN"/>
              </w:rPr>
              <w:t>10-15</w:t>
            </w:r>
            <w:r>
              <w:rPr>
                <w:rFonts w:hint="eastAsia" w:ascii="宋体" w:hAnsi="宋体" w:cs="宋体"/>
                <w:color w:val="auto"/>
                <w:szCs w:val="21"/>
                <w:highlight w:val="none"/>
              </w:rPr>
              <w:t>分；</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（中）投标人制定的工作计划安排基本合理，进度控制措施基本准确、基本合理，基本能在规定的时间内按要求高质量、高效地完成项目服务。得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p>
            <w:pPr>
              <w:spacing w:line="360" w:lineRule="auto"/>
              <w:rPr>
                <w:rFonts w:hint="eastAsia" w:ascii="宋体" w:hAnsi="宋体" w:cs="宋体"/>
                <w:color w:val="auto"/>
                <w:szCs w:val="21"/>
                <w:highlight w:val="none"/>
                <w:lang w:bidi="ar"/>
              </w:rPr>
            </w:pPr>
            <w:r>
              <w:rPr>
                <w:rFonts w:hint="eastAsia" w:ascii="宋体" w:hAnsi="宋体" w:cs="宋体"/>
                <w:color w:val="auto"/>
                <w:szCs w:val="21"/>
                <w:highlight w:val="none"/>
              </w:rPr>
              <w:t>（差）投标人制定的工作计划安排不合理，进度控制措施不准确、不合理，不能在规定的时间内按要求高质量、高效地完成项目服务。得0-</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noWrap w:val="0"/>
            <w:vAlign w:val="center"/>
          </w:tcPr>
          <w:p>
            <w:pPr>
              <w:spacing w:line="360" w:lineRule="auto"/>
              <w:jc w:val="center"/>
              <w:rPr>
                <w:rFonts w:hint="eastAsia" w:ascii="宋体" w:hAnsi="宋体" w:cs="宋体"/>
                <w:color w:val="auto"/>
                <w:szCs w:val="21"/>
                <w:highlight w:val="none"/>
              </w:rPr>
            </w:pPr>
          </w:p>
        </w:tc>
        <w:tc>
          <w:tcPr>
            <w:tcW w:w="1101"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质量保证</w:t>
            </w:r>
          </w:p>
        </w:tc>
        <w:tc>
          <w:tcPr>
            <w:tcW w:w="735" w:type="dxa"/>
            <w:noWrap w:val="0"/>
            <w:vAlign w:val="center"/>
          </w:tcPr>
          <w:p>
            <w:pPr>
              <w:spacing w:line="360" w:lineRule="auto"/>
              <w:jc w:val="center"/>
              <w:rPr>
                <w:rFonts w:hint="default" w:ascii="宋体" w:hAnsi="宋体" w:cs="宋体" w:eastAsiaTheme="minorEastAsia"/>
                <w:color w:val="auto"/>
                <w:szCs w:val="21"/>
                <w:highlight w:val="none"/>
                <w:lang w:val="en-US" w:eastAsia="zh-CN"/>
              </w:rPr>
            </w:pPr>
            <w:r>
              <w:rPr>
                <w:rFonts w:hint="eastAsia" w:ascii="宋体" w:hAnsi="宋体" w:cs="宋体"/>
                <w:color w:val="auto"/>
                <w:szCs w:val="21"/>
                <w:highlight w:val="none"/>
                <w:lang w:val="en-US" w:eastAsia="zh-CN"/>
              </w:rPr>
              <w:t>15</w:t>
            </w:r>
          </w:p>
        </w:tc>
        <w:tc>
          <w:tcPr>
            <w:tcW w:w="5428" w:type="dxa"/>
            <w:noWrap w:val="0"/>
            <w:vAlign w:val="center"/>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（优）投标人制定的服务质量控制措施齐全、体系完整、保障方法到位、目标明确、有针对性。得</w:t>
            </w:r>
            <w:r>
              <w:rPr>
                <w:rFonts w:hint="eastAsia" w:ascii="宋体" w:hAnsi="宋体" w:cs="宋体"/>
                <w:color w:val="auto"/>
                <w:szCs w:val="21"/>
                <w:highlight w:val="none"/>
                <w:lang w:val="en-US" w:eastAsia="zh-CN"/>
              </w:rPr>
              <w:t>10-15</w:t>
            </w:r>
            <w:r>
              <w:rPr>
                <w:rFonts w:hint="eastAsia" w:ascii="宋体" w:hAnsi="宋体" w:cs="宋体"/>
                <w:color w:val="auto"/>
                <w:szCs w:val="21"/>
                <w:highlight w:val="none"/>
              </w:rPr>
              <w:t>分；</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（中）投标人制定的服务质量控制措施基本齐全、体系基本完整、保障方法基本到位、目标基本明确、有一定针对性。得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（差）投标人制定的服务质量控制措施不齐全、体系不完整、保障方法不到位、目标不明确、没有针对性。得0-</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价格部分</w:t>
            </w:r>
          </w:p>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分）</w:t>
            </w:r>
          </w:p>
        </w:tc>
        <w:tc>
          <w:tcPr>
            <w:tcW w:w="1101" w:type="dxa"/>
            <w:noWrap w:val="0"/>
            <w:vAlign w:val="center"/>
          </w:tcPr>
          <w:p>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投标报价</w:t>
            </w:r>
          </w:p>
        </w:tc>
        <w:tc>
          <w:tcPr>
            <w:tcW w:w="735" w:type="dxa"/>
            <w:noWrap w:val="0"/>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30</w:t>
            </w:r>
          </w:p>
        </w:tc>
        <w:tc>
          <w:tcPr>
            <w:tcW w:w="5428" w:type="dxa"/>
            <w:noWrap w:val="0"/>
            <w:vAlign w:val="top"/>
          </w:tcPr>
          <w:p>
            <w:pPr>
              <w:spacing w:line="360" w:lineRule="auto"/>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pPr>
              <w:spacing w:line="360" w:lineRule="auto"/>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投标报价等于基准价为满分</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0分，高于基准价的1%扣1分，低于基准价的1%扣0.5分，以此类推。最低得分0分。得分保留两位小数。计算公式如下：</w:t>
            </w:r>
          </w:p>
          <w:p>
            <w:pPr>
              <w:pStyle w:val="7"/>
              <w:numPr>
                <w:ilvl w:val="0"/>
                <w:numId w:val="4"/>
              </w:numPr>
              <w:spacing w:line="360" w:lineRule="auto"/>
              <w:rPr>
                <w:rFonts w:hAnsi="宋体" w:cs="宋体"/>
                <w:color w:val="auto"/>
                <w:highlight w:val="none"/>
              </w:rPr>
            </w:pPr>
            <w:r>
              <w:rPr>
                <w:rFonts w:hAnsi="宋体" w:cs="宋体"/>
                <w:color w:val="auto"/>
                <w:highlight w:val="none"/>
              </w:rPr>
              <w:t>报价等于基准价的，得分=</w:t>
            </w:r>
            <w:r>
              <w:rPr>
                <w:rFonts w:hint="eastAsia" w:hAnsi="宋体" w:cs="宋体"/>
                <w:color w:val="auto"/>
                <w:highlight w:val="none"/>
                <w:lang w:val="en-US" w:eastAsia="zh-CN"/>
              </w:rPr>
              <w:t>3</w:t>
            </w:r>
            <w:r>
              <w:rPr>
                <w:rFonts w:hAnsi="宋体" w:cs="宋体"/>
                <w:color w:val="auto"/>
                <w:highlight w:val="none"/>
              </w:rPr>
              <w:t>0。</w:t>
            </w:r>
          </w:p>
          <w:p>
            <w:pPr>
              <w:pStyle w:val="7"/>
              <w:numPr>
                <w:ilvl w:val="0"/>
                <w:numId w:val="4"/>
              </w:numPr>
              <w:spacing w:line="360" w:lineRule="auto"/>
              <w:rPr>
                <w:rFonts w:hAnsi="宋体" w:cs="宋体"/>
                <w:color w:val="auto"/>
                <w:highlight w:val="none"/>
              </w:rPr>
            </w:pPr>
            <w:r>
              <w:rPr>
                <w:rFonts w:hAnsi="宋体" w:cs="宋体"/>
                <w:color w:val="auto"/>
                <w:highlight w:val="none"/>
              </w:rPr>
              <w:t>报价高于基准价的，得分=</w:t>
            </w:r>
            <w:r>
              <w:rPr>
                <w:rFonts w:hint="eastAsia" w:hAnsi="宋体" w:cs="宋体"/>
                <w:color w:val="auto"/>
                <w:highlight w:val="none"/>
                <w:lang w:val="en-US" w:eastAsia="zh-CN"/>
              </w:rPr>
              <w:t>3</w:t>
            </w:r>
            <w:r>
              <w:rPr>
                <w:rFonts w:hAnsi="宋体" w:cs="宋体"/>
                <w:color w:val="auto"/>
                <w:highlight w:val="none"/>
              </w:rPr>
              <w:t>0-[（报价-基准价）/基准价]×100×1</w:t>
            </w:r>
            <w:r>
              <w:rPr>
                <w:rFonts w:hint="eastAsia" w:hAnsi="宋体" w:cs="宋体"/>
                <w:color w:val="auto"/>
                <w:highlight w:val="none"/>
                <w:lang w:eastAsia="zh-CN"/>
              </w:rPr>
              <w:t>。</w:t>
            </w:r>
          </w:p>
          <w:p>
            <w:pPr>
              <w:spacing w:line="360" w:lineRule="auto"/>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3、报价低于基准价的，得分=</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0-[（基准价-报价）/基准价]×100×0.5</w:t>
            </w:r>
            <w:r>
              <w:rPr>
                <w:rFonts w:hint="eastAsia" w:ascii="宋体" w:hAnsi="宋体" w:cs="宋体"/>
                <w:color w:val="auto"/>
                <w:szCs w:val="21"/>
                <w:highlight w:val="none"/>
                <w:lang w:eastAsia="zh-CN"/>
              </w:rPr>
              <w:t>。</w:t>
            </w:r>
          </w:p>
        </w:tc>
      </w:tr>
    </w:tbl>
    <w:p>
      <w:pPr>
        <w:snapToGrid w:val="0"/>
        <w:spacing w:line="360" w:lineRule="auto"/>
        <w:ind w:left="74"/>
        <w:rPr>
          <w:rFonts w:ascii="仿宋" w:hAnsi="仿宋" w:eastAsia="仿宋" w:cs="宋体"/>
          <w:color w:val="auto"/>
          <w:sz w:val="24"/>
          <w:highlight w:val="none"/>
        </w:rPr>
      </w:pP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60" w:lineRule="auto"/>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投标截止日前一个月（2023年6月）的</w:t>
      </w:r>
      <w:r>
        <w:rPr>
          <w:rFonts w:ascii="宋体" w:hAnsi="宋体" w:cs="宋体"/>
          <w:color w:val="auto"/>
          <w:szCs w:val="18"/>
          <w:highlight w:val="none"/>
        </w:rPr>
        <w:t>社保证明为准。</w:t>
      </w:r>
      <w:r>
        <w:rPr>
          <w:rFonts w:hint="eastAsia" w:ascii="宋体" w:hAnsi="宋体" w:cs="宋体"/>
          <w:color w:val="auto"/>
          <w:szCs w:val="18"/>
          <w:highlight w:val="none"/>
        </w:rPr>
        <w:t>项目负责人、各专业负责人注册关系必须在本单位，以上注册及职称均需提供相应证明材料。</w:t>
      </w:r>
    </w:p>
    <w:p>
      <w:pPr>
        <w:snapToGrid w:val="0"/>
        <w:spacing w:line="360" w:lineRule="auto"/>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bookmarkStart w:id="48" w:name="_GoBack"/>
      <w:bookmarkEnd w:id="48"/>
    </w:p>
    <w:p>
      <w:pPr>
        <w:snapToGrid/>
        <w:spacing w:line="240" w:lineRule="auto"/>
        <w:jc w:val="left"/>
        <w:rPr>
          <w:rFonts w:hint="eastAsia" w:ascii="宋体" w:hAnsi="宋体"/>
          <w:color w:val="auto"/>
          <w:sz w:val="24"/>
          <w:highlight w:val="none"/>
        </w:rPr>
      </w:pPr>
      <w:r>
        <w:rPr>
          <w:rFonts w:hint="eastAsia" w:ascii="宋体" w:hAnsi="宋体"/>
          <w:color w:val="auto"/>
          <w:sz w:val="24"/>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南沙天后墟商业古街项目设计服务</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2"/>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7"/>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6F6986"/>
    <w:rsid w:val="02F7533D"/>
    <w:rsid w:val="03562994"/>
    <w:rsid w:val="035A0EDE"/>
    <w:rsid w:val="03CB6D70"/>
    <w:rsid w:val="03D5206B"/>
    <w:rsid w:val="04364A4F"/>
    <w:rsid w:val="043A0F20"/>
    <w:rsid w:val="04754D24"/>
    <w:rsid w:val="04A60B94"/>
    <w:rsid w:val="04E40895"/>
    <w:rsid w:val="050B0AD1"/>
    <w:rsid w:val="051B7598"/>
    <w:rsid w:val="05577B55"/>
    <w:rsid w:val="056B4B16"/>
    <w:rsid w:val="06EA58D8"/>
    <w:rsid w:val="07807554"/>
    <w:rsid w:val="080F2686"/>
    <w:rsid w:val="083B43B1"/>
    <w:rsid w:val="08757A2C"/>
    <w:rsid w:val="08A86F0A"/>
    <w:rsid w:val="08BE0C1E"/>
    <w:rsid w:val="09A667E8"/>
    <w:rsid w:val="09C053E7"/>
    <w:rsid w:val="0B093D1A"/>
    <w:rsid w:val="0B372B92"/>
    <w:rsid w:val="0B3B76F5"/>
    <w:rsid w:val="0B6E5C7D"/>
    <w:rsid w:val="0C855B7E"/>
    <w:rsid w:val="0C87037B"/>
    <w:rsid w:val="0CEF0CD8"/>
    <w:rsid w:val="0D4F2C69"/>
    <w:rsid w:val="0E1B10A8"/>
    <w:rsid w:val="0E80564C"/>
    <w:rsid w:val="0EA03B8A"/>
    <w:rsid w:val="0EAC0C18"/>
    <w:rsid w:val="0EB25F9A"/>
    <w:rsid w:val="0F0E1360"/>
    <w:rsid w:val="0F8D0176"/>
    <w:rsid w:val="115626A3"/>
    <w:rsid w:val="11D24F16"/>
    <w:rsid w:val="12E86716"/>
    <w:rsid w:val="14082F52"/>
    <w:rsid w:val="14085DAD"/>
    <w:rsid w:val="14233C6D"/>
    <w:rsid w:val="14452035"/>
    <w:rsid w:val="145B3800"/>
    <w:rsid w:val="147E4E1C"/>
    <w:rsid w:val="15420F93"/>
    <w:rsid w:val="16007AF5"/>
    <w:rsid w:val="163A203A"/>
    <w:rsid w:val="1674038B"/>
    <w:rsid w:val="16E6314C"/>
    <w:rsid w:val="172B6DB1"/>
    <w:rsid w:val="17BF20B0"/>
    <w:rsid w:val="17E977C8"/>
    <w:rsid w:val="186D1698"/>
    <w:rsid w:val="1873680D"/>
    <w:rsid w:val="18AF3306"/>
    <w:rsid w:val="18F12637"/>
    <w:rsid w:val="1922150A"/>
    <w:rsid w:val="19880595"/>
    <w:rsid w:val="1A0F7BA6"/>
    <w:rsid w:val="1A134258"/>
    <w:rsid w:val="1AB46DAB"/>
    <w:rsid w:val="1B6C2995"/>
    <w:rsid w:val="1BC44893"/>
    <w:rsid w:val="1BC65F54"/>
    <w:rsid w:val="1BDF2274"/>
    <w:rsid w:val="1C05708F"/>
    <w:rsid w:val="1C307374"/>
    <w:rsid w:val="1C9203A6"/>
    <w:rsid w:val="1E8832A2"/>
    <w:rsid w:val="1F1C5732"/>
    <w:rsid w:val="1FC2316E"/>
    <w:rsid w:val="1FF32F87"/>
    <w:rsid w:val="20336A96"/>
    <w:rsid w:val="21424D60"/>
    <w:rsid w:val="220D3E3F"/>
    <w:rsid w:val="224A02E7"/>
    <w:rsid w:val="226D5343"/>
    <w:rsid w:val="227411DF"/>
    <w:rsid w:val="22803312"/>
    <w:rsid w:val="238E7B64"/>
    <w:rsid w:val="24856237"/>
    <w:rsid w:val="24FE116D"/>
    <w:rsid w:val="25053D8A"/>
    <w:rsid w:val="25791876"/>
    <w:rsid w:val="26B94C66"/>
    <w:rsid w:val="26FF6942"/>
    <w:rsid w:val="272B74FA"/>
    <w:rsid w:val="2865301D"/>
    <w:rsid w:val="28732366"/>
    <w:rsid w:val="28C86C87"/>
    <w:rsid w:val="28FB65E3"/>
    <w:rsid w:val="29064D40"/>
    <w:rsid w:val="296119D7"/>
    <w:rsid w:val="297D19A3"/>
    <w:rsid w:val="2A97100B"/>
    <w:rsid w:val="2B401296"/>
    <w:rsid w:val="2B9F277C"/>
    <w:rsid w:val="2D0635AD"/>
    <w:rsid w:val="2D0E0BB5"/>
    <w:rsid w:val="2DA81E3B"/>
    <w:rsid w:val="2DCC5B6B"/>
    <w:rsid w:val="2DDB1EBF"/>
    <w:rsid w:val="2DF963B5"/>
    <w:rsid w:val="2E6961DD"/>
    <w:rsid w:val="2EA67F31"/>
    <w:rsid w:val="2EC40C57"/>
    <w:rsid w:val="2EE433BF"/>
    <w:rsid w:val="30334755"/>
    <w:rsid w:val="309A6C96"/>
    <w:rsid w:val="311233CC"/>
    <w:rsid w:val="332E1E50"/>
    <w:rsid w:val="33955886"/>
    <w:rsid w:val="34375C94"/>
    <w:rsid w:val="34935BA4"/>
    <w:rsid w:val="34A264CA"/>
    <w:rsid w:val="36BA638E"/>
    <w:rsid w:val="36F76710"/>
    <w:rsid w:val="3703456E"/>
    <w:rsid w:val="37A26BD4"/>
    <w:rsid w:val="386E2C1B"/>
    <w:rsid w:val="39FC703A"/>
    <w:rsid w:val="3A4968CA"/>
    <w:rsid w:val="3B352BB2"/>
    <w:rsid w:val="3B57188A"/>
    <w:rsid w:val="3B6D4312"/>
    <w:rsid w:val="3B7D5E2D"/>
    <w:rsid w:val="3BB466CB"/>
    <w:rsid w:val="3BB52776"/>
    <w:rsid w:val="3BB9179A"/>
    <w:rsid w:val="3C536A33"/>
    <w:rsid w:val="3CB7521C"/>
    <w:rsid w:val="3CE76215"/>
    <w:rsid w:val="3CFF0303"/>
    <w:rsid w:val="3D7619F9"/>
    <w:rsid w:val="3D96007A"/>
    <w:rsid w:val="3E512B11"/>
    <w:rsid w:val="3E9F1660"/>
    <w:rsid w:val="3F5F332B"/>
    <w:rsid w:val="3F8502F8"/>
    <w:rsid w:val="3FD704B2"/>
    <w:rsid w:val="3FE0447A"/>
    <w:rsid w:val="405854B3"/>
    <w:rsid w:val="409313F9"/>
    <w:rsid w:val="40CA2819"/>
    <w:rsid w:val="40CC6241"/>
    <w:rsid w:val="40DE71F5"/>
    <w:rsid w:val="40F706D6"/>
    <w:rsid w:val="418C72E5"/>
    <w:rsid w:val="41EC3A6C"/>
    <w:rsid w:val="42A2655E"/>
    <w:rsid w:val="42E71D47"/>
    <w:rsid w:val="436C5E0D"/>
    <w:rsid w:val="440F6ACF"/>
    <w:rsid w:val="44631084"/>
    <w:rsid w:val="446A549B"/>
    <w:rsid w:val="44800368"/>
    <w:rsid w:val="44F6408E"/>
    <w:rsid w:val="45C40D74"/>
    <w:rsid w:val="45F82D7F"/>
    <w:rsid w:val="46871AD6"/>
    <w:rsid w:val="46AE0CE1"/>
    <w:rsid w:val="46E31443"/>
    <w:rsid w:val="4735560E"/>
    <w:rsid w:val="47413F22"/>
    <w:rsid w:val="47D55FFA"/>
    <w:rsid w:val="481D5A38"/>
    <w:rsid w:val="487975A7"/>
    <w:rsid w:val="48E72086"/>
    <w:rsid w:val="494D5092"/>
    <w:rsid w:val="49732ED5"/>
    <w:rsid w:val="4A1079FD"/>
    <w:rsid w:val="4A1D620C"/>
    <w:rsid w:val="4AE21D6F"/>
    <w:rsid w:val="4AEE0F2F"/>
    <w:rsid w:val="4BC136D0"/>
    <w:rsid w:val="4C2E17B4"/>
    <w:rsid w:val="4D904DD7"/>
    <w:rsid w:val="4D9C287D"/>
    <w:rsid w:val="4DC53F66"/>
    <w:rsid w:val="4E4F4497"/>
    <w:rsid w:val="50932EAD"/>
    <w:rsid w:val="51552F81"/>
    <w:rsid w:val="5174053C"/>
    <w:rsid w:val="51AB2104"/>
    <w:rsid w:val="51DA4B1F"/>
    <w:rsid w:val="522307D5"/>
    <w:rsid w:val="525C5CD6"/>
    <w:rsid w:val="52840C61"/>
    <w:rsid w:val="53427976"/>
    <w:rsid w:val="53A63423"/>
    <w:rsid w:val="53CE29C2"/>
    <w:rsid w:val="54386D63"/>
    <w:rsid w:val="54A36172"/>
    <w:rsid w:val="54B0714A"/>
    <w:rsid w:val="54BC0EE8"/>
    <w:rsid w:val="55D41C4B"/>
    <w:rsid w:val="562E1696"/>
    <w:rsid w:val="583152CE"/>
    <w:rsid w:val="594F1692"/>
    <w:rsid w:val="59566C52"/>
    <w:rsid w:val="598F49A2"/>
    <w:rsid w:val="5AAF5CCA"/>
    <w:rsid w:val="5AD32383"/>
    <w:rsid w:val="5AD75A27"/>
    <w:rsid w:val="5B6E68B8"/>
    <w:rsid w:val="5B8D6C19"/>
    <w:rsid w:val="5BCE61FA"/>
    <w:rsid w:val="5C9B134E"/>
    <w:rsid w:val="5CE91666"/>
    <w:rsid w:val="5D580334"/>
    <w:rsid w:val="5DAA1580"/>
    <w:rsid w:val="5E1A6FB5"/>
    <w:rsid w:val="5E3329AB"/>
    <w:rsid w:val="5E7A3CE2"/>
    <w:rsid w:val="5F355496"/>
    <w:rsid w:val="5F857532"/>
    <w:rsid w:val="60083F26"/>
    <w:rsid w:val="613C2115"/>
    <w:rsid w:val="61A7533B"/>
    <w:rsid w:val="62B2296D"/>
    <w:rsid w:val="62C266BA"/>
    <w:rsid w:val="636147EE"/>
    <w:rsid w:val="63677EFB"/>
    <w:rsid w:val="63DB6B9E"/>
    <w:rsid w:val="63F47577"/>
    <w:rsid w:val="65110961"/>
    <w:rsid w:val="65B441A4"/>
    <w:rsid w:val="66373494"/>
    <w:rsid w:val="66591B82"/>
    <w:rsid w:val="66790C75"/>
    <w:rsid w:val="67110541"/>
    <w:rsid w:val="674F15EA"/>
    <w:rsid w:val="67A63985"/>
    <w:rsid w:val="686731DA"/>
    <w:rsid w:val="6898637C"/>
    <w:rsid w:val="68B16D7B"/>
    <w:rsid w:val="68BA7003"/>
    <w:rsid w:val="68C057C9"/>
    <w:rsid w:val="697440AA"/>
    <w:rsid w:val="6A364F93"/>
    <w:rsid w:val="6A6E45BA"/>
    <w:rsid w:val="6BE11926"/>
    <w:rsid w:val="6C450EF0"/>
    <w:rsid w:val="6C920572"/>
    <w:rsid w:val="6D7E6398"/>
    <w:rsid w:val="6D827B87"/>
    <w:rsid w:val="6DC31ECB"/>
    <w:rsid w:val="6E421B8B"/>
    <w:rsid w:val="6E656845"/>
    <w:rsid w:val="6EA64B45"/>
    <w:rsid w:val="6F471F5D"/>
    <w:rsid w:val="6F975F07"/>
    <w:rsid w:val="70D42DED"/>
    <w:rsid w:val="710F157A"/>
    <w:rsid w:val="718C3480"/>
    <w:rsid w:val="726F354B"/>
    <w:rsid w:val="72B9765A"/>
    <w:rsid w:val="72F3401B"/>
    <w:rsid w:val="731416B4"/>
    <w:rsid w:val="73712518"/>
    <w:rsid w:val="738E7AB2"/>
    <w:rsid w:val="73A54F01"/>
    <w:rsid w:val="73DF2037"/>
    <w:rsid w:val="73F47C56"/>
    <w:rsid w:val="74624F7D"/>
    <w:rsid w:val="7546516B"/>
    <w:rsid w:val="758F20BE"/>
    <w:rsid w:val="75AF555B"/>
    <w:rsid w:val="76F3488A"/>
    <w:rsid w:val="77281C38"/>
    <w:rsid w:val="781828A1"/>
    <w:rsid w:val="785F25CA"/>
    <w:rsid w:val="78780B98"/>
    <w:rsid w:val="788E06C1"/>
    <w:rsid w:val="78D76423"/>
    <w:rsid w:val="79E02BD8"/>
    <w:rsid w:val="7A3458D0"/>
    <w:rsid w:val="7A4B048B"/>
    <w:rsid w:val="7A635363"/>
    <w:rsid w:val="7A96669D"/>
    <w:rsid w:val="7B4F6DFC"/>
    <w:rsid w:val="7B667A30"/>
    <w:rsid w:val="7B672810"/>
    <w:rsid w:val="7B681B66"/>
    <w:rsid w:val="7C6B2EC5"/>
    <w:rsid w:val="7E300909"/>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semiHidden/>
    <w:unhideWhenUsed/>
    <w:qFormat/>
    <w:uiPriority w:val="0"/>
    <w:pPr>
      <w:jc w:val="left"/>
    </w:pPr>
  </w:style>
  <w:style w:type="paragraph" w:styleId="6">
    <w:name w:val="Body Text"/>
    <w:basedOn w:val="1"/>
    <w:next w:val="1"/>
    <w:qFormat/>
    <w:uiPriority w:val="0"/>
  </w:style>
  <w:style w:type="paragraph" w:styleId="7">
    <w:name w:val="Plain Text"/>
    <w:basedOn w:val="1"/>
    <w:next w:val="1"/>
    <w:link w:val="29"/>
    <w:qFormat/>
    <w:uiPriority w:val="0"/>
    <w:rPr>
      <w:rFonts w:hint="eastAsia" w:ascii="宋体" w:hAnsi="Courier New" w:eastAsia="宋体" w:cs="Times New Roman"/>
      <w:szCs w:val="21"/>
    </w:rPr>
  </w:style>
  <w:style w:type="paragraph" w:styleId="8">
    <w:name w:val="Balloon Text"/>
    <w:basedOn w:val="1"/>
    <w:link w:val="27"/>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6"/>
    <w:link w:val="30"/>
    <w:qFormat/>
    <w:uiPriority w:val="0"/>
    <w:pPr>
      <w:spacing w:beforeAutospacing="1" w:after="120"/>
      <w:ind w:firstLine="420"/>
    </w:pPr>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0"/>
    <w:qFormat/>
    <w:uiPriority w:val="0"/>
    <w:rPr>
      <w:rFonts w:asciiTheme="minorHAnsi" w:hAnsiTheme="minorHAnsi" w:eastAsiaTheme="minorEastAsia" w:cstheme="minorBidi"/>
      <w:kern w:val="2"/>
      <w:sz w:val="18"/>
      <w:szCs w:val="18"/>
    </w:rPr>
  </w:style>
  <w:style w:type="character" w:customStyle="1" w:styleId="26">
    <w:name w:val="页脚 Char"/>
    <w:basedOn w:val="14"/>
    <w:link w:val="9"/>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8"/>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7"/>
    <w:qFormat/>
    <w:uiPriority w:val="0"/>
    <w:rPr>
      <w:rFonts w:ascii="宋体" w:hAnsi="Courier New"/>
      <w:kern w:val="2"/>
      <w:sz w:val="21"/>
      <w:szCs w:val="21"/>
    </w:rPr>
  </w:style>
  <w:style w:type="character" w:customStyle="1" w:styleId="30">
    <w:name w:val="正文首行缩进 Char"/>
    <w:basedOn w:val="14"/>
    <w:link w:val="1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 w:type="paragraph" w:styleId="35">
    <w:name w:val="No Spacing"/>
    <w:qFormat/>
    <w:uiPriority w:val="99"/>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42</Pages>
  <Words>16214</Words>
  <Characters>17048</Characters>
  <Lines>139</Lines>
  <Paragraphs>39</Paragraphs>
  <TotalTime>10</TotalTime>
  <ScaleCrop>false</ScaleCrop>
  <LinksUpToDate>false</LinksUpToDate>
  <CharactersWithSpaces>18154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2023-07-18T01:47:27Z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34A582031BBD4A8392FE98AAD5F97DA6</vt:lpwstr>
  </property>
</Properties>
</file>