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Lines/>
        <w:spacing w:line="360" w:lineRule="exact"/>
        <w:rPr>
          <w:rFonts w:ascii="宋体" w:hAnsi="宋体" w:eastAsia="宋体" w:cs="宋体"/>
          <w:color w:val="auto"/>
          <w:szCs w:val="21"/>
          <w:highlight w:val="none"/>
        </w:rPr>
      </w:pPr>
      <w:bookmarkStart w:id="41" w:name="_GoBack"/>
    </w:p>
    <w:p>
      <w:pPr>
        <w:keepLines/>
        <w:jc w:val="center"/>
        <w:rPr>
          <w:rFonts w:hint="eastAsia" w:ascii="宋体" w:hAnsi="宋体" w:eastAsia="宋体" w:cs="宋体"/>
          <w:b/>
          <w:color w:val="auto"/>
          <w:sz w:val="44"/>
          <w:szCs w:val="44"/>
          <w:highlight w:val="none"/>
        </w:rPr>
      </w:pPr>
      <w:r>
        <w:rPr>
          <w:rFonts w:hint="eastAsia" w:ascii="宋体" w:hAnsi="宋体" w:eastAsia="宋体" w:cs="宋体"/>
          <w:b/>
          <w:color w:val="auto"/>
          <w:sz w:val="44"/>
          <w:szCs w:val="44"/>
          <w:highlight w:val="none"/>
          <w:lang w:eastAsia="zh-CN"/>
        </w:rPr>
        <w:t>新联检大楼消防设施及系统升级改造工程施工总承包</w:t>
      </w:r>
    </w:p>
    <w:p>
      <w:pPr>
        <w:keepLines/>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pPr>
        <w:keepLines/>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pPr>
        <w:keepLines/>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keepLines/>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keepLines/>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keepLines/>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keepLines/>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keepLines/>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keepLines/>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pPr>
        <w:keepLines/>
        <w:ind w:firstLine="1285" w:firstLineChars="400"/>
        <w:jc w:val="both"/>
        <w:rPr>
          <w:rFonts w:ascii="宋体" w:hAnsi="宋体" w:eastAsia="宋体" w:cs="宋体"/>
          <w:color w:val="auto"/>
          <w:sz w:val="32"/>
          <w:szCs w:val="32"/>
          <w:highlight w:val="none"/>
        </w:rPr>
      </w:pPr>
      <w:bookmarkStart w:id="0" w:name="_Toc29976"/>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广州南沙经发投资有限公司</w:t>
      </w:r>
      <w:r>
        <w:rPr>
          <w:rFonts w:hint="eastAsia" w:ascii="宋体" w:hAnsi="宋体" w:eastAsia="宋体" w:cs="宋体"/>
          <w:b/>
          <w:color w:val="auto"/>
          <w:sz w:val="32"/>
          <w:szCs w:val="32"/>
          <w:highlight w:val="none"/>
        </w:rPr>
        <w:t>（业主单位）</w:t>
      </w:r>
    </w:p>
    <w:p>
      <w:pPr>
        <w:keepLines/>
        <w:spacing w:line="360" w:lineRule="auto"/>
        <w:ind w:firstLine="2445" w:firstLineChars="761"/>
        <w:rPr>
          <w:rFonts w:ascii="宋体" w:hAnsi="宋体" w:eastAsia="宋体" w:cs="宋体"/>
          <w:b/>
          <w:color w:val="auto"/>
          <w:sz w:val="32"/>
          <w:szCs w:val="32"/>
          <w:highlight w:val="none"/>
        </w:rPr>
      </w:pPr>
      <w:bookmarkStart w:id="1" w:name="OLE_LINK4"/>
      <w:bookmarkEnd w:id="1"/>
      <w:r>
        <w:rPr>
          <w:rFonts w:hint="eastAsia" w:ascii="宋体" w:hAnsi="宋体" w:eastAsia="宋体" w:cs="宋体"/>
          <w:b/>
          <w:color w:val="auto"/>
          <w:sz w:val="32"/>
          <w:szCs w:val="32"/>
          <w:highlight w:val="none"/>
        </w:rPr>
        <w:t>广州南沙建设维护管理有限公司（建设管理单位）</w:t>
      </w:r>
    </w:p>
    <w:p>
      <w:pPr>
        <w:keepLines/>
        <w:spacing w:line="520" w:lineRule="exact"/>
        <w:ind w:right="-101" w:rightChars="-48" w:firstLine="1285" w:firstLineChars="400"/>
        <w:rPr>
          <w:rFonts w:ascii="宋体" w:hAnsi="宋体" w:eastAsia="宋体" w:cs="宋体"/>
          <w:color w:val="auto"/>
          <w:spacing w:val="28"/>
          <w:position w:val="8"/>
          <w:sz w:val="28"/>
          <w:szCs w:val="28"/>
          <w:highlight w:val="none"/>
        </w:rPr>
      </w:pPr>
      <w:r>
        <w:rPr>
          <w:rFonts w:hint="eastAsia" w:ascii="宋体" w:hAnsi="宋体" w:eastAsia="宋体" w:cs="宋体"/>
          <w:b/>
          <w:color w:val="auto"/>
          <w:sz w:val="32"/>
          <w:szCs w:val="32"/>
          <w:highlight w:val="none"/>
        </w:rPr>
        <w:t>日</w:t>
      </w:r>
      <w:r>
        <w:rPr>
          <w:rFonts w:hint="eastAsia" w:ascii="宋体" w:hAnsi="宋体" w:eastAsia="宋体" w:cs="宋体"/>
          <w:b/>
          <w:color w:val="auto"/>
          <w:sz w:val="32"/>
          <w:szCs w:val="32"/>
          <w:highlight w:val="none"/>
          <w:lang w:val="en-US" w:eastAsia="zh-CN"/>
        </w:rPr>
        <w:t xml:space="preserve">  </w:t>
      </w:r>
      <w:r>
        <w:rPr>
          <w:rFonts w:hint="eastAsia" w:ascii="宋体" w:hAnsi="宋体" w:eastAsia="宋体" w:cs="宋体"/>
          <w:b/>
          <w:color w:val="auto"/>
          <w:sz w:val="32"/>
          <w:szCs w:val="32"/>
          <w:highlight w:val="none"/>
        </w:rPr>
        <w:t>期：202</w:t>
      </w:r>
      <w:r>
        <w:rPr>
          <w:rFonts w:hint="eastAsia" w:ascii="宋体" w:hAnsi="宋体" w:eastAsia="宋体" w:cs="宋体"/>
          <w:b/>
          <w:color w:val="auto"/>
          <w:sz w:val="32"/>
          <w:szCs w:val="32"/>
          <w:highlight w:val="none"/>
          <w:lang w:val="en-US" w:eastAsia="zh-CN"/>
        </w:rPr>
        <w:t>3</w:t>
      </w:r>
      <w:r>
        <w:rPr>
          <w:rFonts w:hint="eastAsia" w:ascii="宋体" w:hAnsi="宋体" w:eastAsia="宋体" w:cs="宋体"/>
          <w:b/>
          <w:color w:val="auto"/>
          <w:sz w:val="32"/>
          <w:szCs w:val="32"/>
          <w:highlight w:val="none"/>
        </w:rPr>
        <w:t>年</w:t>
      </w:r>
      <w:r>
        <w:rPr>
          <w:rFonts w:hint="eastAsia" w:ascii="宋体" w:hAnsi="宋体" w:eastAsia="宋体" w:cs="宋体"/>
          <w:b/>
          <w:color w:val="auto"/>
          <w:sz w:val="32"/>
          <w:szCs w:val="32"/>
          <w:highlight w:val="none"/>
          <w:lang w:val="en-US" w:eastAsia="zh-CN"/>
        </w:rPr>
        <w:t>7月</w:t>
      </w:r>
    </w:p>
    <w:p>
      <w:pPr>
        <w:keepLines/>
        <w:rPr>
          <w:rFonts w:ascii="黑体" w:hAnsi="宋体" w:eastAsia="黑体" w:cs="黑体"/>
          <w:color w:val="auto"/>
          <w:sz w:val="36"/>
          <w:szCs w:val="36"/>
          <w:highlight w:val="none"/>
        </w:rPr>
        <w:sectPr>
          <w:pgSz w:w="11915" w:h="16840"/>
          <w:pgMar w:top="1247" w:right="1135" w:bottom="1247" w:left="1361" w:header="720" w:footer="720" w:gutter="0"/>
          <w:cols w:space="425" w:num="1"/>
          <w:docGrid w:type="lines" w:linePitch="285" w:charSpace="0"/>
        </w:sectPr>
      </w:pPr>
    </w:p>
    <w:p>
      <w:pPr>
        <w:keepLines/>
        <w:rPr>
          <w:rFonts w:ascii="黑体" w:hAnsi="宋体" w:eastAsia="黑体" w:cs="黑体"/>
          <w:color w:val="auto"/>
          <w:sz w:val="36"/>
          <w:szCs w:val="36"/>
          <w:highlight w:val="none"/>
        </w:rPr>
      </w:pPr>
    </w:p>
    <w:bookmarkEnd w:id="0"/>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highlight w:val="none"/>
        </w:rPr>
      </w:sdtEndPr>
      <w:sdtContent>
        <w:p>
          <w:pPr>
            <w:keepLines/>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pPr>
            <w:pStyle w:val="13"/>
            <w:keepLines/>
            <w:tabs>
              <w:tab w:val="right" w:leader="dot" w:pos="9419"/>
            </w:tabs>
            <w:rPr>
              <w:rFonts w:asciiTheme="minorEastAsia" w:hAnsiTheme="minorEastAsia" w:eastAsiaTheme="minorEastAsia" w:cstheme="minorEastAsia"/>
              <w:color w:val="auto"/>
              <w:sz w:val="24"/>
              <w:szCs w:val="24"/>
              <w:highlight w:val="none"/>
            </w:rPr>
          </w:pP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TOC \o "1-1" \h \u </w:instrText>
          </w:r>
          <w:r>
            <w:rPr>
              <w:rFonts w:hint="eastAsia" w:asciiTheme="minorEastAsia" w:hAnsiTheme="minorEastAsia" w:eastAsiaTheme="minorEastAsia" w:cstheme="minorEastAsia"/>
              <w:color w:val="auto"/>
              <w:sz w:val="24"/>
              <w:szCs w:val="24"/>
              <w:highlight w:val="none"/>
            </w:rPr>
            <w:fldChar w:fldCharType="separate"/>
          </w:r>
        </w:p>
        <w:p>
          <w:pPr>
            <w:pStyle w:val="13"/>
            <w:keepLines/>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"_Toc13302"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第1章 投标须知及前附表</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_Toc13302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keepLines/>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"_Toc1632"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第2章 项目需求书</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_Toc1632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keepLines/>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"_Toc27492"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第3章  投标格式文件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_Toc27492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14</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keepLines/>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"_Toc30913"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第4章 评标办法</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_Toc30913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31</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pStyle w:val="13"/>
            <w:keepLines/>
            <w:tabs>
              <w:tab w:val="right" w:leader="dot" w:pos="9419"/>
            </w:tabs>
            <w:rPr>
              <w:rFonts w:asciiTheme="minorEastAsia" w:hAnsiTheme="minorEastAsia" w:eastAsiaTheme="minorEastAsia" w:cstheme="minorEastAsia"/>
              <w:color w:val="auto"/>
              <w:sz w:val="24"/>
              <w:szCs w:val="24"/>
              <w:highlight w:val="none"/>
            </w:rPr>
          </w:pPr>
          <w:r>
            <w:rPr>
              <w:color w:val="auto"/>
              <w:highlight w:val="none"/>
            </w:rPr>
            <w:fldChar w:fldCharType="begin"/>
          </w:r>
          <w:r>
            <w:rPr>
              <w:color w:val="auto"/>
              <w:highlight w:val="none"/>
            </w:rPr>
            <w:instrText xml:space="preserve"> HYPERLINK \l "_Toc26593" </w:instrText>
          </w:r>
          <w:r>
            <w:rPr>
              <w:color w:val="auto"/>
              <w:highlight w:val="none"/>
            </w:rPr>
            <w:fldChar w:fldCharType="separate"/>
          </w:r>
          <w:r>
            <w:rPr>
              <w:rFonts w:hint="eastAsia" w:asciiTheme="minorEastAsia" w:hAnsiTheme="minorEastAsia" w:eastAsiaTheme="minorEastAsia" w:cstheme="minorEastAsia"/>
              <w:color w:val="auto"/>
              <w:kern w:val="44"/>
              <w:sz w:val="24"/>
              <w:szCs w:val="24"/>
              <w:highlight w:val="none"/>
            </w:rPr>
            <w:t>第5章 附件</w:t>
          </w:r>
          <w:r>
            <w:rPr>
              <w:rFonts w:hint="eastAsia" w:asciiTheme="minorEastAsia" w:hAnsiTheme="minorEastAsia" w:eastAsiaTheme="minorEastAsia" w:cstheme="minorEastAsia"/>
              <w:color w:val="auto"/>
              <w:sz w:val="24"/>
              <w:szCs w:val="24"/>
              <w:highlight w:val="none"/>
            </w:rPr>
            <w:tab/>
          </w:r>
          <w:r>
            <w:rPr>
              <w:rFonts w:hint="eastAsia" w:asciiTheme="minorEastAsia" w:hAnsiTheme="minorEastAsia" w:eastAsiaTheme="minorEastAsia" w:cstheme="minorEastAsia"/>
              <w:color w:val="auto"/>
              <w:sz w:val="24"/>
              <w:szCs w:val="24"/>
              <w:highlight w:val="none"/>
            </w:rPr>
            <w:fldChar w:fldCharType="begin"/>
          </w:r>
          <w:r>
            <w:rPr>
              <w:rFonts w:hint="eastAsia" w:asciiTheme="minorEastAsia" w:hAnsiTheme="minorEastAsia" w:eastAsiaTheme="minorEastAsia" w:cstheme="minorEastAsia"/>
              <w:color w:val="auto"/>
              <w:sz w:val="24"/>
              <w:szCs w:val="24"/>
              <w:highlight w:val="none"/>
            </w:rPr>
            <w:instrText xml:space="preserve"> PAGEREF _Toc26593 </w:instrText>
          </w:r>
          <w:r>
            <w:rPr>
              <w:rFonts w:hint="eastAsia" w:asciiTheme="minorEastAsia" w:hAnsiTheme="minorEastAsia" w:eastAsiaTheme="minorEastAsia" w:cstheme="minorEastAsia"/>
              <w:color w:val="auto"/>
              <w:sz w:val="24"/>
              <w:szCs w:val="24"/>
              <w:highlight w:val="none"/>
            </w:rPr>
            <w:fldChar w:fldCharType="separate"/>
          </w:r>
          <w:r>
            <w:rPr>
              <w:rFonts w:hint="eastAsia" w:asciiTheme="minorEastAsia" w:hAnsiTheme="minorEastAsia" w:eastAsiaTheme="minorEastAsia" w:cstheme="minorEastAsia"/>
              <w:color w:val="auto"/>
              <w:sz w:val="24"/>
              <w:szCs w:val="24"/>
              <w:highlight w:val="none"/>
            </w:rPr>
            <w:t>38</w:t>
          </w:r>
          <w:r>
            <w:rPr>
              <w:rFonts w:hint="eastAsia" w:asciiTheme="minorEastAsia" w:hAnsiTheme="minorEastAsia" w:eastAsiaTheme="minorEastAsia" w:cstheme="minorEastAsia"/>
              <w:color w:val="auto"/>
              <w:sz w:val="24"/>
              <w:szCs w:val="24"/>
              <w:highlight w:val="none"/>
            </w:rPr>
            <w:fldChar w:fldCharType="end"/>
          </w:r>
          <w:r>
            <w:rPr>
              <w:rFonts w:hint="eastAsia" w:asciiTheme="minorEastAsia" w:hAnsiTheme="minorEastAsia" w:eastAsiaTheme="minorEastAsia" w:cstheme="minorEastAsia"/>
              <w:color w:val="auto"/>
              <w:sz w:val="24"/>
              <w:szCs w:val="24"/>
              <w:highlight w:val="none"/>
            </w:rPr>
            <w:fldChar w:fldCharType="end"/>
          </w:r>
        </w:p>
        <w:p>
          <w:pPr>
            <w:keepLines/>
            <w:rPr>
              <w:color w:val="auto"/>
              <w:highlight w:val="none"/>
            </w:rPr>
          </w:pPr>
          <w:r>
            <w:rPr>
              <w:rFonts w:hint="eastAsia" w:asciiTheme="minorEastAsia" w:hAnsiTheme="minorEastAsia" w:cstheme="minorEastAsia"/>
              <w:color w:val="auto"/>
              <w:sz w:val="24"/>
              <w:highlight w:val="none"/>
            </w:rPr>
            <w:fldChar w:fldCharType="end"/>
          </w:r>
        </w:p>
      </w:sdtContent>
    </w:sdt>
    <w:p>
      <w:pPr>
        <w:pStyle w:val="14"/>
        <w:keepLines/>
        <w:widowControl w:val="0"/>
        <w:spacing w:after="0"/>
        <w:ind w:firstLine="0"/>
        <w:rPr>
          <w:rFonts w:ascii="宋体" w:hAnsi="宋体" w:cs="宋体"/>
          <w:color w:val="auto"/>
          <w:highlight w:val="none"/>
        </w:rPr>
        <w:sectPr>
          <w:pgSz w:w="11915" w:h="16840"/>
          <w:pgMar w:top="1247" w:right="1135" w:bottom="1247" w:left="1361" w:header="720" w:footer="720" w:gutter="0"/>
          <w:cols w:space="425" w:num="1"/>
          <w:docGrid w:type="lines" w:linePitch="285" w:charSpace="0"/>
        </w:sectPr>
      </w:pPr>
      <w:r>
        <w:rPr>
          <w:rFonts w:hint="eastAsia" w:ascii="宋体" w:hAnsi="宋体" w:cs="宋体"/>
          <w:color w:val="auto"/>
          <w:highlight w:val="none"/>
        </w:rPr>
        <w:t xml:space="preserve"> </w:t>
      </w:r>
    </w:p>
    <w:p>
      <w:pPr>
        <w:pStyle w:val="3"/>
        <w:widowControl w:val="0"/>
        <w:spacing w:before="0" w:after="0" w:line="360" w:lineRule="auto"/>
        <w:jc w:val="center"/>
        <w:rPr>
          <w:rFonts w:ascii="黑体" w:hAnsi="宋体" w:cs="黑体"/>
          <w:b/>
          <w:color w:val="auto"/>
          <w:kern w:val="44"/>
          <w:sz w:val="44"/>
          <w:szCs w:val="44"/>
          <w:highlight w:val="none"/>
        </w:rPr>
      </w:pPr>
      <w:bookmarkStart w:id="2" w:name="_Toc374128472"/>
      <w:bookmarkStart w:id="3" w:name="_Toc13302"/>
      <w:r>
        <w:rPr>
          <w:rFonts w:hint="eastAsia" w:ascii="黑体" w:hAnsi="宋体" w:cs="黑体"/>
          <w:b/>
          <w:color w:val="auto"/>
          <w:kern w:val="44"/>
          <w:sz w:val="44"/>
          <w:szCs w:val="44"/>
          <w:highlight w:val="none"/>
        </w:rPr>
        <w:t>第1章 投标须知及前附表</w:t>
      </w:r>
      <w:bookmarkEnd w:id="2"/>
      <w:bookmarkEnd w:id="3"/>
    </w:p>
    <w:p>
      <w:pPr>
        <w:keepLines/>
        <w:spacing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5"/>
        <w:tblW w:w="9709" w:type="dxa"/>
        <w:jc w:val="center"/>
        <w:tblLayout w:type="fixed"/>
        <w:tblCellMar>
          <w:top w:w="0" w:type="dxa"/>
          <w:left w:w="108" w:type="dxa"/>
          <w:bottom w:w="0" w:type="dxa"/>
          <w:right w:w="108" w:type="dxa"/>
        </w:tblCellMar>
      </w:tblPr>
      <w:tblGrid>
        <w:gridCol w:w="720"/>
        <w:gridCol w:w="990"/>
        <w:gridCol w:w="1706"/>
        <w:gridCol w:w="6293"/>
      </w:tblGrid>
      <w:tr>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b/>
                <w:color w:val="auto"/>
                <w:highlight w:val="none"/>
              </w:rPr>
            </w:pPr>
            <w:r>
              <w:rPr>
                <w:rFonts w:hint="eastAsia" w:ascii="宋体" w:hAnsi="宋体" w:eastAsia="宋体" w:cs="宋体"/>
                <w:b/>
                <w:color w:val="auto"/>
                <w:highlight w:val="none"/>
              </w:rPr>
              <w:t>说明与要求</w:t>
            </w:r>
          </w:p>
        </w:tc>
      </w:tr>
      <w:tr>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keepLines/>
              <w:widowControl w:val="0"/>
              <w:spacing w:after="0" w:line="320" w:lineRule="exact"/>
              <w:ind w:firstLine="0"/>
              <w:rPr>
                <w:rFonts w:hint="eastAsia" w:ascii="宋体" w:hAnsi="宋体" w:eastAsia="宋体" w:cs="宋体"/>
                <w:color w:val="auto"/>
                <w:highlight w:val="none"/>
                <w:u w:val="none"/>
                <w:lang w:eastAsia="zh-CN"/>
              </w:rPr>
            </w:pPr>
            <w:r>
              <w:rPr>
                <w:rFonts w:hint="eastAsia" w:ascii="宋体" w:hAnsi="宋体" w:cs="宋体"/>
                <w:color w:val="auto"/>
                <w:highlight w:val="none"/>
                <w:u w:val="none"/>
                <w:lang w:eastAsia="zh-CN"/>
              </w:rPr>
              <w:t>新联检大楼消防设施及系统升级改造工程施工总承包</w:t>
            </w:r>
          </w:p>
        </w:tc>
      </w:tr>
      <w:tr>
        <w:tblPrEx>
          <w:tblCellMar>
            <w:top w:w="0" w:type="dxa"/>
            <w:left w:w="108" w:type="dxa"/>
            <w:bottom w:w="0" w:type="dxa"/>
            <w:right w:w="108" w:type="dxa"/>
          </w:tblCellMar>
        </w:tblPrEx>
        <w:trPr>
          <w:trHeight w:val="462" w:hRule="atLeast"/>
          <w:jc w:val="center"/>
        </w:trPr>
        <w:tc>
          <w:tcPr>
            <w:tcW w:w="720" w:type="dxa"/>
            <w:vMerge w:val="restart"/>
            <w:tcBorders>
              <w:top w:val="single" w:color="auto" w:sz="4" w:space="0"/>
              <w:left w:val="double" w:color="auto" w:sz="2"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w:t>
            </w:r>
          </w:p>
          <w:p>
            <w:pPr>
              <w:pStyle w:val="14"/>
              <w:keepLines/>
              <w:widowControl w:val="0"/>
              <w:spacing w:after="0" w:line="440" w:lineRule="exact"/>
              <w:ind w:firstLine="0"/>
              <w:jc w:val="center"/>
              <w:rPr>
                <w:rFonts w:hint="eastAsia" w:ascii="宋体" w:hAnsi="宋体" w:eastAsia="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keepLines/>
              <w:widowControl w:val="0"/>
              <w:spacing w:after="0" w:line="320" w:lineRule="exact"/>
              <w:ind w:firstLine="0"/>
              <w:rPr>
                <w:rFonts w:hint="eastAsia" w:ascii="宋体" w:hAnsi="宋体" w:eastAsia="宋体" w:cs="宋体"/>
                <w:color w:val="auto"/>
                <w:highlight w:val="none"/>
                <w:u w:val="none"/>
                <w:lang w:val="en-US" w:eastAsia="zh-CN"/>
              </w:rPr>
            </w:pPr>
            <w:r>
              <w:rPr>
                <w:rFonts w:hint="eastAsia" w:ascii="宋体" w:hAnsi="宋体" w:eastAsia="宋体" w:cs="宋体"/>
                <w:color w:val="auto"/>
                <w:sz w:val="21"/>
                <w:szCs w:val="21"/>
                <w:highlight w:val="none"/>
              </w:rPr>
              <w:t>广州市南沙区</w:t>
            </w:r>
            <w:r>
              <w:rPr>
                <w:rFonts w:hint="eastAsia" w:ascii="宋体" w:hAnsi="宋体" w:cs="宋体"/>
                <w:color w:val="auto"/>
                <w:sz w:val="21"/>
                <w:szCs w:val="21"/>
                <w:highlight w:val="none"/>
                <w:lang w:eastAsia="zh-CN"/>
              </w:rPr>
              <w:t>进港大道</w:t>
            </w:r>
          </w:p>
        </w:tc>
      </w:tr>
      <w:tr>
        <w:tblPrEx>
          <w:tblCellMar>
            <w:top w:w="0" w:type="dxa"/>
            <w:left w:w="108" w:type="dxa"/>
            <w:bottom w:w="0" w:type="dxa"/>
            <w:right w:w="108" w:type="dxa"/>
          </w:tblCellMar>
        </w:tblPrEx>
        <w:trPr>
          <w:trHeight w:val="963" w:hRule="atLeast"/>
          <w:jc w:val="center"/>
        </w:trPr>
        <w:tc>
          <w:tcPr>
            <w:tcW w:w="720" w:type="dxa"/>
            <w:vMerge w:val="continue"/>
            <w:tcBorders>
              <w:left w:val="double" w:color="auto" w:sz="2"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u w:val="none"/>
                <w:lang w:eastAsia="zh-CN"/>
              </w:rPr>
            </w:pPr>
            <w:r>
              <w:rPr>
                <w:rFonts w:hint="eastAsia" w:ascii="宋体" w:hAnsi="宋体" w:eastAsia="宋体" w:cs="宋体"/>
                <w:color w:val="auto"/>
                <w:highlight w:val="none"/>
                <w:u w:val="none"/>
                <w:lang w:eastAsia="zh-CN"/>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keepLines/>
              <w:widowControl w:val="0"/>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lang w:val="en-US" w:eastAsia="zh-CN"/>
              </w:rPr>
              <w:t>新联检大楼</w:t>
            </w:r>
            <w:r>
              <w:rPr>
                <w:rFonts w:hint="eastAsia" w:ascii="宋体" w:hAnsi="宋体" w:eastAsia="宋体" w:cs="宋体"/>
                <w:color w:val="auto"/>
                <w:kern w:val="2"/>
                <w:sz w:val="21"/>
                <w:szCs w:val="21"/>
                <w:highlight w:val="none"/>
                <w:u w:val="none"/>
                <w:shd w:val="clear"/>
                <w:lang w:val="en-US" w:eastAsia="zh-CN" w:bidi="ar"/>
              </w:rPr>
              <w:t>位于广州市南沙区进港大道，</w:t>
            </w:r>
            <w:r>
              <w:rPr>
                <w:rFonts w:hint="eastAsia" w:ascii="宋体" w:hAnsi="宋体" w:eastAsia="宋体" w:cs="宋体"/>
                <w:color w:val="auto"/>
                <w:sz w:val="21"/>
                <w:szCs w:val="21"/>
                <w:highlight w:val="none"/>
                <w:lang w:val="en-US" w:eastAsia="zh-CN"/>
              </w:rPr>
              <w:t>为尽快解决消防设备及系统问题，消除安全隐患，拟按照二次消防验收技术检测标准，对新联检大楼消防设备和系统实施项目升级改造。</w:t>
            </w:r>
            <w:r>
              <w:rPr>
                <w:rFonts w:hint="eastAsia" w:ascii="宋体" w:hAnsi="宋体" w:eastAsia="宋体" w:cs="宋体"/>
                <w:color w:val="auto"/>
                <w:sz w:val="21"/>
                <w:szCs w:val="21"/>
                <w:highlight w:val="none"/>
                <w:shd w:val="clear" w:color="auto" w:fill="auto"/>
                <w:lang w:val="en-US" w:eastAsia="zh-CN"/>
              </w:rPr>
              <w:t>项目总</w:t>
            </w:r>
            <w:r>
              <w:rPr>
                <w:rFonts w:hint="eastAsia" w:ascii="宋体" w:hAnsi="宋体" w:eastAsia="宋体" w:cs="宋体"/>
                <w:color w:val="auto"/>
                <w:sz w:val="21"/>
                <w:szCs w:val="21"/>
                <w:highlight w:val="none"/>
                <w:shd w:val="clear" w:color="auto" w:fill="auto"/>
                <w:lang w:eastAsia="zh-CN"/>
              </w:rPr>
              <w:t>投资约</w:t>
            </w:r>
            <w:r>
              <w:rPr>
                <w:rFonts w:hint="eastAsia" w:ascii="宋体" w:hAnsi="宋体" w:eastAsia="宋体" w:cs="宋体"/>
                <w:color w:val="auto"/>
                <w:sz w:val="21"/>
                <w:szCs w:val="21"/>
                <w:highlight w:val="none"/>
                <w:shd w:val="clear" w:color="auto" w:fill="auto"/>
                <w:lang w:val="en-US" w:eastAsia="zh-CN"/>
              </w:rPr>
              <w:t>250</w:t>
            </w:r>
            <w:r>
              <w:rPr>
                <w:rFonts w:hint="eastAsia" w:ascii="宋体" w:hAnsi="宋体" w:eastAsia="宋体" w:cs="宋体"/>
                <w:color w:val="auto"/>
                <w:sz w:val="21"/>
                <w:szCs w:val="21"/>
                <w:highlight w:val="none"/>
              </w:rPr>
              <w:t>万元</w:t>
            </w:r>
            <w:r>
              <w:rPr>
                <w:rFonts w:hint="eastAsia" w:ascii="宋体" w:hAnsi="宋体" w:eastAsia="宋体" w:cs="宋体"/>
                <w:color w:val="auto"/>
                <w:sz w:val="21"/>
                <w:szCs w:val="21"/>
                <w:highlight w:val="none"/>
                <w:lang w:eastAsia="zh-CN"/>
              </w:rPr>
              <w:t>。</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承包方式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keepLines/>
              <w:widowControl w:val="0"/>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bCs w:val="0"/>
                <w:color w:val="auto"/>
                <w:sz w:val="21"/>
                <w:szCs w:val="21"/>
                <w:highlight w:val="none"/>
                <w:u w:val="none"/>
                <w:lang w:eastAsia="zh-CN"/>
              </w:rPr>
              <w:t>固定综合单价包干，工程量按实结算，绿色施工安全防护措施费固定总价包干。</w:t>
            </w:r>
          </w:p>
        </w:tc>
      </w:tr>
      <w:tr>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项目总投资</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keepLines/>
              <w:widowControl w:val="0"/>
              <w:spacing w:after="0" w:line="320" w:lineRule="exact"/>
              <w:ind w:firstLine="0"/>
              <w:rPr>
                <w:rFonts w:hint="eastAsia" w:ascii="宋体" w:hAnsi="宋体" w:eastAsia="宋体" w:cs="宋体"/>
                <w:color w:val="auto"/>
                <w:highlight w:val="none"/>
                <w:u w:val="none"/>
                <w:lang w:eastAsia="zh-CN"/>
              </w:rPr>
            </w:pPr>
            <w:r>
              <w:rPr>
                <w:rFonts w:hint="eastAsia" w:ascii="宋体" w:hAnsi="宋体" w:eastAsia="宋体" w:cs="宋体"/>
                <w:color w:val="auto"/>
                <w:sz w:val="21"/>
                <w:szCs w:val="21"/>
                <w:highlight w:val="none"/>
                <w:u w:val="none"/>
                <w:shd w:val="clear"/>
                <w:lang w:eastAsia="zh-CN"/>
              </w:rPr>
              <w:t>总投资约</w:t>
            </w:r>
            <w:r>
              <w:rPr>
                <w:rFonts w:hint="eastAsia" w:ascii="宋体" w:hAnsi="宋体" w:cs="宋体"/>
                <w:color w:val="auto"/>
                <w:sz w:val="21"/>
                <w:szCs w:val="21"/>
                <w:highlight w:val="none"/>
                <w:u w:val="none"/>
                <w:lang w:val="en-US" w:eastAsia="zh-CN"/>
              </w:rPr>
              <w:t>2</w:t>
            </w:r>
            <w:r>
              <w:rPr>
                <w:rFonts w:hint="eastAsia" w:ascii="宋体" w:hAnsi="宋体" w:cs="宋体"/>
                <w:color w:val="auto"/>
                <w:sz w:val="21"/>
                <w:szCs w:val="21"/>
                <w:highlight w:val="none"/>
                <w:u w:val="none"/>
                <w:lang w:val="en-US" w:eastAsia="zh-CN"/>
              </w:rPr>
              <w:t>50</w:t>
            </w:r>
            <w:r>
              <w:rPr>
                <w:rFonts w:hint="eastAsia" w:ascii="宋体" w:hAnsi="宋体" w:eastAsia="宋体" w:cs="宋体"/>
                <w:color w:val="auto"/>
                <w:sz w:val="21"/>
                <w:szCs w:val="21"/>
                <w:highlight w:val="none"/>
                <w:u w:val="none"/>
              </w:rPr>
              <w:t>万元</w:t>
            </w:r>
            <w:r>
              <w:rPr>
                <w:rFonts w:hint="eastAsia" w:ascii="宋体" w:hAnsi="宋体" w:eastAsia="宋体" w:cs="宋体"/>
                <w:color w:val="auto"/>
                <w:sz w:val="21"/>
                <w:szCs w:val="21"/>
                <w:highlight w:val="none"/>
                <w:u w:val="none"/>
                <w:lang w:eastAsia="zh-CN"/>
              </w:rPr>
              <w:t>。</w:t>
            </w:r>
          </w:p>
        </w:tc>
      </w:tr>
      <w:tr>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keepLines/>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color w:val="auto"/>
                <w:kern w:val="2"/>
                <w:sz w:val="21"/>
                <w:szCs w:val="21"/>
                <w:highlight w:val="none"/>
                <w:shd w:val="clear" w:color="auto" w:fill="auto"/>
                <w:lang w:bidi="ar-SA"/>
              </w:rPr>
              <w:t>工程质量符合国家验收规范，达到合格标准</w:t>
            </w:r>
            <w:r>
              <w:rPr>
                <w:rFonts w:hint="eastAsia" w:ascii="宋体" w:hAnsi="宋体" w:eastAsia="宋体" w:cs="宋体"/>
                <w:bCs w:val="0"/>
                <w:color w:val="auto"/>
                <w:kern w:val="2"/>
                <w:sz w:val="21"/>
                <w:szCs w:val="21"/>
                <w:highlight w:val="none"/>
                <w:shd w:val="clear" w:color="auto" w:fill="auto"/>
                <w:lang w:eastAsia="zh-CN" w:bidi="ar-SA"/>
              </w:rPr>
              <w:t>。</w:t>
            </w:r>
          </w:p>
        </w:tc>
      </w:tr>
      <w:tr>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32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320" w:lineRule="exact"/>
              <w:ind w:firstLine="0"/>
              <w:jc w:val="left"/>
              <w:rPr>
                <w:rFonts w:hint="eastAsia" w:ascii="宋体" w:hAnsi="宋体" w:eastAsia="宋体" w:cs="宋体"/>
                <w:color w:val="auto"/>
                <w:highlight w:val="none"/>
              </w:rPr>
            </w:pPr>
            <w:r>
              <w:rPr>
                <w:rFonts w:hint="eastAsia" w:ascii="宋体" w:hAnsi="宋体" w:eastAsia="宋体" w:cs="宋体"/>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2"/>
              <w:keepLines/>
              <w:widowControl w:val="0"/>
              <w:spacing w:line="320" w:lineRule="exact"/>
              <w:ind w:firstLine="0"/>
              <w:rPr>
                <w:rFonts w:hint="eastAsia" w:ascii="宋体" w:hAnsi="宋体" w:eastAsia="宋体" w:cs="宋体"/>
                <w:color w:val="auto"/>
                <w:kern w:val="0"/>
                <w:sz w:val="21"/>
                <w:szCs w:val="21"/>
                <w:highlight w:val="none"/>
                <w:lang w:val="en-US" w:eastAsia="zh-CN"/>
              </w:rPr>
            </w:pPr>
            <w:r>
              <w:rPr>
                <w:rFonts w:hint="eastAsia" w:ascii="宋体" w:hAnsi="宋体" w:eastAsia="宋体" w:cs="宋体"/>
                <w:color w:val="auto"/>
                <w:sz w:val="21"/>
                <w:szCs w:val="21"/>
                <w:highlight w:val="none"/>
                <w:lang w:val="en-US" w:eastAsia="zh-CN"/>
              </w:rPr>
              <w:t>包括但不限于：</w:t>
            </w:r>
            <w:r>
              <w:rPr>
                <w:rFonts w:hint="eastAsia" w:ascii="宋体" w:hAnsi="宋体" w:eastAsia="宋体"/>
                <w:b w:val="0"/>
                <w:bCs w:val="0"/>
                <w:color w:val="auto"/>
                <w:sz w:val="21"/>
                <w:szCs w:val="21"/>
                <w:highlight w:val="none"/>
                <w:lang w:val="en-US" w:eastAsia="zh-CN"/>
              </w:rPr>
              <w:t>天棚吊顶工程、防火门、应急照明系统、消防设备电源监控系统、电气火灾监控系统、防火门监控系统、电梯五方通话系统、火灾自动报警系统、防排烟</w:t>
            </w:r>
            <w:r>
              <w:rPr>
                <w:rFonts w:hint="eastAsia" w:ascii="宋体" w:hAnsi="宋体" w:eastAsia="宋体"/>
                <w:b w:val="0"/>
                <w:bCs w:val="0"/>
                <w:color w:val="auto"/>
                <w:sz w:val="21"/>
                <w:szCs w:val="21"/>
                <w:highlight w:val="none"/>
                <w:lang w:eastAsia="zh-CN"/>
              </w:rPr>
              <w:t>风机</w:t>
            </w:r>
            <w:r>
              <w:rPr>
                <w:rFonts w:hint="eastAsia" w:ascii="宋体" w:hAnsi="宋体" w:eastAsia="宋体"/>
                <w:b w:val="0"/>
                <w:bCs w:val="0"/>
                <w:color w:val="auto"/>
                <w:sz w:val="21"/>
                <w:szCs w:val="21"/>
                <w:highlight w:val="none"/>
                <w:lang w:val="en-US" w:eastAsia="zh-CN"/>
              </w:rPr>
              <w:t>等改造工程</w:t>
            </w:r>
            <w:r>
              <w:rPr>
                <w:rFonts w:hint="eastAsia" w:ascii="宋体" w:hAnsi="宋体" w:eastAsia="宋体" w:cs="宋体"/>
                <w:color w:val="auto"/>
                <w:spacing w:val="0"/>
                <w:sz w:val="21"/>
                <w:szCs w:val="21"/>
                <w:highlight w:val="none"/>
                <w:lang w:val="en-US" w:eastAsia="zh-CN"/>
              </w:rPr>
              <w:t>。具体以实际施工图纸、工程量清单为准。</w:t>
            </w:r>
          </w:p>
          <w:p>
            <w:pPr>
              <w:pStyle w:val="2"/>
              <w:keepLines/>
              <w:widowControl w:val="0"/>
              <w:spacing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0"/>
                <w:sz w:val="21"/>
                <w:szCs w:val="21"/>
                <w:highlight w:val="none"/>
                <w:lang w:val="en-US" w:eastAsia="zh-CN"/>
              </w:rPr>
              <w:t>投标</w:t>
            </w:r>
            <w:r>
              <w:rPr>
                <w:rFonts w:hint="eastAsia" w:ascii="宋体" w:hAnsi="宋体" w:eastAsia="宋体" w:cs="宋体"/>
                <w:color w:val="auto"/>
                <w:kern w:val="0"/>
                <w:sz w:val="21"/>
                <w:szCs w:val="21"/>
                <w:highlight w:val="none"/>
              </w:rPr>
              <w:t>人需按</w:t>
            </w:r>
            <w:r>
              <w:rPr>
                <w:rFonts w:hint="eastAsia" w:ascii="宋体" w:hAnsi="宋体" w:eastAsia="宋体" w:cs="宋体"/>
                <w:color w:val="auto"/>
                <w:kern w:val="0"/>
                <w:sz w:val="21"/>
                <w:szCs w:val="21"/>
                <w:highlight w:val="none"/>
                <w:lang w:val="en-US" w:eastAsia="zh-CN"/>
              </w:rPr>
              <w:t>招标文件、图纸规范等</w:t>
            </w:r>
            <w:r>
              <w:rPr>
                <w:rFonts w:hint="eastAsia" w:ascii="宋体" w:hAnsi="宋体" w:eastAsia="宋体" w:cs="宋体"/>
                <w:color w:val="auto"/>
                <w:kern w:val="0"/>
                <w:sz w:val="21"/>
                <w:szCs w:val="21"/>
                <w:highlight w:val="none"/>
              </w:rPr>
              <w:t>要求</w:t>
            </w:r>
            <w:r>
              <w:rPr>
                <w:rFonts w:hint="eastAsia" w:ascii="宋体" w:hAnsi="宋体" w:eastAsia="宋体" w:cs="宋体"/>
                <w:color w:val="auto"/>
                <w:kern w:val="0"/>
                <w:sz w:val="21"/>
                <w:szCs w:val="21"/>
                <w:highlight w:val="none"/>
                <w:lang w:val="en-US" w:eastAsia="zh-CN"/>
              </w:rPr>
              <w:t>进行</w:t>
            </w:r>
            <w:r>
              <w:rPr>
                <w:rFonts w:hint="eastAsia" w:ascii="宋体" w:hAnsi="宋体" w:eastAsia="宋体" w:cs="宋体"/>
                <w:color w:val="auto"/>
                <w:kern w:val="0"/>
                <w:sz w:val="21"/>
                <w:szCs w:val="21"/>
                <w:highlight w:val="none"/>
              </w:rPr>
              <w:t>施工，</w:t>
            </w:r>
            <w:r>
              <w:rPr>
                <w:rFonts w:hint="eastAsia" w:ascii="宋体" w:hAnsi="宋体" w:eastAsia="宋体" w:cs="宋体"/>
                <w:color w:val="auto"/>
                <w:kern w:val="0"/>
                <w:sz w:val="21"/>
                <w:szCs w:val="21"/>
                <w:highlight w:val="none"/>
                <w:lang w:val="en-US" w:eastAsia="zh-CN"/>
              </w:rPr>
              <w:t>如</w:t>
            </w:r>
            <w:r>
              <w:rPr>
                <w:rFonts w:hint="eastAsia" w:ascii="宋体" w:hAnsi="宋体" w:eastAsia="宋体" w:cs="宋体"/>
                <w:color w:val="auto"/>
                <w:kern w:val="0"/>
                <w:sz w:val="21"/>
                <w:szCs w:val="21"/>
                <w:highlight w:val="none"/>
              </w:rPr>
              <w:t>设计图纸有调整时，必须服从要求调整</w:t>
            </w:r>
            <w:r>
              <w:rPr>
                <w:rFonts w:hint="eastAsia" w:ascii="宋体" w:hAnsi="宋体" w:eastAsia="宋体" w:cs="宋体"/>
                <w:bCs w:val="0"/>
                <w:color w:val="auto"/>
                <w:sz w:val="21"/>
                <w:szCs w:val="21"/>
                <w:highlight w:val="none"/>
                <w:lang w:eastAsia="zh-CN"/>
              </w:rPr>
              <w:t>。</w:t>
            </w:r>
          </w:p>
        </w:tc>
      </w:tr>
      <w:tr>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val="en-US" w:eastAsia="zh-CN"/>
              </w:rPr>
              <w:t>工期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keepLines/>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暂定</w:t>
            </w:r>
            <w:r>
              <w:rPr>
                <w:rFonts w:hint="eastAsia" w:ascii="宋体" w:hAnsi="宋体" w:eastAsia="宋体" w:cs="宋体"/>
                <w:color w:val="auto"/>
                <w:kern w:val="2"/>
                <w:sz w:val="21"/>
                <w:szCs w:val="21"/>
                <w:highlight w:val="none"/>
                <w:u w:val="none"/>
                <w:lang w:val="en-US" w:eastAsia="zh-CN" w:bidi="ar-SA"/>
              </w:rPr>
              <w:t>2023年</w:t>
            </w:r>
            <w:r>
              <w:rPr>
                <w:rFonts w:hint="eastAsia" w:ascii="宋体" w:hAnsi="宋体" w:eastAsia="宋体" w:cs="宋体"/>
                <w:color w:val="auto"/>
                <w:kern w:val="2"/>
                <w:sz w:val="21"/>
                <w:szCs w:val="21"/>
                <w:highlight w:val="none"/>
                <w:u w:val="none"/>
                <w:lang w:val="en-US" w:eastAsia="zh-CN" w:bidi="ar-SA"/>
              </w:rPr>
              <w:t>8</w:t>
            </w:r>
            <w:r>
              <w:rPr>
                <w:rFonts w:hint="eastAsia" w:ascii="宋体" w:hAnsi="宋体" w:eastAsia="宋体" w:cs="宋体"/>
                <w:color w:val="auto"/>
                <w:kern w:val="2"/>
                <w:sz w:val="21"/>
                <w:szCs w:val="21"/>
                <w:highlight w:val="none"/>
                <w:u w:val="none"/>
                <w:lang w:val="en-US" w:eastAsia="zh-CN" w:bidi="ar-SA"/>
              </w:rPr>
              <w:t>月</w:t>
            </w:r>
            <w:r>
              <w:rPr>
                <w:rFonts w:hint="eastAsia" w:ascii="宋体" w:hAnsi="宋体" w:eastAsia="宋体" w:cs="宋体"/>
                <w:color w:val="auto"/>
                <w:kern w:val="2"/>
                <w:sz w:val="21"/>
                <w:szCs w:val="21"/>
                <w:highlight w:val="none"/>
                <w:u w:val="none"/>
                <w:lang w:val="en-US" w:eastAsia="zh-CN" w:bidi="ar-SA"/>
              </w:rPr>
              <w:t>30</w:t>
            </w:r>
            <w:r>
              <w:rPr>
                <w:rFonts w:hint="eastAsia" w:ascii="宋体" w:hAnsi="宋体" w:eastAsia="宋体" w:cs="宋体"/>
                <w:color w:val="auto"/>
                <w:kern w:val="2"/>
                <w:sz w:val="21"/>
                <w:szCs w:val="21"/>
                <w:highlight w:val="none"/>
                <w:u w:val="none"/>
                <w:lang w:val="en-US" w:eastAsia="zh-CN" w:bidi="ar-SA"/>
              </w:rPr>
              <w:t>日前完工、交付。</w:t>
            </w:r>
          </w:p>
        </w:tc>
      </w:tr>
      <w:tr>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keepLines/>
              <w:widowControl w:val="0"/>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自筹资金</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投标人资质要求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keepLines/>
              <w:widowControl w:val="0"/>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bCs w:val="0"/>
                <w:color w:val="auto"/>
                <w:kern w:val="2"/>
                <w:sz w:val="21"/>
                <w:szCs w:val="21"/>
                <w:highlight w:val="none"/>
              </w:rPr>
              <w:t>投标人</w:t>
            </w:r>
            <w:r>
              <w:rPr>
                <w:rFonts w:hint="eastAsia" w:ascii="宋体" w:hAnsi="宋体" w:eastAsia="宋体" w:cs="宋体"/>
                <w:bCs w:val="0"/>
                <w:color w:val="auto"/>
                <w:kern w:val="2"/>
                <w:sz w:val="21"/>
                <w:szCs w:val="21"/>
                <w:highlight w:val="none"/>
                <w:lang w:eastAsia="zh-CN"/>
              </w:rPr>
              <w:t>具有</w:t>
            </w:r>
            <w:r>
              <w:rPr>
                <w:rFonts w:hint="eastAsia" w:ascii="宋体" w:hAnsi="宋体" w:eastAsia="宋体" w:cs="宋体"/>
                <w:i w:val="0"/>
                <w:iCs w:val="0"/>
                <w:caps w:val="0"/>
                <w:color w:val="auto"/>
                <w:spacing w:val="0"/>
                <w:sz w:val="21"/>
                <w:szCs w:val="21"/>
                <w:highlight w:val="none"/>
                <w:shd w:val="clear"/>
              </w:rPr>
              <w:t>承接本工程所需的</w:t>
            </w:r>
            <w:r>
              <w:rPr>
                <w:rFonts w:hint="eastAsia" w:ascii="宋体" w:hAnsi="宋体" w:eastAsia="宋体" w:cs="宋体"/>
                <w:color w:val="auto"/>
                <w:sz w:val="21"/>
                <w:szCs w:val="21"/>
                <w:highlight w:val="none"/>
                <w:u w:val="none"/>
                <w:lang w:eastAsia="zh-CN"/>
              </w:rPr>
              <w:t>消防设施</w:t>
            </w:r>
            <w:r>
              <w:rPr>
                <w:rFonts w:hint="eastAsia" w:ascii="宋体" w:hAnsi="宋体" w:eastAsia="宋体" w:cs="宋体"/>
                <w:color w:val="auto"/>
                <w:sz w:val="21"/>
                <w:szCs w:val="21"/>
                <w:highlight w:val="none"/>
                <w:u w:val="none"/>
              </w:rPr>
              <w:t>工程</w:t>
            </w:r>
            <w:r>
              <w:rPr>
                <w:rFonts w:hint="eastAsia" w:ascii="宋体" w:hAnsi="宋体" w:eastAsia="宋体" w:cs="宋体"/>
                <w:color w:val="auto"/>
                <w:sz w:val="21"/>
                <w:szCs w:val="21"/>
                <w:highlight w:val="none"/>
                <w:u w:val="none"/>
                <w:lang w:eastAsia="zh-CN"/>
              </w:rPr>
              <w:t>专业承包</w:t>
            </w:r>
            <w:r>
              <w:rPr>
                <w:rFonts w:hint="eastAsia" w:ascii="宋体" w:hAnsi="宋体" w:eastAsia="宋体" w:cs="宋体"/>
                <w:color w:val="auto"/>
                <w:sz w:val="21"/>
                <w:szCs w:val="21"/>
                <w:highlight w:val="none"/>
                <w:u w:val="none"/>
              </w:rPr>
              <w:t>施工</w:t>
            </w:r>
            <w:r>
              <w:rPr>
                <w:rFonts w:hint="eastAsia" w:ascii="宋体" w:hAnsi="宋体" w:eastAsia="宋体" w:cs="宋体"/>
                <w:color w:val="auto"/>
                <w:sz w:val="21"/>
                <w:szCs w:val="21"/>
                <w:highlight w:val="none"/>
                <w:u w:val="none"/>
                <w:lang w:eastAsia="zh-CN"/>
              </w:rPr>
              <w:t>二</w:t>
            </w:r>
            <w:r>
              <w:rPr>
                <w:rFonts w:hint="eastAsia" w:ascii="宋体" w:hAnsi="宋体" w:eastAsia="宋体" w:cs="宋体"/>
                <w:color w:val="auto"/>
                <w:sz w:val="21"/>
                <w:szCs w:val="21"/>
                <w:highlight w:val="none"/>
                <w:u w:val="none"/>
              </w:rPr>
              <w:t>级</w:t>
            </w:r>
            <w:r>
              <w:rPr>
                <w:rFonts w:hint="eastAsia" w:ascii="宋体" w:hAnsi="宋体" w:eastAsia="宋体" w:cs="宋体"/>
                <w:bCs w:val="0"/>
                <w:color w:val="auto"/>
                <w:kern w:val="2"/>
                <w:sz w:val="21"/>
                <w:szCs w:val="21"/>
                <w:highlight w:val="none"/>
                <w:lang w:eastAsia="zh-CN"/>
              </w:rPr>
              <w:t>或以上</w:t>
            </w:r>
            <w:r>
              <w:rPr>
                <w:rFonts w:hint="eastAsia" w:ascii="宋体" w:hAnsi="宋体" w:eastAsia="宋体" w:cs="宋体"/>
                <w:color w:val="auto"/>
                <w:sz w:val="21"/>
                <w:szCs w:val="21"/>
                <w:highlight w:val="none"/>
                <w:u w:val="none"/>
                <w:lang w:eastAsia="zh-CN"/>
              </w:rPr>
              <w:t>资质</w:t>
            </w:r>
            <w:r>
              <w:rPr>
                <w:rFonts w:hint="eastAsia" w:ascii="宋体" w:hAnsi="宋体" w:cs="宋体"/>
                <w:bCs w:val="0"/>
                <w:color w:val="auto"/>
                <w:kern w:val="2"/>
                <w:sz w:val="21"/>
                <w:szCs w:val="21"/>
                <w:highlight w:val="none"/>
                <w:lang w:eastAsia="zh-CN"/>
              </w:rPr>
              <w:t>。</w:t>
            </w:r>
          </w:p>
        </w:tc>
      </w:tr>
      <w:tr>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keepLines/>
              <w:widowControl w:val="0"/>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lang w:eastAsia="zh-CN"/>
              </w:rPr>
            </w:pPr>
            <w:r>
              <w:rPr>
                <w:rFonts w:hint="eastAsia" w:ascii="宋体" w:hAnsi="宋体" w:eastAsia="宋体" w:cs="宋体"/>
                <w:color w:val="auto"/>
                <w:highlight w:val="none"/>
                <w:lang w:eastAsia="zh-CN"/>
              </w:rPr>
              <w:t>投标要求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9"/>
              <w:keepLines/>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不接受联合体投标。</w:t>
            </w:r>
          </w:p>
        </w:tc>
      </w:tr>
      <w:tr>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keepLines/>
              <w:widowControl w:val="0"/>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服务人员的专业配套要求</w:t>
            </w:r>
          </w:p>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keepLines/>
              <w:widowControl w:val="0"/>
              <w:spacing w:line="360" w:lineRule="auto"/>
              <w:ind w:firstLine="0" w:firstLineChars="0"/>
              <w:rPr>
                <w:rFonts w:hint="eastAsia" w:ascii="宋体" w:hAnsi="宋体" w:eastAsia="宋体" w:cs="宋体"/>
                <w:b w:val="0"/>
                <w:bCs w:val="0"/>
                <w:color w:val="auto"/>
                <w:sz w:val="21"/>
                <w:szCs w:val="21"/>
                <w:highlight w:val="none"/>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rPr>
              <w:t>、投标</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委派的项目负责人</w:t>
            </w:r>
            <w:r>
              <w:rPr>
                <w:rFonts w:hint="eastAsia" w:ascii="宋体" w:hAnsi="宋体" w:eastAsia="宋体" w:cs="宋体"/>
                <w:color w:val="auto"/>
                <w:sz w:val="21"/>
                <w:szCs w:val="21"/>
                <w:highlight w:val="none"/>
                <w:lang w:eastAsia="zh-CN"/>
              </w:rPr>
              <w:t>为</w:t>
            </w:r>
            <w:r>
              <w:rPr>
                <w:rFonts w:hint="eastAsia" w:ascii="宋体" w:hAnsi="宋体" w:eastAsia="宋体" w:cs="宋体"/>
                <w:color w:val="auto"/>
                <w:sz w:val="21"/>
                <w:szCs w:val="21"/>
                <w:highlight w:val="none"/>
                <w:u w:val="none"/>
                <w:lang w:eastAsia="zh-CN"/>
              </w:rPr>
              <w:t>机电</w:t>
            </w:r>
            <w:r>
              <w:rPr>
                <w:rFonts w:hint="eastAsia" w:ascii="宋体" w:hAnsi="宋体" w:eastAsia="宋体" w:cs="宋体"/>
                <w:color w:val="auto"/>
                <w:sz w:val="21"/>
                <w:szCs w:val="21"/>
                <w:highlight w:val="none"/>
                <w:u w:val="none"/>
              </w:rPr>
              <w:t>工程专业二级或以上注册建造师</w:t>
            </w:r>
            <w:r>
              <w:rPr>
                <w:rFonts w:hint="eastAsia" w:ascii="宋体" w:hAnsi="宋体" w:eastAsia="宋体" w:cs="宋体"/>
                <w:color w:val="auto"/>
                <w:sz w:val="21"/>
                <w:szCs w:val="21"/>
                <w:highlight w:val="none"/>
                <w:lang w:eastAsia="zh-CN"/>
              </w:rPr>
              <w:t>。</w:t>
            </w:r>
            <w:r>
              <w:rPr>
                <w:rFonts w:hint="eastAsia" w:ascii="宋体" w:hAnsi="宋体" w:eastAsia="宋体" w:cs="宋体"/>
                <w:b w:val="0"/>
                <w:bCs w:val="0"/>
                <w:color w:val="auto"/>
                <w:sz w:val="21"/>
                <w:szCs w:val="21"/>
                <w:highlight w:val="none"/>
              </w:rPr>
              <w:t>项目负责人</w:t>
            </w:r>
            <w:r>
              <w:rPr>
                <w:rFonts w:hint="eastAsia" w:ascii="宋体" w:hAnsi="宋体" w:eastAsia="宋体" w:cs="宋体"/>
                <w:color w:val="auto"/>
                <w:sz w:val="21"/>
                <w:szCs w:val="21"/>
                <w:highlight w:val="none"/>
                <w:u w:val="none"/>
              </w:rPr>
              <w:t>持有安全培训考核合格证（B类）或建筑施工企业项目负责人安全生产考核合格证书</w:t>
            </w:r>
            <w:r>
              <w:rPr>
                <w:rFonts w:hint="eastAsia" w:ascii="宋体" w:hAnsi="宋体" w:eastAsia="宋体" w:cs="宋体"/>
                <w:b w:val="0"/>
                <w:bCs w:val="0"/>
                <w:color w:val="auto"/>
                <w:sz w:val="21"/>
                <w:szCs w:val="21"/>
                <w:highlight w:val="none"/>
              </w:rPr>
              <w:t>。</w:t>
            </w:r>
          </w:p>
          <w:p>
            <w:pPr>
              <w:keepLines/>
              <w:widowControl w:val="0"/>
              <w:spacing w:line="360" w:lineRule="auto"/>
              <w:ind w:firstLine="0" w:firstLineChars="0"/>
              <w:rPr>
                <w:rFonts w:hint="eastAsia" w:ascii="宋体" w:hAnsi="宋体" w:eastAsia="宋体" w:cs="宋体"/>
                <w:color w:val="auto"/>
                <w:szCs w:val="21"/>
                <w:highlight w:val="none"/>
                <w:lang w:val="en-US" w:eastAsia="zh-CN"/>
              </w:rPr>
            </w:pPr>
            <w:r>
              <w:rPr>
                <w:rFonts w:hint="eastAsia" w:ascii="宋体" w:hAnsi="宋体" w:eastAsia="宋体" w:cs="宋体"/>
                <w:b w:val="0"/>
                <w:bCs w:val="0"/>
                <w:color w:val="auto"/>
                <w:sz w:val="21"/>
                <w:szCs w:val="21"/>
                <w:highlight w:val="none"/>
                <w:lang w:val="en-US" w:eastAsia="zh-CN"/>
              </w:rPr>
              <w:t>2、</w:t>
            </w:r>
            <w:r>
              <w:rPr>
                <w:rFonts w:hint="eastAsia" w:ascii="宋体" w:hAnsi="宋体" w:eastAsia="宋体" w:cs="宋体"/>
                <w:color w:val="auto"/>
                <w:sz w:val="21"/>
                <w:szCs w:val="21"/>
                <w:highlight w:val="none"/>
              </w:rPr>
              <w:t>投标</w:t>
            </w:r>
            <w:r>
              <w:rPr>
                <w:rFonts w:hint="eastAsia" w:ascii="宋体" w:hAnsi="宋体" w:eastAsia="宋体" w:cs="宋体"/>
                <w:color w:val="auto"/>
                <w:sz w:val="21"/>
                <w:szCs w:val="21"/>
                <w:highlight w:val="none"/>
                <w:lang w:eastAsia="zh-CN"/>
              </w:rPr>
              <w:t>人</w:t>
            </w:r>
            <w:r>
              <w:rPr>
                <w:rFonts w:hint="eastAsia" w:ascii="宋体" w:hAnsi="宋体" w:eastAsia="宋体" w:cs="宋体"/>
                <w:color w:val="auto"/>
                <w:sz w:val="21"/>
                <w:szCs w:val="21"/>
                <w:highlight w:val="none"/>
              </w:rPr>
              <w:t>委派的</w:t>
            </w:r>
            <w:r>
              <w:rPr>
                <w:rFonts w:hint="eastAsia" w:ascii="宋体" w:hAnsi="宋体" w:eastAsia="宋体" w:cs="宋体"/>
                <w:color w:val="auto"/>
                <w:sz w:val="21"/>
                <w:szCs w:val="21"/>
                <w:highlight w:val="none"/>
                <w:lang w:eastAsia="zh-CN"/>
              </w:rPr>
              <w:t>技术</w:t>
            </w:r>
            <w:r>
              <w:rPr>
                <w:rFonts w:hint="eastAsia" w:ascii="宋体" w:hAnsi="宋体" w:eastAsia="宋体" w:cs="宋体"/>
                <w:color w:val="auto"/>
                <w:sz w:val="21"/>
                <w:szCs w:val="21"/>
                <w:highlight w:val="none"/>
              </w:rPr>
              <w:t>负责人</w:t>
            </w:r>
            <w:r>
              <w:rPr>
                <w:rFonts w:hint="eastAsia" w:ascii="宋体" w:hAnsi="宋体" w:eastAsia="宋体" w:cs="宋体"/>
                <w:color w:val="auto"/>
                <w:sz w:val="21"/>
                <w:szCs w:val="21"/>
                <w:highlight w:val="none"/>
                <w:lang w:eastAsia="zh-CN"/>
              </w:rPr>
              <w:t>具有</w:t>
            </w:r>
            <w:r>
              <w:rPr>
                <w:rFonts w:hint="eastAsia" w:ascii="宋体" w:hAnsi="宋体" w:eastAsia="宋体" w:cs="宋体"/>
                <w:color w:val="auto"/>
                <w:sz w:val="21"/>
                <w:szCs w:val="21"/>
                <w:highlight w:val="none"/>
                <w:u w:val="none"/>
                <w:lang w:eastAsia="zh-CN"/>
              </w:rPr>
              <w:t>机电</w:t>
            </w:r>
            <w:r>
              <w:rPr>
                <w:rFonts w:hint="eastAsia" w:ascii="宋体" w:hAnsi="宋体" w:eastAsia="宋体" w:cs="宋体"/>
                <w:color w:val="auto"/>
                <w:sz w:val="21"/>
                <w:szCs w:val="21"/>
                <w:highlight w:val="none"/>
                <w:u w:val="none"/>
              </w:rPr>
              <w:t>工程专业</w:t>
            </w:r>
            <w:r>
              <w:rPr>
                <w:rFonts w:hint="eastAsia" w:ascii="宋体" w:hAnsi="宋体" w:eastAsia="宋体" w:cs="宋体"/>
                <w:color w:val="auto"/>
                <w:sz w:val="21"/>
                <w:szCs w:val="21"/>
                <w:highlight w:val="none"/>
                <w:lang w:eastAsia="zh-CN"/>
              </w:rPr>
              <w:t>工程师中级或以上职称。项目负责人和技术负责人不能为同一人。</w:t>
            </w:r>
          </w:p>
          <w:p>
            <w:pPr>
              <w:keepLines/>
              <w:widowControl w:val="0"/>
              <w:spacing w:line="360" w:lineRule="auto"/>
              <w:ind w:firstLine="0" w:firstLineChars="0"/>
              <w:rPr>
                <w:rFonts w:hint="eastAsia" w:ascii="宋体" w:hAnsi="宋体" w:eastAsia="宋体" w:cs="宋体"/>
                <w:color w:val="auto"/>
                <w:szCs w:val="21"/>
                <w:highlight w:val="none"/>
                <w:u w:val="none"/>
                <w:lang w:val="en-US"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b w:val="0"/>
                <w:bCs w:val="0"/>
                <w:color w:val="auto"/>
                <w:sz w:val="21"/>
                <w:szCs w:val="21"/>
                <w:highlight w:val="none"/>
              </w:rPr>
              <w:t>专职安全员须具有</w:t>
            </w:r>
            <w:r>
              <w:rPr>
                <w:rFonts w:hint="eastAsia" w:ascii="宋体" w:hAnsi="宋体" w:eastAsia="宋体" w:cs="宋体"/>
                <w:color w:val="auto"/>
                <w:sz w:val="21"/>
                <w:szCs w:val="21"/>
                <w:highlight w:val="none"/>
                <w:u w:val="none"/>
              </w:rPr>
              <w:t>安全生产考核合格证（C类）</w:t>
            </w:r>
            <w:r>
              <w:rPr>
                <w:rFonts w:hint="eastAsia" w:ascii="宋体" w:hAnsi="宋体" w:eastAsia="宋体" w:cs="宋体"/>
                <w:color w:val="auto"/>
                <w:kern w:val="2"/>
                <w:sz w:val="21"/>
                <w:szCs w:val="21"/>
                <w:highlight w:val="none"/>
                <w:u w:val="none"/>
              </w:rPr>
              <w:t>或建筑施工企业专职安全生产管理人员安全生产考核合格证书</w:t>
            </w:r>
            <w:r>
              <w:rPr>
                <w:rFonts w:hint="eastAsia" w:ascii="宋体" w:hAnsi="宋体" w:eastAsia="宋体" w:cs="宋体"/>
                <w:b w:val="0"/>
                <w:bCs w:val="0"/>
                <w:color w:val="auto"/>
                <w:sz w:val="21"/>
                <w:szCs w:val="21"/>
                <w:highlight w:val="none"/>
                <w:lang w:eastAsia="zh-CN"/>
              </w:rPr>
              <w:t>。</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keepLines/>
              <w:widowControl w:val="0"/>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beforeAutospacing="0" w:after="0"/>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beforeAutospacing="0" w:after="0"/>
              <w:ind w:left="-59" w:leftChars="-28"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keepLines/>
              <w:widowControl w:val="0"/>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资格后审</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keepLines/>
              <w:widowControl w:val="0"/>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keepLines/>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keepLines/>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keepLines/>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由投标人自行考察。</w:t>
            </w:r>
          </w:p>
        </w:tc>
      </w:tr>
      <w:tr>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keepLines/>
              <w:widowControl w:val="0"/>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keepLines/>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keepLines/>
              <w:spacing w:line="360" w:lineRule="auto"/>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keepLines/>
              <w:spacing w:line="320" w:lineRule="exact"/>
              <w:jc w:val="center"/>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w:t>
            </w:r>
          </w:p>
        </w:tc>
      </w:tr>
      <w:tr>
        <w:tblPrEx>
          <w:tblCellMar>
            <w:top w:w="0" w:type="dxa"/>
            <w:left w:w="108" w:type="dxa"/>
            <w:bottom w:w="0" w:type="dxa"/>
            <w:right w:w="108" w:type="dxa"/>
          </w:tblCellMar>
        </w:tblPrEx>
        <w:trPr>
          <w:trHeight w:val="75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keepLines/>
              <w:widowControl w:val="0"/>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before="100" w:beforeAutospacing="0" w:after="0" w:line="440" w:lineRule="exact"/>
              <w:ind w:left="-59" w:leftChars="-28" w:right="-44" w:rightChars="-21" w:firstLine="0"/>
              <w:jc w:val="center"/>
              <w:rPr>
                <w:rFonts w:hint="eastAsia" w:ascii="宋体" w:hAnsi="宋体" w:eastAsia="宋体" w:cs="宋体"/>
                <w:color w:val="auto"/>
                <w:highlight w:val="none"/>
              </w:rPr>
            </w:pPr>
            <w:r>
              <w:rPr>
                <w:rFonts w:hint="eastAsia" w:ascii="宋体" w:hAnsi="宋体" w:eastAsia="宋体" w:cs="宋体"/>
                <w:color w:val="auto"/>
                <w:highlight w:val="none"/>
                <w:lang w:val="en-US" w:eastAsia="zh-CN"/>
              </w:rPr>
              <w:t>招标控制价及</w:t>
            </w:r>
            <w:r>
              <w:rPr>
                <w:rFonts w:hint="eastAsia" w:ascii="宋体" w:hAnsi="宋体" w:eastAsia="宋体" w:cs="宋体"/>
                <w:color w:val="auto"/>
                <w:highlight w:val="none"/>
                <w:lang w:eastAsia="zh-CN"/>
              </w:rPr>
              <w:t>报价</w:t>
            </w:r>
            <w:r>
              <w:rPr>
                <w:rFonts w:hint="eastAsia" w:ascii="宋体" w:hAnsi="宋体" w:eastAsia="宋体" w:cs="宋体"/>
                <w:color w:val="auto"/>
                <w:highlight w:val="none"/>
              </w:rPr>
              <w:t>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9"/>
              <w:keepLines/>
              <w:widowControl w:val="0"/>
              <w:spacing w:line="360" w:lineRule="auto"/>
              <w:ind w:firstLine="0" w:firstLineChars="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u w:val="none"/>
                <w:lang w:eastAsia="zh-CN"/>
              </w:rPr>
              <w:t>招标控制价为¥1527594.21元（大写：人民币壹佰伍拾贰万柒仟伍佰玖拾肆元贰角壹分），其中，绿色施工安全防护措施费为¥179152.99元（固定值），暂列金为¥103288.08元。</w:t>
            </w:r>
            <w:r>
              <w:rPr>
                <w:rFonts w:hint="eastAsia" w:ascii="宋体" w:hAnsi="宋体" w:eastAsia="宋体" w:cs="宋体"/>
                <w:color w:val="auto"/>
                <w:kern w:val="2"/>
                <w:sz w:val="21"/>
                <w:szCs w:val="21"/>
                <w:highlight w:val="none"/>
                <w:u w:val="none"/>
                <w:lang w:val="en-US" w:eastAsia="zh-CN" w:bidi="ar-SA"/>
              </w:rPr>
              <w:t>投标单位自行报价，投标报价不能超过招标控制价，否则按废标处理）。（小数点后保留二位小数，第三位小数四舍五入）</w:t>
            </w:r>
          </w:p>
        </w:tc>
      </w:tr>
      <w:tr>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keepLines/>
              <w:widowControl w:val="0"/>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keepLines/>
              <w:widowControl w:val="0"/>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90日历天（从投标截止之日算起）。</w:t>
            </w:r>
          </w:p>
        </w:tc>
      </w:tr>
      <w:tr>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keepLines/>
              <w:widowControl w:val="0"/>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spacing w:val="-4"/>
                <w:highlight w:val="none"/>
              </w:rPr>
            </w:pPr>
            <w:r>
              <w:rPr>
                <w:rFonts w:hint="eastAsia" w:ascii="宋体" w:hAnsi="宋体" w:eastAsia="宋体" w:cs="宋体"/>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keepLines/>
              <w:numPr>
                <w:ilvl w:val="-1"/>
                <w:numId w:val="0"/>
              </w:numPr>
              <w:adjustRightInd w:val="0"/>
              <w:snapToGrid w:val="0"/>
              <w:spacing w:line="360" w:lineRule="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1、金额：人民币</w:t>
            </w:r>
            <w:r>
              <w:rPr>
                <w:rFonts w:hint="eastAsia" w:ascii="宋体" w:hAnsi="宋体" w:eastAsia="宋体" w:cs="宋体"/>
                <w:color w:val="auto"/>
                <w:sz w:val="21"/>
                <w:szCs w:val="21"/>
                <w:highlight w:val="none"/>
                <w:lang w:val="en-US" w:eastAsia="zh-CN"/>
              </w:rPr>
              <w:t>壹万</w:t>
            </w:r>
            <w:r>
              <w:rPr>
                <w:rFonts w:hint="eastAsia" w:ascii="宋体" w:hAnsi="宋体" w:eastAsia="宋体" w:cs="宋体"/>
                <w:color w:val="auto"/>
                <w:sz w:val="21"/>
                <w:szCs w:val="21"/>
                <w:highlight w:val="none"/>
              </w:rPr>
              <w:t>元。</w:t>
            </w:r>
          </w:p>
          <w:p>
            <w:pPr>
              <w:keepLines/>
              <w:numPr>
                <w:ilvl w:val="-1"/>
                <w:numId w:val="0"/>
              </w:numPr>
              <w:adjustRightInd w:val="0"/>
              <w:snapToGri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2、缴纳方式：</w:t>
            </w:r>
            <w:r>
              <w:rPr>
                <w:rFonts w:hint="eastAsia" w:ascii="宋体" w:hAnsi="宋体" w:eastAsia="宋体" w:cs="宋体"/>
                <w:color w:val="auto"/>
                <w:sz w:val="21"/>
                <w:szCs w:val="21"/>
                <w:highlight w:val="none"/>
                <w:lang w:eastAsia="zh-CN"/>
              </w:rPr>
              <w:t>银行转账。</w:t>
            </w:r>
          </w:p>
          <w:p>
            <w:pPr>
              <w:keepLines/>
              <w:numPr>
                <w:ilvl w:val="-1"/>
                <w:numId w:val="0"/>
              </w:numPr>
              <w:adjustRightIn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账户名称：广州南沙建设维护管理有限公司</w:t>
            </w:r>
          </w:p>
          <w:p>
            <w:pPr>
              <w:keepLines/>
              <w:numPr>
                <w:ilvl w:val="-1"/>
                <w:numId w:val="0"/>
              </w:numPr>
              <w:adjustRightInd w:val="0"/>
              <w:spacing w:line="360" w:lineRule="auto"/>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rPr>
              <w:t>开户银行：中国工商银行广东自由贸易试验区南沙分行</w:t>
            </w:r>
            <w:r>
              <w:rPr>
                <w:rFonts w:hint="eastAsia" w:ascii="宋体" w:hAnsi="宋体" w:eastAsia="宋体" w:cs="宋体"/>
                <w:color w:val="auto"/>
                <w:sz w:val="21"/>
                <w:szCs w:val="21"/>
                <w:highlight w:val="none"/>
                <w:lang w:val="en-US" w:eastAsia="zh-CN"/>
              </w:rPr>
              <w:t xml:space="preserve"> </w:t>
            </w:r>
          </w:p>
          <w:p>
            <w:pPr>
              <w:keepLines/>
              <w:numPr>
                <w:ilvl w:val="-1"/>
                <w:numId w:val="0"/>
              </w:numPr>
              <w:adjustRightInd w:val="0"/>
              <w:spacing w:line="36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账号：3602056909200030855</w:t>
            </w:r>
          </w:p>
          <w:p>
            <w:pPr>
              <w:keepLines/>
              <w:numPr>
                <w:ilvl w:val="0"/>
                <w:numId w:val="1"/>
              </w:numPr>
              <w:adjustRightInd w:val="0"/>
              <w:snapToGrid w:val="0"/>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rPr>
              <w:t>缴纳时间：投标单位须在</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7月</w:t>
            </w:r>
            <w:r>
              <w:rPr>
                <w:rFonts w:hint="eastAsia" w:ascii="宋体" w:hAnsi="宋体" w:eastAsia="宋体" w:cs="宋体"/>
                <w:color w:val="auto"/>
                <w:sz w:val="21"/>
                <w:szCs w:val="21"/>
                <w:highlight w:val="none"/>
                <w:u w:val="none"/>
                <w:lang w:val="en-US" w:eastAsia="zh-CN"/>
              </w:rPr>
              <w:t>26</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三</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17</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前</w:t>
            </w:r>
            <w:r>
              <w:rPr>
                <w:rFonts w:hint="eastAsia" w:ascii="宋体" w:hAnsi="宋体" w:eastAsia="宋体" w:cs="宋体"/>
                <w:color w:val="auto"/>
                <w:sz w:val="21"/>
                <w:szCs w:val="21"/>
                <w:highlight w:val="none"/>
              </w:rPr>
              <w:t>以投标人转出【以招标单位查询的信息为准，汇款时备注：</w:t>
            </w:r>
            <w:r>
              <w:rPr>
                <w:rFonts w:hint="eastAsia" w:ascii="宋体" w:hAnsi="宋体" w:eastAsia="宋体" w:cs="宋体"/>
                <w:color w:val="auto"/>
                <w:szCs w:val="21"/>
                <w:highlight w:val="none"/>
                <w:u w:val="none"/>
                <w:lang w:eastAsia="zh-CN"/>
              </w:rPr>
              <w:t>新联检大楼消防设施及系统升级改造工程施工总承包</w:t>
            </w:r>
            <w:r>
              <w:rPr>
                <w:rFonts w:hint="eastAsia" w:ascii="宋体" w:hAnsi="宋体" w:eastAsia="宋体" w:cs="宋体"/>
                <w:color w:val="auto"/>
                <w:sz w:val="21"/>
                <w:szCs w:val="21"/>
                <w:highlight w:val="none"/>
              </w:rPr>
              <w:t>投标保证金】</w:t>
            </w:r>
          </w:p>
          <w:p>
            <w:pPr>
              <w:keepLines/>
              <w:numPr>
                <w:ilvl w:val="-1"/>
                <w:numId w:val="0"/>
              </w:numPr>
              <w:adjustRightInd w:val="0"/>
              <w:snapToGrid w:val="0"/>
              <w:spacing w:line="360" w:lineRule="auto"/>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sz w:val="21"/>
                <w:szCs w:val="21"/>
                <w:highlight w:val="none"/>
                <w:lang w:val="en-US" w:eastAsia="zh-CN"/>
              </w:rPr>
              <w:t>4、</w:t>
            </w:r>
            <w:r>
              <w:rPr>
                <w:rFonts w:hint="eastAsia" w:ascii="宋体" w:hAnsi="宋体" w:eastAsia="宋体" w:cs="宋体"/>
                <w:color w:val="auto"/>
                <w:sz w:val="21"/>
                <w:szCs w:val="21"/>
                <w:highlight w:val="none"/>
              </w:rPr>
              <w:t>未按规定缴纳投标保证金的正式投标人将被视为自动放弃本工程的投标资格。</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keepLines/>
              <w:widowControl w:val="0"/>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before="100" w:beforeAutospacing="0" w:after="0" w:line="440" w:lineRule="exact"/>
              <w:ind w:left="-46" w:leftChars="-22" w:right="-59" w:rightChars="-2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pStyle w:val="14"/>
              <w:keepLines/>
              <w:widowControl w:val="0"/>
              <w:spacing w:after="0" w:line="320" w:lineRule="exact"/>
              <w:ind w:firstLine="0"/>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投标文件：1份正本（含电子文件一套），4份副本。</w:t>
            </w:r>
          </w:p>
        </w:tc>
      </w:tr>
      <w:tr>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keepLines/>
              <w:widowControl w:val="0"/>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投标文件</w:t>
            </w:r>
          </w:p>
          <w:p>
            <w:pPr>
              <w:pStyle w:val="14"/>
              <w:keepLines/>
              <w:widowControl w:val="0"/>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提交地点及</w:t>
            </w:r>
          </w:p>
          <w:p>
            <w:pPr>
              <w:pStyle w:val="14"/>
              <w:keepLines/>
              <w:widowControl w:val="0"/>
              <w:spacing w:before="100" w:beforeAutospacing="0" w:after="0" w:line="440" w:lineRule="exact"/>
              <w:ind w:left="-19" w:leftChars="-9" w:right="-17" w:rightChars="-8" w:firstLine="0"/>
              <w:jc w:val="center"/>
              <w:rPr>
                <w:rFonts w:hint="eastAsia" w:ascii="宋体" w:hAnsi="宋体" w:eastAsia="宋体" w:cs="宋体"/>
                <w:color w:val="auto"/>
                <w:highlight w:val="none"/>
              </w:rPr>
            </w:pPr>
            <w:r>
              <w:rPr>
                <w:rFonts w:hint="eastAsia" w:ascii="宋体" w:hAnsi="宋体" w:eastAsia="宋体" w:cs="宋体"/>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keepLines/>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收件人：李工，66806279</w:t>
            </w:r>
          </w:p>
          <w:p>
            <w:pPr>
              <w:keepLines/>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提交地点：广州市南沙区金融大厦1807会议室</w:t>
            </w:r>
          </w:p>
          <w:p>
            <w:pPr>
              <w:keepLines/>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投标时间：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7月</w:t>
            </w:r>
            <w:r>
              <w:rPr>
                <w:rFonts w:hint="eastAsia" w:ascii="宋体" w:hAnsi="宋体" w:eastAsia="宋体" w:cs="宋体"/>
                <w:color w:val="auto"/>
                <w:sz w:val="21"/>
                <w:szCs w:val="21"/>
                <w:highlight w:val="none"/>
                <w:u w:val="none"/>
                <w:lang w:val="en-US" w:eastAsia="zh-CN"/>
              </w:rPr>
              <w:t>27</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四</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00</w:t>
            </w:r>
            <w:r>
              <w:rPr>
                <w:rFonts w:hint="eastAsia" w:ascii="宋体" w:hAnsi="宋体" w:eastAsia="宋体" w:cs="宋体"/>
                <w:color w:val="auto"/>
                <w:sz w:val="21"/>
                <w:szCs w:val="21"/>
                <w:highlight w:val="none"/>
                <w:u w:val="none"/>
              </w:rPr>
              <w:t>分</w:t>
            </w:r>
            <w:r>
              <w:rPr>
                <w:rFonts w:hint="eastAsia" w:ascii="宋体" w:hAnsi="宋体" w:eastAsia="宋体" w:cs="宋体"/>
                <w:color w:val="auto"/>
                <w:sz w:val="21"/>
                <w:szCs w:val="21"/>
                <w:highlight w:val="none"/>
                <w:u w:val="none"/>
                <w:lang w:eastAsia="zh-CN"/>
              </w:rPr>
              <w:t>至</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7月</w:t>
            </w:r>
            <w:r>
              <w:rPr>
                <w:rFonts w:hint="eastAsia" w:ascii="宋体" w:hAnsi="宋体" w:eastAsia="宋体" w:cs="宋体"/>
                <w:color w:val="auto"/>
                <w:sz w:val="21"/>
                <w:szCs w:val="21"/>
                <w:highlight w:val="none"/>
                <w:u w:val="none"/>
                <w:lang w:val="en-US" w:eastAsia="zh-CN"/>
              </w:rPr>
              <w:t>27</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四</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r>
              <w:rPr>
                <w:rFonts w:hint="eastAsia" w:ascii="宋体" w:hAnsi="宋体" w:eastAsia="宋体" w:cs="宋体"/>
                <w:color w:val="auto"/>
                <w:kern w:val="2"/>
                <w:sz w:val="21"/>
                <w:szCs w:val="21"/>
                <w:highlight w:val="none"/>
                <w:u w:val="none"/>
                <w:lang w:val="en-US" w:eastAsia="zh-CN" w:bidi="ar-SA"/>
              </w:rPr>
              <w:t>前。</w:t>
            </w:r>
          </w:p>
          <w:p>
            <w:pPr>
              <w:keepLines/>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pPr>
              <w:pStyle w:val="14"/>
              <w:keepLines/>
              <w:widowControl w:val="0"/>
              <w:spacing w:after="0" w:line="440" w:lineRule="exact"/>
              <w:ind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highlight w:val="none"/>
              </w:rPr>
              <w:t>20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pPr>
              <w:keepLines/>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开标时间：</w:t>
            </w:r>
            <w:r>
              <w:rPr>
                <w:rFonts w:hint="eastAsia" w:ascii="宋体" w:hAnsi="宋体" w:eastAsia="宋体" w:cs="宋体"/>
                <w:color w:val="auto"/>
                <w:sz w:val="21"/>
                <w:szCs w:val="21"/>
                <w:highlight w:val="none"/>
                <w:u w:val="none"/>
              </w:rPr>
              <w:t>202</w:t>
            </w:r>
            <w:r>
              <w:rPr>
                <w:rFonts w:hint="eastAsia" w:ascii="宋体" w:hAnsi="宋体" w:eastAsia="宋体" w:cs="宋体"/>
                <w:color w:val="auto"/>
                <w:sz w:val="21"/>
                <w:szCs w:val="21"/>
                <w:highlight w:val="none"/>
                <w:u w:val="none"/>
                <w:lang w:val="en-US" w:eastAsia="zh-CN"/>
              </w:rPr>
              <w:t>3</w:t>
            </w:r>
            <w:r>
              <w:rPr>
                <w:rFonts w:hint="eastAsia" w:ascii="宋体" w:hAnsi="宋体" w:eastAsia="宋体" w:cs="宋体"/>
                <w:color w:val="auto"/>
                <w:sz w:val="21"/>
                <w:szCs w:val="21"/>
                <w:highlight w:val="none"/>
                <w:u w:val="none"/>
              </w:rPr>
              <w:t>年</w:t>
            </w:r>
            <w:r>
              <w:rPr>
                <w:rFonts w:hint="eastAsia" w:ascii="宋体" w:hAnsi="宋体" w:eastAsia="宋体" w:cs="宋体"/>
                <w:color w:val="auto"/>
                <w:sz w:val="21"/>
                <w:szCs w:val="21"/>
                <w:highlight w:val="none"/>
                <w:u w:val="none"/>
                <w:lang w:val="en-US" w:eastAsia="zh-CN"/>
              </w:rPr>
              <w:t>7月</w:t>
            </w:r>
            <w:r>
              <w:rPr>
                <w:rFonts w:hint="eastAsia" w:ascii="宋体" w:hAnsi="宋体" w:eastAsia="宋体" w:cs="宋体"/>
                <w:color w:val="auto"/>
                <w:sz w:val="21"/>
                <w:szCs w:val="21"/>
                <w:highlight w:val="none"/>
                <w:u w:val="none"/>
                <w:lang w:val="en-US" w:eastAsia="zh-CN"/>
              </w:rPr>
              <w:t>27</w:t>
            </w:r>
            <w:r>
              <w:rPr>
                <w:rFonts w:hint="eastAsia" w:ascii="宋体" w:hAnsi="宋体" w:eastAsia="宋体" w:cs="宋体"/>
                <w:color w:val="auto"/>
                <w:sz w:val="21"/>
                <w:szCs w:val="21"/>
                <w:highlight w:val="none"/>
                <w:u w:val="none"/>
              </w:rPr>
              <w:t>日</w:t>
            </w:r>
            <w:r>
              <w:rPr>
                <w:rFonts w:hint="eastAsia" w:ascii="宋体" w:hAnsi="宋体" w:eastAsia="宋体" w:cs="宋体"/>
                <w:color w:val="auto"/>
                <w:sz w:val="21"/>
                <w:szCs w:val="21"/>
                <w:highlight w:val="none"/>
                <w:u w:val="none"/>
                <w:lang w:eastAsia="zh-CN"/>
              </w:rPr>
              <w:t>（星期</w:t>
            </w:r>
            <w:r>
              <w:rPr>
                <w:rFonts w:hint="eastAsia" w:ascii="宋体" w:hAnsi="宋体" w:eastAsia="宋体" w:cs="宋体"/>
                <w:color w:val="auto"/>
                <w:sz w:val="21"/>
                <w:szCs w:val="21"/>
                <w:highlight w:val="none"/>
                <w:u w:val="none"/>
                <w:lang w:val="en-US" w:eastAsia="zh-CN"/>
              </w:rPr>
              <w:t>四</w:t>
            </w:r>
            <w:r>
              <w:rPr>
                <w:rFonts w:hint="eastAsia" w:ascii="宋体" w:hAnsi="宋体" w:eastAsia="宋体" w:cs="宋体"/>
                <w:color w:val="auto"/>
                <w:sz w:val="21"/>
                <w:szCs w:val="21"/>
                <w:highlight w:val="none"/>
                <w:u w:val="none"/>
                <w:lang w:eastAsia="zh-CN"/>
              </w:rPr>
              <w:t>）</w:t>
            </w:r>
            <w:r>
              <w:rPr>
                <w:rFonts w:hint="eastAsia" w:ascii="宋体" w:hAnsi="宋体" w:eastAsia="宋体" w:cs="宋体"/>
                <w:color w:val="auto"/>
                <w:sz w:val="21"/>
                <w:szCs w:val="21"/>
                <w:highlight w:val="none"/>
                <w:u w:val="none"/>
                <w:lang w:val="en-US" w:eastAsia="zh-CN"/>
              </w:rPr>
              <w:t>14</w:t>
            </w:r>
            <w:r>
              <w:rPr>
                <w:rFonts w:hint="eastAsia" w:ascii="宋体" w:hAnsi="宋体" w:eastAsia="宋体" w:cs="宋体"/>
                <w:color w:val="auto"/>
                <w:sz w:val="21"/>
                <w:szCs w:val="21"/>
                <w:highlight w:val="none"/>
                <w:u w:val="none"/>
              </w:rPr>
              <w:t>时</w:t>
            </w:r>
            <w:r>
              <w:rPr>
                <w:rFonts w:hint="eastAsia" w:ascii="宋体" w:hAnsi="宋体" w:eastAsia="宋体" w:cs="宋体"/>
                <w:color w:val="auto"/>
                <w:sz w:val="21"/>
                <w:szCs w:val="21"/>
                <w:highlight w:val="none"/>
                <w:u w:val="none"/>
                <w:lang w:val="en-US" w:eastAsia="zh-CN"/>
              </w:rPr>
              <w:t>30</w:t>
            </w:r>
            <w:r>
              <w:rPr>
                <w:rFonts w:hint="eastAsia" w:ascii="宋体" w:hAnsi="宋体" w:eastAsia="宋体" w:cs="宋体"/>
                <w:color w:val="auto"/>
                <w:sz w:val="21"/>
                <w:szCs w:val="21"/>
                <w:highlight w:val="none"/>
                <w:u w:val="none"/>
              </w:rPr>
              <w:t>分</w:t>
            </w:r>
          </w:p>
          <w:p>
            <w:pPr>
              <w:keepLines/>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地点：广州市南沙区金融大厦1807会议室</w:t>
            </w:r>
          </w:p>
          <w:p>
            <w:pPr>
              <w:keepLines/>
              <w:spacing w:line="320" w:lineRule="exact"/>
              <w:rPr>
                <w:rFonts w:hint="eastAsia" w:ascii="宋体" w:hAnsi="宋体" w:eastAsia="宋体" w:cs="宋体"/>
                <w:color w:val="auto"/>
                <w:kern w:val="2"/>
                <w:sz w:val="21"/>
                <w:szCs w:val="21"/>
                <w:highlight w:val="none"/>
                <w:u w:val="none"/>
                <w:lang w:val="en-US" w:eastAsia="zh-CN" w:bidi="ar-SA"/>
              </w:rPr>
            </w:pPr>
            <w:r>
              <w:rPr>
                <w:rFonts w:hint="eastAsia" w:ascii="宋体" w:hAnsi="宋体" w:eastAsia="宋体" w:cs="宋体"/>
                <w:color w:val="auto"/>
                <w:kern w:val="2"/>
                <w:sz w:val="21"/>
                <w:szCs w:val="21"/>
                <w:highlight w:val="none"/>
                <w:u w:val="none"/>
                <w:lang w:val="en-US" w:eastAsia="zh-CN" w:bidi="ar-SA"/>
              </w:rPr>
              <w:t>请各投标人的法定代表人或其有效授权委托人务必准时出席，并须带本人身份证以供招标人审查，否则作弃权处理。</w:t>
            </w:r>
          </w:p>
        </w:tc>
      </w:tr>
      <w:tr>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double" w:color="auto" w:sz="2"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21</w:t>
            </w:r>
          </w:p>
        </w:tc>
        <w:tc>
          <w:tcPr>
            <w:tcW w:w="990"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27.3</w:t>
            </w:r>
          </w:p>
        </w:tc>
        <w:tc>
          <w:tcPr>
            <w:tcW w:w="1706" w:type="dxa"/>
            <w:tcBorders>
              <w:top w:val="single" w:color="auto" w:sz="4" w:space="0"/>
              <w:left w:val="single" w:color="auto" w:sz="4" w:space="0"/>
              <w:bottom w:val="double" w:color="auto" w:sz="2" w:space="0"/>
              <w:right w:val="single" w:color="auto" w:sz="4" w:space="0"/>
            </w:tcBorders>
            <w:shd w:val="clear" w:color="auto" w:fill="auto"/>
            <w:vAlign w:val="center"/>
          </w:tcPr>
          <w:p>
            <w:pPr>
              <w:pStyle w:val="14"/>
              <w:keepLines/>
              <w:widowControl w:val="0"/>
              <w:spacing w:after="0" w:line="440" w:lineRule="exact"/>
              <w:ind w:firstLine="0"/>
              <w:jc w:val="center"/>
              <w:rPr>
                <w:rFonts w:hint="eastAsia" w:ascii="宋体" w:hAnsi="宋体" w:eastAsia="宋体" w:cs="宋体"/>
                <w:color w:val="auto"/>
                <w:highlight w:val="none"/>
              </w:rPr>
            </w:pPr>
            <w:r>
              <w:rPr>
                <w:rFonts w:hint="eastAsia" w:ascii="宋体" w:hAnsi="宋体" w:eastAsia="宋体" w:cs="宋体"/>
                <w:color w:val="auto"/>
                <w:highlight w:val="none"/>
              </w:rPr>
              <w:t>评标方法</w:t>
            </w:r>
          </w:p>
        </w:tc>
        <w:tc>
          <w:tcPr>
            <w:tcW w:w="6293" w:type="dxa"/>
            <w:tcBorders>
              <w:top w:val="single" w:color="auto" w:sz="4" w:space="0"/>
              <w:left w:val="single" w:color="auto" w:sz="4" w:space="0"/>
              <w:bottom w:val="double" w:color="auto" w:sz="2" w:space="0"/>
              <w:right w:val="double" w:color="auto" w:sz="2" w:space="0"/>
            </w:tcBorders>
            <w:shd w:val="clear" w:color="auto" w:fill="auto"/>
            <w:vAlign w:val="center"/>
          </w:tcPr>
          <w:p>
            <w:pPr>
              <w:keepLines/>
              <w:spacing w:line="320" w:lineRule="exact"/>
              <w:rPr>
                <w:rFonts w:hint="eastAsia" w:ascii="宋体" w:hAnsi="宋体" w:eastAsia="宋体" w:cs="宋体"/>
                <w:color w:val="auto"/>
                <w:szCs w:val="21"/>
                <w:highlight w:val="none"/>
                <w:u w:val="none"/>
              </w:rPr>
            </w:pPr>
            <w:r>
              <w:rPr>
                <w:rFonts w:hint="eastAsia" w:ascii="宋体" w:hAnsi="宋体" w:eastAsia="宋体" w:cs="宋体"/>
                <w:color w:val="auto"/>
                <w:szCs w:val="21"/>
                <w:highlight w:val="none"/>
                <w:u w:val="none"/>
              </w:rPr>
              <w:t>综合评分法</w:t>
            </w:r>
          </w:p>
        </w:tc>
      </w:tr>
    </w:tbl>
    <w:p>
      <w:pPr>
        <w:keepLines/>
        <w:spacing w:line="240" w:lineRule="auto"/>
        <w:jc w:val="center"/>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t xml:space="preserve"> </w:t>
      </w:r>
    </w:p>
    <w:p>
      <w:pPr>
        <w:keepLines/>
        <w:spacing w:line="240" w:lineRule="auto"/>
        <w:jc w:val="left"/>
        <w:outlineLvl w:val="9"/>
        <w:rPr>
          <w:rFonts w:hint="eastAsia" w:ascii="宋体" w:hAnsi="宋体" w:eastAsia="宋体" w:cs="宋体"/>
          <w:color w:val="auto"/>
          <w:szCs w:val="21"/>
          <w:highlight w:val="none"/>
        </w:rPr>
      </w:pPr>
      <w:r>
        <w:rPr>
          <w:rFonts w:hint="eastAsia" w:ascii="宋体" w:hAnsi="宋体" w:eastAsia="宋体" w:cs="宋体"/>
          <w:color w:val="auto"/>
          <w:szCs w:val="21"/>
          <w:highlight w:val="none"/>
        </w:rPr>
        <w:br w:type="page"/>
      </w:r>
    </w:p>
    <w:p>
      <w:pPr>
        <w:keepLines/>
        <w:spacing w:line="240" w:lineRule="auto"/>
        <w:jc w:val="center"/>
        <w:outlineLvl w:val="9"/>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pPr>
        <w:keepLines/>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总则</w:t>
      </w:r>
    </w:p>
    <w:p>
      <w:pPr>
        <w:keepLines/>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pPr>
        <w:keepLines/>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lang w:eastAsia="zh-CN"/>
        </w:rPr>
        <w:t>广州南沙经发投资有限公司</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u w:val="single"/>
          <w:lang w:val="en-US" w:eastAsia="zh-CN"/>
        </w:rPr>
        <w:t>广州</w:t>
      </w:r>
      <w:r>
        <w:rPr>
          <w:rFonts w:hint="eastAsia" w:ascii="宋体" w:hAnsi="宋体" w:eastAsia="宋体" w:cs="宋体"/>
          <w:color w:val="auto"/>
          <w:sz w:val="24"/>
          <w:highlight w:val="none"/>
          <w:u w:val="single"/>
        </w:rPr>
        <w:t>南沙建设维护管理有限公司。</w:t>
      </w:r>
    </w:p>
    <w:p>
      <w:pPr>
        <w:keepLines/>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“建设管理单位”指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广州</w:t>
      </w:r>
      <w:r>
        <w:rPr>
          <w:rFonts w:hint="eastAsia" w:ascii="宋体" w:hAnsi="宋体" w:eastAsia="宋体" w:cs="宋体"/>
          <w:color w:val="auto"/>
          <w:sz w:val="24"/>
          <w:highlight w:val="none"/>
          <w:u w:val="single"/>
        </w:rPr>
        <w:t xml:space="preserve">南沙建设维护管理有限公司 </w:t>
      </w:r>
      <w:r>
        <w:rPr>
          <w:rFonts w:hint="eastAsia" w:ascii="宋体" w:hAnsi="宋体" w:eastAsia="宋体" w:cs="宋体"/>
          <w:color w:val="auto"/>
          <w:sz w:val="24"/>
          <w:highlight w:val="none"/>
        </w:rPr>
        <w:t>。</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1.4 “承包商”指被招标人接受并与其签订承包合同的当事人；</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keepLines/>
        <w:spacing w:line="360" w:lineRule="auto"/>
        <w:ind w:firstLine="480" w:firstLineChars="200"/>
        <w:rPr>
          <w:rFonts w:ascii="宋体" w:hAnsi="宋体" w:eastAsia="宋体" w:cs="宋体"/>
          <w:color w:val="auto"/>
          <w:sz w:val="24"/>
          <w:highlight w:val="none"/>
          <w:shd w:val="clear" w:color="auto" w:fill="FFFF00"/>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1.7 “招标文件”指由招标代理发出的本文件（包括全部章节、附件）及澄清补充文件。</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 “投标文件”指投标人根据本招标文件向招标人提交的全部文件。</w:t>
      </w:r>
    </w:p>
    <w:p>
      <w:pPr>
        <w:pStyle w:val="14"/>
        <w:keepLines/>
        <w:widowControl w:val="0"/>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1.9 “书面函件”指打字或印刷的函件，包括电传、电报和传真。</w:t>
      </w:r>
    </w:p>
    <w:p>
      <w:pPr>
        <w:keepLines/>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w:t>
      </w:r>
      <w:r>
        <w:rPr>
          <w:rFonts w:hint="eastAsia" w:ascii="宋体" w:hAnsi="宋体" w:eastAsia="宋体" w:cs="宋体"/>
          <w:b/>
          <w:color w:val="auto"/>
          <w:sz w:val="24"/>
          <w:highlight w:val="none"/>
          <w:lang w:val="en-US" w:eastAsia="zh-CN"/>
        </w:rPr>
        <w:t xml:space="preserve">. </w:t>
      </w:r>
      <w:r>
        <w:rPr>
          <w:rFonts w:hint="eastAsia" w:ascii="宋体" w:hAnsi="宋体" w:eastAsia="宋体" w:cs="宋体"/>
          <w:b/>
          <w:color w:val="auto"/>
          <w:sz w:val="24"/>
          <w:highlight w:val="none"/>
        </w:rPr>
        <w:t>招标说明</w:t>
      </w:r>
    </w:p>
    <w:p>
      <w:pPr>
        <w:keepLines/>
        <w:spacing w:line="500" w:lineRule="exact"/>
        <w:ind w:left="-1"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2.1本招标项目按照《中华人民共和国招标投标法》等有关法律、行政法规和部门规章，采取邀请招标的办法，选择有经验、有实力、社会信誉好的单位承担，确保本项目能按期、优质、经济地完成。</w:t>
      </w:r>
    </w:p>
    <w:p>
      <w:pPr>
        <w:keepLines/>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sz w:val="24"/>
          <w:highlight w:val="none"/>
        </w:rPr>
        <w:t>项目</w:t>
      </w:r>
      <w:r>
        <w:rPr>
          <w:rFonts w:hint="eastAsia" w:ascii="宋体" w:hAnsi="宋体" w:eastAsia="宋体" w:cs="宋体"/>
          <w:color w:val="auto"/>
          <w:sz w:val="24"/>
          <w:highlight w:val="none"/>
        </w:rPr>
        <w:t>概况：</w:t>
      </w:r>
    </w:p>
    <w:p>
      <w:pPr>
        <w:keepLines/>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sz w:val="24"/>
          <w:highlight w:val="none"/>
        </w:rPr>
        <w:t>项目</w:t>
      </w:r>
      <w:r>
        <w:rPr>
          <w:rFonts w:hint="eastAsia" w:ascii="宋体" w:hAnsi="宋体" w:eastAsia="宋体" w:cs="宋体"/>
          <w:color w:val="auto"/>
          <w:sz w:val="24"/>
          <w:highlight w:val="none"/>
        </w:rPr>
        <w:t>名称：见投标须知前附表第1项。</w:t>
      </w:r>
    </w:p>
    <w:p>
      <w:pPr>
        <w:keepLines/>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pPr>
        <w:keepLines/>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pPr>
        <w:keepLines/>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w:t>
      </w:r>
      <w:r>
        <w:rPr>
          <w:rFonts w:hint="eastAsia" w:ascii="宋体" w:hAnsi="宋体" w:eastAsia="宋体" w:cs="宋体"/>
          <w:color w:val="auto"/>
          <w:sz w:val="24"/>
          <w:highlight w:val="none"/>
          <w:lang w:eastAsia="zh-CN"/>
        </w:rPr>
        <w:t>项目总投资</w:t>
      </w:r>
      <w:r>
        <w:rPr>
          <w:rFonts w:hint="eastAsia" w:ascii="宋体" w:hAnsi="宋体" w:eastAsia="宋体" w:cs="宋体"/>
          <w:color w:val="auto"/>
          <w:sz w:val="24"/>
          <w:highlight w:val="none"/>
        </w:rPr>
        <w:t>：见投标须知前附表第4项。</w:t>
      </w:r>
    </w:p>
    <w:p>
      <w:pPr>
        <w:keepLines/>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w:t>
      </w:r>
      <w:r>
        <w:rPr>
          <w:rFonts w:hint="eastAsia" w:ascii="宋体" w:hAnsi="宋体" w:eastAsia="宋体" w:cs="宋体"/>
          <w:color w:val="auto"/>
          <w:sz w:val="24"/>
          <w:highlight w:val="none"/>
          <w:lang w:val="en-US" w:eastAsia="zh-CN"/>
        </w:rPr>
        <w:t>质量</w:t>
      </w:r>
      <w:r>
        <w:rPr>
          <w:rFonts w:hint="eastAsia" w:ascii="宋体" w:hAnsi="宋体" w:eastAsia="宋体" w:cs="宋体"/>
          <w:color w:val="auto"/>
          <w:sz w:val="24"/>
          <w:highlight w:val="none"/>
        </w:rPr>
        <w:t>目标：见投标须知前附表第5项。</w:t>
      </w:r>
    </w:p>
    <w:p>
      <w:pPr>
        <w:keepLines/>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pPr>
        <w:keepLines/>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pPr>
        <w:keepLines/>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本招标项目的服务期要求：见投标须知前附表第7项。</w:t>
      </w:r>
    </w:p>
    <w:p>
      <w:pPr>
        <w:keepLines/>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2.3.3</w:t>
      </w:r>
      <w:r>
        <w:rPr>
          <w:rFonts w:hint="eastAsia" w:ascii="宋体" w:hAnsi="宋体" w:eastAsia="宋体" w:cs="宋体"/>
          <w:color w:val="auto"/>
          <w:sz w:val="24"/>
          <w:highlight w:val="none"/>
          <w:lang w:eastAsia="zh-CN"/>
        </w:rPr>
        <w:t>投标</w:t>
      </w:r>
      <w:r>
        <w:rPr>
          <w:rFonts w:hint="eastAsia" w:ascii="宋体" w:hAnsi="宋体" w:eastAsia="宋体" w:cs="宋体"/>
          <w:color w:val="auto"/>
          <w:sz w:val="24"/>
          <w:highlight w:val="none"/>
        </w:rPr>
        <w:t>要求：见投标须知前附表第10项。</w:t>
      </w:r>
    </w:p>
    <w:p>
      <w:pPr>
        <w:keepLines/>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pPr>
        <w:keepLines/>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pPr>
        <w:keepLines/>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pPr>
        <w:keepLines/>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pPr>
        <w:keepLines/>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pPr>
        <w:keepLines/>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pPr>
        <w:keepLines/>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招标文件</w:t>
      </w:r>
    </w:p>
    <w:p>
      <w:pPr>
        <w:keepLines/>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pPr>
        <w:pStyle w:val="14"/>
        <w:keepLines/>
        <w:widowControl w:val="0"/>
        <w:spacing w:beforeAutospacing="0"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pPr>
        <w:keepLines/>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pPr>
        <w:keepLines/>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w:t>
      </w:r>
      <w:r>
        <w:rPr>
          <w:rFonts w:hint="eastAsia" w:ascii="黑体" w:hAnsi="宋体" w:eastAsia="黑体" w:cs="黑体"/>
          <w:color w:val="auto"/>
          <w:sz w:val="24"/>
          <w:highlight w:val="none"/>
        </w:rPr>
        <w:t>项目需求书</w:t>
      </w:r>
    </w:p>
    <w:p>
      <w:pPr>
        <w:keepLines/>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3）投标文件格式</w:t>
      </w:r>
    </w:p>
    <w:p>
      <w:pPr>
        <w:keepLines/>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4）服务合同</w:t>
      </w:r>
    </w:p>
    <w:p>
      <w:pPr>
        <w:keepLines/>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5）评标办法</w:t>
      </w:r>
    </w:p>
    <w:p>
      <w:pPr>
        <w:keepLines/>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6）附件</w:t>
      </w:r>
    </w:p>
    <w:p>
      <w:pPr>
        <w:pStyle w:val="14"/>
        <w:keepLines/>
        <w:widowControl w:val="0"/>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pPr>
        <w:pStyle w:val="14"/>
        <w:keepLines/>
        <w:widowControl w:val="0"/>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pPr>
        <w:keepLines/>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pPr>
        <w:pStyle w:val="14"/>
        <w:keepLines/>
        <w:widowControl w:val="0"/>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pPr>
        <w:pStyle w:val="14"/>
        <w:keepLines/>
        <w:widowControl w:val="0"/>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pPr>
        <w:pStyle w:val="14"/>
        <w:keepLines/>
        <w:widowControl w:val="0"/>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pPr>
        <w:pStyle w:val="14"/>
        <w:keepLines/>
        <w:widowControl w:val="0"/>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pPr>
        <w:keepLines/>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pPr>
        <w:pStyle w:val="14"/>
        <w:keepLines/>
        <w:widowControl w:val="0"/>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日前，招标人可对招标文件进行必要的澄清或修改。</w:t>
      </w:r>
    </w:p>
    <w:p>
      <w:pPr>
        <w:pStyle w:val="14"/>
        <w:keepLines/>
        <w:widowControl w:val="0"/>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pPr>
        <w:pStyle w:val="14"/>
        <w:keepLines/>
        <w:widowControl w:val="0"/>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pPr>
        <w:pStyle w:val="14"/>
        <w:keepLines/>
        <w:widowControl w:val="0"/>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pPr>
        <w:pStyle w:val="14"/>
        <w:keepLines/>
        <w:widowControl w:val="0"/>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w:t>
      </w:r>
      <w:r>
        <w:rPr>
          <w:rFonts w:hint="eastAsia" w:ascii="宋体" w:hAnsi="宋体" w:cs="宋体"/>
          <w:b/>
          <w:color w:val="auto"/>
          <w:sz w:val="24"/>
          <w:szCs w:val="24"/>
          <w:highlight w:val="none"/>
          <w:lang w:eastAsia="zh-CN"/>
        </w:rPr>
        <w:t>、</w:t>
      </w:r>
      <w:r>
        <w:rPr>
          <w:rFonts w:hint="eastAsia" w:ascii="宋体" w:hAnsi="宋体" w:cs="宋体"/>
          <w:b/>
          <w:color w:val="auto"/>
          <w:sz w:val="24"/>
          <w:szCs w:val="24"/>
          <w:highlight w:val="none"/>
        </w:rPr>
        <w:t>投标文件的编制</w:t>
      </w:r>
    </w:p>
    <w:p>
      <w:pPr>
        <w:pStyle w:val="14"/>
        <w:keepLines/>
        <w:widowControl w:val="0"/>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pPr>
        <w:pStyle w:val="14"/>
        <w:keepLines/>
        <w:widowControl w:val="0"/>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pPr>
        <w:pStyle w:val="14"/>
        <w:keepLines/>
        <w:widowControl w:val="0"/>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pPr>
        <w:pStyle w:val="14"/>
        <w:keepLines/>
        <w:widowControl w:val="0"/>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11.1投标文件目录。</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11.2投标函（按招标文件第3章格式填写）</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11.3服务承诺书（按招标文件第3章格式填写）。</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11.4企业法定代表人证明书及法定代表人授权委托证明书（按招标文件第3章格式填写，或使用从工商管理部门购买的版本填写）。</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11.5公司法人营业执照及资质证书复印件。</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11.6项目负责人</w:t>
      </w:r>
      <w:r>
        <w:rPr>
          <w:rFonts w:hint="eastAsia" w:ascii="宋体" w:hAnsi="宋体" w:eastAsia="宋体" w:cs="宋体"/>
          <w:color w:val="auto"/>
          <w:sz w:val="24"/>
          <w:highlight w:val="none"/>
          <w:lang w:eastAsia="zh-CN"/>
        </w:rPr>
        <w:t>证书</w:t>
      </w:r>
      <w:r>
        <w:rPr>
          <w:rFonts w:hint="eastAsia" w:ascii="宋体" w:hAnsi="宋体" w:eastAsia="宋体" w:cs="宋体"/>
          <w:color w:val="auto"/>
          <w:sz w:val="24"/>
          <w:highlight w:val="none"/>
        </w:rPr>
        <w:t>复印件。</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11.7人员到位承诺书（按招标文件第3章格式填写）</w:t>
      </w:r>
      <w:r>
        <w:rPr>
          <w:rFonts w:hint="eastAsia" w:ascii="宋体" w:hAnsi="宋体" w:eastAsia="宋体" w:cs="宋体"/>
          <w:color w:val="auto"/>
          <w:sz w:val="24"/>
          <w:highlight w:val="none"/>
          <w:lang w:eastAsia="zh-CN"/>
        </w:rPr>
        <w:t>。</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11.8投标人综合概况（按招标文件第3章格式填写）</w:t>
      </w:r>
      <w:r>
        <w:rPr>
          <w:rFonts w:hint="eastAsia" w:ascii="宋体" w:hAnsi="宋体" w:eastAsia="宋体" w:cs="宋体"/>
          <w:color w:val="auto"/>
          <w:sz w:val="24"/>
          <w:highlight w:val="none"/>
          <w:lang w:eastAsia="zh-CN"/>
        </w:rPr>
        <w:t>。</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rPr>
        <w:t>参与本项目的人员一览表及证明文件（按招标文件第3章格式填写）</w:t>
      </w:r>
      <w:r>
        <w:rPr>
          <w:rFonts w:hint="eastAsia" w:ascii="宋体" w:hAnsi="宋体" w:eastAsia="宋体" w:cs="宋体"/>
          <w:color w:val="auto"/>
          <w:sz w:val="24"/>
          <w:highlight w:val="none"/>
          <w:lang w:eastAsia="zh-CN"/>
        </w:rPr>
        <w:t>。</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0</w:t>
      </w:r>
      <w:r>
        <w:rPr>
          <w:rFonts w:hint="eastAsia" w:ascii="宋体" w:hAnsi="宋体" w:eastAsia="宋体" w:cs="宋体"/>
          <w:color w:val="auto"/>
          <w:sz w:val="24"/>
          <w:highlight w:val="none"/>
        </w:rPr>
        <w:t>项目负责人相关经验及业绩（按招标文件第3章格式填写）</w:t>
      </w:r>
      <w:r>
        <w:rPr>
          <w:rFonts w:hint="eastAsia" w:ascii="宋体" w:hAnsi="宋体" w:eastAsia="宋体" w:cs="宋体"/>
          <w:color w:val="auto"/>
          <w:sz w:val="24"/>
          <w:highlight w:val="none"/>
          <w:lang w:eastAsia="zh-CN"/>
        </w:rPr>
        <w:t>。</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1</w:t>
      </w:r>
      <w:r>
        <w:rPr>
          <w:rFonts w:hint="eastAsia" w:ascii="宋体" w:hAnsi="宋体" w:eastAsia="宋体" w:cs="宋体"/>
          <w:color w:val="auto"/>
          <w:sz w:val="24"/>
          <w:highlight w:val="none"/>
        </w:rPr>
        <w:t>报价表</w:t>
      </w:r>
      <w:r>
        <w:rPr>
          <w:rFonts w:hint="eastAsia" w:ascii="宋体" w:hAnsi="宋体" w:eastAsia="宋体" w:cs="宋体"/>
          <w:color w:val="auto"/>
          <w:sz w:val="24"/>
          <w:highlight w:val="none"/>
          <w:lang w:eastAsia="zh-CN"/>
        </w:rPr>
        <w:t>（含报价清单）</w:t>
      </w:r>
      <w:r>
        <w:rPr>
          <w:rFonts w:hint="eastAsia" w:ascii="宋体" w:hAnsi="宋体" w:eastAsia="宋体" w:cs="宋体"/>
          <w:color w:val="auto"/>
          <w:sz w:val="24"/>
          <w:highlight w:val="none"/>
        </w:rPr>
        <w:t>。</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w:t>
      </w:r>
      <w:r>
        <w:rPr>
          <w:rFonts w:hint="eastAsia" w:ascii="宋体" w:hAnsi="宋体" w:eastAsia="宋体" w:cs="宋体"/>
          <w:color w:val="auto"/>
          <w:sz w:val="24"/>
          <w:highlight w:val="none"/>
          <w:lang w:val="en-US" w:eastAsia="zh-CN"/>
        </w:rPr>
        <w:t>2</w:t>
      </w:r>
      <w:r>
        <w:rPr>
          <w:rFonts w:hint="eastAsia" w:ascii="宋体" w:hAnsi="宋体" w:eastAsia="宋体" w:cs="宋体"/>
          <w:color w:val="auto"/>
          <w:sz w:val="24"/>
          <w:highlight w:val="none"/>
        </w:rPr>
        <w:t>技术标文件（独立成册）。</w:t>
      </w:r>
    </w:p>
    <w:p>
      <w:pPr>
        <w:pStyle w:val="9"/>
        <w:keepLines/>
        <w:ind w:firstLine="480" w:firstLineChars="200"/>
        <w:rPr>
          <w:rFonts w:hint="eastAsia" w:hAnsi="宋体" w:eastAsia="宋体" w:cs="宋体"/>
          <w:color w:val="auto"/>
          <w:sz w:val="24"/>
          <w:highlight w:val="none"/>
          <w:lang w:eastAsia="zh-CN"/>
        </w:rPr>
      </w:pPr>
      <w:r>
        <w:rPr>
          <w:rFonts w:hAnsi="宋体" w:cs="宋体"/>
          <w:color w:val="auto"/>
          <w:sz w:val="24"/>
          <w:highlight w:val="none"/>
        </w:rPr>
        <w:t>11.1</w:t>
      </w:r>
      <w:r>
        <w:rPr>
          <w:rFonts w:hint="eastAsia" w:hAnsi="宋体" w:cs="宋体"/>
          <w:color w:val="auto"/>
          <w:sz w:val="24"/>
          <w:highlight w:val="none"/>
          <w:lang w:val="en-US" w:eastAsia="zh-CN"/>
        </w:rPr>
        <w:t>3</w:t>
      </w:r>
      <w:r>
        <w:rPr>
          <w:rFonts w:hAnsi="宋体" w:cs="宋体"/>
          <w:color w:val="auto"/>
          <w:sz w:val="24"/>
          <w:highlight w:val="none"/>
        </w:rPr>
        <w:t xml:space="preserve"> 投标文件电子版（刻录光盘</w:t>
      </w:r>
      <w:r>
        <w:rPr>
          <w:rFonts w:hint="eastAsia" w:hAnsi="宋体" w:cs="宋体"/>
          <w:color w:val="auto"/>
          <w:sz w:val="24"/>
          <w:highlight w:val="none"/>
          <w:lang w:eastAsia="zh-CN"/>
        </w:rPr>
        <w:t>或提供</w:t>
      </w:r>
      <w:r>
        <w:rPr>
          <w:rFonts w:hint="eastAsia" w:hAnsi="宋体" w:cs="宋体"/>
          <w:color w:val="auto"/>
          <w:sz w:val="24"/>
          <w:highlight w:val="none"/>
          <w:lang w:val="en-US" w:eastAsia="zh-CN"/>
        </w:rPr>
        <w:t>U盘，需为公司盖章版本</w:t>
      </w:r>
      <w:r>
        <w:rPr>
          <w:rFonts w:hAnsi="宋体" w:cs="宋体"/>
          <w:color w:val="auto"/>
          <w:sz w:val="24"/>
          <w:highlight w:val="none"/>
        </w:rPr>
        <w:t>）</w:t>
      </w:r>
      <w:r>
        <w:rPr>
          <w:rFonts w:hint="eastAsia" w:hAnsi="宋体" w:cs="宋体"/>
          <w:color w:val="auto"/>
          <w:sz w:val="24"/>
          <w:highlight w:val="none"/>
          <w:lang w:eastAsia="zh-CN"/>
        </w:rPr>
        <w:t>。</w:t>
      </w:r>
    </w:p>
    <w:p>
      <w:pPr>
        <w:pStyle w:val="9"/>
        <w:keepLines/>
        <w:ind w:firstLine="480" w:firstLineChars="200"/>
        <w:rPr>
          <w:rFonts w:hint="eastAsia" w:hAnsi="宋体" w:cs="宋体"/>
          <w:color w:val="auto"/>
          <w:sz w:val="24"/>
          <w:highlight w:val="none"/>
          <w:lang w:val="en-US" w:eastAsia="zh-CN"/>
        </w:rPr>
      </w:pPr>
      <w:r>
        <w:rPr>
          <w:rFonts w:hint="eastAsia" w:hAnsi="宋体" w:cs="宋体"/>
          <w:color w:val="auto"/>
          <w:sz w:val="24"/>
          <w:highlight w:val="none"/>
          <w:lang w:val="en-US" w:eastAsia="zh-CN"/>
        </w:rPr>
        <w:t>11.14投标申请人声明。</w:t>
      </w:r>
    </w:p>
    <w:p>
      <w:pPr>
        <w:pStyle w:val="9"/>
        <w:keepLines/>
        <w:ind w:firstLine="480" w:firstLineChars="200"/>
        <w:rPr>
          <w:rFonts w:hint="default" w:ascii="宋体" w:hAnsi="宋体" w:cs="宋体"/>
          <w:color w:val="auto"/>
          <w:sz w:val="24"/>
          <w:highlight w:val="none"/>
          <w:lang w:val="en-US" w:eastAsia="zh-CN"/>
        </w:rPr>
      </w:pPr>
      <w:r>
        <w:rPr>
          <w:rFonts w:hint="eastAsia" w:hAnsi="宋体" w:cs="宋体"/>
          <w:color w:val="auto"/>
          <w:sz w:val="24"/>
          <w:highlight w:val="none"/>
          <w:lang w:val="en-US" w:eastAsia="zh-CN"/>
        </w:rPr>
        <w:t>11.15</w:t>
      </w:r>
      <w:r>
        <w:rPr>
          <w:rFonts w:hint="eastAsia" w:ascii="宋体" w:hAnsi="宋体" w:cs="宋体"/>
          <w:color w:val="auto"/>
          <w:sz w:val="24"/>
          <w:highlight w:val="none"/>
          <w:lang w:eastAsia="zh-CN"/>
        </w:rPr>
        <w:t>施工组织方案（含安全措施</w:t>
      </w:r>
      <w:r>
        <w:rPr>
          <w:rFonts w:hint="eastAsia" w:ascii="宋体" w:hAnsi="宋体" w:eastAsia="宋体" w:cs="宋体"/>
          <w:color w:val="auto"/>
          <w:sz w:val="24"/>
          <w:highlight w:val="none"/>
          <w:lang w:eastAsia="zh-CN"/>
        </w:rPr>
        <w:t>）</w:t>
      </w:r>
      <w:r>
        <w:rPr>
          <w:rFonts w:hint="eastAsia" w:hAnsi="宋体" w:cs="宋体"/>
          <w:color w:val="auto"/>
          <w:sz w:val="24"/>
          <w:highlight w:val="none"/>
          <w:lang w:eastAsia="zh-CN"/>
        </w:rPr>
        <w:t>。</w:t>
      </w:r>
    </w:p>
    <w:p>
      <w:pPr>
        <w:pStyle w:val="9"/>
        <w:keepLines/>
        <w:ind w:firstLine="480" w:firstLineChars="200"/>
        <w:rPr>
          <w:rFonts w:hint="default" w:hAnsi="宋体" w:eastAsia="宋体" w:cs="宋体"/>
          <w:color w:val="auto"/>
          <w:sz w:val="24"/>
          <w:highlight w:val="none"/>
          <w:lang w:val="en-US" w:eastAsia="zh-CN"/>
        </w:rPr>
      </w:pPr>
      <w:r>
        <w:rPr>
          <w:rFonts w:hint="eastAsia" w:hAnsi="宋体" w:cs="宋体"/>
          <w:color w:val="auto"/>
          <w:sz w:val="24"/>
          <w:highlight w:val="none"/>
          <w:lang w:val="en-US" w:eastAsia="zh-CN"/>
        </w:rPr>
        <w:t>11.16投标人认为需要提供的其他文件。</w:t>
      </w:r>
    </w:p>
    <w:p>
      <w:pPr>
        <w:pStyle w:val="14"/>
        <w:keepLines/>
        <w:widowControl w:val="0"/>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pPr>
        <w:pStyle w:val="14"/>
        <w:keepLines/>
        <w:widowControl w:val="0"/>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pPr>
        <w:pStyle w:val="14"/>
        <w:keepLines/>
        <w:widowControl w:val="0"/>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pPr>
        <w:pStyle w:val="14"/>
        <w:keepLines/>
        <w:widowControl w:val="0"/>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pPr>
        <w:pStyle w:val="14"/>
        <w:keepLines/>
        <w:widowControl w:val="0"/>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pPr>
        <w:pStyle w:val="14"/>
        <w:keepLines/>
        <w:widowControl w:val="0"/>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w:t>
      </w:r>
      <w:r>
        <w:rPr>
          <w:rFonts w:hint="eastAsia" w:ascii="宋体" w:hAnsi="宋体" w:cs="宋体"/>
          <w:color w:val="auto"/>
          <w:sz w:val="24"/>
          <w:szCs w:val="24"/>
          <w:highlight w:val="none"/>
          <w:lang w:eastAsia="zh-CN"/>
        </w:rPr>
        <w:t>，</w:t>
      </w:r>
      <w:r>
        <w:rPr>
          <w:rFonts w:hint="eastAsia" w:ascii="宋体" w:hAnsi="宋体" w:cs="宋体"/>
          <w:color w:val="auto"/>
          <w:sz w:val="24"/>
          <w:szCs w:val="24"/>
          <w:highlight w:val="none"/>
        </w:rPr>
        <w:t>投标报价不</w:t>
      </w:r>
      <w:r>
        <w:rPr>
          <w:rFonts w:hint="eastAsia" w:ascii="宋体" w:hAnsi="宋体" w:cs="宋体"/>
          <w:color w:val="auto"/>
          <w:sz w:val="24"/>
          <w:szCs w:val="24"/>
          <w:highlight w:val="none"/>
          <w:lang w:eastAsia="zh-CN"/>
        </w:rPr>
        <w:t>能</w:t>
      </w:r>
      <w:r>
        <w:rPr>
          <w:rFonts w:hint="eastAsia" w:ascii="宋体" w:hAnsi="宋体" w:cs="宋体"/>
          <w:color w:val="auto"/>
          <w:sz w:val="24"/>
          <w:szCs w:val="24"/>
          <w:highlight w:val="none"/>
        </w:rPr>
        <w:t>超过</w:t>
      </w:r>
      <w:r>
        <w:rPr>
          <w:rFonts w:hint="eastAsia" w:ascii="宋体" w:hAnsi="宋体" w:cs="宋体"/>
          <w:color w:val="auto"/>
          <w:sz w:val="24"/>
          <w:szCs w:val="24"/>
          <w:highlight w:val="none"/>
          <w:lang w:eastAsia="zh-CN"/>
        </w:rPr>
        <w:t>招标控制价，否则按废标处理</w:t>
      </w:r>
      <w:r>
        <w:rPr>
          <w:rFonts w:hint="eastAsia" w:ascii="宋体" w:hAnsi="宋体" w:cs="宋体"/>
          <w:color w:val="auto"/>
          <w:sz w:val="24"/>
          <w:szCs w:val="24"/>
          <w:highlight w:val="none"/>
        </w:rPr>
        <w:t>。（小数点后保留二位小数，第三位小数四舍五入）</w:t>
      </w:r>
    </w:p>
    <w:p>
      <w:pPr>
        <w:pStyle w:val="14"/>
        <w:keepLines/>
        <w:widowControl w:val="0"/>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pPr>
        <w:pStyle w:val="14"/>
        <w:keepLines/>
        <w:widowControl w:val="0"/>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pPr>
        <w:pStyle w:val="14"/>
        <w:keepLines/>
        <w:widowControl w:val="0"/>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pPr>
        <w:pStyle w:val="14"/>
        <w:keepLines/>
        <w:widowControl w:val="0"/>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pPr>
        <w:pStyle w:val="14"/>
        <w:keepLines/>
        <w:widowControl w:val="0"/>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pPr>
        <w:pStyle w:val="14"/>
        <w:keepLines/>
        <w:widowControl w:val="0"/>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pPr>
        <w:pStyle w:val="14"/>
        <w:keepLines/>
        <w:widowControl w:val="0"/>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r>
        <w:rPr>
          <w:rFonts w:hint="eastAsia" w:ascii="宋体" w:hAnsi="宋体" w:cs="宋体"/>
          <w:color w:val="auto"/>
          <w:sz w:val="24"/>
          <w:szCs w:val="24"/>
          <w:highlight w:val="none"/>
          <w:lang w:eastAsia="zh-CN"/>
        </w:rPr>
        <w:t>，详见</w:t>
      </w:r>
      <w:r>
        <w:rPr>
          <w:rFonts w:hint="eastAsia" w:ascii="宋体" w:hAnsi="宋体" w:cs="宋体"/>
          <w:color w:val="auto"/>
          <w:sz w:val="24"/>
          <w:szCs w:val="24"/>
          <w:highlight w:val="none"/>
        </w:rPr>
        <w:t>投标须知前附表</w:t>
      </w:r>
      <w:r>
        <w:rPr>
          <w:rFonts w:hint="eastAsia" w:ascii="宋体" w:hAnsi="宋体" w:cs="宋体"/>
          <w:color w:val="auto"/>
          <w:sz w:val="24"/>
          <w:szCs w:val="24"/>
          <w:highlight w:val="none"/>
          <w:lang w:eastAsia="zh-CN"/>
        </w:rPr>
        <w:t>要求</w:t>
      </w:r>
      <w:r>
        <w:rPr>
          <w:rFonts w:hint="eastAsia" w:ascii="宋体" w:hAnsi="宋体" w:cs="宋体"/>
          <w:color w:val="auto"/>
          <w:sz w:val="24"/>
          <w:szCs w:val="24"/>
          <w:highlight w:val="none"/>
        </w:rPr>
        <w:t>。</w:t>
      </w:r>
    </w:p>
    <w:p>
      <w:pPr>
        <w:pStyle w:val="14"/>
        <w:keepLines/>
        <w:widowControl w:val="0"/>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pPr>
        <w:pStyle w:val="14"/>
        <w:keepLines/>
        <w:widowControl w:val="0"/>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pPr>
        <w:pStyle w:val="14"/>
        <w:keepLines/>
        <w:widowControl w:val="0"/>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的复印件，字迹应清晰易于辨认，并应在投标文件封面的右上角清楚地注明“正本”或“副本”。正本和副本如有不一致之处，以正本为准。</w:t>
      </w:r>
    </w:p>
    <w:p>
      <w:pPr>
        <w:pStyle w:val="14"/>
        <w:keepLines/>
        <w:widowControl w:val="0"/>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pPr>
        <w:pStyle w:val="14"/>
        <w:keepLines/>
        <w:widowControl w:val="0"/>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pPr>
        <w:pStyle w:val="14"/>
        <w:keepLines/>
        <w:widowControl w:val="0"/>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编号、投标人、投标时间，右上角打上正本（或副本）。使用书式装订，装订时书订不外露；不能使用塑料面或塑料胶条装订。</w:t>
      </w:r>
    </w:p>
    <w:p>
      <w:pPr>
        <w:pStyle w:val="14"/>
        <w:keepLines/>
        <w:widowControl w:val="0"/>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pPr>
        <w:keepLines/>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w:t>
      </w:r>
      <w:r>
        <w:rPr>
          <w:rFonts w:hint="eastAsia" w:ascii="宋体" w:hAnsi="宋体" w:cs="宋体"/>
          <w:b/>
          <w:color w:val="auto"/>
          <w:sz w:val="24"/>
          <w:highlight w:val="none"/>
          <w:lang w:eastAsia="zh-CN"/>
        </w:rPr>
        <w:t>、</w:t>
      </w:r>
      <w:r>
        <w:rPr>
          <w:rFonts w:hint="eastAsia" w:ascii="宋体" w:hAnsi="宋体" w:cs="宋体"/>
          <w:b/>
          <w:color w:val="auto"/>
          <w:sz w:val="24"/>
          <w:highlight w:val="none"/>
        </w:rPr>
        <w:t>投标文件的提交</w:t>
      </w:r>
    </w:p>
    <w:p>
      <w:pPr>
        <w:pStyle w:val="14"/>
        <w:keepLines/>
        <w:widowControl w:val="0"/>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pPr>
        <w:keepLines/>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投标文件的包封要求：商务标正本（1本）、副本（4本）一起包封；技术标正本（1本）、副本（4本）一起包封。</w:t>
      </w:r>
    </w:p>
    <w:p>
      <w:pPr>
        <w:keepLines/>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pPr>
        <w:keepLines/>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pPr>
        <w:keepLines/>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p>
    <w:p>
      <w:pPr>
        <w:keepLines/>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项目</w:t>
      </w:r>
    </w:p>
    <w:p>
      <w:pPr>
        <w:keepLines/>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前不得开封（填入前附表第19项所述日期及时间）</w:t>
      </w:r>
    </w:p>
    <w:p>
      <w:pPr>
        <w:keepLines/>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pPr>
        <w:keepLines/>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pPr>
        <w:pStyle w:val="14"/>
        <w:keepLines/>
        <w:widowControl w:val="0"/>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pPr>
        <w:keepLines/>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pPr>
        <w:keepLines/>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pPr>
        <w:pStyle w:val="14"/>
        <w:keepLines/>
        <w:widowControl w:val="0"/>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pPr>
        <w:keepLines/>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pPr>
        <w:pStyle w:val="14"/>
        <w:keepLines/>
        <w:widowControl w:val="0"/>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pPr>
        <w:pStyle w:val="14"/>
        <w:keepLines/>
        <w:widowControl w:val="0"/>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pPr>
        <w:keepLines/>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pPr>
        <w:keepLines/>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开标</w:t>
      </w:r>
    </w:p>
    <w:p>
      <w:pPr>
        <w:pStyle w:val="14"/>
        <w:keepLines/>
        <w:widowControl w:val="0"/>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质量目标；f.项目负责人等主要内容。</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pPr>
        <w:keepLines/>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pPr>
        <w:keepLines/>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进行评审的。</w:t>
      </w:r>
    </w:p>
    <w:p>
      <w:pPr>
        <w:keepLines/>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评标</w:t>
      </w:r>
    </w:p>
    <w:p>
      <w:pPr>
        <w:pStyle w:val="14"/>
        <w:keepLines/>
        <w:widowControl w:val="0"/>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施加影响的任何行为，都将会导致其投标被拒绝。</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组成人员或其他有关人员索问评标过程的情况和材料。</w:t>
      </w:r>
    </w:p>
    <w:p>
      <w:pPr>
        <w:pStyle w:val="14"/>
        <w:keepLines/>
        <w:widowControl w:val="0"/>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可以以书面形式要求投标人对投标文件含义不明确的内容作必要的澄清或说明，投标人应书面形式进行澄清或说明，但不得超出投标文件的范围或改变投标文件的实质性内容。</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将予以拒绝，并且不允许投标人通过修改或撤销其不符合要求的差异或保留，使之成为具有响应性的投标。</w:t>
      </w:r>
    </w:p>
    <w:p>
      <w:pPr>
        <w:pStyle w:val="14"/>
        <w:keepLines/>
        <w:widowControl w:val="0"/>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27.1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将按照本须知第26条规定，仅对在实质上响应招标文件要求的投标文件进行评审和比较。</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可以以书面形式要求投标人就投标文件中含义不明确的内容进行书面说明并提供相关材料。</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27.3 </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依据投标须知前附表第20项规定的评标标准和方法，详见本招标文件《评标办法》，对投标文件进行评审和比较，向招标人提出书面评标报告，并推荐经评审</w:t>
      </w:r>
      <w:r>
        <w:rPr>
          <w:rFonts w:hint="eastAsia" w:ascii="宋体" w:hAnsi="宋体" w:eastAsia="宋体" w:cs="宋体"/>
          <w:color w:val="auto"/>
          <w:sz w:val="24"/>
          <w:highlight w:val="none"/>
          <w:lang w:eastAsia="zh-CN"/>
        </w:rPr>
        <w:t>综合得分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提出的书面评标报告和推荐的中标候选人中，按排序依法确定中标人。</w:t>
      </w:r>
    </w:p>
    <w:p>
      <w:pPr>
        <w:keepLines/>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w:t>
      </w:r>
      <w:r>
        <w:rPr>
          <w:rFonts w:hint="eastAsia" w:ascii="宋体" w:hAnsi="宋体" w:eastAsia="宋体" w:cs="宋体"/>
          <w:b/>
          <w:color w:val="auto"/>
          <w:sz w:val="24"/>
          <w:highlight w:val="none"/>
          <w:lang w:eastAsia="zh-CN"/>
        </w:rPr>
        <w:t>评标小组</w:t>
      </w:r>
      <w:r>
        <w:rPr>
          <w:rFonts w:hint="eastAsia" w:ascii="宋体" w:hAnsi="宋体" w:eastAsia="宋体" w:cs="宋体"/>
          <w:b/>
          <w:color w:val="auto"/>
          <w:sz w:val="24"/>
          <w:highlight w:val="none"/>
        </w:rPr>
        <w:t>依据有关法律、法规和招标文件的规定对投标文件进行评审，经评定的有效投标人不足三名时，招标人应当依法重新组织招标。</w:t>
      </w:r>
    </w:p>
    <w:p>
      <w:pPr>
        <w:keepLines/>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w:t>
      </w:r>
      <w:r>
        <w:rPr>
          <w:rFonts w:hint="eastAsia" w:ascii="宋体" w:hAnsi="宋体" w:eastAsia="宋体" w:cs="宋体"/>
          <w:b/>
          <w:color w:val="auto"/>
          <w:sz w:val="24"/>
          <w:highlight w:val="none"/>
          <w:lang w:eastAsia="zh-CN"/>
        </w:rPr>
        <w:t>、</w:t>
      </w:r>
      <w:r>
        <w:rPr>
          <w:rFonts w:hint="eastAsia" w:ascii="宋体" w:hAnsi="宋体" w:eastAsia="宋体" w:cs="宋体"/>
          <w:b/>
          <w:color w:val="auto"/>
          <w:sz w:val="24"/>
          <w:highlight w:val="none"/>
        </w:rPr>
        <w:t>合同的授予</w:t>
      </w:r>
    </w:p>
    <w:p>
      <w:pPr>
        <w:pStyle w:val="14"/>
        <w:keepLines/>
        <w:widowControl w:val="0"/>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pPr>
        <w:pStyle w:val="14"/>
        <w:keepLines/>
        <w:widowControl w:val="0"/>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的评标报告拒绝不合格的投标。</w:t>
      </w:r>
    </w:p>
    <w:p>
      <w:pPr>
        <w:keepLines/>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pPr>
        <w:pStyle w:val="14"/>
        <w:keepLines/>
        <w:widowControl w:val="0"/>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31.1中标通知书经招标人确认，并由招标人颁发。</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pPr>
        <w:pStyle w:val="14"/>
        <w:keepLines/>
        <w:widowControl w:val="0"/>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w:t>
      </w:r>
      <w:r>
        <w:rPr>
          <w:rFonts w:hint="eastAsia" w:ascii="宋体" w:hAnsi="宋体" w:eastAsia="宋体" w:cs="宋体"/>
          <w:color w:val="auto"/>
          <w:sz w:val="24"/>
          <w:highlight w:val="none"/>
          <w:lang w:eastAsia="zh-CN"/>
        </w:rPr>
        <w:t>，一年内拒绝其对招标人其他招标项目的投标文件。</w:t>
      </w:r>
      <w:r>
        <w:rPr>
          <w:rFonts w:hint="eastAsia" w:ascii="宋体" w:hAnsi="宋体" w:eastAsia="宋体" w:cs="宋体"/>
          <w:color w:val="auto"/>
          <w:sz w:val="24"/>
          <w:highlight w:val="none"/>
        </w:rPr>
        <w:t>给招标人的损失超过投标保证金数额的，中标人应当对超过部分予以赔偿；没有提交投标保证金的，应当对招标人的损失承担赔偿责任。</w:t>
      </w:r>
    </w:p>
    <w:p>
      <w:pPr>
        <w:keepLines/>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pPr>
        <w:pStyle w:val="14"/>
        <w:keepLines/>
        <w:widowControl w:val="0"/>
        <w:numPr>
          <w:ilvl w:val="0"/>
          <w:numId w:val="2"/>
        </w:numPr>
        <w:spacing w:beforeAutospacing="0" w:after="0" w:line="360" w:lineRule="auto"/>
        <w:ind w:firstLine="482" w:firstLineChars="200"/>
        <w:outlineLvl w:val="3"/>
        <w:rPr>
          <w:rFonts w:hint="eastAsia" w:ascii="宋体" w:hAnsi="宋体" w:cs="宋体"/>
          <w:b/>
          <w:color w:val="auto"/>
          <w:sz w:val="24"/>
          <w:highlight w:val="none"/>
        </w:rPr>
      </w:pPr>
      <w:r>
        <w:rPr>
          <w:rFonts w:hint="eastAsia" w:ascii="宋体" w:hAnsi="宋体" w:cs="宋体"/>
          <w:b/>
          <w:color w:val="auto"/>
          <w:sz w:val="24"/>
          <w:highlight w:val="none"/>
        </w:rPr>
        <w:t>合同生效</w:t>
      </w:r>
    </w:p>
    <w:p>
      <w:pPr>
        <w:pStyle w:val="14"/>
        <w:keepLines/>
        <w:widowControl w:val="0"/>
        <w:numPr>
          <w:ilvl w:val="0"/>
          <w:numId w:val="0"/>
        </w:numPr>
        <w:spacing w:beforeAutospacing="0" w:after="0" w:line="360" w:lineRule="auto"/>
        <w:ind w:firstLine="480" w:firstLineChars="200"/>
        <w:outlineLvl w:val="3"/>
        <w:rPr>
          <w:rFonts w:ascii="黑体" w:hAnsi="宋体" w:cs="黑体"/>
          <w:b/>
          <w:color w:val="auto"/>
          <w:kern w:val="44"/>
          <w:sz w:val="44"/>
          <w:szCs w:val="44"/>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bookmarkStart w:id="4" w:name="_Toc1632"/>
      <w:bookmarkStart w:id="5" w:name="_Toc27492"/>
    </w:p>
    <w:p>
      <w:pPr>
        <w:pStyle w:val="3"/>
        <w:widowControl w:val="0"/>
        <w:spacing w:before="0" w:after="0" w:line="360" w:lineRule="auto"/>
        <w:jc w:val="center"/>
        <w:rPr>
          <w:rFonts w:ascii="黑体" w:hAnsi="宋体" w:cs="黑体"/>
          <w:b/>
          <w:color w:val="auto"/>
          <w:kern w:val="44"/>
          <w:sz w:val="44"/>
          <w:szCs w:val="44"/>
          <w:highlight w:val="none"/>
        </w:rPr>
      </w:pPr>
    </w:p>
    <w:p>
      <w:pPr>
        <w:pStyle w:val="3"/>
        <w:widowControl w:val="0"/>
        <w:spacing w:before="0" w:after="0" w:line="360" w:lineRule="auto"/>
        <w:jc w:val="center"/>
        <w:rPr>
          <w:rFonts w:ascii="黑体" w:hAnsi="宋体" w:cs="黑体"/>
          <w:b/>
          <w:color w:val="auto"/>
          <w:kern w:val="44"/>
          <w:sz w:val="44"/>
          <w:szCs w:val="44"/>
          <w:highlight w:val="none"/>
        </w:rPr>
      </w:pPr>
    </w:p>
    <w:p>
      <w:pPr>
        <w:pStyle w:val="3"/>
        <w:widowControl w:val="0"/>
        <w:spacing w:before="0" w:after="0" w:line="360" w:lineRule="auto"/>
        <w:jc w:val="center"/>
        <w:rPr>
          <w:rFonts w:ascii="黑体" w:hAnsi="宋体" w:cs="黑体"/>
          <w:b/>
          <w:color w:val="auto"/>
          <w:kern w:val="44"/>
          <w:sz w:val="44"/>
          <w:szCs w:val="44"/>
          <w:highlight w:val="none"/>
        </w:rPr>
      </w:pPr>
    </w:p>
    <w:p>
      <w:pPr>
        <w:pStyle w:val="3"/>
        <w:widowControl w:val="0"/>
        <w:spacing w:before="0" w:after="0" w:line="360" w:lineRule="auto"/>
        <w:jc w:val="center"/>
        <w:rPr>
          <w:rFonts w:ascii="黑体" w:hAnsi="宋体" w:cs="黑体"/>
          <w:b/>
          <w:color w:val="auto"/>
          <w:kern w:val="44"/>
          <w:sz w:val="44"/>
          <w:szCs w:val="44"/>
          <w:highlight w:val="none"/>
        </w:rPr>
      </w:pPr>
    </w:p>
    <w:p>
      <w:pPr>
        <w:keepLines/>
        <w:rPr>
          <w:rFonts w:ascii="黑体" w:hAnsi="宋体" w:cs="黑体"/>
          <w:b/>
          <w:color w:val="auto"/>
          <w:kern w:val="44"/>
          <w:sz w:val="44"/>
          <w:szCs w:val="44"/>
          <w:highlight w:val="none"/>
        </w:rPr>
      </w:pPr>
      <w:r>
        <w:rPr>
          <w:rFonts w:ascii="黑体" w:hAnsi="宋体" w:cs="黑体"/>
          <w:b/>
          <w:color w:val="auto"/>
          <w:kern w:val="44"/>
          <w:sz w:val="44"/>
          <w:szCs w:val="44"/>
          <w:highlight w:val="none"/>
        </w:rPr>
        <w:br w:type="page"/>
      </w:r>
    </w:p>
    <w:p>
      <w:pPr>
        <w:keepLines/>
        <w:rPr>
          <w:color w:val="auto"/>
          <w:highlight w:val="none"/>
        </w:rPr>
      </w:pPr>
    </w:p>
    <w:p>
      <w:pPr>
        <w:pStyle w:val="3"/>
        <w:widowControl w:val="0"/>
        <w:spacing w:before="0" w:after="0" w:line="360" w:lineRule="auto"/>
        <w:jc w:val="center"/>
        <w:rPr>
          <w:rFonts w:ascii="黑体" w:hAnsi="宋体" w:cs="黑体"/>
          <w:b/>
          <w:color w:val="auto"/>
          <w:kern w:val="44"/>
          <w:sz w:val="44"/>
          <w:szCs w:val="44"/>
          <w:highlight w:val="none"/>
        </w:rPr>
      </w:pPr>
    </w:p>
    <w:p>
      <w:pPr>
        <w:pStyle w:val="3"/>
        <w:widowControl w:val="0"/>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第2章 项目需求书</w:t>
      </w:r>
      <w:bookmarkEnd w:id="4"/>
    </w:p>
    <w:p>
      <w:pPr>
        <w:keepLines/>
        <w:rPr>
          <w:rFonts w:ascii="宋体" w:hAnsi="宋体" w:eastAsia="宋体" w:cs="宋体"/>
          <w:b/>
          <w:color w:val="auto"/>
          <w:sz w:val="30"/>
          <w:szCs w:val="30"/>
          <w:highlight w:val="none"/>
        </w:rPr>
      </w:pPr>
    </w:p>
    <w:p>
      <w:pPr>
        <w:keepLines/>
        <w:numPr>
          <w:ilvl w:val="0"/>
          <w:numId w:val="3"/>
        </w:numPr>
        <w:jc w:val="left"/>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项目概况</w:t>
      </w:r>
    </w:p>
    <w:p>
      <w:pPr>
        <w:keepLines/>
        <w:numPr>
          <w:ilvl w:val="0"/>
          <w:numId w:val="0"/>
        </w:numPr>
        <w:ind w:firstLine="640" w:firstLineChars="200"/>
        <w:rPr>
          <w:rFonts w:hint="eastAsia" w:ascii="仿宋_GB2312" w:hAnsi="仿宋_GB2312" w:eastAsia="仿宋_GB2312" w:cs="仿宋_GB2312"/>
          <w:color w:val="auto"/>
          <w:sz w:val="32"/>
          <w:szCs w:val="32"/>
          <w:highlight w:val="none"/>
          <w:lang w:eastAsia="zh-CN"/>
        </w:rPr>
      </w:pPr>
      <w:r>
        <w:rPr>
          <w:rFonts w:hint="eastAsia" w:ascii="仿宋_GB2312" w:hAnsi="仿宋_GB2312" w:eastAsia="仿宋_GB2312" w:cs="仿宋_GB2312"/>
          <w:color w:val="auto"/>
          <w:sz w:val="32"/>
          <w:szCs w:val="32"/>
          <w:highlight w:val="none"/>
          <w:lang w:val="en-US" w:eastAsia="zh-CN"/>
        </w:rPr>
        <w:t>新联检大楼</w:t>
      </w:r>
      <w:r>
        <w:rPr>
          <w:rFonts w:hint="eastAsia" w:ascii="仿宋_GB2312" w:hAnsi="仿宋_GB2312" w:eastAsia="仿宋_GB2312" w:cs="仿宋_GB2312"/>
          <w:color w:val="auto"/>
          <w:kern w:val="2"/>
          <w:sz w:val="32"/>
          <w:szCs w:val="32"/>
          <w:highlight w:val="none"/>
          <w:u w:val="none"/>
          <w:shd w:val="clear"/>
          <w:lang w:val="en-US" w:eastAsia="zh-CN" w:bidi="ar"/>
        </w:rPr>
        <w:t>位于广州市南沙区进港大道，</w:t>
      </w:r>
      <w:r>
        <w:rPr>
          <w:rFonts w:hint="eastAsia" w:ascii="仿宋_GB2312" w:hAnsi="仿宋_GB2312" w:eastAsia="仿宋_GB2312" w:cs="仿宋_GB2312"/>
          <w:color w:val="auto"/>
          <w:sz w:val="32"/>
          <w:szCs w:val="32"/>
          <w:highlight w:val="none"/>
          <w:lang w:val="en-US" w:eastAsia="zh-CN"/>
        </w:rPr>
        <w:t>为尽快解决消防设备及系统问题，消除安全隐患，拟按照二次消防验收技术检测标准，对新联检大楼消防设备和系统实施项目升级改造。</w:t>
      </w:r>
      <w:r>
        <w:rPr>
          <w:rFonts w:hint="eastAsia" w:ascii="仿宋_GB2312" w:hAnsi="仿宋_GB2312" w:eastAsia="仿宋_GB2312" w:cs="仿宋_GB2312"/>
          <w:color w:val="auto"/>
          <w:sz w:val="32"/>
          <w:szCs w:val="32"/>
          <w:highlight w:val="none"/>
          <w:shd w:val="clear" w:color="auto" w:fill="auto"/>
          <w:lang w:val="en-US" w:eastAsia="zh-CN"/>
        </w:rPr>
        <w:t>项目总</w:t>
      </w:r>
      <w:r>
        <w:rPr>
          <w:rFonts w:hint="eastAsia" w:ascii="仿宋_GB2312" w:hAnsi="仿宋_GB2312" w:eastAsia="仿宋_GB2312" w:cs="仿宋_GB2312"/>
          <w:color w:val="auto"/>
          <w:sz w:val="32"/>
          <w:szCs w:val="32"/>
          <w:highlight w:val="none"/>
          <w:shd w:val="clear" w:color="auto" w:fill="auto"/>
          <w:lang w:eastAsia="zh-CN"/>
        </w:rPr>
        <w:t>投资约</w:t>
      </w:r>
      <w:r>
        <w:rPr>
          <w:rFonts w:hint="eastAsia" w:ascii="仿宋_GB2312" w:hAnsi="仿宋_GB2312" w:eastAsia="仿宋_GB2312" w:cs="仿宋_GB2312"/>
          <w:color w:val="auto"/>
          <w:sz w:val="32"/>
          <w:szCs w:val="32"/>
          <w:highlight w:val="none"/>
          <w:shd w:val="clear" w:color="auto" w:fill="auto"/>
          <w:lang w:val="en-US" w:eastAsia="zh-CN"/>
        </w:rPr>
        <w:t>250</w:t>
      </w:r>
      <w:r>
        <w:rPr>
          <w:rFonts w:hint="eastAsia" w:ascii="仿宋_GB2312" w:hAnsi="仿宋_GB2312" w:eastAsia="仿宋_GB2312" w:cs="仿宋_GB2312"/>
          <w:color w:val="auto"/>
          <w:sz w:val="32"/>
          <w:szCs w:val="32"/>
          <w:highlight w:val="none"/>
        </w:rPr>
        <w:t>万元</w:t>
      </w:r>
      <w:r>
        <w:rPr>
          <w:rFonts w:hint="eastAsia" w:ascii="仿宋_GB2312" w:hAnsi="仿宋_GB2312" w:eastAsia="仿宋_GB2312" w:cs="仿宋_GB2312"/>
          <w:color w:val="auto"/>
          <w:sz w:val="32"/>
          <w:szCs w:val="32"/>
          <w:highlight w:val="none"/>
          <w:lang w:eastAsia="zh-CN"/>
        </w:rPr>
        <w:t>。</w:t>
      </w:r>
    </w:p>
    <w:p>
      <w:pPr>
        <w:keepLines/>
        <w:numPr>
          <w:ilvl w:val="0"/>
          <w:numId w:val="0"/>
        </w:numPr>
        <w:ind w:firstLine="643" w:firstLineChars="200"/>
        <w:rPr>
          <w:rFonts w:hint="eastAsia" w:ascii="仿宋_GB2312" w:hAnsi="仿宋_GB2312" w:eastAsia="仿宋_GB2312" w:cs="仿宋_GB2312"/>
          <w:b/>
          <w:color w:val="auto"/>
          <w:kern w:val="0"/>
          <w:sz w:val="32"/>
          <w:szCs w:val="32"/>
          <w:highlight w:val="none"/>
        </w:rPr>
      </w:pPr>
      <w:r>
        <w:rPr>
          <w:rFonts w:hint="eastAsia" w:ascii="仿宋_GB2312" w:hAnsi="仿宋_GB2312" w:eastAsia="仿宋_GB2312" w:cs="仿宋_GB2312"/>
          <w:b/>
          <w:color w:val="auto"/>
          <w:kern w:val="0"/>
          <w:sz w:val="32"/>
          <w:szCs w:val="32"/>
          <w:highlight w:val="none"/>
          <w:lang w:eastAsia="zh-CN"/>
        </w:rPr>
        <w:t>二、招标范围</w:t>
      </w:r>
    </w:p>
    <w:p>
      <w:pPr>
        <w:pStyle w:val="9"/>
        <w:keepLines/>
        <w:ind w:firstLine="640" w:firstLineChars="200"/>
        <w:rPr>
          <w:rFonts w:hint="eastAsia" w:ascii="仿宋_GB2312" w:hAnsi="仿宋_GB2312" w:eastAsia="仿宋_GB2312" w:cs="仿宋_GB2312"/>
          <w:color w:val="auto"/>
          <w:kern w:val="0"/>
          <w:sz w:val="32"/>
          <w:szCs w:val="32"/>
          <w:highlight w:val="none"/>
          <w:lang w:val="en-US" w:eastAsia="zh-CN"/>
        </w:rPr>
      </w:pPr>
      <w:r>
        <w:rPr>
          <w:rFonts w:hint="eastAsia" w:ascii="仿宋_GB2312" w:hAnsi="仿宋_GB2312" w:eastAsia="仿宋_GB2312" w:cs="仿宋_GB2312"/>
          <w:color w:val="auto"/>
          <w:sz w:val="32"/>
          <w:szCs w:val="32"/>
          <w:highlight w:val="none"/>
          <w:lang w:val="en-US" w:eastAsia="zh-CN"/>
        </w:rPr>
        <w:t>包括但不限于：</w:t>
      </w:r>
      <w:r>
        <w:rPr>
          <w:rFonts w:hint="eastAsia" w:ascii="仿宋_GB2312" w:hAnsi="仿宋_GB2312" w:eastAsia="仿宋_GB2312"/>
          <w:b w:val="0"/>
          <w:bCs w:val="0"/>
          <w:color w:val="auto"/>
          <w:sz w:val="32"/>
          <w:szCs w:val="32"/>
          <w:highlight w:val="none"/>
          <w:lang w:val="en-US" w:eastAsia="zh-CN"/>
        </w:rPr>
        <w:t>天棚吊顶工程、防火门、应急照明系统、消防设备电源监控系统、电气火灾监控系统、防火门监控系统、电梯五方通话系统、火灾自动报警系统、防排烟</w:t>
      </w:r>
      <w:r>
        <w:rPr>
          <w:rFonts w:hint="default" w:ascii="仿宋_GB2312" w:hAnsi="仿宋_GB2312" w:eastAsia="仿宋_GB2312"/>
          <w:b w:val="0"/>
          <w:bCs w:val="0"/>
          <w:color w:val="auto"/>
          <w:sz w:val="32"/>
          <w:szCs w:val="32"/>
          <w:highlight w:val="none"/>
          <w:lang w:eastAsia="zh-CN"/>
        </w:rPr>
        <w:t>风机</w:t>
      </w:r>
      <w:r>
        <w:rPr>
          <w:rFonts w:hint="eastAsia" w:ascii="仿宋_GB2312" w:hAnsi="仿宋_GB2312" w:eastAsia="仿宋_GB2312"/>
          <w:b w:val="0"/>
          <w:bCs w:val="0"/>
          <w:color w:val="auto"/>
          <w:sz w:val="32"/>
          <w:szCs w:val="32"/>
          <w:highlight w:val="none"/>
          <w:lang w:val="en-US" w:eastAsia="zh-CN"/>
        </w:rPr>
        <w:t>等改造工程</w:t>
      </w:r>
      <w:r>
        <w:rPr>
          <w:rFonts w:hint="eastAsia" w:ascii="仿宋_GB2312" w:hAnsi="仿宋_GB2312" w:eastAsia="仿宋_GB2312" w:cs="仿宋_GB2312"/>
          <w:color w:val="auto"/>
          <w:spacing w:val="0"/>
          <w:sz w:val="32"/>
          <w:szCs w:val="32"/>
          <w:highlight w:val="none"/>
          <w:lang w:val="en-US" w:eastAsia="zh-CN"/>
        </w:rPr>
        <w:t>。具体以实际施工图纸、工程量清单为准。</w:t>
      </w:r>
    </w:p>
    <w:p>
      <w:pPr>
        <w:pStyle w:val="9"/>
        <w:keepLines/>
        <w:ind w:firstLine="640" w:firstLineChars="200"/>
        <w:rPr>
          <w:rFonts w:hint="eastAsia" w:ascii="仿宋_GB2312" w:hAnsi="仿宋_GB2312" w:eastAsia="仿宋_GB2312" w:cs="仿宋_GB2312"/>
          <w:color w:val="auto"/>
          <w:sz w:val="32"/>
          <w:szCs w:val="32"/>
          <w:highlight w:val="none"/>
        </w:rPr>
      </w:pPr>
      <w:r>
        <w:rPr>
          <w:rFonts w:hint="eastAsia" w:ascii="仿宋_GB2312" w:hAnsi="仿宋_GB2312" w:eastAsia="仿宋_GB2312" w:cs="仿宋_GB2312"/>
          <w:color w:val="auto"/>
          <w:kern w:val="0"/>
          <w:sz w:val="32"/>
          <w:szCs w:val="32"/>
          <w:highlight w:val="none"/>
          <w:lang w:val="en-US" w:eastAsia="zh-CN"/>
        </w:rPr>
        <w:t>投标</w:t>
      </w:r>
      <w:r>
        <w:rPr>
          <w:rFonts w:hint="eastAsia" w:ascii="仿宋_GB2312" w:hAnsi="仿宋_GB2312" w:eastAsia="仿宋_GB2312" w:cs="仿宋_GB2312"/>
          <w:color w:val="auto"/>
          <w:kern w:val="0"/>
          <w:sz w:val="32"/>
          <w:szCs w:val="32"/>
          <w:highlight w:val="none"/>
        </w:rPr>
        <w:t>人需按</w:t>
      </w:r>
      <w:r>
        <w:rPr>
          <w:rFonts w:hint="eastAsia" w:ascii="仿宋_GB2312" w:hAnsi="仿宋_GB2312" w:eastAsia="仿宋_GB2312" w:cs="仿宋_GB2312"/>
          <w:color w:val="auto"/>
          <w:kern w:val="0"/>
          <w:sz w:val="32"/>
          <w:szCs w:val="32"/>
          <w:highlight w:val="none"/>
          <w:lang w:val="en-US" w:eastAsia="zh-CN"/>
        </w:rPr>
        <w:t>招标文件、图纸规范等</w:t>
      </w:r>
      <w:r>
        <w:rPr>
          <w:rFonts w:hint="eastAsia" w:ascii="仿宋_GB2312" w:hAnsi="仿宋_GB2312" w:eastAsia="仿宋_GB2312" w:cs="仿宋_GB2312"/>
          <w:color w:val="auto"/>
          <w:kern w:val="0"/>
          <w:sz w:val="32"/>
          <w:szCs w:val="32"/>
          <w:highlight w:val="none"/>
        </w:rPr>
        <w:t>要求</w:t>
      </w:r>
      <w:r>
        <w:rPr>
          <w:rFonts w:hint="eastAsia" w:ascii="仿宋_GB2312" w:hAnsi="仿宋_GB2312" w:eastAsia="仿宋_GB2312" w:cs="仿宋_GB2312"/>
          <w:color w:val="auto"/>
          <w:kern w:val="0"/>
          <w:sz w:val="32"/>
          <w:szCs w:val="32"/>
          <w:highlight w:val="none"/>
          <w:lang w:val="en-US" w:eastAsia="zh-CN"/>
        </w:rPr>
        <w:t>进行</w:t>
      </w:r>
      <w:r>
        <w:rPr>
          <w:rFonts w:hint="eastAsia" w:ascii="仿宋_GB2312" w:hAnsi="仿宋_GB2312" w:eastAsia="仿宋_GB2312" w:cs="仿宋_GB2312"/>
          <w:color w:val="auto"/>
          <w:kern w:val="0"/>
          <w:sz w:val="32"/>
          <w:szCs w:val="32"/>
          <w:highlight w:val="none"/>
        </w:rPr>
        <w:t>施工，</w:t>
      </w:r>
      <w:r>
        <w:rPr>
          <w:rFonts w:hint="eastAsia" w:ascii="仿宋_GB2312" w:hAnsi="仿宋_GB2312" w:eastAsia="仿宋_GB2312" w:cs="仿宋_GB2312"/>
          <w:color w:val="auto"/>
          <w:kern w:val="0"/>
          <w:sz w:val="32"/>
          <w:szCs w:val="32"/>
          <w:highlight w:val="none"/>
          <w:lang w:val="en-US" w:eastAsia="zh-CN"/>
        </w:rPr>
        <w:t>如</w:t>
      </w:r>
      <w:r>
        <w:rPr>
          <w:rFonts w:hint="eastAsia" w:ascii="仿宋_GB2312" w:hAnsi="仿宋_GB2312" w:eastAsia="仿宋_GB2312" w:cs="仿宋_GB2312"/>
          <w:color w:val="auto"/>
          <w:kern w:val="0"/>
          <w:sz w:val="32"/>
          <w:szCs w:val="32"/>
          <w:highlight w:val="none"/>
        </w:rPr>
        <w:t>设计图纸有调整时，必须服从要求调整</w:t>
      </w:r>
      <w:r>
        <w:rPr>
          <w:rFonts w:hint="eastAsia" w:ascii="仿宋_GB2312" w:hAnsi="仿宋_GB2312" w:eastAsia="仿宋_GB2312" w:cs="仿宋_GB2312"/>
          <w:bCs w:val="0"/>
          <w:color w:val="auto"/>
          <w:sz w:val="32"/>
          <w:szCs w:val="32"/>
          <w:highlight w:val="none"/>
          <w:lang w:eastAsia="zh-CN"/>
        </w:rPr>
        <w:t>。</w:t>
      </w:r>
    </w:p>
    <w:p>
      <w:pPr>
        <w:keepLines/>
        <w:ind w:firstLine="480" w:firstLineChars="200"/>
        <w:rPr>
          <w:rFonts w:asciiTheme="minorEastAsia" w:hAnsiTheme="minorEastAsia" w:cstheme="minorEastAsia"/>
          <w:color w:val="auto"/>
          <w:kern w:val="0"/>
          <w:sz w:val="24"/>
          <w:highlight w:val="none"/>
        </w:rPr>
      </w:pPr>
    </w:p>
    <w:p>
      <w:pPr>
        <w:keepLines/>
        <w:rPr>
          <w:rFonts w:ascii="黑体" w:hAnsi="宋体" w:cs="黑体"/>
          <w:b/>
          <w:color w:val="auto"/>
          <w:kern w:val="44"/>
          <w:sz w:val="44"/>
          <w:szCs w:val="44"/>
          <w:highlight w:val="none"/>
        </w:rPr>
      </w:pPr>
    </w:p>
    <w:p>
      <w:pPr>
        <w:keepLines/>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pPr>
        <w:pStyle w:val="3"/>
        <w:widowControl w:val="0"/>
        <w:spacing w:before="0" w:after="0" w:line="360" w:lineRule="auto"/>
        <w:jc w:val="center"/>
        <w:rPr>
          <w:rFonts w:ascii="黑体" w:hAnsi="宋体" w:cs="黑体"/>
          <w:b/>
          <w:color w:val="auto"/>
          <w:kern w:val="44"/>
          <w:sz w:val="44"/>
          <w:szCs w:val="44"/>
          <w:highlight w:val="none"/>
        </w:rPr>
      </w:pPr>
    </w:p>
    <w:p>
      <w:pPr>
        <w:pStyle w:val="3"/>
        <w:widowControl w:val="0"/>
        <w:spacing w:before="0" w:after="0" w:line="360" w:lineRule="auto"/>
        <w:jc w:val="center"/>
        <w:rPr>
          <w:rFonts w:ascii="黑体" w:hAnsi="宋体" w:cs="黑体"/>
          <w:b/>
          <w:color w:val="auto"/>
          <w:kern w:val="44"/>
          <w:sz w:val="44"/>
          <w:szCs w:val="44"/>
          <w:highlight w:val="none"/>
        </w:rPr>
      </w:pPr>
    </w:p>
    <w:p>
      <w:pPr>
        <w:pStyle w:val="3"/>
        <w:widowControl w:val="0"/>
        <w:spacing w:before="0" w:after="0" w:line="360" w:lineRule="auto"/>
        <w:jc w:val="center"/>
        <w:rPr>
          <w:rFonts w:ascii="黑体" w:hAnsi="宋体" w:cs="黑体"/>
          <w:b/>
          <w:color w:val="auto"/>
          <w:kern w:val="44"/>
          <w:sz w:val="44"/>
          <w:szCs w:val="44"/>
          <w:highlight w:val="none"/>
        </w:rPr>
      </w:pPr>
    </w:p>
    <w:p>
      <w:pPr>
        <w:pStyle w:val="3"/>
        <w:widowControl w:val="0"/>
        <w:spacing w:before="0" w:after="0" w:line="360" w:lineRule="auto"/>
        <w:jc w:val="center"/>
        <w:rPr>
          <w:rFonts w:ascii="黑体" w:hAnsi="宋体" w:cs="黑体"/>
          <w:b/>
          <w:color w:val="auto"/>
          <w:kern w:val="44"/>
          <w:sz w:val="44"/>
          <w:szCs w:val="44"/>
          <w:highlight w:val="none"/>
        </w:rPr>
      </w:pPr>
    </w:p>
    <w:p>
      <w:pPr>
        <w:pStyle w:val="3"/>
        <w:widowControl w:val="0"/>
        <w:spacing w:before="0" w:after="0" w:line="360" w:lineRule="auto"/>
        <w:jc w:val="center"/>
        <w:rPr>
          <w:rFonts w:ascii="黑体" w:hAnsi="宋体" w:cs="黑体"/>
          <w:b/>
          <w:color w:val="auto"/>
          <w:kern w:val="44"/>
          <w:sz w:val="44"/>
          <w:szCs w:val="44"/>
          <w:highlight w:val="none"/>
        </w:rPr>
      </w:pPr>
    </w:p>
    <w:p>
      <w:pPr>
        <w:pStyle w:val="3"/>
        <w:widowControl w:val="0"/>
        <w:spacing w:before="0" w:after="0" w:line="360" w:lineRule="auto"/>
        <w:jc w:val="center"/>
        <w:rPr>
          <w:rFonts w:ascii="黑体" w:hAnsi="宋体" w:cs="黑体"/>
          <w:b/>
          <w:color w:val="auto"/>
          <w:kern w:val="44"/>
          <w:sz w:val="44"/>
          <w:szCs w:val="44"/>
          <w:highlight w:val="none"/>
        </w:rPr>
      </w:pPr>
    </w:p>
    <w:p>
      <w:pPr>
        <w:pStyle w:val="3"/>
        <w:widowControl w:val="0"/>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第3章  投标格式文件</w:t>
      </w:r>
      <w:bookmarkEnd w:id="5"/>
    </w:p>
    <w:p>
      <w:pPr>
        <w:keepLines/>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pPr>
        <w:keepLines/>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pPr>
        <w:keepLines/>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pPr>
        <w:keepLines/>
        <w:rPr>
          <w:rFonts w:ascii="宋体" w:hAnsi="宋体" w:eastAsia="宋体" w:cs="宋体"/>
          <w:color w:val="auto"/>
          <w:sz w:val="24"/>
          <w:highlight w:val="none"/>
        </w:rPr>
      </w:pPr>
    </w:p>
    <w:p>
      <w:pPr>
        <w:keepLines/>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广州南沙经发投资有限公司</w:t>
      </w:r>
      <w:r>
        <w:rPr>
          <w:rFonts w:hint="eastAsia" w:ascii="宋体" w:hAnsi="宋体" w:eastAsia="宋体" w:cs="Times New Roman"/>
          <w:color w:val="auto"/>
          <w:spacing w:val="20"/>
          <w:sz w:val="24"/>
          <w:highlight w:val="none"/>
          <w:u w:val="single"/>
        </w:rPr>
        <w:t>、广州南沙建设维护管理有限公司：</w:t>
      </w:r>
    </w:p>
    <w:p>
      <w:pPr>
        <w:keepLines/>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u w:val="single"/>
          <w:lang w:eastAsia="zh-CN"/>
        </w:rPr>
        <w:t>新联检大楼消防设施及系统升级改造工程施工总承包</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pPr>
        <w:keepLines/>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color w:val="auto"/>
          <w:spacing w:val="20"/>
          <w:sz w:val="24"/>
          <w:highlight w:val="none"/>
          <w:u w:val="single"/>
          <w:lang w:eastAsia="zh-CN"/>
        </w:rPr>
        <w:t>新联检大楼消防设施及系统升级改造工程施工总承包</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%，并按合同条件的要求，承担并完成任务。</w:t>
      </w:r>
    </w:p>
    <w:p>
      <w:pPr>
        <w:keepLines/>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pPr>
        <w:keepLines/>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lang w:val="en-US" w:eastAsia="zh-CN"/>
        </w:rPr>
        <w:t>90</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pPr>
        <w:keepLines/>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4、在正式签订服务协议书之前，本投标书连同贵方的中标通知书应成为约束贵、我双方的合同文件。</w:t>
      </w:r>
    </w:p>
    <w:p>
      <w:pPr>
        <w:keepLines/>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pPr>
        <w:keepLines/>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pPr>
        <w:keepLines/>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keepLines/>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pPr>
        <w:keepLines/>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keepLines/>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pPr>
        <w:keepLines/>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keepLines/>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pPr>
        <w:keepLines/>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pPr>
        <w:keepLines/>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pPr>
        <w:keepLines/>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pPr>
        <w:keepLines/>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pPr>
        <w:keepLines/>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广州南沙经发投资有限公司</w:t>
      </w:r>
      <w:r>
        <w:rPr>
          <w:rFonts w:hint="eastAsia" w:ascii="宋体" w:hAnsi="宋体" w:eastAsia="宋体" w:cs="Times New Roman"/>
          <w:color w:val="auto"/>
          <w:spacing w:val="20"/>
          <w:sz w:val="24"/>
          <w:highlight w:val="none"/>
          <w:u w:val="single"/>
        </w:rPr>
        <w:t>、广州南沙建设维护管理有限公司</w:t>
      </w:r>
    </w:p>
    <w:p>
      <w:pPr>
        <w:keepLines/>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keepLines/>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pPr>
        <w:keepLines/>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pPr>
        <w:keepLines/>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w:t>
      </w:r>
      <w:r>
        <w:rPr>
          <w:rFonts w:hint="eastAsia" w:ascii="宋体" w:hAnsi="宋体" w:eastAsia="宋体" w:cs="宋体"/>
          <w:color w:val="auto"/>
          <w:sz w:val="24"/>
          <w:highlight w:val="none"/>
          <w:lang w:eastAsia="zh-CN"/>
        </w:rPr>
        <w:t>评标小组</w:t>
      </w:r>
      <w:r>
        <w:rPr>
          <w:rFonts w:hint="eastAsia" w:ascii="宋体" w:hAnsi="宋体" w:eastAsia="宋体" w:cs="宋体"/>
          <w:color w:val="auto"/>
          <w:sz w:val="24"/>
          <w:highlight w:val="none"/>
        </w:rPr>
        <w:t>按照招标文件规定的原则进行修正，这种修正对我方具有约束力，且不需要我方确认。</w:t>
      </w:r>
    </w:p>
    <w:p>
      <w:pPr>
        <w:keepLines/>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pPr>
        <w:keepLines/>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keepLines/>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keepLines/>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keepLines/>
        <w:snapToGrid w:val="0"/>
        <w:spacing w:line="440" w:lineRule="exact"/>
        <w:ind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pPr>
        <w:keepLines/>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授权代表： (签  字)</w:t>
      </w:r>
      <w:r>
        <w:rPr>
          <w:rFonts w:hint="eastAsia" w:ascii="宋体" w:hAnsi="宋体" w:eastAsia="宋体" w:cs="宋体"/>
          <w:color w:val="auto"/>
          <w:sz w:val="24"/>
          <w:highlight w:val="none"/>
          <w:u w:val="single"/>
        </w:rPr>
        <w:t xml:space="preserve">              </w:t>
      </w:r>
    </w:p>
    <w:p>
      <w:pPr>
        <w:keepLines/>
        <w:snapToGrid w:val="0"/>
        <w:spacing w:line="440" w:lineRule="exact"/>
        <w:ind w:right="26" w:firstLine="3240" w:firstLineChars="135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pPr>
        <w:keepLines/>
        <w:snapToGrid w:val="0"/>
        <w:spacing w:line="440" w:lineRule="exact"/>
        <w:ind w:right="26" w:firstLine="3240" w:firstLineChars="135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pPr>
        <w:keepLines/>
        <w:spacing w:line="360" w:lineRule="auto"/>
        <w:ind w:firstLine="3240" w:firstLineChars="135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pPr>
        <w:keepLines/>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keepLines/>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keepLines/>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keepLines/>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keepLines/>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keepLines/>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pPr>
        <w:pStyle w:val="23"/>
        <w:keepLines/>
        <w:widowControl w:val="0"/>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6" w:name="_Toc216145749"/>
      <w:bookmarkEnd w:id="6"/>
      <w:bookmarkStart w:id="7" w:name="_Toc223342668"/>
      <w:bookmarkEnd w:id="7"/>
      <w:r>
        <w:rPr>
          <w:rFonts w:hint="eastAsia" w:ascii="宋体" w:hAnsi="宋体" w:eastAsia="宋体" w:cs="黑体"/>
          <w:color w:val="auto"/>
          <w:sz w:val="28"/>
          <w:szCs w:val="28"/>
          <w:highlight w:val="none"/>
        </w:rPr>
        <w:t>格式三：</w:t>
      </w:r>
    </w:p>
    <w:p>
      <w:pPr>
        <w:pStyle w:val="25"/>
        <w:keepLines/>
        <w:widowControl w:val="0"/>
        <w:ind w:firstLine="0" w:firstLineChars="0"/>
        <w:jc w:val="center"/>
        <w:outlineLvl w:val="2"/>
        <w:rPr>
          <w:color w:val="auto"/>
          <w:kern w:val="44"/>
          <w:highlight w:val="none"/>
        </w:rPr>
      </w:pPr>
      <w:bookmarkStart w:id="8" w:name="_Toc172416501"/>
      <w:bookmarkEnd w:id="8"/>
      <w:r>
        <w:rPr>
          <w:rFonts w:hint="eastAsia" w:ascii="宋体" w:hAnsi="宋体" w:cs="宋体"/>
          <w:b/>
          <w:color w:val="auto"/>
          <w:sz w:val="30"/>
          <w:szCs w:val="30"/>
          <w:highlight w:val="none"/>
        </w:rPr>
        <w:t>法定代表人证明书</w:t>
      </w:r>
    </w:p>
    <w:p>
      <w:pPr>
        <w:pStyle w:val="25"/>
        <w:keepLines/>
        <w:widowControl w:val="0"/>
        <w:ind w:firstLine="496"/>
        <w:jc w:val="right"/>
        <w:rPr>
          <w:b/>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5"/>
        <w:keepLines/>
        <w:widowControl w:val="0"/>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pPr>
        <w:pStyle w:val="25"/>
        <w:keepLines/>
        <w:widowControl w:val="0"/>
        <w:ind w:firstLine="618"/>
        <w:rPr>
          <w:b/>
          <w:color w:val="auto"/>
          <w:sz w:val="30"/>
          <w:szCs w:val="30"/>
          <w:highlight w:val="none"/>
        </w:rPr>
      </w:pPr>
      <w:r>
        <w:rPr>
          <w:b/>
          <w:color w:val="auto"/>
          <w:sz w:val="30"/>
          <w:szCs w:val="30"/>
          <w:highlight w:val="none"/>
        </w:rPr>
        <w:t xml:space="preserve"> </w:t>
      </w:r>
    </w:p>
    <w:p>
      <w:pPr>
        <w:pStyle w:val="25"/>
        <w:keepLines/>
        <w:widowControl w:val="0"/>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pPr>
        <w:pStyle w:val="25"/>
        <w:keepLines/>
        <w:widowControl w:val="0"/>
        <w:ind w:firstLine="496"/>
        <w:jc w:val="right"/>
        <w:rPr>
          <w:color w:val="auto"/>
          <w:highlight w:val="none"/>
        </w:rPr>
      </w:pPr>
      <w:r>
        <w:rPr>
          <w:color w:val="auto"/>
          <w:highlight w:val="none"/>
        </w:rPr>
        <w:t xml:space="preserve">         </w:t>
      </w:r>
      <w:r>
        <w:rPr>
          <w:rFonts w:hint="eastAsia" w:ascii="宋体" w:hAnsi="宋体" w:cs="宋体"/>
          <w:color w:val="auto"/>
          <w:highlight w:val="none"/>
        </w:rPr>
        <w:t xml:space="preserve">（ </w:t>
      </w:r>
      <w:r>
        <w:rPr>
          <w:color w:val="auto"/>
          <w:highlight w:val="none"/>
        </w:rPr>
        <w:t xml:space="preserve"> </w:t>
      </w:r>
      <w:r>
        <w:rPr>
          <w:rFonts w:hint="eastAsia" w:ascii="宋体" w:hAnsi="宋体" w:cs="宋体"/>
          <w:color w:val="auto"/>
          <w:highlight w:val="none"/>
        </w:rPr>
        <w:t>）第 号</w:t>
      </w:r>
    </w:p>
    <w:p>
      <w:pPr>
        <w:pStyle w:val="25"/>
        <w:keepLines/>
        <w:widowControl w:val="0"/>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pPr>
        <w:pStyle w:val="23"/>
        <w:keepLines/>
        <w:widowControl w:val="0"/>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9" w:name="_Toc216145759"/>
      <w:bookmarkEnd w:id="9"/>
      <w:bookmarkStart w:id="10" w:name="_Toc223342677"/>
    </w:p>
    <w:p>
      <w:pPr>
        <w:keepLines/>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pPr>
        <w:pStyle w:val="23"/>
        <w:keepLines/>
        <w:widowControl w:val="0"/>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0"/>
      <w:r>
        <w:rPr>
          <w:rFonts w:hint="eastAsia" w:ascii="宋体" w:hAnsi="宋体" w:eastAsia="宋体" w:cs="宋体"/>
          <w:color w:val="auto"/>
          <w:sz w:val="28"/>
          <w:szCs w:val="28"/>
          <w:highlight w:val="none"/>
        </w:rPr>
        <w:t xml:space="preserve"> </w:t>
      </w:r>
    </w:p>
    <w:p>
      <w:pPr>
        <w:pStyle w:val="25"/>
        <w:keepLines/>
        <w:widowControl w:val="0"/>
        <w:ind w:firstLine="0" w:firstLineChars="0"/>
        <w:jc w:val="center"/>
        <w:rPr>
          <w:b/>
          <w:color w:val="auto"/>
          <w:sz w:val="28"/>
          <w:szCs w:val="28"/>
          <w:highlight w:val="none"/>
        </w:rPr>
      </w:pPr>
      <w:r>
        <w:rPr>
          <w:b/>
          <w:color w:val="auto"/>
          <w:sz w:val="28"/>
          <w:szCs w:val="28"/>
          <w:highlight w:val="none"/>
        </w:rPr>
        <w:t xml:space="preserve"> </w:t>
      </w:r>
    </w:p>
    <w:p>
      <w:pPr>
        <w:keepLines/>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人员到位承诺书</w:t>
      </w:r>
    </w:p>
    <w:p>
      <w:pPr>
        <w:keepLines/>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keepLines/>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广州南沙经发投资有限公司</w:t>
      </w:r>
      <w:r>
        <w:rPr>
          <w:rFonts w:hint="eastAsia" w:ascii="宋体" w:hAnsi="宋体" w:eastAsia="宋体" w:cs="宋体"/>
          <w:color w:val="auto"/>
          <w:sz w:val="24"/>
          <w:highlight w:val="none"/>
          <w:u w:val="single"/>
        </w:rPr>
        <w:t>、广州南沙建设维护管理有限公司</w:t>
      </w:r>
    </w:p>
    <w:p>
      <w:pPr>
        <w:keepLines/>
        <w:spacing w:line="560" w:lineRule="exact"/>
        <w:jc w:val="left"/>
        <w:rPr>
          <w:rFonts w:ascii="宋体" w:hAnsi="宋体" w:eastAsia="宋体" w:cs="宋体"/>
          <w:color w:val="auto"/>
          <w:sz w:val="24"/>
          <w:highlight w:val="none"/>
          <w:u w:val="single"/>
        </w:rPr>
      </w:pPr>
      <w:r>
        <w:rPr>
          <w:rFonts w:hint="eastAsia" w:ascii="宋体" w:hAnsi="宋体" w:eastAsia="宋体" w:cs="宋体"/>
          <w:color w:val="auto"/>
          <w:sz w:val="24"/>
          <w:highlight w:val="none"/>
        </w:rPr>
        <w:t>投标项目名称：</w:t>
      </w:r>
      <w:r>
        <w:rPr>
          <w:rFonts w:hint="eastAsia" w:ascii="宋体" w:hAnsi="宋体" w:eastAsia="宋体" w:cs="Times New Roman"/>
          <w:color w:val="auto"/>
          <w:spacing w:val="20"/>
          <w:sz w:val="24"/>
          <w:highlight w:val="none"/>
          <w:u w:val="single"/>
          <w:lang w:eastAsia="zh-CN"/>
        </w:rPr>
        <w:t>新联检大楼消防设施及系统升级改造工程施工总承包</w:t>
      </w:r>
    </w:p>
    <w:p>
      <w:pPr>
        <w:keepLines/>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keepLines/>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w:t>
      </w:r>
      <w:r>
        <w:rPr>
          <w:rFonts w:hint="eastAsia" w:ascii="宋体" w:hAnsi="宋体" w:eastAsia="宋体" w:cs="宋体"/>
          <w:color w:val="auto"/>
          <w:sz w:val="24"/>
          <w:highlight w:val="none"/>
          <w:lang w:eastAsia="zh-CN"/>
        </w:rPr>
        <w:t>实际</w:t>
      </w:r>
      <w:r>
        <w:rPr>
          <w:rFonts w:hint="eastAsia" w:ascii="宋体" w:hAnsi="宋体" w:eastAsia="宋体" w:cs="宋体"/>
          <w:color w:val="auto"/>
          <w:sz w:val="24"/>
          <w:highlight w:val="none"/>
        </w:rPr>
        <w:t>人员</w:t>
      </w:r>
      <w:r>
        <w:rPr>
          <w:rFonts w:hint="eastAsia" w:ascii="宋体" w:hAnsi="宋体" w:eastAsia="宋体" w:cs="宋体"/>
          <w:color w:val="auto"/>
          <w:sz w:val="24"/>
          <w:highlight w:val="none"/>
          <w:lang w:val="en-US" w:eastAsia="zh-CN"/>
        </w:rPr>
        <w:t>均按投标文件人员名单配备</w:t>
      </w:r>
      <w:r>
        <w:rPr>
          <w:rFonts w:hint="eastAsia" w:ascii="宋体" w:hAnsi="宋体" w:eastAsia="宋体" w:cs="宋体"/>
          <w:color w:val="auto"/>
          <w:sz w:val="24"/>
          <w:highlight w:val="none"/>
        </w:rPr>
        <w:t>。</w:t>
      </w:r>
    </w:p>
    <w:p>
      <w:pPr>
        <w:keepLines/>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pPr>
        <w:keepLines/>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投标单位名称（盖法人公章）：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pPr>
        <w:keepLines/>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keepLines/>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pPr>
        <w:keepLines/>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pPr>
        <w:keepLines/>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pPr>
        <w:keepLines/>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keepLines/>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1" w:name="_Toc196037097"/>
      <w:bookmarkEnd w:id="11"/>
      <w:bookmarkStart w:id="12" w:name="_Toc199647675"/>
      <w:bookmarkEnd w:id="12"/>
      <w:bookmarkStart w:id="13" w:name="_Toc459403394"/>
      <w:bookmarkEnd w:id="13"/>
      <w:bookmarkStart w:id="14" w:name="_Toc41822703"/>
      <w:bookmarkEnd w:id="14"/>
      <w:bookmarkStart w:id="15" w:name="_Toc196036941"/>
      <w:bookmarkEnd w:id="15"/>
      <w:bookmarkStart w:id="16" w:name="_Toc196130110"/>
      <w:bookmarkEnd w:id="16"/>
      <w:bookmarkStart w:id="17" w:name="_Toc196130013"/>
      <w:bookmarkEnd w:id="17"/>
      <w:bookmarkStart w:id="18" w:name="_Toc415833503"/>
      <w:bookmarkEnd w:id="18"/>
      <w:bookmarkStart w:id="19" w:name="_Toc326909213"/>
      <w:bookmarkEnd w:id="19"/>
      <w:bookmarkStart w:id="20" w:name="_Toc415728297"/>
      <w:bookmarkEnd w:id="20"/>
      <w:bookmarkStart w:id="21" w:name="_Toc197235848"/>
      <w:bookmarkEnd w:id="21"/>
      <w:bookmarkStart w:id="22" w:name="_Toc462911098"/>
      <w:r>
        <w:rPr>
          <w:rFonts w:hint="eastAsia" w:ascii="宋体" w:hAnsi="宋体" w:eastAsia="宋体" w:cs="黑体"/>
          <w:b/>
          <w:color w:val="auto"/>
          <w:spacing w:val="4"/>
          <w:kern w:val="0"/>
          <w:sz w:val="28"/>
          <w:szCs w:val="28"/>
          <w:highlight w:val="none"/>
        </w:rPr>
        <w:t>格式五</w:t>
      </w:r>
      <w:bookmarkEnd w:id="22"/>
      <w:r>
        <w:rPr>
          <w:rFonts w:hint="eastAsia" w:ascii="宋体" w:hAnsi="宋体" w:eastAsia="宋体" w:cs="宋体"/>
          <w:color w:val="auto"/>
          <w:sz w:val="28"/>
          <w:szCs w:val="28"/>
          <w:highlight w:val="none"/>
        </w:rPr>
        <w:t>：</w:t>
      </w:r>
    </w:p>
    <w:p>
      <w:pPr>
        <w:keepLines/>
        <w:spacing w:line="360" w:lineRule="auto"/>
        <w:jc w:val="center"/>
        <w:outlineLvl w:val="2"/>
        <w:rPr>
          <w:rFonts w:ascii="仿宋" w:hAnsi="仿宋" w:eastAsia="仿宋" w:cs="仿宋"/>
          <w:b/>
          <w:bCs/>
          <w:color w:val="auto"/>
          <w:sz w:val="36"/>
          <w:szCs w:val="36"/>
          <w:highlight w:val="none"/>
        </w:rPr>
      </w:pPr>
      <w:bookmarkStart w:id="23" w:name="_Toc41822704"/>
      <w:bookmarkEnd w:id="23"/>
      <w:r>
        <w:rPr>
          <w:rFonts w:hint="eastAsia" w:ascii="仿宋" w:hAnsi="仿宋" w:eastAsia="仿宋" w:cs="仿宋"/>
          <w:b/>
          <w:bCs/>
          <w:color w:val="auto"/>
          <w:sz w:val="36"/>
          <w:szCs w:val="36"/>
          <w:highlight w:val="none"/>
        </w:rPr>
        <w:t>投标人综合概况</w:t>
      </w:r>
    </w:p>
    <w:tbl>
      <w:tblPr>
        <w:tblStyle w:val="15"/>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318"/>
        <w:gridCol w:w="1302"/>
        <w:gridCol w:w="677"/>
        <w:gridCol w:w="223"/>
        <w:gridCol w:w="1878"/>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559" w:type="dxa"/>
            <w:gridSpan w:val="4"/>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组织机构代码</w:t>
            </w:r>
          </w:p>
        </w:tc>
        <w:tc>
          <w:tcPr>
            <w:tcW w:w="2101"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559" w:type="dxa"/>
            <w:gridSpan w:val="4"/>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注册登记号</w:t>
            </w:r>
          </w:p>
        </w:tc>
        <w:tc>
          <w:tcPr>
            <w:tcW w:w="2101"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3559" w:type="dxa"/>
            <w:gridSpan w:val="4"/>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pacing w:val="30"/>
                <w:sz w:val="24"/>
                <w:highlight w:val="none"/>
              </w:rPr>
            </w:pPr>
            <w:r>
              <w:rPr>
                <w:rFonts w:hint="eastAsia" w:ascii="仿宋" w:hAnsi="仿宋" w:eastAsia="仿宋" w:cs="仿宋"/>
                <w:color w:val="auto"/>
                <w:sz w:val="24"/>
                <w:highlight w:val="none"/>
              </w:rPr>
              <w:t>税务登记证号</w:t>
            </w:r>
          </w:p>
        </w:tc>
        <w:tc>
          <w:tcPr>
            <w:tcW w:w="2101"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559" w:type="dxa"/>
            <w:gridSpan w:val="4"/>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559" w:type="dxa"/>
            <w:gridSpan w:val="4"/>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c>
          <w:tcPr>
            <w:tcW w:w="1979"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 月-  年 月</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7"/>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ISO9000认证号、范围</w:t>
            </w:r>
          </w:p>
        </w:tc>
        <w:tc>
          <w:tcPr>
            <w:tcW w:w="6769" w:type="dxa"/>
            <w:gridSpan w:val="7"/>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restart"/>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其他资质证号、范围和等级</w:t>
            </w:r>
          </w:p>
        </w:tc>
        <w:tc>
          <w:tcPr>
            <w:tcW w:w="6769" w:type="dxa"/>
            <w:gridSpan w:val="7"/>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keepLines/>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vMerge w:val="continue"/>
            <w:tcBorders>
              <w:tl2br w:val="nil"/>
              <w:tr2bl w:val="nil"/>
            </w:tcBorders>
            <w:shd w:val="clear" w:color="auto" w:fill="auto"/>
            <w:vAlign w:val="center"/>
          </w:tcPr>
          <w:p>
            <w:pPr>
              <w:keepLines/>
              <w:rPr>
                <w:rFonts w:ascii="Times New Roman" w:hAnsi="Times New Roman" w:cs="Times New Roman"/>
                <w:color w:val="auto"/>
                <w:sz w:val="20"/>
                <w:szCs w:val="20"/>
                <w:highlight w:val="none"/>
              </w:rPr>
            </w:pPr>
          </w:p>
        </w:tc>
        <w:tc>
          <w:tcPr>
            <w:tcW w:w="6769" w:type="dxa"/>
            <w:gridSpan w:val="7"/>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7"/>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3"/>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3"/>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9"/>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5"/>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1620"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c>
          <w:tcPr>
            <w:tcW w:w="900" w:type="dxa"/>
            <w:gridSpan w:val="2"/>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学 历</w:t>
            </w:r>
          </w:p>
        </w:tc>
        <w:tc>
          <w:tcPr>
            <w:tcW w:w="1878" w:type="dxa"/>
            <w:tcBorders>
              <w:tl2br w:val="nil"/>
              <w:tr2bl w:val="nil"/>
            </w:tcBorders>
            <w:shd w:val="clear" w:color="auto" w:fill="auto"/>
            <w:vAlign w:val="center"/>
          </w:tcPr>
          <w:p>
            <w:pPr>
              <w:keepLines/>
              <w:spacing w:line="360" w:lineRule="auto"/>
              <w:jc w:val="center"/>
              <w:rPr>
                <w:rFonts w:ascii="仿宋" w:hAnsi="仿宋" w:eastAsia="仿宋" w:cs="仿宋"/>
                <w:color w:val="auto"/>
                <w:sz w:val="24"/>
                <w:highlight w:val="none"/>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9"/>
            <w:tcBorders>
              <w:tl2br w:val="nil"/>
              <w:tr2bl w:val="nil"/>
            </w:tcBorders>
            <w:shd w:val="clear" w:color="auto" w:fill="auto"/>
            <w:vAlign w:val="center"/>
          </w:tcPr>
          <w:p>
            <w:pPr>
              <w:keepLine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投标单位简介（请简要说明单位情况，包括成立时间、业务范围、专业构成、规模）：</w:t>
            </w:r>
          </w:p>
          <w:p>
            <w:pPr>
              <w:keepLines/>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255" w:hRule="atLeast"/>
          <w:jc w:val="center"/>
        </w:trPr>
        <w:tc>
          <w:tcPr>
            <w:tcW w:w="9332" w:type="dxa"/>
            <w:gridSpan w:val="9"/>
            <w:tcBorders>
              <w:tl2br w:val="nil"/>
              <w:tr2bl w:val="nil"/>
            </w:tcBorders>
            <w:shd w:val="clear" w:color="auto" w:fill="auto"/>
            <w:vAlign w:val="center"/>
          </w:tcPr>
          <w:p>
            <w:pPr>
              <w:keepLine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投标单位完成本项目所独有的有利条件及相关的专业特长：</w:t>
            </w:r>
          </w:p>
        </w:tc>
      </w:tr>
    </w:tbl>
    <w:p>
      <w:pPr>
        <w:keepLines/>
        <w:rPr>
          <w:rFonts w:ascii="仿宋" w:hAnsi="仿宋" w:eastAsia="仿宋" w:cs="仿宋"/>
          <w:color w:val="auto"/>
          <w:highlight w:val="none"/>
        </w:rPr>
      </w:pPr>
      <w:r>
        <w:rPr>
          <w:rFonts w:hint="eastAsia" w:ascii="仿宋" w:hAnsi="仿宋" w:eastAsia="仿宋" w:cs="仿宋"/>
          <w:color w:val="auto"/>
          <w:szCs w:val="21"/>
          <w:highlight w:val="none"/>
        </w:rPr>
        <w:t>注：企业资质、营业执照需要附上复印件。</w:t>
      </w:r>
    </w:p>
    <w:p>
      <w:pPr>
        <w:keepLines/>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pPr>
        <w:keepLines/>
        <w:outlineLvl w:val="1"/>
        <w:rPr>
          <w:rFonts w:ascii="宋体" w:hAnsi="宋体" w:eastAsia="宋体" w:cs="黑体"/>
          <w:b/>
          <w:color w:val="auto"/>
          <w:spacing w:val="4"/>
          <w:kern w:val="0"/>
          <w:sz w:val="28"/>
          <w:szCs w:val="28"/>
          <w:highlight w:val="none"/>
        </w:rPr>
      </w:pPr>
      <w:bookmarkStart w:id="24" w:name="_Toc415833504"/>
      <w:bookmarkEnd w:id="24"/>
      <w:bookmarkStart w:id="25" w:name="_Toc199647676"/>
      <w:bookmarkEnd w:id="25"/>
      <w:bookmarkStart w:id="26" w:name="_Toc326909214"/>
      <w:bookmarkEnd w:id="26"/>
      <w:bookmarkStart w:id="27" w:name="_Toc196130111"/>
      <w:bookmarkEnd w:id="27"/>
      <w:bookmarkStart w:id="28" w:name="_Toc197235849"/>
      <w:bookmarkEnd w:id="28"/>
      <w:bookmarkStart w:id="29" w:name="_Toc196130014"/>
      <w:bookmarkEnd w:id="29"/>
      <w:bookmarkStart w:id="30" w:name="_Toc196037098"/>
      <w:bookmarkEnd w:id="30"/>
      <w:bookmarkStart w:id="31" w:name="_Toc196036942"/>
      <w:bookmarkEnd w:id="31"/>
      <w:bookmarkStart w:id="32" w:name="_Toc459403395"/>
      <w:bookmarkEnd w:id="32"/>
      <w:bookmarkStart w:id="33" w:name="_Toc415728298"/>
      <w:bookmarkEnd w:id="33"/>
      <w:bookmarkStart w:id="34" w:name="_Toc462911099"/>
    </w:p>
    <w:bookmarkEnd w:id="34"/>
    <w:p>
      <w:pPr>
        <w:keepLines/>
        <w:widowControl w:val="0"/>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keepLines/>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六</w:t>
      </w:r>
      <w:r>
        <w:rPr>
          <w:rFonts w:hint="eastAsia" w:ascii="仿宋" w:hAnsi="仿宋" w:eastAsia="仿宋" w:cs="宋体"/>
          <w:color w:val="auto"/>
          <w:sz w:val="28"/>
          <w:szCs w:val="28"/>
          <w:highlight w:val="none"/>
        </w:rPr>
        <w:t>：</w:t>
      </w:r>
    </w:p>
    <w:p>
      <w:pPr>
        <w:keepLines/>
        <w:adjustRightInd w:val="0"/>
        <w:snapToGrid w:val="0"/>
        <w:spacing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pPr>
        <w:keepLines/>
        <w:adjustRightInd w:val="0"/>
        <w:snapToGrid w:val="0"/>
        <w:spacing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5"/>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pPr>
              <w:keepLines/>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r>
      <w:tr>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pPr>
              <w:keepLines/>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pPr>
              <w:keepLines/>
              <w:snapToGrid w:val="0"/>
              <w:spacing w:line="360" w:lineRule="auto"/>
              <w:jc w:val="center"/>
              <w:rPr>
                <w:rFonts w:ascii="仿宋" w:hAnsi="仿宋" w:eastAsia="仿宋" w:cs="仿宋"/>
                <w:color w:val="auto"/>
                <w:sz w:val="24"/>
                <w:highlight w:val="none"/>
              </w:rPr>
            </w:pPr>
          </w:p>
        </w:tc>
      </w:tr>
    </w:tbl>
    <w:p>
      <w:pPr>
        <w:keepLines/>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注：1、“拟承担工作”栏，应注明主要人员（须注明项目负责人、各专业负责人）等。</w:t>
      </w:r>
    </w:p>
    <w:p>
      <w:pPr>
        <w:keepLines/>
        <w:adjustRightInd w:val="0"/>
        <w:snapToGrid w:val="0"/>
        <w:spacing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lang w:val="en-US" w:eastAsia="zh-CN"/>
        </w:rPr>
        <w:t>2</w:t>
      </w:r>
      <w:r>
        <w:rPr>
          <w:rFonts w:hint="eastAsia" w:ascii="仿宋" w:hAnsi="仿宋" w:eastAsia="仿宋" w:cs="仿宋"/>
          <w:color w:val="auto"/>
          <w:szCs w:val="21"/>
          <w:highlight w:val="none"/>
        </w:rPr>
        <w:t>、人员应附上个人注册执业资格证、职称证等文件（复印件，加盖单位公章）。</w:t>
      </w:r>
    </w:p>
    <w:p>
      <w:pPr>
        <w:keepLines/>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keepLines/>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keepLines/>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keepLines/>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keepLines/>
        <w:widowControl w:val="0"/>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pPr>
        <w:keepLines/>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七</w:t>
      </w:r>
      <w:r>
        <w:rPr>
          <w:rFonts w:hint="eastAsia" w:ascii="仿宋" w:hAnsi="仿宋" w:eastAsia="仿宋" w:cs="宋体"/>
          <w:color w:val="auto"/>
          <w:sz w:val="28"/>
          <w:szCs w:val="28"/>
          <w:highlight w:val="none"/>
        </w:rPr>
        <w:t>：</w:t>
      </w:r>
    </w:p>
    <w:p>
      <w:pPr>
        <w:keepLines/>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rPr>
        <w:t>项目负责人相关经验及业绩</w:t>
      </w:r>
    </w:p>
    <w:p>
      <w:pPr>
        <w:keepLines/>
        <w:adjustRightInd w:val="0"/>
        <w:snapToGrid w:val="0"/>
        <w:spacing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5"/>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186"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pPr>
              <w:keepLines/>
              <w:spacing w:line="460" w:lineRule="exact"/>
              <w:jc w:val="left"/>
              <w:rPr>
                <w:rFonts w:ascii="宋体" w:hAnsi="宋体" w:eastAsia="宋体" w:cs="宋体"/>
                <w:color w:val="auto"/>
                <w:szCs w:val="21"/>
                <w:highlight w:val="none"/>
              </w:rPr>
            </w:pPr>
          </w:p>
        </w:tc>
        <w:tc>
          <w:tcPr>
            <w:tcW w:w="927"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pPr>
              <w:keepLines/>
              <w:spacing w:line="460" w:lineRule="exact"/>
              <w:jc w:val="left"/>
              <w:rPr>
                <w:rFonts w:ascii="宋体" w:hAnsi="宋体" w:eastAsia="宋体" w:cs="宋体"/>
                <w:color w:val="auto"/>
                <w:szCs w:val="21"/>
                <w:highlight w:val="none"/>
              </w:rPr>
            </w:pPr>
          </w:p>
        </w:tc>
        <w:tc>
          <w:tcPr>
            <w:tcW w:w="2130" w:type="dxa"/>
            <w:gridSpan w:val="3"/>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pPr>
              <w:keepLines/>
              <w:spacing w:line="460" w:lineRule="exact"/>
              <w:jc w:val="left"/>
              <w:rPr>
                <w:rFonts w:ascii="宋体" w:hAnsi="宋体" w:eastAsia="宋体" w:cs="宋体"/>
                <w:color w:val="auto"/>
                <w:szCs w:val="21"/>
                <w:highlight w:val="none"/>
              </w:rPr>
            </w:pPr>
          </w:p>
        </w:tc>
        <w:tc>
          <w:tcPr>
            <w:tcW w:w="927"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pPr>
              <w:keepLines/>
              <w:spacing w:line="460" w:lineRule="exact"/>
              <w:jc w:val="left"/>
              <w:rPr>
                <w:rFonts w:ascii="宋体" w:hAnsi="宋体" w:eastAsia="宋体" w:cs="宋体"/>
                <w:color w:val="auto"/>
                <w:szCs w:val="21"/>
                <w:highlight w:val="none"/>
              </w:rPr>
            </w:pPr>
          </w:p>
        </w:tc>
        <w:tc>
          <w:tcPr>
            <w:tcW w:w="2130" w:type="dxa"/>
            <w:gridSpan w:val="3"/>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拟在本合同任职</w:t>
            </w:r>
          </w:p>
        </w:tc>
        <w:tc>
          <w:tcPr>
            <w:tcW w:w="2135" w:type="dxa"/>
            <w:vAlign w:val="center"/>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pPr>
              <w:keepLines/>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keepLines/>
              <w:spacing w:line="460" w:lineRule="exact"/>
              <w:jc w:val="left"/>
              <w:rPr>
                <w:rFonts w:ascii="宋体" w:hAnsi="宋体" w:eastAsia="宋体" w:cs="宋体"/>
                <w:color w:val="auto"/>
                <w:szCs w:val="21"/>
                <w:highlight w:val="none"/>
              </w:rPr>
            </w:pPr>
          </w:p>
        </w:tc>
        <w:tc>
          <w:tcPr>
            <w:tcW w:w="3420" w:type="dxa"/>
            <w:gridSpan w:val="4"/>
          </w:tcPr>
          <w:p>
            <w:pPr>
              <w:keepLines/>
              <w:spacing w:line="460" w:lineRule="exact"/>
              <w:jc w:val="left"/>
              <w:rPr>
                <w:rFonts w:ascii="宋体" w:hAnsi="宋体" w:eastAsia="宋体" w:cs="宋体"/>
                <w:color w:val="auto"/>
                <w:szCs w:val="21"/>
                <w:highlight w:val="none"/>
              </w:rPr>
            </w:pPr>
          </w:p>
        </w:tc>
        <w:tc>
          <w:tcPr>
            <w:tcW w:w="1261" w:type="dxa"/>
          </w:tcPr>
          <w:p>
            <w:pPr>
              <w:keepLines/>
              <w:spacing w:line="460" w:lineRule="exact"/>
              <w:jc w:val="left"/>
              <w:rPr>
                <w:rFonts w:ascii="宋体" w:hAnsi="宋体" w:eastAsia="宋体" w:cs="宋体"/>
                <w:color w:val="auto"/>
                <w:szCs w:val="21"/>
                <w:highlight w:val="none"/>
              </w:rPr>
            </w:pPr>
          </w:p>
        </w:tc>
        <w:tc>
          <w:tcPr>
            <w:tcW w:w="2296" w:type="dxa"/>
            <w:gridSpan w:val="2"/>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keepLines/>
              <w:spacing w:line="460" w:lineRule="exact"/>
              <w:jc w:val="left"/>
              <w:rPr>
                <w:rFonts w:ascii="宋体" w:hAnsi="宋体" w:eastAsia="宋体" w:cs="宋体"/>
                <w:color w:val="auto"/>
                <w:szCs w:val="21"/>
                <w:highlight w:val="none"/>
              </w:rPr>
            </w:pPr>
          </w:p>
        </w:tc>
        <w:tc>
          <w:tcPr>
            <w:tcW w:w="3420" w:type="dxa"/>
            <w:gridSpan w:val="4"/>
          </w:tcPr>
          <w:p>
            <w:pPr>
              <w:keepLines/>
              <w:spacing w:line="460" w:lineRule="exact"/>
              <w:jc w:val="left"/>
              <w:rPr>
                <w:rFonts w:ascii="宋体" w:hAnsi="宋体" w:eastAsia="宋体" w:cs="宋体"/>
                <w:color w:val="auto"/>
                <w:szCs w:val="21"/>
                <w:highlight w:val="none"/>
              </w:rPr>
            </w:pPr>
          </w:p>
        </w:tc>
        <w:tc>
          <w:tcPr>
            <w:tcW w:w="1261" w:type="dxa"/>
          </w:tcPr>
          <w:p>
            <w:pPr>
              <w:keepLines/>
              <w:spacing w:line="460" w:lineRule="exact"/>
              <w:jc w:val="left"/>
              <w:rPr>
                <w:rFonts w:ascii="宋体" w:hAnsi="宋体" w:eastAsia="宋体" w:cs="宋体"/>
                <w:color w:val="auto"/>
                <w:szCs w:val="21"/>
                <w:highlight w:val="none"/>
              </w:rPr>
            </w:pPr>
          </w:p>
        </w:tc>
        <w:tc>
          <w:tcPr>
            <w:tcW w:w="2296" w:type="dxa"/>
            <w:gridSpan w:val="2"/>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pPr>
              <w:keepLines/>
              <w:spacing w:line="460" w:lineRule="exact"/>
              <w:jc w:val="left"/>
              <w:rPr>
                <w:rFonts w:ascii="宋体" w:hAnsi="宋体" w:eastAsia="宋体" w:cs="宋体"/>
                <w:color w:val="auto"/>
                <w:szCs w:val="21"/>
                <w:highlight w:val="none"/>
              </w:rPr>
            </w:pPr>
          </w:p>
        </w:tc>
        <w:tc>
          <w:tcPr>
            <w:tcW w:w="3420" w:type="dxa"/>
            <w:gridSpan w:val="4"/>
          </w:tcPr>
          <w:p>
            <w:pPr>
              <w:keepLines/>
              <w:spacing w:line="460" w:lineRule="exact"/>
              <w:jc w:val="left"/>
              <w:rPr>
                <w:rFonts w:ascii="宋体" w:hAnsi="宋体" w:eastAsia="宋体" w:cs="宋体"/>
                <w:color w:val="auto"/>
                <w:szCs w:val="21"/>
                <w:highlight w:val="none"/>
              </w:rPr>
            </w:pPr>
          </w:p>
        </w:tc>
        <w:tc>
          <w:tcPr>
            <w:tcW w:w="1261" w:type="dxa"/>
          </w:tcPr>
          <w:p>
            <w:pPr>
              <w:keepLines/>
              <w:spacing w:line="460" w:lineRule="exact"/>
              <w:jc w:val="left"/>
              <w:rPr>
                <w:rFonts w:ascii="宋体" w:hAnsi="宋体" w:eastAsia="宋体" w:cs="宋体"/>
                <w:color w:val="auto"/>
                <w:szCs w:val="21"/>
                <w:highlight w:val="none"/>
              </w:rPr>
            </w:pPr>
          </w:p>
        </w:tc>
        <w:tc>
          <w:tcPr>
            <w:tcW w:w="2296" w:type="dxa"/>
            <w:gridSpan w:val="2"/>
          </w:tcPr>
          <w:p>
            <w:pPr>
              <w:keepLines/>
              <w:spacing w:line="460" w:lineRule="exact"/>
              <w:jc w:val="left"/>
              <w:rPr>
                <w:rFonts w:ascii="宋体" w:hAnsi="宋体" w:eastAsia="宋体" w:cs="宋体"/>
                <w:color w:val="auto"/>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pPr>
              <w:keepLines/>
              <w:spacing w:line="460" w:lineRule="exact"/>
              <w:jc w:val="left"/>
              <w:rPr>
                <w:rFonts w:ascii="宋体" w:hAnsi="宋体" w:eastAsia="宋体" w:cs="宋体"/>
                <w:color w:val="auto"/>
                <w:szCs w:val="21"/>
                <w:highlight w:val="none"/>
              </w:rPr>
            </w:pPr>
          </w:p>
        </w:tc>
        <w:tc>
          <w:tcPr>
            <w:tcW w:w="3420" w:type="dxa"/>
            <w:gridSpan w:val="4"/>
            <w:vAlign w:val="center"/>
          </w:tcPr>
          <w:p>
            <w:pPr>
              <w:keepLines/>
              <w:spacing w:line="460" w:lineRule="exact"/>
              <w:jc w:val="left"/>
              <w:rPr>
                <w:rFonts w:ascii="宋体" w:hAnsi="宋体" w:eastAsia="宋体" w:cs="宋体"/>
                <w:color w:val="auto"/>
                <w:szCs w:val="21"/>
                <w:highlight w:val="none"/>
              </w:rPr>
            </w:pPr>
          </w:p>
        </w:tc>
        <w:tc>
          <w:tcPr>
            <w:tcW w:w="1261" w:type="dxa"/>
            <w:vAlign w:val="center"/>
          </w:tcPr>
          <w:p>
            <w:pPr>
              <w:keepLines/>
              <w:spacing w:line="460" w:lineRule="exact"/>
              <w:jc w:val="left"/>
              <w:rPr>
                <w:rFonts w:ascii="宋体" w:hAnsi="宋体" w:eastAsia="宋体" w:cs="宋体"/>
                <w:color w:val="auto"/>
                <w:szCs w:val="21"/>
                <w:highlight w:val="none"/>
              </w:rPr>
            </w:pPr>
          </w:p>
        </w:tc>
        <w:tc>
          <w:tcPr>
            <w:tcW w:w="2296" w:type="dxa"/>
            <w:gridSpan w:val="2"/>
            <w:vAlign w:val="center"/>
          </w:tcPr>
          <w:p>
            <w:pPr>
              <w:keepLines/>
              <w:spacing w:line="460" w:lineRule="exact"/>
              <w:jc w:val="left"/>
              <w:rPr>
                <w:rFonts w:ascii="宋体" w:hAnsi="宋体" w:eastAsia="宋体" w:cs="宋体"/>
                <w:color w:val="auto"/>
                <w:szCs w:val="21"/>
                <w:highlight w:val="none"/>
              </w:rPr>
            </w:pPr>
          </w:p>
        </w:tc>
      </w:tr>
    </w:tbl>
    <w:p>
      <w:pPr>
        <w:keepLines/>
        <w:rPr>
          <w:rFonts w:ascii="仿宋" w:hAnsi="仿宋" w:eastAsia="仿宋" w:cs="仿宋"/>
          <w:color w:val="auto"/>
          <w:szCs w:val="21"/>
          <w:highlight w:val="none"/>
        </w:rPr>
      </w:pPr>
    </w:p>
    <w:p>
      <w:pPr>
        <w:keepLines/>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pPr>
        <w:keepLines/>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2、项目负责人必须附执业证书及资格证书（项目负责人提供）、身份证、职称证书及业绩等证明材料（复印件，加盖单位公章）。</w:t>
      </w:r>
    </w:p>
    <w:p>
      <w:pPr>
        <w:keepLines/>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3、业绩证明资料须提供：合同；相关证明资料中必须能反映出评标所需指标、人员姓名和岗位等，否则相应子项不予计分。</w:t>
      </w:r>
    </w:p>
    <w:p>
      <w:pPr>
        <w:keepLines/>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pPr>
        <w:keepLines/>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pPr>
        <w:keepLines/>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授权代表（签名）：</w:t>
      </w:r>
      <w:r>
        <w:rPr>
          <w:rFonts w:hint="eastAsia" w:ascii="仿宋" w:hAnsi="仿宋" w:eastAsia="仿宋" w:cs="仿宋"/>
          <w:color w:val="auto"/>
          <w:sz w:val="24"/>
          <w:highlight w:val="none"/>
          <w:u w:val="single"/>
        </w:rPr>
        <w:t xml:space="preserve">       </w:t>
      </w:r>
    </w:p>
    <w:p>
      <w:pPr>
        <w:keepLines/>
        <w:adjustRightInd w:val="0"/>
        <w:snapToGrid w:val="0"/>
        <w:spacing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职    务：</w:t>
      </w:r>
      <w:r>
        <w:rPr>
          <w:rFonts w:hint="eastAsia" w:ascii="仿宋" w:hAnsi="仿宋" w:eastAsia="仿宋" w:cs="仿宋"/>
          <w:color w:val="auto"/>
          <w:sz w:val="24"/>
          <w:highlight w:val="none"/>
          <w:u w:val="single"/>
        </w:rPr>
        <w:t xml:space="preserve">       </w:t>
      </w:r>
    </w:p>
    <w:p>
      <w:pPr>
        <w:keepLines/>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pPr>
        <w:pStyle w:val="25"/>
        <w:keepLines/>
        <w:widowControl w:val="0"/>
        <w:ind w:firstLine="0" w:firstLineChars="0"/>
        <w:rPr>
          <w:color w:val="auto"/>
          <w:spacing w:val="18"/>
          <w:highlight w:val="none"/>
        </w:rPr>
      </w:pPr>
      <w:r>
        <w:rPr>
          <w:color w:val="auto"/>
          <w:spacing w:val="18"/>
          <w:highlight w:val="none"/>
        </w:rPr>
        <w:t xml:space="preserve"> </w:t>
      </w:r>
    </w:p>
    <w:p>
      <w:pPr>
        <w:keepLines/>
        <w:widowControl w:val="0"/>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keepLines/>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keepLines/>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NumType w:start="1"/>
          <w:cols w:space="425" w:num="1"/>
          <w:docGrid w:type="lines" w:linePitch="285" w:charSpace="0"/>
        </w:sectPr>
      </w:pPr>
    </w:p>
    <w:p>
      <w:pPr>
        <w:keepLines/>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w:t>
      </w:r>
      <w:r>
        <w:rPr>
          <w:rFonts w:hint="eastAsia" w:ascii="宋体" w:hAnsi="宋体" w:eastAsia="宋体" w:cs="黑体"/>
          <w:b/>
          <w:color w:val="auto"/>
          <w:spacing w:val="4"/>
          <w:kern w:val="0"/>
          <w:sz w:val="28"/>
          <w:szCs w:val="28"/>
          <w:highlight w:val="none"/>
          <w:lang w:eastAsia="zh-CN"/>
        </w:rPr>
        <w:t>八</w:t>
      </w:r>
      <w:r>
        <w:rPr>
          <w:rFonts w:hint="eastAsia" w:ascii="宋体" w:hAnsi="宋体" w:eastAsia="宋体" w:cs="黑体"/>
          <w:b/>
          <w:color w:val="auto"/>
          <w:spacing w:val="4"/>
          <w:kern w:val="0"/>
          <w:sz w:val="28"/>
          <w:szCs w:val="28"/>
          <w:highlight w:val="none"/>
        </w:rPr>
        <w:t>：</w:t>
      </w:r>
    </w:p>
    <w:p>
      <w:pPr>
        <w:keepLines/>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en-US" w:eastAsia="zh-CN"/>
        </w:rPr>
        <w:t>投标</w:t>
      </w:r>
      <w:r>
        <w:rPr>
          <w:rFonts w:hint="eastAsia" w:ascii="黑体" w:hAnsi="黑体" w:eastAsia="黑体" w:cs="黑体"/>
          <w:b/>
          <w:bCs/>
          <w:color w:val="auto"/>
          <w:sz w:val="32"/>
          <w:szCs w:val="32"/>
          <w:highlight w:val="none"/>
          <w:lang w:val="zh-CN"/>
        </w:rPr>
        <w:t>报价表</w:t>
      </w:r>
    </w:p>
    <w:p>
      <w:pPr>
        <w:keepLines/>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5"/>
        <w:tblW w:w="94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11"/>
        <w:gridCol w:w="66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Align w:val="center"/>
          </w:tcPr>
          <w:p>
            <w:pPr>
              <w:keepLines/>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rPr>
              <w:t>项目</w:t>
            </w:r>
            <w:r>
              <w:rPr>
                <w:rFonts w:hint="eastAsia" w:ascii="宋体" w:hAnsi="宋体" w:cs="宋体"/>
                <w:bCs/>
                <w:color w:val="auto"/>
                <w:szCs w:val="21"/>
                <w:highlight w:val="none"/>
                <w:lang w:val="zh-CN"/>
              </w:rPr>
              <w:t>名称</w:t>
            </w:r>
          </w:p>
        </w:tc>
        <w:tc>
          <w:tcPr>
            <w:tcW w:w="6699" w:type="dxa"/>
            <w:vAlign w:val="center"/>
          </w:tcPr>
          <w:p>
            <w:pPr>
              <w:keepLines/>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eastAsia="zh-CN"/>
              </w:rPr>
              <w:t>新联检大楼消防设施及系统升级改造工程施工总承包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restart"/>
            <w:vAlign w:val="center"/>
          </w:tcPr>
          <w:p>
            <w:pPr>
              <w:keepLines/>
              <w:autoSpaceDE w:val="0"/>
              <w:autoSpaceDN w:val="0"/>
              <w:adjustRightInd w:val="0"/>
              <w:snapToGrid w:val="0"/>
              <w:spacing w:line="360" w:lineRule="auto"/>
              <w:jc w:val="center"/>
              <w:rPr>
                <w:rFonts w:hint="eastAsia" w:ascii="宋体" w:hAnsi="宋体" w:cs="宋体"/>
                <w:bCs/>
                <w:color w:val="auto"/>
                <w:szCs w:val="21"/>
                <w:highlight w:val="none"/>
                <w:lang w:val="zh-CN"/>
              </w:rPr>
            </w:pPr>
            <w:r>
              <w:rPr>
                <w:rFonts w:hint="eastAsia" w:ascii="宋体" w:hAnsi="宋体" w:cs="宋体"/>
                <w:bCs/>
                <w:color w:val="auto"/>
                <w:szCs w:val="21"/>
                <w:highlight w:val="none"/>
                <w:lang w:val="zh-CN"/>
              </w:rPr>
              <w:t>投标总报价</w:t>
            </w:r>
          </w:p>
          <w:p>
            <w:pPr>
              <w:keepLines/>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r>
              <w:rPr>
                <w:rFonts w:hint="eastAsia" w:ascii="宋体" w:hAnsi="宋体" w:cs="宋体" w:eastAsiaTheme="minorEastAsia"/>
                <w:bCs/>
                <w:color w:val="auto"/>
                <w:sz w:val="21"/>
                <w:szCs w:val="21"/>
                <w:highlight w:val="none"/>
                <w:u w:val="none"/>
                <w:lang w:val="zh-CN" w:eastAsia="zh-CN"/>
              </w:rPr>
              <w:t>（人民币）</w:t>
            </w:r>
          </w:p>
        </w:tc>
        <w:tc>
          <w:tcPr>
            <w:tcW w:w="6699" w:type="dxa"/>
            <w:vAlign w:val="center"/>
          </w:tcPr>
          <w:p>
            <w:pPr>
              <w:keepLines/>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小写：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pPr>
              <w:keepLines/>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keepLines/>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rPr>
              <w:t>大写：</w:t>
            </w:r>
            <w:r>
              <w:rPr>
                <w:rFonts w:hint="eastAsia" w:ascii="宋体" w:hAnsi="宋体" w:cs="宋体"/>
                <w:bCs/>
                <w:color w:val="auto"/>
                <w:szCs w:val="21"/>
                <w:highlight w:val="none"/>
                <w:lang w:val="en-US" w:eastAsia="zh-CN"/>
              </w:rPr>
              <w:t xml:space="preserve">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711" w:type="dxa"/>
            <w:vMerge w:val="continue"/>
            <w:vAlign w:val="center"/>
          </w:tcPr>
          <w:p>
            <w:pPr>
              <w:keepLines/>
              <w:autoSpaceDE w:val="0"/>
              <w:autoSpaceDN w:val="0"/>
              <w:adjustRightInd w:val="0"/>
              <w:snapToGrid w:val="0"/>
              <w:spacing w:line="360" w:lineRule="auto"/>
              <w:jc w:val="center"/>
              <w:rPr>
                <w:rFonts w:ascii="宋体" w:hAnsi="宋体" w:cs="宋体"/>
                <w:bCs/>
                <w:color w:val="auto"/>
                <w:szCs w:val="21"/>
                <w:highlight w:val="none"/>
                <w:lang w:val="zh-CN"/>
              </w:rPr>
            </w:pPr>
          </w:p>
        </w:tc>
        <w:tc>
          <w:tcPr>
            <w:tcW w:w="6699" w:type="dxa"/>
            <w:vAlign w:val="center"/>
          </w:tcPr>
          <w:p>
            <w:pPr>
              <w:keepLines/>
              <w:autoSpaceDE w:val="0"/>
              <w:autoSpaceDN w:val="0"/>
              <w:adjustRightInd w:val="0"/>
              <w:snapToGrid w:val="0"/>
              <w:spacing w:line="360" w:lineRule="auto"/>
              <w:jc w:val="left"/>
              <w:rPr>
                <w:rFonts w:hint="default"/>
                <w:color w:val="auto"/>
                <w:highlight w:val="none"/>
                <w:lang w:val="en-US" w:eastAsia="zh-CN"/>
              </w:rPr>
            </w:pPr>
            <w:r>
              <w:rPr>
                <w:rFonts w:hint="eastAsia"/>
                <w:color w:val="auto"/>
                <w:highlight w:val="none"/>
                <w:lang w:eastAsia="zh-CN"/>
              </w:rPr>
              <w:t>下浮率：</w:t>
            </w:r>
            <w:r>
              <w:rPr>
                <w:rFonts w:hint="eastAsia"/>
                <w:color w:val="auto"/>
                <w:highlight w:val="none"/>
                <w:lang w:val="en-US"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2711" w:type="dxa"/>
            <w:vMerge w:val="continue"/>
            <w:vAlign w:val="center"/>
          </w:tcPr>
          <w:p>
            <w:pPr>
              <w:keepLines/>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p>
        </w:tc>
        <w:tc>
          <w:tcPr>
            <w:tcW w:w="6699" w:type="dxa"/>
            <w:vAlign w:val="center"/>
          </w:tcPr>
          <w:p>
            <w:pPr>
              <w:keepLines/>
              <w:autoSpaceDE w:val="0"/>
              <w:autoSpaceDN w:val="0"/>
              <w:adjustRightInd w:val="0"/>
              <w:snapToGrid w:val="0"/>
              <w:spacing w:line="360" w:lineRule="auto"/>
              <w:jc w:val="left"/>
              <w:rPr>
                <w:rFonts w:hint="default" w:ascii="宋体" w:hAnsi="宋体" w:eastAsia="宋体" w:cs="宋体"/>
                <w:bCs/>
                <w:color w:val="auto"/>
                <w:szCs w:val="21"/>
                <w:highlight w:val="none"/>
                <w:lang w:val="en-US" w:eastAsia="zh-CN"/>
              </w:rPr>
            </w:pPr>
            <w:r>
              <w:rPr>
                <w:rFonts w:hint="eastAsia" w:ascii="宋体" w:hAnsi="宋体" w:cs="宋体"/>
                <w:bCs/>
                <w:color w:val="auto"/>
                <w:szCs w:val="21"/>
                <w:highlight w:val="none"/>
                <w:lang w:val="en-US" w:eastAsia="zh-CN"/>
              </w:rPr>
              <w:t>其中：</w:t>
            </w:r>
            <w:r>
              <w:rPr>
                <w:rFonts w:hint="eastAsia" w:ascii="宋体" w:hAnsi="宋体" w:cs="宋体"/>
                <w:bCs/>
                <w:color w:val="auto"/>
                <w:sz w:val="21"/>
                <w:szCs w:val="21"/>
                <w:highlight w:val="none"/>
                <w:u w:val="none"/>
                <w:lang w:val="en-US" w:eastAsia="zh-CN"/>
              </w:rPr>
              <w:t>绿色施工安全防护措施费</w:t>
            </w:r>
            <w:r>
              <w:rPr>
                <w:rFonts w:hint="eastAsia" w:ascii="宋体" w:hAnsi="宋体" w:cs="宋体" w:eastAsiaTheme="minorEastAsia"/>
                <w:bCs/>
                <w:color w:val="auto"/>
                <w:sz w:val="21"/>
                <w:szCs w:val="21"/>
                <w:highlight w:val="none"/>
                <w:u w:val="none"/>
                <w:lang w:val="en-US" w:eastAsia="zh-CN"/>
              </w:rPr>
              <w:t>为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2" w:hRule="atLeast"/>
          <w:jc w:val="center"/>
        </w:trPr>
        <w:tc>
          <w:tcPr>
            <w:tcW w:w="2711" w:type="dxa"/>
            <w:vMerge w:val="continue"/>
            <w:vAlign w:val="center"/>
          </w:tcPr>
          <w:p>
            <w:pPr>
              <w:keepLines/>
              <w:autoSpaceDE w:val="0"/>
              <w:autoSpaceDN w:val="0"/>
              <w:adjustRightInd w:val="0"/>
              <w:snapToGrid w:val="0"/>
              <w:spacing w:line="360" w:lineRule="auto"/>
              <w:jc w:val="center"/>
              <w:rPr>
                <w:rFonts w:hint="default" w:ascii="宋体" w:hAnsi="宋体" w:cs="宋体" w:eastAsiaTheme="minorEastAsia"/>
                <w:bCs/>
                <w:color w:val="auto"/>
                <w:szCs w:val="21"/>
                <w:highlight w:val="none"/>
                <w:lang w:val="en-US" w:eastAsia="zh-CN"/>
              </w:rPr>
            </w:pPr>
          </w:p>
        </w:tc>
        <w:tc>
          <w:tcPr>
            <w:tcW w:w="6699" w:type="dxa"/>
            <w:vAlign w:val="center"/>
          </w:tcPr>
          <w:p>
            <w:pPr>
              <w:keepLines/>
              <w:autoSpaceDE w:val="0"/>
              <w:autoSpaceDN w:val="0"/>
              <w:adjustRightInd w:val="0"/>
              <w:snapToGrid w:val="0"/>
              <w:spacing w:line="360" w:lineRule="auto"/>
              <w:jc w:val="left"/>
              <w:rPr>
                <w:rFonts w:hint="default" w:ascii="宋体" w:hAnsi="宋体" w:cs="宋体"/>
                <w:bCs/>
                <w:color w:val="auto"/>
                <w:szCs w:val="21"/>
                <w:highlight w:val="none"/>
                <w:lang w:val="en-US" w:eastAsia="zh-CN"/>
              </w:rPr>
            </w:pPr>
            <w:r>
              <w:rPr>
                <w:rFonts w:hint="eastAsia" w:ascii="宋体" w:hAnsi="宋体" w:cs="宋体"/>
                <w:bCs/>
                <w:color w:val="auto"/>
                <w:szCs w:val="21"/>
                <w:highlight w:val="none"/>
                <w:lang w:val="en-US" w:eastAsia="zh-CN"/>
              </w:rPr>
              <w:t>其中：暂列金为    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5" w:hRule="atLeast"/>
          <w:jc w:val="center"/>
        </w:trPr>
        <w:tc>
          <w:tcPr>
            <w:tcW w:w="2711" w:type="dxa"/>
            <w:vAlign w:val="center"/>
          </w:tcPr>
          <w:p>
            <w:pPr>
              <w:keepLines/>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法定代表人</w:t>
            </w:r>
          </w:p>
          <w:p>
            <w:pPr>
              <w:keepLines/>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keepLines/>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9" w:hRule="atLeast"/>
          <w:jc w:val="center"/>
        </w:trPr>
        <w:tc>
          <w:tcPr>
            <w:tcW w:w="2711" w:type="dxa"/>
            <w:vAlign w:val="center"/>
          </w:tcPr>
          <w:p>
            <w:pPr>
              <w:keepLines/>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授权委托人</w:t>
            </w:r>
          </w:p>
          <w:p>
            <w:pPr>
              <w:keepLines/>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（签名或盖章）</w:t>
            </w:r>
          </w:p>
        </w:tc>
        <w:tc>
          <w:tcPr>
            <w:tcW w:w="6699" w:type="dxa"/>
            <w:vAlign w:val="center"/>
          </w:tcPr>
          <w:p>
            <w:pPr>
              <w:keepLines/>
              <w:autoSpaceDE w:val="0"/>
              <w:autoSpaceDN w:val="0"/>
              <w:adjustRightInd w:val="0"/>
              <w:snapToGrid w:val="0"/>
              <w:spacing w:line="360" w:lineRule="auto"/>
              <w:jc w:val="center"/>
              <w:rPr>
                <w:rFonts w:ascii="宋体" w:hAnsi="宋体" w:cs="宋体"/>
                <w:bCs/>
                <w:color w:val="auto"/>
                <w:szCs w:val="21"/>
                <w:highlight w:val="none"/>
                <w:lang w:val="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711" w:type="dxa"/>
            <w:vAlign w:val="center"/>
          </w:tcPr>
          <w:p>
            <w:pPr>
              <w:keepLines/>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投标单位</w:t>
            </w:r>
          </w:p>
          <w:p>
            <w:pPr>
              <w:keepLines/>
              <w:autoSpaceDE w:val="0"/>
              <w:autoSpaceDN w:val="0"/>
              <w:adjustRightInd w:val="0"/>
              <w:snapToGrid w:val="0"/>
              <w:spacing w:line="360" w:lineRule="auto"/>
              <w:jc w:val="center"/>
              <w:rPr>
                <w:rFonts w:ascii="宋体" w:hAnsi="宋体" w:cs="宋体"/>
                <w:bCs/>
                <w:color w:val="auto"/>
                <w:szCs w:val="21"/>
                <w:highlight w:val="none"/>
                <w:lang w:val="zh-CN"/>
              </w:rPr>
            </w:pPr>
            <w:r>
              <w:rPr>
                <w:rFonts w:hint="eastAsia" w:ascii="宋体" w:hAnsi="宋体" w:cs="宋体"/>
                <w:bCs/>
                <w:color w:val="auto"/>
                <w:szCs w:val="21"/>
                <w:highlight w:val="none"/>
                <w:lang w:val="zh-CN"/>
              </w:rPr>
              <w:t>（企业公章）</w:t>
            </w:r>
          </w:p>
        </w:tc>
        <w:tc>
          <w:tcPr>
            <w:tcW w:w="6699" w:type="dxa"/>
            <w:vAlign w:val="center"/>
          </w:tcPr>
          <w:p>
            <w:pPr>
              <w:keepLines/>
              <w:autoSpaceDE w:val="0"/>
              <w:autoSpaceDN w:val="0"/>
              <w:adjustRightInd w:val="0"/>
              <w:snapToGrid w:val="0"/>
              <w:spacing w:line="360" w:lineRule="auto"/>
              <w:jc w:val="center"/>
              <w:rPr>
                <w:rFonts w:ascii="宋体" w:hAnsi="宋体" w:cs="宋体"/>
                <w:bCs/>
                <w:color w:val="auto"/>
                <w:szCs w:val="21"/>
                <w:highlight w:val="none"/>
                <w:lang w:val="zh-CN"/>
              </w:rPr>
            </w:pPr>
          </w:p>
        </w:tc>
      </w:tr>
    </w:tbl>
    <w:p>
      <w:pPr>
        <w:pStyle w:val="9"/>
        <w:keepLines/>
        <w:spacing w:line="360" w:lineRule="auto"/>
        <w:ind w:firstLine="210" w:firstLineChars="100"/>
        <w:rPr>
          <w:rFonts w:hAnsi="宋体" w:cs="宋体"/>
          <w:bCs/>
          <w:color w:val="auto"/>
          <w:highlight w:val="none"/>
        </w:rPr>
      </w:pPr>
      <w:r>
        <w:rPr>
          <w:rFonts w:hAnsi="宋体" w:cs="宋体"/>
          <w:bCs/>
          <w:color w:val="auto"/>
          <w:highlight w:val="none"/>
        </w:rPr>
        <w:t>注：（1）投标总报价的大写金额和小写金额不一致的，以大写金额为准，投标报价精确到小数点后两位。</w:t>
      </w:r>
    </w:p>
    <w:p>
      <w:pPr>
        <w:pStyle w:val="9"/>
        <w:widowControl/>
        <w:spacing w:line="360" w:lineRule="auto"/>
        <w:ind w:firstLine="420" w:firstLineChars="200"/>
        <w:rPr>
          <w:rFonts w:hint="eastAsia" w:ascii="宋体" w:hAnsi="宋体" w:eastAsia="宋体" w:cs="宋体"/>
          <w:bCs/>
          <w:color w:val="auto"/>
          <w:kern w:val="2"/>
          <w:sz w:val="21"/>
          <w:szCs w:val="21"/>
          <w:highlight w:val="none"/>
          <w:lang w:val="en-US" w:eastAsia="zh-CN" w:bidi="ar-SA"/>
        </w:rPr>
      </w:pPr>
      <w:r>
        <w:rPr>
          <w:rFonts w:hint="eastAsia" w:hAnsi="宋体" w:cs="宋体"/>
          <w:bCs/>
          <w:color w:val="auto"/>
          <w:highlight w:val="none"/>
          <w:lang w:eastAsia="zh-CN"/>
        </w:rPr>
        <w:t>（</w:t>
      </w:r>
      <w:r>
        <w:rPr>
          <w:rFonts w:hint="eastAsia" w:hAnsi="宋体" w:cs="宋体"/>
          <w:bCs/>
          <w:color w:val="auto"/>
          <w:highlight w:val="none"/>
          <w:lang w:val="en-US" w:eastAsia="zh-CN"/>
        </w:rPr>
        <w:t>2</w:t>
      </w:r>
      <w:r>
        <w:rPr>
          <w:rFonts w:hint="eastAsia" w:hAnsi="宋体" w:cs="宋体"/>
          <w:bCs/>
          <w:color w:val="auto"/>
          <w:highlight w:val="none"/>
          <w:lang w:eastAsia="zh-CN"/>
        </w:rPr>
        <w:t>）</w:t>
      </w:r>
      <w:r>
        <w:rPr>
          <w:rFonts w:hint="eastAsia" w:hAnsi="宋体" w:cs="宋体"/>
          <w:bCs/>
          <w:color w:val="auto"/>
          <w:sz w:val="21"/>
          <w:szCs w:val="21"/>
          <w:highlight w:val="none"/>
          <w:lang w:eastAsia="zh-CN"/>
        </w:rPr>
        <w:t>招标控制价为¥1527594.21元（大写：人民币壹佰伍拾贰万柒仟伍佰玖拾肆元贰角壹分），其中，绿色施工安全防护措施费为¥179,152.99元（固定值），暂列金为¥ 103,288.08 元。</w:t>
      </w:r>
      <w:r>
        <w:rPr>
          <w:rFonts w:hint="eastAsia" w:ascii="宋体" w:hAnsi="宋体" w:eastAsia="宋体" w:cs="宋体"/>
          <w:bCs/>
          <w:color w:val="auto"/>
          <w:kern w:val="2"/>
          <w:sz w:val="21"/>
          <w:szCs w:val="21"/>
          <w:highlight w:val="none"/>
          <w:lang w:val="en-US" w:eastAsia="zh-CN" w:bidi="ar-SA"/>
        </w:rPr>
        <w:t>投标单位自行报价，投标总报价不能超过招标控制价，否则按废标处理。</w:t>
      </w:r>
    </w:p>
    <w:p>
      <w:pPr>
        <w:pStyle w:val="9"/>
        <w:keepLines/>
        <w:spacing w:line="360" w:lineRule="auto"/>
        <w:ind w:firstLine="210" w:firstLineChars="100"/>
        <w:rPr>
          <w:rFonts w:hint="eastAsia" w:ascii="宋体" w:hAnsi="宋体" w:eastAsia="宋体" w:cs="宋体"/>
          <w:color w:val="auto"/>
          <w:sz w:val="21"/>
          <w:szCs w:val="21"/>
          <w:highlight w:val="none"/>
        </w:rPr>
      </w:pPr>
      <w:r>
        <w:rPr>
          <w:rFonts w:hint="eastAsia" w:hAnsi="宋体" w:cs="宋体"/>
          <w:color w:val="auto"/>
          <w:sz w:val="21"/>
          <w:szCs w:val="21"/>
          <w:highlight w:val="none"/>
          <w:lang w:eastAsia="zh-CN"/>
        </w:rPr>
        <w:t>。</w:t>
      </w:r>
    </w:p>
    <w:p>
      <w:pPr>
        <w:keepLines/>
        <w:spacing w:line="360" w:lineRule="auto"/>
        <w:rPr>
          <w:rFonts w:hAnsi="宋体"/>
          <w:b/>
          <w:color w:val="auto"/>
          <w:highlight w:val="none"/>
        </w:rPr>
      </w:pPr>
      <w:r>
        <w:rPr>
          <w:rFonts w:hAnsi="宋体"/>
          <w:b/>
          <w:color w:val="auto"/>
          <w:highlight w:val="none"/>
        </w:rPr>
        <w:br w:type="page"/>
      </w:r>
    </w:p>
    <w:p>
      <w:pPr>
        <w:keepLines/>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pPr>
        <w:keepLines/>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keepLines/>
        <w:jc w:val="center"/>
        <w:rPr>
          <w:rFonts w:ascii="宋体"/>
          <w:b/>
          <w:color w:val="auto"/>
          <w:sz w:val="32"/>
          <w:szCs w:val="32"/>
          <w:highlight w:val="none"/>
        </w:rPr>
      </w:pPr>
    </w:p>
    <w:p>
      <w:pPr>
        <w:keepLines/>
        <w:jc w:val="center"/>
        <w:rPr>
          <w:rFonts w:ascii="宋体"/>
          <w:b/>
          <w:color w:val="auto"/>
          <w:sz w:val="32"/>
          <w:szCs w:val="32"/>
          <w:highlight w:val="none"/>
        </w:rPr>
      </w:pPr>
    </w:p>
    <w:p>
      <w:pPr>
        <w:keepLines/>
        <w:jc w:val="center"/>
        <w:rPr>
          <w:rFonts w:ascii="宋体"/>
          <w:b/>
          <w:color w:val="auto"/>
          <w:sz w:val="32"/>
          <w:szCs w:val="32"/>
          <w:highlight w:val="none"/>
        </w:rPr>
      </w:pPr>
    </w:p>
    <w:p>
      <w:pPr>
        <w:keepLines/>
        <w:jc w:val="center"/>
        <w:rPr>
          <w:rFonts w:ascii="宋体"/>
          <w:b/>
          <w:color w:val="auto"/>
          <w:sz w:val="32"/>
          <w:szCs w:val="32"/>
          <w:highlight w:val="none"/>
        </w:rPr>
      </w:pPr>
    </w:p>
    <w:p>
      <w:pPr>
        <w:keepLines/>
        <w:jc w:val="center"/>
        <w:rPr>
          <w:b/>
          <w:color w:val="auto"/>
          <w:sz w:val="44"/>
          <w:szCs w:val="44"/>
          <w:highlight w:val="none"/>
        </w:rPr>
      </w:pPr>
      <w:r>
        <w:rPr>
          <w:rFonts w:hint="eastAsia" w:ascii="宋体" w:hAnsi="宋体"/>
          <w:b/>
          <w:color w:val="auto"/>
          <w:sz w:val="44"/>
          <w:szCs w:val="44"/>
          <w:highlight w:val="none"/>
        </w:rPr>
        <w:t>项目名称</w:t>
      </w:r>
    </w:p>
    <w:p>
      <w:pPr>
        <w:keepLines/>
        <w:jc w:val="center"/>
        <w:rPr>
          <w:b/>
          <w:color w:val="auto"/>
          <w:sz w:val="48"/>
          <w:szCs w:val="48"/>
          <w:highlight w:val="none"/>
        </w:rPr>
      </w:pPr>
    </w:p>
    <w:p>
      <w:pPr>
        <w:keepLines/>
        <w:rPr>
          <w:rFonts w:eastAsia="黑体"/>
          <w:color w:val="auto"/>
          <w:sz w:val="20"/>
          <w:szCs w:val="20"/>
          <w:highlight w:val="none"/>
        </w:rPr>
      </w:pPr>
    </w:p>
    <w:p>
      <w:pPr>
        <w:keepLines/>
        <w:rPr>
          <w:rFonts w:eastAsia="黑体"/>
          <w:color w:val="auto"/>
          <w:sz w:val="20"/>
          <w:szCs w:val="20"/>
          <w:highlight w:val="none"/>
        </w:rPr>
      </w:pPr>
    </w:p>
    <w:p>
      <w:pPr>
        <w:keepLines/>
        <w:rPr>
          <w:rFonts w:eastAsia="黑体"/>
          <w:color w:val="auto"/>
          <w:sz w:val="20"/>
          <w:szCs w:val="20"/>
          <w:highlight w:val="none"/>
        </w:rPr>
      </w:pPr>
    </w:p>
    <w:p>
      <w:pPr>
        <w:keepLines/>
        <w:rPr>
          <w:rFonts w:eastAsia="黑体"/>
          <w:color w:val="auto"/>
          <w:sz w:val="20"/>
          <w:szCs w:val="20"/>
          <w:highlight w:val="none"/>
        </w:rPr>
      </w:pPr>
    </w:p>
    <w:p>
      <w:pPr>
        <w:keepLines/>
        <w:jc w:val="center"/>
        <w:rPr>
          <w:rFonts w:eastAsia="黑体"/>
          <w:color w:val="auto"/>
          <w:sz w:val="28"/>
          <w:szCs w:val="28"/>
          <w:highlight w:val="none"/>
        </w:rPr>
      </w:pPr>
      <w:r>
        <w:rPr>
          <w:rFonts w:hint="eastAsia" w:eastAsia="黑体"/>
          <w:color w:val="auto"/>
          <w:sz w:val="52"/>
          <w:szCs w:val="52"/>
          <w:highlight w:val="none"/>
        </w:rPr>
        <w:t>商务文件</w:t>
      </w:r>
    </w:p>
    <w:p>
      <w:pPr>
        <w:keepLines/>
        <w:rPr>
          <w:rFonts w:eastAsia="黑体"/>
          <w:color w:val="auto"/>
          <w:sz w:val="28"/>
          <w:szCs w:val="28"/>
          <w:highlight w:val="none"/>
        </w:rPr>
      </w:pPr>
    </w:p>
    <w:p>
      <w:pPr>
        <w:keepLines/>
        <w:rPr>
          <w:rFonts w:eastAsia="黑体"/>
          <w:color w:val="auto"/>
          <w:sz w:val="28"/>
          <w:szCs w:val="28"/>
          <w:highlight w:val="none"/>
        </w:rPr>
      </w:pPr>
    </w:p>
    <w:p>
      <w:pPr>
        <w:keepLines/>
        <w:rPr>
          <w:rFonts w:eastAsia="黑体"/>
          <w:color w:val="auto"/>
          <w:sz w:val="28"/>
          <w:szCs w:val="28"/>
          <w:highlight w:val="none"/>
        </w:rPr>
      </w:pPr>
    </w:p>
    <w:p>
      <w:pPr>
        <w:keepLines/>
        <w:rPr>
          <w:rFonts w:eastAsia="黑体"/>
          <w:color w:val="auto"/>
          <w:sz w:val="28"/>
          <w:szCs w:val="28"/>
          <w:highlight w:val="none"/>
        </w:rPr>
      </w:pPr>
    </w:p>
    <w:p>
      <w:pPr>
        <w:keepLines/>
        <w:spacing w:line="720" w:lineRule="auto"/>
        <w:rPr>
          <w:rFonts w:eastAsia="黑体"/>
          <w:color w:val="auto"/>
          <w:sz w:val="28"/>
          <w:szCs w:val="28"/>
          <w:highlight w:val="none"/>
        </w:rPr>
      </w:pPr>
    </w:p>
    <w:p>
      <w:pPr>
        <w:keepLines/>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keepLines/>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keepLines/>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keepLines/>
        <w:widowControl w:val="0"/>
        <w:jc w:val="left"/>
        <w:rPr>
          <w:b/>
          <w:color w:val="auto"/>
          <w:sz w:val="24"/>
          <w:highlight w:val="none"/>
        </w:rPr>
      </w:pPr>
      <w:r>
        <w:rPr>
          <w:b/>
          <w:color w:val="auto"/>
          <w:sz w:val="24"/>
          <w:highlight w:val="none"/>
        </w:rPr>
        <w:br w:type="page"/>
      </w:r>
    </w:p>
    <w:p>
      <w:pPr>
        <w:keepLines/>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pPr>
        <w:keepLines/>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pPr>
        <w:keepLines/>
        <w:jc w:val="center"/>
        <w:rPr>
          <w:rFonts w:ascii="宋体"/>
          <w:b/>
          <w:color w:val="auto"/>
          <w:sz w:val="32"/>
          <w:szCs w:val="32"/>
          <w:highlight w:val="none"/>
        </w:rPr>
      </w:pPr>
    </w:p>
    <w:p>
      <w:pPr>
        <w:keepLines/>
        <w:jc w:val="center"/>
        <w:rPr>
          <w:rFonts w:ascii="宋体"/>
          <w:b/>
          <w:color w:val="auto"/>
          <w:sz w:val="32"/>
          <w:szCs w:val="32"/>
          <w:highlight w:val="none"/>
        </w:rPr>
      </w:pPr>
    </w:p>
    <w:p>
      <w:pPr>
        <w:keepLines/>
        <w:jc w:val="center"/>
        <w:rPr>
          <w:rFonts w:ascii="宋体"/>
          <w:b/>
          <w:color w:val="auto"/>
          <w:sz w:val="32"/>
          <w:szCs w:val="32"/>
          <w:highlight w:val="none"/>
        </w:rPr>
      </w:pPr>
    </w:p>
    <w:p>
      <w:pPr>
        <w:keepLines/>
        <w:jc w:val="center"/>
        <w:rPr>
          <w:rFonts w:ascii="宋体"/>
          <w:b/>
          <w:color w:val="auto"/>
          <w:sz w:val="32"/>
          <w:szCs w:val="32"/>
          <w:highlight w:val="none"/>
        </w:rPr>
      </w:pPr>
    </w:p>
    <w:p>
      <w:pPr>
        <w:keepLines/>
        <w:jc w:val="center"/>
        <w:rPr>
          <w:b/>
          <w:color w:val="auto"/>
          <w:sz w:val="44"/>
          <w:szCs w:val="44"/>
          <w:highlight w:val="none"/>
        </w:rPr>
      </w:pPr>
      <w:r>
        <w:rPr>
          <w:rFonts w:hint="eastAsia" w:ascii="宋体" w:hAnsi="宋体"/>
          <w:b/>
          <w:color w:val="auto"/>
          <w:sz w:val="44"/>
          <w:szCs w:val="44"/>
          <w:highlight w:val="none"/>
        </w:rPr>
        <w:t>项目名称</w:t>
      </w:r>
    </w:p>
    <w:p>
      <w:pPr>
        <w:keepLines/>
        <w:jc w:val="center"/>
        <w:rPr>
          <w:b/>
          <w:color w:val="auto"/>
          <w:sz w:val="48"/>
          <w:szCs w:val="48"/>
          <w:highlight w:val="none"/>
        </w:rPr>
      </w:pPr>
    </w:p>
    <w:p>
      <w:pPr>
        <w:keepLines/>
        <w:rPr>
          <w:rFonts w:eastAsia="黑体"/>
          <w:color w:val="auto"/>
          <w:sz w:val="20"/>
          <w:szCs w:val="20"/>
          <w:highlight w:val="none"/>
        </w:rPr>
      </w:pPr>
    </w:p>
    <w:p>
      <w:pPr>
        <w:keepLines/>
        <w:rPr>
          <w:rFonts w:eastAsia="黑体"/>
          <w:color w:val="auto"/>
          <w:sz w:val="20"/>
          <w:szCs w:val="20"/>
          <w:highlight w:val="none"/>
        </w:rPr>
      </w:pPr>
    </w:p>
    <w:p>
      <w:pPr>
        <w:keepLines/>
        <w:rPr>
          <w:rFonts w:eastAsia="黑体"/>
          <w:color w:val="auto"/>
          <w:sz w:val="20"/>
          <w:szCs w:val="20"/>
          <w:highlight w:val="none"/>
        </w:rPr>
      </w:pPr>
    </w:p>
    <w:p>
      <w:pPr>
        <w:keepLines/>
        <w:rPr>
          <w:rFonts w:eastAsia="黑体"/>
          <w:color w:val="auto"/>
          <w:sz w:val="20"/>
          <w:szCs w:val="20"/>
          <w:highlight w:val="none"/>
        </w:rPr>
      </w:pPr>
    </w:p>
    <w:p>
      <w:pPr>
        <w:keepLines/>
        <w:jc w:val="center"/>
        <w:rPr>
          <w:rFonts w:eastAsia="黑体"/>
          <w:color w:val="auto"/>
          <w:sz w:val="52"/>
          <w:szCs w:val="52"/>
          <w:highlight w:val="none"/>
        </w:rPr>
      </w:pPr>
      <w:r>
        <w:rPr>
          <w:rFonts w:hint="eastAsia" w:eastAsia="黑体"/>
          <w:color w:val="auto"/>
          <w:sz w:val="52"/>
          <w:szCs w:val="52"/>
          <w:highlight w:val="none"/>
        </w:rPr>
        <w:t>技术文件</w:t>
      </w:r>
    </w:p>
    <w:p>
      <w:pPr>
        <w:keepLines/>
        <w:autoSpaceDE w:val="0"/>
        <w:autoSpaceDN w:val="0"/>
        <w:adjustRightInd w:val="0"/>
        <w:spacing w:line="480" w:lineRule="auto"/>
        <w:rPr>
          <w:rFonts w:eastAsia="黑体"/>
          <w:color w:val="auto"/>
          <w:sz w:val="28"/>
          <w:szCs w:val="28"/>
          <w:highlight w:val="none"/>
        </w:rPr>
      </w:pPr>
    </w:p>
    <w:p>
      <w:pPr>
        <w:keepLines/>
        <w:spacing w:line="480" w:lineRule="auto"/>
        <w:rPr>
          <w:color w:val="auto"/>
          <w:highlight w:val="none"/>
        </w:rPr>
      </w:pPr>
    </w:p>
    <w:p>
      <w:pPr>
        <w:keepLines/>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pPr>
        <w:keepLines/>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pPr>
        <w:keepLines/>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pPr>
        <w:pStyle w:val="9"/>
        <w:keepLines/>
        <w:rPr>
          <w:rFonts w:hint="default"/>
          <w:color w:val="auto"/>
          <w:highlight w:val="none"/>
        </w:rPr>
      </w:pPr>
    </w:p>
    <w:p>
      <w:pPr>
        <w:keepLines/>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keepLines/>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pPr>
        <w:pStyle w:val="3"/>
        <w:widowControl w:val="0"/>
        <w:spacing w:before="0" w:after="0" w:line="360" w:lineRule="auto"/>
        <w:jc w:val="center"/>
        <w:rPr>
          <w:rFonts w:ascii="黑体" w:hAnsi="宋体" w:cs="黑体"/>
          <w:b/>
          <w:color w:val="auto"/>
          <w:kern w:val="44"/>
          <w:sz w:val="44"/>
          <w:szCs w:val="44"/>
          <w:highlight w:val="none"/>
        </w:rPr>
      </w:pPr>
      <w:bookmarkStart w:id="35" w:name="_Toc374128477"/>
      <w:bookmarkEnd w:id="35"/>
      <w:bookmarkStart w:id="36" w:name="_Toc30913"/>
    </w:p>
    <w:p>
      <w:pPr>
        <w:pStyle w:val="3"/>
        <w:widowControl w:val="0"/>
        <w:spacing w:before="0" w:after="0" w:line="360" w:lineRule="auto"/>
        <w:jc w:val="center"/>
        <w:rPr>
          <w:rFonts w:ascii="黑体" w:hAnsi="宋体" w:cs="黑体"/>
          <w:b/>
          <w:color w:val="auto"/>
          <w:kern w:val="44"/>
          <w:sz w:val="44"/>
          <w:szCs w:val="44"/>
          <w:highlight w:val="none"/>
        </w:rPr>
      </w:pPr>
    </w:p>
    <w:p>
      <w:pPr>
        <w:pStyle w:val="3"/>
        <w:widowControl w:val="0"/>
        <w:spacing w:before="0" w:after="0" w:line="360" w:lineRule="auto"/>
        <w:jc w:val="center"/>
        <w:rPr>
          <w:rFonts w:ascii="黑体" w:hAnsi="宋体" w:cs="黑体"/>
          <w:b/>
          <w:color w:val="auto"/>
          <w:kern w:val="44"/>
          <w:sz w:val="44"/>
          <w:szCs w:val="44"/>
          <w:highlight w:val="none"/>
        </w:rPr>
      </w:pPr>
    </w:p>
    <w:p>
      <w:pPr>
        <w:pStyle w:val="3"/>
        <w:widowControl w:val="0"/>
        <w:spacing w:before="0" w:after="0" w:line="360" w:lineRule="auto"/>
        <w:jc w:val="center"/>
        <w:rPr>
          <w:rFonts w:ascii="黑体" w:hAnsi="宋体" w:cs="黑体"/>
          <w:b/>
          <w:color w:val="auto"/>
          <w:kern w:val="44"/>
          <w:sz w:val="44"/>
          <w:szCs w:val="44"/>
          <w:highlight w:val="none"/>
        </w:rPr>
      </w:pPr>
    </w:p>
    <w:p>
      <w:pPr>
        <w:pStyle w:val="3"/>
        <w:widowControl w:val="0"/>
        <w:spacing w:before="0" w:after="0" w:line="360" w:lineRule="auto"/>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评标办法</w:t>
      </w:r>
      <w:bookmarkEnd w:id="36"/>
    </w:p>
    <w:p>
      <w:pPr>
        <w:keepLines/>
        <w:spacing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pPr>
        <w:keepLines/>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cols w:space="425" w:num="1"/>
          <w:docGrid w:linePitch="285" w:charSpace="0"/>
        </w:sectPr>
      </w:pPr>
      <w:r>
        <w:rPr>
          <w:rFonts w:ascii="Times New Roman" w:hAnsi="Times New Roman" w:eastAsia="宋体" w:cs="Times New Roman"/>
          <w:color w:val="auto"/>
          <w:szCs w:val="21"/>
          <w:highlight w:val="none"/>
        </w:rPr>
        <w:br w:type="page"/>
      </w:r>
    </w:p>
    <w:p>
      <w:pPr>
        <w:keepLines/>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1.1本项目采取邀请招标选择单位，为保证招标“公开、公平、公正”，根据国家有关工程建设招标投标的法律、法规和方针、政策，制定本评标细则，实行评标的规范化、标准化、科学化。</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本评标办法仅适用本次招标。</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pPr>
        <w:keepLines/>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w:t>
      </w:r>
      <w:r>
        <w:rPr>
          <w:rFonts w:hint="eastAsia" w:ascii="仿宋" w:hAnsi="仿宋" w:eastAsia="仿宋" w:cs="仿宋"/>
          <w:color w:val="auto"/>
          <w:sz w:val="28"/>
          <w:szCs w:val="28"/>
          <w:highlight w:val="none"/>
          <w:lang w:eastAsia="zh-CN"/>
        </w:rPr>
        <w:t>民法典</w:t>
      </w:r>
      <w:r>
        <w:rPr>
          <w:rFonts w:hint="eastAsia" w:ascii="仿宋" w:hAnsi="仿宋" w:eastAsia="仿宋" w:cs="仿宋"/>
          <w:color w:val="auto"/>
          <w:sz w:val="28"/>
          <w:szCs w:val="28"/>
          <w:highlight w:val="none"/>
        </w:rPr>
        <w:t>》；</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pPr>
        <w:keepLines/>
        <w:spacing w:line="360" w:lineRule="auto"/>
        <w:ind w:firstLine="560" w:firstLineChars="200"/>
        <w:jc w:val="lef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2.3《中华人民共和国招标投标法实施条例》</w:t>
      </w:r>
      <w:r>
        <w:rPr>
          <w:rFonts w:hint="eastAsia" w:ascii="仿宋" w:hAnsi="仿宋" w:eastAsia="仿宋" w:cs="仿宋"/>
          <w:color w:val="auto"/>
          <w:sz w:val="28"/>
          <w:szCs w:val="28"/>
          <w:highlight w:val="none"/>
          <w:lang w:eastAsia="zh-CN"/>
        </w:rPr>
        <w:t>；</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和评标方法暂行规定》；</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pPr>
        <w:keepLines/>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w:t>
      </w:r>
      <w:r>
        <w:rPr>
          <w:rFonts w:hint="eastAsia" w:ascii="仿宋" w:hAnsi="仿宋" w:eastAsia="仿宋" w:cs="仿宋"/>
          <w:color w:val="auto"/>
          <w:sz w:val="28"/>
          <w:szCs w:val="28"/>
          <w:highlight w:val="none"/>
          <w:lang w:eastAsia="zh-CN"/>
        </w:rPr>
        <w:t>广州</w:t>
      </w:r>
      <w:r>
        <w:rPr>
          <w:rFonts w:hint="eastAsia" w:ascii="仿宋" w:hAnsi="仿宋" w:eastAsia="仿宋" w:cs="仿宋"/>
          <w:color w:val="auto"/>
          <w:sz w:val="28"/>
          <w:szCs w:val="28"/>
          <w:highlight w:val="none"/>
        </w:rPr>
        <w:t>市公共资源交易中心备案；情节严重，构成犯罪的，由司法机关依法追究其刑事责任。</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pPr>
        <w:keepLines/>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pPr>
        <w:keepLines/>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pPr>
        <w:keepLines/>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pPr>
        <w:keepLines/>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pPr>
        <w:keepLines/>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pPr>
        <w:keepLines/>
        <w:numPr>
          <w:ilvl w:val="0"/>
          <w:numId w:val="4"/>
        </w:numPr>
        <w:spacing w:line="360" w:lineRule="auto"/>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pPr>
        <w:keepLines/>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w:t>
      </w:r>
    </w:p>
    <w:p>
      <w:pPr>
        <w:keepLines/>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pPr>
        <w:pStyle w:val="9"/>
        <w:keepLines/>
        <w:widowControl w:val="0"/>
        <w:spacing w:line="360" w:lineRule="auto"/>
        <w:ind w:firstLine="562" w:firstLineChars="200"/>
        <w:rPr>
          <w:rFonts w:hint="eastAsia" w:ascii="仿宋" w:hAnsi="仿宋" w:eastAsia="仿宋" w:cs="仿宋"/>
          <w:b/>
          <w:color w:val="auto"/>
          <w:sz w:val="28"/>
          <w:szCs w:val="28"/>
          <w:highlight w:val="none"/>
          <w:lang w:eastAsia="zh-CN"/>
        </w:rPr>
      </w:pPr>
      <w:r>
        <w:rPr>
          <w:rFonts w:ascii="仿宋" w:hAnsi="仿宋" w:eastAsia="仿宋" w:cs="仿宋"/>
          <w:b/>
          <w:color w:val="auto"/>
          <w:sz w:val="28"/>
          <w:szCs w:val="28"/>
          <w:highlight w:val="none"/>
        </w:rPr>
        <w:t>5.1</w:t>
      </w:r>
      <w:r>
        <w:rPr>
          <w:rFonts w:hint="eastAsia" w:ascii="仿宋" w:hAnsi="仿宋" w:eastAsia="仿宋" w:cs="仿宋"/>
          <w:b/>
          <w:color w:val="auto"/>
          <w:sz w:val="28"/>
          <w:szCs w:val="28"/>
          <w:highlight w:val="none"/>
          <w:lang w:val="en-US" w:eastAsia="zh-CN"/>
        </w:rPr>
        <w:t xml:space="preserve">  </w:t>
      </w:r>
      <w:r>
        <w:rPr>
          <w:rFonts w:hint="eastAsia" w:ascii="仿宋" w:hAnsi="仿宋" w:eastAsia="仿宋" w:cs="仿宋"/>
          <w:b/>
          <w:color w:val="auto"/>
          <w:sz w:val="28"/>
          <w:szCs w:val="28"/>
          <w:highlight w:val="none"/>
          <w:lang w:eastAsia="zh-CN"/>
        </w:rPr>
        <w:t>评标小组</w:t>
      </w:r>
    </w:p>
    <w:p>
      <w:pPr>
        <w:pStyle w:val="9"/>
        <w:keepLines/>
        <w:widowControl w:val="0"/>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5.1.1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由招标人依法组建的5名专家组成。</w:t>
      </w:r>
    </w:p>
    <w:p>
      <w:pPr>
        <w:pStyle w:val="9"/>
        <w:keepLines/>
        <w:widowControl w:val="0"/>
        <w:spacing w:line="360" w:lineRule="auto"/>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5.1.2  </w:t>
      </w:r>
      <w:r>
        <w:rPr>
          <w:rFonts w:hint="eastAsia" w:ascii="仿宋" w:hAnsi="仿宋" w:eastAsia="仿宋" w:cs="仿宋"/>
          <w:color w:val="auto"/>
          <w:sz w:val="28"/>
          <w:szCs w:val="28"/>
          <w:highlight w:val="none"/>
          <w:lang w:eastAsia="zh-CN"/>
        </w:rPr>
        <w:t>评标小组</w:t>
      </w:r>
      <w:r>
        <w:rPr>
          <w:rFonts w:ascii="仿宋" w:hAnsi="仿宋" w:eastAsia="仿宋" w:cs="仿宋"/>
          <w:color w:val="auto"/>
          <w:sz w:val="28"/>
          <w:szCs w:val="28"/>
          <w:highlight w:val="none"/>
        </w:rPr>
        <w:t>推举产生1名评标组长，主持评审工作，评标组长与其他成员有同等表决权。</w:t>
      </w:r>
    </w:p>
    <w:p>
      <w:pPr>
        <w:keepLines/>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pPr>
        <w:keepLines/>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5.2.1  </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根据招标文件规定的评标标准和方法，对投标文件进行评审和比较，招标文件中没有规定的标准和方法不得作为评标的依据。</w:t>
      </w:r>
    </w:p>
    <w:p>
      <w:pPr>
        <w:keepLines/>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主要对投标文件进行评议。</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负责裁决。裁决前，</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应认真阅读招标文件的规定。投标文件中全部符合附件1《符合性审查表》中任一种情形的，为有效标书，否则其投标文件将被否决。若本项目通过符合性审查的投标人不足3名时，应重新招标。</w:t>
      </w:r>
    </w:p>
    <w:p>
      <w:pPr>
        <w:keepLines/>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成员应当对投标文件发表专业、客观、公正的意见，意见不一致的应作进一步核实和讨论。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成员对任何一个投标文件的质疑，应当在讨论或现场讲解时提出，表决结果公布后才提出的质疑，不可作为改变表决结果的依据。</w:t>
      </w:r>
    </w:p>
    <w:p>
      <w:pPr>
        <w:keepLines/>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对超越招标文件要求的内容不进行评审，只评审该投标文件符合要求的内容。</w:t>
      </w:r>
    </w:p>
    <w:p>
      <w:pPr>
        <w:keepLines/>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评标办法采用</w:t>
      </w:r>
      <w:r>
        <w:rPr>
          <w:rFonts w:hint="eastAsia" w:ascii="仿宋" w:hAnsi="仿宋" w:eastAsia="仿宋" w:cs="仿宋"/>
          <w:b/>
          <w:color w:val="auto"/>
          <w:sz w:val="28"/>
          <w:szCs w:val="28"/>
          <w:highlight w:val="none"/>
          <w:u w:val="single"/>
        </w:rPr>
        <w:t>综合评分法评标</w:t>
      </w:r>
    </w:p>
    <w:p>
      <w:pPr>
        <w:keepLines/>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pPr>
        <w:keepLines/>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pPr>
        <w:keepLines/>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pPr>
        <w:keepLines/>
        <w:snapToGrid w:val="0"/>
        <w:spacing w:line="360" w:lineRule="auto"/>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pPr>
        <w:keepLines/>
        <w:spacing w:line="360" w:lineRule="auto"/>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pPr>
        <w:keepLines/>
        <w:spacing w:line="360" w:lineRule="auto"/>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pPr>
        <w:keepLines/>
        <w:snapToGrid w:val="0"/>
        <w:spacing w:line="360" w:lineRule="auto"/>
        <w:ind w:left="0" w:leftChars="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专家首先按附件1《符合性审查表》对各投标文件进行评审，只有通过符合性审查的投标文件方可进入下一阶段的评审。如果有符合性审查不通过提议，则</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成员共同表决，按照少数服从多数的原则决定是否通过符合性审查。</w:t>
      </w:r>
    </w:p>
    <w:p>
      <w:pPr>
        <w:keepLines/>
        <w:spacing w:line="360" w:lineRule="auto"/>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2</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专家计算各投标人的综合得分</w:t>
      </w:r>
      <w:r>
        <w:rPr>
          <w:rFonts w:hint="eastAsia" w:ascii="仿宋" w:hAnsi="仿宋" w:eastAsia="仿宋" w:cs="仿宋"/>
          <w:color w:val="auto"/>
          <w:sz w:val="28"/>
          <w:szCs w:val="28"/>
          <w:highlight w:val="none"/>
          <w:lang w:eastAsia="zh-CN"/>
        </w:rPr>
        <w:t>。</w:t>
      </w:r>
    </w:p>
    <w:p>
      <w:pPr>
        <w:keepLines/>
        <w:spacing w:line="360" w:lineRule="auto"/>
        <w:ind w:left="0" w:leftChars="0"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3</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编写、签署评标报告，向招标人推荐综合得分最高的前三名中标候选方案（中标候选人）并标明排列顺序，评标报告由</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全体成员签名，对评标结论持有异议的</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成员可以书面方式阐述其不同意见和理由。</w:t>
      </w:r>
    </w:p>
    <w:p>
      <w:pPr>
        <w:keepLines/>
        <w:spacing w:line="360" w:lineRule="auto"/>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推荐的候选方案中确定中标方案。但是，招标人认为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推荐的候选方案不能最大限度满足招标文件规定的要求的，依法重新招标。</w:t>
      </w:r>
    </w:p>
    <w:p>
      <w:pPr>
        <w:keepLines/>
        <w:spacing w:line="360" w:lineRule="auto"/>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pPr>
        <w:keepLines/>
        <w:spacing w:line="360" w:lineRule="auto"/>
        <w:ind w:left="956" w:leftChars="266" w:hanging="397" w:hangingChars="142"/>
        <w:jc w:val="left"/>
        <w:rPr>
          <w:rFonts w:hint="eastAsia" w:ascii="仿宋" w:hAnsi="仿宋" w:eastAsia="仿宋" w:cs="仿宋"/>
          <w:color w:val="auto"/>
          <w:sz w:val="28"/>
          <w:szCs w:val="28"/>
          <w:highlight w:val="none"/>
        </w:rPr>
      </w:pPr>
      <w:r>
        <w:rPr>
          <w:rFonts w:hint="eastAsia" w:ascii="仿宋" w:hAnsi="仿宋" w:eastAsia="仿宋" w:cs="仿宋"/>
          <w:color w:val="auto"/>
          <w:sz w:val="28"/>
          <w:szCs w:val="28"/>
          <w:highlight w:val="none"/>
        </w:rPr>
        <w:t>□</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lang w:val="en-US" w:eastAsia="zh-CN"/>
        </w:rPr>
        <w:t>1</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招标人委托</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直接确定中标人；</w:t>
      </w:r>
    </w:p>
    <w:p>
      <w:pPr>
        <w:keepLines/>
        <w:spacing w:line="360" w:lineRule="auto"/>
        <w:ind w:left="0" w:leftChars="0" w:firstLine="562" w:firstLineChars="200"/>
        <w:jc w:val="left"/>
        <w:rPr>
          <w:rFonts w:hint="eastAsia" w:ascii="仿宋" w:hAnsi="仿宋" w:eastAsia="仿宋" w:cs="仿宋"/>
          <w:color w:val="auto"/>
          <w:sz w:val="28"/>
          <w:szCs w:val="28"/>
          <w:highlight w:val="none"/>
          <w:lang w:val="en-US" w:eastAsia="zh-CN"/>
        </w:rPr>
      </w:pPr>
      <w:r>
        <w:rPr>
          <w:rFonts w:hint="eastAsia" w:ascii="仿宋" w:hAnsi="仿宋" w:eastAsia="仿宋" w:cs="仿宋"/>
          <w:b/>
          <w:color w:val="auto"/>
          <w:kern w:val="0"/>
          <w:sz w:val="28"/>
          <w:szCs w:val="28"/>
          <w:highlight w:val="none"/>
        </w:rPr>
        <w:t>√</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b w:val="0"/>
          <w:bCs/>
          <w:color w:val="auto"/>
          <w:kern w:val="0"/>
          <w:sz w:val="28"/>
          <w:szCs w:val="28"/>
          <w:highlight w:val="none"/>
          <w:lang w:val="en-US" w:eastAsia="zh-CN"/>
        </w:rPr>
        <w:t>2</w:t>
      </w:r>
      <w:r>
        <w:rPr>
          <w:rFonts w:hint="eastAsia" w:ascii="仿宋" w:hAnsi="仿宋" w:eastAsia="仿宋" w:cs="仿宋"/>
          <w:b w:val="0"/>
          <w:bCs/>
          <w:color w:val="auto"/>
          <w:kern w:val="0"/>
          <w:sz w:val="28"/>
          <w:szCs w:val="28"/>
          <w:highlight w:val="none"/>
          <w:lang w:eastAsia="zh-CN"/>
        </w:rPr>
        <w:t>）</w:t>
      </w:r>
      <w:r>
        <w:rPr>
          <w:rFonts w:hint="eastAsia" w:ascii="仿宋" w:hAnsi="仿宋" w:eastAsia="仿宋" w:cs="仿宋"/>
          <w:color w:val="auto"/>
          <w:sz w:val="28"/>
          <w:szCs w:val="28"/>
          <w:highlight w:val="none"/>
        </w:rPr>
        <w:t>确定</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w:t>
      </w:r>
      <w:r>
        <w:rPr>
          <w:rFonts w:hint="eastAsia" w:ascii="仿宋" w:hAnsi="仿宋" w:eastAsia="仿宋" w:cs="仿宋"/>
          <w:color w:val="auto"/>
          <w:sz w:val="28"/>
          <w:szCs w:val="28"/>
          <w:highlight w:val="none"/>
          <w:u w:val="none"/>
        </w:rPr>
        <w:t>，也可以重新招标</w:t>
      </w:r>
      <w:r>
        <w:rPr>
          <w:rFonts w:hint="eastAsia" w:ascii="仿宋" w:hAnsi="仿宋" w:eastAsia="仿宋" w:cs="仿宋"/>
          <w:color w:val="auto"/>
          <w:sz w:val="28"/>
          <w:szCs w:val="28"/>
          <w:highlight w:val="none"/>
        </w:rPr>
        <w:t>。以此类推，如所有中标候选人均出现前款所列的情形，为招标失败，招标人依法重新招标。</w:t>
      </w:r>
    </w:p>
    <w:p>
      <w:pPr>
        <w:keepLines/>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pPr>
        <w:pStyle w:val="9"/>
        <w:keepLines/>
        <w:widowControl w:val="0"/>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pPr>
        <w:keepLines/>
        <w:spacing w:line="360" w:lineRule="auto"/>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pPr>
        <w:pStyle w:val="9"/>
        <w:keepLines/>
        <w:widowControl w:val="0"/>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pPr>
        <w:pStyle w:val="9"/>
        <w:keepLines/>
        <w:widowControl w:val="0"/>
        <w:spacing w:line="360" w:lineRule="auto"/>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pPr>
        <w:keepLines/>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由投标人或其推选的代表检查投标文件的密封情况，也可以由招标人委托的公证机构检查并公证；</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w:t>
      </w:r>
      <w:r>
        <w:rPr>
          <w:rFonts w:hint="eastAsia" w:ascii="仿宋" w:hAnsi="仿宋" w:eastAsia="仿宋" w:cs="仿宋"/>
          <w:color w:val="auto"/>
          <w:sz w:val="28"/>
          <w:szCs w:val="28"/>
          <w:highlight w:val="none"/>
          <w:lang w:eastAsia="zh-CN"/>
        </w:rPr>
        <w:t>：</w:t>
      </w:r>
      <w:r>
        <w:rPr>
          <w:rFonts w:hint="eastAsia" w:ascii="仿宋" w:hAnsi="仿宋" w:eastAsia="仿宋" w:cs="仿宋"/>
          <w:color w:val="auto"/>
          <w:sz w:val="28"/>
          <w:szCs w:val="28"/>
          <w:highlight w:val="none"/>
        </w:rPr>
        <w:t>a、投标人名称；b、标书密封情况；c、法定代表人证明及授权委托；d、项目负责人名称；e、投标报价等主要内容以及开标记录表中的其他必要内容，并予以记录，记录提交</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评审。</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进行评审。</w:t>
      </w:r>
    </w:p>
    <w:p>
      <w:pPr>
        <w:keepLines/>
        <w:spacing w:line="360" w:lineRule="auto"/>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pPr>
        <w:keepLines/>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7.1.1 </w:t>
      </w:r>
      <w:r>
        <w:rPr>
          <w:rFonts w:hint="eastAsia" w:ascii="仿宋" w:hAnsi="仿宋" w:eastAsia="仿宋" w:cs="仿宋"/>
          <w:color w:val="auto"/>
          <w:sz w:val="28"/>
          <w:szCs w:val="28"/>
          <w:highlight w:val="none"/>
        </w:rPr>
        <w:t>第一步：进行投标文件符合性审查；</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依据有关法律、法规和招标文件的规定对投标文件进行评审，若本项目经评审有效的投标人不足3名时，本次招标失败，招标人应当依法重新组织招标。</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第二步：专家对综合评分表进行打分；</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7.1.</w:t>
      </w:r>
      <w:r>
        <w:rPr>
          <w:rFonts w:hint="eastAsia" w:ascii="仿宋" w:hAnsi="仿宋" w:eastAsia="仿宋" w:cs="仿宋"/>
          <w:color w:val="auto"/>
          <w:sz w:val="28"/>
          <w:szCs w:val="28"/>
          <w:highlight w:val="none"/>
        </w:rPr>
        <w:t>3</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第三步：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完成评标报告，向招标人推荐中标候选人。</w:t>
      </w:r>
    </w:p>
    <w:p>
      <w:pPr>
        <w:keepLines/>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根据附件1“符合性审查表”进行评审。投标文件全部列于附件1《符合性审查表》中情形的，为通过符合性审查。否则其投标文件将被否决。如</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成员的评审意见不一致时，以</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过半数成员的意见作为</w:t>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对该情形的认定结论。</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lang w:eastAsia="zh-CN"/>
        </w:rPr>
        <w:t>评标小组</w:t>
      </w:r>
      <w:r>
        <w:rPr>
          <w:rFonts w:hint="eastAsia" w:ascii="仿宋" w:hAnsi="仿宋" w:eastAsia="仿宋" w:cs="仿宋"/>
          <w:color w:val="auto"/>
          <w:sz w:val="28"/>
          <w:szCs w:val="28"/>
          <w:highlight w:val="none"/>
        </w:rPr>
        <w:t>对所有投标作否决处理的，招标人应当重新招标。</w:t>
      </w:r>
    </w:p>
    <w:p>
      <w:pPr>
        <w:keepLines/>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pPr>
        <w:keepLines/>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w:t>
      </w:r>
      <w:r>
        <w:rPr>
          <w:rFonts w:hint="eastAsia" w:ascii="仿宋" w:hAnsi="仿宋" w:eastAsia="仿宋" w:cs="仿宋"/>
          <w:color w:val="auto"/>
          <w:sz w:val="28"/>
          <w:szCs w:val="28"/>
          <w:highlight w:val="none"/>
          <w:u w:val="none"/>
        </w:rPr>
        <w:t>若出现得分相同的单位，按报价低者排前的原则，若报价亦一致的，由评标</w:t>
      </w:r>
      <w:r>
        <w:rPr>
          <w:rFonts w:hint="eastAsia" w:ascii="仿宋" w:hAnsi="仿宋" w:eastAsia="仿宋" w:cs="仿宋"/>
          <w:color w:val="auto"/>
          <w:sz w:val="28"/>
          <w:szCs w:val="28"/>
          <w:highlight w:val="none"/>
          <w:u w:val="none"/>
          <w:lang w:eastAsia="zh-CN"/>
        </w:rPr>
        <w:t>小组</w:t>
      </w:r>
      <w:r>
        <w:rPr>
          <w:rFonts w:hint="eastAsia" w:ascii="仿宋" w:hAnsi="仿宋" w:eastAsia="仿宋" w:cs="仿宋"/>
          <w:color w:val="auto"/>
          <w:sz w:val="28"/>
          <w:szCs w:val="28"/>
          <w:highlight w:val="none"/>
          <w:u w:val="none"/>
        </w:rPr>
        <w:t>采用记名投票方式，确定其排序</w:t>
      </w:r>
      <w:r>
        <w:rPr>
          <w:rFonts w:hint="eastAsia" w:ascii="仿宋" w:hAnsi="仿宋" w:eastAsia="仿宋" w:cs="仿宋"/>
          <w:color w:val="auto"/>
          <w:sz w:val="28"/>
          <w:szCs w:val="28"/>
          <w:highlight w:val="none"/>
        </w:rPr>
        <w:t>。</w:t>
      </w:r>
    </w:p>
    <w:p>
      <w:pPr>
        <w:keepLines/>
        <w:snapToGrid w:val="0"/>
        <w:spacing w:line="360" w:lineRule="auto"/>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1</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招标人依据评标报告审定本项目的中标人。</w:t>
      </w:r>
    </w:p>
    <w:p>
      <w:pPr>
        <w:keepLines/>
        <w:snapToGrid w:val="0"/>
        <w:spacing w:line="360" w:lineRule="auto"/>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7.6.</w:t>
      </w:r>
      <w:r>
        <w:rPr>
          <w:rFonts w:hint="eastAsia" w:ascii="仿宋" w:hAnsi="仿宋" w:eastAsia="仿宋" w:cs="仿宋"/>
          <w:color w:val="auto"/>
          <w:sz w:val="28"/>
          <w:szCs w:val="28"/>
          <w:highlight w:val="none"/>
        </w:rPr>
        <w:t>2</w:t>
      </w:r>
      <w:r>
        <w:rPr>
          <w:rFonts w:hint="eastAsia" w:ascii="仿宋" w:hAnsi="仿宋" w:eastAsia="仿宋" w:cs="仿宋"/>
          <w:color w:val="auto"/>
          <w:sz w:val="28"/>
          <w:szCs w:val="28"/>
          <w:highlight w:val="none"/>
          <w:lang w:val="en-US" w:eastAsia="zh-CN"/>
        </w:rPr>
        <w:t xml:space="preserve"> </w:t>
      </w:r>
      <w:r>
        <w:rPr>
          <w:rFonts w:hint="eastAsia" w:ascii="仿宋" w:hAnsi="仿宋" w:eastAsia="仿宋" w:cs="仿宋"/>
          <w:color w:val="auto"/>
          <w:sz w:val="28"/>
          <w:szCs w:val="28"/>
          <w:highlight w:val="none"/>
        </w:rPr>
        <w:t xml:space="preserve"> 虽然经招标人审定为中标人，但在签订合同前的任何时候，招标人、评标专家以及其他人员发现投标人在招标投标过程有弄虚作假行为、虚报资料情况，一经查实，立即取消其中标人资格。</w:t>
      </w:r>
    </w:p>
    <w:p>
      <w:pPr>
        <w:keepLines/>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pPr>
        <w:keepLines/>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 xml:space="preserve">7.7.1 </w:t>
      </w:r>
      <w:r>
        <w:rPr>
          <w:rFonts w:hint="eastAsia" w:ascii="仿宋" w:hAnsi="仿宋" w:eastAsia="仿宋" w:cs="仿宋"/>
          <w:color w:val="auto"/>
          <w:sz w:val="28"/>
          <w:szCs w:val="28"/>
          <w:highlight w:val="none"/>
        </w:rPr>
        <w:t>若中标人在实际工作中服务质量存在问题，未能表现出符合要求的水平，经招标人研究确定，可解除与中标人的合同关系，并按照中标候选人顺序依次选取新的中标人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pPr>
        <w:keepLines/>
        <w:numPr>
          <w:ilvl w:val="-1"/>
          <w:numId w:val="0"/>
        </w:numPr>
        <w:snapToGrid w:val="0"/>
        <w:spacing w:line="360" w:lineRule="auto"/>
        <w:ind w:left="0"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lang w:val="en-US" w:eastAsia="zh-CN"/>
        </w:rPr>
        <w:t>7.7.2</w:t>
      </w: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pPr>
        <w:keepLines/>
        <w:snapToGrid/>
        <w:spacing w:line="240" w:lineRule="auto"/>
        <w:ind w:firstLine="0" w:firstLineChars="0"/>
        <w:jc w:val="left"/>
        <w:rPr>
          <w:rFonts w:hint="eastAsia" w:ascii="黑体" w:hAnsi="宋体" w:cs="黑体"/>
          <w:b/>
          <w:color w:val="auto"/>
          <w:kern w:val="44"/>
          <w:sz w:val="44"/>
          <w:szCs w:val="44"/>
          <w:highlight w:val="none"/>
        </w:rPr>
      </w:pPr>
      <w:bookmarkStart w:id="37" w:name="_Toc26593"/>
      <w:r>
        <w:rPr>
          <w:rFonts w:hint="eastAsia" w:ascii="黑体" w:hAnsi="宋体" w:cs="黑体"/>
          <w:b/>
          <w:color w:val="auto"/>
          <w:kern w:val="44"/>
          <w:sz w:val="44"/>
          <w:szCs w:val="44"/>
          <w:highlight w:val="none"/>
        </w:rPr>
        <w:br w:type="page"/>
      </w:r>
    </w:p>
    <w:p>
      <w:pPr>
        <w:keepLines/>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第5章 附件</w:t>
      </w:r>
      <w:bookmarkEnd w:id="37"/>
    </w:p>
    <w:p>
      <w:pPr>
        <w:pStyle w:val="22"/>
        <w:keepLines/>
        <w:widowControl w:val="0"/>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pPr>
        <w:pStyle w:val="22"/>
        <w:keepLines/>
        <w:widowControl w:val="0"/>
        <w:ind w:firstLine="562"/>
        <w:rPr>
          <w:rFonts w:ascii="仿宋" w:hAnsi="仿宋" w:eastAsia="仿宋" w:cs="仿宋"/>
          <w:b/>
          <w:color w:val="auto"/>
          <w:sz w:val="28"/>
          <w:szCs w:val="28"/>
          <w:highlight w:val="none"/>
          <w:u w:val="single"/>
        </w:rPr>
      </w:pPr>
      <w:bookmarkStart w:id="38" w:name="OLE_LINK3"/>
      <w:bookmarkEnd w:id="38"/>
      <w:r>
        <w:rPr>
          <w:rFonts w:ascii="仿宋" w:hAnsi="仿宋" w:eastAsia="仿宋" w:cs="仿宋"/>
          <w:b/>
          <w:color w:val="auto"/>
          <w:sz w:val="28"/>
          <w:szCs w:val="28"/>
          <w:highlight w:val="none"/>
          <w:u w:val="single"/>
        </w:rPr>
        <w:t>附件2 综合评分表</w:t>
      </w:r>
    </w:p>
    <w:p>
      <w:pPr>
        <w:pStyle w:val="22"/>
        <w:keepLines/>
        <w:widowControl w:val="0"/>
        <w:ind w:firstLine="562"/>
        <w:rPr>
          <w:rFonts w:hint="eastAsia"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eastAsia="zh-CN"/>
        </w:rPr>
        <w:t>附件</w:t>
      </w:r>
      <w:r>
        <w:rPr>
          <w:rFonts w:hint="eastAsia" w:ascii="仿宋" w:hAnsi="仿宋" w:eastAsia="仿宋" w:cs="仿宋"/>
          <w:b/>
          <w:color w:val="auto"/>
          <w:sz w:val="28"/>
          <w:szCs w:val="28"/>
          <w:highlight w:val="none"/>
          <w:u w:val="single"/>
          <w:lang w:val="en-US" w:eastAsia="zh-CN"/>
        </w:rPr>
        <w:t>3 投标申请人声明</w:t>
      </w:r>
    </w:p>
    <w:p>
      <w:pPr>
        <w:pStyle w:val="22"/>
        <w:keepLines/>
        <w:widowControl w:val="0"/>
        <w:ind w:firstLine="562"/>
        <w:rPr>
          <w:rFonts w:hint="eastAsia"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val="en-US" w:eastAsia="zh-CN"/>
        </w:rPr>
        <w:t>附件4 图纸（另附）</w:t>
      </w:r>
    </w:p>
    <w:p>
      <w:pPr>
        <w:pStyle w:val="22"/>
        <w:keepLines/>
        <w:widowControl w:val="0"/>
        <w:ind w:firstLine="562"/>
        <w:rPr>
          <w:rFonts w:hint="default" w:ascii="仿宋" w:hAnsi="仿宋" w:eastAsia="仿宋" w:cs="仿宋"/>
          <w:b/>
          <w:color w:val="auto"/>
          <w:sz w:val="28"/>
          <w:szCs w:val="28"/>
          <w:highlight w:val="none"/>
          <w:u w:val="single"/>
          <w:lang w:val="en-US" w:eastAsia="zh-CN"/>
        </w:rPr>
      </w:pPr>
      <w:r>
        <w:rPr>
          <w:rFonts w:hint="eastAsia" w:ascii="仿宋" w:hAnsi="仿宋" w:eastAsia="仿宋" w:cs="仿宋"/>
          <w:b/>
          <w:color w:val="auto"/>
          <w:sz w:val="28"/>
          <w:szCs w:val="28"/>
          <w:highlight w:val="none"/>
          <w:u w:val="single"/>
          <w:lang w:val="en-US" w:eastAsia="zh-CN"/>
        </w:rPr>
        <w:t>附件5 工程量清单（另附）</w:t>
      </w:r>
    </w:p>
    <w:p>
      <w:pPr>
        <w:keepLines/>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39" w:name="_Toc12170"/>
      <w:r>
        <w:rPr>
          <w:rFonts w:hint="eastAsia" w:ascii="仿宋" w:hAnsi="仿宋" w:eastAsia="仿宋" w:cs="仿宋"/>
          <w:color w:val="auto"/>
          <w:sz w:val="28"/>
          <w:szCs w:val="28"/>
          <w:highlight w:val="none"/>
        </w:rPr>
        <w:t>附件1：符合性审查表</w:t>
      </w:r>
      <w:bookmarkEnd w:id="39"/>
      <w:r>
        <w:rPr>
          <w:rFonts w:hint="eastAsia" w:ascii="仿宋" w:hAnsi="仿宋" w:eastAsia="仿宋" w:cs="仿宋"/>
          <w:color w:val="auto"/>
          <w:sz w:val="28"/>
          <w:szCs w:val="28"/>
          <w:highlight w:val="none"/>
        </w:rPr>
        <w:t xml:space="preserve">  </w:t>
      </w:r>
    </w:p>
    <w:p>
      <w:pPr>
        <w:keepLines/>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5"/>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keepLines/>
              <w:spacing w:beforeLines="5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pPr>
              <w:keepLines/>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pPr>
              <w:keepLines/>
              <w:spacing w:beforeLines="50" w:afterLines="50" w:line="240" w:lineRule="exact"/>
              <w:ind w:left="105" w:leftChars="50" w:right="105" w:rightChars="50"/>
              <w:jc w:val="center"/>
              <w:rPr>
                <w:rFonts w:ascii="仿宋" w:hAnsi="仿宋" w:eastAsia="仿宋" w:cs="仿宋"/>
                <w:b/>
                <w:color w:val="auto"/>
                <w:highlight w:val="none"/>
              </w:rPr>
            </w:pPr>
          </w:p>
          <w:p>
            <w:pPr>
              <w:keepLines/>
              <w:spacing w:beforeLines="5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pPr>
              <w:keepLines/>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pPr>
              <w:keepLines/>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pPr>
              <w:keepLines/>
              <w:spacing w:beforeLines="5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keepLines/>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1</w:t>
            </w:r>
          </w:p>
        </w:tc>
        <w:tc>
          <w:tcPr>
            <w:tcW w:w="3533" w:type="dxa"/>
            <w:tcBorders>
              <w:top w:val="single" w:color="auto" w:sz="4" w:space="0"/>
              <w:left w:val="nil"/>
              <w:bottom w:val="single" w:color="auto" w:sz="4" w:space="0"/>
              <w:right w:val="single" w:color="auto" w:sz="4" w:space="0"/>
            </w:tcBorders>
            <w:shd w:val="clear" w:color="auto" w:fill="auto"/>
            <w:vAlign w:val="center"/>
          </w:tcPr>
          <w:p>
            <w:pPr>
              <w:keepLines/>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pPr>
              <w:keepLines/>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keepLines/>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keepLines/>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keepLines/>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2</w:t>
            </w:r>
          </w:p>
        </w:tc>
        <w:tc>
          <w:tcPr>
            <w:tcW w:w="3533" w:type="dxa"/>
            <w:tcBorders>
              <w:top w:val="single" w:color="auto" w:sz="4" w:space="0"/>
              <w:left w:val="nil"/>
              <w:bottom w:val="single" w:color="auto" w:sz="4" w:space="0"/>
              <w:right w:val="single" w:color="auto" w:sz="4" w:space="0"/>
            </w:tcBorders>
            <w:shd w:val="clear" w:color="auto" w:fill="auto"/>
            <w:vAlign w:val="center"/>
          </w:tcPr>
          <w:p>
            <w:pPr>
              <w:keepLines/>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投标人资质符合要求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keepLines/>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keepLines/>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keepLines/>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keepLines/>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pPr>
              <w:keepLines/>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项目负责人</w:t>
            </w:r>
            <w:r>
              <w:rPr>
                <w:rFonts w:hint="eastAsia" w:ascii="仿宋" w:hAnsi="仿宋" w:eastAsia="仿宋" w:cs="仿宋"/>
                <w:color w:val="auto"/>
                <w:szCs w:val="21"/>
                <w:highlight w:val="none"/>
                <w:lang w:eastAsia="zh-CN"/>
              </w:rPr>
              <w:t>、技术</w:t>
            </w:r>
            <w:r>
              <w:rPr>
                <w:rFonts w:hint="eastAsia" w:ascii="仿宋" w:hAnsi="仿宋" w:eastAsia="仿宋" w:cs="仿宋"/>
                <w:color w:val="auto"/>
                <w:szCs w:val="21"/>
                <w:highlight w:val="none"/>
                <w:lang w:val="en-US" w:eastAsia="zh-CN"/>
              </w:rPr>
              <w:t>负责人</w:t>
            </w:r>
            <w:r>
              <w:rPr>
                <w:rFonts w:hint="eastAsia" w:ascii="仿宋" w:hAnsi="仿宋" w:eastAsia="仿宋" w:cs="仿宋"/>
                <w:color w:val="auto"/>
                <w:szCs w:val="21"/>
                <w:highlight w:val="none"/>
              </w:rPr>
              <w:t>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pPr>
              <w:keepLines/>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keepLines/>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keepLines/>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rPr>
          <w:trHeight w:val="696"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keepLines/>
              <w:spacing w:beforeLines="5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pPr>
              <w:keepLines/>
              <w:ind w:right="105" w:rightChars="50"/>
              <w:jc w:val="left"/>
              <w:rPr>
                <w:rFonts w:ascii="仿宋" w:hAnsi="仿宋" w:eastAsia="仿宋" w:cs="仿宋"/>
                <w:color w:val="auto"/>
                <w:highlight w:val="none"/>
              </w:rPr>
            </w:pPr>
            <w:r>
              <w:rPr>
                <w:rFonts w:hint="eastAsia" w:ascii="仿宋" w:hAnsi="仿宋" w:eastAsia="仿宋" w:cs="仿宋"/>
                <w:color w:val="auto"/>
                <w:sz w:val="21"/>
                <w:szCs w:val="21"/>
                <w:highlight w:val="none"/>
              </w:rPr>
              <w:t>投标报价不超过</w:t>
            </w:r>
            <w:r>
              <w:rPr>
                <w:rFonts w:hint="eastAsia" w:ascii="仿宋" w:hAnsi="仿宋" w:eastAsia="仿宋" w:cs="仿宋"/>
                <w:color w:val="auto"/>
                <w:sz w:val="21"/>
                <w:szCs w:val="21"/>
                <w:highlight w:val="none"/>
                <w:lang w:eastAsia="zh-CN"/>
              </w:rPr>
              <w:t>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pPr>
              <w:keepLines/>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keepLines/>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keepLines/>
              <w:spacing w:beforeLines="50" w:afterLines="50" w:line="240" w:lineRule="exact"/>
              <w:ind w:left="105" w:leftChars="50" w:right="105" w:rightChars="50"/>
              <w:jc w:val="center"/>
              <w:rPr>
                <w:rFonts w:ascii="仿宋" w:hAnsi="仿宋" w:eastAsia="仿宋" w:cs="仿宋"/>
                <w:color w:val="auto"/>
                <w:highlight w:val="none"/>
              </w:rPr>
            </w:pPr>
          </w:p>
        </w:tc>
      </w:tr>
      <w:tr>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pPr>
              <w:keepLines/>
              <w:spacing w:beforeLines="5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pPr>
              <w:keepLines/>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pPr>
              <w:keepLines/>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keepLines/>
              <w:spacing w:beforeLines="5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pPr>
              <w:keepLines/>
              <w:spacing w:beforeLines="50" w:afterLines="50" w:line="240" w:lineRule="exact"/>
              <w:ind w:left="105" w:leftChars="50" w:right="105" w:rightChars="50"/>
              <w:jc w:val="center"/>
              <w:rPr>
                <w:rFonts w:ascii="仿宋" w:hAnsi="仿宋" w:eastAsia="仿宋" w:cs="仿宋"/>
                <w:color w:val="auto"/>
                <w:highlight w:val="none"/>
              </w:rPr>
            </w:pPr>
          </w:p>
        </w:tc>
      </w:tr>
    </w:tbl>
    <w:p>
      <w:pPr>
        <w:keepLines/>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pPr>
        <w:keepLines/>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pPr>
        <w:keepLines/>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pPr>
        <w:keepLines/>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pPr>
        <w:keepLines/>
        <w:snapToGrid w:val="0"/>
        <w:ind w:left="74"/>
        <w:rPr>
          <w:rFonts w:ascii="仿宋" w:hAnsi="仿宋" w:eastAsia="仿宋" w:cs="Courier New"/>
          <w:color w:val="auto"/>
          <w:sz w:val="28"/>
          <w:szCs w:val="28"/>
          <w:highlight w:val="none"/>
        </w:rPr>
      </w:pPr>
    </w:p>
    <w:p>
      <w:pPr>
        <w:keepLines/>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cols w:space="425" w:num="1"/>
          <w:docGrid w:linePitch="312" w:charSpace="0"/>
        </w:sectPr>
      </w:pPr>
      <w:bookmarkStart w:id="40" w:name="_Toc18783"/>
    </w:p>
    <w:bookmarkEnd w:id="40"/>
    <w:p>
      <w:pPr>
        <w:keepLines/>
        <w:snapToGrid w:val="0"/>
        <w:ind w:left="74"/>
        <w:outlineLvl w:val="0"/>
        <w:rPr>
          <w:rFonts w:ascii="仿宋" w:hAnsi="仿宋" w:eastAsia="仿宋" w:cs="仿宋"/>
          <w:color w:val="auto"/>
          <w:sz w:val="24"/>
          <w:highlight w:val="none"/>
        </w:rPr>
      </w:pPr>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p>
    <w:tbl>
      <w:tblPr>
        <w:tblStyle w:val="15"/>
        <w:tblW w:w="1279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3"/>
        <w:gridCol w:w="1406"/>
        <w:gridCol w:w="709"/>
        <w:gridCol w:w="9797"/>
        <w:gridCol w:w="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0" w:hRule="atLeast"/>
          <w:jc w:val="center"/>
        </w:trPr>
        <w:tc>
          <w:tcPr>
            <w:tcW w:w="643" w:type="dxa"/>
            <w:shd w:val="clear" w:color="auto" w:fill="auto"/>
            <w:vAlign w:val="center"/>
          </w:tcPr>
          <w:p>
            <w:pPr>
              <w:keepLines/>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406" w:type="dxa"/>
            <w:shd w:val="clear" w:color="auto" w:fill="auto"/>
            <w:vAlign w:val="center"/>
          </w:tcPr>
          <w:p>
            <w:pPr>
              <w:keepLines/>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类别</w:t>
            </w:r>
          </w:p>
        </w:tc>
        <w:tc>
          <w:tcPr>
            <w:tcW w:w="709" w:type="dxa"/>
            <w:shd w:val="clear" w:color="auto" w:fill="auto"/>
            <w:vAlign w:val="center"/>
          </w:tcPr>
          <w:p>
            <w:pPr>
              <w:keepLines/>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分项</w:t>
            </w:r>
          </w:p>
          <w:p>
            <w:pPr>
              <w:keepLines/>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分值</w:t>
            </w:r>
          </w:p>
        </w:tc>
        <w:tc>
          <w:tcPr>
            <w:tcW w:w="9797" w:type="dxa"/>
            <w:shd w:val="clear" w:color="auto" w:fill="auto"/>
            <w:vAlign w:val="center"/>
          </w:tcPr>
          <w:p>
            <w:pPr>
              <w:keepLines/>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评 分 说 明</w:t>
            </w:r>
          </w:p>
        </w:tc>
        <w:tc>
          <w:tcPr>
            <w:tcW w:w="240" w:type="dxa"/>
            <w:shd w:val="clear" w:color="auto" w:fill="auto"/>
            <w:vAlign w:val="center"/>
          </w:tcPr>
          <w:p>
            <w:pPr>
              <w:keepLines/>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8" w:hRule="atLeast"/>
          <w:jc w:val="center"/>
        </w:trPr>
        <w:tc>
          <w:tcPr>
            <w:tcW w:w="643" w:type="dxa"/>
            <w:vMerge w:val="restart"/>
            <w:shd w:val="clear" w:color="auto" w:fill="auto"/>
            <w:vAlign w:val="center"/>
          </w:tcPr>
          <w:p>
            <w:pPr>
              <w:keepLines/>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商务部分</w:t>
            </w:r>
          </w:p>
          <w:p>
            <w:pPr>
              <w:pStyle w:val="5"/>
              <w:keepLines/>
              <w:spacing w:line="240" w:lineRule="auto"/>
              <w:ind w:left="0" w:leftChars="0" w:firstLine="0" w:firstLineChars="0"/>
              <w:jc w:val="center"/>
              <w:rPr>
                <w:rFonts w:hint="eastAsia" w:ascii="宋体" w:hAnsi="宋体" w:eastAsia="宋体" w:cs="宋体"/>
                <w:b w:val="0"/>
                <w:bCs/>
                <w:color w:val="auto"/>
                <w:szCs w:val="21"/>
                <w:highlight w:val="none"/>
                <w:lang w:eastAsia="zh-CN"/>
              </w:rPr>
            </w:pPr>
            <w:r>
              <w:rPr>
                <w:rFonts w:hint="eastAsia" w:ascii="宋体" w:hAnsi="宋体" w:eastAsia="宋体" w:cs="宋体"/>
                <w:b w:val="0"/>
                <w:bCs/>
                <w:color w:val="auto"/>
                <w:szCs w:val="21"/>
                <w:highlight w:val="none"/>
                <w:lang w:eastAsia="zh-CN"/>
              </w:rPr>
              <w:t>（</w:t>
            </w:r>
            <w:r>
              <w:rPr>
                <w:rFonts w:hint="eastAsia" w:ascii="宋体" w:hAnsi="宋体" w:eastAsia="宋体" w:cs="宋体"/>
                <w:b w:val="0"/>
                <w:bCs/>
                <w:color w:val="auto"/>
                <w:szCs w:val="21"/>
                <w:highlight w:val="none"/>
                <w:lang w:val="en-US" w:eastAsia="zh-CN"/>
              </w:rPr>
              <w:t>20分</w:t>
            </w:r>
            <w:r>
              <w:rPr>
                <w:rFonts w:hint="eastAsia" w:ascii="宋体" w:hAnsi="宋体" w:eastAsia="宋体" w:cs="宋体"/>
                <w:b w:val="0"/>
                <w:bCs/>
                <w:color w:val="auto"/>
                <w:szCs w:val="21"/>
                <w:highlight w:val="none"/>
                <w:lang w:eastAsia="zh-CN"/>
              </w:rPr>
              <w:t>）</w:t>
            </w:r>
          </w:p>
          <w:p>
            <w:pPr>
              <w:keepLines/>
              <w:snapToGrid w:val="0"/>
              <w:ind w:left="-2" w:leftChars="-1"/>
              <w:jc w:val="center"/>
              <w:rPr>
                <w:rFonts w:hint="eastAsia" w:ascii="宋体" w:hAnsi="宋体" w:eastAsia="宋体" w:cs="宋体"/>
                <w:color w:val="auto"/>
                <w:szCs w:val="21"/>
                <w:highlight w:val="none"/>
                <w:lang w:eastAsia="zh-CN"/>
              </w:rPr>
            </w:pPr>
          </w:p>
        </w:tc>
        <w:tc>
          <w:tcPr>
            <w:tcW w:w="1406" w:type="dxa"/>
            <w:shd w:val="clear" w:color="auto" w:fill="auto"/>
            <w:vAlign w:val="center"/>
          </w:tcPr>
          <w:p>
            <w:pPr>
              <w:keepLines/>
              <w:widowControl w:val="0"/>
              <w:ind w:left="-42" w:leftChars="0" w:right="-61" w:rightChars="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同类业绩</w:t>
            </w:r>
          </w:p>
        </w:tc>
        <w:tc>
          <w:tcPr>
            <w:tcW w:w="709" w:type="dxa"/>
            <w:shd w:val="clear" w:color="auto" w:fill="auto"/>
            <w:vAlign w:val="center"/>
          </w:tcPr>
          <w:p>
            <w:pPr>
              <w:keepLines/>
              <w:jc w:val="center"/>
              <w:rPr>
                <w:rFonts w:hint="eastAsia" w:ascii="宋体" w:hAnsi="宋体" w:eastAsia="宋体" w:cs="宋体"/>
                <w:color w:val="auto"/>
                <w:szCs w:val="21"/>
                <w:highlight w:val="none"/>
                <w:lang w:eastAsia="zh-CN"/>
              </w:rPr>
            </w:pPr>
            <w:r>
              <w:rPr>
                <w:rFonts w:hint="eastAsia" w:ascii="宋体" w:hAnsi="宋体" w:eastAsia="宋体" w:cs="宋体"/>
                <w:color w:val="auto"/>
                <w:kern w:val="0"/>
                <w:szCs w:val="21"/>
                <w:highlight w:val="none"/>
                <w:lang w:val="en-US" w:eastAsia="zh-CN"/>
              </w:rPr>
              <w:t>4</w:t>
            </w:r>
          </w:p>
        </w:tc>
        <w:tc>
          <w:tcPr>
            <w:tcW w:w="9797" w:type="dxa"/>
            <w:shd w:val="clear" w:color="auto" w:fill="auto"/>
            <w:vAlign w:val="center"/>
          </w:tcPr>
          <w:p>
            <w:pPr>
              <w:keepLines/>
              <w:snapToGrid w:val="0"/>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投标人2018年1月1日至今具有100万或以上同类</w:t>
            </w:r>
            <w:r>
              <w:rPr>
                <w:rFonts w:hint="eastAsia" w:ascii="宋体" w:hAnsi="宋体" w:eastAsia="宋体" w:cs="宋体"/>
                <w:color w:val="auto"/>
                <w:sz w:val="21"/>
                <w:szCs w:val="21"/>
                <w:highlight w:val="none"/>
                <w:u w:val="none"/>
                <w:lang w:eastAsia="zh-CN"/>
              </w:rPr>
              <w:t>消防设施</w:t>
            </w:r>
            <w:r>
              <w:rPr>
                <w:rFonts w:hint="eastAsia" w:ascii="宋体" w:hAnsi="宋体" w:eastAsia="宋体" w:cs="宋体"/>
                <w:color w:val="auto"/>
                <w:sz w:val="21"/>
                <w:szCs w:val="21"/>
                <w:highlight w:val="none"/>
                <w:u w:val="none"/>
              </w:rPr>
              <w:t>工程</w:t>
            </w:r>
            <w:r>
              <w:rPr>
                <w:rFonts w:hint="eastAsia" w:ascii="宋体" w:hAnsi="宋体" w:eastAsia="宋体" w:cs="宋体"/>
                <w:color w:val="auto"/>
                <w:szCs w:val="21"/>
                <w:highlight w:val="none"/>
                <w:lang w:val="en-US" w:eastAsia="zh-CN"/>
              </w:rPr>
              <w:t xml:space="preserve">项目业绩的，每有一个项目业绩得1分，本项最高得4分。 </w:t>
            </w:r>
          </w:p>
          <w:p>
            <w:pPr>
              <w:keepLines/>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注：</w:t>
            </w:r>
            <w:r>
              <w:rPr>
                <w:rFonts w:hint="eastAsia" w:ascii="宋体" w:hAnsi="宋体" w:eastAsia="宋体" w:cs="宋体"/>
                <w:color w:val="auto"/>
                <w:szCs w:val="21"/>
                <w:highlight w:val="none"/>
              </w:rPr>
              <w:t>需提供合同</w:t>
            </w:r>
            <w:r>
              <w:rPr>
                <w:rFonts w:hint="eastAsia" w:ascii="宋体" w:hAnsi="宋体" w:eastAsia="宋体" w:cs="宋体"/>
                <w:color w:val="auto"/>
                <w:szCs w:val="21"/>
                <w:highlight w:val="none"/>
                <w:lang w:eastAsia="zh-CN"/>
              </w:rPr>
              <w:t>关键页</w:t>
            </w:r>
            <w:r>
              <w:rPr>
                <w:rFonts w:hint="eastAsia" w:ascii="宋体" w:hAnsi="宋体" w:eastAsia="宋体" w:cs="宋体"/>
                <w:color w:val="auto"/>
                <w:szCs w:val="21"/>
                <w:highlight w:val="none"/>
              </w:rPr>
              <w:t>复印件</w:t>
            </w:r>
            <w:r>
              <w:rPr>
                <w:rFonts w:hint="eastAsia" w:ascii="宋体" w:hAnsi="宋体" w:eastAsia="宋体" w:cs="宋体"/>
                <w:color w:val="auto"/>
                <w:szCs w:val="21"/>
                <w:highlight w:val="none"/>
                <w:lang w:eastAsia="zh-CN"/>
              </w:rPr>
              <w:t>（封面、盖章页等）</w:t>
            </w:r>
            <w:r>
              <w:rPr>
                <w:rFonts w:hint="eastAsia" w:ascii="宋体" w:hAnsi="宋体" w:eastAsia="宋体" w:cs="宋体"/>
                <w:color w:val="auto"/>
                <w:szCs w:val="21"/>
                <w:highlight w:val="none"/>
              </w:rPr>
              <w:t>，不提供、提供不全或专家无法认定的不得分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同类业绩时间以签订时间为准。</w:t>
            </w:r>
          </w:p>
        </w:tc>
        <w:tc>
          <w:tcPr>
            <w:tcW w:w="240" w:type="dxa"/>
            <w:shd w:val="clear" w:color="auto" w:fill="auto"/>
            <w:vAlign w:val="center"/>
          </w:tcPr>
          <w:p>
            <w:pPr>
              <w:keepLines/>
              <w:spacing w:line="240" w:lineRule="auto"/>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58" w:hRule="atLeast"/>
          <w:jc w:val="center"/>
        </w:trPr>
        <w:tc>
          <w:tcPr>
            <w:tcW w:w="643" w:type="dxa"/>
            <w:vMerge w:val="continue"/>
            <w:shd w:val="clear" w:color="auto" w:fill="auto"/>
            <w:vAlign w:val="center"/>
          </w:tcPr>
          <w:p>
            <w:pPr>
              <w:keepLines/>
              <w:snapToGrid w:val="0"/>
              <w:ind w:left="-2" w:leftChars="-1"/>
              <w:jc w:val="center"/>
              <w:rPr>
                <w:rFonts w:hint="eastAsia" w:ascii="宋体" w:hAnsi="宋体" w:eastAsia="宋体" w:cs="宋体"/>
                <w:color w:val="auto"/>
                <w:szCs w:val="21"/>
                <w:highlight w:val="none"/>
                <w:lang w:eastAsia="zh-CN"/>
              </w:rPr>
            </w:pPr>
          </w:p>
        </w:tc>
        <w:tc>
          <w:tcPr>
            <w:tcW w:w="1406" w:type="dxa"/>
            <w:shd w:val="clear" w:color="auto" w:fill="auto"/>
            <w:vAlign w:val="center"/>
          </w:tcPr>
          <w:p>
            <w:pPr>
              <w:keepLines/>
              <w:widowControl w:val="0"/>
              <w:ind w:left="-42" w:leftChars="0" w:right="-61" w:rightChars="0"/>
              <w:jc w:val="center"/>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业绩获奖</w:t>
            </w:r>
          </w:p>
        </w:tc>
        <w:tc>
          <w:tcPr>
            <w:tcW w:w="709" w:type="dxa"/>
            <w:shd w:val="clear" w:color="auto" w:fill="auto"/>
            <w:vAlign w:val="center"/>
          </w:tcPr>
          <w:p>
            <w:pPr>
              <w:keepLines/>
              <w:jc w:val="center"/>
              <w:rPr>
                <w:rFonts w:hint="eastAsia" w:ascii="宋体" w:hAnsi="宋体" w:eastAsia="宋体" w:cs="宋体"/>
                <w:color w:val="auto"/>
                <w:kern w:val="0"/>
                <w:szCs w:val="21"/>
                <w:highlight w:val="none"/>
                <w:lang w:val="en-US" w:eastAsia="zh-CN"/>
              </w:rPr>
            </w:pPr>
            <w:r>
              <w:rPr>
                <w:rFonts w:hint="eastAsia" w:ascii="宋体" w:hAnsi="宋体" w:eastAsia="宋体" w:cs="宋体"/>
                <w:color w:val="auto"/>
                <w:kern w:val="0"/>
                <w:szCs w:val="21"/>
                <w:highlight w:val="none"/>
                <w:lang w:val="en-US" w:eastAsia="zh-CN"/>
              </w:rPr>
              <w:t>6</w:t>
            </w:r>
          </w:p>
        </w:tc>
        <w:tc>
          <w:tcPr>
            <w:tcW w:w="9797" w:type="dxa"/>
            <w:shd w:val="clear" w:color="auto" w:fill="auto"/>
            <w:vAlign w:val="center"/>
          </w:tcPr>
          <w:p>
            <w:pPr>
              <w:keepLines/>
              <w:adjustRightInd w:val="0"/>
              <w:snapToGrid w:val="0"/>
              <w:ind w:left="0" w:leftChars="0" w:right="0" w:rightChars="0"/>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eastAsia="zh-CN"/>
              </w:rPr>
              <w:t>提供</w:t>
            </w:r>
            <w:r>
              <w:rPr>
                <w:rFonts w:hint="eastAsia" w:ascii="宋体" w:hAnsi="宋体" w:eastAsia="宋体" w:cs="宋体"/>
                <w:color w:val="auto"/>
                <w:szCs w:val="21"/>
                <w:highlight w:val="none"/>
              </w:rPr>
              <w:t>自201</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年1月1日至今，企业</w:t>
            </w:r>
            <w:r>
              <w:rPr>
                <w:rFonts w:hint="eastAsia" w:ascii="宋体" w:hAnsi="宋体" w:eastAsia="宋体" w:cs="宋体"/>
                <w:color w:val="auto"/>
                <w:szCs w:val="21"/>
                <w:highlight w:val="none"/>
                <w:lang w:val="en-US" w:eastAsia="zh-CN"/>
              </w:rPr>
              <w:t>同类</w:t>
            </w:r>
            <w:r>
              <w:rPr>
                <w:rFonts w:hint="eastAsia" w:ascii="宋体" w:hAnsi="宋体" w:eastAsia="宋体" w:cs="宋体"/>
                <w:color w:val="auto"/>
                <w:sz w:val="21"/>
                <w:szCs w:val="21"/>
                <w:highlight w:val="none"/>
                <w:u w:val="none"/>
                <w:lang w:eastAsia="zh-CN"/>
              </w:rPr>
              <w:t>消防设施</w:t>
            </w:r>
            <w:r>
              <w:rPr>
                <w:rFonts w:hint="eastAsia" w:ascii="宋体" w:hAnsi="宋体" w:eastAsia="宋体" w:cs="宋体"/>
                <w:color w:val="auto"/>
                <w:sz w:val="21"/>
                <w:szCs w:val="21"/>
                <w:highlight w:val="none"/>
                <w:u w:val="none"/>
              </w:rPr>
              <w:t>工程</w:t>
            </w:r>
            <w:r>
              <w:rPr>
                <w:rFonts w:hint="eastAsia" w:ascii="宋体" w:hAnsi="宋体" w:eastAsia="宋体" w:cs="宋体"/>
                <w:color w:val="auto"/>
                <w:szCs w:val="21"/>
                <w:highlight w:val="none"/>
                <w:lang w:val="en-US" w:eastAsia="zh-CN"/>
              </w:rPr>
              <w:t>项目业绩</w:t>
            </w:r>
            <w:r>
              <w:rPr>
                <w:rFonts w:hint="eastAsia" w:ascii="宋体" w:hAnsi="宋体" w:eastAsia="宋体" w:cs="宋体"/>
                <w:color w:val="auto"/>
                <w:szCs w:val="21"/>
                <w:highlight w:val="none"/>
              </w:rPr>
              <w:t>获奖证书原件扫描件或相关证明文件，并列表填写获奖时间、奖项名称（含颁奖单位）、工程项目名称（类别）等。</w:t>
            </w:r>
            <w:r>
              <w:rPr>
                <w:rFonts w:hint="eastAsia" w:ascii="宋体" w:hAnsi="宋体" w:eastAsia="宋体" w:cs="宋体"/>
                <w:color w:val="auto"/>
                <w:szCs w:val="21"/>
                <w:highlight w:val="none"/>
                <w:lang w:val="en-US" w:eastAsia="zh-CN"/>
              </w:rPr>
              <w:t>获得</w:t>
            </w:r>
            <w:r>
              <w:rPr>
                <w:rFonts w:hint="eastAsia" w:ascii="宋体" w:hAnsi="宋体" w:eastAsia="宋体" w:cs="宋体"/>
                <w:color w:val="auto"/>
                <w:szCs w:val="21"/>
                <w:highlight w:val="none"/>
              </w:rPr>
              <w:t>国家级奖项的，每个得</w:t>
            </w:r>
            <w:r>
              <w:rPr>
                <w:rFonts w:hint="eastAsia" w:ascii="宋体" w:hAnsi="宋体" w:eastAsia="宋体" w:cs="宋体"/>
                <w:color w:val="auto"/>
                <w:szCs w:val="21"/>
                <w:highlight w:val="none"/>
                <w:lang w:val="en-US" w:eastAsia="zh-CN"/>
              </w:rPr>
              <w:t>3</w:t>
            </w:r>
            <w:r>
              <w:rPr>
                <w:rFonts w:hint="eastAsia" w:ascii="宋体" w:hAnsi="宋体" w:eastAsia="宋体" w:cs="宋体"/>
                <w:color w:val="auto"/>
                <w:szCs w:val="21"/>
                <w:highlight w:val="none"/>
              </w:rPr>
              <w:t>分；获得省级奖项的，每</w:t>
            </w:r>
            <w:r>
              <w:rPr>
                <w:rFonts w:hint="eastAsia" w:ascii="宋体" w:hAnsi="宋体" w:eastAsia="宋体" w:cs="宋体"/>
                <w:color w:val="auto"/>
                <w:szCs w:val="21"/>
                <w:highlight w:val="none"/>
                <w:lang w:val="en-US" w:eastAsia="zh-CN"/>
              </w:rPr>
              <w:t>个</w:t>
            </w:r>
            <w:r>
              <w:rPr>
                <w:rFonts w:hint="eastAsia" w:ascii="宋体" w:hAnsi="宋体" w:eastAsia="宋体" w:cs="宋体"/>
                <w:color w:val="auto"/>
                <w:szCs w:val="21"/>
                <w:highlight w:val="none"/>
              </w:rPr>
              <w:t>得</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获得</w:t>
            </w:r>
            <w:r>
              <w:rPr>
                <w:rFonts w:hint="eastAsia" w:ascii="宋体" w:hAnsi="宋体" w:eastAsia="宋体" w:cs="宋体"/>
                <w:color w:val="auto"/>
                <w:szCs w:val="21"/>
                <w:highlight w:val="none"/>
                <w:lang w:val="en-US" w:eastAsia="zh-CN"/>
              </w:rPr>
              <w:t>市</w:t>
            </w:r>
            <w:r>
              <w:rPr>
                <w:rFonts w:hint="eastAsia" w:ascii="宋体" w:hAnsi="宋体" w:eastAsia="宋体" w:cs="宋体"/>
                <w:color w:val="auto"/>
                <w:szCs w:val="21"/>
                <w:highlight w:val="none"/>
              </w:rPr>
              <w:t>级奖项的，每</w:t>
            </w:r>
            <w:r>
              <w:rPr>
                <w:rFonts w:hint="eastAsia" w:ascii="宋体" w:hAnsi="宋体" w:eastAsia="宋体" w:cs="宋体"/>
                <w:color w:val="auto"/>
                <w:szCs w:val="21"/>
                <w:highlight w:val="none"/>
                <w:lang w:val="en-US" w:eastAsia="zh-CN"/>
              </w:rPr>
              <w:t>个</w:t>
            </w:r>
            <w:r>
              <w:rPr>
                <w:rFonts w:hint="eastAsia" w:ascii="宋体" w:hAnsi="宋体" w:eastAsia="宋体" w:cs="宋体"/>
                <w:color w:val="auto"/>
                <w:szCs w:val="21"/>
                <w:highlight w:val="none"/>
              </w:rPr>
              <w:t>得</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val="en-US" w:eastAsia="zh-CN"/>
              </w:rPr>
              <w:t>本项最多得6分。</w:t>
            </w:r>
          </w:p>
          <w:p>
            <w:pPr>
              <w:keepLines/>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kern w:val="2"/>
                <w:sz w:val="21"/>
                <w:szCs w:val="21"/>
                <w:highlight w:val="none"/>
                <w:lang w:bidi="ar"/>
              </w:rPr>
              <w:t>注：本项证明材料须提供获奖证书原件扫描件、颁奖单位在“全国社会组织信用信息公示平台”的查询结果，时间以获奖证书落款时间为准，未载明年度的以证书签署日期为准，同一个项目获多个奖项的只按最高奖项计分，不重复计算。</w:t>
            </w:r>
          </w:p>
        </w:tc>
        <w:tc>
          <w:tcPr>
            <w:tcW w:w="240" w:type="dxa"/>
            <w:shd w:val="clear" w:color="auto" w:fill="auto"/>
            <w:vAlign w:val="center"/>
          </w:tcPr>
          <w:p>
            <w:pPr>
              <w:keepLines/>
              <w:spacing w:line="240" w:lineRule="auto"/>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6" w:hRule="atLeast"/>
          <w:jc w:val="center"/>
        </w:trPr>
        <w:tc>
          <w:tcPr>
            <w:tcW w:w="643" w:type="dxa"/>
            <w:vMerge w:val="continue"/>
            <w:shd w:val="clear" w:color="auto" w:fill="auto"/>
            <w:vAlign w:val="center"/>
          </w:tcPr>
          <w:p>
            <w:pPr>
              <w:keepLines/>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keepLines/>
              <w:widowControl w:val="0"/>
              <w:ind w:left="-42" w:right="-61"/>
              <w:jc w:val="center"/>
              <w:rPr>
                <w:rFonts w:hint="eastAsia" w:ascii="宋体" w:hAnsi="宋体" w:eastAsia="宋体" w:cs="宋体"/>
                <w:color w:val="auto"/>
                <w:kern w:val="0"/>
                <w:szCs w:val="21"/>
                <w:highlight w:val="none"/>
              </w:rPr>
            </w:pPr>
          </w:p>
          <w:p>
            <w:pPr>
              <w:keepLines/>
              <w:widowControl w:val="0"/>
              <w:ind w:left="-42" w:right="-61"/>
              <w:jc w:val="center"/>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认证情况</w:t>
            </w:r>
          </w:p>
          <w:p>
            <w:pPr>
              <w:keepLines/>
              <w:widowControl w:val="0"/>
              <w:ind w:left="-42" w:leftChars="0" w:right="-61" w:rightChars="0"/>
              <w:rPr>
                <w:rFonts w:hint="eastAsia" w:ascii="宋体" w:hAnsi="宋体" w:eastAsia="宋体" w:cs="宋体"/>
                <w:color w:val="auto"/>
                <w:kern w:val="2"/>
                <w:sz w:val="21"/>
                <w:szCs w:val="21"/>
                <w:highlight w:val="none"/>
                <w:lang w:val="en-US" w:eastAsia="zh-CN" w:bidi="ar-SA"/>
              </w:rPr>
            </w:pPr>
          </w:p>
        </w:tc>
        <w:tc>
          <w:tcPr>
            <w:tcW w:w="709" w:type="dxa"/>
            <w:shd w:val="clear" w:color="auto" w:fill="auto"/>
            <w:vAlign w:val="center"/>
          </w:tcPr>
          <w:p>
            <w:pPr>
              <w:keepLines/>
              <w:jc w:val="center"/>
              <w:rPr>
                <w:rFonts w:hint="eastAsia" w:ascii="宋体" w:hAnsi="宋体" w:eastAsia="宋体" w:cs="宋体"/>
                <w:color w:val="auto"/>
                <w:kern w:val="2"/>
                <w:position w:val="8"/>
                <w:sz w:val="21"/>
                <w:szCs w:val="21"/>
                <w:highlight w:val="none"/>
                <w:lang w:val="en-US" w:eastAsia="zh-CN" w:bidi="ar-SA"/>
              </w:rPr>
            </w:pPr>
            <w:r>
              <w:rPr>
                <w:rFonts w:hint="eastAsia" w:ascii="宋体" w:hAnsi="宋体" w:eastAsia="宋体" w:cs="宋体"/>
                <w:color w:val="auto"/>
                <w:kern w:val="0"/>
                <w:szCs w:val="21"/>
                <w:highlight w:val="none"/>
                <w:lang w:val="en-US" w:eastAsia="zh-CN"/>
              </w:rPr>
              <w:t>3</w:t>
            </w:r>
          </w:p>
        </w:tc>
        <w:tc>
          <w:tcPr>
            <w:tcW w:w="9797" w:type="dxa"/>
            <w:shd w:val="clear" w:color="auto" w:fill="auto"/>
            <w:vAlign w:val="center"/>
          </w:tcPr>
          <w:p>
            <w:pPr>
              <w:keepLines/>
              <w:autoSpaceDE w:val="0"/>
              <w:autoSpaceDN w:val="0"/>
              <w:jc w:val="left"/>
              <w:rPr>
                <w:rFonts w:hint="eastAsia" w:ascii="宋体" w:hAnsi="宋体" w:eastAsia="宋体" w:cs="宋体"/>
                <w:b w:val="0"/>
                <w:bCs w:val="0"/>
                <w:color w:val="auto"/>
                <w:szCs w:val="21"/>
                <w:highlight w:val="none"/>
              </w:rPr>
            </w:pPr>
            <w:r>
              <w:rPr>
                <w:rFonts w:hint="eastAsia" w:ascii="宋体" w:hAnsi="宋体" w:eastAsia="宋体" w:cs="宋体"/>
                <w:color w:val="auto"/>
                <w:szCs w:val="21"/>
                <w:highlight w:val="none"/>
              </w:rPr>
              <w:t>投标人具有有效的质量管理体系认证证书、环境管理体系认证证书、职业健康安全管理体系认证证书，每有一</w:t>
            </w:r>
            <w:r>
              <w:rPr>
                <w:rFonts w:hint="eastAsia" w:ascii="宋体" w:hAnsi="宋体" w:eastAsia="宋体" w:cs="宋体"/>
                <w:b w:val="0"/>
                <w:bCs w:val="0"/>
                <w:color w:val="auto"/>
                <w:szCs w:val="21"/>
                <w:highlight w:val="none"/>
              </w:rPr>
              <w:t>个证书</w:t>
            </w:r>
            <w:r>
              <w:rPr>
                <w:rFonts w:hint="eastAsia" w:ascii="宋体" w:hAnsi="宋体" w:eastAsia="宋体" w:cs="宋体"/>
                <w:b w:val="0"/>
                <w:bCs w:val="0"/>
                <w:color w:val="auto"/>
                <w:szCs w:val="21"/>
                <w:highlight w:val="none"/>
                <w:shd w:val="clear" w:fill="auto"/>
                <w:lang w:val="en-US" w:eastAsia="zh-CN"/>
              </w:rPr>
              <w:t>得1</w:t>
            </w:r>
            <w:r>
              <w:rPr>
                <w:rFonts w:hint="eastAsia" w:ascii="宋体" w:hAnsi="宋体" w:eastAsia="宋体" w:cs="宋体"/>
                <w:b w:val="0"/>
                <w:bCs w:val="0"/>
                <w:color w:val="auto"/>
                <w:szCs w:val="21"/>
                <w:highlight w:val="none"/>
                <w:shd w:val="clear" w:fill="auto"/>
              </w:rPr>
              <w:t>分</w:t>
            </w:r>
            <w:r>
              <w:rPr>
                <w:rFonts w:hint="eastAsia" w:ascii="宋体" w:hAnsi="宋体" w:eastAsia="宋体" w:cs="宋体"/>
                <w:b w:val="0"/>
                <w:bCs w:val="0"/>
                <w:color w:val="auto"/>
                <w:szCs w:val="21"/>
                <w:highlight w:val="none"/>
              </w:rPr>
              <w:t>。本项最高</w:t>
            </w:r>
            <w:r>
              <w:rPr>
                <w:rFonts w:hint="eastAsia" w:ascii="宋体" w:hAnsi="宋体" w:eastAsia="宋体" w:cs="宋体"/>
                <w:b w:val="0"/>
                <w:bCs w:val="0"/>
                <w:color w:val="auto"/>
                <w:szCs w:val="21"/>
                <w:highlight w:val="none"/>
                <w:shd w:val="clear" w:fill="auto"/>
              </w:rPr>
              <w:t>得</w:t>
            </w:r>
            <w:r>
              <w:rPr>
                <w:rFonts w:hint="eastAsia" w:ascii="宋体" w:hAnsi="宋体" w:eastAsia="宋体" w:cs="宋体"/>
                <w:b w:val="0"/>
                <w:bCs w:val="0"/>
                <w:color w:val="auto"/>
                <w:szCs w:val="21"/>
                <w:highlight w:val="none"/>
                <w:shd w:val="clear" w:fill="auto"/>
                <w:lang w:val="en-US" w:eastAsia="zh-CN"/>
              </w:rPr>
              <w:t>3</w:t>
            </w:r>
            <w:r>
              <w:rPr>
                <w:rFonts w:hint="eastAsia" w:ascii="宋体" w:hAnsi="宋体" w:eastAsia="宋体" w:cs="宋体"/>
                <w:b w:val="0"/>
                <w:bCs w:val="0"/>
                <w:color w:val="auto"/>
                <w:szCs w:val="21"/>
                <w:highlight w:val="none"/>
                <w:shd w:val="clear" w:fill="auto"/>
              </w:rPr>
              <w:t>分</w:t>
            </w:r>
            <w:r>
              <w:rPr>
                <w:rFonts w:hint="eastAsia" w:ascii="宋体" w:hAnsi="宋体" w:eastAsia="宋体" w:cs="宋体"/>
                <w:b w:val="0"/>
                <w:bCs w:val="0"/>
                <w:color w:val="auto"/>
                <w:szCs w:val="21"/>
                <w:highlight w:val="none"/>
              </w:rPr>
              <w:t>。</w:t>
            </w:r>
          </w:p>
          <w:p>
            <w:pPr>
              <w:keepLines/>
              <w:autoSpaceDE w:val="0"/>
              <w:autoSpaceDN w:val="0"/>
              <w:jc w:val="left"/>
              <w:rPr>
                <w:rFonts w:hint="eastAsia" w:ascii="宋体" w:hAnsi="宋体" w:eastAsia="宋体" w:cs="宋体"/>
                <w:color w:val="auto"/>
                <w:szCs w:val="21"/>
                <w:highlight w:val="none"/>
                <w:lang w:val="en-US" w:eastAsia="zh-CN"/>
              </w:rPr>
            </w:pPr>
            <w:r>
              <w:rPr>
                <w:rFonts w:hint="eastAsia" w:ascii="宋体" w:hAnsi="宋体" w:eastAsia="宋体" w:cs="宋体"/>
                <w:b w:val="0"/>
                <w:bCs w:val="0"/>
                <w:color w:val="auto"/>
                <w:szCs w:val="21"/>
                <w:highlight w:val="none"/>
              </w:rPr>
              <w:t>注：</w:t>
            </w:r>
            <w:r>
              <w:rPr>
                <w:rFonts w:hint="eastAsia" w:ascii="宋体" w:hAnsi="宋体" w:eastAsia="宋体" w:cs="宋体"/>
                <w:b w:val="0"/>
                <w:bCs w:val="0"/>
                <w:color w:val="auto"/>
                <w:sz w:val="21"/>
                <w:szCs w:val="21"/>
                <w:highlight w:val="none"/>
              </w:rPr>
              <w:t>（须提供</w:t>
            </w:r>
            <w:r>
              <w:rPr>
                <w:rFonts w:hint="eastAsia" w:ascii="宋体" w:hAnsi="宋体" w:eastAsia="宋体" w:cs="宋体"/>
                <w:b w:val="0"/>
                <w:bCs w:val="0"/>
                <w:color w:val="auto"/>
                <w:sz w:val="21"/>
                <w:szCs w:val="21"/>
                <w:highlight w:val="none"/>
                <w:lang w:val="en-US" w:eastAsia="zh-CN"/>
              </w:rPr>
              <w:t>以上有效期内的</w:t>
            </w:r>
            <w:r>
              <w:rPr>
                <w:rFonts w:hint="eastAsia" w:ascii="宋体" w:hAnsi="宋体" w:eastAsia="宋体" w:cs="宋体"/>
                <w:b w:val="0"/>
                <w:bCs w:val="0"/>
                <w:color w:val="auto"/>
                <w:sz w:val="21"/>
                <w:szCs w:val="21"/>
                <w:highlight w:val="none"/>
              </w:rPr>
              <w:t>证书复印件以及在全国认证认可信息公共服务平台上http://cx.cnca.cn查询结果的截图，证书状态必须为“有效”</w:t>
            </w:r>
            <w:r>
              <w:rPr>
                <w:rFonts w:hint="eastAsia" w:ascii="宋体" w:hAnsi="宋体" w:eastAsia="宋体" w:cs="宋体"/>
                <w:b w:val="0"/>
                <w:bCs w:val="0"/>
                <w:color w:val="auto"/>
                <w:sz w:val="21"/>
                <w:szCs w:val="21"/>
                <w:highlight w:val="none"/>
                <w:lang w:eastAsia="zh-CN"/>
              </w:rPr>
              <w:t>，</w:t>
            </w:r>
            <w:r>
              <w:rPr>
                <w:rFonts w:hint="eastAsia" w:ascii="宋体" w:hAnsi="宋体" w:eastAsia="宋体" w:cs="宋体"/>
                <w:b w:val="0"/>
                <w:bCs w:val="0"/>
                <w:color w:val="auto"/>
                <w:sz w:val="21"/>
                <w:szCs w:val="21"/>
                <w:highlight w:val="none"/>
                <w:lang w:val="en-US" w:eastAsia="zh-CN"/>
              </w:rPr>
              <w:t>否则不得分。</w:t>
            </w:r>
            <w:r>
              <w:rPr>
                <w:rFonts w:hint="eastAsia" w:ascii="宋体" w:hAnsi="宋体" w:eastAsia="宋体" w:cs="宋体"/>
                <w:b w:val="0"/>
                <w:bCs w:val="0"/>
                <w:color w:val="auto"/>
                <w:sz w:val="21"/>
                <w:szCs w:val="21"/>
                <w:highlight w:val="none"/>
              </w:rPr>
              <w:t>）</w:t>
            </w:r>
          </w:p>
        </w:tc>
        <w:tc>
          <w:tcPr>
            <w:tcW w:w="240" w:type="dxa"/>
            <w:shd w:val="clear" w:color="auto" w:fill="auto"/>
            <w:vAlign w:val="center"/>
          </w:tcPr>
          <w:p>
            <w:pPr>
              <w:keepLines/>
              <w:spacing w:line="240" w:lineRule="auto"/>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456" w:hRule="atLeast"/>
          <w:jc w:val="center"/>
        </w:trPr>
        <w:tc>
          <w:tcPr>
            <w:tcW w:w="643" w:type="dxa"/>
            <w:vMerge w:val="continue"/>
            <w:shd w:val="clear" w:color="auto" w:fill="auto"/>
            <w:vAlign w:val="center"/>
          </w:tcPr>
          <w:p>
            <w:pPr>
              <w:keepLines/>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keepLines/>
              <w:snapToGrid w:val="0"/>
              <w:spacing w:line="240" w:lineRule="auto"/>
              <w:ind w:left="-2" w:leftChars="-1"/>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eastAsia="zh-CN"/>
              </w:rPr>
              <w:t>企业信誉</w:t>
            </w:r>
          </w:p>
        </w:tc>
        <w:tc>
          <w:tcPr>
            <w:tcW w:w="709" w:type="dxa"/>
            <w:shd w:val="clear" w:color="auto" w:fill="auto"/>
            <w:vAlign w:val="center"/>
          </w:tcPr>
          <w:p>
            <w:pPr>
              <w:keepLines/>
              <w:spacing w:line="240" w:lineRule="auto"/>
              <w:ind w:left="-2" w:leftChars="-1"/>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val="en-US" w:eastAsia="zh-CN"/>
              </w:rPr>
              <w:t>2</w:t>
            </w:r>
          </w:p>
        </w:tc>
        <w:tc>
          <w:tcPr>
            <w:tcW w:w="9797" w:type="dxa"/>
            <w:shd w:val="clear" w:color="auto" w:fill="auto"/>
            <w:vAlign w:val="center"/>
          </w:tcPr>
          <w:p>
            <w:pPr>
              <w:keepNext w:val="0"/>
              <w:keepLines/>
              <w:pageBreakBefore w:val="0"/>
              <w:kinsoku/>
              <w:wordWrap/>
              <w:overflowPunct/>
              <w:topLinePunct w:val="0"/>
              <w:autoSpaceDE/>
              <w:autoSpaceDN/>
              <w:bidi w:val="0"/>
              <w:adjustRightInd/>
              <w:snapToGrid/>
              <w:spacing w:beforeAutospacing="0" w:afterAutospacing="0" w:line="240" w:lineRule="auto"/>
              <w:jc w:val="left"/>
              <w:textAlignment w:val="auto"/>
              <w:rPr>
                <w:rFonts w:hint="eastAsia" w:ascii="宋体" w:hAnsi="宋体" w:eastAsia="宋体" w:cs="宋体"/>
                <w:color w:val="auto"/>
                <w:szCs w:val="21"/>
                <w:highlight w:val="none"/>
              </w:rPr>
            </w:pPr>
            <w:r>
              <w:rPr>
                <w:rFonts w:hint="eastAsia" w:ascii="宋体" w:hAnsi="宋体" w:eastAsia="宋体" w:cs="宋体"/>
                <w:color w:val="auto"/>
                <w:kern w:val="2"/>
                <w:sz w:val="21"/>
                <w:szCs w:val="21"/>
                <w:highlight w:val="none"/>
                <w:lang w:val="en-US" w:eastAsia="zh-CN" w:bidi="ar-SA"/>
              </w:rPr>
              <w:t>投标人</w:t>
            </w:r>
            <w:r>
              <w:rPr>
                <w:rFonts w:hint="eastAsia" w:ascii="宋体" w:hAnsi="宋体" w:eastAsia="宋体" w:cs="宋体"/>
                <w:color w:val="auto"/>
                <w:szCs w:val="21"/>
                <w:highlight w:val="none"/>
              </w:rPr>
              <w:t>201</w:t>
            </w:r>
            <w:r>
              <w:rPr>
                <w:rFonts w:hint="eastAsia" w:ascii="宋体" w:hAnsi="宋体" w:eastAsia="宋体" w:cs="宋体"/>
                <w:color w:val="auto"/>
                <w:szCs w:val="21"/>
                <w:highlight w:val="none"/>
                <w:lang w:val="en-US" w:eastAsia="zh-CN"/>
              </w:rPr>
              <w:t>8</w:t>
            </w:r>
            <w:r>
              <w:rPr>
                <w:rFonts w:hint="eastAsia" w:ascii="宋体" w:hAnsi="宋体" w:eastAsia="宋体" w:cs="宋体"/>
                <w:color w:val="auto"/>
                <w:szCs w:val="21"/>
                <w:highlight w:val="none"/>
              </w:rPr>
              <w:t>年1月1日至今</w:t>
            </w:r>
            <w:r>
              <w:rPr>
                <w:rFonts w:hint="eastAsia" w:ascii="宋体" w:hAnsi="宋体" w:eastAsia="宋体" w:cs="宋体"/>
                <w:color w:val="auto"/>
                <w:szCs w:val="21"/>
                <w:highlight w:val="none"/>
                <w:lang w:val="en-US" w:eastAsia="zh-CN"/>
              </w:rPr>
              <w:t>连续三年或以上</w:t>
            </w:r>
            <w:r>
              <w:rPr>
                <w:rFonts w:hint="eastAsia" w:ascii="宋体" w:hAnsi="宋体" w:eastAsia="宋体" w:cs="宋体"/>
                <w:color w:val="auto"/>
                <w:szCs w:val="21"/>
                <w:highlight w:val="none"/>
              </w:rPr>
              <w:t>获得纳税信用等级A级称号</w:t>
            </w:r>
            <w:r>
              <w:rPr>
                <w:rFonts w:hint="eastAsia" w:ascii="宋体" w:hAnsi="宋体" w:eastAsia="宋体" w:cs="宋体"/>
                <w:color w:val="auto"/>
                <w:szCs w:val="21"/>
                <w:highlight w:val="none"/>
                <w:lang w:eastAsia="zh-CN"/>
              </w:rPr>
              <w:t>的</w:t>
            </w:r>
            <w:r>
              <w:rPr>
                <w:rFonts w:hint="eastAsia" w:ascii="宋体" w:hAnsi="宋体" w:eastAsia="宋体" w:cs="宋体"/>
                <w:color w:val="auto"/>
                <w:szCs w:val="21"/>
                <w:highlight w:val="none"/>
              </w:rPr>
              <w:t>，得</w:t>
            </w:r>
            <w:r>
              <w:rPr>
                <w:rFonts w:hint="eastAsia" w:ascii="宋体" w:hAnsi="宋体" w:eastAsia="宋体" w:cs="宋体"/>
                <w:color w:val="auto"/>
                <w:szCs w:val="21"/>
                <w:highlight w:val="none"/>
                <w:lang w:val="en-US" w:eastAsia="zh-CN"/>
              </w:rPr>
              <w:t>2</w:t>
            </w:r>
            <w:r>
              <w:rPr>
                <w:rFonts w:hint="eastAsia" w:ascii="宋体" w:hAnsi="宋体" w:eastAsia="宋体" w:cs="宋体"/>
                <w:color w:val="auto"/>
                <w:szCs w:val="21"/>
                <w:highlight w:val="none"/>
              </w:rPr>
              <w:t>分；</w:t>
            </w:r>
          </w:p>
          <w:p>
            <w:pPr>
              <w:pStyle w:val="9"/>
              <w:keepLines/>
              <w:spacing w:line="240" w:lineRule="auto"/>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注：“A级纳税人称号”以“国家税务总局”官网（http://www.chinatax.gov.cn/index.html）查询结果为准，纳税人等级只计算投标人自身（不计算投标人的分公司和子公司）。投标人须提供在上述官网网站的有效查询路径及查询结果网页截图（不符合条件或未提交截图的不计分）。时间以国家税务总局官网公布的获奖年度（评价年度）为准，没有提供或不符合要求的不得分</w:t>
            </w:r>
            <w:r>
              <w:rPr>
                <w:rFonts w:hint="eastAsia" w:ascii="宋体" w:hAnsi="宋体" w:eastAsia="宋体" w:cs="宋体"/>
                <w:color w:val="auto"/>
                <w:szCs w:val="21"/>
                <w:highlight w:val="none"/>
                <w:lang w:eastAsia="zh-CN"/>
              </w:rPr>
              <w:t>。】</w:t>
            </w:r>
          </w:p>
        </w:tc>
        <w:tc>
          <w:tcPr>
            <w:tcW w:w="240" w:type="dxa"/>
            <w:shd w:val="clear" w:color="auto" w:fill="auto"/>
            <w:vAlign w:val="center"/>
          </w:tcPr>
          <w:p>
            <w:pPr>
              <w:keepLines/>
              <w:spacing w:line="240" w:lineRule="auto"/>
              <w:ind w:left="-2" w:leftChars="-1"/>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shd w:val="clear" w:color="auto" w:fill="auto"/>
            <w:vAlign w:val="center"/>
          </w:tcPr>
          <w:p>
            <w:pPr>
              <w:keepLines/>
              <w:snapToGrid w:val="0"/>
              <w:ind w:left="-2" w:leftChars="-1"/>
              <w:jc w:val="center"/>
              <w:rPr>
                <w:rFonts w:hint="eastAsia" w:ascii="宋体" w:hAnsi="宋体" w:eastAsia="宋体" w:cs="宋体"/>
                <w:color w:val="auto"/>
                <w:szCs w:val="21"/>
                <w:highlight w:val="none"/>
              </w:rPr>
            </w:pPr>
          </w:p>
        </w:tc>
        <w:tc>
          <w:tcPr>
            <w:tcW w:w="1406" w:type="dxa"/>
            <w:vMerge w:val="restart"/>
            <w:shd w:val="clear" w:color="auto" w:fill="auto"/>
            <w:vAlign w:val="center"/>
          </w:tcPr>
          <w:p>
            <w:pPr>
              <w:keepLines/>
              <w:jc w:val="center"/>
              <w:rPr>
                <w:rFonts w:hint="eastAsia" w:ascii="宋体" w:hAnsi="宋体" w:eastAsia="宋体" w:cs="宋体"/>
                <w:color w:val="auto"/>
                <w:sz w:val="21"/>
                <w:szCs w:val="21"/>
                <w:highlight w:val="none"/>
              </w:rPr>
            </w:pPr>
            <w:r>
              <w:rPr>
                <w:rFonts w:hint="eastAsia" w:ascii="宋体" w:hAnsi="宋体" w:eastAsia="宋体" w:cs="宋体"/>
                <w:color w:val="auto"/>
                <w:spacing w:val="-5"/>
                <w:szCs w:val="21"/>
                <w:highlight w:val="none"/>
              </w:rPr>
              <w:t>拟派本项目</w:t>
            </w:r>
            <w:r>
              <w:rPr>
                <w:rFonts w:hint="eastAsia" w:ascii="宋体" w:hAnsi="宋体" w:eastAsia="宋体" w:cs="宋体"/>
                <w:color w:val="auto"/>
                <w:spacing w:val="-5"/>
                <w:szCs w:val="21"/>
                <w:highlight w:val="none"/>
                <w:lang w:val="en-US" w:eastAsia="zh-CN"/>
              </w:rPr>
              <w:t>团队</w:t>
            </w:r>
            <w:r>
              <w:rPr>
                <w:rFonts w:hint="eastAsia" w:ascii="宋体" w:hAnsi="宋体" w:eastAsia="宋体" w:cs="宋体"/>
                <w:color w:val="auto"/>
                <w:spacing w:val="-5"/>
                <w:szCs w:val="21"/>
                <w:highlight w:val="none"/>
              </w:rPr>
              <w:t>情况</w:t>
            </w:r>
          </w:p>
        </w:tc>
        <w:tc>
          <w:tcPr>
            <w:tcW w:w="709" w:type="dxa"/>
            <w:shd w:val="clear" w:color="auto" w:fill="auto"/>
            <w:vAlign w:val="center"/>
          </w:tcPr>
          <w:p>
            <w:pPr>
              <w:keepLines/>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3</w:t>
            </w:r>
          </w:p>
        </w:tc>
        <w:tc>
          <w:tcPr>
            <w:tcW w:w="9797" w:type="dxa"/>
            <w:shd w:val="clear" w:color="auto" w:fill="auto"/>
            <w:vAlign w:val="center"/>
          </w:tcPr>
          <w:p>
            <w:pPr>
              <w:keepLines/>
              <w:autoSpaceDE w:val="0"/>
              <w:autoSpaceDN w:val="0"/>
              <w:adjustRightInd w:val="0"/>
              <w:snapToGrid w:val="0"/>
              <w:spacing w:line="240" w:lineRule="auto"/>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lang w:val="en-US" w:eastAsia="zh-CN"/>
              </w:rPr>
              <w:t>项目</w:t>
            </w:r>
            <w:r>
              <w:rPr>
                <w:rFonts w:hint="eastAsia" w:ascii="宋体" w:hAnsi="宋体" w:eastAsia="宋体" w:cs="宋体"/>
                <w:color w:val="auto"/>
                <w:spacing w:val="-5"/>
                <w:szCs w:val="21"/>
                <w:highlight w:val="none"/>
              </w:rPr>
              <w:t>负责人：</w:t>
            </w:r>
          </w:p>
          <w:p>
            <w:pPr>
              <w:keepLines/>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1、具有</w:t>
            </w:r>
            <w:r>
              <w:rPr>
                <w:rFonts w:hint="eastAsia" w:ascii="宋体" w:hAnsi="宋体" w:eastAsia="宋体" w:cs="宋体"/>
                <w:color w:val="auto"/>
                <w:spacing w:val="-5"/>
                <w:sz w:val="21"/>
                <w:szCs w:val="21"/>
                <w:highlight w:val="none"/>
                <w:u w:val="none"/>
                <w:lang w:eastAsia="zh-CN"/>
              </w:rPr>
              <w:t>机电</w:t>
            </w:r>
            <w:r>
              <w:rPr>
                <w:rFonts w:hint="eastAsia" w:ascii="宋体" w:hAnsi="宋体" w:eastAsia="宋体" w:cs="宋体"/>
                <w:color w:val="auto"/>
                <w:spacing w:val="-5"/>
                <w:sz w:val="21"/>
                <w:szCs w:val="21"/>
                <w:highlight w:val="none"/>
                <w:u w:val="none"/>
              </w:rPr>
              <w:t>工程专业</w:t>
            </w:r>
            <w:r>
              <w:rPr>
                <w:rFonts w:hint="eastAsia" w:ascii="宋体" w:hAnsi="宋体" w:eastAsia="宋体" w:cs="宋体"/>
                <w:color w:val="auto"/>
                <w:spacing w:val="-5"/>
                <w:sz w:val="21"/>
                <w:szCs w:val="21"/>
                <w:highlight w:val="none"/>
                <w:u w:val="none"/>
                <w:lang w:eastAsia="zh-CN"/>
              </w:rPr>
              <w:t>一</w:t>
            </w:r>
            <w:r>
              <w:rPr>
                <w:rFonts w:hint="eastAsia" w:ascii="宋体" w:hAnsi="宋体" w:eastAsia="宋体" w:cs="宋体"/>
                <w:color w:val="auto"/>
                <w:spacing w:val="-5"/>
                <w:sz w:val="21"/>
                <w:szCs w:val="21"/>
                <w:highlight w:val="none"/>
                <w:u w:val="none"/>
              </w:rPr>
              <w:t>级注册建造师</w:t>
            </w:r>
            <w:r>
              <w:rPr>
                <w:rFonts w:hint="eastAsia" w:ascii="宋体" w:hAnsi="宋体" w:eastAsia="宋体" w:cs="宋体"/>
                <w:color w:val="auto"/>
                <w:spacing w:val="-5"/>
                <w:szCs w:val="21"/>
                <w:highlight w:val="none"/>
                <w:lang w:val="en-US" w:eastAsia="zh-CN"/>
              </w:rPr>
              <w:t>，</w:t>
            </w:r>
            <w:r>
              <w:rPr>
                <w:rFonts w:hint="eastAsia" w:ascii="宋体" w:hAnsi="宋体" w:eastAsia="宋体" w:cs="宋体"/>
                <w:color w:val="auto"/>
                <w:spacing w:val="-5"/>
                <w:szCs w:val="21"/>
                <w:highlight w:val="none"/>
                <w:shd w:val="clear"/>
                <w:lang w:val="en-US" w:eastAsia="zh-CN"/>
              </w:rPr>
              <w:t>得1分</w:t>
            </w:r>
            <w:r>
              <w:rPr>
                <w:rFonts w:hint="eastAsia" w:ascii="宋体" w:hAnsi="宋体" w:eastAsia="宋体" w:cs="宋体"/>
                <w:color w:val="auto"/>
                <w:spacing w:val="-5"/>
                <w:szCs w:val="21"/>
                <w:highlight w:val="none"/>
                <w:lang w:val="en-US" w:eastAsia="zh-CN"/>
              </w:rPr>
              <w:t>；</w:t>
            </w:r>
          </w:p>
          <w:p>
            <w:pPr>
              <w:keepLines/>
              <w:numPr>
                <w:ilvl w:val="0"/>
                <w:numId w:val="0"/>
              </w:numPr>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2、具有</w:t>
            </w:r>
            <w:r>
              <w:rPr>
                <w:rFonts w:hint="eastAsia" w:ascii="宋体" w:hAnsi="宋体" w:eastAsia="宋体" w:cs="宋体"/>
                <w:color w:val="auto"/>
                <w:spacing w:val="-5"/>
                <w:szCs w:val="21"/>
                <w:highlight w:val="none"/>
              </w:rPr>
              <w:t>工作经验15年或以上，</w:t>
            </w:r>
            <w:r>
              <w:rPr>
                <w:rFonts w:hint="eastAsia" w:ascii="宋体" w:hAnsi="宋体" w:eastAsia="宋体" w:cs="宋体"/>
                <w:color w:val="auto"/>
                <w:spacing w:val="-5"/>
                <w:szCs w:val="21"/>
                <w:highlight w:val="none"/>
                <w:shd w:val="clear"/>
              </w:rPr>
              <w:t>得</w:t>
            </w:r>
            <w:r>
              <w:rPr>
                <w:rFonts w:hint="eastAsia" w:ascii="宋体" w:hAnsi="宋体" w:eastAsia="宋体" w:cs="宋体"/>
                <w:color w:val="auto"/>
                <w:spacing w:val="-5"/>
                <w:szCs w:val="21"/>
                <w:highlight w:val="none"/>
                <w:shd w:val="clear"/>
                <w:lang w:val="en-US" w:eastAsia="zh-CN"/>
              </w:rPr>
              <w:t>1</w:t>
            </w:r>
            <w:r>
              <w:rPr>
                <w:rFonts w:hint="eastAsia" w:ascii="宋体" w:hAnsi="宋体" w:eastAsia="宋体" w:cs="宋体"/>
                <w:color w:val="auto"/>
                <w:spacing w:val="-5"/>
                <w:szCs w:val="21"/>
                <w:highlight w:val="none"/>
                <w:shd w:val="clear"/>
              </w:rPr>
              <w:t>分</w:t>
            </w:r>
            <w:r>
              <w:rPr>
                <w:rFonts w:hint="eastAsia" w:ascii="宋体" w:hAnsi="宋体" w:eastAsia="宋体" w:cs="宋体"/>
                <w:color w:val="auto"/>
                <w:spacing w:val="-5"/>
                <w:szCs w:val="21"/>
                <w:highlight w:val="none"/>
              </w:rPr>
              <w:t>；</w:t>
            </w:r>
          </w:p>
          <w:p>
            <w:pPr>
              <w:keepLines/>
              <w:autoSpaceDE w:val="0"/>
              <w:autoSpaceDN w:val="0"/>
              <w:adjustRightInd w:val="0"/>
              <w:snapToGrid w:val="0"/>
              <w:spacing w:line="240" w:lineRule="auto"/>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lang w:val="en-US" w:eastAsia="zh-CN"/>
              </w:rPr>
              <w:t>3、</w:t>
            </w:r>
            <w:r>
              <w:rPr>
                <w:rFonts w:hint="eastAsia" w:ascii="宋体" w:hAnsi="宋体" w:eastAsia="宋体" w:cs="宋体"/>
                <w:color w:val="auto"/>
                <w:spacing w:val="-5"/>
                <w:szCs w:val="21"/>
                <w:highlight w:val="none"/>
              </w:rPr>
              <w:t>具有工程类</w:t>
            </w:r>
            <w:r>
              <w:rPr>
                <w:rFonts w:hint="eastAsia" w:ascii="宋体" w:hAnsi="宋体" w:eastAsia="宋体" w:cs="宋体"/>
                <w:color w:val="auto"/>
                <w:spacing w:val="-5"/>
                <w:szCs w:val="21"/>
                <w:highlight w:val="none"/>
                <w:lang w:val="en-US" w:eastAsia="zh-CN"/>
              </w:rPr>
              <w:t>高</w:t>
            </w:r>
            <w:r>
              <w:rPr>
                <w:rFonts w:hint="eastAsia" w:ascii="宋体" w:hAnsi="宋体" w:eastAsia="宋体" w:cs="宋体"/>
                <w:color w:val="auto"/>
                <w:spacing w:val="-5"/>
                <w:szCs w:val="21"/>
                <w:highlight w:val="none"/>
              </w:rPr>
              <w:t>级或以上职称，</w:t>
            </w:r>
            <w:r>
              <w:rPr>
                <w:rFonts w:hint="eastAsia" w:ascii="宋体" w:hAnsi="宋体" w:eastAsia="宋体" w:cs="宋体"/>
                <w:color w:val="auto"/>
                <w:spacing w:val="-5"/>
                <w:szCs w:val="21"/>
                <w:highlight w:val="none"/>
                <w:shd w:val="clear"/>
              </w:rPr>
              <w:t>得</w:t>
            </w:r>
            <w:r>
              <w:rPr>
                <w:rFonts w:hint="eastAsia" w:ascii="宋体" w:hAnsi="宋体" w:eastAsia="宋体" w:cs="宋体"/>
                <w:color w:val="auto"/>
                <w:spacing w:val="-5"/>
                <w:szCs w:val="21"/>
                <w:highlight w:val="none"/>
                <w:shd w:val="clear"/>
                <w:lang w:val="en-US" w:eastAsia="zh-CN"/>
              </w:rPr>
              <w:t>1</w:t>
            </w:r>
            <w:r>
              <w:rPr>
                <w:rFonts w:hint="eastAsia" w:ascii="宋体" w:hAnsi="宋体" w:eastAsia="宋体" w:cs="宋体"/>
                <w:color w:val="auto"/>
                <w:spacing w:val="-5"/>
                <w:szCs w:val="21"/>
                <w:highlight w:val="none"/>
                <w:shd w:val="clear"/>
              </w:rPr>
              <w:t>分</w:t>
            </w:r>
            <w:r>
              <w:rPr>
                <w:rFonts w:hint="eastAsia" w:ascii="宋体" w:hAnsi="宋体" w:eastAsia="宋体" w:cs="宋体"/>
                <w:color w:val="auto"/>
                <w:spacing w:val="-5"/>
                <w:szCs w:val="21"/>
                <w:highlight w:val="none"/>
              </w:rPr>
              <w:t>。</w:t>
            </w:r>
          </w:p>
          <w:p>
            <w:pPr>
              <w:keepLines/>
              <w:autoSpaceDE w:val="0"/>
              <w:autoSpaceDN w:val="0"/>
              <w:adjustRightInd w:val="0"/>
              <w:snapToGrid w:val="0"/>
              <w:spacing w:line="240" w:lineRule="auto"/>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本项最</w:t>
            </w:r>
            <w:r>
              <w:rPr>
                <w:rFonts w:hint="eastAsia" w:ascii="宋体" w:hAnsi="宋体" w:eastAsia="宋体" w:cs="宋体"/>
                <w:color w:val="auto"/>
                <w:spacing w:val="-5"/>
                <w:szCs w:val="21"/>
                <w:highlight w:val="none"/>
                <w:shd w:val="clear"/>
              </w:rPr>
              <w:t>高</w:t>
            </w:r>
            <w:r>
              <w:rPr>
                <w:rFonts w:hint="eastAsia" w:ascii="宋体" w:hAnsi="宋体" w:eastAsia="宋体" w:cs="宋体"/>
                <w:color w:val="auto"/>
                <w:spacing w:val="-5"/>
                <w:szCs w:val="21"/>
                <w:highlight w:val="none"/>
                <w:shd w:val="clear"/>
                <w:lang w:eastAsia="zh-CN"/>
              </w:rPr>
              <w:t>得</w:t>
            </w:r>
            <w:r>
              <w:rPr>
                <w:rFonts w:hint="eastAsia" w:ascii="宋体" w:hAnsi="宋体" w:eastAsia="宋体" w:cs="宋体"/>
                <w:color w:val="auto"/>
                <w:spacing w:val="-5"/>
                <w:szCs w:val="21"/>
                <w:highlight w:val="none"/>
                <w:shd w:val="clear"/>
                <w:lang w:val="en-US" w:eastAsia="zh-CN"/>
              </w:rPr>
              <w:t>3</w:t>
            </w:r>
            <w:r>
              <w:rPr>
                <w:rFonts w:hint="eastAsia" w:ascii="宋体" w:hAnsi="宋体" w:eastAsia="宋体" w:cs="宋体"/>
                <w:color w:val="auto"/>
                <w:spacing w:val="-5"/>
                <w:szCs w:val="21"/>
                <w:highlight w:val="none"/>
                <w:shd w:val="clear"/>
              </w:rPr>
              <w:t>分</w:t>
            </w:r>
            <w:r>
              <w:rPr>
                <w:rFonts w:hint="eastAsia" w:ascii="宋体" w:hAnsi="宋体" w:eastAsia="宋体" w:cs="宋体"/>
                <w:color w:val="auto"/>
                <w:spacing w:val="-5"/>
                <w:szCs w:val="21"/>
                <w:highlight w:val="none"/>
              </w:rPr>
              <w:t>。</w:t>
            </w:r>
          </w:p>
          <w:p>
            <w:pPr>
              <w:keepLines/>
              <w:autoSpaceDE w:val="0"/>
              <w:autoSpaceDN w:val="0"/>
              <w:adjustRightInd w:val="0"/>
              <w:snapToGrid w:val="0"/>
              <w:spacing w:line="240" w:lineRule="auto"/>
              <w:rPr>
                <w:rFonts w:hint="eastAsia" w:ascii="宋体" w:hAnsi="宋体" w:eastAsia="宋体" w:cs="宋体"/>
                <w:color w:val="auto"/>
                <w:spacing w:val="-5"/>
                <w:sz w:val="21"/>
                <w:szCs w:val="21"/>
                <w:highlight w:val="none"/>
                <w:lang w:val="en-US" w:eastAsia="zh-CN"/>
              </w:rPr>
            </w:pPr>
            <w:r>
              <w:rPr>
                <w:rFonts w:hint="eastAsia" w:ascii="宋体" w:hAnsi="宋体" w:eastAsia="宋体" w:cs="宋体"/>
                <w:color w:val="auto"/>
                <w:spacing w:val="-5"/>
                <w:szCs w:val="21"/>
                <w:highlight w:val="none"/>
                <w:lang w:eastAsia="zh-CN"/>
              </w:rPr>
              <w:t>（</w:t>
            </w:r>
            <w:r>
              <w:rPr>
                <w:rFonts w:hint="eastAsia" w:ascii="宋体" w:hAnsi="宋体" w:eastAsia="宋体" w:cs="宋体"/>
                <w:color w:val="auto"/>
                <w:spacing w:val="-5"/>
                <w:szCs w:val="21"/>
                <w:highlight w:val="none"/>
              </w:rPr>
              <w:t>注：需提供人员相关证书和毕业证书和投标人近</w:t>
            </w:r>
            <w:r>
              <w:rPr>
                <w:rFonts w:hint="eastAsia" w:ascii="宋体" w:hAnsi="宋体" w:eastAsia="宋体" w:cs="宋体"/>
                <w:color w:val="auto"/>
                <w:spacing w:val="-5"/>
                <w:szCs w:val="21"/>
                <w:highlight w:val="none"/>
                <w:lang w:val="en-US" w:eastAsia="zh-CN"/>
              </w:rPr>
              <w:t>3</w:t>
            </w:r>
            <w:r>
              <w:rPr>
                <w:rFonts w:hint="eastAsia" w:ascii="宋体" w:hAnsi="宋体" w:eastAsia="宋体" w:cs="宋体"/>
                <w:color w:val="auto"/>
                <w:spacing w:val="-5"/>
                <w:szCs w:val="21"/>
                <w:highlight w:val="none"/>
              </w:rPr>
              <w:t>个月（或以上）连续为其购买社保的加盖社会保险基金管理中心印章的《投保单》或《社会保险参保人员证明》复印件，工作经验以毕业证发证时间开始计算，不符合或不提供不得分</w:t>
            </w:r>
            <w:r>
              <w:rPr>
                <w:rFonts w:hint="eastAsia" w:ascii="宋体" w:hAnsi="宋体" w:eastAsia="宋体" w:cs="宋体"/>
                <w:color w:val="auto"/>
                <w:spacing w:val="-5"/>
                <w:szCs w:val="21"/>
                <w:highlight w:val="none"/>
                <w:lang w:eastAsia="zh-CN"/>
              </w:rPr>
              <w:t>。）</w:t>
            </w:r>
          </w:p>
        </w:tc>
        <w:tc>
          <w:tcPr>
            <w:tcW w:w="240" w:type="dxa"/>
            <w:shd w:val="clear" w:color="auto" w:fill="auto"/>
            <w:vAlign w:val="center"/>
          </w:tcPr>
          <w:p>
            <w:pPr>
              <w:keepLines/>
              <w:spacing w:line="240" w:lineRule="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9" w:hRule="atLeast"/>
          <w:jc w:val="center"/>
        </w:trPr>
        <w:tc>
          <w:tcPr>
            <w:tcW w:w="643" w:type="dxa"/>
            <w:vMerge w:val="continue"/>
            <w:shd w:val="clear" w:color="auto" w:fill="auto"/>
            <w:vAlign w:val="center"/>
          </w:tcPr>
          <w:p>
            <w:pPr>
              <w:keepLines/>
              <w:snapToGrid w:val="0"/>
              <w:ind w:left="-2" w:leftChars="-1"/>
              <w:jc w:val="center"/>
              <w:rPr>
                <w:rFonts w:hint="eastAsia" w:ascii="宋体" w:hAnsi="宋体" w:eastAsia="宋体" w:cs="宋体"/>
                <w:color w:val="auto"/>
                <w:szCs w:val="21"/>
                <w:highlight w:val="none"/>
              </w:rPr>
            </w:pPr>
          </w:p>
        </w:tc>
        <w:tc>
          <w:tcPr>
            <w:tcW w:w="1406" w:type="dxa"/>
            <w:vMerge w:val="continue"/>
            <w:shd w:val="clear" w:color="auto" w:fill="auto"/>
            <w:vAlign w:val="center"/>
          </w:tcPr>
          <w:p>
            <w:pPr>
              <w:keepLines/>
              <w:jc w:val="center"/>
              <w:rPr>
                <w:rFonts w:hint="eastAsia" w:ascii="宋体" w:hAnsi="宋体" w:eastAsia="宋体" w:cs="宋体"/>
                <w:color w:val="auto"/>
                <w:spacing w:val="-5"/>
                <w:szCs w:val="21"/>
                <w:highlight w:val="none"/>
              </w:rPr>
            </w:pPr>
          </w:p>
        </w:tc>
        <w:tc>
          <w:tcPr>
            <w:tcW w:w="709" w:type="dxa"/>
            <w:shd w:val="clear" w:color="auto" w:fill="auto"/>
            <w:vAlign w:val="center"/>
          </w:tcPr>
          <w:p>
            <w:pPr>
              <w:keepLines/>
              <w:jc w:val="center"/>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w:t>
            </w:r>
          </w:p>
        </w:tc>
        <w:tc>
          <w:tcPr>
            <w:tcW w:w="9797" w:type="dxa"/>
            <w:shd w:val="clear" w:color="auto" w:fill="auto"/>
            <w:vAlign w:val="center"/>
          </w:tcPr>
          <w:p>
            <w:pPr>
              <w:keepLines/>
              <w:autoSpaceDE w:val="0"/>
              <w:autoSpaceDN w:val="0"/>
              <w:adjustRightInd w:val="0"/>
              <w:snapToGrid w:val="0"/>
              <w:spacing w:line="240" w:lineRule="auto"/>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lang w:val="en-US" w:eastAsia="zh-CN"/>
              </w:rPr>
              <w:t>技术</w:t>
            </w:r>
            <w:r>
              <w:rPr>
                <w:rFonts w:hint="eastAsia" w:ascii="宋体" w:hAnsi="宋体" w:eastAsia="宋体" w:cs="宋体"/>
                <w:color w:val="auto"/>
                <w:spacing w:val="-5"/>
                <w:szCs w:val="21"/>
                <w:highlight w:val="none"/>
              </w:rPr>
              <w:t>负责人：</w:t>
            </w:r>
          </w:p>
          <w:p>
            <w:pPr>
              <w:keepLines/>
              <w:autoSpaceDE w:val="0"/>
              <w:autoSpaceDN w:val="0"/>
              <w:adjustRightInd w:val="0"/>
              <w:snapToGrid w:val="0"/>
              <w:spacing w:line="240" w:lineRule="auto"/>
              <w:rPr>
                <w:rFonts w:hint="eastAsia" w:ascii="宋体" w:hAnsi="宋体" w:eastAsia="宋体" w:cs="宋体"/>
                <w:color w:val="auto"/>
                <w:spacing w:val="-5"/>
                <w:szCs w:val="21"/>
                <w:highlight w:val="none"/>
                <w:lang w:val="en-US" w:eastAsia="zh-CN"/>
              </w:rPr>
            </w:pPr>
            <w:r>
              <w:rPr>
                <w:rFonts w:hint="eastAsia" w:ascii="宋体" w:hAnsi="宋体" w:eastAsia="宋体" w:cs="宋体"/>
                <w:color w:val="auto"/>
                <w:spacing w:val="-5"/>
                <w:szCs w:val="21"/>
                <w:highlight w:val="none"/>
                <w:lang w:val="en-US" w:eastAsia="zh-CN"/>
              </w:rPr>
              <w:t>1、具有</w:t>
            </w:r>
            <w:r>
              <w:rPr>
                <w:rFonts w:hint="eastAsia" w:ascii="宋体" w:hAnsi="宋体" w:eastAsia="宋体" w:cs="宋体"/>
                <w:color w:val="auto"/>
                <w:spacing w:val="-5"/>
                <w:sz w:val="21"/>
                <w:szCs w:val="21"/>
                <w:highlight w:val="none"/>
                <w:u w:val="none"/>
                <w:lang w:eastAsia="zh-CN"/>
              </w:rPr>
              <w:t>机电</w:t>
            </w:r>
            <w:r>
              <w:rPr>
                <w:rFonts w:hint="eastAsia" w:ascii="宋体" w:hAnsi="宋体" w:eastAsia="宋体" w:cs="宋体"/>
                <w:color w:val="auto"/>
                <w:spacing w:val="-5"/>
                <w:sz w:val="21"/>
                <w:szCs w:val="21"/>
                <w:highlight w:val="none"/>
                <w:u w:val="none"/>
              </w:rPr>
              <w:t>工程专业</w:t>
            </w:r>
            <w:r>
              <w:rPr>
                <w:rFonts w:hint="eastAsia" w:ascii="宋体" w:hAnsi="宋体" w:eastAsia="宋体" w:cs="宋体"/>
                <w:color w:val="auto"/>
                <w:spacing w:val="-5"/>
                <w:sz w:val="21"/>
                <w:szCs w:val="21"/>
                <w:highlight w:val="none"/>
                <w:u w:val="none"/>
                <w:lang w:eastAsia="zh-CN"/>
              </w:rPr>
              <w:t>一</w:t>
            </w:r>
            <w:r>
              <w:rPr>
                <w:rFonts w:hint="eastAsia" w:ascii="宋体" w:hAnsi="宋体" w:eastAsia="宋体" w:cs="宋体"/>
                <w:color w:val="auto"/>
                <w:spacing w:val="-5"/>
                <w:sz w:val="21"/>
                <w:szCs w:val="21"/>
                <w:highlight w:val="none"/>
                <w:u w:val="none"/>
              </w:rPr>
              <w:t>级注册建造师</w:t>
            </w:r>
            <w:r>
              <w:rPr>
                <w:rFonts w:hint="eastAsia" w:ascii="宋体" w:hAnsi="宋体" w:eastAsia="宋体" w:cs="宋体"/>
                <w:color w:val="auto"/>
                <w:spacing w:val="-5"/>
                <w:szCs w:val="21"/>
                <w:highlight w:val="none"/>
                <w:lang w:val="en-US" w:eastAsia="zh-CN"/>
              </w:rPr>
              <w:t>，</w:t>
            </w:r>
            <w:r>
              <w:rPr>
                <w:rFonts w:hint="eastAsia" w:ascii="宋体" w:hAnsi="宋体" w:eastAsia="宋体" w:cs="宋体"/>
                <w:color w:val="auto"/>
                <w:spacing w:val="-5"/>
                <w:szCs w:val="21"/>
                <w:highlight w:val="none"/>
                <w:shd w:val="clear"/>
                <w:lang w:val="en-US" w:eastAsia="zh-CN"/>
              </w:rPr>
              <w:t>得1分</w:t>
            </w:r>
            <w:r>
              <w:rPr>
                <w:rFonts w:hint="eastAsia" w:ascii="宋体" w:hAnsi="宋体" w:eastAsia="宋体" w:cs="宋体"/>
                <w:color w:val="auto"/>
                <w:spacing w:val="-5"/>
                <w:szCs w:val="21"/>
                <w:highlight w:val="none"/>
                <w:lang w:val="en-US" w:eastAsia="zh-CN"/>
              </w:rPr>
              <w:t>；具有</w:t>
            </w:r>
            <w:r>
              <w:rPr>
                <w:rFonts w:hint="eastAsia" w:ascii="宋体" w:hAnsi="宋体" w:eastAsia="宋体" w:cs="宋体"/>
                <w:color w:val="auto"/>
                <w:spacing w:val="-5"/>
                <w:sz w:val="21"/>
                <w:szCs w:val="21"/>
                <w:highlight w:val="none"/>
                <w:u w:val="none"/>
                <w:lang w:eastAsia="zh-CN"/>
              </w:rPr>
              <w:t>机电</w:t>
            </w:r>
            <w:r>
              <w:rPr>
                <w:rFonts w:hint="eastAsia" w:ascii="宋体" w:hAnsi="宋体" w:eastAsia="宋体" w:cs="宋体"/>
                <w:color w:val="auto"/>
                <w:spacing w:val="-5"/>
                <w:sz w:val="21"/>
                <w:szCs w:val="21"/>
                <w:highlight w:val="none"/>
                <w:u w:val="none"/>
              </w:rPr>
              <w:t>工程专业</w:t>
            </w:r>
            <w:r>
              <w:rPr>
                <w:rFonts w:hint="eastAsia" w:ascii="宋体" w:hAnsi="宋体" w:eastAsia="宋体" w:cs="宋体"/>
                <w:color w:val="auto"/>
                <w:spacing w:val="-5"/>
                <w:sz w:val="21"/>
                <w:szCs w:val="21"/>
                <w:highlight w:val="none"/>
                <w:u w:val="none"/>
                <w:lang w:eastAsia="zh-CN"/>
              </w:rPr>
              <w:t>二</w:t>
            </w:r>
            <w:r>
              <w:rPr>
                <w:rFonts w:hint="eastAsia" w:ascii="宋体" w:hAnsi="宋体" w:eastAsia="宋体" w:cs="宋体"/>
                <w:color w:val="auto"/>
                <w:spacing w:val="-5"/>
                <w:sz w:val="21"/>
                <w:szCs w:val="21"/>
                <w:highlight w:val="none"/>
                <w:u w:val="none"/>
              </w:rPr>
              <w:t>级注册建造师</w:t>
            </w:r>
            <w:r>
              <w:rPr>
                <w:rFonts w:hint="eastAsia" w:ascii="宋体" w:hAnsi="宋体" w:eastAsia="宋体" w:cs="宋体"/>
                <w:color w:val="auto"/>
                <w:spacing w:val="-5"/>
                <w:szCs w:val="21"/>
                <w:highlight w:val="none"/>
                <w:lang w:val="en-US" w:eastAsia="zh-CN"/>
              </w:rPr>
              <w:t>，得0.5分；最多得1分；</w:t>
            </w:r>
          </w:p>
          <w:p>
            <w:pPr>
              <w:keepLines/>
              <w:autoSpaceDE w:val="0"/>
              <w:autoSpaceDN w:val="0"/>
              <w:adjustRightInd w:val="0"/>
              <w:snapToGrid w:val="0"/>
              <w:spacing w:line="240" w:lineRule="auto"/>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lang w:val="en-US" w:eastAsia="zh-CN"/>
              </w:rPr>
              <w:t>2、</w:t>
            </w:r>
            <w:r>
              <w:rPr>
                <w:rFonts w:hint="eastAsia" w:ascii="宋体" w:hAnsi="宋体" w:eastAsia="宋体" w:cs="宋体"/>
                <w:color w:val="auto"/>
                <w:spacing w:val="-5"/>
                <w:szCs w:val="21"/>
                <w:highlight w:val="none"/>
              </w:rPr>
              <w:t>具有</w:t>
            </w:r>
            <w:r>
              <w:rPr>
                <w:rFonts w:hint="eastAsia" w:ascii="宋体" w:hAnsi="宋体" w:eastAsia="宋体" w:cs="宋体"/>
                <w:color w:val="auto"/>
                <w:spacing w:val="-5"/>
                <w:sz w:val="21"/>
                <w:szCs w:val="21"/>
                <w:highlight w:val="none"/>
                <w:u w:val="none"/>
                <w:lang w:eastAsia="zh-CN"/>
              </w:rPr>
              <w:t>机电</w:t>
            </w:r>
            <w:r>
              <w:rPr>
                <w:rFonts w:hint="eastAsia" w:ascii="宋体" w:hAnsi="宋体" w:eastAsia="宋体" w:cs="宋体"/>
                <w:color w:val="auto"/>
                <w:spacing w:val="-5"/>
                <w:sz w:val="21"/>
                <w:szCs w:val="21"/>
                <w:highlight w:val="none"/>
                <w:u w:val="none"/>
              </w:rPr>
              <w:t>工程专业</w:t>
            </w:r>
            <w:r>
              <w:rPr>
                <w:rFonts w:hint="eastAsia" w:ascii="宋体" w:hAnsi="宋体" w:eastAsia="宋体" w:cs="宋体"/>
                <w:color w:val="auto"/>
                <w:spacing w:val="-5"/>
                <w:szCs w:val="21"/>
                <w:highlight w:val="none"/>
              </w:rPr>
              <w:t>工程类</w:t>
            </w:r>
            <w:r>
              <w:rPr>
                <w:rFonts w:hint="eastAsia" w:ascii="宋体" w:hAnsi="宋体" w:eastAsia="宋体" w:cs="宋体"/>
                <w:color w:val="auto"/>
                <w:spacing w:val="-5"/>
                <w:szCs w:val="21"/>
                <w:highlight w:val="none"/>
                <w:lang w:val="en-US" w:eastAsia="zh-CN"/>
              </w:rPr>
              <w:t>高</w:t>
            </w:r>
            <w:r>
              <w:rPr>
                <w:rFonts w:hint="eastAsia" w:ascii="宋体" w:hAnsi="宋体" w:eastAsia="宋体" w:cs="宋体"/>
                <w:color w:val="auto"/>
                <w:spacing w:val="-5"/>
                <w:szCs w:val="21"/>
                <w:highlight w:val="none"/>
              </w:rPr>
              <w:t>级或以上职称，</w:t>
            </w:r>
            <w:r>
              <w:rPr>
                <w:rFonts w:hint="eastAsia" w:ascii="宋体" w:hAnsi="宋体" w:eastAsia="宋体" w:cs="宋体"/>
                <w:color w:val="auto"/>
                <w:spacing w:val="-5"/>
                <w:szCs w:val="21"/>
                <w:highlight w:val="none"/>
                <w:shd w:val="clear"/>
              </w:rPr>
              <w:t>得</w:t>
            </w:r>
            <w:r>
              <w:rPr>
                <w:rFonts w:hint="eastAsia" w:ascii="宋体" w:hAnsi="宋体" w:eastAsia="宋体" w:cs="宋体"/>
                <w:color w:val="auto"/>
                <w:spacing w:val="-5"/>
                <w:szCs w:val="21"/>
                <w:highlight w:val="none"/>
                <w:shd w:val="clear"/>
                <w:lang w:val="en-US" w:eastAsia="zh-CN"/>
              </w:rPr>
              <w:t>1</w:t>
            </w:r>
            <w:r>
              <w:rPr>
                <w:rFonts w:hint="eastAsia" w:ascii="宋体" w:hAnsi="宋体" w:eastAsia="宋体" w:cs="宋体"/>
                <w:color w:val="auto"/>
                <w:spacing w:val="-5"/>
                <w:szCs w:val="21"/>
                <w:highlight w:val="none"/>
                <w:shd w:val="clear"/>
              </w:rPr>
              <w:t>分</w:t>
            </w:r>
            <w:r>
              <w:rPr>
                <w:rFonts w:hint="eastAsia" w:ascii="宋体" w:hAnsi="宋体" w:eastAsia="宋体" w:cs="宋体"/>
                <w:color w:val="auto"/>
                <w:spacing w:val="-5"/>
                <w:szCs w:val="21"/>
                <w:highlight w:val="none"/>
              </w:rPr>
              <w:t>。</w:t>
            </w:r>
          </w:p>
          <w:p>
            <w:pPr>
              <w:keepLines/>
              <w:autoSpaceDE w:val="0"/>
              <w:autoSpaceDN w:val="0"/>
              <w:adjustRightInd w:val="0"/>
              <w:snapToGrid w:val="0"/>
              <w:spacing w:line="240" w:lineRule="auto"/>
              <w:rPr>
                <w:rFonts w:hint="eastAsia" w:ascii="宋体" w:hAnsi="宋体" w:eastAsia="宋体" w:cs="宋体"/>
                <w:color w:val="auto"/>
                <w:spacing w:val="-5"/>
                <w:szCs w:val="21"/>
                <w:highlight w:val="none"/>
              </w:rPr>
            </w:pPr>
            <w:r>
              <w:rPr>
                <w:rFonts w:hint="eastAsia" w:ascii="宋体" w:hAnsi="宋体" w:eastAsia="宋体" w:cs="宋体"/>
                <w:color w:val="auto"/>
                <w:spacing w:val="-5"/>
                <w:szCs w:val="21"/>
                <w:highlight w:val="none"/>
              </w:rPr>
              <w:t>本项最</w:t>
            </w:r>
            <w:r>
              <w:rPr>
                <w:rFonts w:hint="eastAsia" w:ascii="宋体" w:hAnsi="宋体" w:eastAsia="宋体" w:cs="宋体"/>
                <w:color w:val="auto"/>
                <w:spacing w:val="-5"/>
                <w:szCs w:val="21"/>
                <w:highlight w:val="none"/>
                <w:shd w:val="clear"/>
              </w:rPr>
              <w:t>高</w:t>
            </w:r>
            <w:r>
              <w:rPr>
                <w:rFonts w:hint="eastAsia" w:ascii="宋体" w:hAnsi="宋体" w:eastAsia="宋体" w:cs="宋体"/>
                <w:color w:val="auto"/>
                <w:spacing w:val="-5"/>
                <w:szCs w:val="21"/>
                <w:highlight w:val="none"/>
                <w:shd w:val="clear"/>
                <w:lang w:eastAsia="zh-CN"/>
              </w:rPr>
              <w:t>得</w:t>
            </w:r>
            <w:r>
              <w:rPr>
                <w:rFonts w:hint="eastAsia" w:ascii="宋体" w:hAnsi="宋体" w:eastAsia="宋体" w:cs="宋体"/>
                <w:color w:val="auto"/>
                <w:spacing w:val="-5"/>
                <w:szCs w:val="21"/>
                <w:highlight w:val="none"/>
                <w:shd w:val="clear"/>
                <w:lang w:val="en-US" w:eastAsia="zh-CN"/>
              </w:rPr>
              <w:t>2</w:t>
            </w:r>
            <w:r>
              <w:rPr>
                <w:rFonts w:hint="eastAsia" w:ascii="宋体" w:hAnsi="宋体" w:eastAsia="宋体" w:cs="宋体"/>
                <w:color w:val="auto"/>
                <w:spacing w:val="-5"/>
                <w:szCs w:val="21"/>
                <w:highlight w:val="none"/>
                <w:shd w:val="clear"/>
              </w:rPr>
              <w:t>分</w:t>
            </w:r>
            <w:r>
              <w:rPr>
                <w:rFonts w:hint="eastAsia" w:ascii="宋体" w:hAnsi="宋体" w:eastAsia="宋体" w:cs="宋体"/>
                <w:color w:val="auto"/>
                <w:spacing w:val="-5"/>
                <w:szCs w:val="21"/>
                <w:highlight w:val="none"/>
              </w:rPr>
              <w:t>。</w:t>
            </w:r>
          </w:p>
          <w:p>
            <w:pPr>
              <w:keepLines/>
              <w:autoSpaceDE w:val="0"/>
              <w:autoSpaceDN w:val="0"/>
              <w:adjustRightInd w:val="0"/>
              <w:snapToGrid w:val="0"/>
              <w:spacing w:line="240" w:lineRule="auto"/>
              <w:rPr>
                <w:rFonts w:hint="eastAsia" w:ascii="宋体" w:hAnsi="宋体" w:eastAsia="宋体" w:cs="宋体"/>
                <w:color w:val="auto"/>
                <w:spacing w:val="-5"/>
                <w:szCs w:val="21"/>
                <w:highlight w:val="none"/>
                <w:lang w:eastAsia="zh-CN"/>
              </w:rPr>
            </w:pPr>
            <w:r>
              <w:rPr>
                <w:rFonts w:hint="eastAsia" w:ascii="宋体" w:hAnsi="宋体" w:eastAsia="宋体" w:cs="宋体"/>
                <w:color w:val="auto"/>
                <w:spacing w:val="-5"/>
                <w:szCs w:val="21"/>
                <w:highlight w:val="none"/>
                <w:lang w:eastAsia="zh-CN"/>
              </w:rPr>
              <w:t>（</w:t>
            </w:r>
            <w:r>
              <w:rPr>
                <w:rFonts w:hint="eastAsia" w:ascii="宋体" w:hAnsi="宋体" w:eastAsia="宋体" w:cs="宋体"/>
                <w:color w:val="auto"/>
                <w:spacing w:val="-5"/>
                <w:szCs w:val="21"/>
                <w:highlight w:val="none"/>
              </w:rPr>
              <w:t>注：需提供人员相关证书和毕业证书和投标人近</w:t>
            </w:r>
            <w:r>
              <w:rPr>
                <w:rFonts w:hint="eastAsia" w:ascii="宋体" w:hAnsi="宋体" w:eastAsia="宋体" w:cs="宋体"/>
                <w:color w:val="auto"/>
                <w:spacing w:val="-5"/>
                <w:szCs w:val="21"/>
                <w:highlight w:val="none"/>
                <w:lang w:val="en-US" w:eastAsia="zh-CN"/>
              </w:rPr>
              <w:t>3</w:t>
            </w:r>
            <w:r>
              <w:rPr>
                <w:rFonts w:hint="eastAsia" w:ascii="宋体" w:hAnsi="宋体" w:eastAsia="宋体" w:cs="宋体"/>
                <w:color w:val="auto"/>
                <w:spacing w:val="-5"/>
                <w:szCs w:val="21"/>
                <w:highlight w:val="none"/>
              </w:rPr>
              <w:t>个月（或以上）连续为其购买社保的加盖社会保险基金管理中心印章的《投保单》或《社会保险参保人员证明》复印件，不符合或不提供不得分</w:t>
            </w:r>
            <w:r>
              <w:rPr>
                <w:rFonts w:hint="eastAsia" w:ascii="宋体" w:hAnsi="宋体" w:eastAsia="宋体" w:cs="宋体"/>
                <w:color w:val="auto"/>
                <w:spacing w:val="-5"/>
                <w:szCs w:val="21"/>
                <w:highlight w:val="none"/>
                <w:lang w:eastAsia="zh-CN"/>
              </w:rPr>
              <w:t>。）</w:t>
            </w:r>
          </w:p>
        </w:tc>
        <w:tc>
          <w:tcPr>
            <w:tcW w:w="240" w:type="dxa"/>
            <w:shd w:val="clear" w:color="auto" w:fill="auto"/>
            <w:vAlign w:val="center"/>
          </w:tcPr>
          <w:p>
            <w:pPr>
              <w:keepLines/>
              <w:spacing w:line="240" w:lineRule="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94" w:hRule="atLeast"/>
          <w:jc w:val="center"/>
        </w:trPr>
        <w:tc>
          <w:tcPr>
            <w:tcW w:w="643" w:type="dxa"/>
            <w:vMerge w:val="restart"/>
            <w:shd w:val="clear" w:color="auto" w:fill="auto"/>
            <w:vAlign w:val="center"/>
          </w:tcPr>
          <w:p>
            <w:pPr>
              <w:keepLines/>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lang w:eastAsia="zh-CN"/>
              </w:rPr>
              <w:t>技术</w:t>
            </w:r>
            <w:r>
              <w:rPr>
                <w:rFonts w:hint="eastAsia" w:ascii="宋体" w:hAnsi="宋体" w:eastAsia="宋体" w:cs="宋体"/>
                <w:color w:val="auto"/>
                <w:szCs w:val="21"/>
                <w:highlight w:val="none"/>
              </w:rPr>
              <w:t>部分</w:t>
            </w:r>
          </w:p>
          <w:p>
            <w:pPr>
              <w:pStyle w:val="5"/>
              <w:keepLines/>
              <w:spacing w:line="240" w:lineRule="auto"/>
              <w:ind w:left="0" w:leftChars="0" w:firstLine="0" w:firstLineChars="0"/>
              <w:jc w:val="center"/>
              <w:rPr>
                <w:rFonts w:hint="eastAsia" w:ascii="宋体" w:hAnsi="宋体" w:eastAsia="宋体" w:cs="宋体"/>
                <w:b w:val="0"/>
                <w:bCs/>
                <w:color w:val="auto"/>
                <w:szCs w:val="21"/>
                <w:highlight w:val="none"/>
                <w:lang w:eastAsia="zh-CN"/>
              </w:rPr>
            </w:pPr>
            <w:r>
              <w:rPr>
                <w:rFonts w:hint="eastAsia" w:ascii="宋体" w:hAnsi="宋体" w:eastAsia="宋体" w:cs="宋体"/>
                <w:b w:val="0"/>
                <w:bCs/>
                <w:color w:val="auto"/>
                <w:szCs w:val="21"/>
                <w:highlight w:val="none"/>
                <w:lang w:eastAsia="zh-CN"/>
              </w:rPr>
              <w:t>（</w:t>
            </w:r>
            <w:r>
              <w:rPr>
                <w:rFonts w:hint="eastAsia" w:ascii="宋体" w:hAnsi="宋体" w:eastAsia="宋体" w:cs="宋体"/>
                <w:b w:val="0"/>
                <w:bCs/>
                <w:color w:val="auto"/>
                <w:szCs w:val="21"/>
                <w:highlight w:val="none"/>
                <w:lang w:val="en-US" w:eastAsia="zh-CN"/>
              </w:rPr>
              <w:t>20分</w:t>
            </w:r>
            <w:r>
              <w:rPr>
                <w:rFonts w:hint="eastAsia" w:ascii="宋体" w:hAnsi="宋体" w:eastAsia="宋体" w:cs="宋体"/>
                <w:b w:val="0"/>
                <w:bCs/>
                <w:color w:val="auto"/>
                <w:szCs w:val="21"/>
                <w:highlight w:val="none"/>
                <w:lang w:eastAsia="zh-CN"/>
              </w:rPr>
              <w:t>）</w:t>
            </w:r>
          </w:p>
          <w:p>
            <w:pPr>
              <w:keepLines/>
              <w:snapToGrid w:val="0"/>
              <w:ind w:left="-2" w:leftChars="-1"/>
              <w:jc w:val="center"/>
              <w:rPr>
                <w:rFonts w:hint="eastAsia" w:ascii="宋体" w:hAnsi="宋体" w:eastAsia="宋体" w:cs="宋体"/>
                <w:color w:val="auto"/>
                <w:szCs w:val="21"/>
                <w:highlight w:val="none"/>
              </w:rPr>
            </w:pPr>
          </w:p>
        </w:tc>
        <w:tc>
          <w:tcPr>
            <w:tcW w:w="1406" w:type="dxa"/>
            <w:shd w:val="clear" w:color="auto" w:fill="auto"/>
            <w:vAlign w:val="center"/>
          </w:tcPr>
          <w:p>
            <w:pPr>
              <w:numPr>
                <w:ilvl w:val="-1"/>
                <w:numId w:val="0"/>
              </w:numPr>
              <w:autoSpaceDE w:val="0"/>
              <w:autoSpaceDN w:val="0"/>
              <w:adjustRightInd w:val="0"/>
              <w:snapToGrid/>
              <w:spacing w:line="240" w:lineRule="auto"/>
              <w:ind w:left="0" w:leftChars="0" w:firstLine="0" w:firstLineChars="0"/>
              <w:jc w:val="center"/>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Cs w:val="21"/>
                <w:highlight w:val="none"/>
                <w:lang w:eastAsia="zh-CN"/>
              </w:rPr>
              <w:t>施工组织方案</w:t>
            </w:r>
          </w:p>
        </w:tc>
        <w:tc>
          <w:tcPr>
            <w:tcW w:w="709" w:type="dxa"/>
            <w:shd w:val="clear" w:color="auto" w:fill="auto"/>
            <w:vAlign w:val="center"/>
          </w:tcPr>
          <w:p>
            <w:pPr>
              <w:numPr>
                <w:ilvl w:val="-1"/>
                <w:numId w:val="0"/>
              </w:numPr>
              <w:autoSpaceDE/>
              <w:autoSpaceDN/>
              <w:adjustRightInd/>
              <w:snapToGrid/>
              <w:spacing w:line="240" w:lineRule="auto"/>
              <w:ind w:left="0" w:leftChars="0" w:firstLine="0" w:firstLineChars="0"/>
              <w:jc w:val="center"/>
              <w:rPr>
                <w:rFonts w:hint="eastAsia" w:ascii="宋体" w:hAnsi="宋体" w:eastAsia="宋体" w:cs="宋体"/>
                <w:color w:val="auto"/>
                <w:kern w:val="2"/>
                <w:position w:val="8"/>
                <w:sz w:val="21"/>
                <w:szCs w:val="21"/>
                <w:highlight w:val="none"/>
                <w:lang w:val="en-US" w:eastAsia="zh-CN" w:bidi="ar-SA"/>
              </w:rPr>
            </w:pPr>
            <w:r>
              <w:rPr>
                <w:rFonts w:hint="eastAsia" w:ascii="宋体" w:hAnsi="宋体" w:eastAsia="宋体" w:cs="宋体"/>
                <w:strike w:val="0"/>
                <w:color w:val="auto"/>
                <w:position w:val="8"/>
                <w:szCs w:val="21"/>
                <w:highlight w:val="none"/>
                <w:lang w:val="en-US" w:eastAsia="zh-CN"/>
              </w:rPr>
              <w:t>20</w:t>
            </w:r>
          </w:p>
        </w:tc>
        <w:tc>
          <w:tcPr>
            <w:tcW w:w="9797" w:type="dxa"/>
            <w:shd w:val="clear" w:color="auto" w:fill="auto"/>
            <w:vAlign w:val="center"/>
          </w:tcPr>
          <w:p>
            <w:pPr>
              <w:adjustRightInd/>
              <w:snapToGrid/>
              <w:spacing w:line="240" w:lineRule="auto"/>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对施工组织方案进行评价，内容包括人员架构、质量控制措施、进度计划及保证措施、安全文明施工管理措施、疫情防控措施等方面。</w:t>
            </w:r>
          </w:p>
          <w:p>
            <w:pPr>
              <w:adjustRightInd/>
              <w:snapToGrid/>
              <w:spacing w:line="24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优：</w:t>
            </w:r>
            <w:r>
              <w:rPr>
                <w:rFonts w:hint="eastAsia" w:ascii="宋体" w:hAnsi="宋体" w:eastAsia="宋体" w:cs="宋体"/>
                <w:color w:val="auto"/>
                <w:szCs w:val="21"/>
                <w:highlight w:val="none"/>
                <w:lang w:eastAsia="zh-CN"/>
              </w:rPr>
              <w:t>方案</w:t>
            </w:r>
            <w:r>
              <w:rPr>
                <w:rFonts w:hint="eastAsia" w:ascii="宋体" w:hAnsi="宋体" w:eastAsia="宋体" w:cs="宋体"/>
                <w:color w:val="auto"/>
                <w:szCs w:val="21"/>
                <w:highlight w:val="none"/>
              </w:rPr>
              <w:t>内容详细完整，计划安排合理，得</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val="en-US" w:eastAsia="zh-CN"/>
              </w:rPr>
              <w:t>6</w:t>
            </w:r>
            <w:r>
              <w:rPr>
                <w:rFonts w:hint="eastAsia" w:ascii="宋体" w:hAnsi="宋体" w:eastAsia="宋体" w:cs="宋体"/>
                <w:color w:val="auto"/>
                <w:szCs w:val="21"/>
                <w:highlight w:val="none"/>
                <w:lang w:val="en-US" w:eastAsia="zh-CN"/>
              </w:rPr>
              <w:t>-20分</w:t>
            </w:r>
            <w:r>
              <w:rPr>
                <w:rFonts w:hint="eastAsia" w:ascii="宋体" w:hAnsi="宋体" w:eastAsia="宋体" w:cs="宋体"/>
                <w:color w:val="auto"/>
                <w:szCs w:val="21"/>
                <w:highlight w:val="none"/>
              </w:rPr>
              <w:t>；</w:t>
            </w:r>
          </w:p>
          <w:p>
            <w:pPr>
              <w:adjustRightInd/>
              <w:snapToGrid/>
              <w:spacing w:line="24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中：</w:t>
            </w:r>
            <w:r>
              <w:rPr>
                <w:rFonts w:hint="eastAsia" w:ascii="宋体" w:hAnsi="宋体" w:eastAsia="宋体" w:cs="宋体"/>
                <w:color w:val="auto"/>
                <w:szCs w:val="21"/>
                <w:highlight w:val="none"/>
                <w:lang w:eastAsia="zh-CN"/>
              </w:rPr>
              <w:t>方案</w:t>
            </w:r>
            <w:r>
              <w:rPr>
                <w:rFonts w:hint="eastAsia" w:ascii="宋体" w:hAnsi="宋体" w:eastAsia="宋体" w:cs="宋体"/>
                <w:color w:val="auto"/>
                <w:szCs w:val="21"/>
                <w:highlight w:val="none"/>
              </w:rPr>
              <w:t>内容基本详细完整，计划安排基本合理，得</w:t>
            </w: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val="en-US" w:eastAsia="zh-CN"/>
              </w:rPr>
              <w:t>5</w:t>
            </w:r>
            <w:r>
              <w:rPr>
                <w:rFonts w:hint="eastAsia" w:ascii="宋体" w:hAnsi="宋体" w:eastAsia="宋体" w:cs="宋体"/>
                <w:color w:val="auto"/>
                <w:szCs w:val="21"/>
                <w:highlight w:val="none"/>
                <w:lang w:val="en-US" w:eastAsia="zh-CN"/>
              </w:rPr>
              <w:t>分</w:t>
            </w:r>
            <w:r>
              <w:rPr>
                <w:rFonts w:hint="eastAsia" w:ascii="宋体" w:hAnsi="宋体" w:eastAsia="宋体" w:cs="宋体"/>
                <w:color w:val="auto"/>
                <w:szCs w:val="21"/>
                <w:highlight w:val="none"/>
              </w:rPr>
              <w:t>；</w:t>
            </w:r>
          </w:p>
          <w:p>
            <w:pPr>
              <w:adjustRightInd/>
              <w:snapToGrid/>
              <w:spacing w:line="240" w:lineRule="auto"/>
              <w:rPr>
                <w:rFonts w:hint="eastAsia" w:ascii="宋体" w:hAnsi="宋体" w:eastAsia="宋体" w:cs="宋体"/>
                <w:color w:val="auto"/>
                <w:szCs w:val="21"/>
                <w:highlight w:val="none"/>
              </w:rPr>
            </w:pPr>
            <w:r>
              <w:rPr>
                <w:rFonts w:hint="eastAsia" w:ascii="宋体" w:hAnsi="宋体" w:eastAsia="宋体" w:cs="宋体"/>
                <w:color w:val="auto"/>
                <w:szCs w:val="21"/>
                <w:highlight w:val="none"/>
                <w:lang w:val="en-US" w:eastAsia="zh-CN"/>
              </w:rPr>
              <w:t>差：</w:t>
            </w:r>
            <w:r>
              <w:rPr>
                <w:rFonts w:hint="eastAsia" w:ascii="宋体" w:hAnsi="宋体" w:eastAsia="宋体" w:cs="宋体"/>
                <w:color w:val="auto"/>
                <w:szCs w:val="21"/>
                <w:highlight w:val="none"/>
                <w:lang w:eastAsia="zh-CN"/>
              </w:rPr>
              <w:t>方案</w:t>
            </w:r>
            <w:r>
              <w:rPr>
                <w:rFonts w:hint="eastAsia" w:ascii="宋体" w:hAnsi="宋体" w:eastAsia="宋体" w:cs="宋体"/>
                <w:color w:val="auto"/>
                <w:szCs w:val="21"/>
                <w:highlight w:val="none"/>
              </w:rPr>
              <w:t>内容</w:t>
            </w:r>
            <w:r>
              <w:rPr>
                <w:rFonts w:hint="eastAsia" w:ascii="宋体" w:hAnsi="宋体" w:eastAsia="宋体" w:cs="宋体"/>
                <w:color w:val="auto"/>
                <w:szCs w:val="21"/>
                <w:highlight w:val="none"/>
                <w:lang w:val="en-US" w:eastAsia="zh-CN"/>
              </w:rPr>
              <w:t>不详细</w:t>
            </w:r>
            <w:r>
              <w:rPr>
                <w:rFonts w:hint="eastAsia" w:ascii="宋体" w:hAnsi="宋体" w:eastAsia="宋体" w:cs="宋体"/>
                <w:color w:val="auto"/>
                <w:szCs w:val="21"/>
                <w:highlight w:val="none"/>
              </w:rPr>
              <w:t>，计划安排</w:t>
            </w:r>
            <w:r>
              <w:rPr>
                <w:rFonts w:hint="eastAsia" w:ascii="宋体" w:hAnsi="宋体" w:eastAsia="宋体" w:cs="宋体"/>
                <w:color w:val="auto"/>
                <w:szCs w:val="21"/>
                <w:highlight w:val="none"/>
                <w:lang w:val="en-US" w:eastAsia="zh-CN"/>
              </w:rPr>
              <w:t>较差</w:t>
            </w:r>
            <w:r>
              <w:rPr>
                <w:rFonts w:hint="eastAsia" w:ascii="宋体" w:hAnsi="宋体" w:eastAsia="宋体" w:cs="宋体"/>
                <w:color w:val="auto"/>
                <w:szCs w:val="21"/>
                <w:highlight w:val="none"/>
              </w:rPr>
              <w:t>，得</w:t>
            </w:r>
            <w:r>
              <w:rPr>
                <w:rFonts w:hint="eastAsia" w:ascii="宋体" w:hAnsi="宋体" w:eastAsia="宋体" w:cs="宋体"/>
                <w:color w:val="auto"/>
                <w:szCs w:val="21"/>
                <w:highlight w:val="none"/>
                <w:lang w:val="en-US" w:eastAsia="zh-CN"/>
              </w:rPr>
              <w:t>0-</w:t>
            </w:r>
            <w:r>
              <w:rPr>
                <w:rFonts w:hint="eastAsia" w:ascii="宋体" w:hAnsi="宋体" w:eastAsia="宋体" w:cs="宋体"/>
                <w:color w:val="auto"/>
                <w:szCs w:val="21"/>
                <w:highlight w:val="none"/>
                <w:lang w:val="en-US" w:eastAsia="zh-CN"/>
              </w:rPr>
              <w:t>9</w:t>
            </w:r>
            <w:r>
              <w:rPr>
                <w:rFonts w:hint="eastAsia" w:ascii="宋体" w:hAnsi="宋体" w:eastAsia="宋体" w:cs="宋体"/>
                <w:color w:val="auto"/>
                <w:szCs w:val="21"/>
                <w:highlight w:val="none"/>
                <w:lang w:val="en-US" w:eastAsia="zh-CN"/>
              </w:rPr>
              <w:t>分</w:t>
            </w:r>
            <w:r>
              <w:rPr>
                <w:rFonts w:hint="eastAsia" w:ascii="宋体" w:hAnsi="宋体" w:eastAsia="宋体" w:cs="宋体"/>
                <w:color w:val="auto"/>
                <w:szCs w:val="21"/>
                <w:highlight w:val="none"/>
              </w:rPr>
              <w:t>；</w:t>
            </w:r>
          </w:p>
          <w:p>
            <w:pPr>
              <w:numPr>
                <w:ilvl w:val="-1"/>
                <w:numId w:val="0"/>
              </w:numPr>
              <w:autoSpaceDE/>
              <w:autoSpaceDN/>
              <w:adjustRightInd/>
              <w:snapToGrid/>
              <w:spacing w:line="240" w:lineRule="auto"/>
              <w:ind w:left="0" w:leftChars="0" w:firstLine="0" w:firstLineChars="0"/>
              <w:rPr>
                <w:rFonts w:hint="eastAsia" w:ascii="宋体" w:hAnsi="宋体" w:eastAsia="宋体" w:cs="宋体"/>
                <w:color w:val="auto"/>
                <w:kern w:val="2"/>
                <w:sz w:val="21"/>
                <w:szCs w:val="21"/>
                <w:highlight w:val="none"/>
                <w:lang w:val="en-US" w:eastAsia="zh-CN" w:bidi="ar-SA"/>
              </w:rPr>
            </w:pPr>
            <w:r>
              <w:rPr>
                <w:rFonts w:hint="eastAsia" w:ascii="宋体" w:hAnsi="宋体" w:eastAsia="宋体" w:cs="宋体"/>
                <w:color w:val="auto"/>
                <w:sz w:val="21"/>
                <w:szCs w:val="21"/>
                <w:highlight w:val="none"/>
                <w:lang w:val="en-US" w:eastAsia="zh-CN"/>
              </w:rPr>
              <w:t>本项最多得20分。</w:t>
            </w:r>
          </w:p>
        </w:tc>
        <w:tc>
          <w:tcPr>
            <w:tcW w:w="240" w:type="dxa"/>
            <w:shd w:val="clear" w:color="auto" w:fill="auto"/>
            <w:vAlign w:val="center"/>
          </w:tcPr>
          <w:p>
            <w:pPr>
              <w:keepLines/>
              <w:spacing w:line="240" w:lineRule="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4" w:hRule="atLeast"/>
          <w:jc w:val="center"/>
        </w:trPr>
        <w:tc>
          <w:tcPr>
            <w:tcW w:w="643" w:type="dxa"/>
            <w:shd w:val="clear" w:color="auto" w:fill="auto"/>
            <w:vAlign w:val="center"/>
          </w:tcPr>
          <w:p>
            <w:pPr>
              <w:keepLines/>
              <w:snapToGrid w:val="0"/>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经济部分</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60分</w:t>
            </w:r>
            <w:r>
              <w:rPr>
                <w:rFonts w:hint="eastAsia" w:ascii="宋体" w:hAnsi="宋体" w:eastAsia="宋体" w:cs="宋体"/>
                <w:color w:val="auto"/>
                <w:szCs w:val="21"/>
                <w:highlight w:val="none"/>
                <w:lang w:eastAsia="zh-CN"/>
              </w:rPr>
              <w:t>）</w:t>
            </w:r>
          </w:p>
        </w:tc>
        <w:tc>
          <w:tcPr>
            <w:tcW w:w="1406" w:type="dxa"/>
            <w:shd w:val="clear" w:color="auto" w:fill="auto"/>
            <w:vAlign w:val="center"/>
          </w:tcPr>
          <w:p>
            <w:pPr>
              <w:keepLines/>
              <w:snapToGrid w:val="0"/>
              <w:ind w:left="-2" w:leftChars="-1"/>
              <w:jc w:val="center"/>
              <w:rPr>
                <w:rFonts w:hint="eastAsia" w:ascii="宋体" w:hAnsi="宋体" w:eastAsia="宋体" w:cs="宋体"/>
                <w:color w:val="auto"/>
                <w:szCs w:val="21"/>
                <w:highlight w:val="none"/>
              </w:rPr>
            </w:pPr>
          </w:p>
          <w:p>
            <w:pPr>
              <w:keepLines/>
              <w:snapToGrid w:val="0"/>
              <w:ind w:left="-2" w:leftChars="-1"/>
              <w:jc w:val="both"/>
              <w:rPr>
                <w:rFonts w:hint="eastAsia" w:ascii="宋体" w:hAnsi="宋体" w:eastAsia="宋体" w:cs="宋体"/>
                <w:color w:val="auto"/>
                <w:szCs w:val="21"/>
                <w:highlight w:val="none"/>
              </w:rPr>
            </w:pPr>
            <w:r>
              <w:rPr>
                <w:rFonts w:hint="eastAsia" w:ascii="宋体" w:hAnsi="宋体" w:eastAsia="宋体" w:cs="宋体"/>
                <w:color w:val="auto"/>
                <w:szCs w:val="21"/>
                <w:highlight w:val="none"/>
              </w:rPr>
              <w:t>报价</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lang w:val="en-US" w:eastAsia="zh-CN"/>
              </w:rPr>
              <w:t>60分</w:t>
            </w:r>
            <w:r>
              <w:rPr>
                <w:rFonts w:hint="eastAsia" w:ascii="宋体" w:hAnsi="宋体" w:eastAsia="宋体" w:cs="宋体"/>
                <w:color w:val="auto"/>
                <w:szCs w:val="21"/>
                <w:highlight w:val="none"/>
                <w:lang w:eastAsia="zh-CN"/>
              </w:rPr>
              <w:t>）</w:t>
            </w:r>
          </w:p>
        </w:tc>
        <w:tc>
          <w:tcPr>
            <w:tcW w:w="709" w:type="dxa"/>
            <w:shd w:val="clear" w:color="auto" w:fill="auto"/>
            <w:vAlign w:val="center"/>
          </w:tcPr>
          <w:p>
            <w:pPr>
              <w:keepLines/>
              <w:spacing w:line="240" w:lineRule="auto"/>
              <w:ind w:left="-2" w:leftChars="-1"/>
              <w:jc w:val="center"/>
              <w:rPr>
                <w:rFonts w:hint="eastAsia" w:ascii="宋体" w:hAnsi="宋体" w:eastAsia="宋体" w:cs="宋体"/>
                <w:color w:val="auto"/>
                <w:szCs w:val="21"/>
                <w:highlight w:val="none"/>
                <w:lang w:val="en-US"/>
              </w:rPr>
            </w:pPr>
            <w:r>
              <w:rPr>
                <w:rFonts w:hint="eastAsia" w:ascii="宋体" w:hAnsi="宋体" w:eastAsia="宋体" w:cs="宋体"/>
                <w:color w:val="auto"/>
                <w:szCs w:val="21"/>
                <w:highlight w:val="none"/>
                <w:lang w:val="en-US" w:eastAsia="zh-CN"/>
              </w:rPr>
              <w:t>60</w:t>
            </w:r>
          </w:p>
        </w:tc>
        <w:tc>
          <w:tcPr>
            <w:tcW w:w="9797" w:type="dxa"/>
            <w:shd w:val="clear" w:color="auto" w:fill="auto"/>
          </w:tcPr>
          <w:p>
            <w:pPr>
              <w:keepLines/>
              <w:jc w:val="left"/>
              <w:rPr>
                <w:rFonts w:hint="eastAsia" w:ascii="宋体" w:hAnsi="宋体" w:eastAsia="宋体" w:cs="宋体"/>
                <w:color w:val="auto"/>
                <w:szCs w:val="21"/>
                <w:highlight w:val="none"/>
              </w:rPr>
            </w:pPr>
          </w:p>
          <w:p>
            <w:pPr>
              <w:keepLines/>
              <w:ind w:firstLine="315" w:firstLineChars="15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若经过符合性审查，（</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lang w:eastAsia="zh-CN"/>
              </w:rPr>
              <w:t>）入围投标单位为</w:t>
            </w:r>
            <w:r>
              <w:rPr>
                <w:rFonts w:hint="eastAsia" w:ascii="宋体" w:hAnsi="宋体" w:eastAsia="宋体" w:cs="宋体"/>
                <w:color w:val="auto"/>
                <w:szCs w:val="21"/>
                <w:highlight w:val="none"/>
                <w:lang w:val="en-US" w:eastAsia="zh-CN"/>
              </w:rPr>
              <w:t>3至5家的，则</w:t>
            </w:r>
            <w:r>
              <w:rPr>
                <w:rFonts w:hint="eastAsia" w:ascii="宋体" w:hAnsi="宋体" w:eastAsia="宋体" w:cs="宋体"/>
                <w:color w:val="auto"/>
                <w:szCs w:val="21"/>
                <w:highlight w:val="none"/>
              </w:rPr>
              <w:t>经济标报价部分以</w:t>
            </w:r>
            <w:r>
              <w:rPr>
                <w:rFonts w:hint="eastAsia" w:ascii="宋体" w:hAnsi="宋体" w:eastAsia="宋体" w:cs="宋体"/>
                <w:color w:val="auto"/>
                <w:szCs w:val="21"/>
                <w:highlight w:val="none"/>
                <w:lang w:eastAsia="zh-CN"/>
              </w:rPr>
              <w:t>入围投标</w:t>
            </w:r>
            <w:r>
              <w:rPr>
                <w:rFonts w:hint="eastAsia" w:ascii="宋体" w:hAnsi="宋体" w:eastAsia="宋体" w:cs="宋体"/>
                <w:color w:val="auto"/>
                <w:szCs w:val="21"/>
                <w:highlight w:val="none"/>
              </w:rPr>
              <w:t>单位的有效</w:t>
            </w:r>
            <w:r>
              <w:rPr>
                <w:rFonts w:hint="eastAsia" w:ascii="宋体" w:hAnsi="宋体" w:eastAsia="宋体" w:cs="宋体"/>
                <w:color w:val="auto"/>
                <w:szCs w:val="21"/>
                <w:highlight w:val="none"/>
                <w:lang w:eastAsia="zh-CN"/>
              </w:rPr>
              <w:t>总</w:t>
            </w:r>
            <w:r>
              <w:rPr>
                <w:rFonts w:hint="eastAsia" w:ascii="宋体" w:hAnsi="宋体" w:eastAsia="宋体" w:cs="宋体"/>
                <w:color w:val="auto"/>
                <w:szCs w:val="21"/>
                <w:highlight w:val="none"/>
              </w:rPr>
              <w:t>报价的</w:t>
            </w:r>
            <w:r>
              <w:rPr>
                <w:rFonts w:hint="eastAsia" w:ascii="宋体" w:hAnsi="宋体" w:eastAsia="宋体" w:cs="宋体"/>
                <w:color w:val="auto"/>
                <w:szCs w:val="21"/>
                <w:highlight w:val="none"/>
                <w:lang w:eastAsia="zh-CN"/>
              </w:rPr>
              <w:t>算术</w:t>
            </w:r>
            <w:r>
              <w:rPr>
                <w:rFonts w:hint="eastAsia" w:ascii="宋体" w:hAnsi="宋体" w:eastAsia="宋体" w:cs="宋体"/>
                <w:color w:val="auto"/>
                <w:szCs w:val="21"/>
                <w:highlight w:val="none"/>
              </w:rPr>
              <w:t>平均</w:t>
            </w:r>
            <w:r>
              <w:rPr>
                <w:rFonts w:hint="eastAsia" w:ascii="宋体" w:hAnsi="宋体" w:eastAsia="宋体" w:cs="宋体"/>
                <w:color w:val="auto"/>
                <w:szCs w:val="21"/>
                <w:highlight w:val="none"/>
                <w:lang w:eastAsia="zh-CN"/>
              </w:rPr>
              <w:t>值</w:t>
            </w:r>
            <w:r>
              <w:rPr>
                <w:rFonts w:hint="eastAsia" w:ascii="宋体" w:hAnsi="宋体" w:eastAsia="宋体" w:cs="宋体"/>
                <w:color w:val="auto"/>
                <w:szCs w:val="21"/>
                <w:highlight w:val="none"/>
              </w:rPr>
              <w:t>作为基准价</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（2）入围投标单位为6家或以上的，</w:t>
            </w:r>
            <w:r>
              <w:rPr>
                <w:rFonts w:hint="eastAsia" w:ascii="宋体" w:hAnsi="宋体" w:eastAsia="宋体" w:cs="宋体"/>
                <w:color w:val="auto"/>
                <w:szCs w:val="21"/>
                <w:highlight w:val="none"/>
                <w:lang w:eastAsia="zh-CN"/>
              </w:rPr>
              <w:t>则去掉一个最高报价、一个最低报价后，</w:t>
            </w:r>
            <w:r>
              <w:rPr>
                <w:rFonts w:hint="eastAsia" w:ascii="宋体" w:hAnsi="宋体" w:eastAsia="宋体" w:cs="宋体"/>
                <w:color w:val="auto"/>
                <w:szCs w:val="21"/>
                <w:highlight w:val="none"/>
              </w:rPr>
              <w:t>经济标报价部分以</w:t>
            </w:r>
            <w:r>
              <w:rPr>
                <w:rFonts w:hint="eastAsia" w:ascii="宋体" w:hAnsi="宋体" w:eastAsia="宋体" w:cs="宋体"/>
                <w:color w:val="auto"/>
                <w:szCs w:val="21"/>
                <w:highlight w:val="none"/>
                <w:lang w:eastAsia="zh-CN"/>
              </w:rPr>
              <w:t>剩余</w:t>
            </w:r>
            <w:r>
              <w:rPr>
                <w:rFonts w:hint="eastAsia" w:ascii="宋体" w:hAnsi="宋体" w:eastAsia="宋体" w:cs="宋体"/>
                <w:color w:val="auto"/>
                <w:szCs w:val="21"/>
                <w:highlight w:val="none"/>
              </w:rPr>
              <w:t>入围投标单位有效</w:t>
            </w:r>
            <w:r>
              <w:rPr>
                <w:rFonts w:hint="eastAsia" w:ascii="宋体" w:hAnsi="宋体" w:eastAsia="宋体" w:cs="宋体"/>
                <w:color w:val="auto"/>
                <w:szCs w:val="21"/>
                <w:highlight w:val="none"/>
                <w:lang w:val="en-US" w:eastAsia="zh-CN"/>
              </w:rPr>
              <w:t>总</w:t>
            </w:r>
            <w:r>
              <w:rPr>
                <w:rFonts w:hint="eastAsia" w:ascii="宋体" w:hAnsi="宋体" w:eastAsia="宋体" w:cs="宋体"/>
                <w:color w:val="auto"/>
                <w:szCs w:val="21"/>
                <w:highlight w:val="none"/>
              </w:rPr>
              <w:t>报价的算术平均值作为基准价。</w:t>
            </w:r>
          </w:p>
          <w:p>
            <w:pPr>
              <w:keepLines/>
              <w:ind w:firstLine="315" w:firstLineChars="150"/>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投标报价</w:t>
            </w:r>
            <w:r>
              <w:rPr>
                <w:rFonts w:hint="eastAsia" w:ascii="宋体" w:hAnsi="宋体" w:eastAsia="宋体" w:cs="宋体"/>
                <w:color w:val="auto"/>
                <w:szCs w:val="21"/>
                <w:highlight w:val="none"/>
              </w:rPr>
              <w:t>等于基准价为满分</w:t>
            </w:r>
            <w:r>
              <w:rPr>
                <w:rFonts w:hint="eastAsia" w:ascii="宋体" w:hAnsi="宋体" w:eastAsia="宋体" w:cs="宋体"/>
                <w:color w:val="auto"/>
                <w:szCs w:val="21"/>
                <w:highlight w:val="none"/>
                <w:lang w:val="en-US" w:eastAsia="zh-CN"/>
              </w:rPr>
              <w:t>60</w:t>
            </w:r>
            <w:r>
              <w:rPr>
                <w:rFonts w:hint="eastAsia" w:ascii="宋体" w:hAnsi="宋体" w:eastAsia="宋体" w:cs="宋体"/>
                <w:color w:val="auto"/>
                <w:szCs w:val="21"/>
                <w:highlight w:val="none"/>
              </w:rPr>
              <w:t>分，高于基准价的1%扣</w:t>
            </w:r>
            <w:r>
              <w:rPr>
                <w:rFonts w:hint="eastAsia" w:ascii="宋体" w:hAnsi="宋体" w:eastAsia="宋体" w:cs="宋体"/>
                <w:color w:val="auto"/>
                <w:szCs w:val="21"/>
                <w:highlight w:val="none"/>
                <w:lang w:val="en-US" w:eastAsia="zh-CN"/>
              </w:rPr>
              <w:t>1</w:t>
            </w:r>
            <w:r>
              <w:rPr>
                <w:rFonts w:hint="eastAsia" w:ascii="宋体" w:hAnsi="宋体" w:eastAsia="宋体" w:cs="宋体"/>
                <w:color w:val="auto"/>
                <w:szCs w:val="21"/>
                <w:highlight w:val="none"/>
              </w:rPr>
              <w:t>分，低于基准价的1%扣</w:t>
            </w:r>
            <w:r>
              <w:rPr>
                <w:rFonts w:hint="eastAsia" w:ascii="宋体" w:hAnsi="宋体" w:eastAsia="宋体" w:cs="宋体"/>
                <w:color w:val="auto"/>
                <w:szCs w:val="21"/>
                <w:highlight w:val="none"/>
                <w:lang w:val="en-US" w:eastAsia="zh-CN"/>
              </w:rPr>
              <w:t>0.5</w:t>
            </w:r>
            <w:r>
              <w:rPr>
                <w:rFonts w:hint="eastAsia" w:ascii="宋体" w:hAnsi="宋体" w:eastAsia="宋体" w:cs="宋体"/>
                <w:color w:val="auto"/>
                <w:szCs w:val="21"/>
                <w:highlight w:val="none"/>
              </w:rPr>
              <w:t>分，以此类推。最低得分0分。得分保留两位小数。</w:t>
            </w:r>
            <w:r>
              <w:rPr>
                <w:rFonts w:hint="eastAsia" w:ascii="宋体" w:hAnsi="宋体" w:eastAsia="宋体" w:cs="宋体"/>
                <w:color w:val="auto"/>
                <w:szCs w:val="21"/>
                <w:highlight w:val="none"/>
                <w:lang w:eastAsia="zh-CN"/>
              </w:rPr>
              <w:t>计算公式如下：</w:t>
            </w:r>
          </w:p>
          <w:p>
            <w:pPr>
              <w:pStyle w:val="9"/>
              <w:keepLines/>
              <w:numPr>
                <w:ilvl w:val="0"/>
                <w:numId w:val="5"/>
              </w:num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报价等于基准价的，得分=60。</w:t>
            </w:r>
          </w:p>
          <w:p>
            <w:pPr>
              <w:pStyle w:val="9"/>
              <w:keepLines/>
              <w:numPr>
                <w:ilvl w:val="0"/>
                <w:numId w:val="5"/>
              </w:num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报价高于基准价的，得分=60-[（报价-基准价）/基准价]×100×1</w:t>
            </w:r>
          </w:p>
          <w:p>
            <w:pPr>
              <w:pStyle w:val="9"/>
              <w:keepLines/>
              <w:numPr>
                <w:ilvl w:val="0"/>
                <w:numId w:val="5"/>
              </w:numPr>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报价低于基准价的，得分=60-[（基准价-报价）/基准价]×100×0.5</w:t>
            </w:r>
          </w:p>
        </w:tc>
        <w:tc>
          <w:tcPr>
            <w:tcW w:w="240" w:type="dxa"/>
            <w:shd w:val="clear" w:color="auto" w:fill="auto"/>
            <w:vAlign w:val="center"/>
          </w:tcPr>
          <w:p>
            <w:pPr>
              <w:keepLines/>
              <w:spacing w:line="240" w:lineRule="auto"/>
              <w:rPr>
                <w:rFonts w:hint="eastAsia" w:ascii="宋体" w:hAnsi="宋体" w:eastAsia="宋体" w:cs="宋体"/>
                <w:color w:val="auto"/>
                <w:sz w:val="21"/>
                <w:szCs w:val="21"/>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0" w:hRule="atLeast"/>
          <w:jc w:val="center"/>
        </w:trPr>
        <w:tc>
          <w:tcPr>
            <w:tcW w:w="2049" w:type="dxa"/>
            <w:gridSpan w:val="2"/>
            <w:shd w:val="clear" w:color="auto" w:fill="auto"/>
            <w:vAlign w:val="center"/>
          </w:tcPr>
          <w:p>
            <w:pPr>
              <w:keepLines/>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合计</w:t>
            </w:r>
          </w:p>
        </w:tc>
        <w:tc>
          <w:tcPr>
            <w:tcW w:w="709" w:type="dxa"/>
            <w:shd w:val="clear" w:color="auto" w:fill="auto"/>
            <w:vAlign w:val="center"/>
          </w:tcPr>
          <w:p>
            <w:pPr>
              <w:keepLines/>
              <w:spacing w:line="240" w:lineRule="auto"/>
              <w:ind w:left="-2" w:leftChars="-1"/>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100</w:t>
            </w:r>
          </w:p>
        </w:tc>
        <w:tc>
          <w:tcPr>
            <w:tcW w:w="9797" w:type="dxa"/>
            <w:shd w:val="clear" w:color="auto" w:fill="auto"/>
            <w:vAlign w:val="center"/>
          </w:tcPr>
          <w:p>
            <w:pPr>
              <w:keepLines/>
              <w:spacing w:line="240" w:lineRule="auto"/>
              <w:ind w:left="-2" w:leftChars="-1"/>
              <w:rPr>
                <w:rFonts w:hint="eastAsia" w:ascii="宋体" w:hAnsi="宋体" w:eastAsia="宋体" w:cs="宋体"/>
                <w:color w:val="auto"/>
                <w:sz w:val="21"/>
                <w:szCs w:val="21"/>
                <w:highlight w:val="none"/>
              </w:rPr>
            </w:pPr>
          </w:p>
        </w:tc>
        <w:tc>
          <w:tcPr>
            <w:tcW w:w="240" w:type="dxa"/>
            <w:shd w:val="clear" w:color="auto" w:fill="auto"/>
            <w:vAlign w:val="center"/>
          </w:tcPr>
          <w:p>
            <w:pPr>
              <w:keepLines/>
              <w:spacing w:line="240" w:lineRule="auto"/>
              <w:ind w:left="-2" w:leftChars="-1"/>
              <w:rPr>
                <w:rFonts w:hint="eastAsia" w:ascii="宋体" w:hAnsi="宋体" w:eastAsia="宋体" w:cs="宋体"/>
                <w:color w:val="auto"/>
                <w:sz w:val="21"/>
                <w:szCs w:val="21"/>
                <w:highlight w:val="none"/>
              </w:rPr>
            </w:pPr>
          </w:p>
        </w:tc>
      </w:tr>
    </w:tbl>
    <w:p>
      <w:pPr>
        <w:keepLines/>
        <w:snapToGrid w:val="0"/>
        <w:ind w:left="74"/>
        <w:rPr>
          <w:rFonts w:ascii="仿宋" w:hAnsi="仿宋" w:eastAsia="仿宋" w:cs="宋体"/>
          <w:color w:val="auto"/>
          <w:sz w:val="24"/>
          <w:highlight w:val="none"/>
        </w:rPr>
      </w:pPr>
      <w:r>
        <w:rPr>
          <w:rFonts w:hint="eastAsia" w:ascii="仿宋" w:hAnsi="仿宋" w:eastAsia="仿宋" w:cs="宋体"/>
          <w:color w:val="auto"/>
          <w:sz w:val="24"/>
          <w:highlight w:val="none"/>
        </w:rPr>
        <w:t xml:space="preserve"> </w:t>
      </w:r>
    </w:p>
    <w:p>
      <w:pPr>
        <w:keepLines/>
        <w:spacing w:line="320" w:lineRule="exact"/>
        <w:ind w:firstLine="420" w:firstLineChars="200"/>
        <w:jc w:val="left"/>
        <w:rPr>
          <w:rFonts w:ascii="宋体" w:hAnsi="宋体" w:cs="宋体"/>
          <w:color w:val="auto"/>
          <w:szCs w:val="21"/>
          <w:highlight w:val="none"/>
        </w:rPr>
      </w:pPr>
      <w:r>
        <w:rPr>
          <w:rFonts w:hint="eastAsia" w:ascii="宋体" w:hAnsi="宋体" w:cs="宋体"/>
          <w:color w:val="auto"/>
          <w:szCs w:val="21"/>
          <w:highlight w:val="none"/>
        </w:rPr>
        <w:t>说明：</w:t>
      </w:r>
    </w:p>
    <w:p>
      <w:pPr>
        <w:keepLines/>
        <w:snapToGrid w:val="0"/>
        <w:ind w:firstLine="0" w:firstLineChars="0"/>
        <w:rPr>
          <w:rFonts w:hint="eastAsia" w:ascii="宋体" w:hAnsi="宋体" w:cs="宋体"/>
          <w:color w:val="auto"/>
          <w:szCs w:val="18"/>
          <w:highlight w:val="none"/>
          <w:lang w:eastAsia="zh-CN"/>
        </w:rPr>
      </w:pPr>
      <w:r>
        <w:rPr>
          <w:rFonts w:hint="eastAsia" w:ascii="宋体" w:hAnsi="宋体" w:cs="宋体"/>
          <w:color w:val="auto"/>
          <w:szCs w:val="18"/>
          <w:highlight w:val="none"/>
          <w:lang w:val="en-US" w:eastAsia="zh-CN"/>
        </w:rPr>
        <w:t xml:space="preserve">    </w:t>
      </w:r>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r>
        <w:rPr>
          <w:rFonts w:hint="eastAsia" w:ascii="宋体" w:hAnsi="宋体" w:cs="宋体"/>
          <w:color w:val="auto"/>
          <w:szCs w:val="18"/>
          <w:highlight w:val="none"/>
          <w:lang w:eastAsia="zh-CN"/>
        </w:rPr>
        <w:t>。</w:t>
      </w:r>
    </w:p>
    <w:p>
      <w:pPr>
        <w:pStyle w:val="21"/>
        <w:keepLines/>
        <w:ind w:firstLine="0" w:firstLineChars="0"/>
        <w:rPr>
          <w:rFonts w:hint="eastAsia" w:ascii="宋体" w:hAnsi="宋体" w:eastAsia="宋体" w:cs="宋体"/>
          <w:color w:val="auto"/>
          <w:szCs w:val="21"/>
          <w:highlight w:val="none"/>
          <w:lang w:val="en-US" w:eastAsia="zh-CN"/>
        </w:rPr>
        <w:sectPr>
          <w:pgSz w:w="15840" w:h="12240" w:orient="landscape"/>
          <w:pgMar w:top="1797" w:right="1440" w:bottom="1797" w:left="1440" w:header="720" w:footer="720" w:gutter="0"/>
          <w:cols w:space="425" w:num="1"/>
          <w:docGrid w:linePitch="312" w:charSpace="0"/>
        </w:sectPr>
      </w:pPr>
      <w:r>
        <w:rPr>
          <w:rFonts w:hint="eastAsia" w:ascii="宋体" w:hAnsi="宋体" w:cs="宋体"/>
          <w:color w:val="auto"/>
          <w:szCs w:val="21"/>
          <w:highlight w:val="none"/>
          <w:lang w:val="en-US" w:eastAsia="zh-CN"/>
        </w:rPr>
        <w:t xml:space="preserve">   </w:t>
      </w:r>
    </w:p>
    <w:p>
      <w:pPr>
        <w:keepLines/>
        <w:snapToGrid w:val="0"/>
        <w:spacing w:line="360" w:lineRule="auto"/>
        <w:jc w:val="left"/>
        <w:rPr>
          <w:rFonts w:ascii="宋体" w:hAnsi="宋体"/>
          <w:color w:val="auto"/>
          <w:sz w:val="24"/>
          <w:highlight w:val="none"/>
        </w:rPr>
      </w:pPr>
      <w:r>
        <w:rPr>
          <w:rFonts w:hint="eastAsia" w:ascii="宋体" w:hAnsi="宋体"/>
          <w:color w:val="auto"/>
          <w:sz w:val="24"/>
          <w:highlight w:val="none"/>
        </w:rPr>
        <w:t>附件</w:t>
      </w:r>
      <w:r>
        <w:rPr>
          <w:rFonts w:hint="eastAsia" w:ascii="宋体" w:hAnsi="宋体"/>
          <w:color w:val="auto"/>
          <w:sz w:val="24"/>
          <w:highlight w:val="none"/>
          <w:lang w:val="en-US" w:eastAsia="zh-CN"/>
        </w:rPr>
        <w:t>3</w:t>
      </w:r>
      <w:r>
        <w:rPr>
          <w:rFonts w:hint="eastAsia" w:ascii="宋体" w:hAnsi="宋体"/>
          <w:color w:val="auto"/>
          <w:sz w:val="24"/>
          <w:highlight w:val="none"/>
        </w:rPr>
        <w:t>：</w:t>
      </w:r>
    </w:p>
    <w:p>
      <w:pPr>
        <w:keepLines/>
        <w:adjustRightInd w:val="0"/>
        <w:snapToGrid w:val="0"/>
        <w:spacing w:line="360" w:lineRule="auto"/>
        <w:jc w:val="center"/>
        <w:outlineLvl w:val="0"/>
        <w:rPr>
          <w:rFonts w:ascii="宋体" w:hAnsi="宋体" w:cs="宋体"/>
          <w:b/>
          <w:color w:val="auto"/>
          <w:sz w:val="28"/>
          <w:szCs w:val="28"/>
          <w:highlight w:val="none"/>
        </w:rPr>
      </w:pPr>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p>
    <w:p>
      <w:pPr>
        <w:pStyle w:val="36"/>
        <w:keepLines/>
        <w:snapToGrid w:val="0"/>
        <w:spacing w:line="336" w:lineRule="auto"/>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u w:val="single"/>
          <w:lang w:eastAsia="zh-CN"/>
        </w:rPr>
        <w:t>广州南沙经发投资有限公司</w:t>
      </w:r>
      <w:r>
        <w:rPr>
          <w:rFonts w:hint="eastAsia" w:ascii="宋体" w:hAnsi="宋体" w:eastAsia="宋体"/>
          <w:color w:val="auto"/>
          <w:sz w:val="24"/>
          <w:szCs w:val="24"/>
          <w:highlight w:val="none"/>
          <w:u w:val="single"/>
        </w:rPr>
        <w:t xml:space="preserve">、广州南沙建设维护管理有限公司 </w:t>
      </w:r>
    </w:p>
    <w:p>
      <w:pPr>
        <w:pStyle w:val="36"/>
        <w:keepLines/>
        <w:snapToGrid w:val="0"/>
        <w:spacing w:line="336" w:lineRule="auto"/>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u w:val="single"/>
          <w:lang w:val="en-US" w:eastAsia="zh-CN"/>
        </w:rPr>
        <w:t xml:space="preserve"> </w:t>
      </w:r>
      <w:r>
        <w:rPr>
          <w:rFonts w:hint="eastAsia" w:ascii="宋体" w:hAnsi="宋体" w:eastAsia="宋体"/>
          <w:color w:val="auto"/>
          <w:spacing w:val="20"/>
          <w:sz w:val="24"/>
          <w:szCs w:val="24"/>
          <w:highlight w:val="none"/>
          <w:u w:val="single"/>
          <w:lang w:eastAsia="zh-CN"/>
        </w:rPr>
        <w:t>新联检大楼消防设施及系统升级改造工程施工总承包</w:t>
      </w:r>
      <w:r>
        <w:rPr>
          <w:rFonts w:hint="eastAsia" w:ascii="宋体" w:hAnsi="宋体" w:eastAsia="宋体"/>
          <w:color w:val="auto"/>
          <w:sz w:val="24"/>
          <w:szCs w:val="24"/>
          <w:highlight w:val="none"/>
          <w:u w:val="single"/>
        </w:rPr>
        <w:t xml:space="preserve"> </w:t>
      </w:r>
      <w:r>
        <w:rPr>
          <w:rFonts w:hint="eastAsia" w:ascii="宋体" w:hAnsi="宋体" w:eastAsia="宋体"/>
          <w:color w:val="auto"/>
          <w:sz w:val="24"/>
          <w:szCs w:val="24"/>
          <w:highlight w:val="none"/>
        </w:rPr>
        <w:t>投标工作，做出郑重声明：</w:t>
      </w:r>
    </w:p>
    <w:p>
      <w:pPr>
        <w:pStyle w:val="36"/>
        <w:keepLines/>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pPr>
        <w:pStyle w:val="36"/>
        <w:keepLines/>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pPr>
        <w:pStyle w:val="36"/>
        <w:keepLines/>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pPr>
        <w:pStyle w:val="36"/>
        <w:keepLines/>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四、本公司及其有隶属关系的机构没有参加本项目的设计、前期工作、招标文件编写、监理工作；本公司与承担本招标项目监理业务的单位没有隶属关系或其他利害关系。</w:t>
      </w:r>
    </w:p>
    <w:p>
      <w:pPr>
        <w:pStyle w:val="36"/>
        <w:keepLines/>
        <w:adjustRightInd w:val="0"/>
        <w:snapToGrid w:val="0"/>
        <w:spacing w:line="336" w:lineRule="auto"/>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pPr>
        <w:pStyle w:val="36"/>
        <w:keepLines/>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pPr>
        <w:pStyle w:val="36"/>
        <w:keepLines/>
        <w:snapToGrid w:val="0"/>
        <w:spacing w:line="336" w:lineRule="auto"/>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pPr>
        <w:pStyle w:val="37"/>
        <w:keepLines/>
        <w:snapToGrid w:val="0"/>
        <w:spacing w:line="336" w:lineRule="auto"/>
        <w:ind w:left="0" w:right="1449"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pPr>
        <w:pStyle w:val="36"/>
        <w:keepLines/>
        <w:snapToGrid w:val="0"/>
        <w:spacing w:line="336" w:lineRule="auto"/>
        <w:ind w:right="1449"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pPr>
        <w:pStyle w:val="36"/>
        <w:keepLines/>
        <w:snapToGrid w:val="0"/>
        <w:spacing w:line="336" w:lineRule="auto"/>
        <w:ind w:right="172"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pPr>
        <w:pStyle w:val="9"/>
        <w:keepLines/>
        <w:rPr>
          <w:rFonts w:hint="default"/>
          <w:color w:val="auto"/>
          <w:highlight w:val="none"/>
        </w:rPr>
      </w:pPr>
    </w:p>
    <w:bookmarkEnd w:id="41"/>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modern"/>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楷体">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uXNVEPAgAABwQAAA4AAABkcnMvZTJvRG9jLnhtbK1TzY7TMBC+I/EO&#10;lu80aStW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TF/n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MuXNVEPAgAABwQAAA4AAAAAAAAAAQAgAAAA&#10;HwEAAGRycy9lMm9Eb2MueG1sUEsFBgAAAAAGAAYAWQEAAKAFAAAAAA==&#10;">
          <v:path/>
          <v:fill on="f" focussize="0,0"/>
          <v:stroke on="f" weight="0.5pt" joinstyle="miter"/>
          <v:imagedata o:title=""/>
          <o:lock v:ext="edit"/>
          <v:textbox inset="0mm,0mm,0mm,0mm" style="mso-fit-shape-to-text:t;">
            <w:txbxContent>
              <w:p>
                <w:pPr>
                  <w:pStyle w:val="11"/>
                </w:pPr>
                <w:r>
                  <w:fldChar w:fldCharType="begin"/>
                </w:r>
                <w:r>
                  <w:instrText xml:space="preserve"> PAGE  \* MERGEFORMAT </w:instrText>
                </w:r>
                <w:r>
                  <w:fldChar w:fldCharType="separate"/>
                </w:r>
                <w:r>
                  <w:t>15</w:t>
                </w:r>
                <w:r>
                  <w:fldChar w:fldCharType="end"/>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1027" o:spid="_x0000_s1027"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">
          <v:path/>
          <v:fill on="f" focussize="0,0"/>
          <v:stroke on="f" weight="0.5pt" joinstyle="miter"/>
          <v:imagedata o:title=""/>
          <o:lock v:ext="edit"/>
          <v:textbox inset="0mm,0mm,0mm,0mm" style="mso-fit-shape-to-text:t;">
            <w:txbxContent>
              <w:p>
                <w:pPr>
                  <w:pStyle w:val="11"/>
                </w:pPr>
                <w:r>
                  <w:fldChar w:fldCharType="begin"/>
                </w:r>
                <w:r>
                  <w:instrText xml:space="preserve"> PAGE  \* MERGEFORMAT </w:instrText>
                </w:r>
                <w:r>
                  <w:fldChar w:fldCharType="separate"/>
                </w:r>
                <w:r>
                  <w:t>32</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CB8718C6"/>
    <w:multiLevelType w:val="singleLevel"/>
    <w:tmpl w:val="CB8718C6"/>
    <w:lvl w:ilvl="0" w:tentative="0">
      <w:start w:val="3"/>
      <w:numFmt w:val="decimal"/>
      <w:suff w:val="nothing"/>
      <w:lvlText w:val="%1、"/>
      <w:lvlJc w:val="left"/>
    </w:lvl>
  </w:abstractNum>
  <w:abstractNum w:abstractNumId="2">
    <w:nsid w:val="F9153F42"/>
    <w:multiLevelType w:val="singleLevel"/>
    <w:tmpl w:val="F9153F42"/>
    <w:lvl w:ilvl="0" w:tentative="0">
      <w:start w:val="1"/>
      <w:numFmt w:val="decimal"/>
      <w:suff w:val="nothing"/>
      <w:lvlText w:val="%1、"/>
      <w:lvlJc w:val="left"/>
    </w:lvl>
  </w:abstractNum>
  <w:abstractNum w:abstractNumId="3">
    <w:nsid w:val="71BD1A65"/>
    <w:multiLevelType w:val="singleLevel"/>
    <w:tmpl w:val="71BD1A65"/>
    <w:lvl w:ilvl="0" w:tentative="0">
      <w:start w:val="1"/>
      <w:numFmt w:val="chineseCounting"/>
      <w:suff w:val="nothing"/>
      <w:lvlText w:val="%1、"/>
      <w:lvlJc w:val="left"/>
      <w:rPr>
        <w:rFonts w:hint="eastAsia"/>
      </w:rPr>
    </w:lvl>
  </w:abstractNum>
  <w:abstractNum w:abstractNumId="4">
    <w:nsid w:val="7A7B36A8"/>
    <w:multiLevelType w:val="singleLevel"/>
    <w:tmpl w:val="7A7B36A8"/>
    <w:lvl w:ilvl="0" w:tentative="0">
      <w:start w:val="33"/>
      <w:numFmt w:val="decimal"/>
      <w:suff w:val="nothing"/>
      <w:lvlText w:val="%1．"/>
      <w:lvlJc w:val="left"/>
    </w:lvl>
  </w:abstractNum>
  <w:num w:numId="1">
    <w:abstractNumId w:val="1"/>
  </w:num>
  <w:num w:numId="2">
    <w:abstractNumId w:val="4"/>
  </w:num>
  <w:num w:numId="3">
    <w:abstractNumId w:val="3"/>
  </w:num>
  <w:num w:numId="4">
    <w:abstractNumId w:val="0"/>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2JjMjg4NjNjMGQ5OWQxMjU2NzFkNWEwMzQxMDU5MzIifQ=="/>
  </w:docVars>
  <w:rsids>
    <w:rsidRoot w:val="3B6D4312"/>
    <w:rsid w:val="0002289A"/>
    <w:rsid w:val="0002557B"/>
    <w:rsid w:val="0005254F"/>
    <w:rsid w:val="000744F3"/>
    <w:rsid w:val="00085D0C"/>
    <w:rsid w:val="000B7B0A"/>
    <w:rsid w:val="000E0EC3"/>
    <w:rsid w:val="000F63F4"/>
    <w:rsid w:val="001062CA"/>
    <w:rsid w:val="0012610A"/>
    <w:rsid w:val="00134FF9"/>
    <w:rsid w:val="00135D99"/>
    <w:rsid w:val="001543AA"/>
    <w:rsid w:val="001544AB"/>
    <w:rsid w:val="00164413"/>
    <w:rsid w:val="001921E8"/>
    <w:rsid w:val="001B03C8"/>
    <w:rsid w:val="001C26B1"/>
    <w:rsid w:val="001C4DFB"/>
    <w:rsid w:val="001D1F1F"/>
    <w:rsid w:val="001E1021"/>
    <w:rsid w:val="001F504D"/>
    <w:rsid w:val="001F66EC"/>
    <w:rsid w:val="002124C7"/>
    <w:rsid w:val="00247343"/>
    <w:rsid w:val="002B1295"/>
    <w:rsid w:val="002B764E"/>
    <w:rsid w:val="002D7B13"/>
    <w:rsid w:val="00313CD1"/>
    <w:rsid w:val="003B47E8"/>
    <w:rsid w:val="003D0F57"/>
    <w:rsid w:val="0040578E"/>
    <w:rsid w:val="00407F49"/>
    <w:rsid w:val="00456C93"/>
    <w:rsid w:val="00464100"/>
    <w:rsid w:val="0048290C"/>
    <w:rsid w:val="004B2C05"/>
    <w:rsid w:val="004D6177"/>
    <w:rsid w:val="00524AD0"/>
    <w:rsid w:val="00553FDF"/>
    <w:rsid w:val="00571117"/>
    <w:rsid w:val="005A19E6"/>
    <w:rsid w:val="005C4427"/>
    <w:rsid w:val="00641255"/>
    <w:rsid w:val="00646FE0"/>
    <w:rsid w:val="0065458C"/>
    <w:rsid w:val="0065720F"/>
    <w:rsid w:val="00697CBD"/>
    <w:rsid w:val="006A18B1"/>
    <w:rsid w:val="006D7EB2"/>
    <w:rsid w:val="007055DD"/>
    <w:rsid w:val="00722415"/>
    <w:rsid w:val="007309C3"/>
    <w:rsid w:val="0075587D"/>
    <w:rsid w:val="00790D6C"/>
    <w:rsid w:val="00791D3B"/>
    <w:rsid w:val="00793DB5"/>
    <w:rsid w:val="007A633F"/>
    <w:rsid w:val="007A7407"/>
    <w:rsid w:val="007C0AF5"/>
    <w:rsid w:val="007E14F9"/>
    <w:rsid w:val="007E37CF"/>
    <w:rsid w:val="007F42A9"/>
    <w:rsid w:val="00802BFD"/>
    <w:rsid w:val="0080751A"/>
    <w:rsid w:val="008348EE"/>
    <w:rsid w:val="00841D4A"/>
    <w:rsid w:val="008822E1"/>
    <w:rsid w:val="00896001"/>
    <w:rsid w:val="008C667C"/>
    <w:rsid w:val="008F47DB"/>
    <w:rsid w:val="008F491E"/>
    <w:rsid w:val="00945378"/>
    <w:rsid w:val="009538E5"/>
    <w:rsid w:val="009A31D3"/>
    <w:rsid w:val="009B4E73"/>
    <w:rsid w:val="009C14AA"/>
    <w:rsid w:val="009C50DE"/>
    <w:rsid w:val="009D0B60"/>
    <w:rsid w:val="009E4EFF"/>
    <w:rsid w:val="00A05D0A"/>
    <w:rsid w:val="00A14DC5"/>
    <w:rsid w:val="00A367D2"/>
    <w:rsid w:val="00A81829"/>
    <w:rsid w:val="00A920B1"/>
    <w:rsid w:val="00AC62A3"/>
    <w:rsid w:val="00AF1D2C"/>
    <w:rsid w:val="00AF57CF"/>
    <w:rsid w:val="00B00879"/>
    <w:rsid w:val="00B11F8D"/>
    <w:rsid w:val="00B60E3F"/>
    <w:rsid w:val="00B71F35"/>
    <w:rsid w:val="00B96CE0"/>
    <w:rsid w:val="00BB3D24"/>
    <w:rsid w:val="00BD0854"/>
    <w:rsid w:val="00C532AA"/>
    <w:rsid w:val="00CA24DF"/>
    <w:rsid w:val="00CA49A2"/>
    <w:rsid w:val="00CC34A7"/>
    <w:rsid w:val="00D06D88"/>
    <w:rsid w:val="00D0796B"/>
    <w:rsid w:val="00D50CF1"/>
    <w:rsid w:val="00D603A5"/>
    <w:rsid w:val="00D650B3"/>
    <w:rsid w:val="00D85D6D"/>
    <w:rsid w:val="00D95E37"/>
    <w:rsid w:val="00DD64C1"/>
    <w:rsid w:val="00DD686E"/>
    <w:rsid w:val="00DF620B"/>
    <w:rsid w:val="00E14E87"/>
    <w:rsid w:val="00E222D9"/>
    <w:rsid w:val="00E32FBB"/>
    <w:rsid w:val="00E85F0E"/>
    <w:rsid w:val="00EC3FB8"/>
    <w:rsid w:val="00EC75BF"/>
    <w:rsid w:val="00EE23EE"/>
    <w:rsid w:val="00EF5506"/>
    <w:rsid w:val="00F15754"/>
    <w:rsid w:val="00F358B9"/>
    <w:rsid w:val="00F52D3A"/>
    <w:rsid w:val="00F5751A"/>
    <w:rsid w:val="00F72550"/>
    <w:rsid w:val="00F90CF2"/>
    <w:rsid w:val="00FC3484"/>
    <w:rsid w:val="00FF33A0"/>
    <w:rsid w:val="00FF76D9"/>
    <w:rsid w:val="01E200EE"/>
    <w:rsid w:val="025A13E2"/>
    <w:rsid w:val="02E9680F"/>
    <w:rsid w:val="02F7533D"/>
    <w:rsid w:val="030457ED"/>
    <w:rsid w:val="03562994"/>
    <w:rsid w:val="03CB6D70"/>
    <w:rsid w:val="04364A4F"/>
    <w:rsid w:val="04376975"/>
    <w:rsid w:val="044C08C6"/>
    <w:rsid w:val="04E40895"/>
    <w:rsid w:val="051B7598"/>
    <w:rsid w:val="052E78DA"/>
    <w:rsid w:val="059A4101"/>
    <w:rsid w:val="07F66A4C"/>
    <w:rsid w:val="083B43B1"/>
    <w:rsid w:val="08757A2C"/>
    <w:rsid w:val="08A9464F"/>
    <w:rsid w:val="08D505E6"/>
    <w:rsid w:val="09062DA7"/>
    <w:rsid w:val="09577D3C"/>
    <w:rsid w:val="0967478B"/>
    <w:rsid w:val="09A667E8"/>
    <w:rsid w:val="0A31358E"/>
    <w:rsid w:val="0A621C44"/>
    <w:rsid w:val="0B372B92"/>
    <w:rsid w:val="0BFF40FB"/>
    <w:rsid w:val="0C855B7E"/>
    <w:rsid w:val="0C87037B"/>
    <w:rsid w:val="0CF74903"/>
    <w:rsid w:val="0E1B10A8"/>
    <w:rsid w:val="0E80564C"/>
    <w:rsid w:val="0EA03B8A"/>
    <w:rsid w:val="0EAC0C18"/>
    <w:rsid w:val="0EB25F9A"/>
    <w:rsid w:val="0F263AB3"/>
    <w:rsid w:val="0F8D0176"/>
    <w:rsid w:val="0FD73768"/>
    <w:rsid w:val="10A4638E"/>
    <w:rsid w:val="10D83B3D"/>
    <w:rsid w:val="11135DC8"/>
    <w:rsid w:val="116F1B18"/>
    <w:rsid w:val="11D31BC3"/>
    <w:rsid w:val="11F528ED"/>
    <w:rsid w:val="1265210E"/>
    <w:rsid w:val="12D70506"/>
    <w:rsid w:val="12E86716"/>
    <w:rsid w:val="13082AF4"/>
    <w:rsid w:val="130F5872"/>
    <w:rsid w:val="134A310C"/>
    <w:rsid w:val="13E640E2"/>
    <w:rsid w:val="13E744B7"/>
    <w:rsid w:val="14082F52"/>
    <w:rsid w:val="14085DAD"/>
    <w:rsid w:val="14233C6D"/>
    <w:rsid w:val="14452035"/>
    <w:rsid w:val="1448567A"/>
    <w:rsid w:val="145B3800"/>
    <w:rsid w:val="15B036FB"/>
    <w:rsid w:val="16007AF5"/>
    <w:rsid w:val="17463991"/>
    <w:rsid w:val="179E3273"/>
    <w:rsid w:val="17E977C8"/>
    <w:rsid w:val="182C4B8E"/>
    <w:rsid w:val="1873680D"/>
    <w:rsid w:val="18E67433"/>
    <w:rsid w:val="18F12637"/>
    <w:rsid w:val="19095239"/>
    <w:rsid w:val="19A846E9"/>
    <w:rsid w:val="19BE3F0C"/>
    <w:rsid w:val="1A6525DA"/>
    <w:rsid w:val="1AB46DAB"/>
    <w:rsid w:val="1B4665D0"/>
    <w:rsid w:val="1B6C2995"/>
    <w:rsid w:val="1BB630ED"/>
    <w:rsid w:val="1BC44893"/>
    <w:rsid w:val="1BE136FF"/>
    <w:rsid w:val="1C05708F"/>
    <w:rsid w:val="1C307374"/>
    <w:rsid w:val="1C9203A6"/>
    <w:rsid w:val="1E032835"/>
    <w:rsid w:val="1E562810"/>
    <w:rsid w:val="1EB63404"/>
    <w:rsid w:val="1EBD45C4"/>
    <w:rsid w:val="1F1C5732"/>
    <w:rsid w:val="1F584BD1"/>
    <w:rsid w:val="1F7A6193"/>
    <w:rsid w:val="205D447F"/>
    <w:rsid w:val="206E043A"/>
    <w:rsid w:val="20AD4C4C"/>
    <w:rsid w:val="21424D60"/>
    <w:rsid w:val="215321ED"/>
    <w:rsid w:val="224A02E7"/>
    <w:rsid w:val="227411DF"/>
    <w:rsid w:val="22934188"/>
    <w:rsid w:val="23EE6B47"/>
    <w:rsid w:val="24856237"/>
    <w:rsid w:val="25053D8A"/>
    <w:rsid w:val="25687B33"/>
    <w:rsid w:val="25791876"/>
    <w:rsid w:val="26236584"/>
    <w:rsid w:val="26826F29"/>
    <w:rsid w:val="26B94C66"/>
    <w:rsid w:val="26C639D0"/>
    <w:rsid w:val="26EC20B9"/>
    <w:rsid w:val="26FF6942"/>
    <w:rsid w:val="272101A5"/>
    <w:rsid w:val="272B74FA"/>
    <w:rsid w:val="2737635B"/>
    <w:rsid w:val="2751149E"/>
    <w:rsid w:val="2837076A"/>
    <w:rsid w:val="2865301D"/>
    <w:rsid w:val="28C86C87"/>
    <w:rsid w:val="29051210"/>
    <w:rsid w:val="296119D7"/>
    <w:rsid w:val="29C976D6"/>
    <w:rsid w:val="2A97100B"/>
    <w:rsid w:val="2B401296"/>
    <w:rsid w:val="2BAE6875"/>
    <w:rsid w:val="2BEC17AE"/>
    <w:rsid w:val="2C0B6D4E"/>
    <w:rsid w:val="2C1B0D4A"/>
    <w:rsid w:val="2C5357E2"/>
    <w:rsid w:val="2D0635AD"/>
    <w:rsid w:val="2D691CC1"/>
    <w:rsid w:val="2D907150"/>
    <w:rsid w:val="2DDB1EBF"/>
    <w:rsid w:val="2DE71DA9"/>
    <w:rsid w:val="2DF963B5"/>
    <w:rsid w:val="2E6C5CB5"/>
    <w:rsid w:val="2EC40C57"/>
    <w:rsid w:val="2EE433BF"/>
    <w:rsid w:val="2F740E9D"/>
    <w:rsid w:val="2F777046"/>
    <w:rsid w:val="2F9B6BBA"/>
    <w:rsid w:val="2FE96F27"/>
    <w:rsid w:val="2FEA73B1"/>
    <w:rsid w:val="30136E93"/>
    <w:rsid w:val="30334755"/>
    <w:rsid w:val="30EC6390"/>
    <w:rsid w:val="311233CC"/>
    <w:rsid w:val="31B57180"/>
    <w:rsid w:val="33113670"/>
    <w:rsid w:val="34935BA4"/>
    <w:rsid w:val="34A264CA"/>
    <w:rsid w:val="35830B03"/>
    <w:rsid w:val="3700775A"/>
    <w:rsid w:val="37A26BD4"/>
    <w:rsid w:val="37A33759"/>
    <w:rsid w:val="37AE7FE3"/>
    <w:rsid w:val="38417D8A"/>
    <w:rsid w:val="390B4D39"/>
    <w:rsid w:val="39131727"/>
    <w:rsid w:val="392A6A70"/>
    <w:rsid w:val="39731517"/>
    <w:rsid w:val="39F52602"/>
    <w:rsid w:val="39FC703A"/>
    <w:rsid w:val="3AC802EF"/>
    <w:rsid w:val="3B183024"/>
    <w:rsid w:val="3B6D4312"/>
    <w:rsid w:val="3BB718A6"/>
    <w:rsid w:val="3BC04127"/>
    <w:rsid w:val="3C88543E"/>
    <w:rsid w:val="3CB7521C"/>
    <w:rsid w:val="3CE76215"/>
    <w:rsid w:val="3CFF0303"/>
    <w:rsid w:val="3D7619F9"/>
    <w:rsid w:val="3D957982"/>
    <w:rsid w:val="3D96007A"/>
    <w:rsid w:val="3E817133"/>
    <w:rsid w:val="3EDC25BB"/>
    <w:rsid w:val="3F4915A0"/>
    <w:rsid w:val="3F5F332B"/>
    <w:rsid w:val="3F641BC2"/>
    <w:rsid w:val="3F8502F8"/>
    <w:rsid w:val="3FBE56FE"/>
    <w:rsid w:val="3FD704B2"/>
    <w:rsid w:val="403B7AF1"/>
    <w:rsid w:val="405854B3"/>
    <w:rsid w:val="408D1DBF"/>
    <w:rsid w:val="409313F9"/>
    <w:rsid w:val="40B7508E"/>
    <w:rsid w:val="40CA2819"/>
    <w:rsid w:val="41126EAC"/>
    <w:rsid w:val="41EC3A6C"/>
    <w:rsid w:val="42A2655E"/>
    <w:rsid w:val="43420D2F"/>
    <w:rsid w:val="436C5E0D"/>
    <w:rsid w:val="43952229"/>
    <w:rsid w:val="43F36E83"/>
    <w:rsid w:val="44631084"/>
    <w:rsid w:val="446A549B"/>
    <w:rsid w:val="44800368"/>
    <w:rsid w:val="44E811C0"/>
    <w:rsid w:val="45E74C1B"/>
    <w:rsid w:val="46871AD6"/>
    <w:rsid w:val="47025D0E"/>
    <w:rsid w:val="4735560E"/>
    <w:rsid w:val="47413F22"/>
    <w:rsid w:val="4792678F"/>
    <w:rsid w:val="47E03B89"/>
    <w:rsid w:val="481D5A38"/>
    <w:rsid w:val="487975A7"/>
    <w:rsid w:val="48E17BF2"/>
    <w:rsid w:val="48E72086"/>
    <w:rsid w:val="49732ED5"/>
    <w:rsid w:val="499C01CA"/>
    <w:rsid w:val="49EF5898"/>
    <w:rsid w:val="4A1079FD"/>
    <w:rsid w:val="4A1D620C"/>
    <w:rsid w:val="4A2D4613"/>
    <w:rsid w:val="4AED722D"/>
    <w:rsid w:val="4B3D40BA"/>
    <w:rsid w:val="4BC136D0"/>
    <w:rsid w:val="4BF328A0"/>
    <w:rsid w:val="4C2E17B4"/>
    <w:rsid w:val="4C372CAF"/>
    <w:rsid w:val="4C81677F"/>
    <w:rsid w:val="4D195C1E"/>
    <w:rsid w:val="4D904DD7"/>
    <w:rsid w:val="4D9C287D"/>
    <w:rsid w:val="4DC04FA6"/>
    <w:rsid w:val="4DC53F66"/>
    <w:rsid w:val="4E2A0E48"/>
    <w:rsid w:val="4FC91A1A"/>
    <w:rsid w:val="5049448C"/>
    <w:rsid w:val="50DB6247"/>
    <w:rsid w:val="51531E87"/>
    <w:rsid w:val="51552F81"/>
    <w:rsid w:val="51AB2104"/>
    <w:rsid w:val="525A7F6F"/>
    <w:rsid w:val="52760C06"/>
    <w:rsid w:val="52A35200"/>
    <w:rsid w:val="530E35F9"/>
    <w:rsid w:val="53427976"/>
    <w:rsid w:val="53A07C03"/>
    <w:rsid w:val="53A63423"/>
    <w:rsid w:val="53B638D1"/>
    <w:rsid w:val="54386D63"/>
    <w:rsid w:val="54A36172"/>
    <w:rsid w:val="54BC0EE8"/>
    <w:rsid w:val="55D41C4B"/>
    <w:rsid w:val="5702252D"/>
    <w:rsid w:val="572444C0"/>
    <w:rsid w:val="576D49E8"/>
    <w:rsid w:val="57B957CF"/>
    <w:rsid w:val="57DA583E"/>
    <w:rsid w:val="594F1692"/>
    <w:rsid w:val="59566C52"/>
    <w:rsid w:val="597674DD"/>
    <w:rsid w:val="5A416E84"/>
    <w:rsid w:val="5AAF5CCA"/>
    <w:rsid w:val="5B6E68B8"/>
    <w:rsid w:val="5B6F6839"/>
    <w:rsid w:val="5B8D6C19"/>
    <w:rsid w:val="5BAA698D"/>
    <w:rsid w:val="5BC65072"/>
    <w:rsid w:val="5BCE61FA"/>
    <w:rsid w:val="5C9B134E"/>
    <w:rsid w:val="5D5E6B65"/>
    <w:rsid w:val="5DAA1580"/>
    <w:rsid w:val="5DF14932"/>
    <w:rsid w:val="5DFF04E8"/>
    <w:rsid w:val="5E1A6FB5"/>
    <w:rsid w:val="5E7A3CE2"/>
    <w:rsid w:val="5E960581"/>
    <w:rsid w:val="5F355496"/>
    <w:rsid w:val="5F8349F8"/>
    <w:rsid w:val="5F865CD7"/>
    <w:rsid w:val="5F925D77"/>
    <w:rsid w:val="5FB011CE"/>
    <w:rsid w:val="5FDC4484"/>
    <w:rsid w:val="60BA0556"/>
    <w:rsid w:val="60F61E20"/>
    <w:rsid w:val="61442903"/>
    <w:rsid w:val="618B1EF3"/>
    <w:rsid w:val="61A7533B"/>
    <w:rsid w:val="621244D5"/>
    <w:rsid w:val="62B2296D"/>
    <w:rsid w:val="62B247EF"/>
    <w:rsid w:val="636147EE"/>
    <w:rsid w:val="63B05397"/>
    <w:rsid w:val="63DB6B9E"/>
    <w:rsid w:val="65B441A4"/>
    <w:rsid w:val="65D8147F"/>
    <w:rsid w:val="65DE602B"/>
    <w:rsid w:val="66373494"/>
    <w:rsid w:val="66591B82"/>
    <w:rsid w:val="66593A91"/>
    <w:rsid w:val="67D46774"/>
    <w:rsid w:val="68550B65"/>
    <w:rsid w:val="6898637C"/>
    <w:rsid w:val="68B16D7B"/>
    <w:rsid w:val="68BA7003"/>
    <w:rsid w:val="691C25EA"/>
    <w:rsid w:val="698555C7"/>
    <w:rsid w:val="69CC12FA"/>
    <w:rsid w:val="6C281E78"/>
    <w:rsid w:val="6C307E68"/>
    <w:rsid w:val="6C920572"/>
    <w:rsid w:val="6DB227E4"/>
    <w:rsid w:val="6DBE1759"/>
    <w:rsid w:val="6DC31ECB"/>
    <w:rsid w:val="6E307289"/>
    <w:rsid w:val="6E656845"/>
    <w:rsid w:val="6EE94C4D"/>
    <w:rsid w:val="6F471F5D"/>
    <w:rsid w:val="6F891280"/>
    <w:rsid w:val="6F8E74DB"/>
    <w:rsid w:val="704D159E"/>
    <w:rsid w:val="70727FF1"/>
    <w:rsid w:val="70836CF8"/>
    <w:rsid w:val="70CF07C8"/>
    <w:rsid w:val="710F157A"/>
    <w:rsid w:val="71840FD7"/>
    <w:rsid w:val="718C3480"/>
    <w:rsid w:val="721D56A4"/>
    <w:rsid w:val="72BF7C4E"/>
    <w:rsid w:val="72F3401B"/>
    <w:rsid w:val="731416B4"/>
    <w:rsid w:val="736C262E"/>
    <w:rsid w:val="73712518"/>
    <w:rsid w:val="738A0204"/>
    <w:rsid w:val="738E7AB2"/>
    <w:rsid w:val="73AA787E"/>
    <w:rsid w:val="73EF0074"/>
    <w:rsid w:val="73F43927"/>
    <w:rsid w:val="74624F7D"/>
    <w:rsid w:val="74B72A06"/>
    <w:rsid w:val="7546516B"/>
    <w:rsid w:val="75693EA1"/>
    <w:rsid w:val="75AF555B"/>
    <w:rsid w:val="763204BA"/>
    <w:rsid w:val="765714E0"/>
    <w:rsid w:val="767D2F83"/>
    <w:rsid w:val="76F3488A"/>
    <w:rsid w:val="77281C38"/>
    <w:rsid w:val="7741229E"/>
    <w:rsid w:val="781828A1"/>
    <w:rsid w:val="781C3DC0"/>
    <w:rsid w:val="78780B98"/>
    <w:rsid w:val="788E06C1"/>
    <w:rsid w:val="78D76423"/>
    <w:rsid w:val="78D86E43"/>
    <w:rsid w:val="79566D81"/>
    <w:rsid w:val="795C6D0D"/>
    <w:rsid w:val="79B10E72"/>
    <w:rsid w:val="79E02BD8"/>
    <w:rsid w:val="7A2B55F9"/>
    <w:rsid w:val="7A3458D0"/>
    <w:rsid w:val="7A4B048B"/>
    <w:rsid w:val="7A7C35B8"/>
    <w:rsid w:val="7A96669D"/>
    <w:rsid w:val="7AC70013"/>
    <w:rsid w:val="7B672810"/>
    <w:rsid w:val="7B681B66"/>
    <w:rsid w:val="7C561F60"/>
    <w:rsid w:val="7C6B2EC5"/>
    <w:rsid w:val="7C831CEC"/>
    <w:rsid w:val="7DDF7DDD"/>
    <w:rsid w:val="7E300909"/>
    <w:rsid w:val="7E3037AE"/>
    <w:rsid w:val="7EC84C80"/>
    <w:rsid w:val="7EF55FF4"/>
    <w:rsid w:val="7F0627ED"/>
    <w:rsid w:val="7FE40AB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qFormat="1" w:unhideWhenUsed="0" w:uiPriority="0" w:semiHidden="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3">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4">
    <w:name w:val="heading 2"/>
    <w:basedOn w:val="1"/>
    <w:next w:val="1"/>
    <w:semiHidden/>
    <w:unhideWhenUsed/>
    <w:qFormat/>
    <w:uiPriority w:val="0"/>
    <w:pPr>
      <w:keepNext/>
      <w:keepLines/>
      <w:spacing w:line="413" w:lineRule="auto"/>
      <w:outlineLvl w:val="1"/>
    </w:pPr>
    <w:rPr>
      <w:rFonts w:ascii="Arial" w:hAnsi="Arial" w:eastAsia="黑体"/>
      <w:b/>
      <w:sz w:val="32"/>
    </w:rPr>
  </w:style>
  <w:style w:type="character" w:default="1" w:styleId="16">
    <w:name w:val="Default Paragraph Font"/>
    <w:semiHidden/>
    <w:unhideWhenUsed/>
    <w:qFormat/>
    <w:uiPriority w:val="1"/>
  </w:style>
  <w:style w:type="table" w:default="1" w:styleId="15">
    <w:name w:val="Normal Table"/>
    <w:semiHidden/>
    <w:unhideWhenUsed/>
    <w:qFormat/>
    <w:uiPriority w:val="99"/>
    <w:tblPr>
      <w:tblCellMar>
        <w:top w:w="0" w:type="dxa"/>
        <w:left w:w="108" w:type="dxa"/>
        <w:bottom w:w="0" w:type="dxa"/>
        <w:right w:w="108" w:type="dxa"/>
      </w:tblCellMar>
    </w:tblPr>
  </w:style>
  <w:style w:type="paragraph" w:customStyle="1" w:styleId="2">
    <w:name w:val="样式 小四 行距: 1.5 倍行距"/>
    <w:basedOn w:val="1"/>
    <w:qFormat/>
    <w:uiPriority w:val="0"/>
    <w:pPr>
      <w:ind w:firstLine="480"/>
    </w:pPr>
    <w:rPr>
      <w:rFonts w:cs="宋体"/>
    </w:rPr>
  </w:style>
  <w:style w:type="paragraph" w:styleId="5">
    <w:name w:val="Note Heading"/>
    <w:basedOn w:val="1"/>
    <w:next w:val="1"/>
    <w:qFormat/>
    <w:uiPriority w:val="0"/>
    <w:pPr>
      <w:snapToGrid w:val="0"/>
      <w:spacing w:before="120" w:after="120" w:line="320" w:lineRule="exact"/>
      <w:ind w:firstLine="413" w:firstLineChars="200"/>
    </w:pPr>
    <w:rPr>
      <w:rFonts w:ascii="宋体" w:hAnsi="宋体"/>
      <w:b/>
      <w:color w:val="000000"/>
    </w:rPr>
  </w:style>
  <w:style w:type="paragraph" w:styleId="6">
    <w:name w:val="Normal Indent"/>
    <w:basedOn w:val="1"/>
    <w:qFormat/>
    <w:uiPriority w:val="0"/>
    <w:pPr>
      <w:ind w:firstLine="420"/>
    </w:pPr>
    <w:rPr>
      <w:rFonts w:ascii="Times New Roman" w:hAnsi="Times New Roman" w:eastAsia="宋体" w:cs="Times New Roman"/>
      <w:szCs w:val="20"/>
    </w:rPr>
  </w:style>
  <w:style w:type="paragraph" w:styleId="7">
    <w:name w:val="annotation text"/>
    <w:basedOn w:val="1"/>
    <w:semiHidden/>
    <w:unhideWhenUsed/>
    <w:qFormat/>
    <w:uiPriority w:val="0"/>
    <w:pPr>
      <w:jc w:val="left"/>
    </w:pPr>
  </w:style>
  <w:style w:type="paragraph" w:styleId="8">
    <w:name w:val="Body Text"/>
    <w:basedOn w:val="1"/>
    <w:qFormat/>
    <w:uiPriority w:val="0"/>
  </w:style>
  <w:style w:type="paragraph" w:styleId="9">
    <w:name w:val="Plain Text"/>
    <w:basedOn w:val="1"/>
    <w:next w:val="1"/>
    <w:link w:val="33"/>
    <w:qFormat/>
    <w:uiPriority w:val="0"/>
    <w:rPr>
      <w:rFonts w:hint="eastAsia" w:ascii="宋体" w:hAnsi="Courier New" w:eastAsia="宋体" w:cs="Times New Roman"/>
      <w:szCs w:val="21"/>
    </w:rPr>
  </w:style>
  <w:style w:type="paragraph" w:styleId="10">
    <w:name w:val="Balloon Text"/>
    <w:basedOn w:val="1"/>
    <w:link w:val="31"/>
    <w:qFormat/>
    <w:uiPriority w:val="0"/>
    <w:rPr>
      <w:sz w:val="18"/>
      <w:szCs w:val="18"/>
    </w:rPr>
  </w:style>
  <w:style w:type="paragraph" w:styleId="11">
    <w:name w:val="footer"/>
    <w:basedOn w:val="1"/>
    <w:link w:val="30"/>
    <w:qFormat/>
    <w:uiPriority w:val="0"/>
    <w:pPr>
      <w:tabs>
        <w:tab w:val="center" w:pos="4153"/>
        <w:tab w:val="right" w:pos="8306"/>
      </w:tabs>
      <w:snapToGrid w:val="0"/>
      <w:jc w:val="left"/>
    </w:pPr>
    <w:rPr>
      <w:sz w:val="18"/>
      <w:szCs w:val="18"/>
    </w:rPr>
  </w:style>
  <w:style w:type="paragraph" w:styleId="12">
    <w:name w:val="header"/>
    <w:basedOn w:val="1"/>
    <w:link w:val="29"/>
    <w:qFormat/>
    <w:uiPriority w:val="0"/>
    <w:pPr>
      <w:pBdr>
        <w:bottom w:val="single" w:color="auto" w:sz="6" w:space="1"/>
      </w:pBdr>
      <w:tabs>
        <w:tab w:val="center" w:pos="4153"/>
        <w:tab w:val="right" w:pos="8306"/>
      </w:tabs>
      <w:snapToGrid w:val="0"/>
      <w:jc w:val="center"/>
    </w:pPr>
    <w:rPr>
      <w:sz w:val="18"/>
      <w:szCs w:val="18"/>
    </w:rPr>
  </w:style>
  <w:style w:type="paragraph" w:styleId="13">
    <w:name w:val="toc 1"/>
    <w:basedOn w:val="1"/>
    <w:next w:val="1"/>
    <w:qFormat/>
    <w:uiPriority w:val="0"/>
    <w:rPr>
      <w:rFonts w:ascii="Times New Roman" w:hAnsi="Times New Roman" w:eastAsia="宋体" w:cs="Times New Roman"/>
      <w:szCs w:val="21"/>
    </w:rPr>
  </w:style>
  <w:style w:type="paragraph" w:styleId="14">
    <w:name w:val="Body Text First Indent"/>
    <w:basedOn w:val="8"/>
    <w:link w:val="34"/>
    <w:qFormat/>
    <w:uiPriority w:val="0"/>
    <w:pPr>
      <w:spacing w:beforeAutospacing="1" w:after="120"/>
      <w:ind w:firstLine="420"/>
    </w:pPr>
    <w:rPr>
      <w:rFonts w:ascii="Times New Roman" w:hAnsi="Times New Roman" w:eastAsia="宋体" w:cs="Times New Roman"/>
      <w:szCs w:val="21"/>
    </w:rPr>
  </w:style>
  <w:style w:type="character" w:styleId="17">
    <w:name w:val="page number"/>
    <w:basedOn w:val="16"/>
    <w:qFormat/>
    <w:uiPriority w:val="0"/>
  </w:style>
  <w:style w:type="character" w:styleId="18">
    <w:name w:val="FollowedHyperlink"/>
    <w:basedOn w:val="16"/>
    <w:qFormat/>
    <w:uiPriority w:val="0"/>
    <w:rPr>
      <w:color w:val="0000FF"/>
      <w:u w:val="single"/>
    </w:rPr>
  </w:style>
  <w:style w:type="character" w:styleId="19">
    <w:name w:val="Hyperlink"/>
    <w:basedOn w:val="16"/>
    <w:qFormat/>
    <w:uiPriority w:val="0"/>
    <w:rPr>
      <w:color w:val="0000FF"/>
      <w:u w:val="single"/>
    </w:rPr>
  </w:style>
  <w:style w:type="paragraph" w:customStyle="1" w:styleId="20">
    <w:name w:val="表格文字"/>
    <w:basedOn w:val="1"/>
    <w:qFormat/>
    <w:uiPriority w:val="0"/>
    <w:pPr>
      <w:spacing w:before="25" w:after="25"/>
      <w:jc w:val="left"/>
    </w:pPr>
    <w:rPr>
      <w:bCs/>
      <w:spacing w:val="10"/>
      <w:kern w:val="0"/>
      <w:sz w:val="24"/>
    </w:rPr>
  </w:style>
  <w:style w:type="paragraph" w:customStyle="1" w:styleId="21">
    <w:name w:val="_Style 3"/>
    <w:qFormat/>
    <w:uiPriority w:val="1"/>
    <w:pPr>
      <w:widowControl w:val="0"/>
      <w:jc w:val="both"/>
    </w:pPr>
    <w:rPr>
      <w:rFonts w:ascii="Calibri" w:hAnsi="Calibri" w:eastAsia="宋体" w:cs="Times New Roman"/>
      <w:kern w:val="2"/>
      <w:sz w:val="21"/>
      <w:szCs w:val="22"/>
      <w:lang w:val="en-US" w:eastAsia="zh-CN" w:bidi="ar-SA"/>
    </w:rPr>
  </w:style>
  <w:style w:type="paragraph" w:customStyle="1" w:styleId="22">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3">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4">
    <w:name w:val="列出段落1"/>
    <w:basedOn w:val="1"/>
    <w:qFormat/>
    <w:uiPriority w:val="0"/>
    <w:pPr>
      <w:ind w:firstLine="420" w:firstLineChars="200"/>
    </w:pPr>
    <w:rPr>
      <w:rFonts w:ascii="Calibri" w:hAnsi="Calibri" w:eastAsia="宋体" w:cs="Times New Roman"/>
      <w:szCs w:val="21"/>
    </w:rPr>
  </w:style>
  <w:style w:type="paragraph" w:customStyle="1" w:styleId="25">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6">
    <w:name w:val="10"/>
    <w:basedOn w:val="16"/>
    <w:qFormat/>
    <w:uiPriority w:val="0"/>
    <w:rPr>
      <w:rFonts w:hint="default" w:ascii="Times New Roman" w:hAnsi="Times New Roman" w:cs="Times New Roman"/>
    </w:rPr>
  </w:style>
  <w:style w:type="character" w:customStyle="1" w:styleId="27">
    <w:name w:val="15"/>
    <w:basedOn w:val="16"/>
    <w:qFormat/>
    <w:uiPriority w:val="0"/>
    <w:rPr>
      <w:rFonts w:hint="default" w:ascii="Times New Roman" w:hAnsi="Times New Roman" w:cs="Times New Roman"/>
    </w:rPr>
  </w:style>
  <w:style w:type="character" w:customStyle="1" w:styleId="28">
    <w:name w:val="16"/>
    <w:basedOn w:val="16"/>
    <w:qFormat/>
    <w:uiPriority w:val="0"/>
    <w:rPr>
      <w:rFonts w:hint="default" w:ascii="Times New Roman" w:hAnsi="Times New Roman" w:cs="Times New Roman"/>
      <w:color w:val="0000FF"/>
      <w:u w:val="single"/>
    </w:rPr>
  </w:style>
  <w:style w:type="character" w:customStyle="1" w:styleId="29">
    <w:name w:val="页眉 Char"/>
    <w:basedOn w:val="16"/>
    <w:link w:val="12"/>
    <w:qFormat/>
    <w:uiPriority w:val="0"/>
    <w:rPr>
      <w:rFonts w:asciiTheme="minorHAnsi" w:hAnsiTheme="minorHAnsi" w:eastAsiaTheme="minorEastAsia" w:cstheme="minorBidi"/>
      <w:kern w:val="2"/>
      <w:sz w:val="18"/>
      <w:szCs w:val="18"/>
    </w:rPr>
  </w:style>
  <w:style w:type="character" w:customStyle="1" w:styleId="30">
    <w:name w:val="页脚 Char"/>
    <w:basedOn w:val="16"/>
    <w:link w:val="11"/>
    <w:qFormat/>
    <w:uiPriority w:val="0"/>
    <w:rPr>
      <w:rFonts w:asciiTheme="minorHAnsi" w:hAnsiTheme="minorHAnsi" w:eastAsiaTheme="minorEastAsia" w:cstheme="minorBidi"/>
      <w:kern w:val="2"/>
      <w:sz w:val="18"/>
      <w:szCs w:val="18"/>
    </w:rPr>
  </w:style>
  <w:style w:type="character" w:customStyle="1" w:styleId="31">
    <w:name w:val="批注框文本 Char"/>
    <w:basedOn w:val="16"/>
    <w:link w:val="10"/>
    <w:qFormat/>
    <w:uiPriority w:val="0"/>
    <w:rPr>
      <w:rFonts w:asciiTheme="minorHAnsi" w:hAnsiTheme="minorHAnsi" w:eastAsiaTheme="minorEastAsia" w:cstheme="minorBidi"/>
      <w:kern w:val="2"/>
      <w:sz w:val="18"/>
      <w:szCs w:val="18"/>
    </w:rPr>
  </w:style>
  <w:style w:type="paragraph" w:customStyle="1" w:styleId="32">
    <w:name w:val="WPSOffice手动目录 1"/>
    <w:qFormat/>
    <w:uiPriority w:val="0"/>
    <w:rPr>
      <w:rFonts w:ascii="Times New Roman" w:hAnsi="Times New Roman" w:eastAsia="宋体" w:cs="Times New Roman"/>
      <w:lang w:val="en-US" w:eastAsia="zh-CN" w:bidi="ar-SA"/>
    </w:rPr>
  </w:style>
  <w:style w:type="character" w:customStyle="1" w:styleId="33">
    <w:name w:val="纯文本 Char"/>
    <w:link w:val="9"/>
    <w:qFormat/>
    <w:uiPriority w:val="0"/>
    <w:rPr>
      <w:rFonts w:ascii="宋体" w:hAnsi="Courier New"/>
      <w:kern w:val="2"/>
      <w:sz w:val="21"/>
      <w:szCs w:val="21"/>
    </w:rPr>
  </w:style>
  <w:style w:type="character" w:customStyle="1" w:styleId="34">
    <w:name w:val="正文首行缩进 Char"/>
    <w:basedOn w:val="16"/>
    <w:link w:val="14"/>
    <w:qFormat/>
    <w:uiPriority w:val="0"/>
    <w:rPr>
      <w:kern w:val="2"/>
      <w:sz w:val="21"/>
      <w:szCs w:val="21"/>
    </w:rPr>
  </w:style>
  <w:style w:type="paragraph" w:styleId="35">
    <w:name w:val="List Paragraph"/>
    <w:basedOn w:val="1"/>
    <w:unhideWhenUsed/>
    <w:qFormat/>
    <w:uiPriority w:val="99"/>
    <w:pPr>
      <w:ind w:firstLine="420" w:firstLineChars="200"/>
    </w:pPr>
  </w:style>
  <w:style w:type="paragraph" w:customStyle="1" w:styleId="36">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7">
    <w:name w:val="发文落款"/>
    <w:basedOn w:val="36"/>
    <w:qFormat/>
    <w:uiPriority w:val="0"/>
    <w:pPr>
      <w:ind w:left="4094" w:right="607" w:firstLine="0"/>
      <w:jc w:val="center"/>
    </w:pPr>
  </w:style>
  <w:style w:type="character" w:customStyle="1" w:styleId="38">
    <w:name w:val="c Char1"/>
    <w:link w:val="39"/>
    <w:qFormat/>
    <w:uiPriority w:val="0"/>
    <w:rPr>
      <w:rFonts w:eastAsia="仿宋_GB2312" w:cs="宋体"/>
      <w:sz w:val="28"/>
    </w:rPr>
  </w:style>
  <w:style w:type="paragraph" w:customStyle="1" w:styleId="39">
    <w:name w:val="c"/>
    <w:basedOn w:val="1"/>
    <w:link w:val="38"/>
    <w:qFormat/>
    <w:uiPriority w:val="0"/>
    <w:pPr>
      <w:widowControl/>
      <w:spacing w:beforeLines="50" w:line="440" w:lineRule="exact"/>
      <w:ind w:firstLine="560" w:firstLineChars="200"/>
      <w:jc w:val="left"/>
    </w:pPr>
    <w:rPr>
      <w:rFonts w:ascii="Times New Roman" w:hAnsi="Times New Roman" w:eastAsia="仿宋_GB2312" w:cs="宋体"/>
      <w:kern w:val="0"/>
      <w:sz w:val="28"/>
      <w:szCs w:val="20"/>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299186B-7ED3-4BF5-B6DA-FDA88F5F4AF9}">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41</Pages>
  <Words>15527</Words>
  <Characters>16397</Characters>
  <Lines>131</Lines>
  <Paragraphs>37</Paragraphs>
  <TotalTime>1</TotalTime>
  <ScaleCrop>false</ScaleCrop>
  <LinksUpToDate>false</LinksUpToDate>
  <CharactersWithSpaces>17402</CharactersWithSpaces>
  <Application>WPS Office_11.1.0.14309_F1E327BC-269C-435d-A152-05C5408002CA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2022-02-28T02:04:00Z</dcterms:created>
  <dc:creator>李晓晨</dc:creator>
  <cp:lastModifiedBy>Lenovo</cp:lastModifiedBy>
  <cp:lastPrinted>2020-07-23T07:52:00Z</cp:lastPrinted>
  <dcterms:modified xsi:type="dcterms:W3CDTF">2023-07-21T09:17:15Z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6F8842E353744852BDC4E3C1A0BD38D3</vt:lpwstr>
  </property>
</Properties>
</file>