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港口新鲜集市（A地块）项目</w:t>
      </w: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（一期）--土建工程施工</w:t>
      </w:r>
    </w:p>
    <w:p>
      <w:pPr>
        <w:jc w:val="center"/>
        <w:rPr>
          <w:rFonts w:hint="eastAsia" w:ascii="楷体" w:hAnsi="楷体" w:eastAsia="楷体" w:cs="楷体"/>
          <w:b/>
          <w:color w:val="auto"/>
          <w:sz w:val="110"/>
          <w:szCs w:val="110"/>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港口新鲜集市（A地块）项目（一期）--土建工程施工</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地块位于</w:t>
            </w:r>
            <w:r>
              <w:rPr>
                <w:rFonts w:hint="eastAsia" w:ascii="宋体" w:hAnsi="宋体" w:eastAsia="宋体" w:cs="宋体"/>
                <w:color w:val="auto"/>
                <w:sz w:val="21"/>
                <w:szCs w:val="21"/>
                <w:highlight w:val="none"/>
                <w:lang w:val="en-US" w:eastAsia="zh-CN"/>
              </w:rPr>
              <w:t>广州市南沙区龙穴岛西南侧，毗邻南沙港一期、南沙港四期码头，</w:t>
            </w:r>
            <w:r>
              <w:rPr>
                <w:rFonts w:hint="eastAsia" w:ascii="宋体" w:hAnsi="宋体" w:eastAsia="宋体" w:cs="宋体"/>
                <w:color w:val="auto"/>
                <w:sz w:val="21"/>
                <w:szCs w:val="21"/>
                <w:highlight w:val="none"/>
              </w:rPr>
              <w:t>规划总面积约27950平方米。项目整体策划，分期开发</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一期位于地块东南侧，用地面积约15600平方米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主要打造进出口水果海鲜商品集市，同时配备餐饮及消费街区，</w:t>
            </w:r>
            <w:r>
              <w:rPr>
                <w:rFonts w:hint="eastAsia" w:ascii="宋体" w:hAnsi="宋体" w:eastAsia="宋体" w:cs="宋体"/>
                <w:color w:val="auto"/>
                <w:kern w:val="2"/>
                <w:sz w:val="21"/>
                <w:szCs w:val="21"/>
                <w:highlight w:val="none"/>
                <w:lang w:eastAsia="zh-CN"/>
              </w:rPr>
              <w:t>包括</w:t>
            </w:r>
            <w:r>
              <w:rPr>
                <w:rFonts w:hint="eastAsia" w:ascii="宋体" w:hAnsi="宋体" w:eastAsia="宋体" w:cs="宋体"/>
                <w:b w:val="0"/>
                <w:bCs w:val="0"/>
                <w:color w:val="auto"/>
                <w:sz w:val="21"/>
                <w:szCs w:val="21"/>
                <w:highlight w:val="none"/>
                <w:lang w:val="en-US" w:eastAsia="zh-CN"/>
              </w:rPr>
              <w:t>ABCDE成品集装箱配套的基础、彩色混凝土、硅铺塑胶地面、卵石分隔带、平道牙、汀步、沙坑、台阶、无障碍坡道、排水沟、绿化工程</w:t>
            </w:r>
            <w:r>
              <w:rPr>
                <w:rFonts w:hint="eastAsia" w:ascii="宋体" w:hAnsi="宋体" w:eastAsia="宋体" w:cs="宋体"/>
                <w:color w:val="auto"/>
                <w:spacing w:val="0"/>
                <w:sz w:val="21"/>
                <w:szCs w:val="21"/>
                <w:highlight w:val="none"/>
                <w:lang w:val="en-US" w:eastAsia="zh-CN"/>
              </w:rPr>
              <w:t>等</w:t>
            </w:r>
            <w:r>
              <w:rPr>
                <w:rFonts w:hint="eastAsia" w:ascii="宋体" w:hAnsi="宋体" w:cs="宋体"/>
                <w:color w:val="auto"/>
                <w:spacing w:val="0"/>
                <w:sz w:val="21"/>
                <w:szCs w:val="21"/>
                <w:highlight w:val="none"/>
                <w:lang w:val="en-US"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项目一期投资1150.37万元</w:t>
            </w:r>
            <w:r>
              <w:rPr>
                <w:rFonts w:hint="eastAsia" w:ascii="宋体" w:hAnsi="宋体" w:eastAsia="宋体" w:cs="宋体"/>
                <w:color w:val="auto"/>
                <w:sz w:val="21"/>
                <w:szCs w:val="21"/>
                <w:highlight w:val="none"/>
              </w:rPr>
              <w:t>。</w:t>
            </w:r>
            <w:bookmarkStart w:id="41" w:name="_GoBack"/>
            <w:bookmarkEnd w:id="41"/>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24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eastAsia="zh-CN"/>
              </w:rPr>
              <w:t>包括</w:t>
            </w:r>
            <w:r>
              <w:rPr>
                <w:rFonts w:hint="eastAsia" w:ascii="宋体" w:hAnsi="宋体" w:eastAsia="宋体" w:cs="宋体"/>
                <w:b w:val="0"/>
                <w:bCs w:val="0"/>
                <w:color w:val="auto"/>
                <w:sz w:val="21"/>
                <w:szCs w:val="21"/>
                <w:highlight w:val="none"/>
                <w:lang w:val="en-US" w:eastAsia="zh-CN"/>
              </w:rPr>
              <w:t>ABCDE成品集装箱配套的基础、彩色混凝土、硅铺塑胶地面、卵石分隔带、平道牙、汀步、沙坑、台阶、无障碍坡道、排水沟、绿化工程</w:t>
            </w:r>
            <w:r>
              <w:rPr>
                <w:rFonts w:hint="eastAsia" w:ascii="宋体" w:hAnsi="宋体" w:eastAsia="宋体" w:cs="宋体"/>
                <w:color w:val="auto"/>
                <w:spacing w:val="0"/>
                <w:sz w:val="21"/>
                <w:szCs w:val="21"/>
                <w:highlight w:val="none"/>
                <w:lang w:val="en-US" w:eastAsia="zh-CN"/>
              </w:rPr>
              <w:t>等，具体以实际施工图纸、工程量清单为准。</w:t>
            </w:r>
            <w:r>
              <w:rPr>
                <w:rFonts w:hint="eastAsia" w:ascii="宋体" w:hAnsi="宋体" w:eastAsia="宋体" w:cs="宋体"/>
                <w:color w:val="auto"/>
                <w:kern w:val="0"/>
                <w:sz w:val="21"/>
                <w:szCs w:val="21"/>
                <w:highlight w:val="none"/>
                <w:lang w:val="en-US" w:eastAsia="zh-CN"/>
              </w:rPr>
              <w:t>投标</w:t>
            </w:r>
            <w:r>
              <w:rPr>
                <w:rFonts w:hint="eastAsia" w:ascii="宋体" w:hAnsi="宋体" w:eastAsia="宋体" w:cs="宋体"/>
                <w:color w:val="auto"/>
                <w:kern w:val="0"/>
                <w:sz w:val="21"/>
                <w:szCs w:val="21"/>
                <w:highlight w:val="none"/>
              </w:rPr>
              <w:t>人需按</w:t>
            </w:r>
            <w:r>
              <w:rPr>
                <w:rFonts w:hint="eastAsia" w:ascii="宋体" w:hAnsi="宋体" w:eastAsia="宋体" w:cs="宋体"/>
                <w:color w:val="auto"/>
                <w:kern w:val="0"/>
                <w:sz w:val="21"/>
                <w:szCs w:val="21"/>
                <w:highlight w:val="none"/>
                <w:lang w:val="en-US" w:eastAsia="zh-CN"/>
              </w:rPr>
              <w:t>招标文件、图纸规范等</w:t>
            </w:r>
            <w:r>
              <w:rPr>
                <w:rFonts w:hint="eastAsia" w:ascii="宋体" w:hAnsi="宋体" w:eastAsia="宋体" w:cs="宋体"/>
                <w:color w:val="auto"/>
                <w:kern w:val="0"/>
                <w:sz w:val="21"/>
                <w:szCs w:val="21"/>
                <w:highlight w:val="none"/>
              </w:rPr>
              <w:t>要求</w:t>
            </w:r>
            <w:r>
              <w:rPr>
                <w:rFonts w:hint="eastAsia" w:ascii="宋体" w:hAnsi="宋体" w:eastAsia="宋体" w:cs="宋体"/>
                <w:color w:val="auto"/>
                <w:kern w:val="0"/>
                <w:sz w:val="21"/>
                <w:szCs w:val="21"/>
                <w:highlight w:val="none"/>
                <w:lang w:val="en-US" w:eastAsia="zh-CN"/>
              </w:rPr>
              <w:t>进行</w:t>
            </w:r>
            <w:r>
              <w:rPr>
                <w:rFonts w:hint="eastAsia" w:ascii="宋体" w:hAnsi="宋体" w:eastAsia="宋体" w:cs="宋体"/>
                <w:color w:val="auto"/>
                <w:kern w:val="0"/>
                <w:sz w:val="21"/>
                <w:szCs w:val="21"/>
                <w:highlight w:val="none"/>
              </w:rPr>
              <w:t>施工，</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kern w:val="0"/>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9月30日</w:t>
            </w:r>
            <w:r>
              <w:rPr>
                <w:rFonts w:hint="eastAsia" w:ascii="宋体" w:hAnsi="宋体" w:eastAsia="宋体" w:cs="宋体"/>
                <w:color w:val="auto"/>
                <w:sz w:val="21"/>
                <w:szCs w:val="21"/>
                <w:highlight w:val="none"/>
              </w:rPr>
              <w:t>前</w:t>
            </w:r>
            <w:r>
              <w:rPr>
                <w:rFonts w:hint="eastAsia" w:ascii="宋体" w:hAnsi="宋体" w:eastAsia="宋体" w:cs="宋体"/>
                <w:color w:val="auto"/>
                <w:sz w:val="21"/>
                <w:szCs w:val="21"/>
                <w:highlight w:val="none"/>
                <w:lang w:val="en-US" w:eastAsia="zh-CN"/>
              </w:rPr>
              <w:t>工程完工</w:t>
            </w:r>
            <w:r>
              <w:rPr>
                <w:rFonts w:hint="eastAsia" w:ascii="宋体" w:hAnsi="宋体" w:eastAsia="宋体" w:cs="宋体"/>
                <w:color w:val="auto"/>
                <w:sz w:val="21"/>
                <w:szCs w:val="21"/>
                <w:highlight w:val="none"/>
                <w:lang w:eastAsia="zh-CN"/>
              </w:rPr>
              <w:t>。</w:t>
            </w:r>
          </w:p>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10月30日</w:t>
            </w:r>
            <w:r>
              <w:rPr>
                <w:rFonts w:hint="eastAsia" w:ascii="宋体" w:hAnsi="宋体" w:eastAsia="宋体" w:cs="宋体"/>
                <w:color w:val="auto"/>
                <w:sz w:val="21"/>
                <w:szCs w:val="21"/>
                <w:highlight w:val="none"/>
              </w:rPr>
              <w:t>前</w:t>
            </w:r>
            <w:r>
              <w:rPr>
                <w:rFonts w:hint="eastAsia" w:ascii="宋体" w:hAnsi="宋体" w:eastAsia="宋体" w:cs="宋体"/>
                <w:color w:val="auto"/>
                <w:sz w:val="21"/>
                <w:szCs w:val="21"/>
                <w:highlight w:val="none"/>
                <w:lang w:val="en-US" w:eastAsia="zh-CN"/>
              </w:rPr>
              <w:t>竣工验收</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建筑工程施工总承包企业资质三级或以上</w:t>
            </w:r>
            <w:r>
              <w:rPr>
                <w:rFonts w:hint="eastAsia" w:ascii="宋体" w:hAnsi="宋体" w:eastAsia="宋体" w:cs="宋体"/>
                <w:bCs w:val="0"/>
                <w:color w:val="auto"/>
                <w:kern w:val="2"/>
                <w:sz w:val="21"/>
                <w:szCs w:val="21"/>
                <w:highlight w:val="none"/>
                <w:lang w:eastAsia="zh-CN"/>
              </w:rPr>
              <w:t>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w:t>
            </w:r>
            <w:r>
              <w:rPr>
                <w:rFonts w:hint="eastAsia" w:ascii="宋体" w:hAnsi="宋体" w:eastAsia="宋体" w:cs="宋体"/>
                <w:color w:val="auto"/>
                <w:sz w:val="21"/>
                <w:szCs w:val="21"/>
                <w:highlight w:val="none"/>
                <w:u w:val="none"/>
              </w:rPr>
              <w:t>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bCs w:val="0"/>
                <w:color w:val="auto"/>
                <w:kern w:val="2"/>
                <w:sz w:val="21"/>
                <w:szCs w:val="21"/>
                <w:highlight w:val="none"/>
                <w:u w:val="none"/>
                <w:lang w:eastAsia="zh-CN"/>
              </w:rPr>
              <w:t>建筑</w:t>
            </w:r>
            <w:r>
              <w:rPr>
                <w:rFonts w:hint="eastAsia" w:ascii="宋体" w:hAnsi="宋体" w:eastAsia="宋体" w:cs="宋体"/>
                <w:i w:val="0"/>
                <w:iCs w:val="0"/>
                <w:caps w:val="0"/>
                <w:color w:val="auto"/>
                <w:spacing w:val="0"/>
                <w:sz w:val="21"/>
                <w:szCs w:val="21"/>
                <w:highlight w:val="none"/>
                <w:u w:val="none"/>
                <w:shd w:val="clear"/>
              </w:rPr>
              <w:t>工程专业</w:t>
            </w:r>
            <w:r>
              <w:rPr>
                <w:rFonts w:hint="eastAsia" w:ascii="宋体" w:hAnsi="宋体" w:eastAsia="宋体" w:cs="宋体"/>
                <w:i w:val="0"/>
                <w:iCs w:val="0"/>
                <w:caps w:val="0"/>
                <w:color w:val="auto"/>
                <w:spacing w:val="0"/>
                <w:sz w:val="21"/>
                <w:szCs w:val="21"/>
                <w:highlight w:val="none"/>
                <w:u w:val="none"/>
                <w:shd w:val="clear"/>
                <w:lang w:eastAsia="zh-CN"/>
              </w:rPr>
              <w:t>二</w:t>
            </w:r>
            <w:r>
              <w:rPr>
                <w:rFonts w:hint="eastAsia" w:ascii="宋体" w:hAnsi="宋体" w:eastAsia="宋体" w:cs="宋体"/>
                <w:i w:val="0"/>
                <w:iCs w:val="0"/>
                <w:caps w:val="0"/>
                <w:color w:val="auto"/>
                <w:spacing w:val="0"/>
                <w:sz w:val="21"/>
                <w:szCs w:val="21"/>
                <w:highlight w:val="none"/>
                <w:u w:val="none"/>
                <w:shd w:val="clear"/>
              </w:rPr>
              <w:t>级</w:t>
            </w:r>
            <w:r>
              <w:rPr>
                <w:rFonts w:hint="eastAsia" w:ascii="宋体" w:hAnsi="宋体" w:eastAsia="宋体" w:cs="宋体"/>
                <w:i w:val="0"/>
                <w:iCs w:val="0"/>
                <w:caps w:val="0"/>
                <w:color w:val="auto"/>
                <w:spacing w:val="0"/>
                <w:sz w:val="21"/>
                <w:szCs w:val="21"/>
                <w:highlight w:val="none"/>
                <w:u w:val="none"/>
                <w:shd w:val="clear"/>
                <w:lang w:eastAsia="zh-CN"/>
              </w:rPr>
              <w:t>或以上</w:t>
            </w:r>
            <w:r>
              <w:rPr>
                <w:rFonts w:hint="eastAsia" w:ascii="宋体" w:hAnsi="宋体" w:eastAsia="宋体" w:cs="宋体"/>
                <w:i w:val="0"/>
                <w:iCs w:val="0"/>
                <w:caps w:val="0"/>
                <w:color w:val="auto"/>
                <w:spacing w:val="0"/>
                <w:sz w:val="21"/>
                <w:szCs w:val="21"/>
                <w:highlight w:val="none"/>
                <w:u w:val="none"/>
                <w:shd w:val="clear"/>
              </w:rPr>
              <w:t>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w:t>
            </w:r>
            <w:r>
              <w:rPr>
                <w:rFonts w:hint="eastAsia" w:ascii="宋体" w:hAnsi="宋体" w:eastAsia="宋体" w:cs="宋体"/>
                <w:b w:val="0"/>
                <w:bCs w:val="0"/>
                <w:color w:val="auto"/>
                <w:sz w:val="21"/>
                <w:szCs w:val="21"/>
                <w:highlight w:val="none"/>
              </w:rPr>
              <w:t>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工程</w:t>
            </w:r>
            <w:r>
              <w:rPr>
                <w:rFonts w:hint="eastAsia" w:ascii="宋体" w:hAnsi="宋体" w:eastAsia="宋体" w:cs="宋体"/>
                <w:i w:val="0"/>
                <w:iCs w:val="0"/>
                <w:caps w:val="0"/>
                <w:color w:val="auto"/>
                <w:spacing w:val="0"/>
                <w:sz w:val="21"/>
                <w:szCs w:val="21"/>
                <w:highlight w:val="none"/>
                <w:shd w:val="clear"/>
                <w:lang w:eastAsia="zh-CN"/>
              </w:rPr>
              <w:t>类</w:t>
            </w:r>
            <w:r>
              <w:rPr>
                <w:rFonts w:hint="eastAsia" w:ascii="宋体" w:hAnsi="宋体" w:eastAsia="宋体" w:cs="宋体"/>
                <w:color w:val="auto"/>
                <w:sz w:val="21"/>
                <w:szCs w:val="21"/>
                <w:highlight w:val="none"/>
                <w:lang w:eastAsia="zh-CN"/>
              </w:rPr>
              <w:t>工程师中级或以上职称。项目负责人和技术负责人不能为同一人。</w:t>
            </w:r>
          </w:p>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color w:val="auto"/>
                <w:sz w:val="21"/>
                <w:szCs w:val="21"/>
                <w:highlight w:val="none"/>
              </w:rPr>
              <w:t>招标控制价为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3569481.77</w:t>
            </w:r>
            <w:r>
              <w:rPr>
                <w:rFonts w:hint="eastAsia" w:ascii="宋体" w:hAnsi="宋体" w:eastAsia="宋体" w:cs="宋体"/>
                <w:bCs/>
                <w:color w:val="auto"/>
                <w:sz w:val="21"/>
                <w:szCs w:val="21"/>
                <w:highlight w:val="none"/>
              </w:rPr>
              <w:t>元</w:t>
            </w:r>
            <w:r>
              <w:rPr>
                <w:rFonts w:hint="eastAsia" w:ascii="宋体" w:hAnsi="宋体" w:eastAsia="宋体" w:cs="宋体"/>
                <w:bCs/>
                <w:color w:val="auto"/>
                <w:sz w:val="21"/>
                <w:szCs w:val="21"/>
                <w:highlight w:val="none"/>
                <w:lang w:eastAsia="zh-CN"/>
              </w:rPr>
              <w:t>（大写：叁佰伍拾陆万玖仟肆佰捌拾壹元柒角柒分），其中，</w:t>
            </w:r>
            <w:r>
              <w:rPr>
                <w:rFonts w:hint="eastAsia" w:ascii="宋体" w:hAnsi="宋体" w:eastAsia="宋体" w:cs="宋体"/>
                <w:bCs/>
                <w:color w:val="auto"/>
                <w:sz w:val="21"/>
                <w:szCs w:val="21"/>
                <w:highlight w:val="none"/>
                <w:u w:val="none"/>
                <w:lang w:eastAsia="zh-CN"/>
              </w:rPr>
              <w:t>绿色施工安全防护措施费为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u w:val="none"/>
                <w:lang w:val="en-US" w:eastAsia="zh-CN"/>
              </w:rPr>
              <w:t>129809.5元（固定值）</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7月 28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港口新鲜集市（A地块）项目（一期）--土建工程施工</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 xml:space="preserve"> 一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7月 31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 xml:space="preserve"> 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 xml:space="preserve">一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spacing w:line="360" w:lineRule="auto"/>
        <w:rPr>
          <w:rFonts w:ascii="宋体" w:hAnsi="宋体" w:eastAsia="宋体" w:cs="宋体"/>
          <w:b/>
          <w:color w:val="auto"/>
          <w:sz w:val="30"/>
          <w:szCs w:val="30"/>
          <w:highlight w:val="none"/>
        </w:rPr>
      </w:pPr>
    </w:p>
    <w:p>
      <w:pPr>
        <w:numPr>
          <w:ilvl w:val="-1"/>
          <w:numId w:val="0"/>
        </w:numPr>
        <w:spacing w:line="360" w:lineRule="auto"/>
        <w:ind w:firstLine="643" w:firstLineChars="200"/>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一、项目概况</w:t>
      </w:r>
    </w:p>
    <w:p>
      <w:pPr>
        <w:widowControl w:val="0"/>
        <w:spacing w:line="240" w:lineRule="auto"/>
        <w:ind w:firstLine="614" w:firstLineChars="192"/>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地块位于</w:t>
      </w:r>
      <w:r>
        <w:rPr>
          <w:rFonts w:hint="eastAsia" w:ascii="仿宋_GB2312" w:hAnsi="仿宋_GB2312" w:eastAsia="仿宋_GB2312" w:cs="仿宋_GB2312"/>
          <w:color w:val="auto"/>
          <w:sz w:val="32"/>
          <w:szCs w:val="32"/>
          <w:highlight w:val="none"/>
          <w:lang w:val="en-US" w:eastAsia="zh-CN"/>
        </w:rPr>
        <w:t>广州市南沙区龙穴岛西南侧，毗邻南沙港一期、南沙港四期码头，</w:t>
      </w:r>
      <w:r>
        <w:rPr>
          <w:rFonts w:hint="eastAsia" w:ascii="仿宋_GB2312" w:hAnsi="仿宋_GB2312" w:eastAsia="仿宋_GB2312" w:cs="仿宋_GB2312"/>
          <w:color w:val="auto"/>
          <w:sz w:val="32"/>
          <w:szCs w:val="32"/>
          <w:highlight w:val="none"/>
        </w:rPr>
        <w:t>规划总面积约27950平方米。项目整体策划，分期开发</w:t>
      </w:r>
      <w:r>
        <w:rPr>
          <w:rFonts w:hint="eastAsia" w:ascii="仿宋_GB2312" w:hAnsi="仿宋_GB2312" w:eastAsia="仿宋_GB2312" w:cs="仿宋_GB2312"/>
          <w:color w:val="auto"/>
          <w:sz w:val="32"/>
          <w:szCs w:val="32"/>
          <w:highlight w:val="none"/>
          <w:lang w:eastAsia="zh-CN"/>
        </w:rPr>
        <w:t>。项目</w:t>
      </w:r>
      <w:r>
        <w:rPr>
          <w:rFonts w:hint="eastAsia" w:ascii="仿宋_GB2312" w:hAnsi="仿宋_GB2312" w:eastAsia="仿宋_GB2312" w:cs="仿宋_GB2312"/>
          <w:color w:val="auto"/>
          <w:sz w:val="32"/>
          <w:szCs w:val="32"/>
          <w:highlight w:val="none"/>
        </w:rPr>
        <w:t>一期位于地块东南侧，用地面积约15600平方米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主要打造进出口水果海鲜商品集市，同时配备餐饮及消费街区，包括ABCDE成品集装箱配套的基础、彩色混凝土、硅铺塑胶地面、卵石分隔带、平道牙、汀步、沙坑、台阶、无障碍坡道、排水沟、绿化工程等</w:t>
      </w:r>
      <w:r>
        <w:rPr>
          <w:rFonts w:hint="eastAsia" w:ascii="仿宋_GB2312" w:hAnsi="仿宋_GB2312" w:eastAsia="仿宋_GB2312" w:cs="仿宋_GB2312"/>
          <w:color w:val="auto"/>
          <w:sz w:val="32"/>
          <w:szCs w:val="32"/>
          <w:highlight w:val="none"/>
          <w:lang w:val="en-US" w:eastAsia="zh-CN"/>
        </w:rPr>
        <w:t>，投资金额</w:t>
      </w:r>
      <w:r>
        <w:rPr>
          <w:rFonts w:hint="eastAsia" w:ascii="仿宋_GB2312" w:hAnsi="仿宋_GB2312" w:eastAsia="仿宋_GB2312" w:cs="仿宋_GB2312"/>
          <w:i w:val="0"/>
          <w:iCs w:val="0"/>
          <w:color w:val="auto"/>
          <w:sz w:val="32"/>
          <w:szCs w:val="32"/>
          <w:highlight w:val="none"/>
          <w:lang w:val="en-US" w:eastAsia="zh-CN"/>
        </w:rPr>
        <w:t>1150.37</w:t>
      </w:r>
      <w:r>
        <w:rPr>
          <w:rFonts w:hint="eastAsia" w:ascii="仿宋_GB2312" w:hAnsi="仿宋_GB2312" w:eastAsia="仿宋_GB2312" w:cs="仿宋_GB2312"/>
          <w:color w:val="auto"/>
          <w:sz w:val="32"/>
          <w:szCs w:val="32"/>
          <w:highlight w:val="none"/>
          <w:lang w:val="en-US" w:eastAsia="zh-CN"/>
        </w:rPr>
        <w:t>万元</w:t>
      </w:r>
      <w:r>
        <w:rPr>
          <w:rFonts w:hint="eastAsia" w:ascii="仿宋_GB2312" w:hAnsi="仿宋_GB2312" w:eastAsia="仿宋_GB2312" w:cs="仿宋_GB2312"/>
          <w:color w:val="auto"/>
          <w:sz w:val="32"/>
          <w:szCs w:val="32"/>
          <w:highlight w:val="none"/>
        </w:rPr>
        <w:t>。</w:t>
      </w:r>
    </w:p>
    <w:p>
      <w:pPr>
        <w:numPr>
          <w:ilvl w:val="0"/>
          <w:numId w:val="0"/>
        </w:numPr>
        <w:spacing w:line="360" w:lineRule="auto"/>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2"/>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eastAsia="zh-CN"/>
        </w:rPr>
        <w:t>包括</w:t>
      </w:r>
      <w:r>
        <w:rPr>
          <w:rFonts w:hint="eastAsia" w:ascii="仿宋_GB2312" w:hAnsi="仿宋_GB2312" w:eastAsia="仿宋_GB2312" w:cs="仿宋_GB2312"/>
          <w:color w:val="auto"/>
          <w:sz w:val="32"/>
          <w:szCs w:val="32"/>
          <w:highlight w:val="none"/>
        </w:rPr>
        <w:t>ABCDE成品集装箱配套的基础、彩色混凝土、硅铺塑胶地面、卵石分隔带、平道牙、汀步、沙坑、台阶、无障碍坡道、排水沟、绿化工程</w:t>
      </w:r>
      <w:r>
        <w:rPr>
          <w:rFonts w:hint="eastAsia" w:ascii="仿宋_GB2312" w:hAnsi="仿宋_GB2312" w:eastAsia="仿宋_GB2312" w:cs="仿宋_GB2312"/>
          <w:color w:val="auto"/>
          <w:spacing w:val="0"/>
          <w:sz w:val="32"/>
          <w:szCs w:val="32"/>
          <w:highlight w:val="none"/>
          <w:lang w:val="en-US" w:eastAsia="zh-CN"/>
        </w:rPr>
        <w:t>等，具体以实际施工图纸、工程量清单为准。</w:t>
      </w: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港口新鲜集市（A地块）项目（一期）--土建工程施工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港口新鲜集市（A地块）项目（一期）--土建工程施工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港口新鲜集市（A地块）项目（一期）--土建工程施工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6941"/>
      <w:bookmarkEnd w:id="11"/>
      <w:bookmarkStart w:id="12" w:name="_Toc196130013"/>
      <w:bookmarkEnd w:id="12"/>
      <w:bookmarkStart w:id="13" w:name="_Toc199647675"/>
      <w:bookmarkEnd w:id="13"/>
      <w:bookmarkStart w:id="14" w:name="_Toc197235848"/>
      <w:bookmarkEnd w:id="14"/>
      <w:bookmarkStart w:id="15" w:name="_Toc459403394"/>
      <w:bookmarkEnd w:id="15"/>
      <w:bookmarkStart w:id="16" w:name="_Toc415728297"/>
      <w:bookmarkEnd w:id="16"/>
      <w:bookmarkStart w:id="17" w:name="_Toc196037097"/>
      <w:bookmarkEnd w:id="17"/>
      <w:bookmarkStart w:id="18" w:name="_Toc196130110"/>
      <w:bookmarkEnd w:id="18"/>
      <w:bookmarkStart w:id="19" w:name="_Toc415833503"/>
      <w:bookmarkEnd w:id="19"/>
      <w:bookmarkStart w:id="20" w:name="_Toc41822703"/>
      <w:bookmarkEnd w:id="20"/>
      <w:bookmarkStart w:id="21" w:name="_Toc3269092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728298"/>
      <w:bookmarkEnd w:id="24"/>
      <w:bookmarkStart w:id="25" w:name="_Toc459403395"/>
      <w:bookmarkEnd w:id="25"/>
      <w:bookmarkStart w:id="26" w:name="_Toc196037098"/>
      <w:bookmarkEnd w:id="26"/>
      <w:bookmarkStart w:id="27" w:name="_Toc415833504"/>
      <w:bookmarkEnd w:id="27"/>
      <w:bookmarkStart w:id="28" w:name="_Toc196130014"/>
      <w:bookmarkEnd w:id="28"/>
      <w:bookmarkStart w:id="29" w:name="_Toc326909214"/>
      <w:bookmarkEnd w:id="29"/>
      <w:bookmarkStart w:id="30" w:name="_Toc196036942"/>
      <w:bookmarkEnd w:id="30"/>
      <w:bookmarkStart w:id="31" w:name="_Toc196130111"/>
      <w:bookmarkEnd w:id="31"/>
      <w:bookmarkStart w:id="32" w:name="_Toc197235849"/>
      <w:bookmarkEnd w:id="32"/>
      <w:bookmarkStart w:id="33" w:name="_Toc199647676"/>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港口新鲜集市（A地块）项目（一期）--土建工程施工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sz w:val="21"/>
          <w:szCs w:val="21"/>
          <w:highlight w:val="none"/>
        </w:rPr>
        <w:t>招标控制价为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3569481.77</w:t>
      </w:r>
      <w:r>
        <w:rPr>
          <w:rFonts w:hint="eastAsia" w:ascii="宋体" w:hAnsi="宋体" w:eastAsia="宋体" w:cs="宋体"/>
          <w:bCs/>
          <w:color w:val="auto"/>
          <w:sz w:val="21"/>
          <w:szCs w:val="21"/>
          <w:highlight w:val="none"/>
        </w:rPr>
        <w:t>元</w:t>
      </w:r>
      <w:r>
        <w:rPr>
          <w:rFonts w:hint="eastAsia" w:ascii="宋体" w:hAnsi="宋体" w:eastAsia="宋体" w:cs="宋体"/>
          <w:bCs/>
          <w:color w:val="auto"/>
          <w:sz w:val="21"/>
          <w:szCs w:val="21"/>
          <w:highlight w:val="none"/>
          <w:lang w:eastAsia="zh-CN"/>
        </w:rPr>
        <w:t>（大写：叁佰伍拾陆万玖仟肆佰捌拾壹元柒角柒分</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lang w:eastAsia="zh-CN"/>
        </w:rPr>
        <w:t>），其中，</w:t>
      </w:r>
      <w:r>
        <w:rPr>
          <w:rFonts w:hint="eastAsia" w:ascii="宋体" w:hAnsi="宋体" w:eastAsia="宋体" w:cs="宋体"/>
          <w:bCs/>
          <w:color w:val="auto"/>
          <w:sz w:val="21"/>
          <w:szCs w:val="21"/>
          <w:highlight w:val="none"/>
          <w:u w:val="none"/>
          <w:lang w:eastAsia="zh-CN"/>
        </w:rPr>
        <w:t>绿色施工安全防护措施费为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u w:val="none"/>
          <w:lang w:val="en-US" w:eastAsia="zh-CN"/>
        </w:rPr>
        <w:t>129809.5元（固定值）</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shd w:val="clear" w:color="auto" w:fill="auto"/>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4</w:t>
            </w:r>
          </w:p>
        </w:tc>
        <w:tc>
          <w:tcPr>
            <w:tcW w:w="9797" w:type="dxa"/>
            <w:shd w:val="clear" w:color="auto" w:fill="auto"/>
            <w:vAlign w:val="center"/>
          </w:tcPr>
          <w:p>
            <w:pPr>
              <w:snapToGrid w:val="0"/>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投标人2018年1月1日至今承接过投资额200万或以上</w:t>
            </w:r>
            <w:r>
              <w:rPr>
                <w:rFonts w:hint="eastAsia" w:ascii="宋体" w:hAnsi="宋体" w:eastAsia="宋体" w:cs="宋体"/>
                <w:color w:val="000000" w:themeColor="text1"/>
                <w:szCs w:val="21"/>
                <w:highlight w:val="none"/>
                <w:lang w:val="en-US" w:eastAsia="zh-CN"/>
              </w:rPr>
              <w:t>的</w:t>
            </w:r>
            <w:r>
              <w:rPr>
                <w:rFonts w:hint="eastAsia" w:ascii="宋体" w:hAnsi="宋体" w:eastAsia="宋体" w:cs="宋体"/>
                <w:color w:val="auto"/>
                <w:szCs w:val="21"/>
                <w:highlight w:val="none"/>
                <w:lang w:val="en-US" w:eastAsia="zh-CN"/>
              </w:rPr>
              <w:t>建筑类工程业绩的，每有一个项目业绩得2分，本项最高得4分。</w:t>
            </w:r>
          </w:p>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需同时提供中标</w:t>
            </w:r>
            <w:r>
              <w:rPr>
                <w:rFonts w:hint="eastAsia" w:ascii="宋体" w:hAnsi="宋体" w:eastAsia="宋体" w:cs="宋体"/>
                <w:color w:val="auto"/>
                <w:szCs w:val="21"/>
                <w:highlight w:val="none"/>
                <w:lang w:eastAsia="zh-CN"/>
              </w:rPr>
              <w:t>通知书</w:t>
            </w:r>
            <w:r>
              <w:rPr>
                <w:rFonts w:hint="eastAsia" w:ascii="宋体" w:hAnsi="宋体" w:eastAsia="宋体" w:cs="宋体"/>
                <w:color w:val="auto"/>
                <w:szCs w:val="21"/>
                <w:highlight w:val="none"/>
              </w:rPr>
              <w:t>和合同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（体现施工内容及投资额的页面、盖章页等）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ind w:left="-42" w:right="-61"/>
              <w:jc w:val="center"/>
              <w:rPr>
                <w:rFonts w:hint="eastAsia" w:ascii="宋体" w:hAnsi="宋体" w:eastAsia="宋体" w:cs="宋体"/>
                <w:color w:val="auto"/>
                <w:kern w:val="0"/>
                <w:szCs w:val="21"/>
                <w:highlight w:val="none"/>
              </w:rPr>
            </w:pPr>
          </w:p>
          <w:p>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p>
        </w:tc>
        <w:tc>
          <w:tcPr>
            <w:tcW w:w="9797" w:type="dxa"/>
            <w:shd w:val="clear" w:color="auto" w:fill="auto"/>
            <w:vAlign w:val="center"/>
          </w:tcPr>
          <w:p>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fill="auto"/>
                <w:lang w:val="en-US" w:eastAsia="zh-CN"/>
              </w:rPr>
              <w:t>得1</w:t>
            </w:r>
            <w:r>
              <w:rPr>
                <w:rFonts w:hint="eastAsia" w:ascii="宋体" w:hAnsi="宋体" w:eastAsia="宋体" w:cs="宋体"/>
                <w:b w:val="0"/>
                <w:bCs w:val="0"/>
                <w:color w:val="auto"/>
                <w:szCs w:val="21"/>
                <w:highlight w:val="none"/>
                <w:shd w:val="clear"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fill="auto"/>
              </w:rPr>
              <w:t>得</w:t>
            </w:r>
            <w:r>
              <w:rPr>
                <w:rFonts w:hint="eastAsia" w:ascii="宋体" w:hAnsi="宋体" w:eastAsia="宋体" w:cs="宋体"/>
                <w:b w:val="0"/>
                <w:bCs w:val="0"/>
                <w:color w:val="auto"/>
                <w:szCs w:val="21"/>
                <w:highlight w:val="none"/>
                <w:shd w:val="clear" w:fill="auto"/>
                <w:lang w:val="en-US" w:eastAsia="zh-CN"/>
              </w:rPr>
              <w:t>3</w:t>
            </w:r>
            <w:r>
              <w:rPr>
                <w:rFonts w:hint="eastAsia" w:ascii="宋体" w:hAnsi="宋体" w:eastAsia="宋体" w:cs="宋体"/>
                <w:b w:val="0"/>
                <w:bCs w:val="0"/>
                <w:color w:val="auto"/>
                <w:szCs w:val="21"/>
                <w:highlight w:val="none"/>
                <w:shd w:val="clear" w:fill="auto"/>
              </w:rPr>
              <w:t>分</w:t>
            </w:r>
            <w:r>
              <w:rPr>
                <w:rFonts w:hint="eastAsia" w:ascii="宋体" w:hAnsi="宋体" w:eastAsia="宋体" w:cs="宋体"/>
                <w:b w:val="0"/>
                <w:bCs w:val="0"/>
                <w:color w:val="auto"/>
                <w:szCs w:val="21"/>
                <w:highlight w:val="none"/>
              </w:rPr>
              <w:t>。</w:t>
            </w:r>
          </w:p>
          <w:p>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spacing w:line="36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shd w:val="clear" w:color="auto" w:fill="auto"/>
            <w:vAlign w:val="center"/>
          </w:tcPr>
          <w:p>
            <w:pPr>
              <w:spacing w:line="360" w:lineRule="auto"/>
              <w:ind w:left="-2" w:leftChars="-1"/>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pStyle w:val="9"/>
              <w:spacing w:line="36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获奖情况</w:t>
            </w:r>
          </w:p>
        </w:tc>
        <w:tc>
          <w:tcPr>
            <w:tcW w:w="709" w:type="dxa"/>
            <w:shd w:val="clear" w:color="auto" w:fill="auto"/>
            <w:vAlign w:val="center"/>
          </w:tcPr>
          <w:p>
            <w:pPr>
              <w:spacing w:line="360" w:lineRule="auto"/>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6</w:t>
            </w:r>
          </w:p>
        </w:tc>
        <w:tc>
          <w:tcPr>
            <w:tcW w:w="9797" w:type="dxa"/>
            <w:shd w:val="clear" w:color="auto" w:fill="auto"/>
            <w:vAlign w:val="center"/>
          </w:tcPr>
          <w:p>
            <w:pPr>
              <w:adjustRightInd w:val="0"/>
              <w:snapToGrid w:val="0"/>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rPr>
              <w:t>投标人自 201</w:t>
            </w:r>
            <w:r>
              <w:rPr>
                <w:rFonts w:hint="eastAsia" w:ascii="宋体" w:hAnsi="宋体" w:eastAsia="宋体" w:cs="宋体"/>
                <w:color w:val="auto"/>
                <w:kern w:val="2"/>
                <w:szCs w:val="21"/>
                <w:highlight w:val="none"/>
                <w:lang w:val="en-US" w:eastAsia="zh-CN"/>
              </w:rPr>
              <w:t>8</w:t>
            </w:r>
            <w:r>
              <w:rPr>
                <w:rFonts w:hint="eastAsia" w:ascii="宋体" w:hAnsi="宋体" w:eastAsia="宋体" w:cs="宋体"/>
                <w:color w:val="auto"/>
                <w:kern w:val="2"/>
                <w:szCs w:val="21"/>
                <w:highlight w:val="none"/>
              </w:rPr>
              <w:t xml:space="preserve"> 年 1 月 1 日至今</w:t>
            </w:r>
            <w:r>
              <w:rPr>
                <w:rFonts w:hint="eastAsia" w:ascii="宋体" w:hAnsi="宋体" w:eastAsia="宋体" w:cs="宋体"/>
                <w:color w:val="auto"/>
                <w:kern w:val="2"/>
                <w:szCs w:val="21"/>
                <w:highlight w:val="none"/>
                <w:lang w:eastAsia="zh-CN"/>
              </w:rPr>
              <w:t>，</w:t>
            </w:r>
            <w:r>
              <w:rPr>
                <w:rFonts w:hint="eastAsia" w:ascii="宋体" w:hAnsi="宋体" w:cs="宋体"/>
                <w:szCs w:val="21"/>
                <w:highlight w:val="none"/>
              </w:rPr>
              <w:t>投标人承建项目</w:t>
            </w:r>
            <w:r>
              <w:rPr>
                <w:rFonts w:hint="eastAsia" w:ascii="宋体" w:hAnsi="宋体" w:eastAsia="宋体" w:cs="宋体"/>
                <w:color w:val="auto"/>
                <w:kern w:val="2"/>
                <w:szCs w:val="21"/>
                <w:highlight w:val="none"/>
              </w:rPr>
              <w:t>获得</w:t>
            </w:r>
            <w:r>
              <w:rPr>
                <w:rFonts w:hint="eastAsia" w:ascii="宋体" w:hAnsi="宋体" w:eastAsia="宋体" w:cs="宋体"/>
                <w:color w:val="auto"/>
                <w:kern w:val="2"/>
                <w:szCs w:val="21"/>
                <w:highlight w:val="none"/>
                <w:lang w:eastAsia="zh-CN"/>
              </w:rPr>
              <w:t>国家级、</w:t>
            </w:r>
            <w:r>
              <w:rPr>
                <w:rFonts w:hint="eastAsia" w:ascii="宋体" w:hAnsi="宋体" w:eastAsia="宋体" w:cs="宋体"/>
                <w:color w:val="auto"/>
                <w:kern w:val="2"/>
                <w:szCs w:val="21"/>
                <w:highlight w:val="none"/>
              </w:rPr>
              <w:t>省级</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市级建设行政主管部门或行业协会颁发奖项的，</w:t>
            </w:r>
            <w:r>
              <w:rPr>
                <w:rFonts w:hint="eastAsia" w:ascii="宋体" w:hAnsi="宋体" w:eastAsia="宋体" w:cs="宋体"/>
                <w:color w:val="auto"/>
                <w:kern w:val="2"/>
                <w:szCs w:val="21"/>
                <w:highlight w:val="none"/>
                <w:lang w:eastAsia="zh-CN"/>
              </w:rPr>
              <w:t>国家级的</w:t>
            </w:r>
            <w:r>
              <w:rPr>
                <w:rFonts w:hint="eastAsia" w:ascii="宋体" w:hAnsi="宋体" w:eastAsia="宋体" w:cs="宋体"/>
                <w:color w:val="auto"/>
                <w:kern w:val="2"/>
                <w:szCs w:val="21"/>
                <w:highlight w:val="none"/>
              </w:rPr>
              <w:t>每项得</w:t>
            </w:r>
            <w:r>
              <w:rPr>
                <w:rFonts w:hint="eastAsia" w:ascii="宋体" w:hAnsi="宋体" w:eastAsia="宋体" w:cs="宋体"/>
                <w:color w:val="auto"/>
                <w:kern w:val="2"/>
                <w:szCs w:val="21"/>
                <w:highlight w:val="none"/>
                <w:lang w:val="en-US" w:eastAsia="zh-CN"/>
              </w:rPr>
              <w:t>6</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省级的每项得</w:t>
            </w:r>
            <w:r>
              <w:rPr>
                <w:rFonts w:hint="eastAsia" w:ascii="宋体" w:hAnsi="宋体" w:eastAsia="宋体" w:cs="宋体"/>
                <w:color w:val="auto"/>
                <w:kern w:val="2"/>
                <w:szCs w:val="21"/>
                <w:highlight w:val="none"/>
                <w:lang w:val="en-US" w:eastAsia="zh-CN"/>
              </w:rPr>
              <w:t>2分，市级的每项得1分，</w:t>
            </w:r>
            <w:r>
              <w:rPr>
                <w:rFonts w:hint="eastAsia" w:ascii="宋体" w:hAnsi="宋体" w:eastAsia="宋体" w:cs="宋体"/>
                <w:color w:val="auto"/>
                <w:kern w:val="2"/>
                <w:szCs w:val="21"/>
                <w:highlight w:val="none"/>
              </w:rPr>
              <w:t>本项最高得</w:t>
            </w:r>
            <w:r>
              <w:rPr>
                <w:rFonts w:hint="eastAsia" w:ascii="宋体" w:hAnsi="宋体" w:eastAsia="宋体" w:cs="宋体"/>
                <w:color w:val="auto"/>
                <w:kern w:val="2"/>
                <w:szCs w:val="21"/>
                <w:highlight w:val="none"/>
                <w:lang w:val="en-US" w:eastAsia="zh-CN"/>
              </w:rPr>
              <w:t>6</w:t>
            </w:r>
            <w:r>
              <w:rPr>
                <w:rFonts w:hint="eastAsia" w:ascii="宋体" w:hAnsi="宋体" w:eastAsia="宋体" w:cs="宋体"/>
                <w:color w:val="auto"/>
                <w:kern w:val="2"/>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2"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5"/>
                <w:szCs w:val="21"/>
                <w:highlight w:val="none"/>
                <w:lang w:eastAsia="zh-CN"/>
              </w:rPr>
              <w:t>项目负责人</w:t>
            </w:r>
          </w:p>
        </w:tc>
        <w:tc>
          <w:tcPr>
            <w:tcW w:w="709" w:type="dxa"/>
            <w:shd w:val="clear" w:color="auto" w:fill="auto"/>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9797" w:type="dxa"/>
            <w:shd w:val="clear" w:color="auto" w:fill="auto"/>
            <w:vAlign w:val="center"/>
          </w:tcPr>
          <w:p>
            <w:pPr>
              <w:numPr>
                <w:ilvl w:val="-1"/>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w:t>
            </w:r>
            <w:r>
              <w:rPr>
                <w:rFonts w:hint="eastAsia" w:ascii="宋体" w:hAnsi="宋体" w:cs="宋体"/>
                <w:spacing w:val="-5"/>
                <w:szCs w:val="21"/>
                <w:highlight w:val="none"/>
              </w:rPr>
              <w:t>具有</w:t>
            </w:r>
            <w:r>
              <w:rPr>
                <w:rFonts w:hint="eastAsia" w:ascii="宋体" w:hAnsi="宋体" w:eastAsia="宋体" w:cs="宋体"/>
                <w:bCs w:val="0"/>
                <w:color w:val="auto"/>
                <w:spacing w:val="-5"/>
                <w:kern w:val="2"/>
                <w:sz w:val="21"/>
                <w:szCs w:val="21"/>
                <w:highlight w:val="none"/>
                <w:lang w:eastAsia="zh-CN"/>
              </w:rPr>
              <w:t>建筑</w:t>
            </w:r>
            <w:r>
              <w:rPr>
                <w:rFonts w:hint="eastAsia" w:ascii="宋体" w:hAnsi="宋体" w:eastAsia="宋体" w:cs="宋体"/>
                <w:i w:val="0"/>
                <w:iCs w:val="0"/>
                <w:caps w:val="0"/>
                <w:color w:val="auto"/>
                <w:spacing w:val="-5"/>
                <w:sz w:val="21"/>
                <w:szCs w:val="21"/>
                <w:highlight w:val="none"/>
                <w:shd w:val="clear"/>
              </w:rPr>
              <w:t>工程专业</w:t>
            </w:r>
            <w:r>
              <w:rPr>
                <w:rFonts w:hint="eastAsia" w:ascii="宋体" w:hAnsi="宋体" w:eastAsia="宋体" w:cs="宋体"/>
                <w:i w:val="0"/>
                <w:iCs w:val="0"/>
                <w:caps w:val="0"/>
                <w:color w:val="auto"/>
                <w:spacing w:val="-5"/>
                <w:sz w:val="21"/>
                <w:szCs w:val="21"/>
                <w:highlight w:val="none"/>
                <w:shd w:val="clear"/>
                <w:lang w:val="en-US" w:eastAsia="zh-CN"/>
              </w:rPr>
              <w:t>一</w:t>
            </w:r>
            <w:r>
              <w:rPr>
                <w:rFonts w:hint="eastAsia" w:ascii="宋体" w:hAnsi="宋体" w:eastAsia="宋体" w:cs="宋体"/>
                <w:i w:val="0"/>
                <w:iCs w:val="0"/>
                <w:caps w:val="0"/>
                <w:color w:val="auto"/>
                <w:spacing w:val="-5"/>
                <w:sz w:val="21"/>
                <w:szCs w:val="21"/>
                <w:highlight w:val="none"/>
                <w:shd w:val="clear"/>
              </w:rPr>
              <w:t>级</w:t>
            </w:r>
            <w:r>
              <w:rPr>
                <w:rFonts w:hint="eastAsia" w:ascii="宋体" w:hAnsi="宋体" w:eastAsia="宋体" w:cs="宋体"/>
                <w:i w:val="0"/>
                <w:iCs w:val="0"/>
                <w:caps w:val="0"/>
                <w:color w:val="auto"/>
                <w:spacing w:val="-5"/>
                <w:sz w:val="21"/>
                <w:szCs w:val="21"/>
                <w:highlight w:val="none"/>
                <w:shd w:val="clear"/>
                <w:lang w:val="en-US" w:eastAsia="zh-CN"/>
              </w:rPr>
              <w:t>注册</w:t>
            </w:r>
            <w:r>
              <w:rPr>
                <w:rFonts w:hint="eastAsia" w:ascii="宋体" w:hAnsi="宋体" w:eastAsia="宋体" w:cs="宋体"/>
                <w:i w:val="0"/>
                <w:iCs w:val="0"/>
                <w:caps w:val="0"/>
                <w:color w:val="auto"/>
                <w:spacing w:val="-5"/>
                <w:sz w:val="21"/>
                <w:szCs w:val="21"/>
                <w:highlight w:val="none"/>
                <w:shd w:val="clear"/>
              </w:rPr>
              <w:t>建造师</w:t>
            </w:r>
            <w:r>
              <w:rPr>
                <w:rFonts w:hint="eastAsia" w:ascii="宋体" w:hAnsi="宋体" w:eastAsia="宋体" w:cs="宋体"/>
                <w:color w:val="auto"/>
                <w:spacing w:val="-5"/>
                <w:szCs w:val="21"/>
                <w:highlight w:val="none"/>
              </w:rPr>
              <w:t>，得</w:t>
            </w:r>
            <w:r>
              <w:rPr>
                <w:rFonts w:hint="eastAsia" w:ascii="宋体" w:hAnsi="宋体" w:eastAsia="宋体" w:cs="宋体"/>
                <w:color w:val="auto"/>
                <w:spacing w:val="-5"/>
                <w:szCs w:val="21"/>
                <w:highlight w:val="none"/>
                <w:lang w:val="en-US" w:eastAsia="zh-CN"/>
              </w:rPr>
              <w:t>2</w:t>
            </w:r>
            <w:r>
              <w:rPr>
                <w:rFonts w:hint="eastAsia" w:ascii="宋体" w:hAnsi="宋体" w:cs="宋体"/>
                <w:spacing w:val="-5"/>
                <w:szCs w:val="21"/>
                <w:highlight w:val="none"/>
              </w:rPr>
              <w:t>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8</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fill="auto"/>
              </w:rPr>
              <w:t>得</w:t>
            </w:r>
            <w:r>
              <w:rPr>
                <w:rFonts w:hint="eastAsia" w:ascii="宋体" w:hAnsi="宋体" w:eastAsia="宋体" w:cs="宋体"/>
                <w:color w:val="auto"/>
                <w:spacing w:val="-5"/>
                <w:szCs w:val="21"/>
                <w:highlight w:val="none"/>
                <w:shd w:val="clear" w:fill="auto"/>
                <w:lang w:val="en-US" w:eastAsia="zh-CN"/>
              </w:rPr>
              <w:t>1</w:t>
            </w:r>
            <w:r>
              <w:rPr>
                <w:rFonts w:hint="eastAsia" w:ascii="宋体" w:hAnsi="宋体" w:eastAsia="宋体" w:cs="宋体"/>
                <w:color w:val="auto"/>
                <w:spacing w:val="-5"/>
                <w:szCs w:val="21"/>
                <w:highlight w:val="none"/>
                <w:shd w:val="clear"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具有工程类</w:t>
            </w:r>
            <w:r>
              <w:rPr>
                <w:rFonts w:hint="eastAsia" w:ascii="宋体" w:hAnsi="宋体" w:eastAsia="宋体" w:cs="宋体"/>
                <w:color w:val="auto"/>
                <w:spacing w:val="-5"/>
                <w:szCs w:val="21"/>
                <w:highlight w:val="none"/>
                <w:lang w:val="en-US" w:eastAsia="zh-CN"/>
              </w:rPr>
              <w:t>中</w:t>
            </w:r>
            <w:r>
              <w:rPr>
                <w:rFonts w:hint="eastAsia" w:ascii="宋体" w:hAnsi="宋体" w:eastAsia="宋体" w:cs="宋体"/>
                <w:color w:val="auto"/>
                <w:spacing w:val="-5"/>
                <w:szCs w:val="21"/>
                <w:highlight w:val="none"/>
              </w:rPr>
              <w:t>级或以上职称，</w:t>
            </w:r>
            <w:r>
              <w:rPr>
                <w:rFonts w:hint="eastAsia" w:ascii="宋体" w:hAnsi="宋体" w:eastAsia="宋体" w:cs="宋体"/>
                <w:color w:val="auto"/>
                <w:spacing w:val="-5"/>
                <w:szCs w:val="21"/>
                <w:highlight w:val="none"/>
                <w:shd w:val="clear" w:fill="auto"/>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fill="auto"/>
              </w:rPr>
              <w:t>高</w:t>
            </w:r>
            <w:r>
              <w:rPr>
                <w:rFonts w:hint="eastAsia" w:ascii="宋体" w:hAnsi="宋体" w:eastAsia="宋体" w:cs="宋体"/>
                <w:color w:val="auto"/>
                <w:spacing w:val="-5"/>
                <w:szCs w:val="21"/>
                <w:highlight w:val="none"/>
                <w:shd w:val="clear"/>
                <w:lang w:eastAsia="zh-CN"/>
              </w:rPr>
              <w:t>得</w:t>
            </w:r>
            <w:r>
              <w:rPr>
                <w:rFonts w:hint="eastAsia" w:ascii="宋体" w:hAnsi="宋体" w:eastAsia="宋体" w:cs="宋体"/>
                <w:color w:val="auto"/>
                <w:spacing w:val="-5"/>
                <w:szCs w:val="21"/>
                <w:highlight w:val="none"/>
                <w:shd w:val="clear"/>
                <w:lang w:val="en-US" w:eastAsia="zh-CN"/>
              </w:rPr>
              <w:t>4</w:t>
            </w:r>
            <w:r>
              <w:rPr>
                <w:rFonts w:hint="eastAsia" w:ascii="宋体" w:hAnsi="宋体" w:eastAsia="宋体" w:cs="宋体"/>
                <w:color w:val="auto"/>
                <w:spacing w:val="-5"/>
                <w:szCs w:val="21"/>
                <w:highlight w:val="none"/>
                <w:shd w:val="clear"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个月（或以上）连续为其购买社保的加盖社会保险基金管理中心印章的《投保单》或《社会保险参保人员证明》复印件，工作经验以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项目实施方案</w:t>
            </w: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9</w:t>
            </w:r>
          </w:p>
        </w:tc>
        <w:tc>
          <w:tcPr>
            <w:tcW w:w="9797" w:type="dxa"/>
            <w:shd w:val="clear" w:color="auto" w:fill="auto"/>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综合</w:t>
            </w:r>
            <w:r>
              <w:rPr>
                <w:rFonts w:hint="eastAsia" w:ascii="宋体" w:hAnsi="宋体" w:eastAsia="宋体" w:cs="宋体"/>
                <w:sz w:val="21"/>
                <w:szCs w:val="21"/>
                <w:highlight w:val="none"/>
                <w:lang w:eastAsia="zh-CN"/>
              </w:rPr>
              <w:t>评价</w:t>
            </w:r>
            <w:r>
              <w:rPr>
                <w:rFonts w:hint="eastAsia" w:ascii="宋体" w:hAnsi="宋体" w:eastAsia="宋体" w:cs="宋体"/>
                <w:sz w:val="21"/>
                <w:szCs w:val="21"/>
                <w:highlight w:val="none"/>
              </w:rPr>
              <w:t>投标人实施方案（包括但不限于现场作业管理方案及措施、安全生产管理方案及措施、现场文明施工方案及措施、工期保证方案及措施、方案及承诺、施工现场的清表、残土清运方案及措施、现场工作人员操作规范实施方案等）、投入本项目机械设备情况：</w:t>
            </w: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优：</w:t>
            </w:r>
            <w:r>
              <w:rPr>
                <w:rFonts w:hint="eastAsia" w:ascii="宋体" w:hAnsi="宋体" w:eastAsia="宋体" w:cs="宋体"/>
                <w:sz w:val="21"/>
                <w:szCs w:val="21"/>
                <w:highlight w:val="none"/>
              </w:rPr>
              <w:t>方案内容齐全，措施有效可行、具有针对性，承诺详细具体，能满足本项目需求，得</w:t>
            </w:r>
            <w:r>
              <w:rPr>
                <w:rFonts w:hint="eastAsia" w:ascii="宋体" w:hAnsi="宋体" w:eastAsia="宋体" w:cs="宋体"/>
                <w:sz w:val="21"/>
                <w:szCs w:val="21"/>
                <w:highlight w:val="none"/>
                <w:lang w:val="en-US" w:eastAsia="zh-CN"/>
              </w:rPr>
              <w:t>7-9</w:t>
            </w:r>
            <w:r>
              <w:rPr>
                <w:rFonts w:hint="eastAsia" w:ascii="宋体" w:hAnsi="宋体" w:eastAsia="宋体" w:cs="宋体"/>
                <w:sz w:val="21"/>
                <w:szCs w:val="21"/>
                <w:highlight w:val="none"/>
              </w:rPr>
              <w:t>分；</w:t>
            </w: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中</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方案内容较齐全，措施较有效可行、具有针对性，承诺较详细具体，基本满足本项目需求，得</w:t>
            </w:r>
            <w:r>
              <w:rPr>
                <w:rFonts w:hint="eastAsia" w:ascii="宋体" w:hAnsi="宋体" w:eastAsia="宋体" w:cs="宋体"/>
                <w:sz w:val="21"/>
                <w:szCs w:val="21"/>
                <w:highlight w:val="none"/>
                <w:lang w:val="en-US" w:eastAsia="zh-CN"/>
              </w:rPr>
              <w:t>4-6</w:t>
            </w:r>
            <w:r>
              <w:rPr>
                <w:rFonts w:hint="eastAsia" w:ascii="宋体" w:hAnsi="宋体" w:eastAsia="宋体" w:cs="宋体"/>
                <w:sz w:val="21"/>
                <w:szCs w:val="21"/>
                <w:highlight w:val="none"/>
              </w:rPr>
              <w:t>分；</w:t>
            </w: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差：</w:t>
            </w:r>
            <w:r>
              <w:rPr>
                <w:rFonts w:hint="eastAsia" w:ascii="宋体" w:hAnsi="宋体" w:eastAsia="宋体" w:cs="宋体"/>
                <w:sz w:val="21"/>
                <w:szCs w:val="21"/>
                <w:highlight w:val="none"/>
              </w:rPr>
              <w:t>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0-3</w:t>
            </w:r>
            <w:r>
              <w:rPr>
                <w:rFonts w:hint="eastAsia" w:ascii="宋体" w:hAnsi="宋体" w:eastAsia="宋体" w:cs="宋体"/>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highlight w:val="none"/>
              </w:rPr>
              <w:t>不提供方案不得分。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lang w:val="en-US" w:eastAsia="zh-CN"/>
              </w:rPr>
              <w:t>对项目的理解程度、重点难点分析情况</w:t>
            </w: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7</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1、优：对具体项目的理解程度、特点、实施难点、易损多发维修点清楚，有针对性，得6-7分；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2、中：对具体项目的理解程度、特点、实施难点、易损多发维修点较清楚，较有针对性，得4</w:t>
            </w:r>
            <w:r>
              <w:rPr>
                <w:rFonts w:hint="eastAsia" w:ascii="宋体" w:hAnsi="宋体" w:eastAsia="宋体" w:cs="宋体"/>
                <w:sz w:val="21"/>
                <w:szCs w:val="21"/>
                <w:highlight w:val="none"/>
                <w:lang w:val="en-US" w:eastAsia="zh-CN"/>
              </w:rPr>
              <w:t>-5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3、差：对具体项目的理解程度、特点、实施难点、易损多发维修点了解一般，针对性一般，得0-3分。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7</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1、优：对本服务项目安全生产工作提出具体管理方案，安全防护制度健全，可行性高，能有效保障本服务项目的安全实施，得6-7分。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2、中：对本服务项目安全生产工作提出具体管理方案，安全防护制度可行性较高，基本保障本服务项目的安全实施，得4</w:t>
            </w:r>
            <w:r>
              <w:rPr>
                <w:rFonts w:hint="eastAsia" w:ascii="宋体" w:hAnsi="宋体" w:eastAsia="宋体" w:cs="宋体"/>
                <w:sz w:val="21"/>
                <w:szCs w:val="21"/>
                <w:highlight w:val="none"/>
                <w:lang w:val="en-US" w:eastAsia="zh-CN"/>
              </w:rPr>
              <w:t>-5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安全防护制度可行性较低，得0-3分。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7</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1、优：项目质量措施保证目标明确、方案详细，可行性强，有明确的质量承诺， 表述清晰、完整、合理，得6-7分；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得4</w:t>
            </w:r>
            <w:r>
              <w:rPr>
                <w:rFonts w:hint="eastAsia" w:ascii="宋体" w:hAnsi="宋体" w:eastAsia="宋体" w:cs="宋体"/>
                <w:sz w:val="21"/>
                <w:szCs w:val="21"/>
                <w:highlight w:val="none"/>
                <w:lang w:val="en-US" w:eastAsia="zh-CN"/>
              </w:rPr>
              <w:t>-5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3、差：项目质量措施保证目标不明确、方案简单、可行性较低，质量承诺表述不够清晰、不够合理，得0-3分。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8"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50</w:t>
            </w:r>
          </w:p>
        </w:tc>
        <w:tc>
          <w:tcPr>
            <w:tcW w:w="9797" w:type="dxa"/>
            <w:shd w:val="clear" w:color="auto" w:fill="auto"/>
          </w:tcPr>
          <w:p>
            <w:pPr>
              <w:pStyle w:val="9"/>
              <w:numPr>
                <w:ilvl w:val="-1"/>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pStyle w:val="9"/>
              <w:numPr>
                <w:ilvl w:val="-1"/>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1"/>
                <w:numId w:val="0"/>
              </w:numPr>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1</w:t>
            </w:r>
            <w:r>
              <w:rPr>
                <w:rFonts w:hint="eastAsia" w:ascii="宋体" w:hAnsi="宋体" w:eastAsia="宋体" w:cs="宋体"/>
                <w:color w:val="auto"/>
                <w:highlight w:val="none"/>
                <w:lang w:val="en-US" w:eastAsia="zh-CN"/>
              </w:rPr>
              <w:t>、报价等于基准价的，得分=50。</w:t>
            </w:r>
          </w:p>
          <w:p>
            <w:pPr>
              <w:pStyle w:val="9"/>
              <w:numPr>
                <w:ilvl w:val="-1"/>
                <w:numId w:val="0"/>
              </w:numPr>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2</w:t>
            </w:r>
            <w:r>
              <w:rPr>
                <w:rFonts w:hint="eastAsia" w:ascii="宋体" w:hAnsi="宋体" w:eastAsia="宋体" w:cs="宋体"/>
                <w:color w:val="auto"/>
                <w:highlight w:val="none"/>
                <w:lang w:val="en-US" w:eastAsia="zh-CN"/>
              </w:rPr>
              <w:t>、报价高于基准价的，得分=50-[（报价-基准价）/基准价]×100×1</w:t>
            </w:r>
          </w:p>
          <w:p>
            <w:pPr>
              <w:pStyle w:val="9"/>
              <w:numPr>
                <w:ilvl w:val="-1"/>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3、报价低于基准价的，得分=50-[（基准价-报价）/基准价]×100×0.5</w:t>
            </w:r>
          </w:p>
        </w:tc>
        <w:tc>
          <w:tcPr>
            <w:tcW w:w="240"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港口新鲜集市（A地块）项目（一期）--土建工程施工</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A1NjU3MWQwZWZiYWZhM2E2Y2Q0ZTJjYmRkYTRhMDc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6F1713"/>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67478B"/>
    <w:rsid w:val="09A667E8"/>
    <w:rsid w:val="0A31358E"/>
    <w:rsid w:val="0A621C44"/>
    <w:rsid w:val="0B372B92"/>
    <w:rsid w:val="0BFF40FB"/>
    <w:rsid w:val="0C0A6315"/>
    <w:rsid w:val="0C855B7E"/>
    <w:rsid w:val="0C87037B"/>
    <w:rsid w:val="0CF74903"/>
    <w:rsid w:val="0DB850AE"/>
    <w:rsid w:val="0E1B10A8"/>
    <w:rsid w:val="0E80564C"/>
    <w:rsid w:val="0EA03B8A"/>
    <w:rsid w:val="0EAC0C18"/>
    <w:rsid w:val="0EB25F9A"/>
    <w:rsid w:val="0F0C6A8E"/>
    <w:rsid w:val="0F263AB3"/>
    <w:rsid w:val="0F8D0176"/>
    <w:rsid w:val="0FD73768"/>
    <w:rsid w:val="10A4638E"/>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4B34D3"/>
    <w:rsid w:val="15B036FB"/>
    <w:rsid w:val="16007AF5"/>
    <w:rsid w:val="16226AF8"/>
    <w:rsid w:val="17463991"/>
    <w:rsid w:val="179E3273"/>
    <w:rsid w:val="17E977C8"/>
    <w:rsid w:val="182C4B8E"/>
    <w:rsid w:val="1873680D"/>
    <w:rsid w:val="18E67433"/>
    <w:rsid w:val="18F12637"/>
    <w:rsid w:val="19095239"/>
    <w:rsid w:val="190B7F5A"/>
    <w:rsid w:val="19A846E9"/>
    <w:rsid w:val="19BE3F0C"/>
    <w:rsid w:val="1A6525DA"/>
    <w:rsid w:val="1AB46DAB"/>
    <w:rsid w:val="1B6C2995"/>
    <w:rsid w:val="1BB630ED"/>
    <w:rsid w:val="1BC44893"/>
    <w:rsid w:val="1BE136FF"/>
    <w:rsid w:val="1C05708F"/>
    <w:rsid w:val="1C307374"/>
    <w:rsid w:val="1C9203A6"/>
    <w:rsid w:val="1E032835"/>
    <w:rsid w:val="1E085D3E"/>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043A6C"/>
    <w:rsid w:val="26236584"/>
    <w:rsid w:val="26826F29"/>
    <w:rsid w:val="26B94C66"/>
    <w:rsid w:val="26EC20B9"/>
    <w:rsid w:val="26FF6942"/>
    <w:rsid w:val="272101A5"/>
    <w:rsid w:val="272B74FA"/>
    <w:rsid w:val="274F0899"/>
    <w:rsid w:val="2751149E"/>
    <w:rsid w:val="2837076A"/>
    <w:rsid w:val="2865301D"/>
    <w:rsid w:val="28C86C87"/>
    <w:rsid w:val="29051210"/>
    <w:rsid w:val="296119D7"/>
    <w:rsid w:val="2A442535"/>
    <w:rsid w:val="2A97100B"/>
    <w:rsid w:val="2AFF2542"/>
    <w:rsid w:val="2B401296"/>
    <w:rsid w:val="2B7B3A0B"/>
    <w:rsid w:val="2BAE6875"/>
    <w:rsid w:val="2BEC17AE"/>
    <w:rsid w:val="2C0B6D4E"/>
    <w:rsid w:val="2C1B0D4A"/>
    <w:rsid w:val="2C5357E2"/>
    <w:rsid w:val="2CD5279B"/>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8D221E"/>
    <w:rsid w:val="30EC6390"/>
    <w:rsid w:val="311233CC"/>
    <w:rsid w:val="312E1520"/>
    <w:rsid w:val="319906CF"/>
    <w:rsid w:val="31B57180"/>
    <w:rsid w:val="32665B1E"/>
    <w:rsid w:val="33113670"/>
    <w:rsid w:val="3411535B"/>
    <w:rsid w:val="34935BA4"/>
    <w:rsid w:val="34A264CA"/>
    <w:rsid w:val="35527ED3"/>
    <w:rsid w:val="35830B03"/>
    <w:rsid w:val="3700775A"/>
    <w:rsid w:val="37A26BD4"/>
    <w:rsid w:val="37A33759"/>
    <w:rsid w:val="37AE7FE3"/>
    <w:rsid w:val="38417D8A"/>
    <w:rsid w:val="390B4D39"/>
    <w:rsid w:val="39131727"/>
    <w:rsid w:val="392A6A70"/>
    <w:rsid w:val="39731517"/>
    <w:rsid w:val="39F52602"/>
    <w:rsid w:val="39FC703A"/>
    <w:rsid w:val="3AC802EF"/>
    <w:rsid w:val="3B183024"/>
    <w:rsid w:val="3B6D4312"/>
    <w:rsid w:val="3BB718A6"/>
    <w:rsid w:val="3BC04127"/>
    <w:rsid w:val="3BF96FBA"/>
    <w:rsid w:val="3C692D8D"/>
    <w:rsid w:val="3C88543E"/>
    <w:rsid w:val="3CB7521C"/>
    <w:rsid w:val="3CE76215"/>
    <w:rsid w:val="3CFF0303"/>
    <w:rsid w:val="3D7619F9"/>
    <w:rsid w:val="3D957982"/>
    <w:rsid w:val="3D96007A"/>
    <w:rsid w:val="3E817133"/>
    <w:rsid w:val="3EDC25BB"/>
    <w:rsid w:val="3F4915A0"/>
    <w:rsid w:val="3F5F332B"/>
    <w:rsid w:val="3F641BC2"/>
    <w:rsid w:val="3F8502F8"/>
    <w:rsid w:val="3FBE56FE"/>
    <w:rsid w:val="3FD704B2"/>
    <w:rsid w:val="403B7AF1"/>
    <w:rsid w:val="4042222C"/>
    <w:rsid w:val="405854B3"/>
    <w:rsid w:val="408D1DBF"/>
    <w:rsid w:val="409313F9"/>
    <w:rsid w:val="40B7508E"/>
    <w:rsid w:val="40CA2819"/>
    <w:rsid w:val="41EC3A6C"/>
    <w:rsid w:val="42A2655E"/>
    <w:rsid w:val="42F207AE"/>
    <w:rsid w:val="43420D2F"/>
    <w:rsid w:val="436C5E0D"/>
    <w:rsid w:val="438A7AD3"/>
    <w:rsid w:val="43952229"/>
    <w:rsid w:val="43F36E83"/>
    <w:rsid w:val="44631084"/>
    <w:rsid w:val="446A549B"/>
    <w:rsid w:val="44800368"/>
    <w:rsid w:val="44E811C0"/>
    <w:rsid w:val="44F07180"/>
    <w:rsid w:val="45E74C1B"/>
    <w:rsid w:val="46871AD6"/>
    <w:rsid w:val="47025D0E"/>
    <w:rsid w:val="4735560E"/>
    <w:rsid w:val="47413F22"/>
    <w:rsid w:val="4792678F"/>
    <w:rsid w:val="47E03B89"/>
    <w:rsid w:val="481D5A38"/>
    <w:rsid w:val="487975A7"/>
    <w:rsid w:val="48A37991"/>
    <w:rsid w:val="48E17BF2"/>
    <w:rsid w:val="48E72086"/>
    <w:rsid w:val="49732ED5"/>
    <w:rsid w:val="499C01CA"/>
    <w:rsid w:val="49EF5898"/>
    <w:rsid w:val="4A004FBE"/>
    <w:rsid w:val="4A1079FD"/>
    <w:rsid w:val="4A1D620C"/>
    <w:rsid w:val="4A2D4613"/>
    <w:rsid w:val="4A6F1095"/>
    <w:rsid w:val="4AED722D"/>
    <w:rsid w:val="4B3D40BA"/>
    <w:rsid w:val="4BC136D0"/>
    <w:rsid w:val="4BF328A0"/>
    <w:rsid w:val="4C2E17B4"/>
    <w:rsid w:val="4C372CAF"/>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A798C"/>
    <w:rsid w:val="54BC0EE8"/>
    <w:rsid w:val="55592415"/>
    <w:rsid w:val="55AD40DC"/>
    <w:rsid w:val="55D122F6"/>
    <w:rsid w:val="55D41C4B"/>
    <w:rsid w:val="56B9617E"/>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9B134E"/>
    <w:rsid w:val="5D5E6B65"/>
    <w:rsid w:val="5DAA1580"/>
    <w:rsid w:val="5DF14932"/>
    <w:rsid w:val="5DFF04E8"/>
    <w:rsid w:val="5E1A6FB5"/>
    <w:rsid w:val="5E7A3CE2"/>
    <w:rsid w:val="5E960581"/>
    <w:rsid w:val="5F355496"/>
    <w:rsid w:val="5F8349F8"/>
    <w:rsid w:val="5F865CD7"/>
    <w:rsid w:val="5F925D77"/>
    <w:rsid w:val="5FDC4484"/>
    <w:rsid w:val="609B1E7E"/>
    <w:rsid w:val="60BA0556"/>
    <w:rsid w:val="60F61E20"/>
    <w:rsid w:val="618B1EF3"/>
    <w:rsid w:val="61A7533B"/>
    <w:rsid w:val="621244D5"/>
    <w:rsid w:val="62B2296D"/>
    <w:rsid w:val="62B247EF"/>
    <w:rsid w:val="636147EE"/>
    <w:rsid w:val="6366223B"/>
    <w:rsid w:val="63DB6B9E"/>
    <w:rsid w:val="63F20007"/>
    <w:rsid w:val="649D4417"/>
    <w:rsid w:val="65B441A4"/>
    <w:rsid w:val="65D8147F"/>
    <w:rsid w:val="66373494"/>
    <w:rsid w:val="66591B82"/>
    <w:rsid w:val="66593A91"/>
    <w:rsid w:val="67CF2AFE"/>
    <w:rsid w:val="67D46774"/>
    <w:rsid w:val="68550B65"/>
    <w:rsid w:val="6898637C"/>
    <w:rsid w:val="68B16D7B"/>
    <w:rsid w:val="68BA7003"/>
    <w:rsid w:val="691C25EA"/>
    <w:rsid w:val="698555C7"/>
    <w:rsid w:val="6B601D2D"/>
    <w:rsid w:val="6BD15354"/>
    <w:rsid w:val="6BF6265F"/>
    <w:rsid w:val="6C281E78"/>
    <w:rsid w:val="6C307E68"/>
    <w:rsid w:val="6C920572"/>
    <w:rsid w:val="6DB227E4"/>
    <w:rsid w:val="6DBE1759"/>
    <w:rsid w:val="6DC31ECB"/>
    <w:rsid w:val="6E307289"/>
    <w:rsid w:val="6E656845"/>
    <w:rsid w:val="6E6E2980"/>
    <w:rsid w:val="6F2A4AF9"/>
    <w:rsid w:val="6F471F5D"/>
    <w:rsid w:val="6F505234"/>
    <w:rsid w:val="6F563B40"/>
    <w:rsid w:val="6F891280"/>
    <w:rsid w:val="6F8E74DB"/>
    <w:rsid w:val="70727FF1"/>
    <w:rsid w:val="70836CF8"/>
    <w:rsid w:val="70CF07C8"/>
    <w:rsid w:val="710F157A"/>
    <w:rsid w:val="71466394"/>
    <w:rsid w:val="71840FD7"/>
    <w:rsid w:val="718C3480"/>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767700"/>
    <w:rsid w:val="78780B98"/>
    <w:rsid w:val="788E06C1"/>
    <w:rsid w:val="78D76423"/>
    <w:rsid w:val="78D86E43"/>
    <w:rsid w:val="794F1733"/>
    <w:rsid w:val="79566D81"/>
    <w:rsid w:val="79B10E72"/>
    <w:rsid w:val="79E02BD8"/>
    <w:rsid w:val="7A2B55F9"/>
    <w:rsid w:val="7A3458D0"/>
    <w:rsid w:val="7A4B048B"/>
    <w:rsid w:val="7A7C35B8"/>
    <w:rsid w:val="7A96669D"/>
    <w:rsid w:val="7AC70013"/>
    <w:rsid w:val="7B672810"/>
    <w:rsid w:val="7B681B66"/>
    <w:rsid w:val="7BE94A01"/>
    <w:rsid w:val="7C4B4E4D"/>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15936</Words>
  <Characters>16796</Characters>
  <Lines>131</Lines>
  <Paragraphs>37</Paragraphs>
  <TotalTime>1</TotalTime>
  <ScaleCrop>false</ScaleCrop>
  <LinksUpToDate>false</LinksUpToDate>
  <CharactersWithSpaces>17955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韩福海</cp:lastModifiedBy>
  <cp:lastPrinted>2020-07-23T07:52:00Z</cp:lastPrinted>
  <dcterms:modified xsi:type="dcterms:W3CDTF">2023-07-26T05:52:36Z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6F8842E353744852BDC4E3C1A0BD38D3</vt:lpwstr>
  </property>
</Properties>
</file>