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spacing w:line="360" w:lineRule="exact"/>
        <w:rPr>
          <w:rFonts w:ascii="宋体" w:hAnsi="宋体" w:eastAsia="宋体" w:cs="宋体"/>
          <w:color w:val="auto"/>
          <w:szCs w:val="21"/>
          <w:highlight w:val="none"/>
        </w:rPr>
      </w:pPr>
    </w:p>
    <w:p>
      <w:pPr>
        <w:keepLines/>
        <w:jc w:val="center"/>
        <w:rPr>
          <w:rFonts w:ascii="宋体" w:hAnsi="宋体" w:eastAsia="宋体" w:cs="宋体"/>
          <w:b/>
          <w:color w:val="auto"/>
          <w:sz w:val="44"/>
          <w:szCs w:val="44"/>
          <w:highlight w:val="none"/>
        </w:rPr>
      </w:pPr>
      <w:r>
        <w:rPr>
          <w:rFonts w:hint="eastAsia" w:ascii="宋体" w:hAnsi="宋体" w:eastAsia="宋体" w:cs="宋体"/>
          <w:b/>
          <w:color w:val="auto"/>
          <w:sz w:val="44"/>
          <w:szCs w:val="44"/>
          <w:highlight w:val="none"/>
        </w:rPr>
        <w:t>南沙湿地“渔唱晚主题酒店及疍家水岸广场”项目船屋采购</w:t>
      </w:r>
    </w:p>
    <w:p>
      <w:pPr>
        <w:keepLines/>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keepLines/>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bookmarkStart w:id="41" w:name="_GoBack"/>
      <w:bookmarkEnd w:id="41"/>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ind w:firstLine="1285" w:firstLineChars="400"/>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招标人：广州南沙湿地旅游发展有限公司（业主单位）</w:t>
      </w:r>
    </w:p>
    <w:p>
      <w:pPr>
        <w:keepLines/>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keepLines/>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期：2023年</w:t>
      </w:r>
      <w:r>
        <w:rPr>
          <w:rFonts w:hint="eastAsia" w:ascii="宋体" w:hAnsi="宋体" w:eastAsia="宋体" w:cs="宋体"/>
          <w:b/>
          <w:color w:val="auto"/>
          <w:sz w:val="32"/>
          <w:szCs w:val="32"/>
          <w:highlight w:val="none"/>
          <w:lang w:val="en-US" w:eastAsia="zh-CN"/>
        </w:rPr>
        <w:t>8月</w:t>
      </w:r>
    </w:p>
    <w:p>
      <w:pPr>
        <w:keepLines/>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keepLines/>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keepLines/>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keepLines/>
            <w:rPr>
              <w:color w:val="auto"/>
              <w:highlight w:val="none"/>
            </w:rPr>
          </w:pPr>
          <w:r>
            <w:rPr>
              <w:rFonts w:hint="eastAsia" w:asciiTheme="minorEastAsia" w:hAnsiTheme="minorEastAsia" w:cstheme="minorEastAsia"/>
              <w:color w:val="auto"/>
              <w:sz w:val="24"/>
              <w:highlight w:val="none"/>
            </w:rPr>
            <w:fldChar w:fldCharType="end"/>
          </w:r>
        </w:p>
      </w:sdtContent>
    </w:sdt>
    <w:p>
      <w:pPr>
        <w:pStyle w:val="2"/>
        <w:keepLines/>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4"/>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keepLines/>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2"/>
              <w:keepLines/>
              <w:spacing w:after="0" w:line="440" w:lineRule="exact"/>
              <w:ind w:firstLine="0"/>
              <w:jc w:val="center"/>
              <w:rPr>
                <w:rFonts w:ascii="宋体" w:hAnsi="宋体" w:cs="宋体"/>
                <w:b/>
                <w:color w:val="auto"/>
                <w:highlight w:val="none"/>
              </w:rPr>
            </w:pPr>
            <w:r>
              <w:rPr>
                <w:rFonts w:hint="eastAsia" w:ascii="宋体" w:hAnsi="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spacing w:after="0" w:line="320" w:lineRule="exact"/>
              <w:ind w:firstLine="0"/>
              <w:rPr>
                <w:rFonts w:ascii="宋体" w:hAnsi="宋体" w:cs="宋体"/>
                <w:color w:val="auto"/>
                <w:highlight w:val="none"/>
              </w:rPr>
            </w:pPr>
            <w:r>
              <w:rPr>
                <w:rFonts w:hint="eastAsia" w:ascii="宋体" w:hAnsi="宋体" w:cs="宋体"/>
                <w:color w:val="auto"/>
                <w:highlight w:val="none"/>
              </w:rPr>
              <w:t>南沙湿地“渔唱晚主题酒店及疍家水岸广场”项目船屋采购</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w:t>
            </w:r>
          </w:p>
          <w:p>
            <w:pPr>
              <w:pStyle w:val="2"/>
              <w:keepLines/>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spacing w:after="0" w:line="320" w:lineRule="exact"/>
              <w:ind w:firstLine="0"/>
              <w:rPr>
                <w:rFonts w:ascii="宋体" w:hAnsi="宋体" w:cs="宋体"/>
                <w:color w:val="auto"/>
                <w:highlight w:val="none"/>
              </w:rPr>
            </w:pPr>
            <w:r>
              <w:rPr>
                <w:rFonts w:hint="eastAsia" w:ascii="宋体" w:hAnsi="宋体" w:cs="宋体"/>
                <w:color w:val="auto"/>
                <w:highlight w:val="none"/>
              </w:rPr>
              <w:t>广州市南沙区湿地十九涌</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spacing w:after="0" w:line="320" w:lineRule="exact"/>
              <w:ind w:firstLine="0"/>
              <w:rPr>
                <w:rFonts w:ascii="宋体" w:hAnsi="宋体" w:cs="宋体"/>
                <w:color w:val="auto"/>
                <w:highlight w:val="none"/>
              </w:rPr>
            </w:pPr>
            <w:r>
              <w:rPr>
                <w:rFonts w:hint="eastAsia" w:ascii="宋体" w:hAnsi="宋体" w:cs="宋体"/>
                <w:color w:val="auto"/>
                <w:highlight w:val="none"/>
              </w:rPr>
              <w:t>项目临近南沙湿地公园一期，通过装修改造成渔唱晩主题酒店，建设疍家水岸广场和配套栈道，</w:t>
            </w:r>
            <w:r>
              <w:rPr>
                <w:rFonts w:hint="eastAsia" w:ascii="宋体" w:hAnsi="宋体" w:cs="宋体"/>
                <w:color w:val="auto"/>
                <w:highlight w:val="none"/>
                <w:lang w:bidi="ar"/>
              </w:rPr>
              <w:t>改善湿地景区及周边住宿、娱乐、交通状况，提高游客体验，提升景区形象。本次船屋采购为主题酒店的一部分配套设施，包含三间船屋，每间船屋均为单层、水平投影面积约2</w:t>
            </w:r>
            <w:r>
              <w:rPr>
                <w:rFonts w:ascii="宋体" w:hAnsi="宋体" w:cs="宋体"/>
                <w:color w:val="auto"/>
                <w:highlight w:val="none"/>
                <w:lang w:bidi="ar"/>
              </w:rPr>
              <w:t>8</w:t>
            </w:r>
            <w:r>
              <w:rPr>
                <w:rFonts w:hint="eastAsia" w:ascii="宋体" w:hAnsi="宋体" w:cs="宋体"/>
                <w:color w:val="auto"/>
                <w:highlight w:val="none"/>
                <w:lang w:bidi="ar"/>
              </w:rPr>
              <w:t>平方米，一室一卫一露台。</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spacing w:after="0" w:line="320" w:lineRule="exact"/>
              <w:ind w:firstLine="0"/>
              <w:rPr>
                <w:rFonts w:ascii="宋体" w:hAnsi="宋体" w:cs="宋体"/>
                <w:color w:val="auto"/>
                <w:highlight w:val="none"/>
              </w:rPr>
            </w:pPr>
            <w:r>
              <w:rPr>
                <w:rFonts w:hint="eastAsia" w:ascii="宋体" w:hAnsi="宋体" w:cs="宋体"/>
                <w:color w:val="auto"/>
                <w:highlight w:val="none"/>
              </w:rPr>
              <w:t>总价包干</w:t>
            </w:r>
            <w:r>
              <w:rPr>
                <w:rFonts w:hint="eastAsia" w:ascii="宋体" w:hAnsi="宋体" w:cs="宋体"/>
                <w:color w:val="auto"/>
                <w:highlight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spacing w:after="0" w:line="320" w:lineRule="exact"/>
              <w:ind w:firstLine="0"/>
              <w:rPr>
                <w:rFonts w:ascii="宋体" w:hAnsi="宋体" w:cs="宋体"/>
                <w:color w:val="auto"/>
                <w:highlight w:val="none"/>
              </w:rPr>
            </w:pPr>
            <w:r>
              <w:rPr>
                <w:rFonts w:hint="eastAsia" w:ascii="宋体" w:hAnsi="宋体" w:cs="宋体"/>
                <w:color w:val="auto"/>
                <w:highlight w:val="none"/>
              </w:rPr>
              <w:t>总投资约3000万元。</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工程质量符合国家验收规范，达到合格标准。</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320" w:lineRule="exact"/>
              <w:ind w:firstLine="0"/>
              <w:jc w:val="center"/>
              <w:rPr>
                <w:rFonts w:ascii="宋体" w:hAnsi="宋体" w:cs="宋体"/>
                <w:color w:val="auto"/>
                <w:highlight w:val="none"/>
              </w:rPr>
            </w:pPr>
            <w:r>
              <w:rPr>
                <w:rFonts w:hint="eastAsia" w:ascii="宋体" w:hAnsi="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320" w:lineRule="exact"/>
              <w:ind w:firstLine="0"/>
              <w:jc w:val="left"/>
              <w:rPr>
                <w:rFonts w:ascii="宋体" w:hAnsi="宋体" w:cs="宋体"/>
                <w:color w:val="auto"/>
                <w:highlight w:val="none"/>
              </w:rPr>
            </w:pPr>
            <w:r>
              <w:rPr>
                <w:rFonts w:hint="eastAsia" w:ascii="宋体" w:hAnsi="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9"/>
              <w:keepLines/>
              <w:spacing w:line="320" w:lineRule="exact"/>
              <w:ind w:firstLine="0"/>
              <w:rPr>
                <w:rFonts w:ascii="宋体" w:hAnsi="宋体" w:eastAsia="宋体"/>
                <w:color w:val="auto"/>
                <w:kern w:val="0"/>
                <w:szCs w:val="21"/>
                <w:highlight w:val="none"/>
              </w:rPr>
            </w:pPr>
            <w:r>
              <w:rPr>
                <w:rFonts w:hint="eastAsia" w:ascii="宋体" w:hAnsi="宋体" w:eastAsia="宋体"/>
                <w:color w:val="auto"/>
                <w:szCs w:val="21"/>
                <w:highlight w:val="none"/>
              </w:rPr>
              <w:t>渔唱晚主题酒店配套建设三间船屋及相关设施，包括主体框架系统、主体连接系统、内外隔墙系统、门窗系统、保温隔热系统、防水系统、水电系统、外立面及屋面装饰、室内装饰装修、软装、电器照明等（详见清单）。具体以实际施工图纸、工程量清单为准。</w:t>
            </w:r>
          </w:p>
          <w:p>
            <w:pPr>
              <w:pStyle w:val="19"/>
              <w:keepLines/>
              <w:spacing w:line="320" w:lineRule="exact"/>
              <w:ind w:firstLine="0"/>
              <w:rPr>
                <w:rFonts w:ascii="宋体" w:hAnsi="宋体" w:eastAsia="宋体"/>
                <w:color w:val="auto"/>
                <w:szCs w:val="21"/>
                <w:highlight w:val="none"/>
              </w:rPr>
            </w:pPr>
            <w:r>
              <w:rPr>
                <w:rFonts w:hint="eastAsia" w:ascii="宋体" w:hAnsi="宋体" w:eastAsia="宋体"/>
                <w:color w:val="auto"/>
                <w:kern w:val="0"/>
                <w:szCs w:val="21"/>
                <w:highlight w:val="none"/>
              </w:rPr>
              <w:t>投标人需按招标文件、图纸规范等要求进行设计、生产、施工，如招标人需求有调整时，必须服从要求调整</w:t>
            </w:r>
            <w:r>
              <w:rPr>
                <w:rFonts w:hint="eastAsia" w:ascii="宋体" w:hAnsi="宋体" w:eastAsia="宋体"/>
                <w:color w:val="auto"/>
                <w:szCs w:val="21"/>
                <w:highlight w:val="none"/>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hint="eastAsia" w:ascii="宋体" w:hAnsi="宋体" w:cs="宋体"/>
                <w:color w:val="auto"/>
                <w:highlight w:val="none"/>
              </w:rPr>
            </w:pPr>
            <w:r>
              <w:rPr>
                <w:rFonts w:hint="eastAsia" w:ascii="宋体" w:hAnsi="宋体" w:cs="宋体"/>
                <w:color w:val="auto"/>
                <w:highlight w:val="none"/>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val="0"/>
              <w:numPr>
                <w:ilvl w:val="0"/>
                <w:numId w:val="1"/>
              </w:numPr>
              <w:spacing w:beforeAutospacing="0" w:after="0" w:line="360" w:lineRule="auto"/>
              <w:ind w:firstLine="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效果图、施工图及工程量清单确认：中标通知书发出后7天</w:t>
            </w:r>
            <w:r>
              <w:rPr>
                <w:rFonts w:hint="eastAsia" w:ascii="宋体" w:hAnsi="宋体" w:eastAsia="宋体" w:cs="宋体"/>
                <w:color w:val="auto"/>
                <w:sz w:val="21"/>
                <w:szCs w:val="21"/>
                <w:highlight w:val="none"/>
                <w:lang w:eastAsia="zh-CN"/>
              </w:rPr>
              <w:t>内</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安装时间：施工图确认后30天内</w:t>
            </w:r>
            <w:r>
              <w:rPr>
                <w:rFonts w:hint="eastAsia" w:ascii="宋体" w:hAnsi="宋体" w:eastAsia="宋体" w:cs="宋体"/>
                <w:color w:val="auto"/>
                <w:sz w:val="21"/>
                <w:szCs w:val="21"/>
                <w:highlight w:val="none"/>
                <w:lang w:eastAsia="zh-CN"/>
              </w:rPr>
              <w:t>；</w:t>
            </w:r>
          </w:p>
          <w:p>
            <w:pPr>
              <w:pStyle w:val="2"/>
              <w:keepLines w:val="0"/>
              <w:numPr>
                <w:ilvl w:val="-1"/>
                <w:numId w:val="0"/>
              </w:numPr>
              <w:spacing w:beforeAutospacing="0" w:after="0" w:line="360" w:lineRule="auto"/>
              <w:ind w:firstLine="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2023年</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27</w:t>
            </w:r>
            <w:r>
              <w:rPr>
                <w:rFonts w:hint="eastAsia" w:ascii="宋体" w:hAnsi="宋体" w:eastAsia="宋体" w:cs="宋体"/>
                <w:color w:val="auto"/>
                <w:sz w:val="21"/>
                <w:szCs w:val="21"/>
                <w:highlight w:val="none"/>
              </w:rPr>
              <w:t>日前完工、交付</w:t>
            </w:r>
            <w:r>
              <w:rPr>
                <w:rFonts w:hint="eastAsia" w:ascii="宋体" w:hAnsi="宋体" w:eastAsia="宋体" w:cs="宋体"/>
                <w:color w:val="auto"/>
                <w:sz w:val="21"/>
                <w:szCs w:val="21"/>
                <w:highlight w:val="none"/>
                <w:lang w:eastAsia="zh-CN"/>
              </w:rPr>
              <w:t>。</w:t>
            </w:r>
          </w:p>
          <w:p>
            <w:pPr>
              <w:pStyle w:val="2"/>
              <w:keepLines w:val="0"/>
              <w:numPr>
                <w:ilvl w:val="-1"/>
                <w:numId w:val="0"/>
              </w:numPr>
              <w:spacing w:beforeAutospacing="0" w:after="0" w:line="360" w:lineRule="auto"/>
              <w:ind w:firstLine="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保修期、保养期从</w:t>
            </w:r>
            <w:r>
              <w:rPr>
                <w:rFonts w:hint="eastAsia" w:ascii="宋体" w:hAnsi="宋体" w:eastAsia="宋体" w:cs="宋体"/>
                <w:color w:val="auto"/>
                <w:sz w:val="21"/>
                <w:szCs w:val="21"/>
                <w:highlight w:val="none"/>
                <w:lang w:eastAsia="zh-CN"/>
              </w:rPr>
              <w:t>招标人</w:t>
            </w:r>
            <w:r>
              <w:rPr>
                <w:rFonts w:hint="eastAsia" w:ascii="宋体" w:hAnsi="宋体" w:eastAsia="宋体" w:cs="宋体"/>
                <w:color w:val="auto"/>
                <w:sz w:val="21"/>
                <w:szCs w:val="21"/>
                <w:highlight w:val="none"/>
              </w:rPr>
              <w:t>签署《质量验收报告》之日起计算</w:t>
            </w:r>
            <w:r>
              <w:rPr>
                <w:rFonts w:hint="eastAsia" w:ascii="宋体" w:hAnsi="宋体" w:eastAsia="宋体" w:cs="宋体"/>
                <w:color w:val="auto"/>
                <w:sz w:val="21"/>
                <w:szCs w:val="21"/>
                <w:highlight w:val="none"/>
                <w:u w:val="none"/>
                <w:lang w:eastAsia="zh-CN"/>
              </w:rPr>
              <w:t>1</w:t>
            </w:r>
            <w:r>
              <w:rPr>
                <w:rFonts w:hint="eastAsia" w:ascii="宋体" w:hAnsi="宋体" w:eastAsia="宋体" w:cs="宋体"/>
                <w:color w:val="auto"/>
                <w:sz w:val="21"/>
                <w:szCs w:val="21"/>
                <w:highlight w:val="none"/>
                <w:u w:val="none"/>
                <w:lang w:val="en-US" w:eastAsia="zh-CN"/>
              </w:rPr>
              <w:t>年。</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spacing w:after="0" w:line="320" w:lineRule="exact"/>
              <w:ind w:firstLine="0"/>
              <w:rPr>
                <w:rFonts w:ascii="宋体" w:hAnsi="宋体" w:cs="宋体"/>
                <w:color w:val="auto"/>
                <w:highlight w:val="none"/>
              </w:rPr>
            </w:pPr>
            <w:r>
              <w:rPr>
                <w:rFonts w:hint="eastAsia" w:ascii="宋体" w:hAnsi="宋体" w:cs="宋体"/>
                <w:color w:val="auto"/>
                <w:highlight w:val="none"/>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spacing w:after="0" w:line="320" w:lineRule="exact"/>
              <w:ind w:firstLine="0"/>
              <w:rPr>
                <w:rFonts w:ascii="宋体" w:hAnsi="宋体" w:cs="宋体"/>
                <w:color w:val="auto"/>
                <w:highlight w:val="none"/>
              </w:rPr>
            </w:pPr>
            <w:r>
              <w:rPr>
                <w:rFonts w:hint="eastAsia" w:ascii="宋体" w:hAnsi="宋体" w:cs="宋体"/>
                <w:color w:val="auto"/>
                <w:highlight w:val="none"/>
              </w:rPr>
              <w:t>具有履行合同所必需的设备和专业技术能力，有依法缴纳税收和社会保障资金的良好记录，近三年来合同履约过程中及其他经营活动履约过程中履约良好、无重大违法记录。</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keepLines/>
              <w:rPr>
                <w:rFonts w:hint="default" w:hAnsi="宋体" w:cs="宋体"/>
                <w:color w:val="auto"/>
                <w:highlight w:val="none"/>
              </w:rPr>
            </w:pPr>
            <w:r>
              <w:rPr>
                <w:rFonts w:hAnsi="宋体" w:cs="宋体"/>
                <w:color w:val="auto"/>
                <w:highlight w:val="none"/>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服务人员的专业配套要求</w:t>
            </w:r>
          </w:p>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 w:val="21"/>
                <w:szCs w:val="21"/>
                <w:highlight w:val="none"/>
                <w:shd w:val="clear" w:color="auto" w:fill="auto"/>
              </w:rPr>
              <w:t>项目负责人、技术负责人</w:t>
            </w:r>
            <w:r>
              <w:rPr>
                <w:rFonts w:hint="eastAsia" w:ascii="宋体" w:hAnsi="宋体" w:eastAsia="宋体" w:cs="宋体"/>
                <w:color w:val="auto"/>
                <w:sz w:val="21"/>
                <w:szCs w:val="21"/>
                <w:highlight w:val="none"/>
                <w:shd w:val="clear" w:color="auto" w:fill="auto"/>
                <w:lang w:val="en-US" w:eastAsia="zh-CN"/>
              </w:rPr>
              <w:t>具有5年或以上船屋生产管理经验，提供船屋生产企业的社保证明</w:t>
            </w:r>
            <w:r>
              <w:rPr>
                <w:rFonts w:hint="eastAsia" w:ascii="宋体" w:hAnsi="宋体" w:eastAsia="宋体" w:cs="宋体"/>
                <w:color w:val="auto"/>
                <w:szCs w:val="21"/>
                <w:highlight w:val="none"/>
              </w:rPr>
              <w:t>。</w:t>
            </w:r>
          </w:p>
          <w:p>
            <w:pPr>
              <w:keepLines/>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2、项目负责人和技术负责人不能为同一人。</w:t>
            </w:r>
          </w:p>
          <w:p>
            <w:pPr>
              <w:keepLines/>
              <w:spacing w:line="360" w:lineRule="auto"/>
              <w:rPr>
                <w:rFonts w:ascii="宋体" w:hAnsi="宋体" w:eastAsia="宋体" w:cs="宋体"/>
                <w:color w:val="auto"/>
                <w:szCs w:val="21"/>
                <w:highlight w:val="none"/>
              </w:rPr>
            </w:pP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beforeAutospacing="0" w:after="0"/>
              <w:ind w:firstLine="0"/>
              <w:jc w:val="center"/>
              <w:rPr>
                <w:rFonts w:ascii="宋体" w:hAnsi="宋体" w:cs="宋体"/>
                <w:color w:val="auto"/>
                <w:highlight w:val="none"/>
              </w:rPr>
            </w:pPr>
            <w:r>
              <w:rPr>
                <w:rFonts w:hint="eastAsia" w:ascii="宋体" w:hAnsi="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beforeAutospacing="0" w:after="0"/>
              <w:ind w:left="-59" w:leftChars="-28" w:right="-59" w:rightChars="-28" w:firstLine="0"/>
              <w:jc w:val="center"/>
              <w:rPr>
                <w:rFonts w:ascii="宋体" w:hAnsi="宋体" w:cs="宋体"/>
                <w:color w:val="auto"/>
                <w:highlight w:val="none"/>
              </w:rPr>
            </w:pPr>
            <w:r>
              <w:rPr>
                <w:rFonts w:hint="eastAsia" w:ascii="宋体" w:hAnsi="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spacing w:after="0" w:line="320" w:lineRule="exact"/>
              <w:ind w:firstLine="0"/>
              <w:rPr>
                <w:rFonts w:ascii="宋体" w:hAnsi="宋体" w:cs="宋体"/>
                <w:color w:val="auto"/>
                <w:highlight w:val="none"/>
              </w:rPr>
            </w:pPr>
            <w:r>
              <w:rPr>
                <w:rFonts w:hint="eastAsia" w:ascii="宋体" w:hAnsi="宋体" w:cs="宋体"/>
                <w:color w:val="auto"/>
                <w:highlight w:val="none"/>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lang w:val="en-US" w:eastAsia="zh-CN"/>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before="100" w:beforeAutospacing="0" w:after="0" w:line="440" w:lineRule="exact"/>
              <w:ind w:left="-59" w:leftChars="-28" w:right="-44" w:rightChars="-21" w:firstLine="0"/>
              <w:jc w:val="center"/>
              <w:rPr>
                <w:rFonts w:ascii="宋体" w:hAnsi="宋体" w:cs="宋体"/>
                <w:color w:val="auto"/>
                <w:highlight w:val="none"/>
              </w:rPr>
            </w:pPr>
            <w:r>
              <w:rPr>
                <w:rFonts w:hint="eastAsia" w:ascii="宋体" w:hAnsi="宋体" w:cs="宋体"/>
                <w:color w:val="auto"/>
                <w:highlight w:val="none"/>
              </w:rPr>
              <w:t>招标控制价及报价方式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keepLines/>
              <w:spacing w:line="360" w:lineRule="auto"/>
              <w:rPr>
                <w:rFonts w:hint="default" w:hAnsi="宋体" w:cs="宋体"/>
                <w:color w:val="auto"/>
                <w:highlight w:val="none"/>
              </w:rPr>
            </w:pPr>
            <w:r>
              <w:rPr>
                <w:rFonts w:hint="eastAsia" w:ascii="宋体" w:hAnsi="宋体" w:eastAsia="宋体" w:cs="宋体"/>
                <w:color w:val="auto"/>
                <w:sz w:val="21"/>
                <w:szCs w:val="21"/>
                <w:highlight w:val="none"/>
              </w:rPr>
              <w:t>招标控制价为</w:t>
            </w:r>
            <w:r>
              <w:rPr>
                <w:rFonts w:hint="eastAsia" w:ascii="宋体" w:hAnsi="宋体" w:eastAsia="宋体" w:cs="宋体"/>
                <w:color w:val="auto"/>
                <w:sz w:val="21"/>
                <w:szCs w:val="21"/>
                <w:highlight w:val="none"/>
                <w:lang w:val="en-US" w:eastAsia="zh-CN"/>
              </w:rPr>
              <w:t>¥</w:t>
            </w:r>
            <w:r>
              <w:rPr>
                <w:rFonts w:hint="eastAsia" w:ascii="宋体" w:hAnsi="宋体" w:eastAsia="宋体" w:cs="宋体"/>
                <w:b w:val="0"/>
                <w:bCs w:val="0"/>
                <w:color w:val="auto"/>
                <w:sz w:val="21"/>
                <w:szCs w:val="21"/>
                <w:highlight w:val="none"/>
                <w:lang w:val="en-US" w:eastAsia="zh-CN"/>
              </w:rPr>
              <w:t>1052023.14</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（大写：人民币</w:t>
            </w:r>
            <w:r>
              <w:rPr>
                <w:rFonts w:hint="eastAsia" w:ascii="宋体" w:hAnsi="宋体" w:eastAsia="宋体" w:cs="宋体"/>
                <w:color w:val="auto"/>
                <w:sz w:val="21"/>
                <w:szCs w:val="21"/>
                <w:highlight w:val="none"/>
                <w:lang w:val="en-US" w:eastAsia="zh-CN"/>
              </w:rPr>
              <w:t>壹佰零伍万贰仟零贰拾叁元壹角肆分</w:t>
            </w:r>
            <w:r>
              <w:rPr>
                <w:rFonts w:hint="eastAsia" w:ascii="宋体" w:hAnsi="宋体" w:eastAsia="宋体" w:cs="宋体"/>
                <w:color w:val="auto"/>
                <w:sz w:val="21"/>
                <w:szCs w:val="21"/>
                <w:highlight w:val="none"/>
                <w:lang w:eastAsia="zh-CN"/>
              </w:rPr>
              <w:t>）</w:t>
            </w:r>
            <w:r>
              <w:rPr>
                <w:rFonts w:ascii="宋体" w:hAnsi="宋体" w:eastAsia="宋体" w:cs="宋体"/>
                <w:color w:val="auto"/>
                <w:highlight w:val="none"/>
              </w:rPr>
              <w:t>。</w:t>
            </w:r>
            <w:r>
              <w:rPr>
                <w:rFonts w:hAnsi="宋体" w:cs="宋体"/>
                <w:color w:val="auto"/>
                <w:highlight w:val="none"/>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spacing w:after="0" w:line="320" w:lineRule="exact"/>
              <w:ind w:firstLine="0"/>
              <w:rPr>
                <w:rFonts w:ascii="宋体" w:hAnsi="宋体" w:cs="宋体"/>
                <w:color w:val="auto"/>
                <w:highlight w:val="none"/>
              </w:rPr>
            </w:pPr>
            <w:r>
              <w:rPr>
                <w:rFonts w:hint="eastAsia" w:ascii="宋体" w:hAnsi="宋体" w:cs="宋体"/>
                <w:color w:val="auto"/>
                <w:highlight w:val="none"/>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spacing w:val="-4"/>
                <w:highlight w:val="none"/>
              </w:rPr>
            </w:pPr>
            <w:r>
              <w:rPr>
                <w:rFonts w:hint="eastAsia" w:ascii="宋体" w:hAnsi="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numPr>
                <w:ilvl w:val="255"/>
                <w:numId w:val="0"/>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1、金额：人民币壹万元。</w:t>
            </w:r>
          </w:p>
          <w:p>
            <w:pPr>
              <w:keepLines/>
              <w:numPr>
                <w:ilvl w:val="255"/>
                <w:numId w:val="0"/>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pPr>
              <w:keepLines/>
              <w:numPr>
                <w:ilvl w:val="255"/>
                <w:numId w:val="0"/>
              </w:numPr>
              <w:adjustRightIn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账户名称：广州南沙建设维护管理有限公司</w:t>
            </w:r>
          </w:p>
          <w:p>
            <w:pPr>
              <w:keepLines/>
              <w:numPr>
                <w:ilvl w:val="255"/>
                <w:numId w:val="0"/>
              </w:numPr>
              <w:adjustRightIn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开户银行：中国工商银行广东自由贸易试验区南沙分行 </w:t>
            </w:r>
          </w:p>
          <w:p>
            <w:pPr>
              <w:keepLines/>
              <w:numPr>
                <w:ilvl w:val="255"/>
                <w:numId w:val="0"/>
              </w:numPr>
              <w:adjustRightIn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账号：3602056909200030855</w:t>
            </w:r>
          </w:p>
          <w:p>
            <w:pPr>
              <w:keepLines/>
              <w:numPr>
                <w:ilvl w:val="0"/>
                <w:numId w:val="2"/>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缴纳时间：投标单位须在2023年</w:t>
            </w:r>
            <w:r>
              <w:rPr>
                <w:rFonts w:hint="eastAsia" w:ascii="宋体" w:hAnsi="宋体" w:eastAsia="宋体" w:cs="宋体"/>
                <w:color w:val="auto"/>
                <w:szCs w:val="21"/>
                <w:highlight w:val="none"/>
                <w:lang w:eastAsia="zh-CN"/>
              </w:rPr>
              <w:t>8月</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三</w:t>
            </w:r>
            <w:r>
              <w:rPr>
                <w:rFonts w:hint="eastAsia" w:ascii="宋体" w:hAnsi="宋体" w:eastAsia="宋体" w:cs="宋体"/>
                <w:color w:val="auto"/>
                <w:szCs w:val="21"/>
                <w:highlight w:val="none"/>
              </w:rPr>
              <w:t>）17时00分前以投标人转出【以招标单位查询的信息为准，汇款时备注：南沙湿地“渔唱晚主题酒店及疍家水岸广场”项目船屋</w:t>
            </w:r>
            <w:r>
              <w:rPr>
                <w:rFonts w:hint="eastAsia" w:ascii="宋体" w:hAnsi="宋体" w:eastAsia="宋体" w:cs="宋体"/>
                <w:color w:val="auto"/>
                <w:szCs w:val="21"/>
                <w:highlight w:val="none"/>
                <w:lang w:eastAsia="zh-CN"/>
              </w:rPr>
              <w:t>采购</w:t>
            </w:r>
            <w:r>
              <w:rPr>
                <w:rFonts w:hint="eastAsia" w:ascii="宋体" w:hAnsi="宋体" w:eastAsia="宋体" w:cs="宋体"/>
                <w:color w:val="auto"/>
                <w:szCs w:val="21"/>
                <w:highlight w:val="none"/>
              </w:rPr>
              <w:t>投标保证金】</w:t>
            </w:r>
          </w:p>
          <w:p>
            <w:pPr>
              <w:keepLines/>
              <w:numPr>
                <w:ilvl w:val="255"/>
                <w:numId w:val="0"/>
              </w:numPr>
              <w:adjustRightInd w:val="0"/>
              <w:snapToGrid w:val="0"/>
              <w:spacing w:line="360" w:lineRule="auto"/>
              <w:rPr>
                <w:rFonts w:ascii="宋体" w:hAnsi="宋体" w:eastAsia="宋体" w:cs="宋体"/>
                <w:color w:val="auto"/>
                <w:szCs w:val="21"/>
                <w:highlight w:val="none"/>
              </w:rPr>
            </w:pPr>
            <w:r>
              <w:rPr>
                <w:rFonts w:hint="eastAsia" w:ascii="宋体" w:hAnsi="宋体" w:eastAsia="宋体" w:cs="宋体"/>
                <w:color w:val="auto"/>
                <w:szCs w:val="21"/>
                <w:highlight w:val="none"/>
              </w:rPr>
              <w:t>4、未按规定缴纳投标保证金的正式投标人将被视为自动放弃本工程的投标资格。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before="100" w:beforeAutospacing="0" w:after="0" w:line="440" w:lineRule="exact"/>
              <w:ind w:left="-46" w:leftChars="-22" w:right="-59" w:rightChars="-28" w:firstLine="0"/>
              <w:jc w:val="center"/>
              <w:rPr>
                <w:rFonts w:ascii="宋体" w:hAnsi="宋体" w:cs="宋体"/>
                <w:color w:val="auto"/>
                <w:highlight w:val="none"/>
              </w:rPr>
            </w:pPr>
            <w:r>
              <w:rPr>
                <w:rFonts w:hint="eastAsia" w:ascii="宋体" w:hAnsi="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spacing w:after="0" w:line="320" w:lineRule="exact"/>
              <w:ind w:firstLine="0"/>
              <w:rPr>
                <w:rFonts w:ascii="宋体" w:hAnsi="宋体" w:cs="宋体"/>
                <w:color w:val="auto"/>
                <w:highlight w:val="none"/>
              </w:rPr>
            </w:pPr>
            <w:r>
              <w:rPr>
                <w:rFonts w:hint="eastAsia" w:ascii="宋体" w:hAnsi="宋体" w:cs="宋体"/>
                <w:color w:val="auto"/>
                <w:highlight w:val="none"/>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投标文件</w:t>
            </w:r>
          </w:p>
          <w:p>
            <w:pPr>
              <w:pStyle w:val="2"/>
              <w:keepLines/>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提交地点及</w:t>
            </w:r>
          </w:p>
          <w:p>
            <w:pPr>
              <w:pStyle w:val="2"/>
              <w:keepLines/>
              <w:spacing w:before="100" w:beforeAutospacing="0" w:after="0" w:line="440" w:lineRule="exact"/>
              <w:ind w:left="-19" w:leftChars="-9" w:right="-17" w:rightChars="-8" w:firstLine="0"/>
              <w:jc w:val="center"/>
              <w:rPr>
                <w:rFonts w:ascii="宋体" w:hAnsi="宋体" w:cs="宋体"/>
                <w:color w:val="auto"/>
                <w:highlight w:val="none"/>
              </w:rPr>
            </w:pPr>
            <w:r>
              <w:rPr>
                <w:rFonts w:hint="eastAsia" w:ascii="宋体" w:hAnsi="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收件人：李工，66806279</w:t>
            </w:r>
          </w:p>
          <w:p>
            <w:pPr>
              <w:keepLines/>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提交地点：广州市南沙区金融大厦1807会议室</w:t>
            </w:r>
          </w:p>
          <w:p>
            <w:pPr>
              <w:keepLines/>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投标时间：2023年</w:t>
            </w:r>
            <w:r>
              <w:rPr>
                <w:rFonts w:hint="eastAsia" w:ascii="宋体" w:hAnsi="宋体" w:eastAsia="宋体" w:cs="宋体"/>
                <w:color w:val="auto"/>
                <w:szCs w:val="21"/>
                <w:highlight w:val="none"/>
                <w:lang w:eastAsia="zh-CN"/>
              </w:rPr>
              <w:t>8月</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时00分至2023年</w:t>
            </w:r>
            <w:r>
              <w:rPr>
                <w:rFonts w:hint="eastAsia" w:ascii="宋体" w:hAnsi="宋体" w:eastAsia="宋体" w:cs="宋体"/>
                <w:color w:val="auto"/>
                <w:szCs w:val="21"/>
                <w:highlight w:val="none"/>
                <w:lang w:eastAsia="zh-CN"/>
              </w:rPr>
              <w:t>8月</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时30分前。</w:t>
            </w:r>
          </w:p>
          <w:p>
            <w:pPr>
              <w:keepLines/>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开标时间：2023年</w:t>
            </w:r>
            <w:r>
              <w:rPr>
                <w:rFonts w:hint="eastAsia" w:ascii="宋体" w:hAnsi="宋体" w:eastAsia="宋体" w:cs="宋体"/>
                <w:color w:val="auto"/>
                <w:szCs w:val="21"/>
                <w:highlight w:val="none"/>
                <w:lang w:eastAsia="zh-CN"/>
              </w:rPr>
              <w:t>8月</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日（星期</w:t>
            </w:r>
            <w:r>
              <w:rPr>
                <w:rFonts w:hint="eastAsia" w:ascii="宋体" w:hAnsi="宋体" w:eastAsia="宋体" w:cs="宋体"/>
                <w:color w:val="auto"/>
                <w:szCs w:val="21"/>
                <w:highlight w:val="none"/>
                <w:lang w:eastAsia="zh-CN"/>
              </w:rPr>
              <w:t>四</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14</w:t>
            </w:r>
            <w:r>
              <w:rPr>
                <w:rFonts w:hint="eastAsia" w:ascii="宋体" w:hAnsi="宋体" w:eastAsia="宋体" w:cs="宋体"/>
                <w:color w:val="auto"/>
                <w:szCs w:val="21"/>
                <w:highlight w:val="none"/>
              </w:rPr>
              <w:t>时30分</w:t>
            </w:r>
          </w:p>
          <w:p>
            <w:pPr>
              <w:keepLines/>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地点：广州市南沙区金融大厦1807会议室</w:t>
            </w:r>
          </w:p>
          <w:p>
            <w:pPr>
              <w:keepLines/>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2"/>
              <w:keepLines/>
              <w:spacing w:after="0" w:line="440" w:lineRule="exact"/>
              <w:ind w:firstLine="0"/>
              <w:jc w:val="center"/>
              <w:rPr>
                <w:rFonts w:ascii="宋体" w:hAnsi="宋体" w:cs="宋体"/>
                <w:color w:val="auto"/>
                <w:highlight w:val="none"/>
              </w:rPr>
            </w:pPr>
            <w:r>
              <w:rPr>
                <w:rFonts w:hint="eastAsia" w:ascii="宋体" w:hAnsi="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keepLines/>
              <w:spacing w:line="320" w:lineRule="exact"/>
              <w:rPr>
                <w:rFonts w:ascii="宋体" w:hAnsi="宋体" w:eastAsia="宋体" w:cs="宋体"/>
                <w:color w:val="auto"/>
                <w:szCs w:val="21"/>
                <w:highlight w:val="none"/>
              </w:rPr>
            </w:pPr>
            <w:r>
              <w:rPr>
                <w:rFonts w:hint="eastAsia" w:ascii="宋体" w:hAnsi="宋体" w:eastAsia="宋体" w:cs="宋体"/>
                <w:color w:val="auto"/>
                <w:szCs w:val="21"/>
                <w:highlight w:val="none"/>
              </w:rPr>
              <w:t>综合评分法</w:t>
            </w:r>
          </w:p>
        </w:tc>
      </w:tr>
    </w:tbl>
    <w:p>
      <w:pPr>
        <w:keepLines/>
        <w:jc w:val="center"/>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keepLines/>
        <w:jc w:val="left"/>
        <w:rPr>
          <w:rFonts w:ascii="宋体" w:hAnsi="宋体" w:eastAsia="宋体" w:cs="宋体"/>
          <w:color w:val="auto"/>
          <w:szCs w:val="21"/>
          <w:highlight w:val="none"/>
        </w:rPr>
      </w:pPr>
    </w:p>
    <w:p>
      <w:pPr>
        <w:keepLines/>
        <w:jc w:val="center"/>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keepLines/>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rPr>
        <w:t>广州南沙湿地旅游发展有限公司、广州南沙建设维护管理有限公司。</w:t>
      </w:r>
    </w:p>
    <w:p>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keepLines/>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“招标文件”指由招标人发出的本文件（包括全部章节、附件）及澄清补充文件。</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2"/>
        <w:keepLines/>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 招标说明</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2.2.4项目总投资：见投标须知前附表第4项。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2.2.5质量目标：见投标须知前附表第5项。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2.3.3投标要求：见投标须知前附表第10项。</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keepLines/>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2"/>
        <w:keepLines/>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keepLines/>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keepLines/>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w:t>
      </w:r>
      <w:r>
        <w:rPr>
          <w:rFonts w:ascii="宋体" w:hAnsi="宋体" w:cs="宋体"/>
          <w:color w:val="auto"/>
          <w:sz w:val="24"/>
          <w:szCs w:val="24"/>
          <w:highlight w:val="none"/>
        </w:rPr>
        <w:t>4</w:t>
      </w:r>
      <w:r>
        <w:rPr>
          <w:rFonts w:hint="eastAsia" w:ascii="宋体" w:hAnsi="宋体" w:cs="宋体"/>
          <w:color w:val="auto"/>
          <w:sz w:val="24"/>
          <w:szCs w:val="24"/>
          <w:highlight w:val="none"/>
        </w:rPr>
        <w:t>项要求。招标人或招标代理人将于投标须知前附表第1</w:t>
      </w:r>
      <w:r>
        <w:rPr>
          <w:rFonts w:ascii="宋体" w:hAnsi="宋体" w:cs="宋体"/>
          <w:color w:val="auto"/>
          <w:sz w:val="24"/>
          <w:szCs w:val="24"/>
          <w:highlight w:val="none"/>
        </w:rPr>
        <w:t>4</w:t>
      </w:r>
      <w:r>
        <w:rPr>
          <w:rFonts w:hint="eastAsia" w:ascii="宋体" w:hAnsi="宋体" w:cs="宋体"/>
          <w:color w:val="auto"/>
          <w:sz w:val="24"/>
          <w:szCs w:val="24"/>
          <w:highlight w:val="none"/>
        </w:rPr>
        <w:t>项指定的地点和时间对疑问进行答复。</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keepLines/>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rPr>
        <w:t>1</w:t>
      </w:r>
      <w:r>
        <w:rPr>
          <w:rFonts w:hint="eastAsia" w:ascii="宋体" w:hAnsi="宋体" w:cs="宋体"/>
          <w:color w:val="auto"/>
          <w:sz w:val="24"/>
          <w:szCs w:val="24"/>
          <w:highlight w:val="none"/>
        </w:rPr>
        <w:t>日前，招标人可对招标文件进行必要的澄清或修改。</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2"/>
        <w:keepLines/>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pPr>
        <w:pStyle w:val="2"/>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2"/>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keepLines/>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11.2投标函（按招标文件第3章格式填写）</w:t>
      </w:r>
      <w:r>
        <w:rPr>
          <w:rFonts w:hint="eastAsia" w:ascii="宋体" w:hAnsi="宋体" w:eastAsia="宋体" w:cs="宋体"/>
          <w:color w:val="auto"/>
          <w:sz w:val="24"/>
          <w:highlight w:val="none"/>
          <w:lang w:eastAsia="zh-CN"/>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11.5公司法人营业执照复印件。</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人员到位承诺书（按招标文件第3章格式填写）。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投标人综合概况（按招标文件第3章格式填写）。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参与本项目的人员一览表及证明文件（按招标文件第3章格式填写）。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项目负责人相关经验及业绩（按招标文件第3章格式填写）。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报价表（含报价清单）。</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技术标文件（独立成册）。</w:t>
      </w:r>
    </w:p>
    <w:p>
      <w:pPr>
        <w:pStyle w:val="9"/>
        <w:keepLines/>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2</w:t>
      </w:r>
      <w:r>
        <w:rPr>
          <w:rFonts w:hAnsi="宋体" w:cs="宋体"/>
          <w:color w:val="auto"/>
          <w:sz w:val="24"/>
          <w:highlight w:val="none"/>
        </w:rPr>
        <w:t xml:space="preserve"> 投标文件电子版（刻录光盘或提供U盘，需为公司盖章版本）。</w:t>
      </w:r>
    </w:p>
    <w:p>
      <w:pPr>
        <w:pStyle w:val="9"/>
        <w:keepLines/>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投标申请人声明。</w:t>
      </w:r>
    </w:p>
    <w:p>
      <w:pPr>
        <w:pStyle w:val="9"/>
        <w:keepLines/>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施工组织方案（含安全措施）。</w:t>
      </w:r>
    </w:p>
    <w:p>
      <w:pPr>
        <w:pStyle w:val="9"/>
        <w:keepLines/>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投标人认为需要提供的其他文件。</w:t>
      </w:r>
    </w:p>
    <w:p>
      <w:pPr>
        <w:pStyle w:val="2"/>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2"/>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w:t>
      </w:r>
      <w:r>
        <w:rPr>
          <w:rFonts w:ascii="宋体" w:hAnsi="宋体" w:cs="宋体"/>
          <w:color w:val="auto"/>
          <w:sz w:val="24"/>
          <w:szCs w:val="24"/>
          <w:highlight w:val="none"/>
        </w:rPr>
        <w:t>5</w:t>
      </w:r>
      <w:r>
        <w:rPr>
          <w:rFonts w:hint="eastAsia" w:ascii="宋体" w:hAnsi="宋体" w:cs="宋体"/>
          <w:color w:val="auto"/>
          <w:sz w:val="24"/>
          <w:szCs w:val="24"/>
          <w:highlight w:val="none"/>
        </w:rPr>
        <w:t>项所规定的方式。</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13.3投标报价方式：投标单位自行报价，投标报价不能超过招标控制价，否则按废标处理。（小数点后保留二位小数，第三位小数四舍五入）</w:t>
      </w:r>
    </w:p>
    <w:p>
      <w:pPr>
        <w:pStyle w:val="2"/>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2"/>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w:t>
      </w:r>
      <w:r>
        <w:rPr>
          <w:rFonts w:ascii="宋体" w:hAnsi="宋体" w:cs="宋体"/>
          <w:color w:val="auto"/>
          <w:sz w:val="24"/>
          <w:szCs w:val="24"/>
          <w:highlight w:val="none"/>
        </w:rPr>
        <w:t>6</w:t>
      </w:r>
      <w:r>
        <w:rPr>
          <w:rFonts w:hint="eastAsia" w:ascii="宋体" w:hAnsi="宋体" w:cs="宋体"/>
          <w:color w:val="auto"/>
          <w:sz w:val="24"/>
          <w:szCs w:val="24"/>
          <w:highlight w:val="none"/>
        </w:rPr>
        <w:t>项所规定的期限，在此期限内，凡符合本招标文件要求的投标文件均保持有效。</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2"/>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本项目要求递交投标保证金，详见投标须知前附表要求。</w:t>
      </w:r>
    </w:p>
    <w:p>
      <w:pPr>
        <w:pStyle w:val="2"/>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w:t>
      </w:r>
      <w:r>
        <w:rPr>
          <w:rFonts w:ascii="宋体" w:hAnsi="宋体" w:cs="宋体"/>
          <w:color w:val="auto"/>
          <w:sz w:val="24"/>
          <w:szCs w:val="24"/>
          <w:highlight w:val="none"/>
        </w:rPr>
        <w:t>8</w:t>
      </w:r>
      <w:r>
        <w:rPr>
          <w:rFonts w:hint="eastAsia" w:ascii="宋体" w:hAnsi="宋体" w:cs="宋体"/>
          <w:color w:val="auto"/>
          <w:sz w:val="24"/>
          <w:szCs w:val="24"/>
          <w:highlight w:val="none"/>
        </w:rPr>
        <w:t>项规定的份数提交投标文件。</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2"/>
        <w:keepLines/>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keepLines/>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pPr>
        <w:pStyle w:val="2"/>
        <w:keepLines/>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keepLines/>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pPr>
        <w:keepLines/>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项目</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前不得开封（填入前附表第</w:t>
      </w:r>
      <w:r>
        <w:rPr>
          <w:rFonts w:ascii="宋体" w:hAnsi="宋体" w:eastAsia="宋体" w:cs="宋体"/>
          <w:color w:val="auto"/>
          <w:sz w:val="24"/>
          <w:highlight w:val="none"/>
        </w:rPr>
        <w:t>20</w:t>
      </w:r>
      <w:r>
        <w:rPr>
          <w:rFonts w:hint="eastAsia" w:ascii="宋体" w:hAnsi="宋体" w:eastAsia="宋体" w:cs="宋体"/>
          <w:color w:val="auto"/>
          <w:sz w:val="24"/>
          <w:highlight w:val="none"/>
        </w:rPr>
        <w:t>项所述日期及时间）</w:t>
      </w:r>
    </w:p>
    <w:p>
      <w:pPr>
        <w:keepLines/>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2"/>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2"/>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w:t>
      </w:r>
      <w:r>
        <w:rPr>
          <w:rFonts w:ascii="宋体" w:hAnsi="宋体" w:eastAsia="宋体" w:cs="宋体"/>
          <w:color w:val="auto"/>
          <w:sz w:val="24"/>
          <w:highlight w:val="none"/>
        </w:rPr>
        <w:t>9</w:t>
      </w:r>
      <w:r>
        <w:rPr>
          <w:rFonts w:hint="eastAsia" w:ascii="宋体" w:hAnsi="宋体" w:eastAsia="宋体" w:cs="宋体"/>
          <w:color w:val="auto"/>
          <w:sz w:val="24"/>
          <w:highlight w:val="none"/>
        </w:rPr>
        <w:t>项所述的地点、日期和时间将投标文件提交给招标人。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2"/>
        <w:keepLines/>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2"/>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pPr>
        <w:pStyle w:val="2"/>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w:t>
      </w:r>
      <w:r>
        <w:rPr>
          <w:rFonts w:ascii="宋体" w:hAnsi="宋体" w:eastAsia="宋体" w:cs="宋体"/>
          <w:color w:val="auto"/>
          <w:sz w:val="24"/>
          <w:highlight w:val="none"/>
        </w:rPr>
        <w:t>20</w:t>
      </w:r>
      <w:r>
        <w:rPr>
          <w:rFonts w:hint="eastAsia" w:ascii="宋体" w:hAnsi="宋体" w:eastAsia="宋体" w:cs="宋体"/>
          <w:color w:val="auto"/>
          <w:sz w:val="24"/>
          <w:highlight w:val="none"/>
        </w:rPr>
        <w:t>项所规定的时间和地点公开开标，并邀请所有投标人参加。请各投标人的法定代表人或其有效授权委托代理人届时务必带本人身份证出席开标会，否则作弃权处理。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六、评标</w:t>
      </w:r>
    </w:p>
    <w:p>
      <w:pPr>
        <w:pStyle w:val="2"/>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pPr>
        <w:pStyle w:val="2"/>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pPr>
        <w:pStyle w:val="2"/>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w:t>
      </w:r>
      <w:r>
        <w:rPr>
          <w:rFonts w:ascii="宋体" w:hAnsi="宋体" w:eastAsia="宋体" w:cs="宋体"/>
          <w:color w:val="auto"/>
          <w:sz w:val="24"/>
          <w:highlight w:val="none"/>
        </w:rPr>
        <w:t>21</w:t>
      </w:r>
      <w:r>
        <w:rPr>
          <w:rFonts w:hint="eastAsia" w:ascii="宋体" w:hAnsi="宋体" w:eastAsia="宋体" w:cs="宋体"/>
          <w:color w:val="auto"/>
          <w:sz w:val="24"/>
          <w:highlight w:val="none"/>
        </w:rPr>
        <w:t>项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pPr>
        <w:pStyle w:val="2"/>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2"/>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2"/>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2"/>
        <w:keepLines/>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，一年内</w:t>
      </w:r>
      <w:r>
        <w:rPr>
          <w:rFonts w:hint="eastAsia" w:ascii="宋体" w:hAnsi="宋体" w:eastAsia="宋体" w:cs="宋体"/>
          <w:color w:val="auto"/>
          <w:sz w:val="24"/>
          <w:highlight w:val="none"/>
          <w:lang w:val="en-US" w:eastAsia="zh-CN"/>
        </w:rPr>
        <w:t>拒绝其对招标人其他项目的投标文件</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2"/>
        <w:keepLines/>
        <w:numPr>
          <w:ilvl w:val="0"/>
          <w:numId w:val="3"/>
        </w:numPr>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合同生效</w:t>
      </w:r>
    </w:p>
    <w:p>
      <w:pPr>
        <w:pStyle w:val="2"/>
        <w:keepLines/>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p>
    <w:p>
      <w:pPr>
        <w:keepLines/>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keepLines/>
        <w:rPr>
          <w:color w:val="auto"/>
          <w:highlight w:val="none"/>
        </w:rPr>
      </w:pPr>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hint="eastAsia" w:ascii="黑体" w:hAnsi="宋体" w:eastAsia="黑体" w:cs="黑体"/>
          <w:b/>
          <w:color w:val="auto"/>
          <w:kern w:val="44"/>
          <w:sz w:val="44"/>
          <w:szCs w:val="44"/>
          <w:highlight w:val="none"/>
          <w:lang w:eastAsia="zh-CN"/>
        </w:rPr>
      </w:pPr>
      <w:r>
        <w:rPr>
          <w:rFonts w:hint="eastAsia" w:ascii="黑体" w:hAnsi="宋体" w:cs="黑体"/>
          <w:b/>
          <w:color w:val="auto"/>
          <w:kern w:val="44"/>
          <w:sz w:val="44"/>
          <w:szCs w:val="44"/>
          <w:highlight w:val="none"/>
        </w:rPr>
        <w:t>第2章 项目需求书</w:t>
      </w:r>
      <w:bookmarkEnd w:id="4"/>
      <w:r>
        <w:rPr>
          <w:rFonts w:hint="eastAsia" w:ascii="黑体" w:hAnsi="宋体" w:cs="黑体"/>
          <w:b/>
          <w:color w:val="auto"/>
          <w:kern w:val="44"/>
          <w:sz w:val="44"/>
          <w:szCs w:val="44"/>
          <w:highlight w:val="none"/>
          <w:lang w:eastAsia="zh-CN"/>
        </w:rPr>
        <w:t>（另附）</w:t>
      </w:r>
    </w:p>
    <w:p>
      <w:pPr>
        <w:keepLines/>
        <w:ind w:firstLine="480" w:firstLineChars="200"/>
        <w:rPr>
          <w:rFonts w:asciiTheme="minorEastAsia" w:hAnsiTheme="minorEastAsia" w:cstheme="minorEastAsia"/>
          <w:color w:val="auto"/>
          <w:kern w:val="0"/>
          <w:sz w:val="24"/>
          <w:highlight w:val="none"/>
        </w:rPr>
      </w:pPr>
    </w:p>
    <w:p>
      <w:pPr>
        <w:keepLines/>
        <w:rPr>
          <w:rFonts w:ascii="黑体" w:hAnsi="宋体" w:cs="黑体"/>
          <w:b/>
          <w:color w:val="auto"/>
          <w:kern w:val="44"/>
          <w:sz w:val="44"/>
          <w:szCs w:val="44"/>
          <w:highlight w:val="none"/>
        </w:rPr>
      </w:pPr>
    </w:p>
    <w:p>
      <w:pPr>
        <w:keepLines/>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keepLines/>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keepLines/>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keepLines/>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keepLines/>
        <w:rPr>
          <w:rFonts w:ascii="宋体" w:hAnsi="宋体" w:eastAsia="宋体" w:cs="宋体"/>
          <w:color w:val="auto"/>
          <w:sz w:val="24"/>
          <w:highlight w:val="none"/>
        </w:rPr>
      </w:pPr>
    </w:p>
    <w:p>
      <w:pPr>
        <w:keepLines/>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rPr>
        <w:t>广州南沙湿地旅游发展有限公司、广州南沙建设维护管理有限公司：</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rPr>
        <w:t>南沙湿地“渔唱晚主题酒店及疍家水岸广场”项目船屋采购</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rPr>
        <w:t>南沙湿地“渔唱晚主题酒店及疍家水岸广场”项目船屋采购</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90</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keepLines/>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keepLines/>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keepLines/>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keepLines/>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keepLines/>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keepLines/>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rPr>
        <w:t>广州南沙湿地旅游发展有限公司、广州南沙建设维护管理有限公司</w:t>
      </w:r>
    </w:p>
    <w:p>
      <w:pPr>
        <w:keepLines/>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keepLines/>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keepLines/>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pPr>
        <w:keepLines/>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keepLines/>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keepLines/>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keepLines/>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keepLines/>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keepLines/>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keepLines/>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pPr>
        <w:pStyle w:val="25"/>
        <w:keepLines/>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keepLines/>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keepLines/>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keepLines/>
        <w:ind w:firstLine="618"/>
        <w:rPr>
          <w:b/>
          <w:color w:val="auto"/>
          <w:sz w:val="30"/>
          <w:szCs w:val="30"/>
          <w:highlight w:val="none"/>
        </w:rPr>
      </w:pPr>
      <w:r>
        <w:rPr>
          <w:b/>
          <w:color w:val="auto"/>
          <w:sz w:val="30"/>
          <w:szCs w:val="30"/>
          <w:highlight w:val="none"/>
        </w:rPr>
        <w:t xml:space="preserve"> </w:t>
      </w:r>
    </w:p>
    <w:p>
      <w:pPr>
        <w:pStyle w:val="25"/>
        <w:keepLines/>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keepLines/>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keepLines/>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keepLines/>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keepLines/>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keepLines/>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keepLines/>
        <w:ind w:firstLine="0" w:firstLineChars="0"/>
        <w:jc w:val="center"/>
        <w:rPr>
          <w:b/>
          <w:color w:val="auto"/>
          <w:sz w:val="28"/>
          <w:szCs w:val="28"/>
          <w:highlight w:val="none"/>
        </w:rPr>
      </w:pPr>
      <w:r>
        <w:rPr>
          <w:b/>
          <w:color w:val="auto"/>
          <w:sz w:val="28"/>
          <w:szCs w:val="28"/>
          <w:highlight w:val="none"/>
        </w:rPr>
        <w:t xml:space="preserve"> </w:t>
      </w:r>
    </w:p>
    <w:p>
      <w:pPr>
        <w:keepLines/>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keepLines/>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rPr>
        <w:t>广州南沙湿地旅游发展有限公司、广州南沙建设维护管理有限公司</w:t>
      </w:r>
    </w:p>
    <w:p>
      <w:pPr>
        <w:keepLines/>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rPr>
        <w:t>南沙湿地“渔唱晚主题酒店及疍家水岸广场”项目船屋采购</w:t>
      </w:r>
    </w:p>
    <w:p>
      <w:pPr>
        <w:keepLines/>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我方如果中标，承诺实际人员均按投标文件人员名单配备。</w:t>
      </w:r>
    </w:p>
    <w:p>
      <w:pPr>
        <w:keepLines/>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keepLines/>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keepLines/>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keepLines/>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keepLines/>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keepLines/>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415833503"/>
      <w:bookmarkEnd w:id="11"/>
      <w:bookmarkStart w:id="12" w:name="_Toc459403394"/>
      <w:bookmarkEnd w:id="12"/>
      <w:bookmarkStart w:id="13" w:name="_Toc197235848"/>
      <w:bookmarkEnd w:id="13"/>
      <w:bookmarkStart w:id="14" w:name="_Toc196036941"/>
      <w:bookmarkEnd w:id="14"/>
      <w:bookmarkStart w:id="15" w:name="_Toc196037097"/>
      <w:bookmarkEnd w:id="15"/>
      <w:bookmarkStart w:id="16" w:name="_Toc196130013"/>
      <w:bookmarkEnd w:id="16"/>
      <w:bookmarkStart w:id="17" w:name="_Toc415728297"/>
      <w:bookmarkEnd w:id="17"/>
      <w:bookmarkStart w:id="18" w:name="_Toc326909213"/>
      <w:bookmarkEnd w:id="18"/>
      <w:bookmarkStart w:id="19" w:name="_Toc41822703"/>
      <w:bookmarkEnd w:id="19"/>
      <w:bookmarkStart w:id="20" w:name="_Toc196130110"/>
      <w:bookmarkEnd w:id="20"/>
      <w:bookmarkStart w:id="21" w:name="_Toc199647675"/>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keepLines/>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keepLines/>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keepLines/>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keepLines/>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keepLines/>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keepLines/>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keepLines/>
        <w:outlineLvl w:val="1"/>
        <w:rPr>
          <w:rFonts w:ascii="宋体" w:hAnsi="宋体" w:eastAsia="宋体" w:cs="黑体"/>
          <w:b/>
          <w:color w:val="auto"/>
          <w:spacing w:val="4"/>
          <w:kern w:val="0"/>
          <w:sz w:val="28"/>
          <w:szCs w:val="28"/>
          <w:highlight w:val="none"/>
        </w:rPr>
      </w:pPr>
      <w:bookmarkStart w:id="24" w:name="_Toc415833504"/>
      <w:bookmarkEnd w:id="24"/>
      <w:bookmarkStart w:id="25" w:name="_Toc199647676"/>
      <w:bookmarkEnd w:id="25"/>
      <w:bookmarkStart w:id="26" w:name="_Toc415728298"/>
      <w:bookmarkEnd w:id="26"/>
      <w:bookmarkStart w:id="27" w:name="_Toc196130014"/>
      <w:bookmarkEnd w:id="27"/>
      <w:bookmarkStart w:id="28" w:name="_Toc197235849"/>
      <w:bookmarkEnd w:id="28"/>
      <w:bookmarkStart w:id="29" w:name="_Toc196130111"/>
      <w:bookmarkEnd w:id="29"/>
      <w:bookmarkStart w:id="30" w:name="_Toc196036942"/>
      <w:bookmarkEnd w:id="30"/>
      <w:bookmarkStart w:id="31" w:name="_Toc326909214"/>
      <w:bookmarkEnd w:id="31"/>
      <w:bookmarkStart w:id="32" w:name="_Toc196037098"/>
      <w:bookmarkEnd w:id="32"/>
      <w:bookmarkStart w:id="33" w:name="_Toc459403395"/>
      <w:bookmarkEnd w:id="33"/>
      <w:bookmarkStart w:id="34" w:name="_Toc462911099"/>
    </w:p>
    <w:bookmarkEnd w:id="34"/>
    <w:p>
      <w:pPr>
        <w:keepLines/>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keepLines/>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格式六</w:t>
      </w:r>
      <w:r>
        <w:rPr>
          <w:rFonts w:hint="eastAsia" w:ascii="仿宋" w:hAnsi="仿宋" w:eastAsia="仿宋" w:cs="宋体"/>
          <w:color w:val="auto"/>
          <w:sz w:val="28"/>
          <w:szCs w:val="28"/>
          <w:highlight w:val="none"/>
        </w:rPr>
        <w:t>：</w:t>
      </w:r>
    </w:p>
    <w:p>
      <w:pPr>
        <w:keepLines/>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keepLines/>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bl>
    <w:p>
      <w:pPr>
        <w:keepLines/>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keepLines/>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2、人员应附上个人注册执业资格证、职称证等文件（复印件，加盖单位公章）。</w:t>
      </w:r>
    </w:p>
    <w:p>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keepLines/>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keepLines/>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keepLines/>
        <w:ind w:firstLine="0" w:firstLineChars="0"/>
        <w:rPr>
          <w:color w:val="auto"/>
          <w:spacing w:val="18"/>
          <w:highlight w:val="none"/>
        </w:rPr>
      </w:pPr>
      <w:r>
        <w:rPr>
          <w:color w:val="auto"/>
          <w:spacing w:val="18"/>
          <w:highlight w:val="none"/>
        </w:rPr>
        <w:t xml:space="preserve"> </w:t>
      </w:r>
    </w:p>
    <w:p>
      <w:pPr>
        <w:keepLines/>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keepLines/>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格式八：</w:t>
      </w:r>
    </w:p>
    <w:p>
      <w:pPr>
        <w:keepLines/>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rPr>
        <w:t>投标</w:t>
      </w:r>
      <w:r>
        <w:rPr>
          <w:rFonts w:hint="eastAsia" w:ascii="黑体" w:hAnsi="黑体" w:eastAsia="黑体" w:cs="黑体"/>
          <w:b/>
          <w:bCs/>
          <w:color w:val="auto"/>
          <w:sz w:val="32"/>
          <w:szCs w:val="32"/>
          <w:highlight w:val="none"/>
          <w:lang w:val="zh-CN"/>
        </w:rPr>
        <w:t>报价表</w:t>
      </w:r>
    </w:p>
    <w:p>
      <w:pPr>
        <w:keepLines/>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keepLines/>
              <w:autoSpaceDE w:val="0"/>
              <w:autoSpaceDN w:val="0"/>
              <w:adjustRightInd w:val="0"/>
              <w:snapToGrid w:val="0"/>
              <w:spacing w:line="360" w:lineRule="auto"/>
              <w:jc w:val="center"/>
              <w:rPr>
                <w:rFonts w:hint="eastAsia" w:ascii="宋体" w:hAnsi="宋体" w:cs="宋体" w:eastAsiaTheme="minorEastAsia"/>
                <w:bCs/>
                <w:color w:val="auto"/>
                <w:szCs w:val="21"/>
                <w:highlight w:val="none"/>
                <w:lang w:val="zh-CN" w:eastAsia="zh-CN"/>
              </w:rPr>
            </w:pPr>
            <w:r>
              <w:rPr>
                <w:rFonts w:hint="eastAsia" w:ascii="宋体" w:hAnsi="宋体" w:cs="宋体"/>
                <w:bCs/>
                <w:color w:val="auto"/>
                <w:szCs w:val="21"/>
                <w:highlight w:val="none"/>
              </w:rPr>
              <w:t>南沙湿地“渔唱晚主题酒店及疍家水岸广场”项目船屋</w:t>
            </w:r>
            <w:r>
              <w:rPr>
                <w:rFonts w:hint="eastAsia" w:ascii="宋体" w:hAnsi="宋体" w:cs="宋体"/>
                <w:bCs/>
                <w:color w:val="auto"/>
                <w:szCs w:val="21"/>
                <w:highlight w:val="none"/>
                <w:lang w:eastAsia="zh-CN"/>
              </w:rPr>
              <w:t>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keepLines/>
              <w:autoSpaceDE w:val="0"/>
              <w:autoSpaceDN w:val="0"/>
              <w:adjustRightInd w:val="0"/>
              <w:snapToGrid w:val="0"/>
              <w:spacing w:line="360" w:lineRule="auto"/>
              <w:jc w:val="center"/>
              <w:rPr>
                <w:rFonts w:ascii="宋体" w:hAnsi="宋体" w:cs="宋体"/>
                <w:bCs/>
                <w:color w:val="auto"/>
                <w:szCs w:val="21"/>
                <w:highlight w:val="none"/>
              </w:rPr>
            </w:pPr>
            <w:r>
              <w:rPr>
                <w:rFonts w:hint="eastAsia" w:ascii="宋体" w:hAnsi="宋体" w:cs="宋体"/>
                <w:bCs/>
                <w:color w:val="auto"/>
                <w:szCs w:val="21"/>
                <w:highlight w:val="none"/>
                <w:lang w:val="zh-CN"/>
              </w:rPr>
              <w:t>（人民币）</w:t>
            </w:r>
          </w:p>
        </w:tc>
        <w:tc>
          <w:tcPr>
            <w:tcW w:w="6699" w:type="dxa"/>
            <w:vAlign w:val="center"/>
          </w:tcPr>
          <w:p>
            <w:pPr>
              <w:keepLines/>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小写：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keepLines/>
              <w:autoSpaceDE w:val="0"/>
              <w:autoSpaceDN w:val="0"/>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大写：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keepLines/>
              <w:autoSpaceDE w:val="0"/>
              <w:autoSpaceDN w:val="0"/>
              <w:adjustRightInd w:val="0"/>
              <w:snapToGrid w:val="0"/>
              <w:spacing w:line="360" w:lineRule="auto"/>
              <w:jc w:val="left"/>
              <w:rPr>
                <w:color w:val="auto"/>
                <w:highlight w:val="none"/>
              </w:rPr>
            </w:pPr>
            <w:r>
              <w:rPr>
                <w:rFonts w:hint="eastAsia"/>
                <w:color w:val="auto"/>
                <w:highlight w:val="none"/>
              </w:rPr>
              <w:t>下浮率：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keepLines/>
        <w:spacing w:line="360" w:lineRule="auto"/>
        <w:ind w:firstLine="210" w:firstLineChars="100"/>
        <w:rPr>
          <w:rFonts w:hint="default"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9"/>
        <w:widowControl/>
        <w:spacing w:line="360" w:lineRule="auto"/>
        <w:ind w:firstLine="420" w:firstLineChars="200"/>
        <w:rPr>
          <w:rFonts w:hint="eastAsia" w:ascii="宋体" w:hAnsi="宋体" w:eastAsia="宋体" w:cs="宋体"/>
          <w:bCs/>
          <w:color w:val="auto"/>
          <w:kern w:val="2"/>
          <w:sz w:val="21"/>
          <w:szCs w:val="21"/>
          <w:highlight w:val="none"/>
          <w:lang w:val="en-US" w:eastAsia="zh-CN" w:bidi="ar-SA"/>
        </w:rPr>
      </w:pPr>
      <w:r>
        <w:rPr>
          <w:rFonts w:hAnsi="宋体" w:cs="宋体"/>
          <w:bCs/>
          <w:color w:val="auto"/>
          <w:highlight w:val="none"/>
        </w:rPr>
        <w:t>（2</w:t>
      </w:r>
      <w:r>
        <w:rPr>
          <w:rFonts w:ascii="宋体" w:hAnsi="宋体" w:eastAsia="宋体" w:cs="宋体"/>
          <w:bCs/>
          <w:color w:val="auto"/>
          <w:highlight w:val="none"/>
        </w:rPr>
        <w:t>）</w:t>
      </w:r>
      <w:r>
        <w:rPr>
          <w:rFonts w:hint="eastAsia" w:ascii="宋体" w:hAnsi="宋体" w:eastAsia="宋体" w:cs="宋体"/>
          <w:bCs/>
          <w:color w:val="auto"/>
          <w:sz w:val="21"/>
          <w:szCs w:val="21"/>
          <w:highlight w:val="none"/>
        </w:rPr>
        <w:t>招标控制价为</w:t>
      </w:r>
      <w:r>
        <w:rPr>
          <w:rFonts w:hint="eastAsia" w:ascii="宋体" w:hAnsi="宋体" w:eastAsia="宋体" w:cs="宋体"/>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1052023.14</w:t>
      </w:r>
      <w:r>
        <w:rPr>
          <w:rFonts w:hint="eastAsia" w:ascii="宋体" w:hAnsi="宋体" w:eastAsia="宋体" w:cs="宋体"/>
          <w:bCs/>
          <w:color w:val="auto"/>
          <w:sz w:val="21"/>
          <w:szCs w:val="21"/>
          <w:highlight w:val="none"/>
        </w:rPr>
        <w:t>元</w:t>
      </w:r>
      <w:r>
        <w:rPr>
          <w:rFonts w:hint="eastAsia" w:ascii="宋体" w:hAnsi="宋体" w:eastAsia="宋体" w:cs="宋体"/>
          <w:bCs/>
          <w:color w:val="auto"/>
          <w:sz w:val="21"/>
          <w:szCs w:val="21"/>
          <w:highlight w:val="none"/>
          <w:lang w:eastAsia="zh-CN"/>
        </w:rPr>
        <w:t>（大写：人民币</w:t>
      </w:r>
      <w:r>
        <w:rPr>
          <w:rFonts w:hint="eastAsia" w:ascii="宋体" w:hAnsi="宋体" w:eastAsia="宋体" w:cs="宋体"/>
          <w:bCs/>
          <w:color w:val="auto"/>
          <w:sz w:val="21"/>
          <w:szCs w:val="21"/>
          <w:highlight w:val="none"/>
          <w:lang w:val="en-US" w:eastAsia="zh-CN"/>
        </w:rPr>
        <w:t>壹佰零伍万贰仟零贰拾叁元壹角肆分</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w:t>
      </w:r>
    </w:p>
    <w:p>
      <w:pPr>
        <w:keepLines/>
        <w:spacing w:line="360" w:lineRule="auto"/>
        <w:rPr>
          <w:rFonts w:hAnsi="宋体"/>
          <w:b/>
          <w:color w:val="auto"/>
          <w:highlight w:val="none"/>
        </w:rPr>
      </w:pPr>
      <w:r>
        <w:rPr>
          <w:rFonts w:hAnsi="宋体"/>
          <w:b/>
          <w:color w:val="auto"/>
          <w:highlight w:val="none"/>
        </w:rPr>
        <w:br w:type="page"/>
      </w:r>
    </w:p>
    <w:p>
      <w:pPr>
        <w:keepLines/>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keepLines/>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b/>
          <w:color w:val="auto"/>
          <w:sz w:val="44"/>
          <w:szCs w:val="44"/>
          <w:highlight w:val="none"/>
        </w:rPr>
      </w:pPr>
      <w:r>
        <w:rPr>
          <w:rFonts w:hint="eastAsia" w:ascii="宋体" w:hAnsi="宋体"/>
          <w:b/>
          <w:color w:val="auto"/>
          <w:sz w:val="44"/>
          <w:szCs w:val="44"/>
          <w:highlight w:val="none"/>
        </w:rPr>
        <w:t>项目名称</w:t>
      </w:r>
    </w:p>
    <w:p>
      <w:pPr>
        <w:keepLines/>
        <w:jc w:val="center"/>
        <w:rPr>
          <w:b/>
          <w:color w:val="auto"/>
          <w:sz w:val="48"/>
          <w:szCs w:val="48"/>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jc w:val="center"/>
        <w:rPr>
          <w:rFonts w:eastAsia="黑体"/>
          <w:color w:val="auto"/>
          <w:sz w:val="28"/>
          <w:szCs w:val="28"/>
          <w:highlight w:val="none"/>
        </w:rPr>
      </w:pPr>
      <w:r>
        <w:rPr>
          <w:rFonts w:hint="eastAsia" w:eastAsia="黑体"/>
          <w:color w:val="auto"/>
          <w:sz w:val="52"/>
          <w:szCs w:val="52"/>
          <w:highlight w:val="none"/>
        </w:rPr>
        <w:t>商务文件</w:t>
      </w:r>
    </w:p>
    <w:p>
      <w:pPr>
        <w:keepLines/>
        <w:rPr>
          <w:rFonts w:eastAsia="黑体"/>
          <w:color w:val="auto"/>
          <w:sz w:val="28"/>
          <w:szCs w:val="28"/>
          <w:highlight w:val="none"/>
        </w:rPr>
      </w:pPr>
    </w:p>
    <w:p>
      <w:pPr>
        <w:keepLines/>
        <w:rPr>
          <w:rFonts w:eastAsia="黑体"/>
          <w:color w:val="auto"/>
          <w:sz w:val="28"/>
          <w:szCs w:val="28"/>
          <w:highlight w:val="none"/>
        </w:rPr>
      </w:pPr>
    </w:p>
    <w:p>
      <w:pPr>
        <w:keepLines/>
        <w:rPr>
          <w:rFonts w:eastAsia="黑体"/>
          <w:color w:val="auto"/>
          <w:sz w:val="28"/>
          <w:szCs w:val="28"/>
          <w:highlight w:val="none"/>
        </w:rPr>
      </w:pPr>
    </w:p>
    <w:p>
      <w:pPr>
        <w:keepLines/>
        <w:rPr>
          <w:rFonts w:eastAsia="黑体"/>
          <w:color w:val="auto"/>
          <w:sz w:val="28"/>
          <w:szCs w:val="28"/>
          <w:highlight w:val="none"/>
        </w:rPr>
      </w:pPr>
    </w:p>
    <w:p>
      <w:pPr>
        <w:keepLines/>
        <w:spacing w:line="720" w:lineRule="auto"/>
        <w:rPr>
          <w:rFonts w:eastAsia="黑体"/>
          <w:color w:val="auto"/>
          <w:sz w:val="28"/>
          <w:szCs w:val="28"/>
          <w:highlight w:val="none"/>
        </w:rPr>
      </w:pPr>
    </w:p>
    <w:p>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keepLines/>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keepLines/>
        <w:jc w:val="left"/>
        <w:rPr>
          <w:b/>
          <w:color w:val="auto"/>
          <w:sz w:val="24"/>
          <w:highlight w:val="none"/>
        </w:rPr>
      </w:pPr>
      <w:r>
        <w:rPr>
          <w:b/>
          <w:color w:val="auto"/>
          <w:sz w:val="24"/>
          <w:highlight w:val="none"/>
        </w:rPr>
        <w:br w:type="page"/>
      </w:r>
    </w:p>
    <w:p>
      <w:pPr>
        <w:keepLines/>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keepLines/>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b/>
          <w:color w:val="auto"/>
          <w:sz w:val="44"/>
          <w:szCs w:val="44"/>
          <w:highlight w:val="none"/>
        </w:rPr>
      </w:pPr>
      <w:r>
        <w:rPr>
          <w:rFonts w:hint="eastAsia" w:ascii="宋体" w:hAnsi="宋体"/>
          <w:b/>
          <w:color w:val="auto"/>
          <w:sz w:val="44"/>
          <w:szCs w:val="44"/>
          <w:highlight w:val="none"/>
        </w:rPr>
        <w:t>项目名称</w:t>
      </w:r>
    </w:p>
    <w:p>
      <w:pPr>
        <w:keepLines/>
        <w:jc w:val="center"/>
        <w:rPr>
          <w:b/>
          <w:color w:val="auto"/>
          <w:sz w:val="48"/>
          <w:szCs w:val="48"/>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jc w:val="center"/>
        <w:rPr>
          <w:rFonts w:eastAsia="黑体"/>
          <w:color w:val="auto"/>
          <w:sz w:val="52"/>
          <w:szCs w:val="52"/>
          <w:highlight w:val="none"/>
        </w:rPr>
      </w:pPr>
      <w:r>
        <w:rPr>
          <w:rFonts w:hint="eastAsia" w:eastAsia="黑体"/>
          <w:color w:val="auto"/>
          <w:sz w:val="52"/>
          <w:szCs w:val="52"/>
          <w:highlight w:val="none"/>
        </w:rPr>
        <w:t>技术文件</w:t>
      </w:r>
    </w:p>
    <w:p>
      <w:pPr>
        <w:keepLines/>
        <w:autoSpaceDE w:val="0"/>
        <w:autoSpaceDN w:val="0"/>
        <w:adjustRightInd w:val="0"/>
        <w:spacing w:line="480" w:lineRule="auto"/>
        <w:rPr>
          <w:rFonts w:eastAsia="黑体"/>
          <w:color w:val="auto"/>
          <w:sz w:val="28"/>
          <w:szCs w:val="28"/>
          <w:highlight w:val="none"/>
        </w:rPr>
      </w:pPr>
    </w:p>
    <w:p>
      <w:pPr>
        <w:keepLines/>
        <w:spacing w:line="480" w:lineRule="auto"/>
        <w:rPr>
          <w:color w:val="auto"/>
          <w:highlight w:val="none"/>
        </w:rPr>
      </w:pPr>
    </w:p>
    <w:p>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keepLines/>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keepLines/>
        <w:rPr>
          <w:rFonts w:hint="default"/>
          <w:color w:val="auto"/>
          <w:highlight w:val="none"/>
        </w:rPr>
      </w:pPr>
    </w:p>
    <w:p>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4"/>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p>
    <w:p>
      <w:pPr>
        <w:pStyle w:val="4"/>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keepLines/>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keepLines/>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keepLines/>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pPr>
        <w:pStyle w:val="9"/>
        <w:keepLines/>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pPr>
        <w:pStyle w:val="9"/>
        <w:keepLines/>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keepLines/>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keepLines/>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keepLines/>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keepLines/>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pPr>
        <w:keepLines/>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keepLines/>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keepLines/>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keepLines/>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pPr>
        <w:keepLines/>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keepLines/>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keepLines/>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keepLines/>
        <w:jc w:val="left"/>
        <w:rPr>
          <w:rFonts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keepLines/>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keepLines/>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keepLines/>
        <w:ind w:firstLine="562"/>
        <w:rPr>
          <w:rFonts w:hint="default"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keepLines/>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pPr>
        <w:pStyle w:val="22"/>
        <w:keepLines/>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w:t>
      </w:r>
      <w:r>
        <w:rPr>
          <w:rFonts w:hint="eastAsia" w:ascii="仿宋" w:hAnsi="仿宋" w:eastAsia="仿宋" w:cs="仿宋"/>
          <w:b/>
          <w:color w:val="auto"/>
          <w:sz w:val="28"/>
          <w:szCs w:val="28"/>
          <w:highlight w:val="none"/>
          <w:u w:val="single"/>
          <w:lang w:val="en-US" w:eastAsia="zh-CN"/>
        </w:rPr>
        <w:t>3</w:t>
      </w:r>
      <w:r>
        <w:rPr>
          <w:rFonts w:ascii="仿宋" w:hAnsi="仿宋" w:eastAsia="仿宋" w:cs="仿宋"/>
          <w:b/>
          <w:color w:val="auto"/>
          <w:sz w:val="28"/>
          <w:szCs w:val="28"/>
          <w:highlight w:val="none"/>
          <w:u w:val="single"/>
        </w:rPr>
        <w:t xml:space="preserve"> 工程量清单（另附）</w:t>
      </w:r>
    </w:p>
    <w:p>
      <w:pPr>
        <w:keepLines/>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keepLines/>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p>
          <w:p>
            <w:pPr>
              <w:keepLines/>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120" w:beforeLines="50" w:after="120" w:afterLines="50" w:line="240" w:lineRule="exact"/>
              <w:ind w:left="-51"/>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项目负责人、技术负责人</w:t>
            </w:r>
            <w:r>
              <w:rPr>
                <w:rFonts w:hint="eastAsia" w:ascii="仿宋" w:hAnsi="仿宋" w:eastAsia="仿宋" w:cs="仿宋"/>
                <w:color w:val="auto"/>
                <w:szCs w:val="21"/>
                <w:highlight w:val="none"/>
              </w:rPr>
              <w:t>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pPr>
        <w:keepLines/>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keepLines/>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keepLines/>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keepLines/>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keepLines/>
        <w:snapToGrid w:val="0"/>
        <w:ind w:left="74"/>
        <w:rPr>
          <w:rFonts w:ascii="仿宋" w:hAnsi="仿宋" w:eastAsia="仿宋" w:cs="Courier New"/>
          <w:color w:val="auto"/>
          <w:sz w:val="28"/>
          <w:szCs w:val="28"/>
          <w:highlight w:val="none"/>
        </w:rPr>
      </w:pPr>
    </w:p>
    <w:p>
      <w:pPr>
        <w:keepLines/>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keepLines/>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4"/>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keepLines/>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keepLines/>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keepLines/>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分项</w:t>
            </w:r>
          </w:p>
          <w:p>
            <w:pPr>
              <w:keepLines/>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pPr>
              <w:keepLines/>
              <w:snapToGrid w:val="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shd w:val="clear" w:color="auto" w:fill="auto"/>
            <w:vAlign w:val="center"/>
          </w:tcPr>
          <w:p>
            <w:pPr>
              <w:keepLines/>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pPr>
              <w:keepLines/>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6"/>
              <w:keepLines/>
              <w:spacing w:line="240" w:lineRule="auto"/>
              <w:ind w:firstLine="0" w:firstLineChars="0"/>
              <w:jc w:val="center"/>
              <w:rPr>
                <w:rFonts w:eastAsia="宋体" w:cs="宋体"/>
                <w:b w:val="0"/>
                <w:bCs/>
                <w:color w:val="auto"/>
                <w:szCs w:val="21"/>
                <w:highlight w:val="none"/>
              </w:rPr>
            </w:pPr>
            <w:r>
              <w:rPr>
                <w:rFonts w:hint="eastAsia" w:eastAsia="宋体" w:cs="宋体"/>
                <w:b w:val="0"/>
                <w:bCs/>
                <w:color w:val="auto"/>
                <w:szCs w:val="21"/>
                <w:highlight w:val="none"/>
              </w:rPr>
              <w:t>（20分）</w:t>
            </w:r>
          </w:p>
          <w:p>
            <w:pPr>
              <w:keepLines/>
              <w:snapToGrid w:val="0"/>
              <w:ind w:left="-2" w:leftChars="-1"/>
              <w:jc w:val="center"/>
              <w:rPr>
                <w:rFonts w:ascii="宋体" w:hAnsi="宋体" w:eastAsia="宋体" w:cs="宋体"/>
                <w:color w:val="auto"/>
                <w:szCs w:val="21"/>
                <w:highlight w:val="none"/>
              </w:rPr>
            </w:pPr>
          </w:p>
        </w:tc>
        <w:tc>
          <w:tcPr>
            <w:tcW w:w="1406" w:type="dxa"/>
            <w:shd w:val="clear" w:color="auto" w:fill="auto"/>
            <w:vAlign w:val="center"/>
          </w:tcPr>
          <w:p>
            <w:pPr>
              <w:keepLines/>
              <w:ind w:left="-42" w:right="-61"/>
              <w:jc w:val="center"/>
              <w:rPr>
                <w:rFonts w:ascii="宋体" w:hAnsi="宋体" w:eastAsia="宋体" w:cs="宋体"/>
                <w:color w:val="auto"/>
                <w:szCs w:val="21"/>
                <w:highlight w:val="none"/>
              </w:rPr>
            </w:pPr>
            <w:r>
              <w:rPr>
                <w:rFonts w:hint="eastAsia" w:ascii="宋体" w:hAnsi="宋体" w:eastAsia="宋体" w:cs="宋体"/>
                <w:color w:val="auto"/>
                <w:szCs w:val="21"/>
                <w:highlight w:val="none"/>
                <w:lang w:eastAsia="zh-CN"/>
              </w:rPr>
              <w:t>企业</w:t>
            </w:r>
            <w:r>
              <w:rPr>
                <w:rFonts w:hint="eastAsia" w:ascii="宋体" w:hAnsi="宋体" w:eastAsia="宋体" w:cs="宋体"/>
                <w:color w:val="auto"/>
                <w:szCs w:val="21"/>
                <w:highlight w:val="none"/>
              </w:rPr>
              <w:t>业绩</w:t>
            </w:r>
          </w:p>
        </w:tc>
        <w:tc>
          <w:tcPr>
            <w:tcW w:w="709" w:type="dxa"/>
            <w:shd w:val="clear" w:color="auto" w:fill="auto"/>
            <w:vAlign w:val="center"/>
          </w:tcPr>
          <w:p>
            <w:pPr>
              <w:keepLines/>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val="en-US" w:eastAsia="zh-CN"/>
              </w:rPr>
              <w:t>8</w:t>
            </w:r>
            <w:r>
              <w:rPr>
                <w:rFonts w:hint="eastAsia" w:ascii="宋体" w:hAnsi="宋体" w:eastAsia="宋体" w:cs="宋体"/>
                <w:color w:val="auto"/>
                <w:kern w:val="0"/>
                <w:szCs w:val="21"/>
                <w:highlight w:val="none"/>
              </w:rPr>
              <w:t>分</w:t>
            </w:r>
          </w:p>
        </w:tc>
        <w:tc>
          <w:tcPr>
            <w:tcW w:w="9797" w:type="dxa"/>
            <w:shd w:val="clear" w:color="auto" w:fill="auto"/>
            <w:vAlign w:val="center"/>
          </w:tcPr>
          <w:p>
            <w:pPr>
              <w:keepLines/>
              <w:snapToGrid w:val="0"/>
              <w:rPr>
                <w:rFonts w:ascii="宋体" w:hAnsi="宋体" w:eastAsia="宋体" w:cs="宋体"/>
                <w:color w:val="auto"/>
                <w:szCs w:val="21"/>
                <w:highlight w:val="none"/>
              </w:rPr>
            </w:pPr>
            <w:r>
              <w:rPr>
                <w:rFonts w:hint="eastAsia" w:ascii="宋体" w:hAnsi="宋体" w:eastAsia="宋体" w:cs="宋体"/>
                <w:color w:val="auto"/>
                <w:szCs w:val="21"/>
                <w:highlight w:val="none"/>
              </w:rPr>
              <w:t>投标人2018年1月1日至今具有</w:t>
            </w:r>
            <w:r>
              <w:rPr>
                <w:rFonts w:hint="eastAsia" w:ascii="宋体" w:hAnsi="宋体" w:eastAsia="宋体" w:cs="宋体"/>
                <w:color w:val="auto"/>
                <w:szCs w:val="21"/>
                <w:highlight w:val="none"/>
                <w:lang w:val="en-US" w:eastAsia="zh-CN"/>
              </w:rPr>
              <w:t>70万或以上的</w:t>
            </w:r>
            <w:r>
              <w:rPr>
                <w:rFonts w:hint="eastAsia" w:ascii="宋体" w:hAnsi="宋体" w:eastAsia="宋体" w:cs="宋体"/>
                <w:color w:val="auto"/>
                <w:szCs w:val="21"/>
                <w:highlight w:val="none"/>
                <w:lang w:eastAsia="zh-CN"/>
              </w:rPr>
              <w:t>船屋</w:t>
            </w:r>
            <w:r>
              <w:rPr>
                <w:rFonts w:hint="eastAsia" w:ascii="宋体" w:hAnsi="宋体" w:eastAsia="宋体" w:cs="宋体"/>
                <w:color w:val="auto"/>
                <w:szCs w:val="21"/>
                <w:highlight w:val="none"/>
                <w:lang w:val="en-US" w:eastAsia="zh-CN"/>
              </w:rPr>
              <w:t>生产安装</w:t>
            </w:r>
            <w:r>
              <w:rPr>
                <w:rFonts w:hint="eastAsia" w:ascii="宋体" w:hAnsi="宋体" w:eastAsia="宋体" w:cs="宋体"/>
                <w:color w:val="auto"/>
                <w:szCs w:val="21"/>
                <w:highlight w:val="none"/>
              </w:rPr>
              <w:t>业绩的，每有一个项目业绩得1分，本项最高得</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 xml:space="preserve">分。 </w:t>
            </w:r>
          </w:p>
          <w:p>
            <w:pPr>
              <w:keepLines/>
              <w:jc w:val="left"/>
              <w:rPr>
                <w:rFonts w:ascii="宋体" w:hAnsi="宋体" w:eastAsia="宋体" w:cs="宋体"/>
                <w:color w:val="auto"/>
                <w:szCs w:val="21"/>
                <w:highlight w:val="none"/>
              </w:rPr>
            </w:pPr>
            <w:r>
              <w:rPr>
                <w:rFonts w:hint="eastAsia" w:ascii="宋体" w:hAnsi="宋体" w:eastAsia="宋体" w:cs="宋体"/>
                <w:color w:val="auto"/>
                <w:szCs w:val="21"/>
                <w:highlight w:val="none"/>
              </w:rPr>
              <w:t>注：需提供合同关键页复印件（封面、盖章页等），不提供、提供不全或专家无法认定的不得分，同类业绩时间以签订时间为准。</w:t>
            </w:r>
          </w:p>
        </w:tc>
        <w:tc>
          <w:tcPr>
            <w:tcW w:w="240" w:type="dxa"/>
            <w:shd w:val="clear" w:color="auto" w:fill="auto"/>
            <w:vAlign w:val="center"/>
          </w:tcPr>
          <w:p>
            <w:pPr>
              <w:keepLines/>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continue"/>
            <w:shd w:val="clear" w:color="auto" w:fill="auto"/>
            <w:vAlign w:val="center"/>
          </w:tcPr>
          <w:p>
            <w:pPr>
              <w:keepLines/>
              <w:snapToGrid w:val="0"/>
              <w:ind w:left="-2" w:leftChars="-1"/>
              <w:jc w:val="center"/>
              <w:rPr>
                <w:rFonts w:ascii="宋体" w:hAnsi="宋体" w:eastAsia="宋体" w:cs="宋体"/>
                <w:color w:val="auto"/>
                <w:szCs w:val="21"/>
                <w:highlight w:val="none"/>
              </w:rPr>
            </w:pPr>
          </w:p>
        </w:tc>
        <w:tc>
          <w:tcPr>
            <w:tcW w:w="1406" w:type="dxa"/>
            <w:shd w:val="clear" w:color="auto" w:fill="auto"/>
            <w:vAlign w:val="center"/>
          </w:tcPr>
          <w:p>
            <w:pPr>
              <w:keepLines/>
              <w:ind w:left="-42" w:right="-61"/>
              <w:jc w:val="center"/>
              <w:rPr>
                <w:rFonts w:ascii="宋体" w:hAnsi="宋体" w:eastAsia="宋体" w:cs="宋体"/>
                <w:color w:val="auto"/>
                <w:szCs w:val="21"/>
                <w:highlight w:val="none"/>
              </w:rPr>
            </w:pPr>
            <w:r>
              <w:rPr>
                <w:rFonts w:hint="eastAsia" w:ascii="宋体" w:hAnsi="宋体" w:eastAsia="宋体" w:cs="宋体"/>
                <w:color w:val="auto"/>
                <w:szCs w:val="21"/>
                <w:highlight w:val="none"/>
              </w:rPr>
              <w:t>业绩获奖</w:t>
            </w:r>
          </w:p>
        </w:tc>
        <w:tc>
          <w:tcPr>
            <w:tcW w:w="709" w:type="dxa"/>
            <w:shd w:val="clear" w:color="auto" w:fill="auto"/>
            <w:vAlign w:val="center"/>
          </w:tcPr>
          <w:p>
            <w:pPr>
              <w:keepLines/>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分</w:t>
            </w:r>
          </w:p>
        </w:tc>
        <w:tc>
          <w:tcPr>
            <w:tcW w:w="9797" w:type="dxa"/>
            <w:shd w:val="clear" w:color="auto" w:fill="auto"/>
            <w:vAlign w:val="center"/>
          </w:tcPr>
          <w:p>
            <w:pPr>
              <w:keepLines/>
              <w:adjustRightInd w:val="0"/>
              <w:snapToGrid w:val="0"/>
              <w:rPr>
                <w:rFonts w:ascii="宋体" w:hAnsi="宋体" w:eastAsia="宋体" w:cs="宋体"/>
                <w:color w:val="auto"/>
                <w:szCs w:val="21"/>
                <w:highlight w:val="none"/>
              </w:rPr>
            </w:pPr>
            <w:r>
              <w:rPr>
                <w:rFonts w:hint="eastAsia" w:ascii="宋体" w:hAnsi="宋体" w:eastAsia="宋体" w:cs="宋体"/>
                <w:color w:val="auto"/>
                <w:szCs w:val="21"/>
                <w:highlight w:val="none"/>
              </w:rPr>
              <w:t>提供自2018年1月1日至今，企业</w:t>
            </w:r>
            <w:r>
              <w:rPr>
                <w:rFonts w:hint="eastAsia" w:ascii="宋体" w:hAnsi="宋体" w:eastAsia="宋体" w:cs="宋体"/>
                <w:color w:val="auto"/>
                <w:szCs w:val="21"/>
                <w:highlight w:val="none"/>
                <w:lang w:eastAsia="zh-CN"/>
              </w:rPr>
              <w:t>船屋</w:t>
            </w:r>
            <w:r>
              <w:rPr>
                <w:rFonts w:hint="eastAsia" w:ascii="宋体" w:hAnsi="宋体" w:eastAsia="宋体" w:cs="宋体"/>
                <w:color w:val="auto"/>
                <w:szCs w:val="21"/>
                <w:highlight w:val="none"/>
                <w:lang w:val="en-US" w:eastAsia="zh-CN"/>
              </w:rPr>
              <w:t>生产安装</w:t>
            </w:r>
            <w:r>
              <w:rPr>
                <w:rFonts w:hint="eastAsia" w:ascii="宋体" w:hAnsi="宋体" w:eastAsia="宋体" w:cs="宋体"/>
                <w:color w:val="auto"/>
                <w:szCs w:val="21"/>
                <w:highlight w:val="none"/>
              </w:rPr>
              <w:t>业绩获奖证书原件扫描件或相关证明文件，并列表填写获奖时间、奖项名称（含颁奖单位）、项目名称（类别）等。获得国家级奖项的，每个得</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分；获得省级奖项的，每个得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分；获得市级奖项的，每个得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分。本项最多得</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p>
          <w:p>
            <w:pPr>
              <w:keepLines/>
              <w:jc w:val="left"/>
              <w:rPr>
                <w:rFonts w:ascii="宋体" w:hAnsi="宋体" w:eastAsia="宋体" w:cs="宋体"/>
                <w:color w:val="auto"/>
                <w:szCs w:val="21"/>
                <w:highlight w:val="none"/>
              </w:rPr>
            </w:pPr>
            <w:r>
              <w:rPr>
                <w:rFonts w:hint="eastAsia" w:ascii="宋体" w:hAnsi="宋体" w:eastAsia="宋体" w:cs="宋体"/>
                <w:color w:val="auto"/>
                <w:szCs w:val="21"/>
                <w:highlight w:val="none"/>
                <w:lang w:bidi="ar"/>
              </w:rPr>
              <w:t>注：本项证明材料须提供获奖证书原件扫描件、颁奖单位在“全国社会组织信用信息公示平台”的查询结果，时间以获奖证书落款时间为准，未载明年度的以证书签署日期为准，同一个项目获多个奖项的只按最高奖项计分，不重复计算。</w:t>
            </w:r>
          </w:p>
        </w:tc>
        <w:tc>
          <w:tcPr>
            <w:tcW w:w="240" w:type="dxa"/>
            <w:shd w:val="clear" w:color="auto" w:fill="auto"/>
            <w:vAlign w:val="center"/>
          </w:tcPr>
          <w:p>
            <w:pPr>
              <w:keepLines/>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keepLines/>
              <w:snapToGrid w:val="0"/>
              <w:ind w:left="-2" w:leftChars="-1"/>
              <w:jc w:val="center"/>
              <w:rPr>
                <w:rFonts w:ascii="宋体" w:hAnsi="宋体" w:eastAsia="宋体" w:cs="宋体"/>
                <w:color w:val="auto"/>
                <w:szCs w:val="21"/>
                <w:highlight w:val="none"/>
              </w:rPr>
            </w:pPr>
          </w:p>
        </w:tc>
        <w:tc>
          <w:tcPr>
            <w:tcW w:w="1406" w:type="dxa"/>
            <w:shd w:val="clear" w:color="auto" w:fill="auto"/>
            <w:vAlign w:val="center"/>
          </w:tcPr>
          <w:p>
            <w:pPr>
              <w:keepLines/>
              <w:ind w:left="-42" w:right="-61"/>
              <w:jc w:val="center"/>
              <w:rPr>
                <w:rFonts w:ascii="宋体" w:hAnsi="宋体" w:eastAsia="宋体" w:cs="宋体"/>
                <w:color w:val="auto"/>
                <w:kern w:val="0"/>
                <w:szCs w:val="21"/>
                <w:highlight w:val="none"/>
              </w:rPr>
            </w:pPr>
          </w:p>
          <w:p>
            <w:pPr>
              <w:keepLines/>
              <w:ind w:left="-42" w:right="-61"/>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认证情况</w:t>
            </w:r>
          </w:p>
          <w:p>
            <w:pPr>
              <w:keepLines/>
              <w:ind w:left="-42" w:right="-61"/>
              <w:rPr>
                <w:rFonts w:ascii="宋体" w:hAnsi="宋体" w:eastAsia="宋体" w:cs="宋体"/>
                <w:color w:val="auto"/>
                <w:szCs w:val="21"/>
                <w:highlight w:val="none"/>
              </w:rPr>
            </w:pPr>
          </w:p>
        </w:tc>
        <w:tc>
          <w:tcPr>
            <w:tcW w:w="709" w:type="dxa"/>
            <w:shd w:val="clear" w:color="auto" w:fill="auto"/>
            <w:vAlign w:val="center"/>
          </w:tcPr>
          <w:p>
            <w:pPr>
              <w:keepLines/>
              <w:jc w:val="center"/>
              <w:rPr>
                <w:rFonts w:ascii="宋体" w:hAnsi="宋体" w:eastAsia="宋体" w:cs="宋体"/>
                <w:color w:val="auto"/>
                <w:position w:val="8"/>
                <w:szCs w:val="21"/>
                <w:highlight w:val="none"/>
              </w:rPr>
            </w:pPr>
            <w:r>
              <w:rPr>
                <w:rFonts w:ascii="宋体" w:hAnsi="宋体" w:eastAsia="宋体" w:cs="宋体"/>
                <w:color w:val="auto"/>
                <w:kern w:val="0"/>
                <w:szCs w:val="21"/>
                <w:highlight w:val="none"/>
              </w:rPr>
              <w:t>3</w:t>
            </w:r>
            <w:r>
              <w:rPr>
                <w:rFonts w:hint="eastAsia" w:ascii="宋体" w:hAnsi="宋体" w:eastAsia="宋体" w:cs="宋体"/>
                <w:color w:val="auto"/>
                <w:kern w:val="0"/>
                <w:szCs w:val="21"/>
                <w:highlight w:val="none"/>
              </w:rPr>
              <w:t>分</w:t>
            </w:r>
          </w:p>
        </w:tc>
        <w:tc>
          <w:tcPr>
            <w:tcW w:w="9797" w:type="dxa"/>
            <w:shd w:val="clear" w:color="auto" w:fill="auto"/>
            <w:vAlign w:val="center"/>
          </w:tcPr>
          <w:p>
            <w:pPr>
              <w:keepLines/>
              <w:autoSpaceDE w:val="0"/>
              <w:autoSpaceDN w:val="0"/>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投标人具有有效的质量管理体系认证证书、环境管理体系认证证书、职业健康安全管理体系认证证书，每有一个证书得1分。本项最高得</w:t>
            </w:r>
            <w:r>
              <w:rPr>
                <w:rFonts w:ascii="宋体" w:hAnsi="宋体" w:eastAsia="宋体" w:cs="宋体"/>
                <w:color w:val="auto"/>
                <w:szCs w:val="21"/>
                <w:highlight w:val="none"/>
              </w:rPr>
              <w:t>3</w:t>
            </w:r>
            <w:r>
              <w:rPr>
                <w:rFonts w:hint="eastAsia" w:ascii="宋体" w:hAnsi="宋体" w:eastAsia="宋体" w:cs="宋体"/>
                <w:color w:val="auto"/>
                <w:szCs w:val="21"/>
                <w:highlight w:val="none"/>
              </w:rPr>
              <w:t>分。</w:t>
            </w:r>
          </w:p>
          <w:p>
            <w:pPr>
              <w:keepLines/>
              <w:autoSpaceDE w:val="0"/>
              <w:autoSpaceDN w:val="0"/>
              <w:jc w:val="left"/>
              <w:rPr>
                <w:rFonts w:ascii="宋体" w:hAnsi="宋体" w:eastAsia="宋体" w:cs="宋体"/>
                <w:color w:val="auto"/>
                <w:szCs w:val="21"/>
                <w:highlight w:val="none"/>
              </w:rPr>
            </w:pPr>
            <w:r>
              <w:rPr>
                <w:rFonts w:hint="eastAsia" w:ascii="宋体" w:hAnsi="宋体" w:eastAsia="宋体" w:cs="宋体"/>
                <w:color w:val="auto"/>
                <w:szCs w:val="21"/>
                <w:highlight w:val="none"/>
              </w:rPr>
              <w:t>注：（须提供以上有效期内的证书复印件以及在全国认证认可信息公共服务平台上http://cx.cnca.cn查询结果的截图，证书状态必须为“有效”，否则不得分。）</w:t>
            </w:r>
          </w:p>
        </w:tc>
        <w:tc>
          <w:tcPr>
            <w:tcW w:w="240" w:type="dxa"/>
            <w:shd w:val="clear" w:color="auto" w:fill="auto"/>
            <w:vAlign w:val="center"/>
          </w:tcPr>
          <w:p>
            <w:pPr>
              <w:keepLines/>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keepLines/>
              <w:snapToGrid w:val="0"/>
              <w:ind w:left="-2" w:leftChars="-1"/>
              <w:jc w:val="center"/>
              <w:rPr>
                <w:rFonts w:ascii="宋体" w:hAnsi="宋体" w:eastAsia="宋体" w:cs="宋体"/>
                <w:color w:val="auto"/>
                <w:szCs w:val="21"/>
                <w:highlight w:val="none"/>
              </w:rPr>
            </w:pPr>
          </w:p>
        </w:tc>
        <w:tc>
          <w:tcPr>
            <w:tcW w:w="1406" w:type="dxa"/>
            <w:shd w:val="clear" w:color="auto" w:fill="auto"/>
            <w:vAlign w:val="center"/>
          </w:tcPr>
          <w:p>
            <w:pPr>
              <w:keepLines/>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企业信誉</w:t>
            </w:r>
          </w:p>
        </w:tc>
        <w:tc>
          <w:tcPr>
            <w:tcW w:w="709" w:type="dxa"/>
            <w:shd w:val="clear" w:color="auto" w:fill="auto"/>
            <w:vAlign w:val="center"/>
          </w:tcPr>
          <w:p>
            <w:pPr>
              <w:keepLines/>
              <w:ind w:left="-2" w:leftChars="-1"/>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分</w:t>
            </w:r>
          </w:p>
        </w:tc>
        <w:tc>
          <w:tcPr>
            <w:tcW w:w="9797" w:type="dxa"/>
            <w:shd w:val="clear" w:color="auto" w:fill="auto"/>
            <w:vAlign w:val="center"/>
          </w:tcPr>
          <w:p>
            <w:pPr>
              <w:keepLines/>
              <w:jc w:val="left"/>
              <w:rPr>
                <w:rFonts w:ascii="宋体" w:hAnsi="宋体" w:eastAsia="宋体" w:cs="宋体"/>
                <w:color w:val="auto"/>
                <w:szCs w:val="21"/>
                <w:highlight w:val="none"/>
              </w:rPr>
            </w:pPr>
            <w:r>
              <w:rPr>
                <w:rFonts w:hint="eastAsia" w:ascii="宋体" w:hAnsi="宋体" w:eastAsia="宋体" w:cs="宋体"/>
                <w:color w:val="auto"/>
                <w:szCs w:val="21"/>
                <w:highlight w:val="none"/>
              </w:rPr>
              <w:t>投标人2018年1月1日至今连续三年或以上获得纳税信用等级A级称号的，得2分；</w:t>
            </w:r>
          </w:p>
          <w:p>
            <w:pPr>
              <w:pStyle w:val="9"/>
              <w:keepLines/>
              <w:rPr>
                <w:rFonts w:hint="default" w:hAnsi="宋体" w:cs="宋体"/>
                <w:color w:val="auto"/>
                <w:highlight w:val="none"/>
              </w:rPr>
            </w:pPr>
            <w:r>
              <w:rPr>
                <w:rFonts w:hAnsi="宋体" w:cs="宋体"/>
                <w:color w:val="auto"/>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p>
        </w:tc>
        <w:tc>
          <w:tcPr>
            <w:tcW w:w="240" w:type="dxa"/>
            <w:shd w:val="clear" w:color="auto" w:fill="auto"/>
            <w:vAlign w:val="center"/>
          </w:tcPr>
          <w:p>
            <w:pPr>
              <w:keepLines/>
              <w:ind w:left="-2" w:leftChars="-1"/>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keepLines/>
              <w:snapToGrid w:val="0"/>
              <w:ind w:left="-2" w:leftChars="-1"/>
              <w:jc w:val="center"/>
              <w:rPr>
                <w:rFonts w:ascii="宋体" w:hAnsi="宋体" w:eastAsia="宋体" w:cs="宋体"/>
                <w:color w:val="auto"/>
                <w:szCs w:val="21"/>
                <w:highlight w:val="none"/>
              </w:rPr>
            </w:pPr>
          </w:p>
        </w:tc>
        <w:tc>
          <w:tcPr>
            <w:tcW w:w="1406" w:type="dxa"/>
            <w:shd w:val="clear" w:color="auto" w:fill="auto"/>
            <w:vAlign w:val="center"/>
          </w:tcPr>
          <w:p>
            <w:pPr>
              <w:keepLines/>
              <w:jc w:val="center"/>
              <w:rPr>
                <w:rFonts w:ascii="宋体" w:hAnsi="宋体" w:eastAsia="宋体" w:cs="宋体"/>
                <w:color w:val="auto"/>
                <w:szCs w:val="21"/>
                <w:highlight w:val="none"/>
              </w:rPr>
            </w:pPr>
            <w:r>
              <w:rPr>
                <w:rFonts w:hint="eastAsia" w:ascii="宋体" w:hAnsi="宋体" w:eastAsia="宋体" w:cs="宋体"/>
                <w:color w:val="auto"/>
                <w:spacing w:val="-5"/>
                <w:szCs w:val="21"/>
                <w:highlight w:val="none"/>
              </w:rPr>
              <w:t>拟派本项目团队情况</w:t>
            </w:r>
          </w:p>
        </w:tc>
        <w:tc>
          <w:tcPr>
            <w:tcW w:w="709" w:type="dxa"/>
            <w:shd w:val="clear" w:color="auto" w:fill="auto"/>
            <w:vAlign w:val="center"/>
          </w:tcPr>
          <w:p>
            <w:pPr>
              <w:keepLines/>
              <w:jc w:val="center"/>
              <w:rPr>
                <w:rFonts w:ascii="宋体" w:hAnsi="宋体" w:eastAsia="宋体" w:cs="宋体"/>
                <w:color w:val="auto"/>
                <w:szCs w:val="21"/>
                <w:highlight w:val="none"/>
              </w:rPr>
            </w:pPr>
            <w:r>
              <w:rPr>
                <w:rFonts w:hint="eastAsia" w:ascii="宋体" w:hAnsi="宋体" w:eastAsia="宋体" w:cs="宋体"/>
                <w:color w:val="auto"/>
                <w:szCs w:val="21"/>
                <w:highlight w:val="none"/>
              </w:rPr>
              <w:t>3分</w:t>
            </w:r>
          </w:p>
        </w:tc>
        <w:tc>
          <w:tcPr>
            <w:tcW w:w="9797" w:type="dxa"/>
            <w:shd w:val="clear" w:color="auto" w:fill="auto"/>
            <w:vAlign w:val="center"/>
          </w:tcPr>
          <w:p>
            <w:pPr>
              <w:keepLines/>
              <w:autoSpaceDE w:val="0"/>
              <w:autoSpaceDN w:val="0"/>
              <w:adjustRightInd w:val="0"/>
              <w:snapToGrid w:val="0"/>
              <w:rPr>
                <w:rFonts w:ascii="宋体" w:hAnsi="宋体" w:eastAsia="宋体" w:cs="宋体"/>
                <w:color w:val="auto"/>
                <w:spacing w:val="-5"/>
                <w:szCs w:val="21"/>
                <w:highlight w:val="none"/>
              </w:rPr>
            </w:pPr>
          </w:p>
          <w:p>
            <w:pPr>
              <w:pStyle w:val="19"/>
              <w:ind w:firstLine="0"/>
              <w:rPr>
                <w:color w:val="auto"/>
                <w:highlight w:val="none"/>
              </w:rPr>
            </w:pPr>
            <w:r>
              <w:rPr>
                <w:color w:val="auto"/>
                <w:highlight w:val="none"/>
              </w:rPr>
              <w:t>1</w:t>
            </w:r>
            <w:r>
              <w:rPr>
                <w:rFonts w:hint="eastAsia"/>
                <w:color w:val="auto"/>
                <w:highlight w:val="none"/>
              </w:rPr>
              <w:t>、项目配备人员分工明确，包含施工员、材料员、质量员、安全员、资料员，</w:t>
            </w:r>
            <w:r>
              <w:rPr>
                <w:rFonts w:hint="eastAsia"/>
                <w:color w:val="auto"/>
                <w:highlight w:val="none"/>
                <w:lang w:val="en-US" w:eastAsia="zh-CN"/>
              </w:rPr>
              <w:t>配备齐全得2分，每少一个扣0.5分，最多扣2分</w:t>
            </w:r>
            <w:r>
              <w:rPr>
                <w:rFonts w:hint="eastAsia"/>
                <w:color w:val="auto"/>
                <w:highlight w:val="none"/>
              </w:rPr>
              <w:t>；</w:t>
            </w:r>
          </w:p>
          <w:p>
            <w:pPr>
              <w:pStyle w:val="19"/>
              <w:keepLines/>
              <w:autoSpaceDE w:val="0"/>
              <w:autoSpaceDN w:val="0"/>
              <w:adjustRightInd w:val="0"/>
              <w:snapToGrid w:val="0"/>
              <w:ind w:firstLine="0"/>
              <w:rPr>
                <w:rFonts w:ascii="宋体" w:hAnsi="宋体" w:eastAsia="宋体" w:cs="宋体"/>
                <w:color w:val="auto"/>
                <w:spacing w:val="-5"/>
                <w:szCs w:val="21"/>
                <w:highlight w:val="none"/>
              </w:rPr>
            </w:pPr>
            <w:r>
              <w:rPr>
                <w:rFonts w:hint="eastAsia"/>
                <w:color w:val="auto"/>
                <w:highlight w:val="none"/>
              </w:rPr>
              <w:t>2、项目负责人具有</w:t>
            </w:r>
            <w:r>
              <w:rPr>
                <w:color w:val="auto"/>
                <w:highlight w:val="none"/>
              </w:rPr>
              <w:t>10</w:t>
            </w:r>
            <w:r>
              <w:rPr>
                <w:rFonts w:hint="eastAsia"/>
                <w:color w:val="auto"/>
                <w:highlight w:val="none"/>
              </w:rPr>
              <w:t>年及以上工作经验，得</w:t>
            </w:r>
            <w:r>
              <w:rPr>
                <w:color w:val="auto"/>
                <w:highlight w:val="none"/>
              </w:rPr>
              <w:t>1</w:t>
            </w:r>
            <w:r>
              <w:rPr>
                <w:rFonts w:hint="eastAsia"/>
                <w:color w:val="auto"/>
                <w:highlight w:val="none"/>
              </w:rPr>
              <w:t>分。</w:t>
            </w:r>
          </w:p>
          <w:p>
            <w:pPr>
              <w:keepLines/>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本项最高得3分。</w:t>
            </w:r>
          </w:p>
          <w:p>
            <w:pPr>
              <w:keepLines/>
              <w:autoSpaceDE w:val="0"/>
              <w:autoSpaceDN w:val="0"/>
              <w:adjustRightInd w:val="0"/>
              <w:snapToGrid w:val="0"/>
              <w:rPr>
                <w:rFonts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注：需提供人员相关证书和毕业证书和投标人近3个月（或以上）连续为其购买社保的加盖社会保险基金管理中心印章的《投保单》或《社会保险参保人员证明》复印件，工作经验以毕业证发证时间开始计算，不符合或不提供不得分。）</w:t>
            </w:r>
          </w:p>
        </w:tc>
        <w:tc>
          <w:tcPr>
            <w:tcW w:w="240" w:type="dxa"/>
            <w:shd w:val="clear" w:color="auto" w:fill="auto"/>
            <w:vAlign w:val="center"/>
          </w:tcPr>
          <w:p>
            <w:pPr>
              <w:keepLines/>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shd w:val="clear" w:color="auto" w:fill="auto"/>
            <w:vAlign w:val="center"/>
          </w:tcPr>
          <w:p>
            <w:pPr>
              <w:keepLines/>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技术部分</w:t>
            </w:r>
          </w:p>
          <w:p>
            <w:pPr>
              <w:pStyle w:val="6"/>
              <w:keepLines/>
              <w:spacing w:line="240" w:lineRule="auto"/>
              <w:ind w:firstLine="0" w:firstLineChars="0"/>
              <w:jc w:val="center"/>
              <w:rPr>
                <w:rFonts w:eastAsia="宋体" w:cs="宋体"/>
                <w:b w:val="0"/>
                <w:bCs/>
                <w:color w:val="auto"/>
                <w:szCs w:val="21"/>
                <w:highlight w:val="none"/>
              </w:rPr>
            </w:pPr>
            <w:r>
              <w:rPr>
                <w:rFonts w:hint="eastAsia" w:eastAsia="宋体" w:cs="宋体"/>
                <w:b w:val="0"/>
                <w:bCs/>
                <w:color w:val="auto"/>
                <w:szCs w:val="21"/>
                <w:highlight w:val="none"/>
              </w:rPr>
              <w:t>（20分）</w:t>
            </w:r>
          </w:p>
          <w:p>
            <w:pPr>
              <w:keepLines/>
              <w:snapToGrid w:val="0"/>
              <w:ind w:left="-2" w:leftChars="-1"/>
              <w:jc w:val="center"/>
              <w:rPr>
                <w:rFonts w:ascii="宋体" w:hAnsi="宋体" w:eastAsia="宋体" w:cs="宋体"/>
                <w:color w:val="auto"/>
                <w:szCs w:val="21"/>
                <w:highlight w:val="none"/>
              </w:rPr>
            </w:pPr>
          </w:p>
        </w:tc>
        <w:tc>
          <w:tcPr>
            <w:tcW w:w="1406" w:type="dxa"/>
            <w:shd w:val="clear" w:color="auto" w:fill="auto"/>
            <w:vAlign w:val="center"/>
          </w:tcPr>
          <w:p>
            <w:pPr>
              <w:numPr>
                <w:ilvl w:val="255"/>
                <w:numId w:val="0"/>
              </w:numPr>
              <w:autoSpaceDE w:val="0"/>
              <w:autoSpaceDN w:val="0"/>
              <w:adjustRightInd w:val="0"/>
              <w:jc w:val="center"/>
              <w:rPr>
                <w:rFonts w:ascii="宋体" w:hAnsi="宋体" w:eastAsia="宋体" w:cs="宋体"/>
                <w:color w:val="auto"/>
                <w:szCs w:val="21"/>
                <w:highlight w:val="none"/>
              </w:rPr>
            </w:pPr>
            <w:r>
              <w:rPr>
                <w:rFonts w:hint="eastAsia" w:ascii="宋体" w:hAnsi="宋体" w:eastAsia="宋体" w:cs="宋体"/>
                <w:color w:val="auto"/>
                <w:szCs w:val="21"/>
                <w:highlight w:val="none"/>
              </w:rPr>
              <w:t>设计方案、项目实施方案</w:t>
            </w:r>
          </w:p>
        </w:tc>
        <w:tc>
          <w:tcPr>
            <w:tcW w:w="709" w:type="dxa"/>
            <w:shd w:val="clear" w:color="auto" w:fill="auto"/>
            <w:vAlign w:val="center"/>
          </w:tcPr>
          <w:p>
            <w:pPr>
              <w:numPr>
                <w:ilvl w:val="255"/>
                <w:numId w:val="0"/>
              </w:numPr>
              <w:jc w:val="center"/>
              <w:rPr>
                <w:rFonts w:ascii="宋体" w:hAnsi="宋体" w:eastAsia="宋体" w:cs="宋体"/>
                <w:color w:val="auto"/>
                <w:position w:val="8"/>
                <w:szCs w:val="21"/>
                <w:highlight w:val="none"/>
              </w:rPr>
            </w:pPr>
            <w:r>
              <w:rPr>
                <w:rFonts w:hint="eastAsia" w:ascii="宋体" w:hAnsi="宋体" w:eastAsia="宋体" w:cs="宋体"/>
                <w:color w:val="auto"/>
                <w:position w:val="8"/>
                <w:szCs w:val="21"/>
                <w:highlight w:val="none"/>
              </w:rPr>
              <w:t>20</w:t>
            </w:r>
          </w:p>
        </w:tc>
        <w:tc>
          <w:tcPr>
            <w:tcW w:w="9797" w:type="dxa"/>
            <w:shd w:val="clear" w:color="auto" w:fill="auto"/>
            <w:vAlign w:val="center"/>
          </w:tcPr>
          <w:p>
            <w:pPr>
              <w:rPr>
                <w:rFonts w:ascii="宋体" w:hAnsi="宋体" w:eastAsia="宋体" w:cs="宋体"/>
                <w:color w:val="auto"/>
                <w:szCs w:val="21"/>
                <w:highlight w:val="none"/>
              </w:rPr>
            </w:pPr>
            <w:r>
              <w:rPr>
                <w:rFonts w:hint="eastAsia" w:ascii="宋体" w:hAnsi="宋体" w:eastAsia="宋体" w:cs="宋体"/>
                <w:color w:val="auto"/>
                <w:szCs w:val="21"/>
                <w:highlight w:val="none"/>
              </w:rPr>
              <w:t>对方案</w:t>
            </w:r>
            <w:r>
              <w:rPr>
                <w:rFonts w:hint="eastAsia" w:ascii="宋体" w:hAnsi="宋体" w:eastAsia="宋体" w:cs="宋体"/>
                <w:color w:val="auto"/>
                <w:szCs w:val="21"/>
                <w:highlight w:val="none"/>
                <w:lang w:val="en-US" w:eastAsia="zh-CN"/>
              </w:rPr>
              <w:t>内容</w:t>
            </w:r>
            <w:r>
              <w:rPr>
                <w:rFonts w:hint="eastAsia" w:ascii="宋体" w:hAnsi="宋体" w:eastAsia="宋体" w:cs="宋体"/>
                <w:color w:val="auto"/>
                <w:szCs w:val="21"/>
                <w:highlight w:val="none"/>
              </w:rPr>
              <w:t>进行评价，包括设计方案、人员架构、质量控制措施、进度计划及保证措施、安全文明施工管理措施、售后服务、质保期等方面。</w:t>
            </w:r>
          </w:p>
          <w:p>
            <w:pPr>
              <w:rPr>
                <w:rFonts w:ascii="宋体" w:hAnsi="宋体" w:eastAsia="宋体" w:cs="宋体"/>
                <w:color w:val="auto"/>
                <w:szCs w:val="21"/>
                <w:highlight w:val="none"/>
              </w:rPr>
            </w:pPr>
            <w:r>
              <w:rPr>
                <w:rFonts w:hint="eastAsia" w:ascii="宋体" w:hAnsi="宋体" w:eastAsia="宋体" w:cs="宋体"/>
                <w:color w:val="auto"/>
                <w:szCs w:val="21"/>
                <w:highlight w:val="none"/>
              </w:rPr>
              <w:t>优：方案内容详细完整，计划安排合理，得1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-20分；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中：方案内容基本详细完整，计划安排基本合理，得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差：方案内容不详细，计划安排较差，得0-</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分；</w:t>
            </w:r>
          </w:p>
          <w:p>
            <w:pPr>
              <w:numPr>
                <w:ilvl w:val="255"/>
                <w:numId w:val="0"/>
              </w:numPr>
              <w:rPr>
                <w:rFonts w:ascii="宋体" w:hAnsi="宋体" w:eastAsia="宋体" w:cs="宋体"/>
                <w:color w:val="auto"/>
                <w:szCs w:val="21"/>
                <w:highlight w:val="none"/>
              </w:rPr>
            </w:pPr>
            <w:r>
              <w:rPr>
                <w:rFonts w:hint="eastAsia" w:ascii="宋体" w:hAnsi="宋体" w:eastAsia="宋体" w:cs="宋体"/>
                <w:color w:val="auto"/>
                <w:szCs w:val="21"/>
                <w:highlight w:val="none"/>
              </w:rPr>
              <w:t>本项最多得20分。</w:t>
            </w:r>
          </w:p>
        </w:tc>
        <w:tc>
          <w:tcPr>
            <w:tcW w:w="240" w:type="dxa"/>
            <w:shd w:val="clear" w:color="auto" w:fill="auto"/>
            <w:vAlign w:val="center"/>
          </w:tcPr>
          <w:p>
            <w:pPr>
              <w:keepLines/>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keepLines/>
              <w:snapToGrid w:val="0"/>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经济部分（60分）</w:t>
            </w:r>
          </w:p>
        </w:tc>
        <w:tc>
          <w:tcPr>
            <w:tcW w:w="1406" w:type="dxa"/>
            <w:shd w:val="clear" w:color="auto" w:fill="auto"/>
            <w:vAlign w:val="center"/>
          </w:tcPr>
          <w:p>
            <w:pPr>
              <w:keepLines/>
              <w:snapToGrid w:val="0"/>
              <w:ind w:left="-2" w:leftChars="-1"/>
              <w:jc w:val="center"/>
              <w:rPr>
                <w:rFonts w:ascii="宋体" w:hAnsi="宋体" w:eastAsia="宋体" w:cs="宋体"/>
                <w:color w:val="auto"/>
                <w:szCs w:val="21"/>
                <w:highlight w:val="none"/>
              </w:rPr>
            </w:pPr>
          </w:p>
          <w:p>
            <w:pPr>
              <w:keepLines/>
              <w:snapToGrid w:val="0"/>
              <w:ind w:left="-2" w:leftChars="-1"/>
              <w:rPr>
                <w:rFonts w:ascii="宋体" w:hAnsi="宋体" w:eastAsia="宋体" w:cs="宋体"/>
                <w:color w:val="auto"/>
                <w:szCs w:val="21"/>
                <w:highlight w:val="none"/>
              </w:rPr>
            </w:pPr>
            <w:r>
              <w:rPr>
                <w:rFonts w:hint="eastAsia" w:ascii="宋体" w:hAnsi="宋体" w:eastAsia="宋体" w:cs="宋体"/>
                <w:color w:val="auto"/>
                <w:szCs w:val="21"/>
                <w:highlight w:val="none"/>
              </w:rPr>
              <w:t>报价（60分）</w:t>
            </w:r>
          </w:p>
        </w:tc>
        <w:tc>
          <w:tcPr>
            <w:tcW w:w="709" w:type="dxa"/>
            <w:shd w:val="clear" w:color="auto" w:fill="auto"/>
            <w:vAlign w:val="center"/>
          </w:tcPr>
          <w:p>
            <w:pPr>
              <w:keepLines/>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60</w:t>
            </w:r>
          </w:p>
        </w:tc>
        <w:tc>
          <w:tcPr>
            <w:tcW w:w="9797" w:type="dxa"/>
            <w:shd w:val="clear" w:color="auto" w:fill="auto"/>
          </w:tcPr>
          <w:p>
            <w:pPr>
              <w:keepLines/>
              <w:jc w:val="left"/>
              <w:rPr>
                <w:rFonts w:ascii="宋体" w:hAnsi="宋体" w:eastAsia="宋体" w:cs="宋体"/>
                <w:color w:val="auto"/>
                <w:szCs w:val="21"/>
                <w:highlight w:val="none"/>
              </w:rPr>
            </w:pPr>
          </w:p>
          <w:p>
            <w:pPr>
              <w:keepLines/>
              <w:ind w:firstLine="315" w:firstLineChars="150"/>
              <w:rPr>
                <w:rFonts w:ascii="宋体" w:hAnsi="宋体" w:eastAsia="宋体" w:cs="宋体"/>
                <w:color w:val="auto"/>
                <w:szCs w:val="21"/>
                <w:highlight w:val="none"/>
              </w:rPr>
            </w:pPr>
            <w:r>
              <w:rPr>
                <w:rFonts w:hint="eastAsia" w:ascii="宋体" w:hAnsi="宋体" w:eastAsia="宋体" w:cs="宋体"/>
                <w:color w:val="auto"/>
                <w:szCs w:val="21"/>
                <w:highlight w:val="none"/>
              </w:rPr>
              <w:t>若经过符合性审查，（1）入围投标单位为3至5家的，则经济标报价部分以入围投标单位的有效总报价的算术平均值作为基准价；（2）入围投标单位为6家或以上的，</w:t>
            </w:r>
            <w:r>
              <w:rPr>
                <w:rFonts w:hint="eastAsia" w:ascii="宋体" w:hAnsi="宋体" w:eastAsia="宋体" w:cs="宋体"/>
                <w:color w:val="auto"/>
                <w:szCs w:val="21"/>
                <w:highlight w:val="none"/>
                <w:lang w:eastAsia="zh-CN"/>
              </w:rPr>
              <w:t>则去掉一个最高报价、一个最低报价后，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剩余</w:t>
            </w:r>
            <w:r>
              <w:rPr>
                <w:rFonts w:hint="eastAsia" w:ascii="宋体" w:hAnsi="宋体" w:eastAsia="宋体" w:cs="宋体"/>
                <w:color w:val="auto"/>
                <w:szCs w:val="21"/>
                <w:highlight w:val="none"/>
              </w:rPr>
              <w:t>入围投标单位有效</w:t>
            </w:r>
            <w:r>
              <w:rPr>
                <w:rFonts w:hint="eastAsia" w:ascii="宋体" w:hAnsi="宋体" w:eastAsia="宋体" w:cs="宋体"/>
                <w:color w:val="auto"/>
                <w:szCs w:val="21"/>
                <w:highlight w:val="none"/>
                <w:lang w:val="en-US" w:eastAsia="zh-CN"/>
              </w:rPr>
              <w:t>总</w:t>
            </w:r>
            <w:r>
              <w:rPr>
                <w:rFonts w:hint="eastAsia" w:ascii="宋体" w:hAnsi="宋体" w:eastAsia="宋体" w:cs="宋体"/>
                <w:color w:val="auto"/>
                <w:szCs w:val="21"/>
                <w:highlight w:val="none"/>
              </w:rPr>
              <w:t>报价的算术平均值作为基准价。</w:t>
            </w:r>
          </w:p>
          <w:p>
            <w:pPr>
              <w:keepLines/>
              <w:ind w:firstLine="315" w:firstLineChars="150"/>
              <w:rPr>
                <w:rFonts w:ascii="宋体" w:hAnsi="宋体" w:eastAsia="宋体" w:cs="宋体"/>
                <w:color w:val="auto"/>
                <w:szCs w:val="21"/>
                <w:highlight w:val="none"/>
              </w:rPr>
            </w:pPr>
            <w:r>
              <w:rPr>
                <w:rFonts w:hint="eastAsia" w:ascii="宋体" w:hAnsi="宋体" w:eastAsia="宋体" w:cs="宋体"/>
                <w:color w:val="auto"/>
                <w:szCs w:val="21"/>
                <w:highlight w:val="none"/>
              </w:rPr>
              <w:t>投标报价等于基准价为满分60分，高于基准价的1%扣1分，低于基准价的1%扣0.5分，以此类推。最低得分0分。得分保留两位小数。计算公式如下：</w:t>
            </w:r>
          </w:p>
          <w:p>
            <w:pPr>
              <w:pStyle w:val="9"/>
              <w:keepLines/>
              <w:numPr>
                <w:ilvl w:val="0"/>
                <w:numId w:val="5"/>
              </w:numPr>
              <w:rPr>
                <w:rFonts w:hint="default" w:hAnsi="宋体" w:cs="宋体"/>
                <w:color w:val="auto"/>
                <w:highlight w:val="none"/>
              </w:rPr>
            </w:pPr>
            <w:r>
              <w:rPr>
                <w:rFonts w:hAnsi="宋体" w:cs="宋体"/>
                <w:color w:val="auto"/>
                <w:highlight w:val="none"/>
              </w:rPr>
              <w:t>报价等于基准价的，得分=60。</w:t>
            </w:r>
          </w:p>
          <w:p>
            <w:pPr>
              <w:pStyle w:val="9"/>
              <w:keepLines/>
              <w:numPr>
                <w:ilvl w:val="0"/>
                <w:numId w:val="5"/>
              </w:numPr>
              <w:rPr>
                <w:rFonts w:hint="default" w:hAnsi="宋体" w:cs="宋体"/>
                <w:color w:val="auto"/>
                <w:highlight w:val="none"/>
              </w:rPr>
            </w:pPr>
            <w:r>
              <w:rPr>
                <w:rFonts w:hAnsi="宋体" w:cs="宋体"/>
                <w:color w:val="auto"/>
                <w:highlight w:val="none"/>
              </w:rPr>
              <w:t>报价高于基准价的，得分=60-[（报价-基准价）/基准价]×100×1</w:t>
            </w:r>
          </w:p>
          <w:p>
            <w:pPr>
              <w:pStyle w:val="9"/>
              <w:keepLines/>
              <w:numPr>
                <w:ilvl w:val="0"/>
                <w:numId w:val="5"/>
              </w:numPr>
              <w:rPr>
                <w:rFonts w:hint="default" w:hAnsi="宋体" w:cs="宋体"/>
                <w:color w:val="auto"/>
                <w:highlight w:val="none"/>
              </w:rPr>
            </w:pPr>
            <w:r>
              <w:rPr>
                <w:rFonts w:hAnsi="宋体" w:cs="宋体"/>
                <w:color w:val="auto"/>
                <w:highlight w:val="none"/>
              </w:rPr>
              <w:t>报价低于基准价的，得分=60-[（基准价-报价）/基准价]×100×0.5</w:t>
            </w:r>
          </w:p>
        </w:tc>
        <w:tc>
          <w:tcPr>
            <w:tcW w:w="240" w:type="dxa"/>
            <w:shd w:val="clear" w:color="auto" w:fill="auto"/>
            <w:vAlign w:val="center"/>
          </w:tcPr>
          <w:p>
            <w:pPr>
              <w:keepLines/>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keepLines/>
              <w:jc w:val="center"/>
              <w:rPr>
                <w:rFonts w:ascii="宋体" w:hAnsi="宋体" w:eastAsia="宋体" w:cs="宋体"/>
                <w:color w:val="auto"/>
                <w:szCs w:val="21"/>
                <w:highlight w:val="none"/>
              </w:rPr>
            </w:pPr>
            <w:r>
              <w:rPr>
                <w:rFonts w:hint="eastAsia" w:ascii="宋体" w:hAnsi="宋体" w:eastAsia="宋体" w:cs="宋体"/>
                <w:color w:val="auto"/>
                <w:szCs w:val="21"/>
                <w:highlight w:val="none"/>
              </w:rPr>
              <w:t>合计</w:t>
            </w:r>
          </w:p>
        </w:tc>
        <w:tc>
          <w:tcPr>
            <w:tcW w:w="709" w:type="dxa"/>
            <w:shd w:val="clear" w:color="auto" w:fill="auto"/>
            <w:vAlign w:val="center"/>
          </w:tcPr>
          <w:p>
            <w:pPr>
              <w:keepLines/>
              <w:ind w:left="-2" w:leftChars="-1"/>
              <w:jc w:val="center"/>
              <w:rPr>
                <w:rFonts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pPr>
              <w:keepLines/>
              <w:ind w:left="-2" w:leftChars="-1"/>
              <w:rPr>
                <w:rFonts w:ascii="宋体" w:hAnsi="宋体" w:eastAsia="宋体" w:cs="宋体"/>
                <w:color w:val="auto"/>
                <w:szCs w:val="21"/>
                <w:highlight w:val="none"/>
              </w:rPr>
            </w:pPr>
          </w:p>
        </w:tc>
        <w:tc>
          <w:tcPr>
            <w:tcW w:w="240" w:type="dxa"/>
            <w:shd w:val="clear" w:color="auto" w:fill="auto"/>
            <w:vAlign w:val="center"/>
          </w:tcPr>
          <w:p>
            <w:pPr>
              <w:keepLines/>
              <w:ind w:left="-2" w:leftChars="-1"/>
              <w:rPr>
                <w:rFonts w:ascii="宋体" w:hAnsi="宋体" w:eastAsia="宋体" w:cs="宋体"/>
                <w:color w:val="auto"/>
                <w:szCs w:val="21"/>
                <w:highlight w:val="none"/>
              </w:rPr>
            </w:pPr>
          </w:p>
        </w:tc>
      </w:tr>
    </w:tbl>
    <w:p>
      <w:pPr>
        <w:keepLines/>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keepLines/>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keepLines/>
        <w:snapToGrid w:val="0"/>
        <w:rPr>
          <w:rFonts w:ascii="宋体" w:hAnsi="宋体" w:cs="宋体"/>
          <w:color w:val="auto"/>
          <w:szCs w:val="18"/>
          <w:highlight w:val="none"/>
        </w:rPr>
      </w:pPr>
      <w:r>
        <w:rPr>
          <w:rFonts w:hint="eastAsia" w:ascii="宋体" w:hAnsi="宋体" w:cs="宋体"/>
          <w:color w:val="auto"/>
          <w:szCs w:val="18"/>
          <w:highlight w:val="none"/>
        </w:rPr>
        <w:t xml:space="preserve">    本表中所有要求提供的证明资料复印件均需加盖投标人公章。未提供证明资料或提供的证明材料不齐全、不符合要求的，不得分。</w:t>
      </w:r>
    </w:p>
    <w:p>
      <w:pPr>
        <w:pStyle w:val="21"/>
        <w:keepLines/>
        <w:rPr>
          <w:rFonts w:ascii="宋体" w:hAnsi="宋体" w:cs="宋体"/>
          <w:color w:val="auto"/>
          <w:szCs w:val="21"/>
          <w:highlight w:val="none"/>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rPr>
        <w:t xml:space="preserve">   </w:t>
      </w:r>
    </w:p>
    <w:p>
      <w:pPr>
        <w:keepLines/>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pPr>
        <w:keepLines/>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keepLines/>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广州南沙湿地旅游发展有限公司、广州南沙建设维护管理有限公司 </w:t>
      </w:r>
    </w:p>
    <w:p>
      <w:pPr>
        <w:pStyle w:val="36"/>
        <w:keepLines/>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rPr>
        <w:t xml:space="preserve"> </w:t>
      </w:r>
      <w:r>
        <w:rPr>
          <w:rFonts w:hint="eastAsia" w:ascii="宋体" w:hAnsi="宋体" w:eastAsia="宋体"/>
          <w:color w:val="auto"/>
          <w:spacing w:val="20"/>
          <w:sz w:val="24"/>
          <w:szCs w:val="24"/>
          <w:highlight w:val="none"/>
          <w:u w:val="single"/>
        </w:rPr>
        <w:t>南沙湿地“渔唱晚主题酒店及疍家水岸广场”项目船屋采购</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keepLines/>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keepLines/>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keepLines/>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keepLines/>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keepLines/>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69784856"/>
    <w:multiLevelType w:val="singleLevel"/>
    <w:tmpl w:val="69784856"/>
    <w:lvl w:ilvl="0" w:tentative="0">
      <w:start w:val="1"/>
      <w:numFmt w:val="decimal"/>
      <w:suff w:val="nothing"/>
      <w:lvlText w:val="%1、"/>
      <w:lvlJc w:val="left"/>
    </w:lvl>
  </w:abstractNum>
  <w:abstractNum w:abstractNumId="4">
    <w:nsid w:val="7A7B36A8"/>
    <w:multiLevelType w:val="singleLevel"/>
    <w:tmpl w:val="7A7B36A8"/>
    <w:lvl w:ilvl="0" w:tentative="0">
      <w:start w:val="33"/>
      <w:numFmt w:val="decimal"/>
      <w:suff w:val="nothing"/>
      <w:lvlText w:val="%1．"/>
      <w:lvlJc w:val="left"/>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06255"/>
    <w:rsid w:val="0002289A"/>
    <w:rsid w:val="0002557B"/>
    <w:rsid w:val="00027473"/>
    <w:rsid w:val="0005254F"/>
    <w:rsid w:val="000641B1"/>
    <w:rsid w:val="000744F3"/>
    <w:rsid w:val="00085D0C"/>
    <w:rsid w:val="000B7B0A"/>
    <w:rsid w:val="000E0EC3"/>
    <w:rsid w:val="000F63F4"/>
    <w:rsid w:val="001062CA"/>
    <w:rsid w:val="0012610A"/>
    <w:rsid w:val="00134FF9"/>
    <w:rsid w:val="00135D99"/>
    <w:rsid w:val="001543AA"/>
    <w:rsid w:val="001544AB"/>
    <w:rsid w:val="00164413"/>
    <w:rsid w:val="001921E8"/>
    <w:rsid w:val="001A4A19"/>
    <w:rsid w:val="001B03C8"/>
    <w:rsid w:val="001C26B1"/>
    <w:rsid w:val="001C4DFB"/>
    <w:rsid w:val="001D1F1F"/>
    <w:rsid w:val="001E1021"/>
    <w:rsid w:val="001F504D"/>
    <w:rsid w:val="001F66EC"/>
    <w:rsid w:val="002124C7"/>
    <w:rsid w:val="00242CF1"/>
    <w:rsid w:val="00247343"/>
    <w:rsid w:val="002B1295"/>
    <w:rsid w:val="002B764E"/>
    <w:rsid w:val="002C4FB2"/>
    <w:rsid w:val="002D7B13"/>
    <w:rsid w:val="00313CD1"/>
    <w:rsid w:val="00336E2C"/>
    <w:rsid w:val="0035045B"/>
    <w:rsid w:val="003B47E8"/>
    <w:rsid w:val="003D0F57"/>
    <w:rsid w:val="0040578E"/>
    <w:rsid w:val="00407F49"/>
    <w:rsid w:val="00456C93"/>
    <w:rsid w:val="00464100"/>
    <w:rsid w:val="00464ED1"/>
    <w:rsid w:val="0048290C"/>
    <w:rsid w:val="004B2C05"/>
    <w:rsid w:val="004D5870"/>
    <w:rsid w:val="004D6177"/>
    <w:rsid w:val="00524AD0"/>
    <w:rsid w:val="00553FDF"/>
    <w:rsid w:val="00571117"/>
    <w:rsid w:val="005807BD"/>
    <w:rsid w:val="00592CD9"/>
    <w:rsid w:val="005A19E6"/>
    <w:rsid w:val="005C4427"/>
    <w:rsid w:val="00633476"/>
    <w:rsid w:val="00635FFA"/>
    <w:rsid w:val="00641255"/>
    <w:rsid w:val="00646FE0"/>
    <w:rsid w:val="0065458C"/>
    <w:rsid w:val="0065720F"/>
    <w:rsid w:val="00697CBD"/>
    <w:rsid w:val="006A18B1"/>
    <w:rsid w:val="006B64BC"/>
    <w:rsid w:val="006D7EB2"/>
    <w:rsid w:val="007055DD"/>
    <w:rsid w:val="00722415"/>
    <w:rsid w:val="007309C3"/>
    <w:rsid w:val="00744AFE"/>
    <w:rsid w:val="00752B29"/>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61FCB"/>
    <w:rsid w:val="008822E1"/>
    <w:rsid w:val="00896001"/>
    <w:rsid w:val="008C667C"/>
    <w:rsid w:val="008F47DB"/>
    <w:rsid w:val="008F491E"/>
    <w:rsid w:val="00945378"/>
    <w:rsid w:val="009538E5"/>
    <w:rsid w:val="00992AD9"/>
    <w:rsid w:val="009A31D3"/>
    <w:rsid w:val="009B4E73"/>
    <w:rsid w:val="009C14AA"/>
    <w:rsid w:val="009C50DE"/>
    <w:rsid w:val="009D0B60"/>
    <w:rsid w:val="009E4EFF"/>
    <w:rsid w:val="00A05D0A"/>
    <w:rsid w:val="00A0761D"/>
    <w:rsid w:val="00A14DC5"/>
    <w:rsid w:val="00A21CCB"/>
    <w:rsid w:val="00A367D2"/>
    <w:rsid w:val="00A81829"/>
    <w:rsid w:val="00A920B1"/>
    <w:rsid w:val="00AC62A3"/>
    <w:rsid w:val="00AF1D2C"/>
    <w:rsid w:val="00AF57CF"/>
    <w:rsid w:val="00B00879"/>
    <w:rsid w:val="00B11F8D"/>
    <w:rsid w:val="00B60E3F"/>
    <w:rsid w:val="00B71F35"/>
    <w:rsid w:val="00B96CE0"/>
    <w:rsid w:val="00BA20F6"/>
    <w:rsid w:val="00BB3CD7"/>
    <w:rsid w:val="00BB3D24"/>
    <w:rsid w:val="00BD0854"/>
    <w:rsid w:val="00BE76A3"/>
    <w:rsid w:val="00C532AA"/>
    <w:rsid w:val="00C63AFC"/>
    <w:rsid w:val="00CA24DF"/>
    <w:rsid w:val="00CA49A2"/>
    <w:rsid w:val="00CC34A7"/>
    <w:rsid w:val="00D06D88"/>
    <w:rsid w:val="00D0796B"/>
    <w:rsid w:val="00D1666F"/>
    <w:rsid w:val="00D50CF1"/>
    <w:rsid w:val="00D603A5"/>
    <w:rsid w:val="00D650B3"/>
    <w:rsid w:val="00D85D6D"/>
    <w:rsid w:val="00D91677"/>
    <w:rsid w:val="00D95E37"/>
    <w:rsid w:val="00DD64C1"/>
    <w:rsid w:val="00DD686E"/>
    <w:rsid w:val="00DF620B"/>
    <w:rsid w:val="00E14E87"/>
    <w:rsid w:val="00E222D9"/>
    <w:rsid w:val="00E32FBB"/>
    <w:rsid w:val="00E85F0E"/>
    <w:rsid w:val="00EA4D04"/>
    <w:rsid w:val="00EC3FB8"/>
    <w:rsid w:val="00EC75BF"/>
    <w:rsid w:val="00EE23EE"/>
    <w:rsid w:val="00EF5506"/>
    <w:rsid w:val="00F050FE"/>
    <w:rsid w:val="00F15754"/>
    <w:rsid w:val="00F358B9"/>
    <w:rsid w:val="00F52D3A"/>
    <w:rsid w:val="00F5751A"/>
    <w:rsid w:val="00F72550"/>
    <w:rsid w:val="00F80E91"/>
    <w:rsid w:val="00F90CF2"/>
    <w:rsid w:val="00FC3484"/>
    <w:rsid w:val="00FF33A0"/>
    <w:rsid w:val="00FF76D9"/>
    <w:rsid w:val="010E4666"/>
    <w:rsid w:val="01E200EE"/>
    <w:rsid w:val="025A13E2"/>
    <w:rsid w:val="02E9680F"/>
    <w:rsid w:val="02F7533D"/>
    <w:rsid w:val="030457ED"/>
    <w:rsid w:val="03562994"/>
    <w:rsid w:val="03CB6D70"/>
    <w:rsid w:val="04364A4F"/>
    <w:rsid w:val="04376975"/>
    <w:rsid w:val="044C08C6"/>
    <w:rsid w:val="04E40895"/>
    <w:rsid w:val="04F05A45"/>
    <w:rsid w:val="051B7598"/>
    <w:rsid w:val="052E78DA"/>
    <w:rsid w:val="059A4101"/>
    <w:rsid w:val="07F66A4C"/>
    <w:rsid w:val="083B43B1"/>
    <w:rsid w:val="08757A2C"/>
    <w:rsid w:val="08A9464F"/>
    <w:rsid w:val="08D505E6"/>
    <w:rsid w:val="09062DA7"/>
    <w:rsid w:val="09577D3C"/>
    <w:rsid w:val="0967478B"/>
    <w:rsid w:val="09A667E8"/>
    <w:rsid w:val="09EA6F07"/>
    <w:rsid w:val="0A31358E"/>
    <w:rsid w:val="0A621C44"/>
    <w:rsid w:val="0B372B92"/>
    <w:rsid w:val="0BFF40FB"/>
    <w:rsid w:val="0C855B7E"/>
    <w:rsid w:val="0C87037B"/>
    <w:rsid w:val="0CE2480D"/>
    <w:rsid w:val="0CF74903"/>
    <w:rsid w:val="0CF97D18"/>
    <w:rsid w:val="0E1B10A8"/>
    <w:rsid w:val="0E7B6F72"/>
    <w:rsid w:val="0E80564C"/>
    <w:rsid w:val="0EA03B8A"/>
    <w:rsid w:val="0EAC0C18"/>
    <w:rsid w:val="0EB25F9A"/>
    <w:rsid w:val="0F263AB3"/>
    <w:rsid w:val="0F8D0176"/>
    <w:rsid w:val="0FD73768"/>
    <w:rsid w:val="10A4638E"/>
    <w:rsid w:val="10D83B3D"/>
    <w:rsid w:val="11135DC8"/>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5B036FB"/>
    <w:rsid w:val="16007AF5"/>
    <w:rsid w:val="17463991"/>
    <w:rsid w:val="179E3273"/>
    <w:rsid w:val="17E977C8"/>
    <w:rsid w:val="182C4B8E"/>
    <w:rsid w:val="1873680D"/>
    <w:rsid w:val="18E67433"/>
    <w:rsid w:val="18F12637"/>
    <w:rsid w:val="19095239"/>
    <w:rsid w:val="19920ABD"/>
    <w:rsid w:val="19A846E9"/>
    <w:rsid w:val="19BE3F0C"/>
    <w:rsid w:val="1A6525DA"/>
    <w:rsid w:val="1AB46DAB"/>
    <w:rsid w:val="1B6C2995"/>
    <w:rsid w:val="1BB630ED"/>
    <w:rsid w:val="1BC44893"/>
    <w:rsid w:val="1BE136FF"/>
    <w:rsid w:val="1C05708F"/>
    <w:rsid w:val="1C307374"/>
    <w:rsid w:val="1C9203A6"/>
    <w:rsid w:val="1E032835"/>
    <w:rsid w:val="1E562810"/>
    <w:rsid w:val="1EB63404"/>
    <w:rsid w:val="1EBD45C4"/>
    <w:rsid w:val="1F1C5732"/>
    <w:rsid w:val="1F584BD1"/>
    <w:rsid w:val="1F7A6193"/>
    <w:rsid w:val="205D447F"/>
    <w:rsid w:val="206E043A"/>
    <w:rsid w:val="20AD4C4C"/>
    <w:rsid w:val="21424D60"/>
    <w:rsid w:val="215321ED"/>
    <w:rsid w:val="224A02E7"/>
    <w:rsid w:val="227411DF"/>
    <w:rsid w:val="22934188"/>
    <w:rsid w:val="231F517A"/>
    <w:rsid w:val="236721C2"/>
    <w:rsid w:val="23EE6B47"/>
    <w:rsid w:val="24856237"/>
    <w:rsid w:val="25053D8A"/>
    <w:rsid w:val="25687B33"/>
    <w:rsid w:val="25791876"/>
    <w:rsid w:val="26236584"/>
    <w:rsid w:val="26826F29"/>
    <w:rsid w:val="26B94C66"/>
    <w:rsid w:val="26EC20B9"/>
    <w:rsid w:val="26FF6942"/>
    <w:rsid w:val="272101A5"/>
    <w:rsid w:val="272B74FA"/>
    <w:rsid w:val="2751149E"/>
    <w:rsid w:val="28221B0A"/>
    <w:rsid w:val="2837076A"/>
    <w:rsid w:val="2865301D"/>
    <w:rsid w:val="28C86C87"/>
    <w:rsid w:val="29051210"/>
    <w:rsid w:val="296119D7"/>
    <w:rsid w:val="2A97100B"/>
    <w:rsid w:val="2AF07C9E"/>
    <w:rsid w:val="2B401296"/>
    <w:rsid w:val="2BAE6875"/>
    <w:rsid w:val="2BEC17AE"/>
    <w:rsid w:val="2C0B6D4E"/>
    <w:rsid w:val="2C1B0D4A"/>
    <w:rsid w:val="2C5357E2"/>
    <w:rsid w:val="2D0635AD"/>
    <w:rsid w:val="2D691CC1"/>
    <w:rsid w:val="2D907150"/>
    <w:rsid w:val="2DDB1EBF"/>
    <w:rsid w:val="2DE71DA9"/>
    <w:rsid w:val="2DF963B5"/>
    <w:rsid w:val="2E6C5CB5"/>
    <w:rsid w:val="2EC40C57"/>
    <w:rsid w:val="2EE433BF"/>
    <w:rsid w:val="2F740E9D"/>
    <w:rsid w:val="2F777046"/>
    <w:rsid w:val="2F9B6BBA"/>
    <w:rsid w:val="2FE96F27"/>
    <w:rsid w:val="2FEA73B1"/>
    <w:rsid w:val="30136E93"/>
    <w:rsid w:val="30334755"/>
    <w:rsid w:val="30EC6390"/>
    <w:rsid w:val="311233CC"/>
    <w:rsid w:val="31B57180"/>
    <w:rsid w:val="33113670"/>
    <w:rsid w:val="34935BA4"/>
    <w:rsid w:val="34A264CA"/>
    <w:rsid w:val="35830B03"/>
    <w:rsid w:val="3700775A"/>
    <w:rsid w:val="374610F7"/>
    <w:rsid w:val="37A26BD4"/>
    <w:rsid w:val="37A33759"/>
    <w:rsid w:val="37AE7FE3"/>
    <w:rsid w:val="38417D8A"/>
    <w:rsid w:val="390B4D39"/>
    <w:rsid w:val="39131727"/>
    <w:rsid w:val="392A6A70"/>
    <w:rsid w:val="39731517"/>
    <w:rsid w:val="39F52602"/>
    <w:rsid w:val="39FC703A"/>
    <w:rsid w:val="3AC802EF"/>
    <w:rsid w:val="3B183024"/>
    <w:rsid w:val="3B68580E"/>
    <w:rsid w:val="3B6D4312"/>
    <w:rsid w:val="3BB718A6"/>
    <w:rsid w:val="3BC04127"/>
    <w:rsid w:val="3C88543E"/>
    <w:rsid w:val="3CB7521C"/>
    <w:rsid w:val="3CE76215"/>
    <w:rsid w:val="3CFF0303"/>
    <w:rsid w:val="3D6E1622"/>
    <w:rsid w:val="3D7619F9"/>
    <w:rsid w:val="3D957982"/>
    <w:rsid w:val="3D96007A"/>
    <w:rsid w:val="3E817133"/>
    <w:rsid w:val="3EDC25BB"/>
    <w:rsid w:val="3F4915A0"/>
    <w:rsid w:val="3F5F332B"/>
    <w:rsid w:val="3F641BC2"/>
    <w:rsid w:val="3F8502F8"/>
    <w:rsid w:val="3FBE56FE"/>
    <w:rsid w:val="3FD704B2"/>
    <w:rsid w:val="403B7AF1"/>
    <w:rsid w:val="405854B3"/>
    <w:rsid w:val="408D1DBF"/>
    <w:rsid w:val="409313F9"/>
    <w:rsid w:val="40B7508E"/>
    <w:rsid w:val="40CA2819"/>
    <w:rsid w:val="41EC3A6C"/>
    <w:rsid w:val="42A2655E"/>
    <w:rsid w:val="43420D2F"/>
    <w:rsid w:val="436C5E0D"/>
    <w:rsid w:val="43952229"/>
    <w:rsid w:val="43F36E83"/>
    <w:rsid w:val="44631084"/>
    <w:rsid w:val="446A549B"/>
    <w:rsid w:val="44800368"/>
    <w:rsid w:val="44E811C0"/>
    <w:rsid w:val="45E74C1B"/>
    <w:rsid w:val="46871AD6"/>
    <w:rsid w:val="47025D0E"/>
    <w:rsid w:val="4735560E"/>
    <w:rsid w:val="47413F22"/>
    <w:rsid w:val="4792678F"/>
    <w:rsid w:val="47E03B89"/>
    <w:rsid w:val="481D5A38"/>
    <w:rsid w:val="487975A7"/>
    <w:rsid w:val="48E17BF2"/>
    <w:rsid w:val="48E72086"/>
    <w:rsid w:val="49732ED5"/>
    <w:rsid w:val="499C01CA"/>
    <w:rsid w:val="49EF5898"/>
    <w:rsid w:val="4A1079FD"/>
    <w:rsid w:val="4A1D620C"/>
    <w:rsid w:val="4A2D4613"/>
    <w:rsid w:val="4AED722D"/>
    <w:rsid w:val="4B3D40BA"/>
    <w:rsid w:val="4B637F82"/>
    <w:rsid w:val="4BC136D0"/>
    <w:rsid w:val="4BF328A0"/>
    <w:rsid w:val="4C2E17B4"/>
    <w:rsid w:val="4C372CAF"/>
    <w:rsid w:val="4C81677F"/>
    <w:rsid w:val="4D195C1E"/>
    <w:rsid w:val="4D433470"/>
    <w:rsid w:val="4D904DD7"/>
    <w:rsid w:val="4D9C287D"/>
    <w:rsid w:val="4DC04FA6"/>
    <w:rsid w:val="4DC53F66"/>
    <w:rsid w:val="4DC80504"/>
    <w:rsid w:val="4E2773C5"/>
    <w:rsid w:val="4E2A0E48"/>
    <w:rsid w:val="4E662534"/>
    <w:rsid w:val="4FC91A1A"/>
    <w:rsid w:val="5049448C"/>
    <w:rsid w:val="50DB6247"/>
    <w:rsid w:val="51531E87"/>
    <w:rsid w:val="51552F81"/>
    <w:rsid w:val="51AB2104"/>
    <w:rsid w:val="525A7F6F"/>
    <w:rsid w:val="52760C06"/>
    <w:rsid w:val="52A35200"/>
    <w:rsid w:val="530E35F9"/>
    <w:rsid w:val="53427976"/>
    <w:rsid w:val="53A07C03"/>
    <w:rsid w:val="53A63423"/>
    <w:rsid w:val="53B638D1"/>
    <w:rsid w:val="54386D63"/>
    <w:rsid w:val="54A36172"/>
    <w:rsid w:val="54BC0EE8"/>
    <w:rsid w:val="55D41C4B"/>
    <w:rsid w:val="56186206"/>
    <w:rsid w:val="5702252D"/>
    <w:rsid w:val="572444C0"/>
    <w:rsid w:val="576D49E8"/>
    <w:rsid w:val="57B957CF"/>
    <w:rsid w:val="57DA583E"/>
    <w:rsid w:val="594F1692"/>
    <w:rsid w:val="59566C52"/>
    <w:rsid w:val="597674DD"/>
    <w:rsid w:val="5A416E84"/>
    <w:rsid w:val="5A9A0292"/>
    <w:rsid w:val="5AAF5CCA"/>
    <w:rsid w:val="5B691A55"/>
    <w:rsid w:val="5B6E68B8"/>
    <w:rsid w:val="5B6F6839"/>
    <w:rsid w:val="5B8D6C19"/>
    <w:rsid w:val="5BAA698D"/>
    <w:rsid w:val="5BC65072"/>
    <w:rsid w:val="5BCE61FA"/>
    <w:rsid w:val="5C9B134E"/>
    <w:rsid w:val="5D5E6B65"/>
    <w:rsid w:val="5DAA1580"/>
    <w:rsid w:val="5DC44081"/>
    <w:rsid w:val="5DF14932"/>
    <w:rsid w:val="5DFF04E8"/>
    <w:rsid w:val="5E1A6FB5"/>
    <w:rsid w:val="5E7A3CE2"/>
    <w:rsid w:val="5E960581"/>
    <w:rsid w:val="5F355496"/>
    <w:rsid w:val="5F8349F8"/>
    <w:rsid w:val="5F865CD7"/>
    <w:rsid w:val="5F925D77"/>
    <w:rsid w:val="5FB011CE"/>
    <w:rsid w:val="5FDC4484"/>
    <w:rsid w:val="60BA0556"/>
    <w:rsid w:val="60F61E20"/>
    <w:rsid w:val="61442903"/>
    <w:rsid w:val="618B1EF3"/>
    <w:rsid w:val="61A7533B"/>
    <w:rsid w:val="621244D5"/>
    <w:rsid w:val="62B2296D"/>
    <w:rsid w:val="62B247EF"/>
    <w:rsid w:val="636147EE"/>
    <w:rsid w:val="63DB6B9E"/>
    <w:rsid w:val="65B441A4"/>
    <w:rsid w:val="65D8147F"/>
    <w:rsid w:val="66373494"/>
    <w:rsid w:val="66591B82"/>
    <w:rsid w:val="66593A91"/>
    <w:rsid w:val="677E783A"/>
    <w:rsid w:val="67D46774"/>
    <w:rsid w:val="68550B65"/>
    <w:rsid w:val="6898637C"/>
    <w:rsid w:val="68B16D7B"/>
    <w:rsid w:val="68BA7003"/>
    <w:rsid w:val="691C25EA"/>
    <w:rsid w:val="698555C7"/>
    <w:rsid w:val="6C281E78"/>
    <w:rsid w:val="6C307E68"/>
    <w:rsid w:val="6C6D3C29"/>
    <w:rsid w:val="6C920572"/>
    <w:rsid w:val="6DB227E4"/>
    <w:rsid w:val="6DBE1759"/>
    <w:rsid w:val="6DC31ECB"/>
    <w:rsid w:val="6E307289"/>
    <w:rsid w:val="6E656845"/>
    <w:rsid w:val="6F471F5D"/>
    <w:rsid w:val="6F891280"/>
    <w:rsid w:val="6F8E74DB"/>
    <w:rsid w:val="70727FF1"/>
    <w:rsid w:val="70836CF8"/>
    <w:rsid w:val="70CF07C8"/>
    <w:rsid w:val="710F157A"/>
    <w:rsid w:val="71840FD7"/>
    <w:rsid w:val="718C3480"/>
    <w:rsid w:val="721D56A4"/>
    <w:rsid w:val="72BF7C4E"/>
    <w:rsid w:val="72F3401B"/>
    <w:rsid w:val="731416B4"/>
    <w:rsid w:val="736C262E"/>
    <w:rsid w:val="73712518"/>
    <w:rsid w:val="738A0204"/>
    <w:rsid w:val="738E7AB2"/>
    <w:rsid w:val="73AA787E"/>
    <w:rsid w:val="73EF0074"/>
    <w:rsid w:val="73F43927"/>
    <w:rsid w:val="74624F7D"/>
    <w:rsid w:val="74B72A06"/>
    <w:rsid w:val="7546516B"/>
    <w:rsid w:val="75AF555B"/>
    <w:rsid w:val="763204BA"/>
    <w:rsid w:val="767D2F83"/>
    <w:rsid w:val="76F3488A"/>
    <w:rsid w:val="77281C38"/>
    <w:rsid w:val="7741229E"/>
    <w:rsid w:val="781828A1"/>
    <w:rsid w:val="781C3DC0"/>
    <w:rsid w:val="78780B98"/>
    <w:rsid w:val="788E06C1"/>
    <w:rsid w:val="78D76423"/>
    <w:rsid w:val="78D86E43"/>
    <w:rsid w:val="79566D81"/>
    <w:rsid w:val="79B10E72"/>
    <w:rsid w:val="79E02BD8"/>
    <w:rsid w:val="7A2B55F9"/>
    <w:rsid w:val="7A3458D0"/>
    <w:rsid w:val="7A4B048B"/>
    <w:rsid w:val="7A7C35B8"/>
    <w:rsid w:val="7A96669D"/>
    <w:rsid w:val="7AC70013"/>
    <w:rsid w:val="7B672810"/>
    <w:rsid w:val="7B681B66"/>
    <w:rsid w:val="7C561F60"/>
    <w:rsid w:val="7C6B2EC5"/>
    <w:rsid w:val="7C831CEC"/>
    <w:rsid w:val="7DDF7DDD"/>
    <w:rsid w:val="7E300909"/>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4"/>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next w:val="1"/>
    <w:qFormat/>
    <w:uiPriority w:val="0"/>
  </w:style>
  <w:style w:type="paragraph" w:styleId="6">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7">
    <w:name w:val="Normal Indent"/>
    <w:basedOn w:val="1"/>
    <w:qFormat/>
    <w:uiPriority w:val="0"/>
    <w:pPr>
      <w:ind w:firstLine="420"/>
    </w:pPr>
    <w:rPr>
      <w:rFonts w:ascii="Times New Roman" w:hAnsi="Times New Roman" w:eastAsia="宋体" w:cs="Times New Roman"/>
      <w:szCs w:val="20"/>
    </w:rPr>
  </w:style>
  <w:style w:type="paragraph" w:styleId="8">
    <w:name w:val="annotation text"/>
    <w:basedOn w:val="1"/>
    <w:semiHidden/>
    <w:unhideWhenUsed/>
    <w:qFormat/>
    <w:uiPriority w:val="0"/>
    <w:pPr>
      <w:jc w:val="left"/>
    </w:pPr>
  </w:style>
  <w:style w:type="paragraph" w:styleId="9">
    <w:name w:val="Plain Text"/>
    <w:basedOn w:val="1"/>
    <w:next w:val="1"/>
    <w:link w:val="33"/>
    <w:qFormat/>
    <w:uiPriority w:val="0"/>
    <w:rPr>
      <w:rFonts w:hint="eastAsia" w:ascii="宋体" w:hAnsi="Courier New" w:eastAsia="宋体" w:cs="Times New Roman"/>
      <w:szCs w:val="21"/>
    </w:rPr>
  </w:style>
  <w:style w:type="paragraph" w:styleId="10">
    <w:name w:val="Balloon Text"/>
    <w:basedOn w:val="1"/>
    <w:link w:val="31"/>
    <w:qFormat/>
    <w:uiPriority w:val="0"/>
    <w:rPr>
      <w:sz w:val="18"/>
      <w:szCs w:val="18"/>
    </w:rPr>
  </w:style>
  <w:style w:type="paragraph" w:styleId="11">
    <w:name w:val="footer"/>
    <w:basedOn w:val="1"/>
    <w:link w:val="30"/>
    <w:qFormat/>
    <w:uiPriority w:val="0"/>
    <w:pPr>
      <w:tabs>
        <w:tab w:val="center" w:pos="4153"/>
        <w:tab w:val="right" w:pos="8306"/>
      </w:tabs>
      <w:snapToGrid w:val="0"/>
      <w:jc w:val="left"/>
    </w:pPr>
    <w:rPr>
      <w:sz w:val="18"/>
      <w:szCs w:val="18"/>
    </w:rPr>
  </w:style>
  <w:style w:type="paragraph" w:styleId="12">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样式 小四 行距: 1.5 倍行距"/>
    <w:basedOn w:val="1"/>
    <w:qFormat/>
    <w:uiPriority w:val="0"/>
    <w:pPr>
      <w:ind w:firstLine="480"/>
    </w:pPr>
    <w:rPr>
      <w:rFonts w:cs="宋体"/>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5"/>
    <w:qFormat/>
    <w:uiPriority w:val="0"/>
    <w:rPr>
      <w:rFonts w:hint="default" w:ascii="Times New Roman" w:hAnsi="Times New Roman" w:cs="Times New Roman"/>
    </w:rPr>
  </w:style>
  <w:style w:type="character" w:customStyle="1" w:styleId="27">
    <w:name w:val="15"/>
    <w:basedOn w:val="15"/>
    <w:qFormat/>
    <w:uiPriority w:val="0"/>
    <w:rPr>
      <w:rFonts w:hint="default" w:ascii="Times New Roman" w:hAnsi="Times New Roman" w:cs="Times New Roman"/>
    </w:rPr>
  </w:style>
  <w:style w:type="character" w:customStyle="1" w:styleId="28">
    <w:name w:val="16"/>
    <w:basedOn w:val="15"/>
    <w:qFormat/>
    <w:uiPriority w:val="0"/>
    <w:rPr>
      <w:rFonts w:hint="default" w:ascii="Times New Roman" w:hAnsi="Times New Roman" w:cs="Times New Roman"/>
      <w:color w:val="0000FF"/>
      <w:u w:val="single"/>
    </w:rPr>
  </w:style>
  <w:style w:type="character" w:customStyle="1" w:styleId="29">
    <w:name w:val="页眉 字符"/>
    <w:basedOn w:val="15"/>
    <w:link w:val="12"/>
    <w:qFormat/>
    <w:uiPriority w:val="0"/>
    <w:rPr>
      <w:rFonts w:asciiTheme="minorHAnsi" w:hAnsiTheme="minorHAnsi" w:eastAsiaTheme="minorEastAsia" w:cstheme="minorBidi"/>
      <w:kern w:val="2"/>
      <w:sz w:val="18"/>
      <w:szCs w:val="18"/>
    </w:rPr>
  </w:style>
  <w:style w:type="character" w:customStyle="1" w:styleId="30">
    <w:name w:val="页脚 字符"/>
    <w:basedOn w:val="15"/>
    <w:link w:val="11"/>
    <w:qFormat/>
    <w:uiPriority w:val="0"/>
    <w:rPr>
      <w:rFonts w:asciiTheme="minorHAnsi" w:hAnsiTheme="minorHAnsi" w:eastAsiaTheme="minorEastAsia" w:cstheme="minorBidi"/>
      <w:kern w:val="2"/>
      <w:sz w:val="18"/>
      <w:szCs w:val="18"/>
    </w:rPr>
  </w:style>
  <w:style w:type="character" w:customStyle="1" w:styleId="31">
    <w:name w:val="批注框文本 字符"/>
    <w:basedOn w:val="15"/>
    <w:link w:val="10"/>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字符"/>
    <w:link w:val="9"/>
    <w:qFormat/>
    <w:uiPriority w:val="0"/>
    <w:rPr>
      <w:rFonts w:ascii="宋体" w:hAnsi="Courier New"/>
      <w:kern w:val="2"/>
      <w:sz w:val="21"/>
      <w:szCs w:val="21"/>
    </w:rPr>
  </w:style>
  <w:style w:type="character" w:customStyle="1" w:styleId="34">
    <w:name w:val="正文文本首行缩进 字符"/>
    <w:basedOn w:val="15"/>
    <w:link w:val="2"/>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0">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15017</Words>
  <Characters>15845</Characters>
  <Lines>133</Lines>
  <Paragraphs>37</Paragraphs>
  <TotalTime>1</TotalTime>
  <ScaleCrop>false</ScaleCrop>
  <LinksUpToDate>false</LinksUpToDate>
  <CharactersWithSpaces>16828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2023-08-03T05:29:54Z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863EADBDBEDC4E60ADB5DB1D55DC9440_13</vt:lpwstr>
  </property>
</Properties>
</file>