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jc w:val="center"/>
        <w:rPr>
          <w:rFonts w:hint="eastAsia"/>
          <w:color w:val="auto"/>
          <w:highlight w:val="none"/>
        </w:rPr>
      </w:pPr>
      <w:r>
        <w:rPr>
          <w:rFonts w:hint="eastAsia" w:ascii="宋体" w:hAnsi="宋体" w:eastAsia="宋体" w:cs="宋体"/>
          <w:b/>
          <w:color w:val="auto"/>
          <w:sz w:val="44"/>
          <w:szCs w:val="44"/>
          <w:highlight w:val="none"/>
          <w:lang w:eastAsia="zh-CN"/>
        </w:rPr>
        <w:t>港口新鲜集市（A地块）项目（一期）--配套工程施工</w:t>
      </w: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ind w:firstLine="1285" w:firstLineChars="400"/>
        <w:jc w:val="both"/>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广州南沙国际物流有限公司</w:t>
      </w:r>
      <w:r>
        <w:rPr>
          <w:rFonts w:hint="eastAsia" w:ascii="宋体" w:hAnsi="宋体" w:eastAsia="宋体" w:cs="宋体"/>
          <w:b/>
          <w:color w:val="auto"/>
          <w:sz w:val="32"/>
          <w:szCs w:val="32"/>
          <w:highlight w:val="none"/>
        </w:rPr>
        <w:t>（业主单位）</w:t>
      </w:r>
    </w:p>
    <w:p>
      <w:pPr>
        <w:spacing w:line="360" w:lineRule="auto"/>
        <w:ind w:firstLine="2445" w:firstLineChars="761"/>
        <w:rPr>
          <w:rFonts w:ascii="宋体" w:hAnsi="宋体" w:eastAsia="宋体" w:cs="宋体"/>
          <w:b/>
          <w:color w:val="auto"/>
          <w:sz w:val="32"/>
          <w:szCs w:val="32"/>
          <w:highlight w:val="none"/>
        </w:rPr>
      </w:pPr>
      <w:bookmarkStart w:id="1" w:name="OLE_LINK4"/>
      <w:bookmarkEnd w:id="1"/>
      <w:r>
        <w:rPr>
          <w:rFonts w:hint="eastAsia" w:ascii="宋体" w:hAnsi="宋体" w:eastAsia="宋体" w:cs="宋体"/>
          <w:b/>
          <w:color w:val="auto"/>
          <w:sz w:val="32"/>
          <w:szCs w:val="32"/>
          <w:highlight w:val="none"/>
        </w:rPr>
        <w:t>广州南沙建设维护管理有限公司（建设管理单位）</w:t>
      </w:r>
    </w:p>
    <w:p>
      <w:pPr>
        <w:spacing w:line="520" w:lineRule="exact"/>
        <w:ind w:right="-101" w:rightChars="-48" w:firstLine="1285" w:firstLineChars="400"/>
        <w:rPr>
          <w:rFonts w:hint="default" w:ascii="宋体" w:hAnsi="宋体" w:eastAsia="宋体" w:cs="宋体"/>
          <w:color w:val="auto"/>
          <w:spacing w:val="28"/>
          <w:position w:val="8"/>
          <w:sz w:val="28"/>
          <w:szCs w:val="28"/>
          <w:highlight w:val="none"/>
          <w:lang w:val="en-US"/>
        </w:rPr>
      </w:pPr>
      <w:r>
        <w:rPr>
          <w:rFonts w:hint="eastAsia" w:ascii="宋体" w:hAnsi="宋体" w:eastAsia="宋体" w:cs="宋体"/>
          <w:b/>
          <w:color w:val="auto"/>
          <w:sz w:val="32"/>
          <w:szCs w:val="32"/>
          <w:highlight w:val="none"/>
        </w:rPr>
        <w:t>日</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期：202</w:t>
      </w:r>
      <w:r>
        <w:rPr>
          <w:rFonts w:hint="eastAsia" w:ascii="宋体" w:hAnsi="宋体" w:eastAsia="宋体" w:cs="宋体"/>
          <w:b/>
          <w:color w:val="auto"/>
          <w:sz w:val="32"/>
          <w:szCs w:val="32"/>
          <w:highlight w:val="none"/>
          <w:lang w:val="en-US" w:eastAsia="zh-CN"/>
        </w:rPr>
        <w:t>3</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8月</w:t>
      </w:r>
    </w:p>
    <w:p>
      <w:pP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p>
    <w:p>
      <w:pPr>
        <w:rPr>
          <w:rFonts w:ascii="黑体" w:hAnsi="宋体" w:eastAsia="黑体" w:cs="黑体"/>
          <w:color w:val="auto"/>
          <w:sz w:val="36"/>
          <w:szCs w:val="36"/>
          <w:highlight w:val="none"/>
        </w:rPr>
      </w:pPr>
    </w:p>
    <w:bookmarkEnd w:id="0"/>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pPr>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2"/>
            <w:tabs>
              <w:tab w:val="right" w:leader="dot" w:pos="9419"/>
            </w:tabs>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TOC \o "1-1" \h \u </w:instrText>
          </w:r>
          <w:r>
            <w:rPr>
              <w:rFonts w:hint="eastAsia" w:asciiTheme="minorEastAsia" w:hAnsiTheme="minorEastAsia" w:eastAsiaTheme="minorEastAsia" w:cstheme="minorEastAsia"/>
              <w:color w:val="auto"/>
              <w:sz w:val="24"/>
              <w:szCs w:val="24"/>
              <w:highlight w:val="none"/>
            </w:rPr>
            <w:fldChar w:fldCharType="separate"/>
          </w:r>
        </w:p>
        <w:p>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"_Toc13302"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第1章 投标须知及前附表</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_Toc13302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"_Toc1632"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第2章 项目需求书</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_Toc1632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"_Toc27492"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第3章  投标格式文件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_Toc27492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"_Toc30913"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第4章 评标办法</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_Toc30913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"_Toc26593"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第5章 附件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_Toc26593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38</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rPr>
              <w:color w:val="auto"/>
              <w:highlight w:val="none"/>
            </w:rPr>
          </w:pPr>
          <w:r>
            <w:rPr>
              <w:rFonts w:hint="eastAsia" w:asciiTheme="minorEastAsia" w:hAnsiTheme="minorEastAsia" w:cstheme="minorEastAsia"/>
              <w:color w:val="auto"/>
              <w:sz w:val="24"/>
              <w:highlight w:val="none"/>
            </w:rPr>
            <w:fldChar w:fldCharType="end"/>
          </w:r>
        </w:p>
      </w:sdtContent>
    </w:sdt>
    <w:p>
      <w:pPr>
        <w:pStyle w:val="13"/>
        <w:widowControl/>
        <w:spacing w:after="0"/>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2" w:name="_Toc374128472"/>
      <w:bookmarkStart w:id="3" w:name="_Toc13302"/>
      <w:r>
        <w:rPr>
          <w:rFonts w:hint="eastAsia" w:ascii="黑体" w:hAnsi="宋体" w:cs="黑体"/>
          <w:b/>
          <w:color w:val="auto"/>
          <w:kern w:val="44"/>
          <w:sz w:val="44"/>
          <w:szCs w:val="44"/>
          <w:highlight w:val="none"/>
        </w:rPr>
        <w:t>第1章 投标须知及前附表</w:t>
      </w:r>
      <w:bookmarkEnd w:id="2"/>
      <w:bookmarkEnd w:id="3"/>
    </w:p>
    <w:p>
      <w:pPr>
        <w:spacing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4"/>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宋体" w:hAnsi="宋体" w:eastAsia="宋体" w:cs="宋体"/>
                <w:color w:val="auto"/>
                <w:highlight w:val="none"/>
                <w:u w:val="none"/>
                <w:lang w:eastAsia="zh-CN"/>
              </w:rPr>
            </w:pPr>
            <w:r>
              <w:rPr>
                <w:rFonts w:hint="eastAsia" w:ascii="宋体" w:hAnsi="宋体" w:eastAsia="宋体" w:cs="宋体"/>
                <w:color w:val="auto"/>
                <w:highlight w:val="none"/>
                <w:u w:val="none"/>
                <w:lang w:eastAsia="zh-CN"/>
              </w:rPr>
              <w:t>港口新鲜集市（A地块）项目（一期）--配套工程施工</w:t>
            </w:r>
          </w:p>
        </w:tc>
      </w:tr>
      <w:tr>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p>
            <w:pPr>
              <w:pStyle w:val="13"/>
              <w:widowControl/>
              <w:spacing w:after="0" w:line="360" w:lineRule="auto"/>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lang w:val="en-US" w:eastAsia="zh-CN"/>
              </w:rPr>
              <w:t>广州市南沙区龙穴岛西南侧，毗邻南沙港一期、南沙港四期码头</w:t>
            </w:r>
          </w:p>
        </w:tc>
      </w:tr>
      <w:tr>
        <w:tblPrEx>
          <w:tblCellMar>
            <w:top w:w="0" w:type="dxa"/>
            <w:left w:w="108" w:type="dxa"/>
            <w:bottom w:w="0" w:type="dxa"/>
            <w:right w:w="108" w:type="dxa"/>
          </w:tblCellMar>
        </w:tblPrEx>
        <w:trPr>
          <w:trHeight w:val="963"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u w:val="none"/>
                <w:lang w:eastAsia="zh-CN"/>
              </w:rPr>
            </w:pPr>
            <w:r>
              <w:rPr>
                <w:rFonts w:hint="eastAsia" w:ascii="宋体" w:hAnsi="宋体" w:eastAsia="宋体" w:cs="宋体"/>
                <w:color w:val="auto"/>
                <w:highlight w:val="none"/>
                <w:u w:val="none"/>
                <w:lang w:eastAsia="zh-CN"/>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eastAsia="zh-CN"/>
              </w:rPr>
              <w:t>地块位于</w:t>
            </w:r>
            <w:r>
              <w:rPr>
                <w:rFonts w:hint="eastAsia" w:ascii="宋体" w:hAnsi="宋体" w:eastAsia="宋体" w:cs="宋体"/>
                <w:color w:val="auto"/>
                <w:sz w:val="21"/>
                <w:szCs w:val="21"/>
                <w:highlight w:val="none"/>
                <w:lang w:val="en-US" w:eastAsia="zh-CN"/>
              </w:rPr>
              <w:t>广州市南沙区龙穴岛西南侧，毗邻南沙港一期、南沙港四期码头，</w:t>
            </w:r>
            <w:r>
              <w:rPr>
                <w:rFonts w:hint="eastAsia" w:ascii="宋体" w:hAnsi="宋体" w:eastAsia="宋体" w:cs="宋体"/>
                <w:color w:val="auto"/>
                <w:sz w:val="21"/>
                <w:szCs w:val="21"/>
                <w:highlight w:val="none"/>
              </w:rPr>
              <w:t>规划总面积约27950平方米。项目整体策划，分期开发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主要打造进出口水果海鲜商品集市，同时配备餐饮及消费街区，包括</w:t>
            </w:r>
            <w:r>
              <w:rPr>
                <w:rFonts w:hint="eastAsia" w:ascii="宋体" w:hAnsi="宋体" w:eastAsia="宋体" w:cs="宋体"/>
                <w:b w:val="0"/>
                <w:bCs w:val="0"/>
                <w:color w:val="auto"/>
                <w:sz w:val="21"/>
                <w:szCs w:val="21"/>
                <w:highlight w:val="none"/>
                <w:lang w:val="en-US" w:eastAsia="zh-CN"/>
              </w:rPr>
              <w:t>ABCDE成品集装箱配套的基础、彩色混凝土、硅铺塑胶地面、卵石分隔带、平道牙、汀步、沙坑、台阶、无障碍坡道、排水沟、绿化工程</w:t>
            </w:r>
            <w:r>
              <w:rPr>
                <w:rFonts w:hint="eastAsia" w:ascii="宋体" w:hAnsi="宋体" w:eastAsia="宋体" w:cs="宋体"/>
                <w:color w:val="auto"/>
                <w:spacing w:val="0"/>
                <w:sz w:val="21"/>
                <w:szCs w:val="21"/>
                <w:highlight w:val="none"/>
                <w:lang w:val="en-US" w:eastAsia="zh-CN"/>
              </w:rPr>
              <w:t>等</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一期</w:t>
            </w:r>
            <w:r>
              <w:rPr>
                <w:rFonts w:hint="eastAsia" w:ascii="宋体" w:hAnsi="宋体" w:eastAsia="宋体" w:cs="宋体"/>
                <w:color w:val="auto"/>
                <w:sz w:val="21"/>
                <w:szCs w:val="21"/>
                <w:highlight w:val="none"/>
              </w:rPr>
              <w:t>用地面积约15600平方米。</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宋体" w:hAnsi="宋体" w:eastAsia="宋体" w:cs="宋体"/>
                <w:color w:val="auto"/>
                <w:highlight w:val="none"/>
                <w:u w:val="none"/>
                <w:lang w:eastAsia="zh-CN"/>
              </w:rPr>
            </w:pPr>
            <w:r>
              <w:rPr>
                <w:rFonts w:hint="eastAsia" w:ascii="宋体" w:hAnsi="宋体" w:eastAsia="宋体" w:cs="宋体"/>
                <w:bCs w:val="0"/>
                <w:color w:val="auto"/>
                <w:sz w:val="21"/>
                <w:szCs w:val="21"/>
                <w:highlight w:val="none"/>
                <w:u w:val="none"/>
                <w:lang w:eastAsia="zh-CN"/>
              </w:rPr>
              <w:t>固定综合单价包干，工程量按实结算，绿色施工安全防护措施费固定总价包干。</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lang w:val="en-US" w:eastAsia="zh-CN"/>
              </w:rPr>
              <w:t>一期投资1150.37万元</w:t>
            </w:r>
            <w:r>
              <w:rPr>
                <w:rFonts w:hint="eastAsia" w:ascii="宋体" w:hAnsi="宋体" w:eastAsia="宋体" w:cs="宋体"/>
                <w:color w:val="auto"/>
                <w:sz w:val="21"/>
                <w:szCs w:val="21"/>
                <w:highlight w:val="none"/>
              </w:rPr>
              <w:t>。</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shd w:val="clear" w:color="auto" w:fill="auto"/>
                <w:lang w:bidi="ar-SA"/>
              </w:rPr>
              <w:t>工程质量符合国家验收规范，达到合格标准</w:t>
            </w:r>
            <w:r>
              <w:rPr>
                <w:rFonts w:hint="eastAsia" w:ascii="宋体" w:hAnsi="宋体" w:eastAsia="宋体" w:cs="宋体"/>
                <w:bCs w:val="0"/>
                <w:color w:val="auto"/>
                <w:kern w:val="2"/>
                <w:sz w:val="21"/>
                <w:szCs w:val="21"/>
                <w:highlight w:val="none"/>
                <w:shd w:val="clear" w:color="auto" w:fill="auto"/>
                <w:lang w:eastAsia="zh-CN" w:bidi="ar-SA"/>
              </w:rPr>
              <w:t>。</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9"/>
              <w:spacing w:line="360" w:lineRule="auto"/>
              <w:ind w:firstLine="0"/>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sz w:val="21"/>
                <w:szCs w:val="21"/>
                <w:highlight w:val="none"/>
                <w:lang w:val="en-US" w:eastAsia="zh-CN"/>
              </w:rPr>
              <w:t>建设内容包括停车场及园路施工、停车场划线及道闸系统、配套电气工程、弱电工程、暖通工程、给排水、消防水工程等。</w:t>
            </w:r>
          </w:p>
          <w:p>
            <w:pPr>
              <w:pStyle w:val="19"/>
              <w:widowControl/>
              <w:spacing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pacing w:val="0"/>
                <w:sz w:val="21"/>
                <w:szCs w:val="21"/>
                <w:highlight w:val="none"/>
                <w:lang w:val="en-US" w:eastAsia="zh-CN"/>
              </w:rPr>
              <w:t>具体以实际施工图纸、工程量清单为准。</w:t>
            </w:r>
            <w:r>
              <w:rPr>
                <w:rFonts w:hint="eastAsia" w:ascii="宋体" w:hAnsi="宋体" w:eastAsia="宋体" w:cs="宋体"/>
                <w:color w:val="auto"/>
                <w:kern w:val="0"/>
                <w:sz w:val="21"/>
                <w:szCs w:val="21"/>
                <w:highlight w:val="none"/>
                <w:lang w:val="en-US" w:eastAsia="zh-CN"/>
              </w:rPr>
              <w:t>投标</w:t>
            </w:r>
            <w:r>
              <w:rPr>
                <w:rFonts w:hint="eastAsia" w:ascii="宋体" w:hAnsi="宋体" w:eastAsia="宋体" w:cs="宋体"/>
                <w:color w:val="auto"/>
                <w:kern w:val="0"/>
                <w:sz w:val="21"/>
                <w:szCs w:val="21"/>
                <w:highlight w:val="none"/>
              </w:rPr>
              <w:t>人需按</w:t>
            </w:r>
            <w:r>
              <w:rPr>
                <w:rFonts w:hint="eastAsia" w:ascii="宋体" w:hAnsi="宋体" w:eastAsia="宋体" w:cs="宋体"/>
                <w:color w:val="auto"/>
                <w:kern w:val="0"/>
                <w:sz w:val="21"/>
                <w:szCs w:val="21"/>
                <w:highlight w:val="none"/>
                <w:lang w:val="en-US" w:eastAsia="zh-CN"/>
              </w:rPr>
              <w:t>招标文件、图纸规范等</w:t>
            </w:r>
            <w:r>
              <w:rPr>
                <w:rFonts w:hint="eastAsia" w:ascii="宋体" w:hAnsi="宋体" w:eastAsia="宋体" w:cs="宋体"/>
                <w:color w:val="auto"/>
                <w:kern w:val="0"/>
                <w:sz w:val="21"/>
                <w:szCs w:val="21"/>
                <w:highlight w:val="none"/>
              </w:rPr>
              <w:t>要求</w:t>
            </w:r>
            <w:r>
              <w:rPr>
                <w:rFonts w:hint="eastAsia" w:ascii="宋体" w:hAnsi="宋体" w:eastAsia="宋体" w:cs="宋体"/>
                <w:color w:val="auto"/>
                <w:kern w:val="0"/>
                <w:sz w:val="21"/>
                <w:szCs w:val="21"/>
                <w:highlight w:val="none"/>
                <w:lang w:val="en-US" w:eastAsia="zh-CN"/>
              </w:rPr>
              <w:t>进行</w:t>
            </w:r>
            <w:r>
              <w:rPr>
                <w:rFonts w:hint="eastAsia" w:ascii="宋体" w:hAnsi="宋体" w:eastAsia="宋体" w:cs="宋体"/>
                <w:color w:val="auto"/>
                <w:kern w:val="0"/>
                <w:sz w:val="21"/>
                <w:szCs w:val="21"/>
                <w:highlight w:val="none"/>
              </w:rPr>
              <w:t>施工，</w:t>
            </w:r>
            <w:r>
              <w:rPr>
                <w:rFonts w:hint="eastAsia" w:ascii="宋体" w:hAnsi="宋体" w:eastAsia="宋体" w:cs="宋体"/>
                <w:color w:val="auto"/>
                <w:kern w:val="0"/>
                <w:sz w:val="21"/>
                <w:szCs w:val="21"/>
                <w:highlight w:val="none"/>
                <w:lang w:val="en-US" w:eastAsia="zh-CN"/>
              </w:rPr>
              <w:t>如</w:t>
            </w:r>
            <w:r>
              <w:rPr>
                <w:rFonts w:hint="eastAsia" w:ascii="宋体" w:hAnsi="宋体" w:eastAsia="宋体" w:cs="宋体"/>
                <w:color w:val="auto"/>
                <w:kern w:val="0"/>
                <w:sz w:val="21"/>
                <w:szCs w:val="21"/>
                <w:highlight w:val="none"/>
              </w:rPr>
              <w:t>设计图纸有调整时，必须服从要求调整</w:t>
            </w:r>
            <w:r>
              <w:rPr>
                <w:rFonts w:hint="eastAsia" w:ascii="宋体" w:hAnsi="宋体" w:eastAsia="宋体" w:cs="宋体"/>
                <w:bCs w:val="0"/>
                <w:color w:val="auto"/>
                <w:sz w:val="21"/>
                <w:szCs w:val="21"/>
                <w:highlight w:val="none"/>
                <w:lang w:eastAsia="zh-CN"/>
              </w:rPr>
              <w:t>。</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lang w:val="en-US" w:eastAsia="zh-CN"/>
              </w:rPr>
              <w:t>35日历天，自招标人发出中标通知书之日起计</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rPr>
              <w:t>投标人</w:t>
            </w:r>
            <w:r>
              <w:rPr>
                <w:rFonts w:hint="eastAsia" w:ascii="宋体" w:hAnsi="宋体" w:eastAsia="宋体" w:cs="宋体"/>
                <w:bCs w:val="0"/>
                <w:color w:val="auto"/>
                <w:kern w:val="2"/>
                <w:sz w:val="21"/>
                <w:szCs w:val="21"/>
                <w:highlight w:val="none"/>
                <w:lang w:eastAsia="zh-CN"/>
              </w:rPr>
              <w:t>具有市政公用工程施工总承包三级或以上资质</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不接受联合体投标。</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ind w:firstLine="0" w:firstLineChars="0"/>
              <w:rPr>
                <w:rFonts w:hint="eastAsia" w:ascii="宋体" w:hAnsi="宋体" w:eastAsia="宋体" w:cs="宋体"/>
                <w:b w:val="0"/>
                <w:bCs w:val="0"/>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、投标</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委派的项目负责人</w:t>
            </w:r>
            <w:r>
              <w:rPr>
                <w:rFonts w:hint="eastAsia" w:ascii="宋体" w:hAnsi="宋体" w:eastAsia="宋体" w:cs="宋体"/>
                <w:color w:val="auto"/>
                <w:sz w:val="21"/>
                <w:szCs w:val="21"/>
                <w:highlight w:val="none"/>
                <w:lang w:eastAsia="zh-CN"/>
              </w:rPr>
              <w:t>为</w:t>
            </w:r>
            <w:r>
              <w:rPr>
                <w:rFonts w:hint="eastAsia" w:ascii="宋体" w:hAnsi="宋体" w:eastAsia="宋体" w:cs="宋体"/>
                <w:i w:val="0"/>
                <w:iCs w:val="0"/>
                <w:caps w:val="0"/>
                <w:color w:val="auto"/>
                <w:spacing w:val="0"/>
                <w:sz w:val="21"/>
                <w:szCs w:val="21"/>
                <w:highlight w:val="none"/>
                <w:shd w:val="clear"/>
              </w:rPr>
              <w:t>市政公用工程专业</w:t>
            </w:r>
            <w:r>
              <w:rPr>
                <w:rFonts w:hint="eastAsia" w:ascii="宋体" w:hAnsi="宋体" w:eastAsia="宋体" w:cs="宋体"/>
                <w:i w:val="0"/>
                <w:iCs w:val="0"/>
                <w:caps w:val="0"/>
                <w:color w:val="auto"/>
                <w:spacing w:val="0"/>
                <w:sz w:val="21"/>
                <w:szCs w:val="21"/>
                <w:highlight w:val="none"/>
                <w:shd w:val="clear"/>
                <w:lang w:eastAsia="zh-CN"/>
              </w:rPr>
              <w:t>二</w:t>
            </w:r>
            <w:r>
              <w:rPr>
                <w:rFonts w:hint="eastAsia" w:ascii="宋体" w:hAnsi="宋体" w:eastAsia="宋体" w:cs="宋体"/>
                <w:i w:val="0"/>
                <w:iCs w:val="0"/>
                <w:caps w:val="0"/>
                <w:color w:val="auto"/>
                <w:spacing w:val="0"/>
                <w:sz w:val="21"/>
                <w:szCs w:val="21"/>
                <w:highlight w:val="none"/>
                <w:shd w:val="clear"/>
              </w:rPr>
              <w:t>级</w:t>
            </w:r>
            <w:r>
              <w:rPr>
                <w:rFonts w:hint="eastAsia" w:ascii="宋体" w:hAnsi="宋体" w:eastAsia="宋体" w:cs="宋体"/>
                <w:i w:val="0"/>
                <w:iCs w:val="0"/>
                <w:caps w:val="0"/>
                <w:color w:val="auto"/>
                <w:spacing w:val="0"/>
                <w:sz w:val="21"/>
                <w:szCs w:val="21"/>
                <w:highlight w:val="none"/>
                <w:shd w:val="clear"/>
                <w:lang w:eastAsia="zh-CN"/>
              </w:rPr>
              <w:t>或以上</w:t>
            </w:r>
            <w:r>
              <w:rPr>
                <w:rFonts w:hint="eastAsia" w:ascii="宋体" w:hAnsi="宋体" w:eastAsia="宋体" w:cs="宋体"/>
                <w:i w:val="0"/>
                <w:iCs w:val="0"/>
                <w:caps w:val="0"/>
                <w:color w:val="auto"/>
                <w:spacing w:val="0"/>
                <w:sz w:val="21"/>
                <w:szCs w:val="21"/>
                <w:highlight w:val="none"/>
                <w:shd w:val="clear"/>
              </w:rPr>
              <w:t>注册建造师</w:t>
            </w:r>
            <w:r>
              <w:rPr>
                <w:rFonts w:hint="eastAsia" w:ascii="宋体" w:hAnsi="宋体" w:eastAsia="宋体" w:cs="宋体"/>
                <w:color w:val="auto"/>
                <w:sz w:val="21"/>
                <w:szCs w:val="21"/>
                <w:highlight w:val="none"/>
                <w:lang w:eastAsia="zh-CN"/>
              </w:rPr>
              <w:t>。</w:t>
            </w:r>
            <w:r>
              <w:rPr>
                <w:rFonts w:hint="eastAsia" w:ascii="宋体" w:hAnsi="宋体" w:eastAsia="宋体" w:cs="宋体"/>
                <w:b w:val="0"/>
                <w:bCs w:val="0"/>
                <w:color w:val="auto"/>
                <w:sz w:val="21"/>
                <w:szCs w:val="21"/>
                <w:highlight w:val="none"/>
              </w:rPr>
              <w:t>项目负责人</w:t>
            </w:r>
            <w:r>
              <w:rPr>
                <w:rFonts w:hint="eastAsia" w:ascii="宋体" w:hAnsi="宋体" w:eastAsia="宋体" w:cs="宋体"/>
                <w:color w:val="auto"/>
                <w:sz w:val="21"/>
                <w:szCs w:val="21"/>
                <w:highlight w:val="none"/>
                <w:u w:val="none"/>
              </w:rPr>
              <w:t>持有安全培训考核合格证（B类）或建筑施工企业项目负责人安全生产考核合格证书</w:t>
            </w:r>
            <w:r>
              <w:rPr>
                <w:rFonts w:hint="eastAsia" w:ascii="宋体" w:hAnsi="宋体" w:eastAsia="宋体" w:cs="宋体"/>
                <w:b w:val="0"/>
                <w:bCs w:val="0"/>
                <w:color w:val="auto"/>
                <w:sz w:val="21"/>
                <w:szCs w:val="21"/>
                <w:highlight w:val="none"/>
              </w:rPr>
              <w:t>。</w:t>
            </w:r>
          </w:p>
          <w:p>
            <w:pPr>
              <w:widowControl/>
              <w:spacing w:line="360" w:lineRule="auto"/>
              <w:ind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color w:val="auto"/>
                <w:sz w:val="21"/>
                <w:szCs w:val="21"/>
                <w:highlight w:val="none"/>
              </w:rPr>
              <w:t>投标</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委派的</w:t>
            </w:r>
            <w:r>
              <w:rPr>
                <w:rFonts w:hint="eastAsia" w:ascii="宋体" w:hAnsi="宋体" w:eastAsia="宋体" w:cs="宋体"/>
                <w:color w:val="auto"/>
                <w:sz w:val="21"/>
                <w:szCs w:val="21"/>
                <w:highlight w:val="none"/>
                <w:lang w:eastAsia="zh-CN"/>
              </w:rPr>
              <w:t>技术</w:t>
            </w:r>
            <w:r>
              <w:rPr>
                <w:rFonts w:hint="eastAsia" w:ascii="宋体" w:hAnsi="宋体" w:eastAsia="宋体" w:cs="宋体"/>
                <w:color w:val="auto"/>
                <w:sz w:val="21"/>
                <w:szCs w:val="21"/>
                <w:highlight w:val="none"/>
              </w:rPr>
              <w:t>负责人</w:t>
            </w:r>
            <w:r>
              <w:rPr>
                <w:rFonts w:hint="eastAsia" w:ascii="宋体" w:hAnsi="宋体" w:eastAsia="宋体" w:cs="宋体"/>
                <w:color w:val="auto"/>
                <w:sz w:val="21"/>
                <w:szCs w:val="21"/>
                <w:highlight w:val="none"/>
                <w:lang w:eastAsia="zh-CN"/>
              </w:rPr>
              <w:t>具有</w:t>
            </w:r>
            <w:r>
              <w:rPr>
                <w:rFonts w:hint="eastAsia" w:ascii="宋体" w:hAnsi="宋体" w:eastAsia="宋体" w:cs="宋体"/>
                <w:i w:val="0"/>
                <w:iCs w:val="0"/>
                <w:caps w:val="0"/>
                <w:color w:val="auto"/>
                <w:spacing w:val="0"/>
                <w:sz w:val="21"/>
                <w:szCs w:val="21"/>
                <w:highlight w:val="none"/>
                <w:shd w:val="clear"/>
              </w:rPr>
              <w:t>工程</w:t>
            </w:r>
            <w:r>
              <w:rPr>
                <w:rFonts w:hint="eastAsia" w:ascii="宋体" w:hAnsi="宋体" w:eastAsia="宋体" w:cs="宋体"/>
                <w:i w:val="0"/>
                <w:iCs w:val="0"/>
                <w:caps w:val="0"/>
                <w:color w:val="auto"/>
                <w:spacing w:val="0"/>
                <w:sz w:val="21"/>
                <w:szCs w:val="21"/>
                <w:highlight w:val="none"/>
                <w:shd w:val="clear"/>
                <w:lang w:eastAsia="zh-CN"/>
              </w:rPr>
              <w:t>类</w:t>
            </w:r>
            <w:r>
              <w:rPr>
                <w:rFonts w:hint="eastAsia" w:ascii="宋体" w:hAnsi="宋体" w:eastAsia="宋体" w:cs="宋体"/>
                <w:color w:val="auto"/>
                <w:sz w:val="21"/>
                <w:szCs w:val="21"/>
                <w:highlight w:val="none"/>
                <w:lang w:eastAsia="zh-CN"/>
              </w:rPr>
              <w:t>工程师中级或以上职称。项目负责人和技术负责人不能为同一人。</w:t>
            </w:r>
          </w:p>
          <w:p>
            <w:pPr>
              <w:widowControl/>
              <w:spacing w:line="360" w:lineRule="auto"/>
              <w:ind w:firstLine="0" w:firstLineChars="0"/>
              <w:rPr>
                <w:rFonts w:hint="eastAsia" w:ascii="宋体" w:hAnsi="宋体" w:eastAsia="宋体" w:cs="宋体"/>
                <w:color w:val="auto"/>
                <w:szCs w:val="21"/>
                <w:highlight w:val="none"/>
                <w:u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b w:val="0"/>
                <w:bCs w:val="0"/>
                <w:color w:val="auto"/>
                <w:sz w:val="21"/>
                <w:szCs w:val="21"/>
                <w:highlight w:val="none"/>
              </w:rPr>
              <w:t>专职安全员须具有</w:t>
            </w:r>
            <w:r>
              <w:rPr>
                <w:rFonts w:hint="eastAsia" w:ascii="宋体" w:hAnsi="宋体" w:eastAsia="宋体" w:cs="宋体"/>
                <w:color w:val="auto"/>
                <w:sz w:val="21"/>
                <w:szCs w:val="21"/>
                <w:highlight w:val="none"/>
                <w:u w:val="none"/>
              </w:rPr>
              <w:t>安全生产考核合格证（C类）</w:t>
            </w:r>
            <w:r>
              <w:rPr>
                <w:rFonts w:hint="eastAsia" w:ascii="宋体" w:hAnsi="宋体" w:eastAsia="宋体" w:cs="宋体"/>
                <w:color w:val="auto"/>
                <w:kern w:val="2"/>
                <w:sz w:val="21"/>
                <w:szCs w:val="21"/>
                <w:highlight w:val="none"/>
                <w:u w:val="none"/>
              </w:rPr>
              <w:t>或建筑施工企业专职安全生产管理人员安全生产考核合格证书</w:t>
            </w:r>
            <w:r>
              <w:rPr>
                <w:rFonts w:hint="eastAsia" w:ascii="宋体" w:hAnsi="宋体" w:eastAsia="宋体" w:cs="宋体"/>
                <w:b w:val="0"/>
                <w:bCs w:val="0"/>
                <w:color w:val="auto"/>
                <w:sz w:val="21"/>
                <w:szCs w:val="21"/>
                <w:highlight w:val="none"/>
                <w:lang w:eastAsia="zh-CN"/>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Autospacing="0"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Autospacing="0" w:after="0" w:line="360" w:lineRule="auto"/>
              <w:ind w:left="-59" w:leftChars="-28"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360" w:lineRule="auto"/>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招标控制价及</w:t>
            </w:r>
            <w:r>
              <w:rPr>
                <w:rFonts w:hint="eastAsia" w:ascii="宋体" w:hAnsi="宋体" w:eastAsia="宋体" w:cs="宋体"/>
                <w:color w:val="auto"/>
                <w:highlight w:val="none"/>
                <w:lang w:eastAsia="zh-CN"/>
              </w:rPr>
              <w:t>报价</w:t>
            </w:r>
            <w:r>
              <w:rPr>
                <w:rFonts w:hint="eastAsia" w:ascii="宋体" w:hAnsi="宋体" w:eastAsia="宋体" w:cs="宋体"/>
                <w:color w:val="auto"/>
                <w:highlight w:val="none"/>
              </w:rPr>
              <w:t>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招标控制价为</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none"/>
                <w:lang w:eastAsia="zh-CN"/>
              </w:rPr>
              <w:t>3527424.12</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eastAsia="zh-CN"/>
              </w:rPr>
              <w:t>，其中，</w:t>
            </w:r>
            <w:r>
              <w:rPr>
                <w:rFonts w:hint="eastAsia" w:ascii="宋体" w:hAnsi="宋体" w:eastAsia="宋体" w:cs="宋体"/>
                <w:bCs w:val="0"/>
                <w:color w:val="auto"/>
                <w:sz w:val="21"/>
                <w:szCs w:val="21"/>
                <w:highlight w:val="none"/>
                <w:u w:val="none"/>
                <w:lang w:eastAsia="zh-CN"/>
              </w:rPr>
              <w:t>绿色施工安全防护措施费为</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none"/>
              </w:rPr>
              <w:t>162007.9</w:t>
            </w:r>
            <w:r>
              <w:rPr>
                <w:rFonts w:hint="eastAsia" w:ascii="宋体" w:hAnsi="宋体" w:eastAsia="宋体" w:cs="宋体"/>
                <w:color w:val="auto"/>
                <w:sz w:val="21"/>
                <w:szCs w:val="21"/>
                <w:highlight w:val="none"/>
                <w:u w:val="none"/>
                <w:lang w:val="en-US" w:eastAsia="zh-CN"/>
              </w:rPr>
              <w:t>0</w:t>
            </w:r>
            <w:r>
              <w:rPr>
                <w:rFonts w:hint="eastAsia" w:ascii="宋体" w:hAnsi="宋体" w:eastAsia="宋体" w:cs="宋体"/>
                <w:bCs w:val="0"/>
                <w:color w:val="auto"/>
                <w:sz w:val="21"/>
                <w:szCs w:val="21"/>
                <w:highlight w:val="none"/>
                <w:u w:val="none"/>
                <w:lang w:val="en-US" w:eastAsia="zh-CN"/>
              </w:rPr>
              <w:t>元（固定值）,</w:t>
            </w:r>
            <w:r>
              <w:rPr>
                <w:rFonts w:hint="eastAsia" w:ascii="宋体" w:hAnsi="宋体" w:eastAsia="宋体" w:cs="宋体"/>
                <w:color w:val="auto"/>
                <w:kern w:val="2"/>
                <w:sz w:val="21"/>
                <w:szCs w:val="21"/>
                <w:highlight w:val="none"/>
                <w:lang w:val="en-US" w:eastAsia="zh-CN"/>
              </w:rPr>
              <w:t>专业暂估价</w:t>
            </w:r>
            <w:r>
              <w:rPr>
                <w:rFonts w:hint="eastAsia" w:ascii="宋体" w:hAnsi="宋体" w:eastAsia="宋体" w:cs="宋体"/>
                <w:bCs w:val="0"/>
                <w:color w:val="auto"/>
                <w:sz w:val="21"/>
                <w:szCs w:val="21"/>
                <w:highlight w:val="none"/>
                <w:u w:val="none"/>
                <w:lang w:val="en-US" w:eastAsia="zh-CN"/>
              </w:rPr>
              <w:t>为</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none"/>
              </w:rPr>
              <w:t>271500</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bCs w:val="0"/>
                <w:color w:val="auto"/>
                <w:sz w:val="21"/>
                <w:szCs w:val="21"/>
                <w:highlight w:val="none"/>
                <w:u w:val="none"/>
                <w:lang w:val="en-US" w:eastAsia="zh-CN"/>
              </w:rPr>
              <w:t>元</w:t>
            </w:r>
            <w:r>
              <w:rPr>
                <w:rFonts w:hint="eastAsia" w:ascii="宋体" w:hAnsi="宋体" w:eastAsia="宋体" w:cs="宋体"/>
                <w:color w:val="auto"/>
                <w:sz w:val="21"/>
                <w:szCs w:val="21"/>
                <w:highlight w:val="none"/>
                <w:lang w:eastAsia="zh-CN"/>
              </w:rPr>
              <w:t>。</w:t>
            </w:r>
          </w:p>
          <w:p>
            <w:pPr>
              <w:pStyle w:val="2"/>
              <w:widowControl w:val="0"/>
              <w:spacing w:line="360" w:lineRule="auto"/>
              <w:ind w:firstLine="420" w:firstLineChars="20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专业暂估价包括：</w:t>
            </w:r>
          </w:p>
          <w:p>
            <w:pPr>
              <w:pStyle w:val="2"/>
              <w:widowControl w:val="0"/>
              <w:spacing w:line="360" w:lineRule="auto"/>
              <w:ind w:firstLine="420" w:firstLineChars="20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（一）、</w:t>
            </w:r>
            <w:r>
              <w:rPr>
                <w:rFonts w:hint="eastAsia" w:ascii="宋体" w:hAnsi="宋体" w:eastAsia="宋体" w:cs="宋体"/>
                <w:color w:val="auto"/>
                <w:kern w:val="2"/>
                <w:sz w:val="21"/>
                <w:szCs w:val="21"/>
                <w:highlight w:val="none"/>
              </w:rPr>
              <w:t>配套道路及停车场配套设施</w:t>
            </w:r>
            <w:r>
              <w:rPr>
                <w:rFonts w:hint="eastAsia" w:ascii="宋体" w:hAnsi="宋体" w:eastAsia="宋体" w:cs="宋体"/>
                <w:color w:val="auto"/>
                <w:kern w:val="2"/>
                <w:sz w:val="21"/>
                <w:szCs w:val="21"/>
                <w:highlight w:val="none"/>
                <w:lang w:val="en-US" w:eastAsia="zh-CN"/>
              </w:rPr>
              <w:t>：</w:t>
            </w:r>
          </w:p>
          <w:p>
            <w:pPr>
              <w:pStyle w:val="2"/>
              <w:widowControl w:val="0"/>
              <w:spacing w:line="360" w:lineRule="auto"/>
              <w:ind w:firstLine="640"/>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配套设施</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含铝合金移动树箱、</w:t>
            </w:r>
            <w:r>
              <w:rPr>
                <w:rFonts w:hint="eastAsia" w:ascii="宋体" w:hAnsi="宋体" w:eastAsia="宋体" w:cs="宋体"/>
                <w:color w:val="auto"/>
                <w:kern w:val="2"/>
                <w:sz w:val="21"/>
                <w:szCs w:val="21"/>
                <w:highlight w:val="none"/>
              </w:rPr>
              <w:t>圆形遮阳伞桌椅组合</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方形罗马伞桌椅组合</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成品滑梯</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成品儿童乐园攀爬网</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跷跷板</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儿童摇摇椅</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不锈钢成品坐凳</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指引标识牌</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暂估价为191</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00.00元</w:t>
            </w:r>
            <w:r>
              <w:rPr>
                <w:rFonts w:hint="eastAsia" w:ascii="宋体" w:hAnsi="宋体" w:eastAsia="宋体" w:cs="宋体"/>
                <w:color w:val="auto"/>
                <w:kern w:val="2"/>
                <w:sz w:val="21"/>
                <w:szCs w:val="21"/>
                <w:highlight w:val="none"/>
                <w:lang w:eastAsia="zh-CN"/>
              </w:rPr>
              <w:t>。</w:t>
            </w:r>
          </w:p>
          <w:p>
            <w:pPr>
              <w:pStyle w:val="2"/>
              <w:widowControl w:val="0"/>
              <w:spacing w:line="360" w:lineRule="auto"/>
              <w:ind w:firstLine="640"/>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eastAsia="zh-CN"/>
              </w:rPr>
              <w:t>（二）</w:t>
            </w:r>
            <w:r>
              <w:rPr>
                <w:rFonts w:hint="eastAsia" w:ascii="宋体" w:hAnsi="宋体" w:eastAsia="宋体" w:cs="宋体"/>
                <w:color w:val="auto"/>
                <w:kern w:val="2"/>
                <w:sz w:val="21"/>
                <w:szCs w:val="21"/>
                <w:highlight w:val="none"/>
              </w:rPr>
              <w:t>弱电工程</w:t>
            </w:r>
            <w:r>
              <w:rPr>
                <w:rFonts w:hint="eastAsia" w:ascii="宋体" w:hAnsi="宋体" w:eastAsia="宋体" w:cs="宋体"/>
                <w:color w:val="auto"/>
                <w:kern w:val="2"/>
                <w:sz w:val="21"/>
                <w:szCs w:val="21"/>
                <w:highlight w:val="none"/>
                <w:lang w:eastAsia="zh-CN"/>
              </w:rPr>
              <w:t>：</w:t>
            </w:r>
          </w:p>
          <w:p>
            <w:pPr>
              <w:pStyle w:val="2"/>
              <w:widowControl w:val="0"/>
              <w:spacing w:line="360" w:lineRule="auto"/>
              <w:ind w:firstLine="420" w:firstLineChars="20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智能停车</w:t>
            </w:r>
            <w:r>
              <w:rPr>
                <w:rFonts w:hint="eastAsia" w:ascii="宋体" w:hAnsi="宋体" w:eastAsia="宋体" w:cs="宋体"/>
                <w:color w:val="auto"/>
                <w:kern w:val="2"/>
                <w:sz w:val="21"/>
                <w:szCs w:val="21"/>
                <w:highlight w:val="none"/>
                <w:lang w:val="en-US" w:eastAsia="zh-CN"/>
              </w:rPr>
              <w:t>道闸</w:t>
            </w:r>
            <w:r>
              <w:rPr>
                <w:rFonts w:hint="eastAsia" w:ascii="宋体" w:hAnsi="宋体" w:eastAsia="宋体" w:cs="宋体"/>
                <w:color w:val="auto"/>
                <w:kern w:val="2"/>
                <w:sz w:val="21"/>
                <w:szCs w:val="21"/>
                <w:highlight w:val="none"/>
              </w:rPr>
              <w:t>系统</w:t>
            </w:r>
            <w:r>
              <w:rPr>
                <w:rFonts w:hint="eastAsia" w:ascii="宋体" w:hAnsi="宋体" w:eastAsia="宋体" w:cs="宋体"/>
                <w:color w:val="auto"/>
                <w:kern w:val="2"/>
                <w:sz w:val="21"/>
                <w:szCs w:val="21"/>
                <w:highlight w:val="none"/>
                <w:lang w:val="en-US" w:eastAsia="zh-CN"/>
              </w:rPr>
              <w:t>暂估价为50</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000.00元。</w:t>
            </w:r>
          </w:p>
          <w:p>
            <w:pPr>
              <w:pStyle w:val="2"/>
              <w:widowControl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lang w:eastAsia="zh-CN"/>
              </w:rPr>
              <w:t>）场地公区视频监控系统</w:t>
            </w:r>
            <w:r>
              <w:rPr>
                <w:rFonts w:hint="eastAsia" w:ascii="宋体" w:hAnsi="宋体" w:eastAsia="宋体" w:cs="宋体"/>
                <w:color w:val="auto"/>
                <w:kern w:val="2"/>
                <w:sz w:val="21"/>
                <w:szCs w:val="21"/>
                <w:highlight w:val="none"/>
                <w:lang w:val="en-US" w:eastAsia="zh-CN"/>
              </w:rPr>
              <w:t>暂估价为30</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000.00元。</w:t>
            </w:r>
          </w:p>
          <w:p>
            <w:pPr>
              <w:pStyle w:val="2"/>
              <w:widowControl/>
              <w:spacing w:line="360" w:lineRule="auto"/>
              <w:ind w:firstLine="420" w:firstLineChars="20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投标单位自行报价，投标报价不能超过招标控制价，否则按废标处理）。（小数点后保留二位小数，第三位小数四舍五入）</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spacing w:val="-4"/>
                <w:highlight w:val="none"/>
              </w:rPr>
            </w:pPr>
            <w:r>
              <w:rPr>
                <w:rFonts w:hint="eastAsia" w:ascii="宋体" w:hAnsi="宋体" w:eastAsia="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adjustRightInd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1、金额：人民币</w:t>
            </w:r>
            <w:r>
              <w:rPr>
                <w:rFonts w:hint="eastAsia" w:ascii="宋体" w:hAnsi="宋体" w:eastAsia="宋体" w:cs="宋体"/>
                <w:color w:val="auto"/>
                <w:sz w:val="21"/>
                <w:szCs w:val="21"/>
                <w:highlight w:val="none"/>
                <w:lang w:val="en-US" w:eastAsia="zh-CN"/>
              </w:rPr>
              <w:t>壹万</w:t>
            </w:r>
            <w:r>
              <w:rPr>
                <w:rFonts w:hint="eastAsia" w:ascii="宋体" w:hAnsi="宋体" w:eastAsia="宋体" w:cs="宋体"/>
                <w:color w:val="auto"/>
                <w:sz w:val="21"/>
                <w:szCs w:val="21"/>
                <w:highlight w:val="none"/>
              </w:rPr>
              <w:t>元。</w:t>
            </w:r>
          </w:p>
          <w:p>
            <w:pPr>
              <w:numPr>
                <w:ilvl w:val="-1"/>
                <w:numId w:val="0"/>
              </w:numPr>
              <w:adjustRightInd w:val="0"/>
              <w:snapToGri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2、缴纳方式：</w:t>
            </w:r>
            <w:r>
              <w:rPr>
                <w:rFonts w:hint="eastAsia" w:ascii="宋体" w:hAnsi="宋体" w:eastAsia="宋体" w:cs="宋体"/>
                <w:color w:val="auto"/>
                <w:sz w:val="21"/>
                <w:szCs w:val="21"/>
                <w:highlight w:val="none"/>
                <w:lang w:eastAsia="zh-CN"/>
              </w:rPr>
              <w:t>银行转账。</w:t>
            </w:r>
          </w:p>
          <w:p>
            <w:pPr>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账户名称：广州南沙建设维护管理有限公司</w:t>
            </w:r>
          </w:p>
          <w:p>
            <w:pPr>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开户银行：中国工商银行广东自由贸易试验区南沙分行</w:t>
            </w:r>
            <w:r>
              <w:rPr>
                <w:rFonts w:hint="eastAsia" w:ascii="宋体" w:hAnsi="宋体" w:eastAsia="宋体" w:cs="宋体"/>
                <w:color w:val="auto"/>
                <w:sz w:val="21"/>
                <w:szCs w:val="21"/>
                <w:highlight w:val="none"/>
                <w:lang w:val="en-US" w:eastAsia="zh-CN"/>
              </w:rPr>
              <w:t xml:space="preserve"> </w:t>
            </w:r>
          </w:p>
          <w:p>
            <w:pPr>
              <w:numPr>
                <w:ilvl w:val="-1"/>
                <w:numId w:val="0"/>
              </w:numPr>
              <w:adjustRightInd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账号：3602056909200030855</w:t>
            </w:r>
          </w:p>
          <w:p>
            <w:pPr>
              <w:numPr>
                <w:ilvl w:val="0"/>
                <w:numId w:val="1"/>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rPr>
              <w:t>缴纳时间：投标单位须在</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8月8</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二</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17</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前</w:t>
            </w:r>
            <w:r>
              <w:rPr>
                <w:rFonts w:hint="eastAsia" w:ascii="宋体" w:hAnsi="宋体" w:eastAsia="宋体" w:cs="宋体"/>
                <w:color w:val="auto"/>
                <w:sz w:val="21"/>
                <w:szCs w:val="21"/>
                <w:highlight w:val="none"/>
              </w:rPr>
              <w:t>以投标人转出【汇款时备注：</w:t>
            </w:r>
            <w:r>
              <w:rPr>
                <w:rFonts w:hint="eastAsia" w:ascii="宋体" w:hAnsi="宋体" w:eastAsia="宋体" w:cs="宋体"/>
                <w:color w:val="auto"/>
                <w:szCs w:val="21"/>
                <w:highlight w:val="none"/>
                <w:u w:val="none"/>
                <w:lang w:eastAsia="zh-CN"/>
              </w:rPr>
              <w:t>港口新鲜集市（A地块）项目（一期）--配套工程施工</w:t>
            </w:r>
            <w:r>
              <w:rPr>
                <w:rFonts w:hint="eastAsia" w:ascii="宋体" w:hAnsi="宋体" w:eastAsia="宋体" w:cs="宋体"/>
                <w:color w:val="auto"/>
                <w:sz w:val="21"/>
                <w:szCs w:val="21"/>
                <w:highlight w:val="none"/>
              </w:rPr>
              <w:t>投标保证金】</w:t>
            </w:r>
          </w:p>
          <w:p>
            <w:pPr>
              <w:numPr>
                <w:ilvl w:val="-1"/>
                <w:numId w:val="0"/>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未按规定缴纳投标保证金的正式投标人将被视为自动放弃本工程的投标资格。</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360" w:lineRule="auto"/>
              <w:ind w:left="-46" w:leftChars="-22"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w:t>
            </w:r>
          </w:p>
          <w:p>
            <w:pPr>
              <w:pStyle w:val="13"/>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提交地点及</w:t>
            </w:r>
          </w:p>
          <w:p>
            <w:pPr>
              <w:pStyle w:val="13"/>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收件人：李工，66806279</w:t>
            </w:r>
          </w:p>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提交地点：广州市南沙区金融大厦1807会议室</w:t>
            </w:r>
          </w:p>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8月9</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三</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至</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8月9</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三</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r>
              <w:rPr>
                <w:rFonts w:hint="eastAsia" w:ascii="宋体" w:hAnsi="宋体" w:eastAsia="宋体" w:cs="宋体"/>
                <w:color w:val="auto"/>
                <w:kern w:val="2"/>
                <w:sz w:val="21"/>
                <w:szCs w:val="21"/>
                <w:highlight w:val="none"/>
                <w:u w:val="none"/>
                <w:lang w:val="en-US" w:eastAsia="zh-CN" w:bidi="ar-SA"/>
              </w:rPr>
              <w:t>前。</w:t>
            </w:r>
          </w:p>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开标时间：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8月9</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三</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p>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地点：广州市南沙区金融大厦1807会议室</w:t>
            </w:r>
          </w:p>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21</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rPr>
              <w:t>综合评分法</w:t>
            </w:r>
          </w:p>
        </w:tc>
      </w:tr>
    </w:tbl>
    <w:p>
      <w:pPr>
        <w:spacing w:line="240" w:lineRule="auto"/>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pPr>
        <w:spacing w:line="240" w:lineRule="auto"/>
        <w:jc w:val="left"/>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pPr>
        <w:spacing w:line="240" w:lineRule="auto"/>
        <w:jc w:val="center"/>
        <w:outlineLvl w:val="9"/>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广州南沙国际物流有限公司</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u w:val="single"/>
          <w:lang w:val="en-US" w:eastAsia="zh-CN"/>
        </w:rPr>
        <w:t>广州</w:t>
      </w:r>
      <w:r>
        <w:rPr>
          <w:rFonts w:hint="eastAsia" w:ascii="宋体" w:hAnsi="宋体" w:eastAsia="宋体" w:cs="宋体"/>
          <w:color w:val="auto"/>
          <w:sz w:val="24"/>
          <w:highlight w:val="none"/>
          <w:u w:val="single"/>
        </w:rPr>
        <w:t>南沙建设维护管理有限公司。</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广州</w:t>
      </w:r>
      <w:r>
        <w:rPr>
          <w:rFonts w:hint="eastAsia" w:ascii="宋体" w:hAnsi="宋体" w:eastAsia="宋体" w:cs="宋体"/>
          <w:color w:val="auto"/>
          <w:sz w:val="24"/>
          <w:highlight w:val="none"/>
          <w:u w:val="single"/>
        </w:rPr>
        <w:t xml:space="preserve">南沙建设维护管理有限公司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pStyle w:val="13"/>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 “书面函件”指打字或印刷的函件，包括电传、电报和传真。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招标说明</w:t>
      </w:r>
    </w:p>
    <w:p>
      <w:pPr>
        <w:spacing w:line="500" w:lineRule="exact"/>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sz w:val="24"/>
          <w:highlight w:val="none"/>
        </w:rPr>
        <w:t>项目</w:t>
      </w:r>
      <w:r>
        <w:rPr>
          <w:rFonts w:hint="eastAsia" w:ascii="宋体" w:hAnsi="宋体" w:eastAsia="宋体" w:cs="宋体"/>
          <w:color w:val="auto"/>
          <w:sz w:val="24"/>
          <w:highlight w:val="none"/>
        </w:rPr>
        <w:t>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项目总投资</w:t>
      </w:r>
      <w:r>
        <w:rPr>
          <w:rFonts w:hint="eastAsia" w:ascii="宋体" w:hAnsi="宋体" w:eastAsia="宋体" w:cs="宋体"/>
          <w:color w:val="auto"/>
          <w:sz w:val="24"/>
          <w:highlight w:val="none"/>
        </w:rPr>
        <w:t>：见投标须知前附表第4项。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val="en-US" w:eastAsia="zh-CN"/>
        </w:rPr>
        <w:t>质量</w:t>
      </w:r>
      <w:r>
        <w:rPr>
          <w:rFonts w:hint="eastAsia" w:ascii="宋体" w:hAnsi="宋体" w:eastAsia="宋体" w:cs="宋体"/>
          <w:color w:val="auto"/>
          <w:sz w:val="24"/>
          <w:highlight w:val="none"/>
        </w:rPr>
        <w:t>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2.3.3</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要求：见投标须知前附表第10项。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3"/>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4）服务合同</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日前，招标人可对招标文件进行必要的澄清或修改。</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3"/>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rPr>
        <w:t>投标文件的编制</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w:t>
      </w:r>
      <w:r>
        <w:rPr>
          <w:rFonts w:hint="eastAsia" w:ascii="宋体" w:hAnsi="宋体" w:eastAsia="宋体" w:cs="宋体"/>
          <w:color w:val="auto"/>
          <w:sz w:val="24"/>
          <w:highlight w:val="none"/>
          <w:lang w:eastAsia="zh-CN"/>
        </w:rPr>
        <w:t>证书</w:t>
      </w:r>
      <w:r>
        <w:rPr>
          <w:rFonts w:hint="eastAsia" w:ascii="宋体" w:hAnsi="宋体" w:eastAsia="宋体" w:cs="宋体"/>
          <w:color w:val="auto"/>
          <w:sz w:val="24"/>
          <w:highlight w:val="none"/>
        </w:rPr>
        <w:t>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参与本项目的人员一览表及证明文件（按招标文件第3章格式填写）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项目负责人相关经验及业绩（按招标文件第3章格式填写）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报价表</w:t>
      </w:r>
      <w:r>
        <w:rPr>
          <w:rFonts w:hint="eastAsia" w:ascii="宋体" w:hAnsi="宋体" w:eastAsia="宋体" w:cs="宋体"/>
          <w:color w:val="auto"/>
          <w:sz w:val="24"/>
          <w:highlight w:val="none"/>
          <w:lang w:eastAsia="zh-CN"/>
        </w:rPr>
        <w:t>（含报价清单）</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技术标文件（独立成册）。</w:t>
      </w:r>
    </w:p>
    <w:p>
      <w:pPr>
        <w:pStyle w:val="2"/>
        <w:ind w:firstLine="480" w:firstLineChars="200"/>
        <w:rPr>
          <w:rFonts w:hint="eastAsia" w:hAnsi="宋体" w:eastAsia="宋体" w:cs="宋体"/>
          <w:color w:val="auto"/>
          <w:sz w:val="24"/>
          <w:highlight w:val="none"/>
          <w:lang w:eastAsia="zh-CN"/>
        </w:rPr>
      </w:pPr>
      <w:r>
        <w:rPr>
          <w:rFonts w:hAnsi="宋体" w:cs="宋体"/>
          <w:color w:val="auto"/>
          <w:sz w:val="24"/>
          <w:highlight w:val="none"/>
        </w:rPr>
        <w:t>11.1</w:t>
      </w:r>
      <w:r>
        <w:rPr>
          <w:rFonts w:hint="eastAsia" w:hAnsi="宋体" w:cs="宋体"/>
          <w:color w:val="auto"/>
          <w:sz w:val="24"/>
          <w:highlight w:val="none"/>
          <w:lang w:val="en-US" w:eastAsia="zh-CN"/>
        </w:rPr>
        <w:t>3</w:t>
      </w:r>
      <w:r>
        <w:rPr>
          <w:rFonts w:hAnsi="宋体" w:cs="宋体"/>
          <w:color w:val="auto"/>
          <w:sz w:val="24"/>
          <w:highlight w:val="none"/>
        </w:rPr>
        <w:t xml:space="preserve"> 投标文件电子版（刻录光盘</w:t>
      </w:r>
      <w:r>
        <w:rPr>
          <w:rFonts w:hint="eastAsia" w:hAnsi="宋体" w:cs="宋体"/>
          <w:color w:val="auto"/>
          <w:sz w:val="24"/>
          <w:highlight w:val="none"/>
          <w:lang w:eastAsia="zh-CN"/>
        </w:rPr>
        <w:t>或提供</w:t>
      </w:r>
      <w:r>
        <w:rPr>
          <w:rFonts w:hint="eastAsia" w:hAnsi="宋体" w:cs="宋体"/>
          <w:color w:val="auto"/>
          <w:sz w:val="24"/>
          <w:highlight w:val="none"/>
          <w:lang w:val="en-US" w:eastAsia="zh-CN"/>
        </w:rPr>
        <w:t>U盘，需为公司盖章版本</w:t>
      </w:r>
      <w:r>
        <w:rPr>
          <w:rFonts w:hAnsi="宋体" w:cs="宋体"/>
          <w:color w:val="auto"/>
          <w:sz w:val="24"/>
          <w:highlight w:val="none"/>
        </w:rPr>
        <w:t>）</w:t>
      </w:r>
      <w:r>
        <w:rPr>
          <w:rFonts w:hint="eastAsia" w:hAnsi="宋体" w:cs="宋体"/>
          <w:color w:val="auto"/>
          <w:sz w:val="24"/>
          <w:highlight w:val="none"/>
          <w:lang w:eastAsia="zh-CN"/>
        </w:rPr>
        <w:t>。</w:t>
      </w:r>
    </w:p>
    <w:p>
      <w:pPr>
        <w:pStyle w:val="2"/>
        <w:ind w:firstLine="480" w:firstLineChars="200"/>
        <w:rPr>
          <w:rFonts w:hint="eastAsia" w:hAnsi="宋体" w:cs="宋体"/>
          <w:color w:val="auto"/>
          <w:sz w:val="24"/>
          <w:highlight w:val="none"/>
          <w:lang w:val="en-US" w:eastAsia="zh-CN"/>
        </w:rPr>
      </w:pPr>
      <w:r>
        <w:rPr>
          <w:rFonts w:hint="eastAsia" w:hAnsi="宋体" w:cs="宋体"/>
          <w:color w:val="auto"/>
          <w:sz w:val="24"/>
          <w:highlight w:val="none"/>
          <w:lang w:val="en-US" w:eastAsia="zh-CN"/>
        </w:rPr>
        <w:t>11.14投标申请人声明。</w:t>
      </w:r>
    </w:p>
    <w:p>
      <w:pPr>
        <w:pStyle w:val="2"/>
        <w:ind w:firstLine="480" w:firstLineChars="200"/>
        <w:rPr>
          <w:rFonts w:hint="eastAsia" w:ascii="宋体" w:hAnsi="宋体" w:cs="宋体"/>
          <w:color w:val="auto"/>
          <w:sz w:val="24"/>
          <w:highlight w:val="none"/>
          <w:lang w:eastAsia="zh-CN"/>
        </w:rPr>
      </w:pPr>
      <w:r>
        <w:rPr>
          <w:rFonts w:hint="eastAsia" w:hAnsi="宋体" w:cs="宋体"/>
          <w:color w:val="auto"/>
          <w:sz w:val="24"/>
          <w:highlight w:val="none"/>
          <w:lang w:val="en-US" w:eastAsia="zh-CN"/>
        </w:rPr>
        <w:t>11.15</w:t>
      </w:r>
      <w:r>
        <w:rPr>
          <w:rFonts w:hint="eastAsia" w:ascii="宋体" w:hAnsi="宋体" w:cs="宋体"/>
          <w:color w:val="auto"/>
          <w:sz w:val="24"/>
          <w:highlight w:val="none"/>
          <w:lang w:eastAsia="zh-CN"/>
        </w:rPr>
        <w:t>施工组织方案（含安全措施</w:t>
      </w:r>
      <w:r>
        <w:rPr>
          <w:rFonts w:hint="eastAsia" w:ascii="宋体" w:hAnsi="宋体" w:eastAsia="宋体" w:cs="宋体"/>
          <w:color w:val="auto"/>
          <w:sz w:val="24"/>
          <w:highlight w:val="none"/>
          <w:lang w:eastAsia="zh-CN"/>
        </w:rPr>
        <w:t>）</w:t>
      </w:r>
    </w:p>
    <w:p>
      <w:pPr>
        <w:pStyle w:val="2"/>
        <w:ind w:firstLine="480" w:firstLineChars="200"/>
        <w:rPr>
          <w:rFonts w:hint="default" w:hAnsi="宋体" w:eastAsia="宋体" w:cs="宋体"/>
          <w:color w:val="auto"/>
          <w:sz w:val="24"/>
          <w:highlight w:val="none"/>
          <w:lang w:val="en-US" w:eastAsia="zh-CN"/>
        </w:rPr>
      </w:pPr>
      <w:r>
        <w:rPr>
          <w:rFonts w:hint="eastAsia" w:hAnsi="宋体" w:cs="宋体"/>
          <w:color w:val="auto"/>
          <w:sz w:val="24"/>
          <w:highlight w:val="none"/>
          <w:lang w:val="en-US" w:eastAsia="zh-CN"/>
        </w:rPr>
        <w:t>11.16投标人认为需要提供的其他文件。</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投标报价不</w:t>
      </w:r>
      <w:r>
        <w:rPr>
          <w:rFonts w:hint="eastAsia" w:ascii="宋体" w:hAnsi="宋体" w:cs="宋体"/>
          <w:color w:val="auto"/>
          <w:sz w:val="24"/>
          <w:szCs w:val="24"/>
          <w:highlight w:val="none"/>
          <w:lang w:eastAsia="zh-CN"/>
        </w:rPr>
        <w:t>能</w:t>
      </w:r>
      <w:r>
        <w:rPr>
          <w:rFonts w:hint="eastAsia" w:ascii="宋体" w:hAnsi="宋体" w:cs="宋体"/>
          <w:color w:val="auto"/>
          <w:sz w:val="24"/>
          <w:szCs w:val="24"/>
          <w:highlight w:val="none"/>
        </w:rPr>
        <w:t>超过</w:t>
      </w:r>
      <w:r>
        <w:rPr>
          <w:rFonts w:hint="eastAsia" w:ascii="宋体" w:hAnsi="宋体" w:cs="宋体"/>
          <w:color w:val="auto"/>
          <w:sz w:val="24"/>
          <w:szCs w:val="24"/>
          <w:highlight w:val="none"/>
          <w:lang w:eastAsia="zh-CN"/>
        </w:rPr>
        <w:t>招标控制价，否则按废标处理</w:t>
      </w:r>
      <w:r>
        <w:rPr>
          <w:rFonts w:hint="eastAsia" w:ascii="宋体" w:hAnsi="宋体" w:cs="宋体"/>
          <w:color w:val="auto"/>
          <w:sz w:val="24"/>
          <w:szCs w:val="24"/>
          <w:highlight w:val="none"/>
        </w:rPr>
        <w:t>。（小数点后保留二位小数，第三位小数四舍五入）</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编号、投标人、投标时间，右上角打上正本（或副本）。使用书式装订，装订时书订不外露；不能使用塑料面或塑料胶条装订。</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投标文件的提交</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13"/>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开标</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评标</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组成人员或其他有关人员索问评标过程的情况和材料。</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将予以拒绝，并且不允许投标人通过修改或撤销其不符合要求的差异或保留，使之成为具有响应性的投标。</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27.1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27.3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合同的授予</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一年内拒绝其对招标人其他招标项目的投标文件。</w:t>
      </w:r>
      <w:r>
        <w:rPr>
          <w:rFonts w:hint="eastAsia" w:ascii="宋体" w:hAnsi="宋体" w:eastAsia="宋体" w:cs="宋体"/>
          <w:color w:val="auto"/>
          <w:sz w:val="24"/>
          <w:highlight w:val="none"/>
        </w:rPr>
        <w:t>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13"/>
        <w:widowControl/>
        <w:numPr>
          <w:ilvl w:val="0"/>
          <w:numId w:val="2"/>
        </w:numPr>
        <w:spacing w:beforeAutospacing="0" w:after="0" w:line="360" w:lineRule="auto"/>
        <w:ind w:firstLine="482" w:firstLineChars="200"/>
        <w:outlineLvl w:val="3"/>
        <w:rPr>
          <w:rFonts w:hint="eastAsia" w:ascii="宋体" w:hAnsi="宋体" w:cs="宋体"/>
          <w:b/>
          <w:color w:val="auto"/>
          <w:sz w:val="24"/>
          <w:highlight w:val="none"/>
        </w:rPr>
      </w:pPr>
      <w:r>
        <w:rPr>
          <w:rFonts w:hint="eastAsia" w:ascii="宋体" w:hAnsi="宋体" w:cs="宋体"/>
          <w:b/>
          <w:color w:val="auto"/>
          <w:sz w:val="24"/>
          <w:highlight w:val="none"/>
        </w:rPr>
        <w:t>合同生效</w:t>
      </w:r>
    </w:p>
    <w:p>
      <w:pPr>
        <w:pStyle w:val="13"/>
        <w:widowControl/>
        <w:numPr>
          <w:ilvl w:val="0"/>
          <w:numId w:val="0"/>
        </w:numPr>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bookmarkStart w:id="4" w:name="_Toc1632"/>
      <w:bookmarkStart w:id="5" w:name="_Toc27492"/>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rPr>
          <w:color w:val="auto"/>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第2章 项目需求书</w:t>
      </w:r>
      <w:bookmarkEnd w:id="4"/>
    </w:p>
    <w:p>
      <w:pPr>
        <w:rPr>
          <w:rFonts w:ascii="宋体" w:hAnsi="宋体" w:eastAsia="宋体" w:cs="宋体"/>
          <w:b/>
          <w:color w:val="auto"/>
          <w:sz w:val="30"/>
          <w:szCs w:val="30"/>
          <w:highlight w:val="none"/>
        </w:rPr>
      </w:pPr>
    </w:p>
    <w:p>
      <w:pPr>
        <w:numPr>
          <w:ilvl w:val="0"/>
          <w:numId w:val="3"/>
        </w:numPr>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项目概况</w:t>
      </w:r>
    </w:p>
    <w:p>
      <w:pPr>
        <w:widowControl w:val="0"/>
        <w:ind w:firstLine="614" w:firstLineChars="192"/>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项目</w:t>
      </w:r>
      <w:r>
        <w:rPr>
          <w:rFonts w:hint="eastAsia" w:ascii="仿宋_GB2312" w:hAnsi="仿宋_GB2312" w:eastAsia="仿宋_GB2312" w:cs="仿宋_GB2312"/>
          <w:color w:val="auto"/>
          <w:sz w:val="32"/>
          <w:szCs w:val="32"/>
          <w:highlight w:val="none"/>
          <w:lang w:eastAsia="zh-CN"/>
        </w:rPr>
        <w:t>地块位于</w:t>
      </w:r>
      <w:r>
        <w:rPr>
          <w:rFonts w:hint="eastAsia" w:ascii="仿宋_GB2312" w:hAnsi="仿宋_GB2312" w:eastAsia="仿宋_GB2312" w:cs="仿宋_GB2312"/>
          <w:color w:val="auto"/>
          <w:sz w:val="32"/>
          <w:szCs w:val="32"/>
          <w:highlight w:val="none"/>
          <w:lang w:val="en-US" w:eastAsia="zh-CN"/>
        </w:rPr>
        <w:t>广州市南沙区龙穴岛西南侧，毗邻南沙港一期、南沙港四期码头，</w:t>
      </w:r>
      <w:r>
        <w:rPr>
          <w:rFonts w:hint="eastAsia" w:ascii="仿宋_GB2312" w:hAnsi="仿宋_GB2312" w:eastAsia="仿宋_GB2312" w:cs="仿宋_GB2312"/>
          <w:color w:val="auto"/>
          <w:sz w:val="32"/>
          <w:szCs w:val="32"/>
          <w:highlight w:val="none"/>
        </w:rPr>
        <w:t>规划总面积约27950平方米。项目整体策划，分期开发</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主要打造进出口水果海鲜商品集市，同时配备餐饮及消费街区，包括</w:t>
      </w:r>
      <w:r>
        <w:rPr>
          <w:rFonts w:hint="eastAsia" w:ascii="仿宋_GB2312" w:hAnsi="仿宋_GB2312" w:eastAsia="仿宋_GB2312" w:cs="仿宋_GB2312"/>
          <w:b w:val="0"/>
          <w:bCs w:val="0"/>
          <w:color w:val="auto"/>
          <w:sz w:val="32"/>
          <w:szCs w:val="32"/>
          <w:highlight w:val="none"/>
          <w:lang w:val="en-US" w:eastAsia="zh-CN"/>
        </w:rPr>
        <w:t>ABCDE成品集装箱配套的基础、彩色混凝土、硅铺塑胶地面、卵石分隔带、平道牙、汀步、沙坑、台阶、无障碍坡道、排水沟、绿化工程</w:t>
      </w:r>
      <w:r>
        <w:rPr>
          <w:rFonts w:hint="eastAsia" w:ascii="仿宋_GB2312" w:hAnsi="仿宋_GB2312" w:eastAsia="仿宋_GB2312" w:cs="仿宋_GB2312"/>
          <w:color w:val="auto"/>
          <w:spacing w:val="0"/>
          <w:sz w:val="32"/>
          <w:szCs w:val="32"/>
          <w:highlight w:val="none"/>
          <w:lang w:val="en-US" w:eastAsia="zh-CN"/>
        </w:rPr>
        <w:t>等</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一期</w:t>
      </w:r>
      <w:r>
        <w:rPr>
          <w:rFonts w:hint="eastAsia" w:ascii="仿宋_GB2312" w:hAnsi="仿宋_GB2312" w:eastAsia="仿宋_GB2312" w:cs="仿宋_GB2312"/>
          <w:color w:val="auto"/>
          <w:sz w:val="32"/>
          <w:szCs w:val="32"/>
          <w:highlight w:val="none"/>
        </w:rPr>
        <w:t>用地面积约15600平方米</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投资金额</w:t>
      </w:r>
      <w:r>
        <w:rPr>
          <w:rFonts w:hint="eastAsia" w:ascii="仿宋_GB2312" w:hAnsi="仿宋_GB2312" w:eastAsia="仿宋_GB2312" w:cs="仿宋_GB2312"/>
          <w:i w:val="0"/>
          <w:iCs w:val="0"/>
          <w:color w:val="auto"/>
          <w:sz w:val="32"/>
          <w:szCs w:val="32"/>
          <w:highlight w:val="none"/>
          <w:lang w:val="en-US" w:eastAsia="zh-CN"/>
        </w:rPr>
        <w:t>1150.37</w:t>
      </w:r>
      <w:r>
        <w:rPr>
          <w:rFonts w:hint="eastAsia" w:ascii="仿宋_GB2312" w:hAnsi="仿宋_GB2312" w:eastAsia="仿宋_GB2312" w:cs="仿宋_GB2312"/>
          <w:color w:val="auto"/>
          <w:sz w:val="32"/>
          <w:szCs w:val="32"/>
          <w:highlight w:val="none"/>
          <w:lang w:val="en-US" w:eastAsia="zh-CN"/>
        </w:rPr>
        <w:t>万元</w:t>
      </w:r>
      <w:r>
        <w:rPr>
          <w:rFonts w:hint="eastAsia" w:ascii="仿宋_GB2312" w:hAnsi="仿宋_GB2312" w:eastAsia="仿宋_GB2312" w:cs="仿宋_GB2312"/>
          <w:color w:val="auto"/>
          <w:sz w:val="32"/>
          <w:szCs w:val="32"/>
          <w:highlight w:val="none"/>
        </w:rPr>
        <w:t>。</w:t>
      </w:r>
    </w:p>
    <w:p>
      <w:pPr>
        <w:numPr>
          <w:ilvl w:val="0"/>
          <w:numId w:val="0"/>
        </w:numPr>
        <w:ind w:firstLine="643" w:firstLineChars="200"/>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二、招标范围</w:t>
      </w:r>
    </w:p>
    <w:p>
      <w:pPr>
        <w:pStyle w:val="19"/>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pacing w:val="0"/>
          <w:sz w:val="32"/>
          <w:szCs w:val="32"/>
          <w:highlight w:val="none"/>
          <w:lang w:val="en-US" w:eastAsia="zh-CN"/>
        </w:rPr>
        <w:t>建设内容包括</w:t>
      </w:r>
      <w:r>
        <w:rPr>
          <w:rFonts w:hint="eastAsia" w:ascii="仿宋_GB2312" w:hAnsi="仿宋_GB2312" w:eastAsia="仿宋_GB2312" w:cs="仿宋_GB2312"/>
          <w:bCs w:val="0"/>
          <w:color w:val="auto"/>
          <w:spacing w:val="0"/>
          <w:sz w:val="32"/>
          <w:szCs w:val="32"/>
          <w:highlight w:val="none"/>
          <w:lang w:val="en-US" w:eastAsia="zh-CN"/>
        </w:rPr>
        <w:t>停车场及园路施工、停车场划线及道闸系统、配套电气工程、弱电工程、暖通工程、给排水、消防水工程</w:t>
      </w:r>
      <w:r>
        <w:rPr>
          <w:rFonts w:hint="eastAsia" w:ascii="仿宋_GB2312" w:hAnsi="仿宋_GB2312" w:eastAsia="仿宋_GB2312" w:cs="仿宋_GB2312"/>
          <w:color w:val="auto"/>
          <w:spacing w:val="0"/>
          <w:sz w:val="32"/>
          <w:szCs w:val="32"/>
          <w:highlight w:val="none"/>
          <w:lang w:val="en-US" w:eastAsia="zh-CN"/>
        </w:rPr>
        <w:t>等。</w:t>
      </w:r>
    </w:p>
    <w:p>
      <w:pPr>
        <w:pStyle w:val="1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pacing w:val="0"/>
          <w:sz w:val="32"/>
          <w:szCs w:val="32"/>
          <w:highlight w:val="none"/>
          <w:lang w:val="en-US" w:eastAsia="zh-CN"/>
        </w:rPr>
        <w:t>具体以实际施工图纸、工程量清单为准。</w:t>
      </w:r>
      <w:r>
        <w:rPr>
          <w:rFonts w:hint="eastAsia" w:ascii="仿宋_GB2312" w:hAnsi="仿宋_GB2312" w:eastAsia="仿宋_GB2312" w:cs="仿宋_GB2312"/>
          <w:color w:val="auto"/>
          <w:kern w:val="0"/>
          <w:sz w:val="32"/>
          <w:szCs w:val="32"/>
          <w:highlight w:val="none"/>
          <w:lang w:val="en-US" w:eastAsia="zh-CN"/>
        </w:rPr>
        <w:t>投标</w:t>
      </w:r>
      <w:r>
        <w:rPr>
          <w:rFonts w:hint="eastAsia" w:ascii="仿宋_GB2312" w:hAnsi="仿宋_GB2312" w:eastAsia="仿宋_GB2312" w:cs="仿宋_GB2312"/>
          <w:color w:val="auto"/>
          <w:kern w:val="0"/>
          <w:sz w:val="32"/>
          <w:szCs w:val="32"/>
          <w:highlight w:val="none"/>
        </w:rPr>
        <w:t>人需按</w:t>
      </w:r>
      <w:r>
        <w:rPr>
          <w:rFonts w:hint="eastAsia" w:ascii="仿宋_GB2312" w:hAnsi="仿宋_GB2312" w:eastAsia="仿宋_GB2312" w:cs="仿宋_GB2312"/>
          <w:color w:val="auto"/>
          <w:kern w:val="0"/>
          <w:sz w:val="32"/>
          <w:szCs w:val="32"/>
          <w:highlight w:val="none"/>
          <w:lang w:val="en-US" w:eastAsia="zh-CN"/>
        </w:rPr>
        <w:t>招标文件、图纸规范等</w:t>
      </w:r>
      <w:r>
        <w:rPr>
          <w:rFonts w:hint="eastAsia" w:ascii="仿宋_GB2312" w:hAnsi="仿宋_GB2312" w:eastAsia="仿宋_GB2312" w:cs="仿宋_GB2312"/>
          <w:color w:val="auto"/>
          <w:kern w:val="0"/>
          <w:sz w:val="32"/>
          <w:szCs w:val="32"/>
          <w:highlight w:val="none"/>
        </w:rPr>
        <w:t>要求</w:t>
      </w:r>
      <w:r>
        <w:rPr>
          <w:rFonts w:hint="eastAsia" w:ascii="仿宋_GB2312" w:hAnsi="仿宋_GB2312" w:eastAsia="仿宋_GB2312" w:cs="仿宋_GB2312"/>
          <w:color w:val="auto"/>
          <w:kern w:val="0"/>
          <w:sz w:val="32"/>
          <w:szCs w:val="32"/>
          <w:highlight w:val="none"/>
          <w:lang w:val="en-US" w:eastAsia="zh-CN"/>
        </w:rPr>
        <w:t>进行</w:t>
      </w:r>
      <w:r>
        <w:rPr>
          <w:rFonts w:hint="eastAsia" w:ascii="仿宋_GB2312" w:hAnsi="仿宋_GB2312" w:eastAsia="仿宋_GB2312" w:cs="仿宋_GB2312"/>
          <w:color w:val="auto"/>
          <w:kern w:val="0"/>
          <w:sz w:val="32"/>
          <w:szCs w:val="32"/>
          <w:highlight w:val="none"/>
        </w:rPr>
        <w:t>施工，</w:t>
      </w:r>
      <w:r>
        <w:rPr>
          <w:rFonts w:hint="eastAsia" w:ascii="仿宋_GB2312" w:hAnsi="仿宋_GB2312" w:eastAsia="仿宋_GB2312" w:cs="仿宋_GB2312"/>
          <w:color w:val="auto"/>
          <w:kern w:val="0"/>
          <w:sz w:val="32"/>
          <w:szCs w:val="32"/>
          <w:highlight w:val="none"/>
          <w:lang w:val="en-US" w:eastAsia="zh-CN"/>
        </w:rPr>
        <w:t>如</w:t>
      </w:r>
      <w:r>
        <w:rPr>
          <w:rFonts w:hint="eastAsia" w:ascii="仿宋_GB2312" w:hAnsi="仿宋_GB2312" w:eastAsia="仿宋_GB2312" w:cs="仿宋_GB2312"/>
          <w:color w:val="auto"/>
          <w:kern w:val="0"/>
          <w:sz w:val="32"/>
          <w:szCs w:val="32"/>
          <w:highlight w:val="none"/>
        </w:rPr>
        <w:t>设计图纸有调整时，必须服从要求调整</w:t>
      </w:r>
      <w:r>
        <w:rPr>
          <w:rFonts w:hint="eastAsia" w:ascii="仿宋_GB2312" w:hAnsi="仿宋_GB2312" w:eastAsia="仿宋_GB2312" w:cs="仿宋_GB2312"/>
          <w:bCs w:val="0"/>
          <w:color w:val="auto"/>
          <w:sz w:val="32"/>
          <w:szCs w:val="32"/>
          <w:highlight w:val="none"/>
          <w:lang w:eastAsia="zh-CN"/>
        </w:rPr>
        <w:t>。</w:t>
      </w:r>
    </w:p>
    <w:p>
      <w:pPr>
        <w:ind w:firstLine="480" w:firstLineChars="200"/>
        <w:rPr>
          <w:rFonts w:asciiTheme="minorEastAsia" w:hAnsiTheme="minorEastAsia" w:cstheme="minorEastAsia"/>
          <w:color w:val="auto"/>
          <w:kern w:val="0"/>
          <w:sz w:val="24"/>
          <w:highlight w:val="none"/>
        </w:rPr>
      </w:pPr>
    </w:p>
    <w:p>
      <w:pP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第3章  投标格式文件</w:t>
      </w:r>
      <w:bookmarkEnd w:id="5"/>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广州南沙国际物流有限公司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港口新鲜集市（A地块）项目（一期）--配套工程施工</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u w:val="single"/>
          <w:lang w:eastAsia="zh-CN"/>
        </w:rPr>
        <w:t>港口新鲜集市（A地块）项目（一期）--配套工程施工</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3"/>
          <w:sz w:val="24"/>
          <w:highlight w:val="none"/>
          <w:u w:val="single"/>
          <w:lang w:val="en-US" w:eastAsia="zh-CN"/>
        </w:rPr>
        <w:t>90</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4、在正式签订服务协议书之前，本投标书连同贵方的中标通知书应成为约束贵、我双方的合同文件。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广州南沙国际物流有限公司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3"/>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23342668"/>
      <w:bookmarkEnd w:id="6"/>
      <w:bookmarkStart w:id="7" w:name="_Toc216145749"/>
      <w:bookmarkEnd w:id="7"/>
      <w:r>
        <w:rPr>
          <w:rFonts w:hint="eastAsia" w:ascii="宋体" w:hAnsi="宋体" w:eastAsia="宋体" w:cs="黑体"/>
          <w:color w:val="auto"/>
          <w:sz w:val="28"/>
          <w:szCs w:val="28"/>
          <w:highlight w:val="none"/>
        </w:rPr>
        <w:t>格式三：</w:t>
      </w:r>
    </w:p>
    <w:p>
      <w:pPr>
        <w:pStyle w:val="25"/>
        <w:widowControl/>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pPr>
        <w:pStyle w:val="25"/>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5"/>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5"/>
        <w:widowControl/>
        <w:ind w:firstLine="618"/>
        <w:rPr>
          <w:b/>
          <w:color w:val="auto"/>
          <w:sz w:val="30"/>
          <w:szCs w:val="30"/>
          <w:highlight w:val="none"/>
        </w:rPr>
      </w:pPr>
      <w:r>
        <w:rPr>
          <w:b/>
          <w:color w:val="auto"/>
          <w:sz w:val="30"/>
          <w:szCs w:val="30"/>
          <w:highlight w:val="none"/>
        </w:rPr>
        <w:t xml:space="preserve"> </w:t>
      </w:r>
    </w:p>
    <w:p>
      <w:pPr>
        <w:pStyle w:val="25"/>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5"/>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5"/>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23"/>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3"/>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pPr>
        <w:pStyle w:val="25"/>
        <w:widowControl/>
        <w:ind w:firstLine="0" w:firstLineChars="0"/>
        <w:jc w:val="center"/>
        <w:rPr>
          <w:b/>
          <w:color w:val="auto"/>
          <w:sz w:val="28"/>
          <w:szCs w:val="28"/>
          <w:highlight w:val="none"/>
        </w:rPr>
      </w:pPr>
      <w:r>
        <w:rPr>
          <w:b/>
          <w:color w:val="auto"/>
          <w:sz w:val="28"/>
          <w:szCs w:val="28"/>
          <w:highlight w:val="none"/>
        </w:rPr>
        <w:t xml:space="preserve"> </w:t>
      </w: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广州南沙国际物流有限公司</w:t>
      </w:r>
      <w:r>
        <w:rPr>
          <w:rFonts w:hint="eastAsia" w:ascii="宋体" w:hAnsi="宋体" w:eastAsia="宋体" w:cs="宋体"/>
          <w:color w:val="auto"/>
          <w:sz w:val="24"/>
          <w:highlight w:val="none"/>
          <w:u w:val="single"/>
        </w:rPr>
        <w:t>、广州南沙建设维护管理有限公司</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港口新鲜集市（A地块）项目（一期）--配套工程施工</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实际</w:t>
      </w:r>
      <w:r>
        <w:rPr>
          <w:rFonts w:hint="eastAsia" w:ascii="宋体" w:hAnsi="宋体" w:eastAsia="宋体" w:cs="宋体"/>
          <w:color w:val="auto"/>
          <w:sz w:val="24"/>
          <w:highlight w:val="none"/>
        </w:rPr>
        <w:t>人员</w:t>
      </w:r>
      <w:r>
        <w:rPr>
          <w:rFonts w:hint="eastAsia" w:ascii="宋体" w:hAnsi="宋体" w:eastAsia="宋体" w:cs="宋体"/>
          <w:color w:val="auto"/>
          <w:sz w:val="24"/>
          <w:highlight w:val="none"/>
          <w:lang w:val="en-US" w:eastAsia="zh-CN"/>
        </w:rPr>
        <w:t>均按投标文件人员名单配备</w:t>
      </w:r>
      <w:r>
        <w:rPr>
          <w:rFonts w:hint="eastAsia" w:ascii="宋体" w:hAnsi="宋体" w:eastAsia="宋体" w:cs="宋体"/>
          <w:color w:val="auto"/>
          <w:sz w:val="24"/>
          <w:highlight w:val="none"/>
        </w:rPr>
        <w:t>。</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196130013"/>
      <w:bookmarkEnd w:id="11"/>
      <w:bookmarkStart w:id="12" w:name="_Toc196130110"/>
      <w:bookmarkEnd w:id="12"/>
      <w:bookmarkStart w:id="13" w:name="_Toc459403394"/>
      <w:bookmarkEnd w:id="13"/>
      <w:bookmarkStart w:id="14" w:name="_Toc199647675"/>
      <w:bookmarkEnd w:id="14"/>
      <w:bookmarkStart w:id="15" w:name="_Toc326909213"/>
      <w:bookmarkEnd w:id="15"/>
      <w:bookmarkStart w:id="16" w:name="_Toc415833503"/>
      <w:bookmarkEnd w:id="16"/>
      <w:bookmarkStart w:id="17" w:name="_Toc197235848"/>
      <w:bookmarkEnd w:id="17"/>
      <w:bookmarkStart w:id="18" w:name="_Toc196036941"/>
      <w:bookmarkEnd w:id="18"/>
      <w:bookmarkStart w:id="19" w:name="_Toc41822703"/>
      <w:bookmarkEnd w:id="19"/>
      <w:bookmarkStart w:id="20" w:name="_Toc196037097"/>
      <w:bookmarkEnd w:id="20"/>
      <w:bookmarkStart w:id="21" w:name="_Toc415728297"/>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pPr>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4"/>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ISO9000认证号、范围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投标单位完成本项目所独有的有利条件及相关的专业特长：</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4" w:name="_Toc196130111"/>
      <w:bookmarkEnd w:id="24"/>
      <w:bookmarkStart w:id="25" w:name="_Toc415833504"/>
      <w:bookmarkEnd w:id="25"/>
      <w:bookmarkStart w:id="26" w:name="_Toc459403395"/>
      <w:bookmarkEnd w:id="26"/>
      <w:bookmarkStart w:id="27" w:name="_Toc196130014"/>
      <w:bookmarkEnd w:id="27"/>
      <w:bookmarkStart w:id="28" w:name="_Toc415728298"/>
      <w:bookmarkEnd w:id="28"/>
      <w:bookmarkStart w:id="29" w:name="_Toc326909214"/>
      <w:bookmarkEnd w:id="29"/>
      <w:bookmarkStart w:id="30" w:name="_Toc196036942"/>
      <w:bookmarkEnd w:id="30"/>
      <w:bookmarkStart w:id="31" w:name="_Toc199647676"/>
      <w:bookmarkEnd w:id="31"/>
      <w:bookmarkStart w:id="32" w:name="_Toc197235849"/>
      <w:bookmarkEnd w:id="32"/>
      <w:bookmarkStart w:id="33" w:name="_Toc196037098"/>
      <w:bookmarkEnd w:id="33"/>
      <w:bookmarkStart w:id="34" w:name="_Toc462911099"/>
    </w:p>
    <w:bookmarkEnd w:id="34"/>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六</w:t>
      </w:r>
      <w:r>
        <w:rPr>
          <w:rFonts w:hint="eastAsia" w:ascii="仿宋" w:hAnsi="仿宋" w:eastAsia="仿宋" w:cs="宋体"/>
          <w:color w:val="auto"/>
          <w:sz w:val="28"/>
          <w:szCs w:val="28"/>
          <w:highlight w:val="none"/>
        </w:rPr>
        <w:t>：</w:t>
      </w:r>
    </w:p>
    <w:p>
      <w:pPr>
        <w:adjustRightInd w:val="0"/>
        <w:snapToGrid w:val="0"/>
        <w:spacing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注：1、“拟承担工作”栏，应注明主要人员（须注明项目负责人、各专业负责人）等。</w:t>
      </w:r>
    </w:p>
    <w:p>
      <w:pPr>
        <w:adjustRightInd w:val="0"/>
        <w:snapToGrid w:val="0"/>
        <w:spacing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、人员应附上个人注册执业资格证、职称证等文件（复印件，加盖单位公章）。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七</w:t>
      </w:r>
      <w:r>
        <w:rPr>
          <w:rFonts w:hint="eastAsia" w:ascii="仿宋" w:hAnsi="仿宋" w:eastAsia="仿宋" w:cs="宋体"/>
          <w:color w:val="auto"/>
          <w:sz w:val="28"/>
          <w:szCs w:val="28"/>
          <w:highlight w:val="none"/>
        </w:rPr>
        <w:t>：</w:t>
      </w: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adjustRightInd w:val="0"/>
        <w:snapToGrid w:val="0"/>
        <w:spacing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w:t>
            </w:r>
            <w:r>
              <w:rPr>
                <w:rFonts w:hint="eastAsia" w:ascii="宋体" w:hAnsi="宋体" w:eastAsia="宋体" w:cs="宋体"/>
                <w:color w:val="auto"/>
                <w:szCs w:val="21"/>
                <w:highlight w:val="none"/>
                <w:lang w:eastAsia="zh-CN"/>
              </w:rPr>
              <w:t>项目</w:t>
            </w:r>
            <w:r>
              <w:rPr>
                <w:rFonts w:hint="eastAsia" w:ascii="宋体" w:hAnsi="宋体" w:eastAsia="宋体" w:cs="宋体"/>
                <w:color w:val="auto"/>
                <w:szCs w:val="21"/>
                <w:highlight w:val="none"/>
              </w:rPr>
              <w:t>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2、项目负责人必须附执业证书及资格证书、身份证、职称证书及业绩等证明材料（复印件，加盖单位公章）。</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3、业绩证明资料须提供：合同；相关证明资料中必须能反映出评标所需指标、人员姓名和岗位等，否则相应子项不予计分。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5"/>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八</w:t>
      </w:r>
      <w:r>
        <w:rPr>
          <w:rFonts w:hint="eastAsia" w:ascii="宋体" w:hAnsi="宋体" w:eastAsia="宋体" w:cs="黑体"/>
          <w:b/>
          <w:color w:val="auto"/>
          <w:spacing w:val="4"/>
          <w:kern w:val="0"/>
          <w:sz w:val="28"/>
          <w:szCs w:val="28"/>
          <w:highlight w:val="none"/>
        </w:rPr>
        <w:t>：</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en-US" w:eastAsia="zh-CN"/>
        </w:rPr>
        <w:t>投标</w:t>
      </w: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4"/>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eastAsia="zh-CN"/>
              </w:rPr>
              <w:t>港口新鲜集市（A地块）项目（一期）--配套工程施工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restart"/>
            <w:vAlign w:val="center"/>
          </w:tcPr>
          <w:p>
            <w:pPr>
              <w:autoSpaceDE w:val="0"/>
              <w:autoSpaceDN w:val="0"/>
              <w:adjustRightInd w:val="0"/>
              <w:snapToGrid w:val="0"/>
              <w:spacing w:line="360" w:lineRule="auto"/>
              <w:jc w:val="center"/>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eastAsiaTheme="minorEastAsia"/>
                <w:bCs/>
                <w:color w:val="auto"/>
                <w:sz w:val="21"/>
                <w:szCs w:val="21"/>
                <w:highlight w:val="none"/>
                <w:u w:val="none"/>
                <w:lang w:val="zh-CN" w:eastAsia="zh-CN"/>
              </w:rPr>
              <w:t>（人民币）</w:t>
            </w: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小写：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大写：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default"/>
                <w:color w:val="auto"/>
                <w:highlight w:val="none"/>
                <w:lang w:val="en-US" w:eastAsia="zh-CN"/>
              </w:rPr>
            </w:pPr>
            <w:r>
              <w:rPr>
                <w:rFonts w:hint="eastAsia"/>
                <w:color w:val="auto"/>
                <w:highlight w:val="none"/>
                <w:lang w:eastAsia="zh-CN"/>
              </w:rPr>
              <w:t>下浮率：</w:t>
            </w:r>
            <w:r>
              <w:rPr>
                <w:rFonts w:hint="eastAsia"/>
                <w:color w:val="auto"/>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711" w:type="dxa"/>
            <w:vMerge w:val="continue"/>
            <w:vAlign w:val="center"/>
          </w:tcPr>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p>
        </w:tc>
        <w:tc>
          <w:tcPr>
            <w:tcW w:w="6699" w:type="dxa"/>
            <w:vAlign w:val="center"/>
          </w:tcPr>
          <w:p>
            <w:pPr>
              <w:autoSpaceDE w:val="0"/>
              <w:autoSpaceDN w:val="0"/>
              <w:adjustRightInd w:val="0"/>
              <w:snapToGrid w:val="0"/>
              <w:spacing w:line="360" w:lineRule="auto"/>
              <w:jc w:val="left"/>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其中：</w:t>
            </w:r>
            <w:r>
              <w:rPr>
                <w:rFonts w:hint="eastAsia" w:ascii="宋体" w:hAnsi="宋体" w:cs="宋体"/>
                <w:bCs/>
                <w:color w:val="auto"/>
                <w:sz w:val="21"/>
                <w:szCs w:val="21"/>
                <w:highlight w:val="none"/>
                <w:u w:val="none"/>
                <w:lang w:val="en-US" w:eastAsia="zh-CN"/>
              </w:rPr>
              <w:t>绿色施工安全防护措施费</w:t>
            </w:r>
            <w:r>
              <w:rPr>
                <w:rFonts w:hint="eastAsia" w:ascii="宋体" w:hAnsi="宋体" w:cs="宋体" w:eastAsiaTheme="minorEastAsia"/>
                <w:bCs/>
                <w:color w:val="auto"/>
                <w:sz w:val="21"/>
                <w:szCs w:val="21"/>
                <w:highlight w:val="none"/>
                <w:u w:val="none"/>
                <w:lang w:val="en-US" w:eastAsia="zh-CN"/>
              </w:rPr>
              <w:t>为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711" w:type="dxa"/>
            <w:vMerge w:val="continue"/>
            <w:vAlign w:val="center"/>
          </w:tcPr>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其中：专业暂估价为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2"/>
        <w:spacing w:line="360" w:lineRule="auto"/>
        <w:ind w:firstLine="210" w:firstLineChars="100"/>
        <w:rPr>
          <w:rFonts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pPr>
        <w:pStyle w:val="2"/>
        <w:widowControl/>
        <w:spacing w:line="360" w:lineRule="auto"/>
        <w:ind w:firstLine="210" w:firstLineChars="10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lang w:val="en-US" w:eastAsia="zh-CN"/>
        </w:rPr>
        <w:t>2</w:t>
      </w:r>
      <w:r>
        <w:rPr>
          <w:rFonts w:hint="eastAsia" w:ascii="宋体" w:hAnsi="宋体" w:eastAsia="宋体" w:cs="宋体"/>
          <w:bCs/>
          <w:color w:val="auto"/>
          <w:highlight w:val="none"/>
          <w:lang w:eastAsia="zh-CN"/>
        </w:rPr>
        <w:t>）</w:t>
      </w:r>
      <w:r>
        <w:rPr>
          <w:rFonts w:hint="eastAsia" w:ascii="宋体" w:hAnsi="宋体" w:eastAsia="宋体" w:cs="宋体"/>
          <w:bCs/>
          <w:color w:val="auto"/>
          <w:kern w:val="2"/>
          <w:sz w:val="21"/>
          <w:szCs w:val="21"/>
          <w:highlight w:val="none"/>
          <w:lang w:val="en-US" w:eastAsia="zh-CN" w:bidi="ar-SA"/>
        </w:rPr>
        <w:t>投标单位自行报价，投标总报价不能超过招标控制价，否则按废标处理。小数点后保留二位小数，第三位小数四舍五入。</w:t>
      </w:r>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autoSpaceDE w:val="0"/>
        <w:autoSpaceDN w:val="0"/>
        <w:adjustRightInd w:val="0"/>
        <w:spacing w:line="480" w:lineRule="auto"/>
        <w:rPr>
          <w:rFonts w:eastAsia="黑体"/>
          <w:color w:val="auto"/>
          <w:sz w:val="28"/>
          <w:szCs w:val="28"/>
          <w:highlight w:val="none"/>
        </w:rPr>
      </w:pPr>
    </w:p>
    <w:p>
      <w:pPr>
        <w:spacing w:line="480" w:lineRule="auto"/>
        <w:rPr>
          <w:color w:val="auto"/>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2"/>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35" w:name="_Toc374128477"/>
      <w:bookmarkEnd w:id="35"/>
      <w:bookmarkStart w:id="36" w:name="_Toc3091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评标办法</w:t>
      </w:r>
      <w:bookmarkEnd w:id="36"/>
    </w:p>
    <w:p>
      <w:pPr>
        <w:spacing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1.1本项目采取邀请招标选择单位，为保证招标“公开、公平、公正”，根据国家有关工程建设招标投标的法律、法规和方针、政策，制定本评标细则，实行评标的规范化、标准化、科学化。</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w:t>
      </w:r>
      <w:r>
        <w:rPr>
          <w:rFonts w:hint="eastAsia" w:ascii="仿宋" w:hAnsi="仿宋" w:eastAsia="仿宋" w:cs="仿宋"/>
          <w:color w:val="auto"/>
          <w:sz w:val="28"/>
          <w:szCs w:val="28"/>
          <w:highlight w:val="none"/>
          <w:lang w:eastAsia="zh-CN"/>
        </w:rPr>
        <w:t>民法典</w:t>
      </w:r>
      <w:r>
        <w:rPr>
          <w:rFonts w:hint="eastAsia" w:ascii="仿宋" w:hAnsi="仿宋" w:eastAsia="仿宋" w:cs="仿宋"/>
          <w:color w:val="auto"/>
          <w:sz w:val="28"/>
          <w:szCs w:val="28"/>
          <w:highlight w:val="none"/>
        </w:rPr>
        <w:t>》；</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360" w:lineRule="auto"/>
        <w:ind w:firstLine="560" w:firstLineChars="200"/>
        <w:jc w:val="lef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2.3《中华人民共和国招标投标法实施条例》</w:t>
      </w:r>
      <w:r>
        <w:rPr>
          <w:rFonts w:hint="eastAsia" w:ascii="仿宋" w:hAnsi="仿宋" w:eastAsia="仿宋" w:cs="仿宋"/>
          <w:color w:val="auto"/>
          <w:sz w:val="28"/>
          <w:szCs w:val="28"/>
          <w:highlight w:val="none"/>
          <w:lang w:eastAsia="zh-CN"/>
        </w:rPr>
        <w:t>；</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和评标方法暂行规定》；</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w:t>
      </w:r>
      <w:r>
        <w:rPr>
          <w:rFonts w:hint="eastAsia" w:ascii="仿宋" w:hAnsi="仿宋" w:eastAsia="仿宋" w:cs="仿宋"/>
          <w:color w:val="auto"/>
          <w:sz w:val="28"/>
          <w:szCs w:val="28"/>
          <w:highlight w:val="none"/>
          <w:lang w:eastAsia="zh-CN"/>
        </w:rPr>
        <w:t>广州</w:t>
      </w:r>
      <w:r>
        <w:rPr>
          <w:rFonts w:hint="eastAsia" w:ascii="仿宋" w:hAnsi="仿宋" w:eastAsia="仿宋" w:cs="仿宋"/>
          <w:color w:val="auto"/>
          <w:sz w:val="28"/>
          <w:szCs w:val="28"/>
          <w:highlight w:val="none"/>
        </w:rPr>
        <w:t>市公共资源交易中心备案；情节严重，构成犯罪的，由司法机关依法追究其刑事责任。</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2"/>
        <w:widowControl/>
        <w:spacing w:line="360" w:lineRule="auto"/>
        <w:ind w:firstLine="562" w:firstLineChars="200"/>
        <w:rPr>
          <w:rFonts w:hint="eastAsia" w:ascii="仿宋" w:hAnsi="仿宋" w:eastAsia="仿宋" w:cs="仿宋"/>
          <w:b/>
          <w:color w:val="auto"/>
          <w:sz w:val="28"/>
          <w:szCs w:val="28"/>
          <w:highlight w:val="none"/>
          <w:lang w:eastAsia="zh-CN"/>
        </w:rPr>
      </w:pPr>
      <w:r>
        <w:rPr>
          <w:rFonts w:ascii="仿宋" w:hAnsi="仿宋" w:eastAsia="仿宋" w:cs="仿宋"/>
          <w:b/>
          <w:color w:val="auto"/>
          <w:sz w:val="28"/>
          <w:szCs w:val="28"/>
          <w:highlight w:val="none"/>
        </w:rPr>
        <w:t>5.1</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lang w:eastAsia="zh-CN"/>
        </w:rPr>
        <w:t>评标小组</w:t>
      </w:r>
    </w:p>
    <w:p>
      <w:pPr>
        <w:pStyle w:val="2"/>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5.1.1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由招标人依法组建的5名专家组成。</w:t>
      </w:r>
    </w:p>
    <w:p>
      <w:pPr>
        <w:pStyle w:val="2"/>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5.1.2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推举产生1名评标组长，主持评审工作，评标组长与其他成员有同等表决权。</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5.2.1  </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根据招标文件规定的评标标准和方法，对投标文件进行评审和比较，招标文件中没有规定的标准和方法不得作为评标的依据。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主要对投标文件进行评议。</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负责裁决。裁决前，</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应认真阅读招标文件的规定。投标文件中全部符合附件1《符合性审查表》中任一种情形的，为有效标书，否则其投标文件将被否决。若本项目通过符合性审查的投标人不足3名时，应重新招标。</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成员应当对投标文件发表专业、客观、公正的意见，意见不一致的应作进一步核实和讨论。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成员对任何一个投标文件的质疑，应当在讨论或现场讲解时提出，表决结果公布后才提出的质疑，不可作为改变表决结果的依据。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对超越招标文件要求的内容不进行评审，只评审该投标文件符合要求的内容。</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综合评分法评标</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360" w:lineRule="auto"/>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360" w:lineRule="auto"/>
        <w:ind w:left="0" w:leftChars="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专家首先按附件1《符合性审查表》对各投标文件进行评审，只有通过符合性审查的投标文件方可进入下一阶段的评审。如果有符合性审查不通过提议，则</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成员共同表决，按照少数服从多数的原则决定是否通过符合性审查。</w:t>
      </w:r>
    </w:p>
    <w:p>
      <w:pPr>
        <w:spacing w:line="360" w:lineRule="auto"/>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专家计算各投标人的综合得分</w:t>
      </w:r>
      <w:r>
        <w:rPr>
          <w:rFonts w:hint="eastAsia" w:ascii="仿宋" w:hAnsi="仿宋" w:eastAsia="仿宋" w:cs="仿宋"/>
          <w:color w:val="auto"/>
          <w:sz w:val="28"/>
          <w:szCs w:val="28"/>
          <w:highlight w:val="none"/>
          <w:lang w:eastAsia="zh-CN"/>
        </w:rPr>
        <w:t>。</w:t>
      </w:r>
    </w:p>
    <w:p>
      <w:pPr>
        <w:spacing w:line="360" w:lineRule="auto"/>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编写、签署评标报告，向招标人推荐综合得分最高的前三名中标候选方案（中标候选人）并标明排列顺序，评标报告由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全体成员签名，对评标结论持有异议的</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成员可以书面方式阐述其不同意见和理由。</w:t>
      </w:r>
    </w:p>
    <w:p>
      <w:pPr>
        <w:spacing w:line="360" w:lineRule="auto"/>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推荐的候选方案中确定中标方案。但是，招标人认为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推荐的候选方案不能最大限度满足招标文件规定的要求的，依法重新招标。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360" w:lineRule="auto"/>
        <w:ind w:left="956" w:leftChars="266" w:hanging="397" w:hangingChars="142"/>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招标人委托</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直接确定中标人；</w:t>
      </w:r>
    </w:p>
    <w:p>
      <w:pPr>
        <w:spacing w:line="360" w:lineRule="auto"/>
        <w:ind w:left="0" w:leftChars="0" w:firstLine="562"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b/>
          <w:color w:val="auto"/>
          <w:kern w:val="0"/>
          <w:sz w:val="28"/>
          <w:szCs w:val="28"/>
          <w:highlight w:val="none"/>
        </w:rPr>
        <w:t>√</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b w:val="0"/>
          <w:bCs/>
          <w:color w:val="auto"/>
          <w:kern w:val="0"/>
          <w:sz w:val="28"/>
          <w:szCs w:val="28"/>
          <w:highlight w:val="none"/>
          <w:lang w:val="en-US" w:eastAsia="zh-CN"/>
        </w:rPr>
        <w:t>2</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color w:val="auto"/>
          <w:sz w:val="28"/>
          <w:szCs w:val="28"/>
          <w:highlight w:val="none"/>
        </w:rPr>
        <w:t>确定</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w:t>
      </w:r>
      <w:r>
        <w:rPr>
          <w:rFonts w:hint="eastAsia" w:ascii="仿宋" w:hAnsi="仿宋" w:eastAsia="仿宋" w:cs="仿宋"/>
          <w:color w:val="auto"/>
          <w:sz w:val="28"/>
          <w:szCs w:val="28"/>
          <w:highlight w:val="none"/>
          <w:u w:val="none"/>
        </w:rPr>
        <w:t>，也可以重新招标</w:t>
      </w:r>
      <w:r>
        <w:rPr>
          <w:rFonts w:hint="eastAsia" w:ascii="仿宋" w:hAnsi="仿宋" w:eastAsia="仿宋" w:cs="仿宋"/>
          <w:color w:val="auto"/>
          <w:sz w:val="28"/>
          <w:szCs w:val="28"/>
          <w:highlight w:val="none"/>
        </w:rPr>
        <w:t>。以此类推，如所有中标候选人均出现前款所列的情形，为招标失败，招标人依法重新招标。</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2"/>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2"/>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2"/>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a、投标人名称；b、标书密封情况；c、法定代表人证明及授权委托；d、项目负责人名称；e、投标报价等主要内容以及开标记录表中的其他必要内容，并予以记录，记录提交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评审。</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进行评审。</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7.1.1 </w:t>
      </w:r>
      <w:r>
        <w:rPr>
          <w:rFonts w:hint="eastAsia" w:ascii="仿宋" w:hAnsi="仿宋" w:eastAsia="仿宋" w:cs="仿宋"/>
          <w:color w:val="auto"/>
          <w:sz w:val="28"/>
          <w:szCs w:val="28"/>
          <w:highlight w:val="none"/>
        </w:rPr>
        <w:t>第一步：进行投标文件符合性审查；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依据有关法律、法规和招标文件的规定对投标文件进行评审，若本项目经评审有效的投标人不足3名时，本次招标失败，招标人应当依法重新组织招标。</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第二步：专家对综合评分表进行打分；</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第三步：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完成评标报告，向招标人推荐中标候选人。</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根据附件1“符合性审查表”进行评审。投标文件全部列于附件1《符合性审查表》中情形的，为通过符合性审查。否则其投标文件将被否决。如</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成员的评审意见不一致时，以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过半数成员的意见作为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对该情形的认定结论。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对所有投标作否决处理的，招标人应当重新招标。</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w:t>
      </w:r>
      <w:r>
        <w:rPr>
          <w:rFonts w:hint="eastAsia" w:ascii="仿宋" w:hAnsi="仿宋" w:eastAsia="仿宋" w:cs="仿宋"/>
          <w:color w:val="auto"/>
          <w:sz w:val="28"/>
          <w:szCs w:val="28"/>
          <w:highlight w:val="none"/>
          <w:u w:val="none"/>
        </w:rPr>
        <w:t>若出现得分相同的单位，按报价低者排前的原则，若报价亦一致的，由评标</w:t>
      </w:r>
      <w:r>
        <w:rPr>
          <w:rFonts w:hint="eastAsia" w:ascii="仿宋" w:hAnsi="仿宋" w:eastAsia="仿宋" w:cs="仿宋"/>
          <w:color w:val="auto"/>
          <w:sz w:val="28"/>
          <w:szCs w:val="28"/>
          <w:highlight w:val="none"/>
          <w:u w:val="none"/>
          <w:lang w:eastAsia="zh-CN"/>
        </w:rPr>
        <w:t>小组</w:t>
      </w:r>
      <w:r>
        <w:rPr>
          <w:rFonts w:hint="eastAsia" w:ascii="仿宋" w:hAnsi="仿宋" w:eastAsia="仿宋" w:cs="仿宋"/>
          <w:color w:val="auto"/>
          <w:sz w:val="28"/>
          <w:szCs w:val="28"/>
          <w:highlight w:val="none"/>
          <w:u w:val="none"/>
        </w:rPr>
        <w:t>采用记名投票方式，确定其排序</w:t>
      </w:r>
      <w:r>
        <w:rPr>
          <w:rFonts w:hint="eastAsia" w:ascii="仿宋" w:hAnsi="仿宋" w:eastAsia="仿宋" w:cs="仿宋"/>
          <w:color w:val="auto"/>
          <w:sz w:val="28"/>
          <w:szCs w:val="28"/>
          <w:highlight w:val="none"/>
        </w:rPr>
        <w:t>。</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招标人依据评标报告审定本项目的中标人。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7.7.1 </w:t>
      </w: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7.7.2</w:t>
      </w: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pPr>
        <w:snapToGrid/>
        <w:spacing w:line="240" w:lineRule="auto"/>
        <w:ind w:firstLine="0" w:firstLineChars="0"/>
        <w:jc w:val="left"/>
        <w:rPr>
          <w:rFonts w:hint="eastAsia" w:ascii="黑体" w:hAnsi="宋体" w:cs="黑体"/>
          <w:b/>
          <w:color w:val="auto"/>
          <w:kern w:val="44"/>
          <w:sz w:val="44"/>
          <w:szCs w:val="44"/>
          <w:highlight w:val="none"/>
        </w:rPr>
      </w:pPr>
      <w:bookmarkStart w:id="37" w:name="_Toc26593"/>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37"/>
    </w:p>
    <w:p>
      <w:pPr>
        <w:pStyle w:val="22"/>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22"/>
        <w:widowControl/>
        <w:ind w:firstLine="562"/>
        <w:rPr>
          <w:rFonts w:ascii="仿宋" w:hAnsi="仿宋" w:eastAsia="仿宋" w:cs="仿宋"/>
          <w:b/>
          <w:color w:val="auto"/>
          <w:sz w:val="28"/>
          <w:szCs w:val="28"/>
          <w:highlight w:val="none"/>
          <w:u w:val="single"/>
        </w:rPr>
      </w:pPr>
      <w:bookmarkStart w:id="38" w:name="OLE_LINK3"/>
      <w:bookmarkEnd w:id="38"/>
      <w:r>
        <w:rPr>
          <w:rFonts w:ascii="仿宋" w:hAnsi="仿宋" w:eastAsia="仿宋" w:cs="仿宋"/>
          <w:b/>
          <w:color w:val="auto"/>
          <w:sz w:val="28"/>
          <w:szCs w:val="28"/>
          <w:highlight w:val="none"/>
          <w:u w:val="single"/>
        </w:rPr>
        <w:t>附件2 综合评分表</w:t>
      </w:r>
    </w:p>
    <w:p>
      <w:pPr>
        <w:pStyle w:val="22"/>
        <w:widowControl/>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3 投标申请人声明</w:t>
      </w:r>
    </w:p>
    <w:p>
      <w:pPr>
        <w:pStyle w:val="22"/>
        <w:widowControl/>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val="en-US" w:eastAsia="zh-CN"/>
        </w:rPr>
        <w:t>附件4 图纸（另附）</w:t>
      </w:r>
    </w:p>
    <w:p>
      <w:pPr>
        <w:pStyle w:val="22"/>
        <w:widowControl/>
        <w:ind w:firstLine="562"/>
        <w:rPr>
          <w:rFonts w:hint="default"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val="en-US" w:eastAsia="zh-CN"/>
        </w:rPr>
        <w:t>附件5 工程量清单（另附）</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39" w:name="_Toc12170"/>
      <w:r>
        <w:rPr>
          <w:rFonts w:hint="eastAsia" w:ascii="仿宋" w:hAnsi="仿宋" w:eastAsia="仿宋" w:cs="仿宋"/>
          <w:color w:val="auto"/>
          <w:sz w:val="28"/>
          <w:szCs w:val="28"/>
          <w:highlight w:val="none"/>
        </w:rPr>
        <w:t>附件1：符合性审查表</w:t>
      </w:r>
      <w:bookmarkEnd w:id="39"/>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4"/>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Lines="50" w:afterLines="50" w:line="240" w:lineRule="exact"/>
              <w:ind w:left="105" w:leftChars="50" w:right="105" w:rightChars="50"/>
              <w:jc w:val="center"/>
              <w:rPr>
                <w:rFonts w:ascii="仿宋" w:hAnsi="仿宋" w:eastAsia="仿宋" w:cs="仿宋"/>
                <w:b/>
                <w:color w:val="auto"/>
                <w:highlight w:val="none"/>
              </w:rPr>
            </w:pPr>
          </w:p>
          <w:p>
            <w:pPr>
              <w:spacing w:beforeLines="5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项目负责人</w:t>
            </w:r>
            <w:r>
              <w:rPr>
                <w:rFonts w:hint="eastAsia" w:ascii="仿宋" w:hAnsi="仿宋" w:eastAsia="仿宋" w:cs="仿宋"/>
                <w:color w:val="auto"/>
                <w:szCs w:val="21"/>
                <w:highlight w:val="none"/>
                <w:lang w:eastAsia="zh-CN"/>
              </w:rPr>
              <w:t>、技术</w:t>
            </w:r>
            <w:r>
              <w:rPr>
                <w:rFonts w:hint="eastAsia" w:ascii="仿宋" w:hAnsi="仿宋" w:eastAsia="仿宋" w:cs="仿宋"/>
                <w:color w:val="auto"/>
                <w:szCs w:val="21"/>
                <w:highlight w:val="none"/>
                <w:lang w:val="en-US" w:eastAsia="zh-CN"/>
              </w:rPr>
              <w:t>负责人</w:t>
            </w:r>
            <w:r>
              <w:rPr>
                <w:rFonts w:hint="eastAsia" w:ascii="仿宋" w:hAnsi="仿宋" w:eastAsia="仿宋" w:cs="仿宋"/>
                <w:color w:val="auto"/>
                <w:szCs w:val="21"/>
                <w:highlight w:val="none"/>
              </w:rPr>
              <w:t>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 w:val="21"/>
                <w:szCs w:val="21"/>
                <w:highlight w:val="none"/>
              </w:rPr>
              <w:t>投标报价不超过</w:t>
            </w:r>
            <w:r>
              <w:rPr>
                <w:rFonts w:hint="eastAsia" w:ascii="仿宋" w:hAnsi="仿宋" w:eastAsia="仿宋" w:cs="仿宋"/>
                <w:color w:val="auto"/>
                <w:sz w:val="21"/>
                <w:szCs w:val="21"/>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bookmarkStart w:id="40" w:name="_Toc18783"/>
    </w:p>
    <w:bookmarkEnd w:id="40"/>
    <w:p>
      <w:pPr>
        <w:snapToGrid w:val="0"/>
        <w:ind w:left="74"/>
        <w:outlineLvl w:val="0"/>
        <w:rPr>
          <w:rFonts w:ascii="仿宋" w:hAnsi="仿宋" w:eastAsia="仿宋" w:cs="仿宋"/>
          <w:color w:val="auto"/>
          <w:sz w:val="24"/>
          <w:highlight w:val="none"/>
        </w:rPr>
      </w:pPr>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p>
    <w:tbl>
      <w:tblPr>
        <w:tblStyle w:val="14"/>
        <w:tblW w:w="12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406"/>
        <w:gridCol w:w="709"/>
        <w:gridCol w:w="9797"/>
        <w:gridCol w:w="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643" w:type="dxa"/>
            <w:noWrap w:val="0"/>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406" w:type="dxa"/>
            <w:noWrap w:val="0"/>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类别</w:t>
            </w:r>
          </w:p>
        </w:tc>
        <w:tc>
          <w:tcPr>
            <w:tcW w:w="709" w:type="dxa"/>
            <w:noWrap w:val="0"/>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分项</w:t>
            </w:r>
          </w:p>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分值</w:t>
            </w:r>
          </w:p>
        </w:tc>
        <w:tc>
          <w:tcPr>
            <w:tcW w:w="9797" w:type="dxa"/>
            <w:noWrap w:val="0"/>
            <w:vAlign w:val="center"/>
          </w:tcPr>
          <w:p>
            <w:pPr>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 分 说 明</w:t>
            </w:r>
          </w:p>
        </w:tc>
        <w:tc>
          <w:tcPr>
            <w:tcW w:w="240" w:type="dxa"/>
            <w:noWrap w:val="0"/>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8" w:hRule="atLeast"/>
          <w:jc w:val="center"/>
        </w:trPr>
        <w:tc>
          <w:tcPr>
            <w:tcW w:w="643" w:type="dxa"/>
            <w:vMerge w:val="restart"/>
            <w:noWrap w:val="0"/>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商务部分</w:t>
            </w:r>
          </w:p>
          <w:p>
            <w:pPr>
              <w:pStyle w:val="5"/>
              <w:ind w:left="0" w:leftChars="0" w:firstLine="0" w:firstLineChars="0"/>
              <w:jc w:val="center"/>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Cs w:val="21"/>
                <w:highlight w:val="none"/>
                <w:lang w:eastAsia="zh-CN"/>
              </w:rPr>
              <w:t>（</w:t>
            </w:r>
            <w:r>
              <w:rPr>
                <w:rFonts w:hint="eastAsia" w:ascii="宋体" w:hAnsi="宋体" w:eastAsia="宋体" w:cs="宋体"/>
                <w:b w:val="0"/>
                <w:bCs/>
                <w:color w:val="auto"/>
                <w:szCs w:val="21"/>
                <w:highlight w:val="none"/>
                <w:lang w:val="en-US" w:eastAsia="zh-CN"/>
              </w:rPr>
              <w:t>30分</w:t>
            </w:r>
            <w:r>
              <w:rPr>
                <w:rFonts w:hint="eastAsia" w:ascii="宋体" w:hAnsi="宋体" w:eastAsia="宋体" w:cs="宋体"/>
                <w:b w:val="0"/>
                <w:bCs/>
                <w:color w:val="auto"/>
                <w:szCs w:val="21"/>
                <w:highlight w:val="none"/>
                <w:lang w:eastAsia="zh-CN"/>
              </w:rPr>
              <w:t>）</w:t>
            </w:r>
          </w:p>
          <w:p>
            <w:pPr>
              <w:snapToGrid w:val="0"/>
              <w:ind w:left="-2" w:leftChars="-1"/>
              <w:jc w:val="center"/>
              <w:rPr>
                <w:rFonts w:hint="eastAsia" w:ascii="宋体" w:hAnsi="宋体" w:eastAsia="宋体" w:cs="宋体"/>
                <w:color w:val="auto"/>
                <w:szCs w:val="21"/>
                <w:highlight w:val="none"/>
                <w:lang w:eastAsia="zh-CN"/>
              </w:rPr>
            </w:pPr>
          </w:p>
        </w:tc>
        <w:tc>
          <w:tcPr>
            <w:tcW w:w="1406" w:type="dxa"/>
            <w:noWrap w:val="0"/>
            <w:vAlign w:val="center"/>
          </w:tcPr>
          <w:p>
            <w:pPr>
              <w:widowControl/>
              <w:ind w:left="-42" w:leftChars="0" w:right="-61" w:right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企业</w:t>
            </w:r>
            <w:r>
              <w:rPr>
                <w:rFonts w:hint="eastAsia" w:ascii="宋体" w:hAnsi="宋体" w:eastAsia="宋体" w:cs="宋体"/>
                <w:color w:val="auto"/>
                <w:szCs w:val="21"/>
                <w:highlight w:val="none"/>
              </w:rPr>
              <w:t>业绩</w:t>
            </w:r>
          </w:p>
        </w:tc>
        <w:tc>
          <w:tcPr>
            <w:tcW w:w="709" w:type="dxa"/>
            <w:noWrap w:val="0"/>
            <w:vAlign w:val="center"/>
          </w:tcPr>
          <w:p>
            <w:pPr>
              <w:jc w:val="center"/>
              <w:rPr>
                <w:rFonts w:hint="eastAsia" w:ascii="宋体" w:hAnsi="宋体" w:eastAsia="宋体" w:cs="宋体"/>
                <w:color w:val="auto"/>
                <w:szCs w:val="21"/>
                <w:highlight w:val="none"/>
                <w:lang w:eastAsia="zh-CN"/>
              </w:rPr>
            </w:pPr>
            <w:r>
              <w:rPr>
                <w:rFonts w:hint="eastAsia" w:ascii="宋体" w:hAnsi="宋体" w:eastAsia="宋体" w:cs="宋体"/>
                <w:color w:val="auto"/>
                <w:kern w:val="0"/>
                <w:szCs w:val="21"/>
                <w:highlight w:val="none"/>
                <w:lang w:val="en-US" w:eastAsia="zh-CN"/>
              </w:rPr>
              <w:t>6</w:t>
            </w:r>
            <w:r>
              <w:rPr>
                <w:rFonts w:hint="eastAsia" w:ascii="宋体" w:hAnsi="宋体" w:eastAsia="宋体" w:cs="宋体"/>
                <w:color w:val="auto"/>
                <w:kern w:val="0"/>
                <w:szCs w:val="21"/>
                <w:highlight w:val="none"/>
              </w:rPr>
              <w:t>分</w:t>
            </w:r>
          </w:p>
        </w:tc>
        <w:tc>
          <w:tcPr>
            <w:tcW w:w="9797" w:type="dxa"/>
            <w:noWrap w:val="0"/>
            <w:vAlign w:val="center"/>
          </w:tcPr>
          <w:p>
            <w:pPr>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 xml:space="preserve">投标人2018年1月1日至今承接过投资额200万或以上的市政公用工程项目施工业绩的，每有一个项目业绩得2分，本项最高得6分。 </w:t>
            </w:r>
          </w:p>
          <w:p>
            <w:pPr>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注：</w:t>
            </w:r>
            <w:r>
              <w:rPr>
                <w:rFonts w:hint="eastAsia" w:ascii="宋体" w:hAnsi="宋体" w:eastAsia="宋体" w:cs="宋体"/>
                <w:color w:val="auto"/>
                <w:szCs w:val="21"/>
                <w:highlight w:val="none"/>
              </w:rPr>
              <w:t>需同时提供中标</w:t>
            </w:r>
            <w:r>
              <w:rPr>
                <w:rFonts w:hint="eastAsia" w:ascii="宋体" w:hAnsi="宋体" w:eastAsia="宋体" w:cs="宋体"/>
                <w:color w:val="auto"/>
                <w:szCs w:val="21"/>
                <w:highlight w:val="none"/>
                <w:lang w:eastAsia="zh-CN"/>
              </w:rPr>
              <w:t>通知书</w:t>
            </w:r>
            <w:r>
              <w:rPr>
                <w:rFonts w:hint="eastAsia" w:ascii="宋体" w:hAnsi="宋体" w:eastAsia="宋体" w:cs="宋体"/>
                <w:color w:val="auto"/>
                <w:szCs w:val="21"/>
                <w:highlight w:val="none"/>
              </w:rPr>
              <w:t>和合同</w:t>
            </w:r>
            <w:r>
              <w:rPr>
                <w:rFonts w:hint="eastAsia" w:ascii="宋体" w:hAnsi="宋体" w:eastAsia="宋体" w:cs="宋体"/>
                <w:color w:val="auto"/>
                <w:szCs w:val="21"/>
                <w:highlight w:val="none"/>
                <w:lang w:eastAsia="zh-CN"/>
              </w:rPr>
              <w:t>关键页</w:t>
            </w:r>
            <w:r>
              <w:rPr>
                <w:rFonts w:hint="eastAsia" w:ascii="宋体" w:hAnsi="宋体" w:eastAsia="宋体" w:cs="宋体"/>
                <w:color w:val="auto"/>
                <w:szCs w:val="21"/>
                <w:highlight w:val="none"/>
              </w:rPr>
              <w:t>复印件</w:t>
            </w:r>
            <w:r>
              <w:rPr>
                <w:rFonts w:hint="eastAsia" w:ascii="宋体" w:hAnsi="宋体" w:eastAsia="宋体" w:cs="宋体"/>
                <w:color w:val="auto"/>
                <w:szCs w:val="21"/>
                <w:highlight w:val="none"/>
                <w:lang w:eastAsia="zh-CN"/>
              </w:rPr>
              <w:t>（体现施工内容及投资额的页面、盖章页等）</w:t>
            </w:r>
            <w:r>
              <w:rPr>
                <w:rFonts w:hint="eastAsia" w:ascii="宋体" w:hAnsi="宋体" w:eastAsia="宋体" w:cs="宋体"/>
                <w:color w:val="auto"/>
                <w:szCs w:val="21"/>
                <w:highlight w:val="none"/>
              </w:rPr>
              <w:t>，不提供、提供不全或专家无法认定的不得分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业绩时间以合同签订时间为准。</w:t>
            </w:r>
          </w:p>
        </w:tc>
        <w:tc>
          <w:tcPr>
            <w:tcW w:w="240" w:type="dxa"/>
            <w:noWrap w:val="0"/>
            <w:vAlign w:val="center"/>
          </w:tcPr>
          <w:p>
            <w:pPr>
              <w:spacing w:line="22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43" w:type="dxa"/>
            <w:vMerge w:val="continue"/>
            <w:noWrap w:val="0"/>
            <w:vAlign w:val="center"/>
          </w:tcPr>
          <w:p>
            <w:pPr>
              <w:snapToGrid w:val="0"/>
              <w:ind w:left="-2" w:leftChars="-1"/>
              <w:jc w:val="center"/>
              <w:rPr>
                <w:rFonts w:hint="eastAsia" w:ascii="宋体" w:hAnsi="宋体" w:eastAsia="宋体" w:cs="宋体"/>
                <w:color w:val="auto"/>
                <w:szCs w:val="21"/>
                <w:highlight w:val="none"/>
              </w:rPr>
            </w:pPr>
          </w:p>
        </w:tc>
        <w:tc>
          <w:tcPr>
            <w:tcW w:w="1406" w:type="dxa"/>
            <w:noWrap w:val="0"/>
            <w:vAlign w:val="center"/>
          </w:tcPr>
          <w:p>
            <w:pPr>
              <w:widowControl/>
              <w:ind w:left="-42" w:right="-61"/>
              <w:jc w:val="center"/>
              <w:rPr>
                <w:rFonts w:hint="eastAsia" w:ascii="宋体" w:hAnsi="宋体" w:eastAsia="宋体" w:cs="宋体"/>
                <w:color w:val="auto"/>
                <w:kern w:val="0"/>
                <w:szCs w:val="21"/>
                <w:highlight w:val="none"/>
              </w:rPr>
            </w:pPr>
          </w:p>
          <w:p>
            <w:pPr>
              <w:widowControl/>
              <w:ind w:left="-42" w:right="-61"/>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认证</w:t>
            </w:r>
            <w:r>
              <w:rPr>
                <w:rFonts w:hint="eastAsia" w:ascii="宋体" w:hAnsi="宋体" w:eastAsia="宋体" w:cs="宋体"/>
                <w:color w:val="auto"/>
                <w:kern w:val="0"/>
                <w:szCs w:val="21"/>
                <w:highlight w:val="none"/>
                <w:lang w:eastAsia="zh-CN"/>
              </w:rPr>
              <w:t>体系</w:t>
            </w:r>
          </w:p>
          <w:p>
            <w:pPr>
              <w:widowControl/>
              <w:ind w:left="-42" w:leftChars="0" w:right="-61" w:rightChars="0"/>
              <w:rPr>
                <w:rFonts w:hint="eastAsia" w:ascii="宋体" w:hAnsi="宋体" w:eastAsia="宋体" w:cs="宋体"/>
                <w:color w:val="auto"/>
                <w:kern w:val="2"/>
                <w:sz w:val="21"/>
                <w:szCs w:val="21"/>
                <w:highlight w:val="none"/>
                <w:lang w:val="en-US" w:eastAsia="zh-CN" w:bidi="ar-SA"/>
              </w:rPr>
            </w:pPr>
          </w:p>
        </w:tc>
        <w:tc>
          <w:tcPr>
            <w:tcW w:w="709" w:type="dxa"/>
            <w:noWrap w:val="0"/>
            <w:vAlign w:val="center"/>
          </w:tcPr>
          <w:p>
            <w:pPr>
              <w:jc w:val="center"/>
              <w:rPr>
                <w:rFonts w:hint="eastAsia" w:ascii="宋体" w:hAnsi="宋体" w:eastAsia="宋体" w:cs="宋体"/>
                <w:color w:val="auto"/>
                <w:kern w:val="2"/>
                <w:position w:val="8"/>
                <w:sz w:val="21"/>
                <w:szCs w:val="21"/>
                <w:highlight w:val="none"/>
                <w:lang w:val="en-US" w:eastAsia="zh-CN" w:bidi="ar-SA"/>
              </w:rPr>
            </w:pPr>
            <w:r>
              <w:rPr>
                <w:rFonts w:hint="eastAsia" w:ascii="宋体" w:hAnsi="宋体" w:eastAsia="宋体" w:cs="宋体"/>
                <w:color w:val="auto"/>
                <w:kern w:val="0"/>
                <w:szCs w:val="21"/>
                <w:highlight w:val="none"/>
                <w:lang w:val="en-US" w:eastAsia="zh-CN"/>
              </w:rPr>
              <w:t>3</w:t>
            </w:r>
            <w:r>
              <w:rPr>
                <w:rFonts w:hint="eastAsia" w:ascii="宋体" w:hAnsi="宋体" w:eastAsia="宋体" w:cs="宋体"/>
                <w:color w:val="auto"/>
                <w:kern w:val="0"/>
                <w:szCs w:val="21"/>
                <w:highlight w:val="none"/>
              </w:rPr>
              <w:t>分</w:t>
            </w:r>
          </w:p>
        </w:tc>
        <w:tc>
          <w:tcPr>
            <w:tcW w:w="9797" w:type="dxa"/>
            <w:noWrap w:val="0"/>
            <w:vAlign w:val="center"/>
          </w:tcPr>
          <w:p>
            <w:pPr>
              <w:autoSpaceDE w:val="0"/>
              <w:autoSpaceDN w:val="0"/>
              <w:jc w:val="left"/>
              <w:rPr>
                <w:rFonts w:hint="eastAsia" w:ascii="宋体" w:hAnsi="宋体" w:eastAsia="宋体" w:cs="宋体"/>
                <w:b w:val="0"/>
                <w:bCs w:val="0"/>
                <w:color w:val="auto"/>
                <w:szCs w:val="21"/>
                <w:highlight w:val="none"/>
              </w:rPr>
            </w:pPr>
            <w:r>
              <w:rPr>
                <w:rFonts w:hint="eastAsia" w:ascii="宋体" w:hAnsi="宋体" w:eastAsia="宋体" w:cs="宋体"/>
                <w:color w:val="auto"/>
                <w:szCs w:val="21"/>
                <w:highlight w:val="none"/>
              </w:rPr>
              <w:t>投标人具有有效的质量管理体系认证证书、环境管理体系认证证书、职业健康安全管理体系认证证书，每有一</w:t>
            </w:r>
            <w:r>
              <w:rPr>
                <w:rFonts w:hint="eastAsia" w:ascii="宋体" w:hAnsi="宋体" w:eastAsia="宋体" w:cs="宋体"/>
                <w:b w:val="0"/>
                <w:bCs w:val="0"/>
                <w:color w:val="auto"/>
                <w:szCs w:val="21"/>
                <w:highlight w:val="none"/>
              </w:rPr>
              <w:t>个证书</w:t>
            </w:r>
            <w:r>
              <w:rPr>
                <w:rFonts w:hint="eastAsia" w:ascii="宋体" w:hAnsi="宋体" w:eastAsia="宋体" w:cs="宋体"/>
                <w:b w:val="0"/>
                <w:bCs w:val="0"/>
                <w:color w:val="auto"/>
                <w:szCs w:val="21"/>
                <w:highlight w:val="none"/>
                <w:shd w:val="clear" w:color="auto" w:fill="auto"/>
                <w:lang w:val="en-US" w:eastAsia="zh-CN"/>
              </w:rPr>
              <w:t>得1</w:t>
            </w:r>
            <w:r>
              <w:rPr>
                <w:rFonts w:hint="eastAsia" w:ascii="宋体" w:hAnsi="宋体" w:eastAsia="宋体" w:cs="宋体"/>
                <w:b w:val="0"/>
                <w:bCs w:val="0"/>
                <w:color w:val="auto"/>
                <w:szCs w:val="21"/>
                <w:highlight w:val="none"/>
                <w:shd w:val="clear" w:color="auto" w:fill="auto"/>
              </w:rPr>
              <w:t>分</w:t>
            </w:r>
            <w:r>
              <w:rPr>
                <w:rFonts w:hint="eastAsia" w:ascii="宋体" w:hAnsi="宋体" w:eastAsia="宋体" w:cs="宋体"/>
                <w:b w:val="0"/>
                <w:bCs w:val="0"/>
                <w:color w:val="auto"/>
                <w:szCs w:val="21"/>
                <w:highlight w:val="none"/>
              </w:rPr>
              <w:t>。本项最高</w:t>
            </w:r>
            <w:r>
              <w:rPr>
                <w:rFonts w:hint="eastAsia" w:ascii="宋体" w:hAnsi="宋体" w:eastAsia="宋体" w:cs="宋体"/>
                <w:b w:val="0"/>
                <w:bCs w:val="0"/>
                <w:color w:val="auto"/>
                <w:szCs w:val="21"/>
                <w:highlight w:val="none"/>
                <w:shd w:val="clear" w:color="auto" w:fill="auto"/>
              </w:rPr>
              <w:t>得</w:t>
            </w:r>
            <w:r>
              <w:rPr>
                <w:rFonts w:hint="eastAsia" w:ascii="宋体" w:hAnsi="宋体" w:eastAsia="宋体" w:cs="宋体"/>
                <w:b w:val="0"/>
                <w:bCs w:val="0"/>
                <w:color w:val="auto"/>
                <w:szCs w:val="21"/>
                <w:highlight w:val="none"/>
                <w:shd w:val="clear" w:color="auto" w:fill="auto"/>
                <w:lang w:val="en-US" w:eastAsia="zh-CN"/>
              </w:rPr>
              <w:t>3</w:t>
            </w:r>
            <w:r>
              <w:rPr>
                <w:rFonts w:hint="eastAsia" w:ascii="宋体" w:hAnsi="宋体" w:eastAsia="宋体" w:cs="宋体"/>
                <w:b w:val="0"/>
                <w:bCs w:val="0"/>
                <w:color w:val="auto"/>
                <w:szCs w:val="21"/>
                <w:highlight w:val="none"/>
                <w:shd w:val="clear" w:color="auto" w:fill="auto"/>
              </w:rPr>
              <w:t>分</w:t>
            </w:r>
            <w:r>
              <w:rPr>
                <w:rFonts w:hint="eastAsia" w:ascii="宋体" w:hAnsi="宋体" w:eastAsia="宋体" w:cs="宋体"/>
                <w:b w:val="0"/>
                <w:bCs w:val="0"/>
                <w:color w:val="auto"/>
                <w:szCs w:val="21"/>
                <w:highlight w:val="none"/>
              </w:rPr>
              <w:t>。</w:t>
            </w:r>
          </w:p>
          <w:p>
            <w:pPr>
              <w:autoSpaceDE w:val="0"/>
              <w:autoSpaceDN w:val="0"/>
              <w:jc w:val="left"/>
              <w:rPr>
                <w:rFonts w:hint="eastAsia" w:ascii="宋体" w:hAnsi="宋体" w:eastAsia="宋体" w:cs="宋体"/>
                <w:color w:val="auto"/>
                <w:szCs w:val="21"/>
                <w:highlight w:val="none"/>
                <w:lang w:val="en-US" w:eastAsia="zh-CN"/>
              </w:rPr>
            </w:pPr>
            <w:r>
              <w:rPr>
                <w:rFonts w:hint="eastAsia" w:ascii="宋体" w:hAnsi="宋体" w:eastAsia="宋体" w:cs="宋体"/>
                <w:b w:val="0"/>
                <w:bCs w:val="0"/>
                <w:color w:val="auto"/>
                <w:szCs w:val="21"/>
                <w:highlight w:val="none"/>
              </w:rPr>
              <w:t>注：</w:t>
            </w:r>
            <w:r>
              <w:rPr>
                <w:rFonts w:hint="eastAsia" w:ascii="宋体" w:hAnsi="宋体" w:eastAsia="宋体" w:cs="宋体"/>
                <w:b w:val="0"/>
                <w:bCs w:val="0"/>
                <w:color w:val="auto"/>
                <w:sz w:val="21"/>
                <w:szCs w:val="21"/>
                <w:highlight w:val="none"/>
              </w:rPr>
              <w:t>（须提供</w:t>
            </w:r>
            <w:r>
              <w:rPr>
                <w:rFonts w:hint="eastAsia" w:ascii="宋体" w:hAnsi="宋体" w:eastAsia="宋体" w:cs="宋体"/>
                <w:b w:val="0"/>
                <w:bCs w:val="0"/>
                <w:color w:val="auto"/>
                <w:sz w:val="21"/>
                <w:szCs w:val="21"/>
                <w:highlight w:val="none"/>
                <w:lang w:val="en-US" w:eastAsia="zh-CN"/>
              </w:rPr>
              <w:t>以上有效期内的</w:t>
            </w:r>
            <w:r>
              <w:rPr>
                <w:rFonts w:hint="eastAsia" w:ascii="宋体" w:hAnsi="宋体" w:eastAsia="宋体" w:cs="宋体"/>
                <w:b w:val="0"/>
                <w:bCs w:val="0"/>
                <w:color w:val="auto"/>
                <w:sz w:val="21"/>
                <w:szCs w:val="21"/>
                <w:highlight w:val="none"/>
              </w:rPr>
              <w:t>证书复印件以及在全国认证认可信息公共服务平台上http://cx.cnca.cn查询结果的截图，证书状态必须为“有效”</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否则不得分。</w:t>
            </w:r>
            <w:r>
              <w:rPr>
                <w:rFonts w:hint="eastAsia" w:ascii="宋体" w:hAnsi="宋体" w:eastAsia="宋体" w:cs="宋体"/>
                <w:b w:val="0"/>
                <w:bCs w:val="0"/>
                <w:color w:val="auto"/>
                <w:sz w:val="21"/>
                <w:szCs w:val="21"/>
                <w:highlight w:val="none"/>
              </w:rPr>
              <w:t>）</w:t>
            </w:r>
          </w:p>
        </w:tc>
        <w:tc>
          <w:tcPr>
            <w:tcW w:w="240" w:type="dxa"/>
            <w:noWrap w:val="0"/>
            <w:vAlign w:val="center"/>
          </w:tcPr>
          <w:p>
            <w:pPr>
              <w:spacing w:line="22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43" w:type="dxa"/>
            <w:vMerge w:val="continue"/>
            <w:noWrap w:val="0"/>
            <w:vAlign w:val="center"/>
          </w:tcPr>
          <w:p>
            <w:pPr>
              <w:snapToGrid w:val="0"/>
              <w:ind w:left="-2" w:leftChars="-1"/>
              <w:jc w:val="center"/>
              <w:rPr>
                <w:rFonts w:hint="eastAsia" w:ascii="宋体" w:hAnsi="宋体" w:eastAsia="宋体" w:cs="宋体"/>
                <w:color w:val="auto"/>
                <w:szCs w:val="21"/>
                <w:highlight w:val="none"/>
              </w:rPr>
            </w:pPr>
          </w:p>
        </w:tc>
        <w:tc>
          <w:tcPr>
            <w:tcW w:w="1406" w:type="dxa"/>
            <w:noWrap w:val="0"/>
            <w:vAlign w:val="center"/>
          </w:tcPr>
          <w:p>
            <w:pPr>
              <w:snapToGrid w:val="0"/>
              <w:spacing w:line="360" w:lineRule="auto"/>
              <w:ind w:left="-2" w:leftChars="-1"/>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纳税信用</w:t>
            </w:r>
          </w:p>
        </w:tc>
        <w:tc>
          <w:tcPr>
            <w:tcW w:w="709" w:type="dxa"/>
            <w:noWrap w:val="0"/>
            <w:vAlign w:val="center"/>
          </w:tcPr>
          <w:p>
            <w:pPr>
              <w:spacing w:line="360" w:lineRule="auto"/>
              <w:ind w:left="-2" w:leftChars="-1"/>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szCs w:val="21"/>
                <w:highlight w:val="none"/>
                <w:lang w:val="en-US" w:eastAsia="zh-CN"/>
              </w:rPr>
              <w:t>3分</w:t>
            </w:r>
          </w:p>
        </w:tc>
        <w:tc>
          <w:tcPr>
            <w:tcW w:w="9797"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auto"/>
              <w:jc w:val="left"/>
              <w:textAlignment w:val="auto"/>
              <w:rPr>
                <w:rFonts w:hint="eastAsia" w:ascii="宋体" w:hAnsi="宋体" w:eastAsia="宋体" w:cs="宋体"/>
                <w:color w:val="auto"/>
                <w:szCs w:val="21"/>
                <w:highlight w:val="none"/>
              </w:rPr>
            </w:pPr>
            <w:r>
              <w:rPr>
                <w:rFonts w:hint="eastAsia" w:ascii="宋体" w:hAnsi="宋体" w:eastAsia="宋体" w:cs="宋体"/>
                <w:color w:val="auto"/>
                <w:kern w:val="2"/>
                <w:sz w:val="21"/>
                <w:szCs w:val="21"/>
                <w:highlight w:val="none"/>
                <w:lang w:val="en-US" w:eastAsia="zh-CN" w:bidi="ar-SA"/>
              </w:rPr>
              <w:t>投标人</w:t>
            </w:r>
            <w:r>
              <w:rPr>
                <w:rFonts w:hint="eastAsia" w:ascii="宋体" w:hAnsi="宋体" w:eastAsia="宋体" w:cs="宋体"/>
                <w:color w:val="auto"/>
                <w:szCs w:val="21"/>
                <w:highlight w:val="none"/>
              </w:rPr>
              <w:t>201</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年1月1日至今获得纳税信用等级A级称号</w:t>
            </w:r>
            <w:r>
              <w:rPr>
                <w:rFonts w:hint="eastAsia" w:ascii="宋体" w:hAnsi="宋体" w:eastAsia="宋体" w:cs="宋体"/>
                <w:color w:val="auto"/>
                <w:szCs w:val="21"/>
                <w:highlight w:val="none"/>
                <w:lang w:eastAsia="zh-CN"/>
              </w:rPr>
              <w:t>的</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每有</w:t>
            </w:r>
            <w:r>
              <w:rPr>
                <w:rFonts w:hint="eastAsia" w:ascii="宋体" w:hAnsi="宋体" w:eastAsia="宋体" w:cs="宋体"/>
                <w:color w:val="auto"/>
                <w:szCs w:val="21"/>
                <w:highlight w:val="none"/>
                <w:lang w:val="en-US" w:eastAsia="zh-CN"/>
              </w:rPr>
              <w:t>1次得1分，最多</w:t>
            </w:r>
            <w:r>
              <w:rPr>
                <w:rFonts w:hint="eastAsia" w:ascii="宋体" w:hAnsi="宋体" w:eastAsia="宋体" w:cs="宋体"/>
                <w:color w:val="auto"/>
                <w:szCs w:val="21"/>
                <w:highlight w:val="none"/>
              </w:rPr>
              <w:t>得</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分；</w:t>
            </w:r>
          </w:p>
          <w:p>
            <w:pPr>
              <w:pStyle w:val="2"/>
              <w:spacing w:line="360" w:lineRule="auto"/>
              <w:rPr>
                <w:rFonts w:hint="eastAsia" w:ascii="宋体" w:hAnsi="宋体" w:eastAsia="宋体" w:cs="宋体"/>
                <w:b w:val="0"/>
                <w:bCs w:val="0"/>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注：“A级纳税人称号”以“国家税务总局”官网（http://www.chinatax.gov.cn/index.html）查询结果为准，纳税人等级只计算投标人自身（不计算投标人的分公司和子公司）。投标人须提供在上述官网网站的有效查询路径及查询结果网页截图（不符合条件或未提交截图的不计分）。时间以国家税务总局官网公布的获奖年度（评价年度）为准，没有提供或不符合要求的不得分</w:t>
            </w:r>
            <w:r>
              <w:rPr>
                <w:rFonts w:hint="eastAsia" w:ascii="宋体" w:hAnsi="宋体" w:eastAsia="宋体" w:cs="宋体"/>
                <w:color w:val="auto"/>
                <w:szCs w:val="21"/>
                <w:highlight w:val="none"/>
                <w:lang w:eastAsia="zh-CN"/>
              </w:rPr>
              <w:t>。】</w:t>
            </w:r>
          </w:p>
        </w:tc>
        <w:tc>
          <w:tcPr>
            <w:tcW w:w="240" w:type="dxa"/>
            <w:noWrap w:val="0"/>
            <w:vAlign w:val="center"/>
          </w:tcPr>
          <w:p>
            <w:pPr>
              <w:spacing w:line="22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43" w:type="dxa"/>
            <w:vMerge w:val="continue"/>
            <w:noWrap w:val="0"/>
            <w:vAlign w:val="center"/>
          </w:tcPr>
          <w:p>
            <w:pPr>
              <w:snapToGrid w:val="0"/>
              <w:ind w:left="-2" w:leftChars="-1"/>
              <w:jc w:val="center"/>
              <w:rPr>
                <w:rFonts w:hint="eastAsia" w:ascii="宋体" w:hAnsi="宋体" w:eastAsia="宋体" w:cs="宋体"/>
                <w:color w:val="auto"/>
                <w:szCs w:val="21"/>
                <w:highlight w:val="none"/>
              </w:rPr>
            </w:pPr>
          </w:p>
        </w:tc>
        <w:tc>
          <w:tcPr>
            <w:tcW w:w="1406" w:type="dxa"/>
            <w:noWrap w:val="0"/>
            <w:vAlign w:val="center"/>
          </w:tcPr>
          <w:p>
            <w:pPr>
              <w:spacing w:line="360" w:lineRule="auto"/>
              <w:ind w:left="42" w:leftChars="20" w:right="42" w:rightChars="2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获奖情况</w:t>
            </w:r>
          </w:p>
        </w:tc>
        <w:tc>
          <w:tcPr>
            <w:tcW w:w="709" w:type="dxa"/>
            <w:noWrap w:val="0"/>
            <w:vAlign w:val="center"/>
          </w:tcPr>
          <w:p>
            <w:pPr>
              <w:spacing w:line="360" w:lineRule="auto"/>
              <w:jc w:val="center"/>
              <w:rPr>
                <w:rFonts w:hint="default" w:ascii="宋体" w:hAnsi="宋体" w:eastAsia="宋体" w:cs="宋体"/>
                <w:color w:val="auto"/>
                <w:kern w:val="2"/>
                <w:position w:val="8"/>
                <w:sz w:val="21"/>
                <w:szCs w:val="21"/>
                <w:highlight w:val="none"/>
                <w:lang w:val="en-US" w:eastAsia="zh-CN" w:bidi="ar-SA"/>
              </w:rPr>
            </w:pPr>
            <w:r>
              <w:rPr>
                <w:rFonts w:hint="eastAsia" w:ascii="宋体" w:hAnsi="宋体" w:eastAsia="宋体" w:cs="宋体"/>
                <w:color w:val="auto"/>
                <w:position w:val="8"/>
                <w:szCs w:val="21"/>
                <w:highlight w:val="none"/>
                <w:lang w:val="en-US" w:eastAsia="zh-CN"/>
              </w:rPr>
              <w:t>6分</w:t>
            </w:r>
          </w:p>
        </w:tc>
        <w:tc>
          <w:tcPr>
            <w:tcW w:w="9797" w:type="dxa"/>
            <w:noWrap w:val="0"/>
            <w:vAlign w:val="center"/>
          </w:tcPr>
          <w:p>
            <w:pPr>
              <w:adjustRightInd w:val="0"/>
              <w:snapToGrid w:val="0"/>
              <w:spacing w:line="360" w:lineRule="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Cs w:val="21"/>
                <w:highlight w:val="none"/>
              </w:rPr>
              <w:t>投标人自 201</w:t>
            </w:r>
            <w:r>
              <w:rPr>
                <w:rFonts w:hint="eastAsia" w:ascii="宋体" w:hAnsi="宋体" w:eastAsia="宋体" w:cs="宋体"/>
                <w:color w:val="auto"/>
                <w:kern w:val="2"/>
                <w:szCs w:val="21"/>
                <w:highlight w:val="none"/>
                <w:lang w:val="en-US" w:eastAsia="zh-CN"/>
              </w:rPr>
              <w:t>8</w:t>
            </w:r>
            <w:r>
              <w:rPr>
                <w:rFonts w:hint="eastAsia" w:ascii="宋体" w:hAnsi="宋体" w:eastAsia="宋体" w:cs="宋体"/>
                <w:color w:val="auto"/>
                <w:kern w:val="2"/>
                <w:szCs w:val="21"/>
                <w:highlight w:val="none"/>
              </w:rPr>
              <w:t xml:space="preserve"> 年 1 月 1 日至今</w:t>
            </w:r>
            <w:r>
              <w:rPr>
                <w:rFonts w:hint="eastAsia" w:ascii="宋体" w:hAnsi="宋体" w:eastAsia="宋体" w:cs="宋体"/>
                <w:color w:val="auto"/>
                <w:kern w:val="2"/>
                <w:szCs w:val="21"/>
                <w:highlight w:val="none"/>
                <w:lang w:eastAsia="zh-CN"/>
              </w:rPr>
              <w:t>，</w:t>
            </w:r>
            <w:r>
              <w:rPr>
                <w:rFonts w:hint="eastAsia" w:ascii="宋体" w:hAnsi="宋体" w:eastAsia="宋体" w:cs="宋体"/>
                <w:color w:val="auto"/>
                <w:kern w:val="2"/>
                <w:szCs w:val="21"/>
                <w:highlight w:val="none"/>
              </w:rPr>
              <w:t>获得</w:t>
            </w:r>
            <w:r>
              <w:rPr>
                <w:rFonts w:hint="eastAsia" w:ascii="宋体" w:hAnsi="宋体" w:eastAsia="宋体" w:cs="宋体"/>
                <w:color w:val="auto"/>
                <w:kern w:val="2"/>
                <w:szCs w:val="21"/>
                <w:highlight w:val="none"/>
                <w:lang w:eastAsia="zh-CN"/>
              </w:rPr>
              <w:t>国家级、</w:t>
            </w:r>
            <w:r>
              <w:rPr>
                <w:rFonts w:hint="eastAsia" w:ascii="宋体" w:hAnsi="宋体" w:eastAsia="宋体" w:cs="宋体"/>
                <w:color w:val="auto"/>
                <w:kern w:val="2"/>
                <w:szCs w:val="21"/>
                <w:highlight w:val="none"/>
              </w:rPr>
              <w:t>省级</w:t>
            </w:r>
            <w:r>
              <w:rPr>
                <w:rFonts w:hint="eastAsia" w:ascii="宋体" w:hAnsi="宋体" w:eastAsia="宋体" w:cs="宋体"/>
                <w:color w:val="auto"/>
                <w:kern w:val="2"/>
                <w:szCs w:val="21"/>
                <w:highlight w:val="none"/>
                <w:lang w:eastAsia="zh-CN"/>
              </w:rPr>
              <w:t>、</w:t>
            </w:r>
            <w:r>
              <w:rPr>
                <w:rFonts w:hint="eastAsia" w:ascii="宋体" w:hAnsi="宋体" w:eastAsia="宋体" w:cs="宋体"/>
                <w:color w:val="auto"/>
                <w:kern w:val="2"/>
                <w:szCs w:val="21"/>
                <w:highlight w:val="none"/>
              </w:rPr>
              <w:t>市级建设行政主管部门或行业协会颁发奖项的（包含各类 QC、工法），</w:t>
            </w:r>
            <w:r>
              <w:rPr>
                <w:rFonts w:hint="eastAsia" w:ascii="宋体" w:hAnsi="宋体" w:eastAsia="宋体" w:cs="宋体"/>
                <w:color w:val="auto"/>
                <w:kern w:val="2"/>
                <w:szCs w:val="21"/>
                <w:highlight w:val="none"/>
                <w:lang w:eastAsia="zh-CN"/>
              </w:rPr>
              <w:t>国家级的</w:t>
            </w:r>
            <w:r>
              <w:rPr>
                <w:rFonts w:hint="eastAsia" w:ascii="宋体" w:hAnsi="宋体" w:eastAsia="宋体" w:cs="宋体"/>
                <w:color w:val="auto"/>
                <w:kern w:val="2"/>
                <w:szCs w:val="21"/>
                <w:highlight w:val="none"/>
              </w:rPr>
              <w:t>每项得</w:t>
            </w:r>
            <w:r>
              <w:rPr>
                <w:rFonts w:hint="eastAsia" w:ascii="宋体" w:hAnsi="宋体" w:eastAsia="宋体" w:cs="宋体"/>
                <w:color w:val="auto"/>
                <w:kern w:val="2"/>
                <w:szCs w:val="21"/>
                <w:highlight w:val="none"/>
                <w:lang w:val="en-US" w:eastAsia="zh-CN"/>
              </w:rPr>
              <w:t>3</w:t>
            </w:r>
            <w:r>
              <w:rPr>
                <w:rFonts w:hint="eastAsia" w:ascii="宋体" w:hAnsi="宋体" w:eastAsia="宋体" w:cs="宋体"/>
                <w:color w:val="auto"/>
                <w:kern w:val="2"/>
                <w:szCs w:val="21"/>
                <w:highlight w:val="none"/>
              </w:rPr>
              <w:t>分，</w:t>
            </w:r>
            <w:r>
              <w:rPr>
                <w:rFonts w:hint="eastAsia" w:ascii="宋体" w:hAnsi="宋体" w:eastAsia="宋体" w:cs="宋体"/>
                <w:color w:val="auto"/>
                <w:kern w:val="2"/>
                <w:szCs w:val="21"/>
                <w:highlight w:val="none"/>
                <w:lang w:eastAsia="zh-CN"/>
              </w:rPr>
              <w:t>省级的每项得</w:t>
            </w:r>
            <w:r>
              <w:rPr>
                <w:rFonts w:hint="eastAsia" w:ascii="宋体" w:hAnsi="宋体" w:eastAsia="宋体" w:cs="宋体"/>
                <w:color w:val="auto"/>
                <w:kern w:val="2"/>
                <w:szCs w:val="21"/>
                <w:highlight w:val="none"/>
                <w:lang w:val="en-US" w:eastAsia="zh-CN"/>
              </w:rPr>
              <w:t>2分，市级的每项得1分，</w:t>
            </w:r>
            <w:r>
              <w:rPr>
                <w:rFonts w:hint="eastAsia" w:ascii="宋体" w:hAnsi="宋体" w:eastAsia="宋体" w:cs="宋体"/>
                <w:color w:val="auto"/>
                <w:kern w:val="2"/>
                <w:szCs w:val="21"/>
                <w:highlight w:val="none"/>
              </w:rPr>
              <w:t>本项最高得</w:t>
            </w:r>
            <w:r>
              <w:rPr>
                <w:rFonts w:hint="eastAsia" w:ascii="宋体" w:hAnsi="宋体" w:eastAsia="宋体" w:cs="宋体"/>
                <w:color w:val="auto"/>
                <w:kern w:val="2"/>
                <w:szCs w:val="21"/>
                <w:highlight w:val="none"/>
                <w:lang w:val="en-US" w:eastAsia="zh-CN"/>
              </w:rPr>
              <w:t>6</w:t>
            </w:r>
            <w:r>
              <w:rPr>
                <w:rFonts w:hint="eastAsia" w:ascii="宋体" w:hAnsi="宋体" w:eastAsia="宋体" w:cs="宋体"/>
                <w:color w:val="auto"/>
                <w:kern w:val="2"/>
                <w:szCs w:val="21"/>
                <w:highlight w:val="none"/>
              </w:rPr>
              <w:t xml:space="preserve">分。注：①颁发单位包括行政区政府、建设行政主管部门或行业协会；②获奖时间以获奖证书颁发时间或网上公示获奖时间为准；③需提供获奖证书复印件或网上公示获奖页面截图凭证、得奖项目不重复记分。 </w:t>
            </w:r>
          </w:p>
        </w:tc>
        <w:tc>
          <w:tcPr>
            <w:tcW w:w="240" w:type="dxa"/>
            <w:noWrap w:val="0"/>
            <w:vAlign w:val="center"/>
          </w:tcPr>
          <w:p>
            <w:pPr>
              <w:spacing w:line="22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noWrap w:val="0"/>
            <w:vAlign w:val="center"/>
          </w:tcPr>
          <w:p>
            <w:pPr>
              <w:snapToGrid w:val="0"/>
              <w:ind w:left="-2" w:leftChars="-1"/>
              <w:jc w:val="center"/>
              <w:rPr>
                <w:rFonts w:hint="eastAsia" w:ascii="宋体" w:hAnsi="宋体" w:eastAsia="宋体" w:cs="宋体"/>
                <w:color w:val="auto"/>
                <w:szCs w:val="21"/>
                <w:highlight w:val="none"/>
              </w:rPr>
            </w:pPr>
          </w:p>
        </w:tc>
        <w:tc>
          <w:tcPr>
            <w:tcW w:w="1406" w:type="dxa"/>
            <w:vMerge w:val="restart"/>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pacing w:val="-5"/>
                <w:szCs w:val="21"/>
                <w:highlight w:val="none"/>
              </w:rPr>
              <w:t>拟派本项目</w:t>
            </w:r>
            <w:r>
              <w:rPr>
                <w:rFonts w:hint="eastAsia" w:ascii="宋体" w:hAnsi="宋体" w:eastAsia="宋体" w:cs="宋体"/>
                <w:color w:val="auto"/>
                <w:spacing w:val="-5"/>
                <w:szCs w:val="21"/>
                <w:highlight w:val="none"/>
                <w:lang w:val="en-US" w:eastAsia="zh-CN"/>
              </w:rPr>
              <w:t>团队</w:t>
            </w:r>
            <w:r>
              <w:rPr>
                <w:rFonts w:hint="eastAsia" w:ascii="宋体" w:hAnsi="宋体" w:eastAsia="宋体" w:cs="宋体"/>
                <w:color w:val="auto"/>
                <w:spacing w:val="-5"/>
                <w:szCs w:val="21"/>
                <w:highlight w:val="none"/>
              </w:rPr>
              <w:t>情况</w:t>
            </w:r>
          </w:p>
        </w:tc>
        <w:tc>
          <w:tcPr>
            <w:tcW w:w="709" w:type="dxa"/>
            <w:noWrap w:val="0"/>
            <w:vAlign w:val="center"/>
          </w:tcPr>
          <w:p>
            <w:pPr>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5分</w:t>
            </w:r>
          </w:p>
        </w:tc>
        <w:tc>
          <w:tcPr>
            <w:tcW w:w="9797" w:type="dxa"/>
            <w:noWrap w:val="0"/>
            <w:vAlign w:val="center"/>
          </w:tcPr>
          <w:p>
            <w:pPr>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lang w:val="en-US" w:eastAsia="zh-CN"/>
              </w:rPr>
              <w:t>项目</w:t>
            </w:r>
            <w:r>
              <w:rPr>
                <w:rFonts w:hint="eastAsia" w:ascii="宋体" w:hAnsi="宋体" w:eastAsia="宋体" w:cs="宋体"/>
                <w:color w:val="auto"/>
                <w:spacing w:val="-5"/>
                <w:szCs w:val="21"/>
                <w:highlight w:val="none"/>
              </w:rPr>
              <w:t>负责人：</w:t>
            </w:r>
          </w:p>
          <w:p>
            <w:p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1、</w:t>
            </w:r>
            <w:r>
              <w:rPr>
                <w:rFonts w:hint="eastAsia" w:ascii="宋体" w:hAnsi="宋体" w:eastAsia="宋体" w:cs="宋体"/>
                <w:color w:val="auto"/>
                <w:spacing w:val="-5"/>
                <w:szCs w:val="21"/>
                <w:highlight w:val="none"/>
              </w:rPr>
              <w:t>具有工程类</w:t>
            </w:r>
            <w:r>
              <w:rPr>
                <w:rFonts w:hint="eastAsia" w:ascii="宋体" w:hAnsi="宋体" w:eastAsia="宋体" w:cs="宋体"/>
                <w:color w:val="auto"/>
                <w:spacing w:val="-5"/>
                <w:szCs w:val="21"/>
                <w:highlight w:val="none"/>
                <w:lang w:val="en-US" w:eastAsia="zh-CN"/>
              </w:rPr>
              <w:t>中</w:t>
            </w:r>
            <w:r>
              <w:rPr>
                <w:rFonts w:hint="eastAsia" w:ascii="宋体" w:hAnsi="宋体" w:eastAsia="宋体" w:cs="宋体"/>
                <w:color w:val="auto"/>
                <w:spacing w:val="-5"/>
                <w:szCs w:val="21"/>
                <w:highlight w:val="none"/>
              </w:rPr>
              <w:t>级或以上职称</w:t>
            </w:r>
            <w:r>
              <w:rPr>
                <w:rFonts w:hint="eastAsia" w:ascii="宋体" w:hAnsi="宋体" w:eastAsia="宋体" w:cs="宋体"/>
                <w:color w:val="auto"/>
                <w:spacing w:val="-5"/>
                <w:szCs w:val="21"/>
                <w:highlight w:val="none"/>
                <w:lang w:val="en-US" w:eastAsia="zh-CN"/>
              </w:rPr>
              <w:t>，</w:t>
            </w:r>
            <w:r>
              <w:rPr>
                <w:rFonts w:hint="eastAsia" w:ascii="宋体" w:hAnsi="宋体" w:eastAsia="宋体" w:cs="宋体"/>
                <w:color w:val="auto"/>
                <w:spacing w:val="-5"/>
                <w:szCs w:val="21"/>
                <w:highlight w:val="none"/>
                <w:shd w:val="clear" w:color="auto" w:fill="auto"/>
                <w:lang w:val="en-US" w:eastAsia="zh-CN"/>
              </w:rPr>
              <w:t>得3分</w:t>
            </w:r>
            <w:r>
              <w:rPr>
                <w:rFonts w:hint="eastAsia" w:ascii="宋体" w:hAnsi="宋体" w:eastAsia="宋体" w:cs="宋体"/>
                <w:color w:val="auto"/>
                <w:spacing w:val="-5"/>
                <w:szCs w:val="21"/>
                <w:highlight w:val="none"/>
                <w:lang w:val="en-US" w:eastAsia="zh-CN"/>
              </w:rPr>
              <w:t>；</w:t>
            </w:r>
          </w:p>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2、具有</w:t>
            </w:r>
            <w:r>
              <w:rPr>
                <w:rFonts w:hint="eastAsia" w:ascii="宋体" w:hAnsi="宋体" w:eastAsia="宋体" w:cs="宋体"/>
                <w:color w:val="auto"/>
                <w:spacing w:val="-5"/>
                <w:szCs w:val="21"/>
                <w:highlight w:val="none"/>
              </w:rPr>
              <w:t>工作经验</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年或以上，</w:t>
            </w:r>
            <w:r>
              <w:rPr>
                <w:rFonts w:hint="eastAsia" w:ascii="宋体" w:hAnsi="宋体" w:eastAsia="宋体" w:cs="宋体"/>
                <w:color w:val="auto"/>
                <w:spacing w:val="-5"/>
                <w:szCs w:val="21"/>
                <w:highlight w:val="none"/>
                <w:shd w:val="clear" w:color="auto" w:fill="auto"/>
              </w:rPr>
              <w:t>得</w:t>
            </w:r>
            <w:r>
              <w:rPr>
                <w:rFonts w:hint="eastAsia" w:ascii="宋体" w:hAnsi="宋体" w:eastAsia="宋体" w:cs="宋体"/>
                <w:color w:val="auto"/>
                <w:spacing w:val="-5"/>
                <w:szCs w:val="21"/>
                <w:highlight w:val="none"/>
                <w:shd w:val="clear" w:color="auto" w:fill="auto"/>
                <w:lang w:val="en-US" w:eastAsia="zh-CN"/>
              </w:rPr>
              <w:t>2</w:t>
            </w:r>
            <w:r>
              <w:rPr>
                <w:rFonts w:hint="eastAsia" w:ascii="宋体" w:hAnsi="宋体" w:eastAsia="宋体" w:cs="宋体"/>
                <w:color w:val="auto"/>
                <w:spacing w:val="-5"/>
                <w:szCs w:val="21"/>
                <w:highlight w:val="none"/>
                <w:shd w:val="clear" w:color="auto" w:fill="auto"/>
              </w:rPr>
              <w:t>分</w:t>
            </w:r>
            <w:r>
              <w:rPr>
                <w:rFonts w:hint="eastAsia" w:ascii="宋体" w:hAnsi="宋体" w:eastAsia="宋体" w:cs="宋体"/>
                <w:color w:val="auto"/>
                <w:spacing w:val="-5"/>
                <w:szCs w:val="21"/>
                <w:highlight w:val="none"/>
                <w:lang w:val="en-US" w:eastAsia="zh-CN"/>
              </w:rPr>
              <w:t>。</w:t>
            </w:r>
          </w:p>
          <w:p>
            <w:pPr>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本项最</w:t>
            </w:r>
            <w:r>
              <w:rPr>
                <w:rFonts w:hint="eastAsia" w:ascii="宋体" w:hAnsi="宋体" w:eastAsia="宋体" w:cs="宋体"/>
                <w:color w:val="auto"/>
                <w:spacing w:val="-5"/>
                <w:szCs w:val="21"/>
                <w:highlight w:val="none"/>
                <w:shd w:val="clear" w:color="auto" w:fill="auto"/>
              </w:rPr>
              <w:t>高</w:t>
            </w:r>
            <w:r>
              <w:rPr>
                <w:rFonts w:hint="eastAsia" w:ascii="宋体" w:hAnsi="宋体" w:eastAsia="宋体" w:cs="宋体"/>
                <w:color w:val="auto"/>
                <w:spacing w:val="-5"/>
                <w:szCs w:val="21"/>
                <w:highlight w:val="none"/>
                <w:shd w:val="clear" w:color="auto" w:fill="auto"/>
                <w:lang w:eastAsia="zh-CN"/>
              </w:rPr>
              <w:t>得</w:t>
            </w:r>
            <w:r>
              <w:rPr>
                <w:rFonts w:hint="eastAsia" w:ascii="宋体" w:hAnsi="宋体" w:eastAsia="宋体" w:cs="宋体"/>
                <w:color w:val="auto"/>
                <w:spacing w:val="-5"/>
                <w:szCs w:val="21"/>
                <w:highlight w:val="none"/>
                <w:shd w:val="clear" w:color="auto" w:fill="auto"/>
                <w:lang w:val="en-US" w:eastAsia="zh-CN"/>
              </w:rPr>
              <w:t>5</w:t>
            </w:r>
            <w:r>
              <w:rPr>
                <w:rFonts w:hint="eastAsia" w:ascii="宋体" w:hAnsi="宋体" w:eastAsia="宋体" w:cs="宋体"/>
                <w:color w:val="auto"/>
                <w:spacing w:val="-5"/>
                <w:szCs w:val="21"/>
                <w:highlight w:val="none"/>
                <w:shd w:val="clear" w:color="auto" w:fill="auto"/>
              </w:rPr>
              <w:t>分</w:t>
            </w:r>
            <w:r>
              <w:rPr>
                <w:rFonts w:hint="eastAsia" w:ascii="宋体" w:hAnsi="宋体" w:eastAsia="宋体" w:cs="宋体"/>
                <w:color w:val="auto"/>
                <w:spacing w:val="-5"/>
                <w:szCs w:val="21"/>
                <w:highlight w:val="none"/>
              </w:rPr>
              <w:t>。</w:t>
            </w:r>
          </w:p>
          <w:p>
            <w:pPr>
              <w:autoSpaceDE w:val="0"/>
              <w:autoSpaceDN w:val="0"/>
              <w:adjustRightInd w:val="0"/>
              <w:snapToGrid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5"/>
                <w:szCs w:val="21"/>
                <w:highlight w:val="none"/>
                <w:lang w:eastAsia="zh-CN"/>
              </w:rPr>
              <w:t>（</w:t>
            </w:r>
            <w:r>
              <w:rPr>
                <w:rFonts w:hint="eastAsia" w:ascii="宋体" w:hAnsi="宋体" w:eastAsia="宋体" w:cs="宋体"/>
                <w:color w:val="auto"/>
                <w:spacing w:val="-5"/>
                <w:szCs w:val="21"/>
                <w:highlight w:val="none"/>
              </w:rPr>
              <w:t>注：需提供人员相关证书和毕业证书和投标人近</w:t>
            </w:r>
            <w:r>
              <w:rPr>
                <w:rFonts w:hint="eastAsia" w:ascii="宋体" w:hAnsi="宋体" w:eastAsia="宋体" w:cs="宋体"/>
                <w:color w:val="auto"/>
                <w:spacing w:val="-5"/>
                <w:szCs w:val="21"/>
                <w:highlight w:val="none"/>
                <w:lang w:val="en-US" w:eastAsia="zh-CN"/>
              </w:rPr>
              <w:t>1</w:t>
            </w:r>
            <w:r>
              <w:rPr>
                <w:rFonts w:hint="eastAsia" w:ascii="宋体" w:hAnsi="宋体" w:eastAsia="宋体" w:cs="宋体"/>
                <w:color w:val="auto"/>
                <w:spacing w:val="-5"/>
                <w:szCs w:val="21"/>
                <w:highlight w:val="none"/>
              </w:rPr>
              <w:t>个月（</w:t>
            </w:r>
            <w:r>
              <w:rPr>
                <w:rFonts w:hint="eastAsia" w:ascii="宋体" w:hAnsi="宋体" w:eastAsia="宋体" w:cs="宋体"/>
                <w:color w:val="auto"/>
                <w:spacing w:val="-5"/>
                <w:szCs w:val="21"/>
                <w:highlight w:val="none"/>
                <w:lang w:val="en-US" w:eastAsia="zh-CN"/>
              </w:rPr>
              <w:t>2023年7月</w:t>
            </w:r>
            <w:r>
              <w:rPr>
                <w:rFonts w:hint="eastAsia" w:ascii="宋体" w:hAnsi="宋体" w:eastAsia="宋体" w:cs="宋体"/>
                <w:color w:val="auto"/>
                <w:spacing w:val="-5"/>
                <w:szCs w:val="21"/>
                <w:highlight w:val="none"/>
              </w:rPr>
              <w:t>）为其购买社保的加盖社会保险基金管理中心印章的《投保单》或《社会保险参保人员证明》复印件，工作经验以</w:t>
            </w:r>
            <w:r>
              <w:rPr>
                <w:rFonts w:hint="eastAsia" w:ascii="宋体" w:hAnsi="宋体" w:eastAsia="宋体" w:cs="宋体"/>
                <w:color w:val="auto"/>
                <w:spacing w:val="-5"/>
                <w:szCs w:val="21"/>
                <w:highlight w:val="none"/>
                <w:lang w:eastAsia="zh-CN"/>
              </w:rPr>
              <w:t>本科或专科</w:t>
            </w:r>
            <w:r>
              <w:rPr>
                <w:rFonts w:hint="eastAsia" w:ascii="宋体" w:hAnsi="宋体" w:eastAsia="宋体" w:cs="宋体"/>
                <w:color w:val="auto"/>
                <w:spacing w:val="-5"/>
                <w:szCs w:val="21"/>
                <w:highlight w:val="none"/>
              </w:rPr>
              <w:t>毕业证发证时间开始计算，不符合或不提供不得分</w:t>
            </w:r>
            <w:r>
              <w:rPr>
                <w:rFonts w:hint="eastAsia" w:ascii="宋体" w:hAnsi="宋体" w:eastAsia="宋体" w:cs="宋体"/>
                <w:color w:val="auto"/>
                <w:spacing w:val="-5"/>
                <w:szCs w:val="21"/>
                <w:highlight w:val="none"/>
                <w:lang w:eastAsia="zh-CN"/>
              </w:rPr>
              <w:t>。）</w:t>
            </w:r>
          </w:p>
        </w:tc>
        <w:tc>
          <w:tcPr>
            <w:tcW w:w="240" w:type="dxa"/>
            <w:noWrap w:val="0"/>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noWrap w:val="0"/>
            <w:vAlign w:val="center"/>
          </w:tcPr>
          <w:p>
            <w:pPr>
              <w:snapToGrid w:val="0"/>
              <w:ind w:left="-2" w:leftChars="-1"/>
              <w:jc w:val="center"/>
              <w:rPr>
                <w:rFonts w:hint="eastAsia" w:ascii="宋体" w:hAnsi="宋体" w:eastAsia="宋体" w:cs="宋体"/>
                <w:color w:val="auto"/>
                <w:szCs w:val="21"/>
                <w:highlight w:val="none"/>
              </w:rPr>
            </w:pPr>
          </w:p>
        </w:tc>
        <w:tc>
          <w:tcPr>
            <w:tcW w:w="1406" w:type="dxa"/>
            <w:vMerge w:val="continue"/>
            <w:noWrap w:val="0"/>
            <w:vAlign w:val="center"/>
          </w:tcPr>
          <w:p>
            <w:pPr>
              <w:jc w:val="center"/>
              <w:rPr>
                <w:rFonts w:hint="eastAsia" w:ascii="宋体" w:hAnsi="宋体" w:eastAsia="宋体" w:cs="宋体"/>
                <w:color w:val="auto"/>
                <w:spacing w:val="-5"/>
                <w:szCs w:val="21"/>
                <w:highlight w:val="none"/>
              </w:rPr>
            </w:pPr>
          </w:p>
        </w:tc>
        <w:tc>
          <w:tcPr>
            <w:tcW w:w="709" w:type="dxa"/>
            <w:noWrap w:val="0"/>
            <w:vAlign w:val="center"/>
          </w:tcPr>
          <w:p>
            <w:pPr>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4分</w:t>
            </w:r>
          </w:p>
        </w:tc>
        <w:tc>
          <w:tcPr>
            <w:tcW w:w="9797" w:type="dxa"/>
            <w:noWrap w:val="0"/>
            <w:vAlign w:val="center"/>
          </w:tcPr>
          <w:p>
            <w:pPr>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lang w:val="en-US" w:eastAsia="zh-CN"/>
              </w:rPr>
              <w:t>技术</w:t>
            </w:r>
            <w:r>
              <w:rPr>
                <w:rFonts w:hint="eastAsia" w:ascii="宋体" w:hAnsi="宋体" w:eastAsia="宋体" w:cs="宋体"/>
                <w:color w:val="auto"/>
                <w:spacing w:val="-5"/>
                <w:szCs w:val="21"/>
                <w:highlight w:val="none"/>
              </w:rPr>
              <w:t>负责人：</w:t>
            </w:r>
          </w:p>
          <w:p>
            <w:pPr>
              <w:autoSpaceDE w:val="0"/>
              <w:autoSpaceDN w:val="0"/>
              <w:adjustRightInd w:val="0"/>
              <w:snapToGrid w:val="0"/>
              <w:spacing w:line="240" w:lineRule="auto"/>
              <w:rPr>
                <w:rFonts w:hint="default"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1、具有注册二级或以上市政公用工程专业建造师的，</w:t>
            </w:r>
            <w:r>
              <w:rPr>
                <w:rFonts w:hint="eastAsia" w:ascii="宋体" w:hAnsi="宋体" w:eastAsia="宋体" w:cs="宋体"/>
                <w:color w:val="auto"/>
                <w:spacing w:val="-5"/>
                <w:szCs w:val="21"/>
                <w:highlight w:val="none"/>
                <w:shd w:val="clear" w:color="auto" w:fill="auto"/>
                <w:lang w:val="en-US" w:eastAsia="zh-CN"/>
              </w:rPr>
              <w:t>得2分。</w:t>
            </w:r>
          </w:p>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2、具有</w:t>
            </w:r>
            <w:r>
              <w:rPr>
                <w:rFonts w:hint="eastAsia" w:ascii="宋体" w:hAnsi="宋体" w:eastAsia="宋体" w:cs="宋体"/>
                <w:color w:val="auto"/>
                <w:spacing w:val="-5"/>
                <w:szCs w:val="21"/>
                <w:highlight w:val="none"/>
              </w:rPr>
              <w:t>工作经验</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年或以上，</w:t>
            </w:r>
            <w:r>
              <w:rPr>
                <w:rFonts w:hint="eastAsia" w:ascii="宋体" w:hAnsi="宋体" w:eastAsia="宋体" w:cs="宋体"/>
                <w:color w:val="auto"/>
                <w:spacing w:val="-5"/>
                <w:szCs w:val="21"/>
                <w:highlight w:val="none"/>
                <w:shd w:val="clear" w:color="auto" w:fill="auto"/>
              </w:rPr>
              <w:t>得</w:t>
            </w:r>
            <w:r>
              <w:rPr>
                <w:rFonts w:hint="eastAsia" w:ascii="宋体" w:hAnsi="宋体" w:eastAsia="宋体" w:cs="宋体"/>
                <w:color w:val="auto"/>
                <w:spacing w:val="-5"/>
                <w:szCs w:val="21"/>
                <w:highlight w:val="none"/>
                <w:shd w:val="clear" w:color="auto" w:fill="auto"/>
                <w:lang w:val="en-US" w:eastAsia="zh-CN"/>
              </w:rPr>
              <w:t>2</w:t>
            </w:r>
            <w:r>
              <w:rPr>
                <w:rFonts w:hint="eastAsia" w:ascii="宋体" w:hAnsi="宋体" w:eastAsia="宋体" w:cs="宋体"/>
                <w:color w:val="auto"/>
                <w:spacing w:val="-5"/>
                <w:szCs w:val="21"/>
                <w:highlight w:val="none"/>
                <w:shd w:val="clear" w:color="auto" w:fill="auto"/>
              </w:rPr>
              <w:t>分</w:t>
            </w:r>
            <w:r>
              <w:rPr>
                <w:rFonts w:hint="eastAsia" w:ascii="宋体" w:hAnsi="宋体" w:eastAsia="宋体" w:cs="宋体"/>
                <w:color w:val="auto"/>
                <w:spacing w:val="-5"/>
                <w:szCs w:val="21"/>
                <w:highlight w:val="none"/>
                <w:shd w:val="clear" w:color="auto" w:fill="auto"/>
                <w:lang w:eastAsia="zh-CN"/>
              </w:rPr>
              <w:t>。</w:t>
            </w:r>
          </w:p>
          <w:p>
            <w:pPr>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本项最</w:t>
            </w:r>
            <w:r>
              <w:rPr>
                <w:rFonts w:hint="eastAsia" w:ascii="宋体" w:hAnsi="宋体" w:eastAsia="宋体" w:cs="宋体"/>
                <w:color w:val="auto"/>
                <w:spacing w:val="-5"/>
                <w:szCs w:val="21"/>
                <w:highlight w:val="none"/>
                <w:shd w:val="clear" w:color="auto" w:fill="auto"/>
              </w:rPr>
              <w:t>高</w:t>
            </w:r>
            <w:r>
              <w:rPr>
                <w:rFonts w:hint="eastAsia" w:ascii="宋体" w:hAnsi="宋体" w:eastAsia="宋体" w:cs="宋体"/>
                <w:color w:val="auto"/>
                <w:spacing w:val="-5"/>
                <w:szCs w:val="21"/>
                <w:highlight w:val="none"/>
                <w:shd w:val="clear" w:color="auto" w:fill="auto"/>
                <w:lang w:eastAsia="zh-CN"/>
              </w:rPr>
              <w:t>得</w:t>
            </w:r>
            <w:r>
              <w:rPr>
                <w:rFonts w:hint="eastAsia" w:ascii="宋体" w:hAnsi="宋体" w:eastAsia="宋体" w:cs="宋体"/>
                <w:color w:val="auto"/>
                <w:spacing w:val="-5"/>
                <w:szCs w:val="21"/>
                <w:highlight w:val="none"/>
                <w:shd w:val="clear" w:color="auto" w:fill="auto"/>
                <w:lang w:val="en-US" w:eastAsia="zh-CN"/>
              </w:rPr>
              <w:t>4</w:t>
            </w:r>
            <w:r>
              <w:rPr>
                <w:rFonts w:hint="eastAsia" w:ascii="宋体" w:hAnsi="宋体" w:eastAsia="宋体" w:cs="宋体"/>
                <w:color w:val="auto"/>
                <w:spacing w:val="-5"/>
                <w:szCs w:val="21"/>
                <w:highlight w:val="none"/>
                <w:shd w:val="clear" w:color="auto" w:fill="auto"/>
              </w:rPr>
              <w:t>分</w:t>
            </w:r>
            <w:r>
              <w:rPr>
                <w:rFonts w:hint="eastAsia" w:ascii="宋体" w:hAnsi="宋体" w:eastAsia="宋体" w:cs="宋体"/>
                <w:color w:val="auto"/>
                <w:spacing w:val="-5"/>
                <w:szCs w:val="21"/>
                <w:highlight w:val="none"/>
              </w:rPr>
              <w:t>。</w:t>
            </w:r>
          </w:p>
          <w:p>
            <w:pPr>
              <w:autoSpaceDE w:val="0"/>
              <w:autoSpaceDN w:val="0"/>
              <w:adjustRightInd w:val="0"/>
              <w:snapToGrid w:val="0"/>
              <w:spacing w:line="240" w:lineRule="auto"/>
              <w:rPr>
                <w:rFonts w:hint="eastAsia" w:ascii="宋体" w:hAnsi="宋体" w:eastAsia="宋体" w:cs="宋体"/>
                <w:color w:val="auto"/>
                <w:spacing w:val="-5"/>
                <w:szCs w:val="21"/>
                <w:highlight w:val="none"/>
                <w:lang w:eastAsia="zh-CN"/>
              </w:rPr>
            </w:pPr>
            <w:r>
              <w:rPr>
                <w:rFonts w:hint="eastAsia" w:ascii="宋体" w:hAnsi="宋体" w:eastAsia="宋体" w:cs="宋体"/>
                <w:color w:val="auto"/>
                <w:spacing w:val="-5"/>
                <w:szCs w:val="21"/>
                <w:highlight w:val="none"/>
                <w:lang w:eastAsia="zh-CN"/>
              </w:rPr>
              <w:t>（</w:t>
            </w:r>
            <w:r>
              <w:rPr>
                <w:rFonts w:hint="eastAsia" w:ascii="宋体" w:hAnsi="宋体" w:eastAsia="宋体" w:cs="宋体"/>
                <w:color w:val="auto"/>
                <w:spacing w:val="-5"/>
                <w:szCs w:val="21"/>
                <w:highlight w:val="none"/>
              </w:rPr>
              <w:t>注：需提供人员相关证书和毕业证书和投标人近</w:t>
            </w:r>
            <w:r>
              <w:rPr>
                <w:rFonts w:hint="eastAsia" w:ascii="宋体" w:hAnsi="宋体" w:eastAsia="宋体" w:cs="宋体"/>
                <w:color w:val="auto"/>
                <w:spacing w:val="-5"/>
                <w:szCs w:val="21"/>
                <w:highlight w:val="none"/>
                <w:lang w:val="en-US" w:eastAsia="zh-CN"/>
              </w:rPr>
              <w:t>1</w:t>
            </w:r>
            <w:r>
              <w:rPr>
                <w:rFonts w:hint="eastAsia" w:ascii="宋体" w:hAnsi="宋体" w:eastAsia="宋体" w:cs="宋体"/>
                <w:color w:val="auto"/>
                <w:spacing w:val="-5"/>
                <w:szCs w:val="21"/>
                <w:highlight w:val="none"/>
              </w:rPr>
              <w:t>个月（</w:t>
            </w:r>
            <w:r>
              <w:rPr>
                <w:rFonts w:hint="eastAsia" w:ascii="宋体" w:hAnsi="宋体" w:eastAsia="宋体" w:cs="宋体"/>
                <w:color w:val="auto"/>
                <w:spacing w:val="-5"/>
                <w:szCs w:val="21"/>
                <w:highlight w:val="none"/>
                <w:lang w:val="en-US" w:eastAsia="zh-CN"/>
              </w:rPr>
              <w:t>2023年7月</w:t>
            </w:r>
            <w:r>
              <w:rPr>
                <w:rFonts w:hint="eastAsia" w:ascii="宋体" w:hAnsi="宋体" w:eastAsia="宋体" w:cs="宋体"/>
                <w:color w:val="auto"/>
                <w:spacing w:val="-5"/>
                <w:szCs w:val="21"/>
                <w:highlight w:val="none"/>
              </w:rPr>
              <w:t>）为其购买社保的加盖社会保险基金管理中心印章的《投保单》或《社会保险参保人员证明》复印件，工作经验以</w:t>
            </w:r>
            <w:r>
              <w:rPr>
                <w:rFonts w:hint="eastAsia" w:ascii="宋体" w:hAnsi="宋体" w:eastAsia="宋体" w:cs="宋体"/>
                <w:color w:val="auto"/>
                <w:spacing w:val="-5"/>
                <w:szCs w:val="21"/>
                <w:highlight w:val="none"/>
                <w:lang w:eastAsia="zh-CN"/>
              </w:rPr>
              <w:t>本科或专科</w:t>
            </w:r>
            <w:r>
              <w:rPr>
                <w:rFonts w:hint="eastAsia" w:ascii="宋体" w:hAnsi="宋体" w:eastAsia="宋体" w:cs="宋体"/>
                <w:color w:val="auto"/>
                <w:spacing w:val="-5"/>
                <w:szCs w:val="21"/>
                <w:highlight w:val="none"/>
              </w:rPr>
              <w:t>毕业证发证时间开始计算，不符合或不提供不得分</w:t>
            </w:r>
            <w:r>
              <w:rPr>
                <w:rFonts w:hint="eastAsia" w:ascii="宋体" w:hAnsi="宋体" w:eastAsia="宋体" w:cs="宋体"/>
                <w:color w:val="auto"/>
                <w:spacing w:val="-5"/>
                <w:szCs w:val="21"/>
                <w:highlight w:val="none"/>
                <w:lang w:eastAsia="zh-CN"/>
              </w:rPr>
              <w:t>。）</w:t>
            </w:r>
          </w:p>
        </w:tc>
        <w:tc>
          <w:tcPr>
            <w:tcW w:w="240" w:type="dxa"/>
            <w:noWrap w:val="0"/>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noWrap w:val="0"/>
            <w:vAlign w:val="center"/>
          </w:tcPr>
          <w:p>
            <w:pPr>
              <w:snapToGrid w:val="0"/>
              <w:ind w:left="-2" w:leftChars="-1"/>
              <w:jc w:val="center"/>
              <w:rPr>
                <w:rFonts w:hint="eastAsia" w:ascii="宋体" w:hAnsi="宋体" w:eastAsia="宋体" w:cs="宋体"/>
                <w:color w:val="auto"/>
                <w:szCs w:val="21"/>
                <w:highlight w:val="none"/>
              </w:rPr>
            </w:pPr>
          </w:p>
        </w:tc>
        <w:tc>
          <w:tcPr>
            <w:tcW w:w="1406" w:type="dxa"/>
            <w:vMerge w:val="continue"/>
            <w:noWrap w:val="0"/>
            <w:vAlign w:val="center"/>
          </w:tcPr>
          <w:p>
            <w:pPr>
              <w:jc w:val="center"/>
              <w:rPr>
                <w:rFonts w:hint="eastAsia" w:ascii="宋体" w:hAnsi="宋体" w:eastAsia="宋体" w:cs="宋体"/>
                <w:color w:val="auto"/>
                <w:spacing w:val="-5"/>
                <w:szCs w:val="21"/>
                <w:highlight w:val="none"/>
              </w:rPr>
            </w:pPr>
          </w:p>
        </w:tc>
        <w:tc>
          <w:tcPr>
            <w:tcW w:w="709" w:type="dxa"/>
            <w:noWrap w:val="0"/>
            <w:vAlign w:val="center"/>
          </w:tcPr>
          <w:p>
            <w:pPr>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3分</w:t>
            </w:r>
          </w:p>
        </w:tc>
        <w:tc>
          <w:tcPr>
            <w:tcW w:w="9797" w:type="dxa"/>
            <w:noWrap w:val="0"/>
            <w:vAlign w:val="center"/>
          </w:tcPr>
          <w:p>
            <w:pPr>
              <w:pStyle w:val="19"/>
              <w:numPr>
                <w:ilvl w:val="-1"/>
                <w:numId w:val="0"/>
              </w:numPr>
              <w:autoSpaceDE w:val="0"/>
              <w:autoSpaceDN w:val="0"/>
              <w:adjustRightInd w:val="0"/>
              <w:snapToGrid w:val="0"/>
              <w:spacing w:line="240" w:lineRule="auto"/>
              <w:ind w:firstLine="0"/>
              <w:rPr>
                <w:rFonts w:hint="eastAsia"/>
                <w:color w:val="auto"/>
                <w:highlight w:val="none"/>
                <w:lang w:val="en-US" w:eastAsia="zh-CN"/>
              </w:rPr>
            </w:pPr>
            <w:r>
              <w:rPr>
                <w:rFonts w:hint="eastAsia"/>
                <w:color w:val="auto"/>
                <w:highlight w:val="none"/>
                <w:lang w:val="en-US" w:eastAsia="zh-CN"/>
              </w:rPr>
              <w:t>团队人员（除项目负责人、技术负责人外）：</w:t>
            </w:r>
          </w:p>
          <w:p>
            <w:pPr>
              <w:pStyle w:val="19"/>
              <w:numPr>
                <w:ilvl w:val="0"/>
                <w:numId w:val="5"/>
              </w:numPr>
              <w:ind w:firstLine="0"/>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具有注册电气工程师的，得1分。</w:t>
            </w:r>
          </w:p>
          <w:p>
            <w:pPr>
              <w:pStyle w:val="19"/>
              <w:numPr>
                <w:ilvl w:val="0"/>
                <w:numId w:val="5"/>
              </w:numPr>
              <w:ind w:firstLine="0"/>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具有注册给排水工程师的，得1分。</w:t>
            </w:r>
          </w:p>
          <w:p>
            <w:pPr>
              <w:pStyle w:val="19"/>
              <w:numPr>
                <w:ilvl w:val="0"/>
                <w:numId w:val="5"/>
              </w:numPr>
              <w:ind w:firstLine="0"/>
              <w:rPr>
                <w:rFonts w:hint="default"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具有注册消防工程师的，得1分。</w:t>
            </w:r>
          </w:p>
          <w:p>
            <w:pPr>
              <w:pStyle w:val="19"/>
              <w:numPr>
                <w:ilvl w:val="-1"/>
                <w:numId w:val="0"/>
              </w:numPr>
              <w:ind w:firstLine="0"/>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本项最高得3分。</w:t>
            </w:r>
          </w:p>
          <w:p>
            <w:pPr>
              <w:pStyle w:val="19"/>
              <w:numPr>
                <w:ilvl w:val="-1"/>
                <w:numId w:val="0"/>
              </w:numPr>
              <w:ind w:firstLine="0"/>
              <w:rPr>
                <w:rFonts w:hint="default"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eastAsia="zh-CN"/>
              </w:rPr>
              <w:t>（</w:t>
            </w:r>
            <w:r>
              <w:rPr>
                <w:rFonts w:hint="eastAsia" w:ascii="宋体" w:hAnsi="宋体" w:eastAsia="宋体" w:cs="宋体"/>
                <w:color w:val="auto"/>
                <w:spacing w:val="-5"/>
                <w:szCs w:val="21"/>
                <w:highlight w:val="none"/>
              </w:rPr>
              <w:t>注：需提供人员相关证书和毕业证书和投标人近</w:t>
            </w:r>
            <w:r>
              <w:rPr>
                <w:rFonts w:hint="eastAsia" w:ascii="宋体" w:hAnsi="宋体" w:eastAsia="宋体" w:cs="宋体"/>
                <w:color w:val="auto"/>
                <w:spacing w:val="-5"/>
                <w:szCs w:val="21"/>
                <w:highlight w:val="none"/>
                <w:lang w:val="en-US" w:eastAsia="zh-CN"/>
              </w:rPr>
              <w:t>1</w:t>
            </w:r>
            <w:r>
              <w:rPr>
                <w:rFonts w:hint="eastAsia" w:ascii="宋体" w:hAnsi="宋体" w:eastAsia="宋体" w:cs="宋体"/>
                <w:color w:val="auto"/>
                <w:spacing w:val="-5"/>
                <w:szCs w:val="21"/>
                <w:highlight w:val="none"/>
              </w:rPr>
              <w:t>个月（</w:t>
            </w:r>
            <w:r>
              <w:rPr>
                <w:rFonts w:hint="eastAsia" w:ascii="宋体" w:hAnsi="宋体" w:eastAsia="宋体" w:cs="宋体"/>
                <w:color w:val="auto"/>
                <w:spacing w:val="-5"/>
                <w:szCs w:val="21"/>
                <w:highlight w:val="none"/>
                <w:lang w:val="en-US" w:eastAsia="zh-CN"/>
              </w:rPr>
              <w:t>2023年7月</w:t>
            </w:r>
            <w:r>
              <w:rPr>
                <w:rFonts w:hint="eastAsia" w:ascii="宋体" w:hAnsi="宋体" w:eastAsia="宋体" w:cs="宋体"/>
                <w:color w:val="auto"/>
                <w:spacing w:val="-5"/>
                <w:szCs w:val="21"/>
                <w:highlight w:val="none"/>
              </w:rPr>
              <w:t>）为其购买社保的加盖社会保险基金管理中心印章的《投保单》或《社会保险参保人员证明》复印件，不符合或不提供不得分</w:t>
            </w:r>
            <w:r>
              <w:rPr>
                <w:rFonts w:hint="eastAsia" w:ascii="宋体" w:hAnsi="宋体" w:eastAsia="宋体" w:cs="宋体"/>
                <w:color w:val="auto"/>
                <w:spacing w:val="-5"/>
                <w:szCs w:val="21"/>
                <w:highlight w:val="none"/>
                <w:lang w:eastAsia="zh-CN"/>
              </w:rPr>
              <w:t>。）</w:t>
            </w:r>
          </w:p>
        </w:tc>
        <w:tc>
          <w:tcPr>
            <w:tcW w:w="240" w:type="dxa"/>
            <w:noWrap w:val="0"/>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4" w:hRule="atLeast"/>
          <w:jc w:val="center"/>
        </w:trPr>
        <w:tc>
          <w:tcPr>
            <w:tcW w:w="643" w:type="dxa"/>
            <w:vMerge w:val="restart"/>
            <w:noWrap w:val="0"/>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技术</w:t>
            </w:r>
            <w:r>
              <w:rPr>
                <w:rFonts w:hint="eastAsia" w:ascii="宋体" w:hAnsi="宋体" w:eastAsia="宋体" w:cs="宋体"/>
                <w:color w:val="auto"/>
                <w:szCs w:val="21"/>
                <w:highlight w:val="none"/>
              </w:rPr>
              <w:t>部分</w:t>
            </w:r>
          </w:p>
          <w:p>
            <w:pPr>
              <w:pStyle w:val="5"/>
              <w:ind w:left="0" w:leftChars="0" w:firstLine="0" w:firstLineChars="0"/>
              <w:jc w:val="center"/>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Cs w:val="21"/>
                <w:highlight w:val="none"/>
                <w:lang w:eastAsia="zh-CN"/>
              </w:rPr>
              <w:t>（</w:t>
            </w:r>
            <w:r>
              <w:rPr>
                <w:rFonts w:hint="eastAsia" w:ascii="宋体" w:hAnsi="宋体" w:eastAsia="宋体" w:cs="宋体"/>
                <w:b w:val="0"/>
                <w:bCs/>
                <w:color w:val="auto"/>
                <w:szCs w:val="21"/>
                <w:highlight w:val="none"/>
                <w:lang w:val="en-US" w:eastAsia="zh-CN"/>
              </w:rPr>
              <w:t>20分</w:t>
            </w:r>
            <w:r>
              <w:rPr>
                <w:rFonts w:hint="eastAsia" w:ascii="宋体" w:hAnsi="宋体" w:eastAsia="宋体" w:cs="宋体"/>
                <w:b w:val="0"/>
                <w:bCs/>
                <w:color w:val="auto"/>
                <w:szCs w:val="21"/>
                <w:highlight w:val="none"/>
                <w:lang w:eastAsia="zh-CN"/>
              </w:rPr>
              <w:t>）</w:t>
            </w:r>
          </w:p>
          <w:p>
            <w:pPr>
              <w:snapToGrid w:val="0"/>
              <w:ind w:left="-2" w:leftChars="-1"/>
              <w:jc w:val="center"/>
              <w:rPr>
                <w:rFonts w:hint="eastAsia" w:ascii="宋体" w:hAnsi="宋体" w:eastAsia="宋体" w:cs="宋体"/>
                <w:color w:val="auto"/>
                <w:szCs w:val="21"/>
                <w:highlight w:val="none"/>
              </w:rPr>
            </w:pPr>
          </w:p>
        </w:tc>
        <w:tc>
          <w:tcPr>
            <w:tcW w:w="1406" w:type="dxa"/>
            <w:noWrap w:val="0"/>
            <w:vAlign w:val="center"/>
          </w:tcPr>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5"/>
                <w:szCs w:val="21"/>
                <w:highlight w:val="none"/>
                <w:lang w:val="en-US" w:eastAsia="zh-CN"/>
              </w:rPr>
              <w:t>项目实施方案</w:t>
            </w:r>
          </w:p>
        </w:tc>
        <w:tc>
          <w:tcPr>
            <w:tcW w:w="709" w:type="dxa"/>
            <w:noWrap w:val="0"/>
            <w:vAlign w:val="center"/>
          </w:tcPr>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kern w:val="2"/>
                <w:position w:val="8"/>
                <w:sz w:val="21"/>
                <w:szCs w:val="21"/>
                <w:highlight w:val="none"/>
                <w:lang w:val="en-US" w:eastAsia="zh-CN" w:bidi="ar-SA"/>
              </w:rPr>
            </w:pP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分</w:t>
            </w:r>
          </w:p>
        </w:tc>
        <w:tc>
          <w:tcPr>
            <w:tcW w:w="9797"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综合</w:t>
            </w:r>
            <w:r>
              <w:rPr>
                <w:rFonts w:hint="eastAsia" w:ascii="宋体" w:hAnsi="宋体" w:eastAsia="宋体" w:cs="宋体"/>
                <w:color w:val="auto"/>
                <w:sz w:val="21"/>
                <w:szCs w:val="21"/>
                <w:highlight w:val="none"/>
                <w:lang w:eastAsia="zh-CN"/>
              </w:rPr>
              <w:t>评价</w:t>
            </w:r>
            <w:r>
              <w:rPr>
                <w:rFonts w:hint="eastAsia" w:ascii="宋体" w:hAnsi="宋体" w:eastAsia="宋体" w:cs="宋体"/>
                <w:color w:val="auto"/>
                <w:sz w:val="21"/>
                <w:szCs w:val="21"/>
                <w:highlight w:val="none"/>
              </w:rPr>
              <w:t>投标人实施方案（包括但不限于现场作业管理方案及措施、安全生产管理方案及措施、现场文明施工方案及措施、工期保证方案及措施、方案及承诺、施工现场的清表、残土清运方案及措施、现场工作人员操作规范实施方案等）、投入本项目机械设备情况：</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优：</w:t>
            </w:r>
            <w:r>
              <w:rPr>
                <w:rFonts w:hint="eastAsia" w:ascii="宋体" w:hAnsi="宋体" w:eastAsia="宋体" w:cs="宋体"/>
                <w:color w:val="auto"/>
                <w:sz w:val="21"/>
                <w:szCs w:val="21"/>
                <w:highlight w:val="none"/>
              </w:rPr>
              <w:t>方案内容齐全，措施有效可行、具有针对性，承诺详细具体，能满足本项目需求，得</w:t>
            </w:r>
            <w:r>
              <w:rPr>
                <w:rFonts w:hint="eastAsia" w:ascii="宋体" w:hAnsi="宋体" w:eastAsia="宋体" w:cs="宋体"/>
                <w:color w:val="auto"/>
                <w:sz w:val="21"/>
                <w:szCs w:val="21"/>
                <w:highlight w:val="none"/>
                <w:lang w:val="en-US" w:eastAsia="zh-CN"/>
              </w:rPr>
              <w:t>4-5</w:t>
            </w:r>
            <w:r>
              <w:rPr>
                <w:rFonts w:hint="eastAsia" w:ascii="宋体" w:hAnsi="宋体" w:eastAsia="宋体" w:cs="宋体"/>
                <w:color w:val="auto"/>
                <w:sz w:val="21"/>
                <w:szCs w:val="21"/>
                <w:highlight w:val="none"/>
              </w:rPr>
              <w:t>分；</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良：</w:t>
            </w:r>
            <w:r>
              <w:rPr>
                <w:rFonts w:hint="eastAsia" w:ascii="宋体" w:hAnsi="宋体" w:eastAsia="宋体" w:cs="宋体"/>
                <w:color w:val="auto"/>
                <w:sz w:val="21"/>
                <w:szCs w:val="21"/>
                <w:highlight w:val="none"/>
              </w:rPr>
              <w:t>方案内容较齐全，措施较有效可行、具有针对性，承诺较详细具体，基本满足本项目需求，得</w:t>
            </w:r>
            <w:r>
              <w:rPr>
                <w:rFonts w:hint="eastAsia" w:ascii="宋体" w:hAnsi="宋体" w:eastAsia="宋体" w:cs="宋体"/>
                <w:color w:val="auto"/>
                <w:sz w:val="21"/>
                <w:szCs w:val="21"/>
                <w:highlight w:val="none"/>
                <w:lang w:val="en-US" w:eastAsia="zh-CN"/>
              </w:rPr>
              <w:t>2-3</w:t>
            </w:r>
            <w:r>
              <w:rPr>
                <w:rFonts w:hint="eastAsia" w:ascii="宋体" w:hAnsi="宋体" w:eastAsia="宋体" w:cs="宋体"/>
                <w:color w:val="auto"/>
                <w:sz w:val="21"/>
                <w:szCs w:val="21"/>
                <w:highlight w:val="none"/>
              </w:rPr>
              <w:t>分；</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差：</w:t>
            </w:r>
            <w:r>
              <w:rPr>
                <w:rFonts w:hint="eastAsia" w:ascii="宋体" w:hAnsi="宋体" w:eastAsia="宋体" w:cs="宋体"/>
                <w:color w:val="auto"/>
                <w:sz w:val="21"/>
                <w:szCs w:val="21"/>
                <w:highlight w:val="none"/>
              </w:rPr>
              <w:t>方案内容有缺漏，措施较有效可行、针对性一般，承诺较详细，较能满足本项目需求，得</w:t>
            </w:r>
            <w:r>
              <w:rPr>
                <w:rFonts w:hint="eastAsia" w:ascii="宋体" w:hAnsi="宋体" w:eastAsia="宋体" w:cs="宋体"/>
                <w:color w:val="auto"/>
                <w:spacing w:val="-5"/>
                <w:szCs w:val="21"/>
                <w:highlight w:val="none"/>
                <w:lang w:val="en-US" w:eastAsia="zh-CN"/>
              </w:rPr>
              <w:t>0-1</w:t>
            </w:r>
            <w:r>
              <w:rPr>
                <w:rFonts w:hint="eastAsia" w:ascii="宋体" w:hAnsi="宋体" w:eastAsia="宋体" w:cs="宋体"/>
                <w:color w:val="auto"/>
                <w:sz w:val="21"/>
                <w:szCs w:val="21"/>
                <w:highlight w:val="none"/>
              </w:rPr>
              <w:t>分；</w:t>
            </w:r>
          </w:p>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不提供方案不得分。</w:t>
            </w:r>
          </w:p>
        </w:tc>
        <w:tc>
          <w:tcPr>
            <w:tcW w:w="240" w:type="dxa"/>
            <w:noWrap w:val="0"/>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643" w:type="dxa"/>
            <w:vMerge w:val="continue"/>
            <w:noWrap w:val="0"/>
            <w:vAlign w:val="center"/>
          </w:tcPr>
          <w:p>
            <w:pPr>
              <w:snapToGrid w:val="0"/>
              <w:ind w:left="-2" w:leftChars="-1"/>
              <w:jc w:val="center"/>
              <w:rPr>
                <w:rFonts w:hint="eastAsia" w:ascii="宋体" w:hAnsi="宋体" w:eastAsia="宋体" w:cs="宋体"/>
                <w:color w:val="auto"/>
                <w:szCs w:val="21"/>
                <w:highlight w:val="none"/>
              </w:rPr>
            </w:pPr>
          </w:p>
        </w:tc>
        <w:tc>
          <w:tcPr>
            <w:tcW w:w="1406" w:type="dxa"/>
            <w:noWrap w:val="0"/>
            <w:vAlign w:val="center"/>
          </w:tcPr>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pacing w:val="-5"/>
                <w:szCs w:val="21"/>
                <w:highlight w:val="none"/>
                <w:lang w:val="en-US" w:eastAsia="zh-CN"/>
              </w:rPr>
              <w:t>对项目的理解程度、重点难点分析情况</w:t>
            </w:r>
          </w:p>
        </w:tc>
        <w:tc>
          <w:tcPr>
            <w:tcW w:w="709" w:type="dxa"/>
            <w:noWrap w:val="0"/>
            <w:vAlign w:val="center"/>
          </w:tcPr>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分</w:t>
            </w:r>
          </w:p>
        </w:tc>
        <w:tc>
          <w:tcPr>
            <w:tcW w:w="9797" w:type="dxa"/>
            <w:noWrap w:val="0"/>
            <w:vAlign w:val="center"/>
          </w:tcPr>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1、优：对具体项目的理解程度、特点、实施难点、易损多发维修点清楚，有针对性，得</w:t>
            </w:r>
            <w:r>
              <w:rPr>
                <w:rFonts w:hint="eastAsia" w:ascii="宋体" w:hAnsi="宋体" w:eastAsia="宋体" w:cs="宋体"/>
                <w:color w:val="auto"/>
                <w:sz w:val="21"/>
                <w:szCs w:val="21"/>
                <w:highlight w:val="none"/>
                <w:lang w:val="en-US" w:eastAsia="zh-CN"/>
              </w:rPr>
              <w:t>4-5</w:t>
            </w:r>
            <w:r>
              <w:rPr>
                <w:rFonts w:hint="eastAsia" w:ascii="宋体" w:hAnsi="宋体" w:eastAsia="宋体" w:cs="宋体"/>
                <w:color w:val="auto"/>
                <w:spacing w:val="-5"/>
                <w:szCs w:val="21"/>
                <w:highlight w:val="none"/>
                <w:lang w:val="en-US" w:eastAsia="zh-CN"/>
              </w:rPr>
              <w:t xml:space="preserve">分； </w:t>
            </w:r>
          </w:p>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2、中：对具体项目的理解程度、特点、实施难点、易损多发维修点较清楚，较有针对性，得</w:t>
            </w:r>
            <w:r>
              <w:rPr>
                <w:rFonts w:hint="eastAsia" w:ascii="宋体" w:hAnsi="宋体" w:eastAsia="宋体" w:cs="宋体"/>
                <w:color w:val="auto"/>
                <w:sz w:val="21"/>
                <w:szCs w:val="21"/>
                <w:highlight w:val="none"/>
                <w:lang w:val="en-US" w:eastAsia="zh-CN"/>
              </w:rPr>
              <w:t>2-3</w:t>
            </w:r>
            <w:r>
              <w:rPr>
                <w:rFonts w:hint="eastAsia" w:ascii="宋体" w:hAnsi="宋体" w:eastAsia="宋体" w:cs="宋体"/>
                <w:color w:val="auto"/>
                <w:spacing w:val="-5"/>
                <w:szCs w:val="21"/>
                <w:highlight w:val="none"/>
                <w:lang w:val="en-US" w:eastAsia="zh-CN"/>
              </w:rPr>
              <w:t xml:space="preserve">分； </w:t>
            </w:r>
          </w:p>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 xml:space="preserve">3、差：对具体项目的理解程度、特点、实施难点、易损多发维修点了解一般，针对性一般，得0-1分。 </w:t>
            </w:r>
          </w:p>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无提供方案则不得分。</w:t>
            </w:r>
          </w:p>
        </w:tc>
        <w:tc>
          <w:tcPr>
            <w:tcW w:w="240" w:type="dxa"/>
            <w:noWrap w:val="0"/>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643" w:type="dxa"/>
            <w:vMerge w:val="continue"/>
            <w:noWrap w:val="0"/>
            <w:vAlign w:val="center"/>
          </w:tcPr>
          <w:p>
            <w:pPr>
              <w:snapToGrid w:val="0"/>
              <w:ind w:left="-2" w:leftChars="-1"/>
              <w:jc w:val="center"/>
              <w:rPr>
                <w:rFonts w:hint="eastAsia" w:ascii="宋体" w:hAnsi="宋体" w:eastAsia="宋体" w:cs="宋体"/>
                <w:color w:val="auto"/>
                <w:szCs w:val="21"/>
                <w:highlight w:val="none"/>
              </w:rPr>
            </w:pPr>
          </w:p>
        </w:tc>
        <w:tc>
          <w:tcPr>
            <w:tcW w:w="1406" w:type="dxa"/>
            <w:noWrap w:val="0"/>
            <w:vAlign w:val="center"/>
          </w:tcPr>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lang w:val="en-US" w:eastAsia="zh-CN"/>
              </w:rPr>
              <w:t>安全生产管理</w:t>
            </w:r>
          </w:p>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eastAsia="zh-CN"/>
              </w:rPr>
            </w:pPr>
          </w:p>
        </w:tc>
        <w:tc>
          <w:tcPr>
            <w:tcW w:w="709" w:type="dxa"/>
            <w:noWrap w:val="0"/>
            <w:vAlign w:val="center"/>
          </w:tcPr>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分</w:t>
            </w:r>
          </w:p>
        </w:tc>
        <w:tc>
          <w:tcPr>
            <w:tcW w:w="9797" w:type="dxa"/>
            <w:noWrap w:val="0"/>
            <w:vAlign w:val="center"/>
          </w:tcPr>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1、优：对本服务项目安全生产工作提出具体管理方案，安全防护制度健全，可行性高，能有效保障本服务项目的安全实施，得</w:t>
            </w:r>
            <w:r>
              <w:rPr>
                <w:rFonts w:hint="eastAsia" w:ascii="宋体" w:hAnsi="宋体" w:eastAsia="宋体" w:cs="宋体"/>
                <w:color w:val="auto"/>
                <w:sz w:val="21"/>
                <w:szCs w:val="21"/>
                <w:highlight w:val="none"/>
                <w:lang w:val="en-US" w:eastAsia="zh-CN"/>
              </w:rPr>
              <w:t>4-5</w:t>
            </w:r>
            <w:r>
              <w:rPr>
                <w:rFonts w:hint="eastAsia" w:ascii="宋体" w:hAnsi="宋体" w:eastAsia="宋体" w:cs="宋体"/>
                <w:color w:val="auto"/>
                <w:spacing w:val="-5"/>
                <w:szCs w:val="21"/>
                <w:highlight w:val="none"/>
                <w:lang w:val="en-US" w:eastAsia="zh-CN"/>
              </w:rPr>
              <w:t>分。</w:t>
            </w:r>
          </w:p>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2、中：对本服务项目安全生产工作提出具体管理方案，安全防护制度可行性较高，基本保障本服务项目的安全实施，得</w:t>
            </w:r>
            <w:r>
              <w:rPr>
                <w:rFonts w:hint="eastAsia" w:ascii="宋体" w:hAnsi="宋体" w:eastAsia="宋体" w:cs="宋体"/>
                <w:color w:val="auto"/>
                <w:sz w:val="21"/>
                <w:szCs w:val="21"/>
                <w:highlight w:val="none"/>
                <w:lang w:val="en-US" w:eastAsia="zh-CN"/>
              </w:rPr>
              <w:t>2-3</w:t>
            </w:r>
            <w:r>
              <w:rPr>
                <w:rFonts w:hint="eastAsia" w:ascii="宋体" w:hAnsi="宋体" w:eastAsia="宋体" w:cs="宋体"/>
                <w:color w:val="auto"/>
                <w:spacing w:val="-5"/>
                <w:szCs w:val="21"/>
                <w:highlight w:val="none"/>
                <w:lang w:val="en-US" w:eastAsia="zh-CN"/>
              </w:rPr>
              <w:t xml:space="preserve">分。 </w:t>
            </w:r>
          </w:p>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 xml:space="preserve">3、差：对本服务项目安全生产工作提出具体管理方案， 安全防护制度可行性较低，得0-1分。 </w:t>
            </w:r>
          </w:p>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 xml:space="preserve">无提供方案则不得分。 </w:t>
            </w:r>
          </w:p>
        </w:tc>
        <w:tc>
          <w:tcPr>
            <w:tcW w:w="240" w:type="dxa"/>
            <w:noWrap w:val="0"/>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643" w:type="dxa"/>
            <w:vMerge w:val="continue"/>
            <w:noWrap w:val="0"/>
            <w:vAlign w:val="center"/>
          </w:tcPr>
          <w:p>
            <w:pPr>
              <w:snapToGrid w:val="0"/>
              <w:ind w:left="-2" w:leftChars="-1"/>
              <w:jc w:val="center"/>
              <w:rPr>
                <w:rFonts w:hint="eastAsia" w:ascii="宋体" w:hAnsi="宋体" w:eastAsia="宋体" w:cs="宋体"/>
                <w:color w:val="auto"/>
                <w:szCs w:val="21"/>
                <w:highlight w:val="none"/>
              </w:rPr>
            </w:pPr>
          </w:p>
        </w:tc>
        <w:tc>
          <w:tcPr>
            <w:tcW w:w="1406" w:type="dxa"/>
            <w:noWrap w:val="0"/>
            <w:vAlign w:val="center"/>
          </w:tcPr>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lang w:val="en-US" w:eastAsia="zh-CN"/>
              </w:rPr>
              <w:t>质量保障措施</w:t>
            </w:r>
          </w:p>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eastAsia="zh-CN"/>
              </w:rPr>
            </w:pPr>
          </w:p>
        </w:tc>
        <w:tc>
          <w:tcPr>
            <w:tcW w:w="709" w:type="dxa"/>
            <w:noWrap w:val="0"/>
            <w:vAlign w:val="center"/>
          </w:tcPr>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分</w:t>
            </w:r>
          </w:p>
        </w:tc>
        <w:tc>
          <w:tcPr>
            <w:tcW w:w="9797" w:type="dxa"/>
            <w:noWrap w:val="0"/>
            <w:vAlign w:val="center"/>
          </w:tcPr>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1、优：项目质量措施保证目标明确、方案详细，可行性强，有明确的质量承诺， 表述清晰、完整、合理，得</w:t>
            </w:r>
            <w:r>
              <w:rPr>
                <w:rFonts w:hint="eastAsia" w:ascii="宋体" w:hAnsi="宋体" w:eastAsia="宋体" w:cs="宋体"/>
                <w:color w:val="auto"/>
                <w:sz w:val="21"/>
                <w:szCs w:val="21"/>
                <w:highlight w:val="none"/>
                <w:lang w:val="en-US" w:eastAsia="zh-CN"/>
              </w:rPr>
              <w:t>4-5</w:t>
            </w:r>
            <w:r>
              <w:rPr>
                <w:rFonts w:hint="eastAsia" w:ascii="宋体" w:hAnsi="宋体" w:eastAsia="宋体" w:cs="宋体"/>
                <w:color w:val="auto"/>
                <w:spacing w:val="-5"/>
                <w:szCs w:val="21"/>
                <w:highlight w:val="none"/>
                <w:lang w:val="en-US" w:eastAsia="zh-CN"/>
              </w:rPr>
              <w:t xml:space="preserve">分； </w:t>
            </w:r>
          </w:p>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2、中：项目质量措施保证目标较明确、方案较 详细、可行较强，有较明确的质量承诺，表述较清晰、较完整、较合理， 得</w:t>
            </w:r>
            <w:r>
              <w:rPr>
                <w:rFonts w:hint="eastAsia" w:ascii="宋体" w:hAnsi="宋体" w:eastAsia="宋体" w:cs="宋体"/>
                <w:color w:val="auto"/>
                <w:sz w:val="21"/>
                <w:szCs w:val="21"/>
                <w:highlight w:val="none"/>
                <w:lang w:val="en-US" w:eastAsia="zh-CN"/>
              </w:rPr>
              <w:t>2-3</w:t>
            </w:r>
            <w:r>
              <w:rPr>
                <w:rFonts w:hint="eastAsia" w:ascii="宋体" w:hAnsi="宋体" w:eastAsia="宋体" w:cs="宋体"/>
                <w:color w:val="auto"/>
                <w:spacing w:val="-5"/>
                <w:szCs w:val="21"/>
                <w:highlight w:val="none"/>
                <w:lang w:val="en-US" w:eastAsia="zh-CN"/>
              </w:rPr>
              <w:t xml:space="preserve">分； </w:t>
            </w:r>
          </w:p>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 xml:space="preserve">3、差：项目质量措施保证目标不明确、方案简单、可行性较低，质量承诺表述不够清晰、不够合理，得0-1分。 </w:t>
            </w:r>
          </w:p>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无提供方案则不得分。</w:t>
            </w:r>
          </w:p>
        </w:tc>
        <w:tc>
          <w:tcPr>
            <w:tcW w:w="240" w:type="dxa"/>
            <w:noWrap w:val="0"/>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4" w:hRule="atLeast"/>
          <w:jc w:val="center"/>
        </w:trPr>
        <w:tc>
          <w:tcPr>
            <w:tcW w:w="643" w:type="dxa"/>
            <w:noWrap w:val="0"/>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经济部分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50分</w:t>
            </w:r>
            <w:r>
              <w:rPr>
                <w:rFonts w:hint="eastAsia" w:ascii="宋体" w:hAnsi="宋体" w:eastAsia="宋体" w:cs="宋体"/>
                <w:color w:val="auto"/>
                <w:szCs w:val="21"/>
                <w:highlight w:val="none"/>
                <w:lang w:eastAsia="zh-CN"/>
              </w:rPr>
              <w:t>）</w:t>
            </w:r>
          </w:p>
        </w:tc>
        <w:tc>
          <w:tcPr>
            <w:tcW w:w="1406" w:type="dxa"/>
            <w:noWrap w:val="0"/>
            <w:vAlign w:val="center"/>
          </w:tcPr>
          <w:p>
            <w:pPr>
              <w:snapToGrid w:val="0"/>
              <w:ind w:left="-2" w:leftChars="-1"/>
              <w:jc w:val="center"/>
              <w:rPr>
                <w:rFonts w:hint="eastAsia" w:ascii="宋体" w:hAnsi="宋体" w:eastAsia="宋体" w:cs="宋体"/>
                <w:color w:val="auto"/>
                <w:szCs w:val="21"/>
                <w:highlight w:val="none"/>
              </w:rPr>
            </w:pPr>
          </w:p>
          <w:p>
            <w:pPr>
              <w:snapToGrid w:val="0"/>
              <w:ind w:left="-2" w:leftChars="-1"/>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报价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50分</w:t>
            </w:r>
            <w:r>
              <w:rPr>
                <w:rFonts w:hint="eastAsia" w:ascii="宋体" w:hAnsi="宋体" w:eastAsia="宋体" w:cs="宋体"/>
                <w:color w:val="auto"/>
                <w:szCs w:val="21"/>
                <w:highlight w:val="none"/>
                <w:lang w:eastAsia="zh-CN"/>
              </w:rPr>
              <w:t>）</w:t>
            </w:r>
          </w:p>
        </w:tc>
        <w:tc>
          <w:tcPr>
            <w:tcW w:w="709" w:type="dxa"/>
            <w:noWrap w:val="0"/>
            <w:vAlign w:val="center"/>
          </w:tcPr>
          <w:p>
            <w:pPr>
              <w:spacing w:line="220" w:lineRule="exact"/>
              <w:ind w:left="-2" w:leftChars="-1"/>
              <w:jc w:val="center"/>
              <w:rPr>
                <w:rFonts w:hint="default"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50分</w:t>
            </w:r>
          </w:p>
        </w:tc>
        <w:tc>
          <w:tcPr>
            <w:tcW w:w="9797" w:type="dxa"/>
            <w:noWrap w:val="0"/>
            <w:vAlign w:val="top"/>
          </w:tcPr>
          <w:p>
            <w:pPr>
              <w:pStyle w:val="2"/>
              <w:numPr>
                <w:ilvl w:val="0"/>
                <w:numId w:val="0"/>
              </w:numPr>
              <w:ind w:firstLine="0" w:firstLineChars="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若经过符合性审查，（</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）入围投标单位为</w:t>
            </w:r>
            <w:r>
              <w:rPr>
                <w:rFonts w:hint="eastAsia" w:ascii="宋体" w:hAnsi="宋体" w:eastAsia="宋体" w:cs="宋体"/>
                <w:color w:val="auto"/>
                <w:szCs w:val="21"/>
                <w:highlight w:val="none"/>
                <w:lang w:val="en-US" w:eastAsia="zh-CN"/>
              </w:rPr>
              <w:t>3至5家的，则</w:t>
            </w:r>
            <w:r>
              <w:rPr>
                <w:rFonts w:hint="eastAsia" w:ascii="宋体" w:hAnsi="宋体" w:eastAsia="宋体" w:cs="宋体"/>
                <w:color w:val="auto"/>
                <w:szCs w:val="21"/>
                <w:highlight w:val="none"/>
              </w:rPr>
              <w:t>经济标报价部分以</w:t>
            </w:r>
            <w:r>
              <w:rPr>
                <w:rFonts w:hint="eastAsia" w:ascii="宋体" w:hAnsi="宋体" w:eastAsia="宋体" w:cs="宋体"/>
                <w:color w:val="auto"/>
                <w:szCs w:val="21"/>
                <w:highlight w:val="none"/>
                <w:lang w:eastAsia="zh-CN"/>
              </w:rPr>
              <w:t>入围投标</w:t>
            </w:r>
            <w:r>
              <w:rPr>
                <w:rFonts w:hint="eastAsia" w:ascii="宋体" w:hAnsi="宋体" w:eastAsia="宋体" w:cs="宋体"/>
                <w:color w:val="auto"/>
                <w:szCs w:val="21"/>
                <w:highlight w:val="none"/>
              </w:rPr>
              <w:t>单位的有效</w:t>
            </w:r>
            <w:r>
              <w:rPr>
                <w:rFonts w:hint="eastAsia" w:ascii="宋体" w:hAnsi="宋体" w:eastAsia="宋体" w:cs="宋体"/>
                <w:color w:val="auto"/>
                <w:szCs w:val="21"/>
                <w:highlight w:val="none"/>
                <w:lang w:eastAsia="zh-CN"/>
              </w:rPr>
              <w:t>总</w:t>
            </w:r>
            <w:r>
              <w:rPr>
                <w:rFonts w:hint="eastAsia" w:ascii="宋体" w:hAnsi="宋体" w:eastAsia="宋体" w:cs="宋体"/>
                <w:color w:val="auto"/>
                <w:szCs w:val="21"/>
                <w:highlight w:val="none"/>
              </w:rPr>
              <w:t>报价的</w:t>
            </w:r>
            <w:r>
              <w:rPr>
                <w:rFonts w:hint="eastAsia" w:ascii="宋体" w:hAnsi="宋体" w:eastAsia="宋体" w:cs="宋体"/>
                <w:color w:val="auto"/>
                <w:szCs w:val="21"/>
                <w:highlight w:val="none"/>
                <w:lang w:eastAsia="zh-CN"/>
              </w:rPr>
              <w:t>算术</w:t>
            </w:r>
            <w:r>
              <w:rPr>
                <w:rFonts w:hint="eastAsia" w:ascii="宋体" w:hAnsi="宋体" w:eastAsia="宋体" w:cs="宋体"/>
                <w:color w:val="auto"/>
                <w:szCs w:val="21"/>
                <w:highlight w:val="none"/>
              </w:rPr>
              <w:t>平均</w:t>
            </w:r>
            <w:r>
              <w:rPr>
                <w:rFonts w:hint="eastAsia" w:ascii="宋体" w:hAnsi="宋体" w:eastAsia="宋体" w:cs="宋体"/>
                <w:color w:val="auto"/>
                <w:szCs w:val="21"/>
                <w:highlight w:val="none"/>
                <w:lang w:eastAsia="zh-CN"/>
              </w:rPr>
              <w:t>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）入围投标单位为</w:t>
            </w:r>
            <w:r>
              <w:rPr>
                <w:rFonts w:hint="eastAsia" w:ascii="宋体" w:hAnsi="宋体" w:eastAsia="宋体" w:cs="宋体"/>
                <w:color w:val="auto"/>
                <w:szCs w:val="21"/>
                <w:highlight w:val="none"/>
                <w:lang w:val="en-US" w:eastAsia="zh-CN"/>
              </w:rPr>
              <w:t>6家或以上的，则去掉一家最高报价、一家最低报价后，</w:t>
            </w:r>
            <w:r>
              <w:rPr>
                <w:rFonts w:hint="eastAsia" w:ascii="宋体" w:hAnsi="宋体" w:eastAsia="宋体" w:cs="宋体"/>
                <w:color w:val="auto"/>
                <w:szCs w:val="21"/>
                <w:highlight w:val="none"/>
              </w:rPr>
              <w:t>经济标报价部分以</w:t>
            </w:r>
            <w:r>
              <w:rPr>
                <w:rFonts w:hint="eastAsia" w:ascii="宋体" w:hAnsi="宋体" w:eastAsia="宋体" w:cs="宋体"/>
                <w:color w:val="auto"/>
                <w:szCs w:val="21"/>
                <w:highlight w:val="none"/>
                <w:lang w:val="en-US" w:eastAsia="zh-CN"/>
              </w:rPr>
              <w:t>剩余</w:t>
            </w:r>
            <w:r>
              <w:rPr>
                <w:rFonts w:hint="eastAsia" w:ascii="宋体" w:hAnsi="宋体" w:eastAsia="宋体" w:cs="宋体"/>
                <w:color w:val="auto"/>
                <w:szCs w:val="21"/>
                <w:highlight w:val="none"/>
                <w:lang w:eastAsia="zh-CN"/>
              </w:rPr>
              <w:t>入围投标</w:t>
            </w:r>
            <w:r>
              <w:rPr>
                <w:rFonts w:hint="eastAsia" w:ascii="宋体" w:hAnsi="宋体" w:eastAsia="宋体" w:cs="宋体"/>
                <w:color w:val="auto"/>
                <w:szCs w:val="21"/>
                <w:highlight w:val="none"/>
              </w:rPr>
              <w:t>单位</w:t>
            </w:r>
            <w:r>
              <w:rPr>
                <w:rFonts w:hint="eastAsia" w:ascii="宋体" w:hAnsi="宋体" w:eastAsia="宋体" w:cs="宋体"/>
                <w:color w:val="auto"/>
                <w:szCs w:val="21"/>
                <w:highlight w:val="none"/>
                <w:lang w:eastAsia="zh-CN"/>
              </w:rPr>
              <w:t>有效报价的算术</w:t>
            </w:r>
            <w:r>
              <w:rPr>
                <w:rFonts w:hint="eastAsia" w:ascii="宋体" w:hAnsi="宋体" w:eastAsia="宋体" w:cs="宋体"/>
                <w:color w:val="auto"/>
                <w:szCs w:val="21"/>
                <w:highlight w:val="none"/>
              </w:rPr>
              <w:t>平均</w:t>
            </w:r>
            <w:r>
              <w:rPr>
                <w:rFonts w:hint="eastAsia" w:ascii="宋体" w:hAnsi="宋体" w:eastAsia="宋体" w:cs="宋体"/>
                <w:color w:val="auto"/>
                <w:szCs w:val="21"/>
                <w:highlight w:val="none"/>
                <w:lang w:eastAsia="zh-CN"/>
              </w:rPr>
              <w:t>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p>
          <w:p>
            <w:pPr>
              <w:pStyle w:val="2"/>
              <w:numPr>
                <w:ilvl w:val="0"/>
                <w:numId w:val="0"/>
              </w:numPr>
              <w:ind w:firstLine="0" w:firstLineChars="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投标报价</w:t>
            </w:r>
            <w:r>
              <w:rPr>
                <w:rFonts w:hint="eastAsia" w:ascii="宋体" w:hAnsi="宋体" w:eastAsia="宋体" w:cs="宋体"/>
                <w:color w:val="auto"/>
                <w:szCs w:val="21"/>
                <w:highlight w:val="none"/>
              </w:rPr>
              <w:t>等于基准价为满分</w:t>
            </w:r>
            <w:r>
              <w:rPr>
                <w:rFonts w:hint="eastAsia" w:ascii="宋体" w:hAnsi="宋体" w:eastAsia="宋体" w:cs="宋体"/>
                <w:color w:val="auto"/>
                <w:szCs w:val="21"/>
                <w:highlight w:val="none"/>
                <w:lang w:val="en-US" w:eastAsia="zh-CN"/>
              </w:rPr>
              <w:t>50</w:t>
            </w:r>
            <w:r>
              <w:rPr>
                <w:rFonts w:hint="eastAsia" w:ascii="宋体" w:hAnsi="宋体" w:eastAsia="宋体" w:cs="宋体"/>
                <w:color w:val="auto"/>
                <w:szCs w:val="21"/>
                <w:highlight w:val="none"/>
              </w:rPr>
              <w:t>分，高于基准价的1%扣</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分，低于基准价的1%扣</w:t>
            </w:r>
            <w:r>
              <w:rPr>
                <w:rFonts w:hint="eastAsia" w:ascii="宋体" w:hAnsi="宋体" w:eastAsia="宋体" w:cs="宋体"/>
                <w:color w:val="auto"/>
                <w:szCs w:val="21"/>
                <w:highlight w:val="none"/>
                <w:lang w:val="en-US" w:eastAsia="zh-CN"/>
              </w:rPr>
              <w:t>0.5</w:t>
            </w:r>
            <w:r>
              <w:rPr>
                <w:rFonts w:hint="eastAsia" w:ascii="宋体" w:hAnsi="宋体" w:eastAsia="宋体" w:cs="宋体"/>
                <w:color w:val="auto"/>
                <w:szCs w:val="21"/>
                <w:highlight w:val="none"/>
              </w:rPr>
              <w:t>分，以此类推。最低得分0分。得分保留两位小数。</w:t>
            </w:r>
            <w:r>
              <w:rPr>
                <w:rFonts w:hint="eastAsia" w:ascii="宋体" w:hAnsi="宋体" w:eastAsia="宋体" w:cs="宋体"/>
                <w:color w:val="auto"/>
                <w:szCs w:val="21"/>
                <w:highlight w:val="none"/>
                <w:lang w:eastAsia="zh-CN"/>
              </w:rPr>
              <w:t>计算公式如下：</w:t>
            </w:r>
          </w:p>
          <w:p>
            <w:pPr>
              <w:pStyle w:val="2"/>
              <w:numPr>
                <w:ilvl w:val="0"/>
                <w:numId w:val="0"/>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2、报价等于基准价的，得分=50。</w:t>
            </w:r>
          </w:p>
          <w:p>
            <w:pPr>
              <w:pStyle w:val="2"/>
              <w:numPr>
                <w:ilvl w:val="0"/>
                <w:numId w:val="0"/>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3、报价高于基准价的，得分=50-[（报价-基准价）/基准价]×100×1</w:t>
            </w:r>
          </w:p>
          <w:p>
            <w:pPr>
              <w:pStyle w:val="2"/>
              <w:numPr>
                <w:ilvl w:val="0"/>
                <w:numId w:val="0"/>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3、报价低于基准价的，得分=50-[（基准价-报价）/基准价]×100×0.5</w:t>
            </w:r>
          </w:p>
        </w:tc>
        <w:tc>
          <w:tcPr>
            <w:tcW w:w="240" w:type="dxa"/>
            <w:noWrap w:val="0"/>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49" w:type="dxa"/>
            <w:gridSpan w:val="2"/>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709" w:type="dxa"/>
            <w:noWrap w:val="0"/>
            <w:vAlign w:val="center"/>
          </w:tcPr>
          <w:p>
            <w:pPr>
              <w:spacing w:line="220" w:lineRule="exact"/>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w:t>
            </w:r>
          </w:p>
        </w:tc>
        <w:tc>
          <w:tcPr>
            <w:tcW w:w="9797" w:type="dxa"/>
            <w:noWrap w:val="0"/>
            <w:vAlign w:val="center"/>
          </w:tcPr>
          <w:p>
            <w:pPr>
              <w:spacing w:line="220" w:lineRule="exact"/>
              <w:ind w:left="-2" w:leftChars="-1"/>
              <w:rPr>
                <w:rFonts w:hint="eastAsia" w:ascii="宋体" w:hAnsi="宋体" w:eastAsia="宋体" w:cs="宋体"/>
                <w:color w:val="auto"/>
                <w:sz w:val="21"/>
                <w:szCs w:val="21"/>
                <w:highlight w:val="none"/>
              </w:rPr>
            </w:pPr>
          </w:p>
        </w:tc>
        <w:tc>
          <w:tcPr>
            <w:tcW w:w="240" w:type="dxa"/>
            <w:noWrap w:val="0"/>
            <w:vAlign w:val="center"/>
          </w:tcPr>
          <w:p>
            <w:pPr>
              <w:spacing w:line="360" w:lineRule="exact"/>
              <w:ind w:left="-2" w:leftChars="-1"/>
              <w:rPr>
                <w:rFonts w:hint="eastAsia" w:ascii="宋体" w:hAnsi="宋体" w:eastAsia="宋体" w:cs="宋体"/>
                <w:color w:val="auto"/>
                <w:sz w:val="21"/>
                <w:szCs w:val="21"/>
                <w:highlight w:val="none"/>
              </w:rPr>
            </w:pPr>
          </w:p>
        </w:tc>
      </w:tr>
    </w:tbl>
    <w:p>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p>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pPr>
        <w:snapToGrid w:val="0"/>
        <w:ind w:firstLine="0" w:firstLineChars="0"/>
        <w:rPr>
          <w:rFonts w:hint="eastAsia" w:ascii="宋体" w:hAnsi="宋体" w:cs="宋体"/>
          <w:color w:val="auto"/>
          <w:szCs w:val="18"/>
          <w:highlight w:val="none"/>
          <w:lang w:eastAsia="zh-CN"/>
        </w:rPr>
      </w:pPr>
      <w:r>
        <w:rPr>
          <w:rFonts w:hint="eastAsia" w:ascii="宋体" w:hAnsi="宋体" w:cs="宋体"/>
          <w:color w:val="auto"/>
          <w:szCs w:val="18"/>
          <w:highlight w:val="none"/>
          <w:lang w:val="en-US" w:eastAsia="zh-CN"/>
        </w:rPr>
        <w:t xml:space="preserve">    </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r>
        <w:rPr>
          <w:rFonts w:hint="eastAsia" w:ascii="宋体" w:hAnsi="宋体" w:cs="宋体"/>
          <w:color w:val="auto"/>
          <w:szCs w:val="18"/>
          <w:highlight w:val="none"/>
          <w:lang w:eastAsia="zh-CN"/>
        </w:rPr>
        <w:t>。</w:t>
      </w:r>
    </w:p>
    <w:p>
      <w:pPr>
        <w:pStyle w:val="21"/>
        <w:ind w:firstLine="0" w:firstLineChars="0"/>
        <w:rPr>
          <w:rFonts w:hint="eastAsia" w:ascii="宋体" w:hAnsi="宋体" w:eastAsia="宋体" w:cs="宋体"/>
          <w:color w:val="auto"/>
          <w:szCs w:val="21"/>
          <w:highlight w:val="none"/>
          <w:lang w:val="en-US" w:eastAsia="zh-CN"/>
        </w:rPr>
        <w:sectPr>
          <w:pgSz w:w="15840" w:h="12240" w:orient="landscape"/>
          <w:pgMar w:top="1797" w:right="1440" w:bottom="1797" w:left="1440" w:header="720" w:footer="720" w:gutter="0"/>
          <w:cols w:space="425" w:num="1"/>
          <w:docGrid w:linePitch="312" w:charSpace="0"/>
        </w:sectPr>
      </w:pPr>
      <w:r>
        <w:rPr>
          <w:rFonts w:hint="eastAsia" w:ascii="宋体" w:hAnsi="宋体" w:cs="宋体"/>
          <w:color w:val="auto"/>
          <w:szCs w:val="21"/>
          <w:highlight w:val="none"/>
          <w:lang w:val="en-US" w:eastAsia="zh-CN"/>
        </w:rPr>
        <w:t xml:space="preserve">   </w:t>
      </w: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3</w:t>
      </w:r>
      <w:r>
        <w:rPr>
          <w:rFonts w:hint="eastAsia" w:ascii="宋体" w:hAnsi="宋体"/>
          <w:color w:val="auto"/>
          <w:sz w:val="24"/>
          <w:highlight w:val="none"/>
        </w:rPr>
        <w:t>：</w:t>
      </w:r>
    </w:p>
    <w:p>
      <w:pPr>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pPr>
        <w:pStyle w:val="36"/>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eastAsia="zh-CN"/>
        </w:rPr>
        <w:t>广州南沙国际物流有限公司</w:t>
      </w:r>
      <w:r>
        <w:rPr>
          <w:rFonts w:hint="eastAsia" w:ascii="宋体" w:hAnsi="宋体" w:eastAsia="宋体"/>
          <w:color w:val="auto"/>
          <w:sz w:val="24"/>
          <w:szCs w:val="24"/>
          <w:highlight w:val="none"/>
          <w:u w:val="single"/>
        </w:rPr>
        <w:t xml:space="preserve">、广州南沙建设维护管理有限公司 </w:t>
      </w:r>
    </w:p>
    <w:p>
      <w:pPr>
        <w:pStyle w:val="36"/>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pacing w:val="20"/>
          <w:sz w:val="24"/>
          <w:szCs w:val="24"/>
          <w:highlight w:val="none"/>
          <w:u w:val="single"/>
          <w:lang w:eastAsia="zh-CN"/>
        </w:rPr>
        <w:t>港口新鲜集市（A地块）项目（一期）--配套工程施工</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投标工作，做出郑重声明：</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36"/>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37"/>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6"/>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6"/>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2"/>
        <w:rPr>
          <w:rFonts w:hint="default"/>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XNVEPAgAABwQAAA4AAABkcnMvZTJvRG9jLnhtbK1TzY7TMBC+I/EO&#10;lu80aStW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TF/n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uXNVEPAgAABwQAAA4AAAAAAAAAAQAgAAAA&#10;HwEAAGRycy9lMm9Eb2MueG1sUEsFBgAAAAAGAAYAWQEAAKAFAAAAAA==&#10;">
          <v:path/>
          <v:fill on="f" focussize="0,0"/>
          <v:stroke on="f" weight="0.5pt" joinstyle="miter"/>
          <v:imagedata o:title=""/>
          <o:lock v:ext="edit"/>
          <v:textbox inset="0mm,0mm,0mm,0mm" style="mso-fit-shape-to-text:t;">
            <w:txbxContent>
              <w:p>
                <w:pPr>
                  <w:pStyle w:val="10"/>
                </w:pPr>
                <w:r>
                  <w:fldChar w:fldCharType="begin"/>
                </w:r>
                <w:r>
                  <w:instrText xml:space="preserve"> PAGE  \* MERGEFORMAT </w:instrText>
                </w:r>
                <w:r>
                  <w:fldChar w:fldCharType="separate"/>
                </w:r>
                <w:r>
                  <w:t>15</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_x0000_s1027" o:spid="_x0000_s1027"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hlWFeEAIAAAcEAAAOAAAAAAAAAAEAIAAA&#10;AB8BAABkcnMvZTJvRG9jLnhtbFBLBQYAAAAABgAGAFkBAAChBQAAAAA=&#10;">
          <v:path/>
          <v:fill on="f" focussize="0,0"/>
          <v:stroke on="f" weight="0.5pt" joinstyle="miter"/>
          <v:imagedata o:title=""/>
          <o:lock v:ext="edit"/>
          <v:textbox inset="0mm,0mm,0mm,0mm" style="mso-fit-shape-to-text:t;">
            <w:txbxContent>
              <w:p>
                <w:pPr>
                  <w:pStyle w:val="10"/>
                </w:pPr>
                <w:r>
                  <w:fldChar w:fldCharType="begin"/>
                </w:r>
                <w:r>
                  <w:instrText xml:space="preserve"> PAGE  \* MERGEFORMAT </w:instrText>
                </w:r>
                <w:r>
                  <w:fldChar w:fldCharType="separate"/>
                </w:r>
                <w:r>
                  <w:t>32</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CB8718C6"/>
    <w:multiLevelType w:val="singleLevel"/>
    <w:tmpl w:val="CB8718C6"/>
    <w:lvl w:ilvl="0" w:tentative="0">
      <w:start w:val="3"/>
      <w:numFmt w:val="decimal"/>
      <w:suff w:val="nothing"/>
      <w:lvlText w:val="%1、"/>
      <w:lvlJc w:val="left"/>
    </w:lvl>
  </w:abstractNum>
  <w:abstractNum w:abstractNumId="2">
    <w:nsid w:val="63691A39"/>
    <w:multiLevelType w:val="singleLevel"/>
    <w:tmpl w:val="63691A39"/>
    <w:lvl w:ilvl="0" w:tentative="0">
      <w:start w:val="1"/>
      <w:numFmt w:val="decimal"/>
      <w:suff w:val="nothing"/>
      <w:lvlText w:val="%1、"/>
      <w:lvlJc w:val="left"/>
    </w:lvl>
  </w:abstractNum>
  <w:abstractNum w:abstractNumId="3">
    <w:nsid w:val="71BD1A65"/>
    <w:multiLevelType w:val="singleLevel"/>
    <w:tmpl w:val="71BD1A65"/>
    <w:lvl w:ilvl="0" w:tentative="0">
      <w:start w:val="1"/>
      <w:numFmt w:val="chineseCounting"/>
      <w:suff w:val="nothing"/>
      <w:lvlText w:val="%1、"/>
      <w:lvlJc w:val="left"/>
      <w:rPr>
        <w:rFonts w:hint="eastAsia"/>
      </w:rPr>
    </w:lvl>
  </w:abstractNum>
  <w:abstractNum w:abstractNumId="4">
    <w:nsid w:val="7A7B36A8"/>
    <w:multiLevelType w:val="singleLevel"/>
    <w:tmpl w:val="7A7B36A8"/>
    <w:lvl w:ilvl="0" w:tentative="0">
      <w:start w:val="33"/>
      <w:numFmt w:val="decimal"/>
      <w:suff w:val="nothing"/>
      <w:lvlText w:val="%1．"/>
      <w:lvlJc w:val="left"/>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Dk4NTM2ZjYxZDBkNGNhMWFjMWNlNGYwMGIwYWYxOTgifQ=="/>
  </w:docVars>
  <w:rsids>
    <w:rsidRoot w:val="3B6D4312"/>
    <w:rsid w:val="0002289A"/>
    <w:rsid w:val="0002557B"/>
    <w:rsid w:val="0005254F"/>
    <w:rsid w:val="000744F3"/>
    <w:rsid w:val="00085D0C"/>
    <w:rsid w:val="000B7B0A"/>
    <w:rsid w:val="000E0E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25A13E2"/>
    <w:rsid w:val="02E9680F"/>
    <w:rsid w:val="02F7533D"/>
    <w:rsid w:val="030457ED"/>
    <w:rsid w:val="03562994"/>
    <w:rsid w:val="03CB6D70"/>
    <w:rsid w:val="04364A4F"/>
    <w:rsid w:val="04376975"/>
    <w:rsid w:val="04435BE0"/>
    <w:rsid w:val="044C08C6"/>
    <w:rsid w:val="04E40895"/>
    <w:rsid w:val="051B7598"/>
    <w:rsid w:val="052E78DA"/>
    <w:rsid w:val="059A4101"/>
    <w:rsid w:val="079A3CDA"/>
    <w:rsid w:val="07F66A4C"/>
    <w:rsid w:val="083B43B1"/>
    <w:rsid w:val="08757A2C"/>
    <w:rsid w:val="08A9464F"/>
    <w:rsid w:val="08D505E6"/>
    <w:rsid w:val="08E03A6C"/>
    <w:rsid w:val="09062DA7"/>
    <w:rsid w:val="09577D3C"/>
    <w:rsid w:val="0967478B"/>
    <w:rsid w:val="09A667E8"/>
    <w:rsid w:val="0A31358E"/>
    <w:rsid w:val="0A621C44"/>
    <w:rsid w:val="0B372B92"/>
    <w:rsid w:val="0BFF40FB"/>
    <w:rsid w:val="0C855B7E"/>
    <w:rsid w:val="0C87037B"/>
    <w:rsid w:val="0CF74903"/>
    <w:rsid w:val="0E1B10A8"/>
    <w:rsid w:val="0E80564C"/>
    <w:rsid w:val="0E8C2C83"/>
    <w:rsid w:val="0EA03B8A"/>
    <w:rsid w:val="0EAC0C18"/>
    <w:rsid w:val="0EB25F9A"/>
    <w:rsid w:val="0ED8481A"/>
    <w:rsid w:val="0F263AB3"/>
    <w:rsid w:val="0F8D0176"/>
    <w:rsid w:val="0FD73768"/>
    <w:rsid w:val="10A4638E"/>
    <w:rsid w:val="10AB649B"/>
    <w:rsid w:val="10D83B3D"/>
    <w:rsid w:val="11135DC8"/>
    <w:rsid w:val="11D31BC3"/>
    <w:rsid w:val="11F528ED"/>
    <w:rsid w:val="1265210E"/>
    <w:rsid w:val="12D70506"/>
    <w:rsid w:val="12E86716"/>
    <w:rsid w:val="13082AF4"/>
    <w:rsid w:val="130F5872"/>
    <w:rsid w:val="134A310C"/>
    <w:rsid w:val="13E640E2"/>
    <w:rsid w:val="13E744B7"/>
    <w:rsid w:val="14082F52"/>
    <w:rsid w:val="14085DAD"/>
    <w:rsid w:val="14233C6D"/>
    <w:rsid w:val="14452035"/>
    <w:rsid w:val="1448567A"/>
    <w:rsid w:val="145B3800"/>
    <w:rsid w:val="14725C9B"/>
    <w:rsid w:val="15B036FB"/>
    <w:rsid w:val="16007AF5"/>
    <w:rsid w:val="17463991"/>
    <w:rsid w:val="179E3273"/>
    <w:rsid w:val="17E977C8"/>
    <w:rsid w:val="182C4B8E"/>
    <w:rsid w:val="1873680D"/>
    <w:rsid w:val="18E67433"/>
    <w:rsid w:val="18F12637"/>
    <w:rsid w:val="19095239"/>
    <w:rsid w:val="19A846E9"/>
    <w:rsid w:val="19BE3F0C"/>
    <w:rsid w:val="1A5A3C35"/>
    <w:rsid w:val="1A6525DA"/>
    <w:rsid w:val="1AB46DAB"/>
    <w:rsid w:val="1B6C2995"/>
    <w:rsid w:val="1BB630ED"/>
    <w:rsid w:val="1BC44893"/>
    <w:rsid w:val="1BE136FF"/>
    <w:rsid w:val="1C05708F"/>
    <w:rsid w:val="1C307374"/>
    <w:rsid w:val="1C9203A6"/>
    <w:rsid w:val="1E032835"/>
    <w:rsid w:val="1E562810"/>
    <w:rsid w:val="1EB63404"/>
    <w:rsid w:val="1EBD45C4"/>
    <w:rsid w:val="1F1C5732"/>
    <w:rsid w:val="1F584BD1"/>
    <w:rsid w:val="1F7A6193"/>
    <w:rsid w:val="205D447F"/>
    <w:rsid w:val="206E043A"/>
    <w:rsid w:val="20AD4C4C"/>
    <w:rsid w:val="21424D60"/>
    <w:rsid w:val="215321ED"/>
    <w:rsid w:val="224A02E7"/>
    <w:rsid w:val="227411DF"/>
    <w:rsid w:val="22934188"/>
    <w:rsid w:val="23EE6B47"/>
    <w:rsid w:val="24856237"/>
    <w:rsid w:val="25053D8A"/>
    <w:rsid w:val="25687B33"/>
    <w:rsid w:val="25791876"/>
    <w:rsid w:val="26236584"/>
    <w:rsid w:val="26826F29"/>
    <w:rsid w:val="26B94C66"/>
    <w:rsid w:val="26EC20B9"/>
    <w:rsid w:val="26FF6942"/>
    <w:rsid w:val="272101A5"/>
    <w:rsid w:val="272B74FA"/>
    <w:rsid w:val="2751149E"/>
    <w:rsid w:val="2837076A"/>
    <w:rsid w:val="2865301D"/>
    <w:rsid w:val="28C86C87"/>
    <w:rsid w:val="29051210"/>
    <w:rsid w:val="296119D7"/>
    <w:rsid w:val="2A446D64"/>
    <w:rsid w:val="2A97100B"/>
    <w:rsid w:val="2AFF2542"/>
    <w:rsid w:val="2B401296"/>
    <w:rsid w:val="2B5D2502"/>
    <w:rsid w:val="2B7B3A0B"/>
    <w:rsid w:val="2BAE6875"/>
    <w:rsid w:val="2BEC17AE"/>
    <w:rsid w:val="2C0B6D4E"/>
    <w:rsid w:val="2C1B0D4A"/>
    <w:rsid w:val="2C5357E2"/>
    <w:rsid w:val="2C842E83"/>
    <w:rsid w:val="2CD5279B"/>
    <w:rsid w:val="2D0635AD"/>
    <w:rsid w:val="2D691CC1"/>
    <w:rsid w:val="2D907150"/>
    <w:rsid w:val="2DDB1EBF"/>
    <w:rsid w:val="2DE71DA9"/>
    <w:rsid w:val="2DF963B5"/>
    <w:rsid w:val="2E6C5CB5"/>
    <w:rsid w:val="2EC40C57"/>
    <w:rsid w:val="2EE433BF"/>
    <w:rsid w:val="2EED69CE"/>
    <w:rsid w:val="2F740E9D"/>
    <w:rsid w:val="2F777046"/>
    <w:rsid w:val="2F9B6BBA"/>
    <w:rsid w:val="2FE96F27"/>
    <w:rsid w:val="2FEA73B1"/>
    <w:rsid w:val="30136E93"/>
    <w:rsid w:val="30334755"/>
    <w:rsid w:val="30EC6390"/>
    <w:rsid w:val="311233CC"/>
    <w:rsid w:val="31B57180"/>
    <w:rsid w:val="33113670"/>
    <w:rsid w:val="3411535B"/>
    <w:rsid w:val="34935BA4"/>
    <w:rsid w:val="34A264CA"/>
    <w:rsid w:val="35830B03"/>
    <w:rsid w:val="3700775A"/>
    <w:rsid w:val="37A26BD4"/>
    <w:rsid w:val="37A33759"/>
    <w:rsid w:val="37AE7FE3"/>
    <w:rsid w:val="37B20151"/>
    <w:rsid w:val="383813C8"/>
    <w:rsid w:val="38417D8A"/>
    <w:rsid w:val="390B4D39"/>
    <w:rsid w:val="39131727"/>
    <w:rsid w:val="392A6A70"/>
    <w:rsid w:val="39731517"/>
    <w:rsid w:val="39F52602"/>
    <w:rsid w:val="39FC703A"/>
    <w:rsid w:val="3AC802EF"/>
    <w:rsid w:val="3B183024"/>
    <w:rsid w:val="3B6D4312"/>
    <w:rsid w:val="3BB718A6"/>
    <w:rsid w:val="3BBA1D8E"/>
    <w:rsid w:val="3BC04127"/>
    <w:rsid w:val="3C88543E"/>
    <w:rsid w:val="3CB7521C"/>
    <w:rsid w:val="3CE76215"/>
    <w:rsid w:val="3CFF0303"/>
    <w:rsid w:val="3D7619F9"/>
    <w:rsid w:val="3D957982"/>
    <w:rsid w:val="3D96007A"/>
    <w:rsid w:val="3D965718"/>
    <w:rsid w:val="3E817133"/>
    <w:rsid w:val="3EDC25BB"/>
    <w:rsid w:val="3F4915A0"/>
    <w:rsid w:val="3F5F332B"/>
    <w:rsid w:val="3F641BC2"/>
    <w:rsid w:val="3F8502F8"/>
    <w:rsid w:val="3FBE56FE"/>
    <w:rsid w:val="3FD704B2"/>
    <w:rsid w:val="403B7AF1"/>
    <w:rsid w:val="405854B3"/>
    <w:rsid w:val="408D1DBF"/>
    <w:rsid w:val="409313F9"/>
    <w:rsid w:val="40B7508E"/>
    <w:rsid w:val="40CA2819"/>
    <w:rsid w:val="41EC3A6C"/>
    <w:rsid w:val="42A2655E"/>
    <w:rsid w:val="43420D2F"/>
    <w:rsid w:val="436C5E0D"/>
    <w:rsid w:val="43952229"/>
    <w:rsid w:val="43F36E83"/>
    <w:rsid w:val="44631084"/>
    <w:rsid w:val="446A549B"/>
    <w:rsid w:val="44755126"/>
    <w:rsid w:val="44800368"/>
    <w:rsid w:val="44E811C0"/>
    <w:rsid w:val="457C68A6"/>
    <w:rsid w:val="45E74C1B"/>
    <w:rsid w:val="46871AD6"/>
    <w:rsid w:val="47025D0E"/>
    <w:rsid w:val="4735560E"/>
    <w:rsid w:val="47413F22"/>
    <w:rsid w:val="4792678F"/>
    <w:rsid w:val="47E03B89"/>
    <w:rsid w:val="481D5A38"/>
    <w:rsid w:val="482B34F2"/>
    <w:rsid w:val="487975A7"/>
    <w:rsid w:val="48E17BF2"/>
    <w:rsid w:val="48E72086"/>
    <w:rsid w:val="49732ED5"/>
    <w:rsid w:val="499C01CA"/>
    <w:rsid w:val="49EF5898"/>
    <w:rsid w:val="4A1079FD"/>
    <w:rsid w:val="4A1D620C"/>
    <w:rsid w:val="4A2D4613"/>
    <w:rsid w:val="4AED722D"/>
    <w:rsid w:val="4B3D40BA"/>
    <w:rsid w:val="4BC136D0"/>
    <w:rsid w:val="4BF328A0"/>
    <w:rsid w:val="4C2E17B4"/>
    <w:rsid w:val="4C372CAF"/>
    <w:rsid w:val="4C81677F"/>
    <w:rsid w:val="4D195C1E"/>
    <w:rsid w:val="4D904DD7"/>
    <w:rsid w:val="4D9C287D"/>
    <w:rsid w:val="4DC04FA6"/>
    <w:rsid w:val="4DC53F66"/>
    <w:rsid w:val="4E2A0E48"/>
    <w:rsid w:val="4FC91A1A"/>
    <w:rsid w:val="5049448C"/>
    <w:rsid w:val="50DB6247"/>
    <w:rsid w:val="51531E87"/>
    <w:rsid w:val="51552F81"/>
    <w:rsid w:val="51AB2104"/>
    <w:rsid w:val="525A7F6F"/>
    <w:rsid w:val="52760C06"/>
    <w:rsid w:val="52A35200"/>
    <w:rsid w:val="52C2143B"/>
    <w:rsid w:val="530E35F9"/>
    <w:rsid w:val="531A11E6"/>
    <w:rsid w:val="53427976"/>
    <w:rsid w:val="53A07C03"/>
    <w:rsid w:val="53A63423"/>
    <w:rsid w:val="53B638D1"/>
    <w:rsid w:val="54386D63"/>
    <w:rsid w:val="54A36172"/>
    <w:rsid w:val="54BC0EE8"/>
    <w:rsid w:val="55592415"/>
    <w:rsid w:val="55D122F6"/>
    <w:rsid w:val="55D41C4B"/>
    <w:rsid w:val="5702252D"/>
    <w:rsid w:val="572444C0"/>
    <w:rsid w:val="576D49E8"/>
    <w:rsid w:val="57B957CF"/>
    <w:rsid w:val="57DA583E"/>
    <w:rsid w:val="594F1692"/>
    <w:rsid w:val="59566C52"/>
    <w:rsid w:val="597674DD"/>
    <w:rsid w:val="5A416E84"/>
    <w:rsid w:val="5AAF5CCA"/>
    <w:rsid w:val="5B6E68B8"/>
    <w:rsid w:val="5B6F6839"/>
    <w:rsid w:val="5B8D6C19"/>
    <w:rsid w:val="5BAA698D"/>
    <w:rsid w:val="5BC65072"/>
    <w:rsid w:val="5BCE61FA"/>
    <w:rsid w:val="5C9B134E"/>
    <w:rsid w:val="5CF77B24"/>
    <w:rsid w:val="5D5E6B65"/>
    <w:rsid w:val="5DAA1580"/>
    <w:rsid w:val="5DF14932"/>
    <w:rsid w:val="5DFF04E8"/>
    <w:rsid w:val="5E1A6FB5"/>
    <w:rsid w:val="5E7A3CE2"/>
    <w:rsid w:val="5E960581"/>
    <w:rsid w:val="5F355496"/>
    <w:rsid w:val="5F8349F8"/>
    <w:rsid w:val="5F865CD7"/>
    <w:rsid w:val="5F925D77"/>
    <w:rsid w:val="5FDC4484"/>
    <w:rsid w:val="60BA0556"/>
    <w:rsid w:val="60F61E20"/>
    <w:rsid w:val="618B1EF3"/>
    <w:rsid w:val="61A7533B"/>
    <w:rsid w:val="621244D5"/>
    <w:rsid w:val="62B2296D"/>
    <w:rsid w:val="62B247EF"/>
    <w:rsid w:val="636147EE"/>
    <w:rsid w:val="63DB6B9E"/>
    <w:rsid w:val="65B441A4"/>
    <w:rsid w:val="65D8147F"/>
    <w:rsid w:val="66373494"/>
    <w:rsid w:val="663E17E3"/>
    <w:rsid w:val="66591B82"/>
    <w:rsid w:val="66593A91"/>
    <w:rsid w:val="67D46774"/>
    <w:rsid w:val="68550B65"/>
    <w:rsid w:val="6898637C"/>
    <w:rsid w:val="68B16D7B"/>
    <w:rsid w:val="68BA7003"/>
    <w:rsid w:val="691C25EA"/>
    <w:rsid w:val="698555C7"/>
    <w:rsid w:val="6B601D2D"/>
    <w:rsid w:val="6BF6265F"/>
    <w:rsid w:val="6C281E78"/>
    <w:rsid w:val="6C307E68"/>
    <w:rsid w:val="6C3A341E"/>
    <w:rsid w:val="6C920572"/>
    <w:rsid w:val="6DB227E4"/>
    <w:rsid w:val="6DBE1759"/>
    <w:rsid w:val="6DC31ECB"/>
    <w:rsid w:val="6E307289"/>
    <w:rsid w:val="6E656845"/>
    <w:rsid w:val="6F2A4AF9"/>
    <w:rsid w:val="6F471F5D"/>
    <w:rsid w:val="6F563B40"/>
    <w:rsid w:val="6F891280"/>
    <w:rsid w:val="6F8E74DB"/>
    <w:rsid w:val="70727FF1"/>
    <w:rsid w:val="70836CF8"/>
    <w:rsid w:val="70CF07C8"/>
    <w:rsid w:val="710F157A"/>
    <w:rsid w:val="71840FD7"/>
    <w:rsid w:val="718C3480"/>
    <w:rsid w:val="721D56A4"/>
    <w:rsid w:val="72987FCC"/>
    <w:rsid w:val="72BF7C4E"/>
    <w:rsid w:val="72F3401B"/>
    <w:rsid w:val="731416B4"/>
    <w:rsid w:val="736C262E"/>
    <w:rsid w:val="73712518"/>
    <w:rsid w:val="738A0204"/>
    <w:rsid w:val="738E7AB2"/>
    <w:rsid w:val="73AA787E"/>
    <w:rsid w:val="73EF0074"/>
    <w:rsid w:val="74624F7D"/>
    <w:rsid w:val="74B72A06"/>
    <w:rsid w:val="7546516B"/>
    <w:rsid w:val="75AF555B"/>
    <w:rsid w:val="763204BA"/>
    <w:rsid w:val="767D2F83"/>
    <w:rsid w:val="76F3488A"/>
    <w:rsid w:val="77281C38"/>
    <w:rsid w:val="7741229E"/>
    <w:rsid w:val="781828A1"/>
    <w:rsid w:val="781C3DC0"/>
    <w:rsid w:val="784A356A"/>
    <w:rsid w:val="78780B98"/>
    <w:rsid w:val="788E06C1"/>
    <w:rsid w:val="78D76423"/>
    <w:rsid w:val="78D86E43"/>
    <w:rsid w:val="79566D81"/>
    <w:rsid w:val="79B10E72"/>
    <w:rsid w:val="79E02BD8"/>
    <w:rsid w:val="7A2B55F9"/>
    <w:rsid w:val="7A3458D0"/>
    <w:rsid w:val="7A4B048B"/>
    <w:rsid w:val="7A7C35B8"/>
    <w:rsid w:val="7A96669D"/>
    <w:rsid w:val="7AC70013"/>
    <w:rsid w:val="7B2368A0"/>
    <w:rsid w:val="7B672810"/>
    <w:rsid w:val="7B681B66"/>
    <w:rsid w:val="7C561F60"/>
    <w:rsid w:val="7C6B2EC5"/>
    <w:rsid w:val="7C831CEC"/>
    <w:rsid w:val="7DDF7DDD"/>
    <w:rsid w:val="7E300909"/>
    <w:rsid w:val="7E3A59BF"/>
    <w:rsid w:val="7EC84C80"/>
    <w:rsid w:val="7EF55FF4"/>
    <w:rsid w:val="7F0627ED"/>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semiHidden/>
    <w:unhideWhenUsed/>
    <w:qFormat/>
    <w:uiPriority w:val="0"/>
    <w:pPr>
      <w:keepNext/>
      <w:keepLines/>
      <w:spacing w:line="413" w:lineRule="auto"/>
      <w:outlineLvl w:val="1"/>
    </w:pPr>
    <w:rPr>
      <w:rFonts w:ascii="Arial" w:hAnsi="Arial" w:eastAsia="黑体"/>
      <w:b/>
      <w:sz w:val="32"/>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1"/>
    <w:link w:val="33"/>
    <w:qFormat/>
    <w:uiPriority w:val="0"/>
    <w:rPr>
      <w:rFonts w:hint="eastAsia" w:ascii="宋体" w:hAnsi="Courier New" w:eastAsia="宋体" w:cs="Times New Roman"/>
      <w:szCs w:val="21"/>
    </w:rPr>
  </w:style>
  <w:style w:type="paragraph" w:styleId="5">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6">
    <w:name w:val="Normal Indent"/>
    <w:basedOn w:val="1"/>
    <w:qFormat/>
    <w:uiPriority w:val="0"/>
    <w:pPr>
      <w:ind w:firstLine="420"/>
    </w:pPr>
    <w:rPr>
      <w:rFonts w:ascii="Times New Roman" w:hAnsi="Times New Roman" w:eastAsia="宋体" w:cs="Times New Roman"/>
      <w:szCs w:val="20"/>
    </w:rPr>
  </w:style>
  <w:style w:type="paragraph" w:styleId="7">
    <w:name w:val="annotation text"/>
    <w:basedOn w:val="1"/>
    <w:semiHidden/>
    <w:unhideWhenUsed/>
    <w:qFormat/>
    <w:uiPriority w:val="0"/>
    <w:pPr>
      <w:jc w:val="left"/>
    </w:pPr>
  </w:style>
  <w:style w:type="paragraph" w:styleId="8">
    <w:name w:val="Body Text"/>
    <w:basedOn w:val="1"/>
    <w:qFormat/>
    <w:uiPriority w:val="0"/>
  </w:style>
  <w:style w:type="paragraph" w:styleId="9">
    <w:name w:val="Balloon Text"/>
    <w:basedOn w:val="1"/>
    <w:link w:val="31"/>
    <w:qFormat/>
    <w:uiPriority w:val="0"/>
    <w:rPr>
      <w:sz w:val="18"/>
      <w:szCs w:val="18"/>
    </w:rPr>
  </w:style>
  <w:style w:type="paragraph" w:styleId="10">
    <w:name w:val="footer"/>
    <w:basedOn w:val="1"/>
    <w:link w:val="30"/>
    <w:qFormat/>
    <w:uiPriority w:val="0"/>
    <w:pPr>
      <w:tabs>
        <w:tab w:val="center" w:pos="4153"/>
        <w:tab w:val="right" w:pos="8306"/>
      </w:tabs>
      <w:snapToGrid w:val="0"/>
      <w:jc w:val="left"/>
    </w:pPr>
    <w:rPr>
      <w:sz w:val="18"/>
      <w:szCs w:val="18"/>
    </w:rPr>
  </w:style>
  <w:style w:type="paragraph" w:styleId="11">
    <w:name w:val="header"/>
    <w:basedOn w:val="1"/>
    <w:link w:val="29"/>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rPr>
      <w:rFonts w:ascii="Times New Roman" w:hAnsi="Times New Roman" w:eastAsia="宋体" w:cs="Times New Roman"/>
      <w:szCs w:val="21"/>
    </w:rPr>
  </w:style>
  <w:style w:type="paragraph" w:styleId="13">
    <w:name w:val="Body Text First Indent"/>
    <w:basedOn w:val="8"/>
    <w:link w:val="34"/>
    <w:qFormat/>
    <w:uiPriority w:val="0"/>
    <w:pPr>
      <w:spacing w:beforeAutospacing="1" w:after="120"/>
      <w:ind w:firstLine="420"/>
    </w:pPr>
    <w:rPr>
      <w:rFonts w:ascii="Times New Roman" w:hAnsi="Times New Roman" w:eastAsia="宋体" w:cs="Times New Roman"/>
      <w:szCs w:val="21"/>
    </w:rPr>
  </w:style>
  <w:style w:type="character" w:styleId="16">
    <w:name w:val="page number"/>
    <w:basedOn w:val="15"/>
    <w:qFormat/>
    <w:uiPriority w:val="0"/>
  </w:style>
  <w:style w:type="character" w:styleId="17">
    <w:name w:val="FollowedHyperlink"/>
    <w:basedOn w:val="15"/>
    <w:qFormat/>
    <w:uiPriority w:val="0"/>
    <w:rPr>
      <w:color w:val="0000FF"/>
      <w:u w:val="single"/>
    </w:rPr>
  </w:style>
  <w:style w:type="character" w:styleId="18">
    <w:name w:val="Hyperlink"/>
    <w:basedOn w:val="15"/>
    <w:qFormat/>
    <w:uiPriority w:val="0"/>
    <w:rPr>
      <w:color w:val="0000FF"/>
      <w:u w:val="single"/>
    </w:rPr>
  </w:style>
  <w:style w:type="paragraph" w:customStyle="1" w:styleId="19">
    <w:name w:val="样式 小四 行距: 1.5 倍行距"/>
    <w:basedOn w:val="1"/>
    <w:qFormat/>
    <w:uiPriority w:val="0"/>
    <w:pPr>
      <w:ind w:firstLine="480"/>
    </w:pPr>
    <w:rPr>
      <w:rFonts w:cs="宋体"/>
    </w:rPr>
  </w:style>
  <w:style w:type="paragraph" w:customStyle="1" w:styleId="20">
    <w:name w:val="表格文字"/>
    <w:basedOn w:val="1"/>
    <w:qFormat/>
    <w:uiPriority w:val="0"/>
    <w:pPr>
      <w:spacing w:before="25" w:after="25"/>
      <w:jc w:val="left"/>
    </w:pPr>
    <w:rPr>
      <w:bCs/>
      <w:spacing w:val="10"/>
      <w:kern w:val="0"/>
      <w:sz w:val="24"/>
    </w:rPr>
  </w:style>
  <w:style w:type="paragraph" w:customStyle="1" w:styleId="21">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2">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3">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4">
    <w:name w:val="列出段落1"/>
    <w:basedOn w:val="1"/>
    <w:qFormat/>
    <w:uiPriority w:val="0"/>
    <w:pPr>
      <w:ind w:firstLine="420" w:firstLineChars="200"/>
    </w:pPr>
    <w:rPr>
      <w:rFonts w:ascii="Calibri" w:hAnsi="Calibri" w:eastAsia="宋体" w:cs="Times New Roman"/>
      <w:szCs w:val="21"/>
    </w:rPr>
  </w:style>
  <w:style w:type="paragraph" w:customStyle="1" w:styleId="25">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6">
    <w:name w:val="10"/>
    <w:basedOn w:val="15"/>
    <w:qFormat/>
    <w:uiPriority w:val="0"/>
    <w:rPr>
      <w:rFonts w:hint="default" w:ascii="Times New Roman" w:hAnsi="Times New Roman" w:cs="Times New Roman"/>
    </w:rPr>
  </w:style>
  <w:style w:type="character" w:customStyle="1" w:styleId="27">
    <w:name w:val="15"/>
    <w:basedOn w:val="15"/>
    <w:qFormat/>
    <w:uiPriority w:val="0"/>
    <w:rPr>
      <w:rFonts w:hint="default" w:ascii="Times New Roman" w:hAnsi="Times New Roman" w:cs="Times New Roman"/>
    </w:rPr>
  </w:style>
  <w:style w:type="character" w:customStyle="1" w:styleId="28">
    <w:name w:val="16"/>
    <w:basedOn w:val="15"/>
    <w:qFormat/>
    <w:uiPriority w:val="0"/>
    <w:rPr>
      <w:rFonts w:hint="default" w:ascii="Times New Roman" w:hAnsi="Times New Roman" w:cs="Times New Roman"/>
      <w:color w:val="0000FF"/>
      <w:u w:val="single"/>
    </w:rPr>
  </w:style>
  <w:style w:type="character" w:customStyle="1" w:styleId="29">
    <w:name w:val="页眉 Char"/>
    <w:basedOn w:val="15"/>
    <w:link w:val="11"/>
    <w:qFormat/>
    <w:uiPriority w:val="0"/>
    <w:rPr>
      <w:rFonts w:asciiTheme="minorHAnsi" w:hAnsiTheme="minorHAnsi" w:eastAsiaTheme="minorEastAsia" w:cstheme="minorBidi"/>
      <w:kern w:val="2"/>
      <w:sz w:val="18"/>
      <w:szCs w:val="18"/>
    </w:rPr>
  </w:style>
  <w:style w:type="character" w:customStyle="1" w:styleId="30">
    <w:name w:val="页脚 Char"/>
    <w:basedOn w:val="15"/>
    <w:link w:val="10"/>
    <w:qFormat/>
    <w:uiPriority w:val="0"/>
    <w:rPr>
      <w:rFonts w:asciiTheme="minorHAnsi" w:hAnsiTheme="minorHAnsi" w:eastAsiaTheme="minorEastAsia" w:cstheme="minorBidi"/>
      <w:kern w:val="2"/>
      <w:sz w:val="18"/>
      <w:szCs w:val="18"/>
    </w:rPr>
  </w:style>
  <w:style w:type="character" w:customStyle="1" w:styleId="31">
    <w:name w:val="批注框文本 Char"/>
    <w:basedOn w:val="15"/>
    <w:link w:val="9"/>
    <w:qFormat/>
    <w:uiPriority w:val="0"/>
    <w:rPr>
      <w:rFonts w:asciiTheme="minorHAnsi" w:hAnsiTheme="minorHAnsi" w:eastAsiaTheme="minorEastAsia" w:cstheme="minorBidi"/>
      <w:kern w:val="2"/>
      <w:sz w:val="18"/>
      <w:szCs w:val="18"/>
    </w:rPr>
  </w:style>
  <w:style w:type="paragraph" w:customStyle="1" w:styleId="32">
    <w:name w:val="WPSOffice手动目录 1"/>
    <w:qFormat/>
    <w:uiPriority w:val="0"/>
    <w:rPr>
      <w:rFonts w:ascii="Times New Roman" w:hAnsi="Times New Roman" w:eastAsia="宋体" w:cs="Times New Roman"/>
      <w:lang w:val="en-US" w:eastAsia="zh-CN" w:bidi="ar-SA"/>
    </w:rPr>
  </w:style>
  <w:style w:type="character" w:customStyle="1" w:styleId="33">
    <w:name w:val="纯文本 Char"/>
    <w:link w:val="2"/>
    <w:qFormat/>
    <w:uiPriority w:val="0"/>
    <w:rPr>
      <w:rFonts w:ascii="宋体" w:hAnsi="Courier New"/>
      <w:kern w:val="2"/>
      <w:sz w:val="21"/>
      <w:szCs w:val="21"/>
    </w:rPr>
  </w:style>
  <w:style w:type="character" w:customStyle="1" w:styleId="34">
    <w:name w:val="正文首行缩进 Char"/>
    <w:basedOn w:val="15"/>
    <w:link w:val="13"/>
    <w:qFormat/>
    <w:uiPriority w:val="0"/>
    <w:rPr>
      <w:kern w:val="2"/>
      <w:sz w:val="21"/>
      <w:szCs w:val="21"/>
    </w:rPr>
  </w:style>
  <w:style w:type="paragraph" w:styleId="35">
    <w:name w:val="List Paragraph"/>
    <w:basedOn w:val="1"/>
    <w:unhideWhenUsed/>
    <w:qFormat/>
    <w:uiPriority w:val="99"/>
    <w:pPr>
      <w:ind w:firstLine="420" w:firstLineChars="200"/>
    </w:pPr>
  </w:style>
  <w:style w:type="paragraph" w:customStyle="1" w:styleId="36">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7">
    <w:name w:val="发文落款"/>
    <w:basedOn w:val="36"/>
    <w:qFormat/>
    <w:uiPriority w:val="0"/>
    <w:pPr>
      <w:ind w:left="4094" w:right="607" w:firstLine="0"/>
      <w:jc w:val="center"/>
    </w:pPr>
  </w:style>
  <w:style w:type="character" w:customStyle="1" w:styleId="38">
    <w:name w:val="c Char1"/>
    <w:link w:val="39"/>
    <w:qFormat/>
    <w:uiPriority w:val="0"/>
    <w:rPr>
      <w:rFonts w:eastAsia="仿宋_GB2312" w:cs="宋体"/>
      <w:sz w:val="28"/>
    </w:rPr>
  </w:style>
  <w:style w:type="paragraph" w:customStyle="1" w:styleId="39">
    <w:name w:val="c"/>
    <w:basedOn w:val="1"/>
    <w:link w:val="38"/>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41</Pages>
  <Words>16386</Words>
  <Characters>17311</Characters>
  <Lines>131</Lines>
  <Paragraphs>37</Paragraphs>
  <TotalTime>10</TotalTime>
  <ScaleCrop>false</ScaleCrop>
  <LinksUpToDate>false</LinksUpToDate>
  <CharactersWithSpaces>18337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2022-02-28T02:04:00Z</dcterms:created>
  <dc:creator>李晓晨</dc:creator>
  <cp:lastModifiedBy>路心</cp:lastModifiedBy>
  <cp:lastPrinted>2020-07-23T07:52:00Z</cp:lastPrinted>
  <dcterms:modified xsi:type="dcterms:W3CDTF">2023-08-04T05:54:58Z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6F8842E353744852BDC4E3C1A0BD38D3</vt:lpwstr>
  </property>
</Properties>
</file>