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44"/>
          <w:szCs w:val="44"/>
          <w:highlight w:val="none"/>
        </w:rPr>
      </w:pPr>
    </w:p>
    <w:p>
      <w:pPr>
        <w:spacing w:line="360" w:lineRule="auto"/>
        <w:jc w:val="center"/>
        <w:rPr>
          <w:rFonts w:ascii="宋体" w:hAnsi="宋体" w:cs="宋体"/>
          <w:b/>
          <w:kern w:val="0"/>
          <w:sz w:val="44"/>
          <w:szCs w:val="44"/>
          <w:highlight w:val="none"/>
        </w:rPr>
      </w:pPr>
    </w:p>
    <w:p>
      <w:pPr>
        <w:spacing w:line="360" w:lineRule="auto"/>
        <w:jc w:val="center"/>
        <w:rPr>
          <w:rFonts w:hint="eastAsia" w:ascii="方正小标宋简体" w:hAnsi="方正小标宋简体" w:eastAsia="方正小标宋简体" w:cs="方正小标宋简体"/>
          <w:sz w:val="44"/>
          <w:szCs w:val="44"/>
          <w:highlight w:val="none"/>
          <w:lang w:val="en-US" w:eastAsia="zh-CN"/>
        </w:rPr>
      </w:pPr>
      <w:r>
        <w:rPr>
          <w:rFonts w:hint="eastAsia" w:ascii="宋体" w:hAnsi="宋体" w:eastAsia="黑体" w:cs="Times New Roman"/>
          <w:b w:val="0"/>
          <w:bCs w:val="0"/>
          <w:color w:val="auto"/>
          <w:spacing w:val="0"/>
          <w:sz w:val="44"/>
          <w:szCs w:val="44"/>
          <w:highlight w:val="none"/>
        </w:rPr>
        <w:t>湿地景区二期停车场变压器增容项目</w:t>
      </w:r>
    </w:p>
    <w:p>
      <w:pPr>
        <w:spacing w:line="360" w:lineRule="auto"/>
        <w:jc w:val="center"/>
        <w:rPr>
          <w:rFonts w:hint="eastAsia" w:ascii="方正小标宋简体" w:hAnsi="方正小标宋简体" w:eastAsia="方正小标宋简体" w:cs="方正小标宋简体"/>
          <w:sz w:val="44"/>
          <w:szCs w:val="44"/>
          <w:highlight w:val="none"/>
          <w:lang w:eastAsia="zh-CN"/>
        </w:rPr>
      </w:pPr>
    </w:p>
    <w:p>
      <w:pPr>
        <w:spacing w:line="360" w:lineRule="auto"/>
        <w:jc w:val="center"/>
        <w:rPr>
          <w:rFonts w:ascii="黑体" w:eastAsia="黑体"/>
          <w:sz w:val="72"/>
          <w:szCs w:val="72"/>
          <w:highlight w:val="none"/>
        </w:rPr>
      </w:pPr>
    </w:p>
    <w:p>
      <w:pPr>
        <w:spacing w:line="360" w:lineRule="auto"/>
        <w:jc w:val="center"/>
        <w:rPr>
          <w:rFonts w:ascii="黑体" w:eastAsia="黑体"/>
          <w:sz w:val="84"/>
          <w:szCs w:val="84"/>
          <w:highlight w:val="none"/>
        </w:rPr>
      </w:pPr>
    </w:p>
    <w:p>
      <w:pPr>
        <w:spacing w:line="360" w:lineRule="auto"/>
        <w:jc w:val="center"/>
        <w:rPr>
          <w:rFonts w:hint="eastAsia" w:ascii="黑体" w:eastAsia="黑体"/>
          <w:color w:val="auto"/>
          <w:sz w:val="84"/>
          <w:szCs w:val="84"/>
          <w:highlight w:val="none"/>
        </w:rPr>
      </w:pPr>
      <w:r>
        <w:rPr>
          <w:rFonts w:hint="eastAsia" w:ascii="楷体" w:hAnsi="楷体" w:eastAsia="楷体" w:cs="楷体"/>
          <w:b/>
          <w:sz w:val="110"/>
          <w:szCs w:val="110"/>
          <w:highlight w:val="none"/>
        </w:rPr>
        <w:t>招标公告</w:t>
      </w:r>
    </w:p>
    <w:p>
      <w:pPr>
        <w:spacing w:line="360" w:lineRule="auto"/>
        <w:jc w:val="center"/>
        <w:rPr>
          <w:rStyle w:val="25"/>
          <w:rFonts w:ascii="楷体_GB2312" w:hAnsi="楷体_GB2312" w:eastAsia="楷体_GB2312"/>
          <w:sz w:val="48"/>
          <w:highlight w:val="none"/>
        </w:rPr>
      </w:pPr>
    </w:p>
    <w:p>
      <w:pPr>
        <w:spacing w:line="360" w:lineRule="auto"/>
        <w:jc w:val="center"/>
        <w:rPr>
          <w:rFonts w:ascii="楷体_GB2312" w:eastAsia="楷体_GB2312"/>
          <w:sz w:val="32"/>
          <w:szCs w:val="32"/>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bookmarkStart w:id="12" w:name="_GoBack"/>
      <w:bookmarkEnd w:id="12"/>
    </w:p>
    <w:p>
      <w:pPr>
        <w:tabs>
          <w:tab w:val="left" w:pos="7067"/>
        </w:tabs>
        <w:spacing w:line="360" w:lineRule="auto"/>
        <w:ind w:firstLine="1506" w:firstLineChars="500"/>
        <w:rPr>
          <w:rFonts w:ascii="宋体" w:hAnsi="宋体" w:cs="宋体"/>
          <w:b/>
          <w:sz w:val="30"/>
          <w:szCs w:val="30"/>
          <w:highlight w:val="none"/>
        </w:rPr>
      </w:pPr>
      <w:r>
        <w:rPr>
          <w:rFonts w:hint="eastAsia" w:ascii="宋体" w:hAnsi="宋体" w:cs="宋体"/>
          <w:b/>
          <w:sz w:val="30"/>
          <w:szCs w:val="30"/>
          <w:highlight w:val="none"/>
        </w:rPr>
        <w:t>招标单位：广州南沙</w:t>
      </w:r>
      <w:r>
        <w:rPr>
          <w:rFonts w:hint="eastAsia" w:ascii="宋体" w:hAnsi="宋体" w:cs="宋体"/>
          <w:b/>
          <w:sz w:val="30"/>
          <w:szCs w:val="30"/>
          <w:highlight w:val="none"/>
          <w:lang w:val="en-US" w:eastAsia="zh-CN"/>
        </w:rPr>
        <w:t>湿地</w:t>
      </w:r>
      <w:r>
        <w:rPr>
          <w:rFonts w:hint="eastAsia" w:ascii="宋体" w:hAnsi="宋体" w:cs="宋体"/>
          <w:b/>
          <w:sz w:val="30"/>
          <w:szCs w:val="30"/>
          <w:highlight w:val="none"/>
        </w:rPr>
        <w:t>旅游发展有限公司</w:t>
      </w:r>
    </w:p>
    <w:p>
      <w:pPr>
        <w:tabs>
          <w:tab w:val="left" w:pos="7067"/>
        </w:tabs>
        <w:spacing w:line="360" w:lineRule="auto"/>
        <w:ind w:firstLine="1506" w:firstLineChars="500"/>
        <w:rPr>
          <w:rFonts w:hint="eastAsia" w:ascii="宋体" w:hAnsi="宋体" w:cs="宋体"/>
          <w:b/>
          <w:sz w:val="30"/>
          <w:szCs w:val="30"/>
          <w:highlight w:val="none"/>
        </w:rPr>
      </w:pPr>
      <w:r>
        <w:rPr>
          <w:rFonts w:hint="eastAsia" w:ascii="宋体" w:hAnsi="宋体" w:cs="宋体"/>
          <w:b/>
          <w:sz w:val="30"/>
          <w:szCs w:val="30"/>
          <w:highlight w:val="none"/>
        </w:rPr>
        <w:t>日    期：</w:t>
      </w:r>
      <w:r>
        <w:rPr>
          <w:rFonts w:hint="eastAsia" w:ascii="宋体" w:hAnsi="宋体" w:cs="宋体"/>
          <w:b/>
          <w:color w:val="auto"/>
          <w:sz w:val="30"/>
          <w:szCs w:val="30"/>
          <w:highlight w:val="none"/>
        </w:rPr>
        <w:t>2023年</w:t>
      </w:r>
      <w:r>
        <w:rPr>
          <w:rFonts w:hint="eastAsia" w:ascii="宋体" w:hAnsi="宋体" w:cs="宋体"/>
          <w:b/>
          <w:color w:val="auto"/>
          <w:sz w:val="30"/>
          <w:szCs w:val="30"/>
          <w:highlight w:val="none"/>
          <w:lang w:val="en-US" w:eastAsia="zh-CN"/>
        </w:rPr>
        <w:t>8</w:t>
      </w:r>
      <w:r>
        <w:rPr>
          <w:rFonts w:hint="eastAsia" w:ascii="宋体" w:hAnsi="宋体" w:cs="宋体"/>
          <w:b/>
          <w:color w:val="auto"/>
          <w:sz w:val="30"/>
          <w:szCs w:val="30"/>
          <w:highlight w:val="none"/>
        </w:rPr>
        <w:t>月</w:t>
      </w:r>
    </w:p>
    <w:p>
      <w:pPr>
        <w:tabs>
          <w:tab w:val="left" w:pos="7067"/>
        </w:tabs>
        <w:spacing w:line="360" w:lineRule="auto"/>
        <w:ind w:firstLine="1506" w:firstLineChars="500"/>
        <w:rPr>
          <w:rFonts w:hint="default" w:ascii="宋体" w:hAnsi="宋体" w:cs="宋体"/>
          <w:b/>
          <w:sz w:val="30"/>
          <w:szCs w:val="30"/>
          <w:highlight w:val="none"/>
          <w:lang w:val="en-US" w:eastAsia="zh-CN"/>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spacing w:line="360" w:lineRule="auto"/>
        <w:jc w:val="center"/>
        <w:rPr>
          <w:rFonts w:hint="eastAsia" w:ascii="宋体" w:hAnsi="宋体" w:eastAsia="宋体" w:cs="Times New Roman"/>
          <w:b/>
          <w:kern w:val="0"/>
          <w:sz w:val="32"/>
          <w:szCs w:val="32"/>
          <w:highlight w:val="none"/>
          <w:u w:val="none"/>
          <w:lang w:val="en-US" w:eastAsia="zh-CN" w:bidi="ar-SA"/>
        </w:rPr>
      </w:pPr>
      <w:r>
        <w:rPr>
          <w:rFonts w:hint="eastAsia" w:ascii="宋体" w:hAnsi="宋体" w:eastAsia="宋体" w:cs="Times New Roman"/>
          <w:b/>
          <w:bCs w:val="0"/>
          <w:color w:val="auto"/>
          <w:spacing w:val="0"/>
          <w:kern w:val="0"/>
          <w:sz w:val="32"/>
          <w:szCs w:val="32"/>
          <w:highlight w:val="none"/>
          <w:u w:val="none"/>
        </w:rPr>
        <w:t>湿地景区二期停车场变压器增容项目</w:t>
      </w:r>
    </w:p>
    <w:p>
      <w:pPr>
        <w:pStyle w:val="12"/>
        <w:spacing w:line="360" w:lineRule="auto"/>
        <w:jc w:val="center"/>
        <w:rPr>
          <w:b/>
          <w:sz w:val="32"/>
          <w:szCs w:val="32"/>
          <w:highlight w:val="none"/>
          <w:u w:val="none"/>
        </w:rPr>
      </w:pPr>
      <w:r>
        <w:rPr>
          <w:rFonts w:hint="eastAsia"/>
          <w:b/>
          <w:sz w:val="32"/>
          <w:szCs w:val="32"/>
          <w:highlight w:val="none"/>
          <w:u w:val="none"/>
        </w:rPr>
        <w:t>招标公告</w:t>
      </w:r>
    </w:p>
    <w:p>
      <w:pPr>
        <w:spacing w:line="360" w:lineRule="auto"/>
        <w:ind w:firstLine="480" w:firstLineChars="200"/>
        <w:rPr>
          <w:rFonts w:ascii="宋体" w:hAnsi="宋体" w:cs="宋体"/>
          <w:sz w:val="24"/>
          <w:highlight w:val="none"/>
        </w:rPr>
      </w:pPr>
    </w:p>
    <w:p>
      <w:pPr>
        <w:tabs>
          <w:tab w:val="left" w:pos="7067"/>
        </w:tabs>
        <w:spacing w:line="360" w:lineRule="auto"/>
        <w:ind w:firstLine="480" w:firstLineChars="200"/>
        <w:rPr>
          <w:rFonts w:ascii="宋体"/>
          <w:color w:val="auto"/>
          <w:sz w:val="24"/>
          <w:highlight w:val="none"/>
        </w:rPr>
      </w:pPr>
      <w:r>
        <w:rPr>
          <w:rFonts w:hint="eastAsia" w:ascii="宋体" w:hAnsi="宋体" w:cs="宋体"/>
          <w:sz w:val="24"/>
          <w:highlight w:val="none"/>
        </w:rPr>
        <w:t>根据</w:t>
      </w:r>
      <w:r>
        <w:rPr>
          <w:rFonts w:hint="eastAsia" w:ascii="宋体" w:hAnsi="宋体"/>
          <w:sz w:val="24"/>
          <w:szCs w:val="24"/>
          <w:highlight w:val="none"/>
          <w:u w:val="single"/>
        </w:rPr>
        <w:t>相关文件</w:t>
      </w:r>
      <w:r>
        <w:rPr>
          <w:rFonts w:hint="eastAsia" w:ascii="宋体" w:hAnsi="宋体" w:cs="宋体"/>
          <w:sz w:val="24"/>
          <w:highlight w:val="none"/>
        </w:rPr>
        <w:t>批准，</w:t>
      </w:r>
      <w:r>
        <w:rPr>
          <w:rFonts w:hint="eastAsia" w:ascii="宋体" w:hAnsi="宋体" w:cs="宋体"/>
          <w:kern w:val="0"/>
          <w:sz w:val="24"/>
          <w:szCs w:val="24"/>
          <w:highlight w:val="none"/>
          <w:u w:val="single"/>
        </w:rPr>
        <w:t>广州南沙</w:t>
      </w:r>
      <w:r>
        <w:rPr>
          <w:rFonts w:hint="eastAsia" w:ascii="宋体" w:hAnsi="宋体" w:cs="宋体"/>
          <w:kern w:val="0"/>
          <w:sz w:val="24"/>
          <w:szCs w:val="24"/>
          <w:highlight w:val="none"/>
          <w:u w:val="single"/>
          <w:lang w:val="en-US" w:eastAsia="zh-CN"/>
        </w:rPr>
        <w:t>湿地</w:t>
      </w:r>
      <w:r>
        <w:rPr>
          <w:rFonts w:hint="eastAsia" w:ascii="宋体" w:hAnsi="宋体" w:cs="宋体"/>
          <w:kern w:val="0"/>
          <w:sz w:val="24"/>
          <w:szCs w:val="24"/>
          <w:highlight w:val="none"/>
          <w:u w:val="single"/>
        </w:rPr>
        <w:t>旅游发展有限公司</w:t>
      </w:r>
      <w:r>
        <w:rPr>
          <w:rFonts w:hint="eastAsia" w:ascii="宋体" w:hAnsi="宋体" w:cs="宋体"/>
          <w:sz w:val="24"/>
          <w:highlight w:val="none"/>
        </w:rPr>
        <w:t>现对</w:t>
      </w:r>
      <w:r>
        <w:rPr>
          <w:rFonts w:hint="eastAsia" w:ascii="宋体" w:hAnsi="宋体" w:eastAsia="宋体" w:cs="宋体"/>
          <w:b w:val="0"/>
          <w:bCs w:val="0"/>
          <w:spacing w:val="0"/>
          <w:kern w:val="0"/>
          <w:sz w:val="24"/>
          <w:szCs w:val="24"/>
          <w:highlight w:val="none"/>
          <w:u w:val="single"/>
        </w:rPr>
        <w:t>湿地景区二期停车场变压器增容项目</w:t>
      </w:r>
      <w:r>
        <w:rPr>
          <w:rFonts w:hint="eastAsia" w:ascii="宋体" w:hAnsi="宋体" w:cs="宋体"/>
          <w:color w:val="auto"/>
          <w:sz w:val="24"/>
          <w:highlight w:val="none"/>
        </w:rPr>
        <w:t>进行招标，选定</w:t>
      </w:r>
      <w:r>
        <w:rPr>
          <w:rFonts w:hint="eastAsia" w:ascii="宋体" w:hAnsi="宋体" w:cs="宋体"/>
          <w:color w:val="auto"/>
          <w:kern w:val="0"/>
          <w:sz w:val="24"/>
          <w:highlight w:val="none"/>
        </w:rPr>
        <w:t>项目施工单位</w:t>
      </w:r>
      <w:r>
        <w:rPr>
          <w:rFonts w:hint="eastAsia" w:ascii="宋体" w:hAnsi="宋体" w:cs="宋体"/>
          <w:color w:val="auto"/>
          <w:sz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宋体" w:hAnsi="宋体" w:eastAsia="宋体" w:cs="宋体"/>
          <w:b w:val="0"/>
          <w:bCs w:val="0"/>
          <w:spacing w:val="0"/>
          <w:kern w:val="0"/>
          <w:sz w:val="24"/>
          <w:szCs w:val="24"/>
          <w:highlight w:val="none"/>
          <w:u w:val="single"/>
        </w:rPr>
        <w:t>湿地景区二期停车场变压器增容项目</w:t>
      </w:r>
    </w:p>
    <w:p>
      <w:pPr>
        <w:widowControl/>
        <w:numPr>
          <w:ilvl w:val="0"/>
          <w:numId w:val="1"/>
        </w:numPr>
        <w:adjustRightInd w:val="0"/>
        <w:snapToGrid w:val="0"/>
        <w:spacing w:line="360" w:lineRule="auto"/>
        <w:ind w:firstLine="537" w:firstLineChars="224"/>
        <w:outlineLvl w:val="0"/>
        <w:rPr>
          <w:rFonts w:ascii="宋体"/>
          <w:sz w:val="24"/>
          <w:highlight w:val="none"/>
          <w:u w:val="single"/>
        </w:rPr>
      </w:pPr>
      <w:r>
        <w:rPr>
          <w:rFonts w:hint="eastAsia" w:ascii="宋体" w:hAnsi="宋体" w:cs="宋体"/>
          <w:bCs/>
          <w:sz w:val="24"/>
          <w:highlight w:val="none"/>
        </w:rPr>
        <w:t xml:space="preserve"> </w:t>
      </w:r>
      <w:r>
        <w:rPr>
          <w:rFonts w:hint="eastAsia" w:ascii="宋体" w:hAnsi="宋体" w:cs="宋体"/>
          <w:b/>
          <w:bCs w:val="0"/>
          <w:sz w:val="24"/>
          <w:highlight w:val="none"/>
        </w:rPr>
        <w:t>招标单位：</w:t>
      </w:r>
      <w:r>
        <w:rPr>
          <w:rFonts w:hint="eastAsia" w:ascii="宋体" w:hAnsi="宋体" w:cs="宋体"/>
          <w:kern w:val="0"/>
          <w:sz w:val="24"/>
          <w:szCs w:val="24"/>
          <w:highlight w:val="none"/>
          <w:u w:val="single"/>
        </w:rPr>
        <w:t>广州南沙</w:t>
      </w:r>
      <w:r>
        <w:rPr>
          <w:rFonts w:hint="eastAsia" w:ascii="宋体" w:hAnsi="宋体" w:cs="宋体"/>
          <w:kern w:val="0"/>
          <w:sz w:val="24"/>
          <w:szCs w:val="24"/>
          <w:highlight w:val="none"/>
          <w:u w:val="single"/>
          <w:lang w:val="en-US" w:eastAsia="zh-CN"/>
        </w:rPr>
        <w:t>湿地</w:t>
      </w:r>
      <w:r>
        <w:rPr>
          <w:rFonts w:hint="eastAsia" w:ascii="宋体" w:hAnsi="宋体" w:cs="宋体"/>
          <w:kern w:val="0"/>
          <w:sz w:val="24"/>
          <w:szCs w:val="24"/>
          <w:highlight w:val="none"/>
          <w:u w:val="single"/>
        </w:rPr>
        <w:t>旅游发展有限公司</w:t>
      </w:r>
    </w:p>
    <w:p>
      <w:pPr>
        <w:widowControl/>
        <w:snapToGrid w:val="0"/>
        <w:spacing w:line="360" w:lineRule="auto"/>
        <w:ind w:firstLine="1200" w:firstLineChars="500"/>
        <w:jc w:val="left"/>
        <w:rPr>
          <w:rFonts w:hint="default" w:ascii="宋体" w:hAnsi="宋体" w:eastAsia="宋体" w:cs="宋体"/>
          <w:sz w:val="24"/>
          <w:highlight w:val="none"/>
          <w:u w:val="single"/>
          <w:lang w:val="en-US" w:eastAsia="zh-CN"/>
        </w:rPr>
      </w:pPr>
      <w:r>
        <w:rPr>
          <w:rFonts w:hint="eastAsia" w:ascii="宋体" w:hAnsi="宋体" w:cs="宋体"/>
          <w:kern w:val="0"/>
          <w:sz w:val="24"/>
          <w:szCs w:val="24"/>
          <w:highlight w:val="none"/>
        </w:rPr>
        <w:t>联系人：</w:t>
      </w:r>
      <w:r>
        <w:rPr>
          <w:rFonts w:hint="eastAsia" w:ascii="宋体" w:hAnsi="宋体" w:cs="宋体"/>
          <w:color w:val="auto"/>
          <w:kern w:val="0"/>
          <w:sz w:val="24"/>
          <w:szCs w:val="22"/>
          <w:highlight w:val="none"/>
          <w:u w:val="single"/>
        </w:rPr>
        <w:t xml:space="preserve">林小姐 </w:t>
      </w:r>
      <w:r>
        <w:rPr>
          <w:rFonts w:hint="eastAsia" w:ascii="宋体" w:hAnsi="宋体" w:cs="宋体"/>
          <w:kern w:val="0"/>
          <w:sz w:val="24"/>
          <w:szCs w:val="24"/>
          <w:highlight w:val="none"/>
        </w:rPr>
        <w:t xml:space="preserve"> 联系电话：</w:t>
      </w:r>
      <w:r>
        <w:rPr>
          <w:rFonts w:hint="eastAsia" w:ascii="宋体" w:hAnsi="宋体" w:eastAsia="宋体" w:cs="宋体"/>
          <w:color w:val="auto"/>
          <w:kern w:val="0"/>
          <w:sz w:val="24"/>
          <w:szCs w:val="22"/>
          <w:highlight w:val="none"/>
          <w:u w:val="single"/>
        </w:rPr>
        <w:t>020-</w:t>
      </w:r>
      <w:r>
        <w:rPr>
          <w:rFonts w:hint="eastAsia" w:ascii="宋体" w:hAnsi="宋体" w:eastAsia="宋体" w:cs="宋体"/>
          <w:color w:val="auto"/>
          <w:kern w:val="0"/>
          <w:sz w:val="24"/>
          <w:szCs w:val="22"/>
          <w:highlight w:val="none"/>
          <w:u w:val="single"/>
          <w:lang w:val="en-US" w:eastAsia="zh-CN"/>
        </w:rPr>
        <w:t>31151828</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sz w:val="24"/>
          <w:highlight w:val="none"/>
        </w:rPr>
        <w:t>建设地点：</w:t>
      </w:r>
      <w:r>
        <w:rPr>
          <w:rFonts w:hint="eastAsia" w:ascii="宋体" w:hAnsi="宋体" w:eastAsia="宋体" w:cs="宋体"/>
          <w:color w:val="auto"/>
          <w:kern w:val="0"/>
          <w:position w:val="0"/>
          <w:sz w:val="24"/>
          <w:szCs w:val="22"/>
          <w:highlight w:val="none"/>
          <w:u w:val="single"/>
        </w:rPr>
        <w:t>广州市南沙区湿地景区内</w:t>
      </w:r>
      <w:r>
        <w:rPr>
          <w:rFonts w:hint="eastAsia" w:ascii="宋体" w:hAnsi="宋体" w:cs="宋体"/>
          <w:color w:val="auto"/>
          <w:kern w:val="0"/>
          <w:sz w:val="24"/>
          <w:szCs w:val="22"/>
          <w:highlight w:val="none"/>
          <w:u w:val="single"/>
        </w:rPr>
        <w:t xml:space="preserve"> </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湿地景区一期变压器容量为160KVA，已达到该变压器最大负荷，在二期停车场附近区域</w:t>
      </w:r>
      <w:r>
        <w:rPr>
          <w:rFonts w:hint="eastAsia" w:ascii="宋体" w:hAnsi="宋体" w:cs="宋体"/>
          <w:color w:val="auto"/>
          <w:sz w:val="24"/>
          <w:highlight w:val="none"/>
          <w:lang w:val="en-US" w:eastAsia="zh-CN"/>
        </w:rPr>
        <w:t>增容800KV变压器一台，供</w:t>
      </w:r>
      <w:r>
        <w:rPr>
          <w:rFonts w:hint="eastAsia" w:ascii="宋体" w:hAnsi="宋体" w:cs="宋体"/>
          <w:color w:val="auto"/>
          <w:sz w:val="24"/>
          <w:highlight w:val="none"/>
        </w:rPr>
        <w:t>汽车充电桩、房车营地、公益林鹭营等景点及配套设施</w:t>
      </w:r>
      <w:r>
        <w:rPr>
          <w:rFonts w:hint="eastAsia" w:ascii="宋体" w:hAnsi="宋体" w:cs="宋体"/>
          <w:color w:val="auto"/>
          <w:sz w:val="24"/>
          <w:highlight w:val="none"/>
          <w:lang w:val="en-US" w:eastAsia="zh-CN"/>
        </w:rPr>
        <w:t>等项目用电</w:t>
      </w:r>
      <w:r>
        <w:rPr>
          <w:rFonts w:hint="eastAsia" w:ascii="宋体" w:hAnsi="宋体" w:cs="宋体"/>
          <w:color w:val="auto"/>
          <w:sz w:val="24"/>
          <w:highlight w:val="none"/>
        </w:rPr>
        <w:t>。</w:t>
      </w:r>
      <w:r>
        <w:rPr>
          <w:rFonts w:hint="eastAsia" w:ascii="宋体" w:hAnsi="宋体" w:eastAsia="宋体" w:cs="宋体"/>
          <w:color w:val="auto"/>
          <w:sz w:val="24"/>
          <w:szCs w:val="22"/>
          <w:highlight w:val="none"/>
          <w:lang w:eastAsia="zh-CN"/>
        </w:rPr>
        <w:t>总</w:t>
      </w:r>
      <w:r>
        <w:rPr>
          <w:rFonts w:hint="eastAsia" w:ascii="宋体" w:hAnsi="宋体" w:eastAsia="宋体" w:cs="宋体"/>
          <w:color w:val="auto"/>
          <w:sz w:val="24"/>
          <w:szCs w:val="22"/>
          <w:highlight w:val="none"/>
        </w:rPr>
        <w:t>投资</w:t>
      </w:r>
      <w:r>
        <w:rPr>
          <w:rFonts w:hint="eastAsia" w:ascii="宋体" w:hAnsi="宋体" w:eastAsia="宋体" w:cs="宋体"/>
          <w:color w:val="auto"/>
          <w:sz w:val="24"/>
          <w:szCs w:val="22"/>
          <w:highlight w:val="none"/>
          <w:lang w:val="en-US" w:eastAsia="zh-CN"/>
        </w:rPr>
        <w:t>约73.30</w:t>
      </w:r>
      <w:r>
        <w:rPr>
          <w:rFonts w:hint="eastAsia" w:ascii="宋体" w:hAnsi="宋体" w:eastAsia="宋体" w:cs="宋体"/>
          <w:color w:val="auto"/>
          <w:sz w:val="24"/>
          <w:szCs w:val="22"/>
          <w:highlight w:val="none"/>
        </w:rPr>
        <w:t>万元</w:t>
      </w:r>
      <w:r>
        <w:rPr>
          <w:rFonts w:hint="eastAsia" w:ascii="宋体" w:hAnsi="宋体" w:eastAsia="宋体" w:cs="宋体"/>
          <w:color w:val="auto"/>
          <w:sz w:val="24"/>
          <w:szCs w:val="22"/>
          <w:highlight w:val="none"/>
          <w:lang w:eastAsia="zh-CN"/>
        </w:rPr>
        <w:t>。</w:t>
      </w:r>
    </w:p>
    <w:p>
      <w:pPr>
        <w:widowControl/>
        <w:numPr>
          <w:ilvl w:val="0"/>
          <w:numId w:val="1"/>
        </w:numPr>
        <w:adjustRightInd w:val="0"/>
        <w:snapToGrid w:val="0"/>
        <w:spacing w:line="360" w:lineRule="auto"/>
        <w:ind w:firstLine="540" w:firstLineChars="224"/>
        <w:outlineLvl w:val="0"/>
        <w:rPr>
          <w:rFonts w:ascii="宋体" w:hAnsi="宋体" w:cs="宋体"/>
          <w:b/>
          <w:sz w:val="24"/>
          <w:highlight w:val="none"/>
        </w:rPr>
      </w:pPr>
      <w:r>
        <w:rPr>
          <w:rFonts w:hint="eastAsia" w:ascii="宋体" w:hAnsi="宋体" w:cs="宋体"/>
          <w:b/>
          <w:sz w:val="24"/>
          <w:highlight w:val="none"/>
        </w:rPr>
        <w:t>标段划分及各标段招标内容、规模和招标控制价：</w:t>
      </w:r>
    </w:p>
    <w:p>
      <w:pPr>
        <w:spacing w:line="360" w:lineRule="auto"/>
        <w:ind w:firstLine="480" w:firstLineChars="200"/>
        <w:rPr>
          <w:rFonts w:ascii="宋体"/>
          <w:sz w:val="24"/>
          <w:highlight w:val="none"/>
        </w:rPr>
      </w:pPr>
      <w:r>
        <w:rPr>
          <w:rFonts w:hint="eastAsia" w:ascii="宋体" w:hAnsi="宋体" w:cs="宋体"/>
          <w:sz w:val="24"/>
          <w:highlight w:val="none"/>
        </w:rPr>
        <w:t>1、</w:t>
      </w:r>
      <w:r>
        <w:rPr>
          <w:rFonts w:hint="eastAsia" w:ascii="宋体" w:hAnsi="宋体" w:cs="宋体"/>
          <w:kern w:val="0"/>
          <w:sz w:val="24"/>
          <w:highlight w:val="none"/>
        </w:rPr>
        <w:t>本工程划分为</w:t>
      </w:r>
      <w:r>
        <w:rPr>
          <w:rFonts w:hint="eastAsia" w:ascii="宋体" w:hAnsi="宋体" w:cs="宋体"/>
          <w:kern w:val="0"/>
          <w:sz w:val="24"/>
          <w:highlight w:val="none"/>
          <w:u w:val="single"/>
        </w:rPr>
        <w:t>1</w:t>
      </w:r>
      <w:r>
        <w:rPr>
          <w:rFonts w:hint="eastAsia" w:ascii="宋体" w:hAnsi="宋体" w:cs="宋体"/>
          <w:kern w:val="0"/>
          <w:sz w:val="24"/>
          <w:highlight w:val="none"/>
        </w:rPr>
        <w:t>个标段。</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2、招标内容</w:t>
      </w:r>
      <w:r>
        <w:rPr>
          <w:rFonts w:hint="eastAsia" w:ascii="宋体" w:hAnsi="宋体" w:cs="宋体"/>
          <w:sz w:val="24"/>
          <w:highlight w:val="none"/>
          <w:lang w:eastAsia="zh-CN"/>
        </w:rPr>
        <w:t>、</w:t>
      </w:r>
      <w:r>
        <w:rPr>
          <w:rFonts w:hint="eastAsia" w:ascii="宋体" w:hAnsi="宋体" w:cs="宋体"/>
          <w:sz w:val="24"/>
          <w:highlight w:val="none"/>
          <w:lang w:val="en-US" w:eastAsia="zh-CN"/>
        </w:rPr>
        <w:t>规模</w:t>
      </w:r>
      <w:r>
        <w:rPr>
          <w:rFonts w:hint="eastAsia" w:ascii="宋体" w:hAnsi="宋体" w:cs="宋体"/>
          <w:sz w:val="24"/>
          <w:highlight w:val="none"/>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完成本工程项目</w:t>
      </w:r>
      <w:r>
        <w:rPr>
          <w:rFonts w:hint="eastAsia" w:ascii="宋体" w:hAnsi="宋体" w:eastAsia="宋体" w:cs="宋体"/>
          <w:color w:val="auto"/>
          <w:sz w:val="24"/>
          <w:highlight w:val="none"/>
          <w:u w:val="none"/>
          <w:lang w:val="en-US" w:eastAsia="zh-CN"/>
        </w:rPr>
        <w:t>招标</w:t>
      </w:r>
      <w:r>
        <w:rPr>
          <w:rFonts w:hint="eastAsia" w:ascii="宋体" w:hAnsi="宋体" w:eastAsia="宋体" w:cs="宋体"/>
          <w:color w:val="auto"/>
          <w:sz w:val="24"/>
          <w:highlight w:val="none"/>
          <w:u w:val="none"/>
        </w:rPr>
        <w:t>范围内所有</w:t>
      </w:r>
      <w:r>
        <w:rPr>
          <w:rFonts w:hint="eastAsia" w:ascii="宋体" w:hAnsi="宋体" w:eastAsia="宋体" w:cs="宋体"/>
          <w:color w:val="auto"/>
          <w:sz w:val="24"/>
          <w:highlight w:val="none"/>
          <w:u w:val="none"/>
          <w:lang w:val="en-US" w:eastAsia="zh-CN"/>
        </w:rPr>
        <w:t>电力</w:t>
      </w:r>
      <w:r>
        <w:rPr>
          <w:rFonts w:hint="eastAsia" w:ascii="宋体" w:hAnsi="宋体" w:eastAsia="宋体" w:cs="宋体"/>
          <w:color w:val="auto"/>
          <w:sz w:val="24"/>
          <w:highlight w:val="none"/>
          <w:u w:val="none"/>
        </w:rPr>
        <w:t>工程</w:t>
      </w:r>
      <w:r>
        <w:rPr>
          <w:rFonts w:hint="eastAsia" w:ascii="宋体" w:hAnsi="宋体" w:eastAsia="宋体" w:cs="宋体"/>
          <w:color w:val="auto"/>
          <w:sz w:val="24"/>
          <w:highlight w:val="none"/>
          <w:u w:val="none"/>
          <w:lang w:val="en-US" w:eastAsia="zh-CN"/>
        </w:rPr>
        <w:t>及设备安装</w:t>
      </w:r>
      <w:r>
        <w:rPr>
          <w:rFonts w:hint="eastAsia" w:ascii="宋体" w:hAnsi="宋体" w:eastAsia="宋体" w:cs="宋体"/>
          <w:color w:val="auto"/>
          <w:sz w:val="24"/>
          <w:highlight w:val="none"/>
          <w:u w:val="none"/>
        </w:rPr>
        <w:t>工程</w:t>
      </w:r>
      <w:r>
        <w:rPr>
          <w:rFonts w:hint="eastAsia" w:ascii="宋体" w:hAnsi="宋体" w:eastAsia="宋体" w:cs="宋体"/>
          <w:color w:val="auto"/>
          <w:sz w:val="24"/>
          <w:highlight w:val="none"/>
          <w:u w:val="none"/>
          <w:lang w:val="en-US" w:eastAsia="zh-CN"/>
        </w:rPr>
        <w:t>等工程</w:t>
      </w:r>
      <w:r>
        <w:rPr>
          <w:rFonts w:hint="eastAsia" w:ascii="宋体" w:hAnsi="宋体" w:eastAsia="宋体" w:cs="宋体"/>
          <w:color w:val="auto"/>
          <w:sz w:val="24"/>
          <w:highlight w:val="none"/>
          <w:u w:val="none"/>
        </w:rPr>
        <w:t>，负责项目实施阶段全过程建设管理，直至项目竣工验收合格并移交，包括但不限于包工、包料、包设备、包质量、包安全生产、包文明施工、包工期、</w:t>
      </w:r>
      <w:r>
        <w:rPr>
          <w:rFonts w:hint="eastAsia" w:ascii="宋体" w:hAnsi="宋体" w:eastAsia="宋体" w:cs="宋体"/>
          <w:color w:val="auto"/>
          <w:sz w:val="24"/>
          <w:highlight w:val="none"/>
          <w:u w:val="none"/>
          <w:lang w:val="en-US" w:eastAsia="zh-CN"/>
        </w:rPr>
        <w:t>包整个项目高压工程报供电局验收且结果为合格、包验收送</w:t>
      </w:r>
      <w:r>
        <w:rPr>
          <w:rFonts w:hint="eastAsia" w:ascii="宋体" w:hAnsi="宋体" w:cs="宋体"/>
          <w:color w:val="auto"/>
          <w:sz w:val="24"/>
          <w:highlight w:val="none"/>
          <w:u w:val="none"/>
          <w:lang w:val="en-US" w:eastAsia="zh-CN"/>
        </w:rPr>
        <w:t>电</w:t>
      </w:r>
      <w:r>
        <w:rPr>
          <w:rFonts w:hint="eastAsia" w:ascii="宋体" w:hAnsi="宋体" w:eastAsia="宋体" w:cs="宋体"/>
          <w:color w:val="auto"/>
          <w:sz w:val="24"/>
          <w:highlight w:val="none"/>
          <w:u w:val="none"/>
          <w:lang w:val="en-US" w:eastAsia="zh-CN"/>
        </w:rPr>
        <w:t>、质保期内的维保服务、并按国家和相关部门颁发的有关质量验收标准一次验收合格、</w:t>
      </w:r>
      <w:r>
        <w:rPr>
          <w:rFonts w:hint="eastAsia" w:ascii="宋体" w:hAnsi="宋体" w:eastAsia="宋体" w:cs="宋体"/>
          <w:color w:val="auto"/>
          <w:sz w:val="24"/>
          <w:highlight w:val="none"/>
          <w:u w:val="none"/>
        </w:rPr>
        <w:t>包结算、包资料整理、包施工总承包管理和现场整体组织、包专业协调及配合等。</w:t>
      </w:r>
    </w:p>
    <w:p>
      <w:pPr>
        <w:numPr>
          <w:ilvl w:val="0"/>
          <w:numId w:val="2"/>
        </w:numPr>
        <w:spacing w:line="360" w:lineRule="auto"/>
        <w:ind w:firstLine="480" w:firstLineChars="200"/>
        <w:jc w:val="left"/>
        <w:rPr>
          <w:rFonts w:hint="eastAsia" w:ascii="宋体" w:hAnsi="宋体" w:cs="宋体"/>
          <w:sz w:val="24"/>
          <w:highlight w:val="none"/>
          <w:lang w:eastAsia="zh-CN"/>
        </w:rPr>
      </w:pPr>
      <w:r>
        <w:rPr>
          <w:rFonts w:hint="eastAsia" w:ascii="宋体" w:hAnsi="宋体" w:cs="宋体"/>
          <w:sz w:val="24"/>
          <w:highlight w:val="none"/>
        </w:rPr>
        <w:t>最高投标限价：</w:t>
      </w:r>
      <w:r>
        <w:rPr>
          <w:rFonts w:hint="eastAsia" w:ascii="宋体" w:hAnsi="宋体" w:eastAsia="宋体" w:cs="宋体"/>
          <w:kern w:val="2"/>
          <w:position w:val="0"/>
          <w:sz w:val="24"/>
          <w:szCs w:val="22"/>
          <w:highlight w:val="none"/>
          <w:lang w:val="en-US" w:eastAsia="zh-CN"/>
        </w:rPr>
        <w:t>672142</w:t>
      </w:r>
      <w:r>
        <w:rPr>
          <w:rFonts w:hint="eastAsia" w:ascii="宋体" w:hAnsi="宋体" w:eastAsia="宋体" w:cs="宋体"/>
          <w:kern w:val="2"/>
          <w:position w:val="0"/>
          <w:sz w:val="24"/>
          <w:szCs w:val="22"/>
          <w:highlight w:val="none"/>
        </w:rPr>
        <w:t>.</w:t>
      </w:r>
      <w:r>
        <w:rPr>
          <w:rFonts w:hint="eastAsia" w:ascii="宋体" w:hAnsi="宋体" w:eastAsia="宋体" w:cs="宋体"/>
          <w:kern w:val="2"/>
          <w:position w:val="0"/>
          <w:sz w:val="24"/>
          <w:szCs w:val="22"/>
          <w:highlight w:val="none"/>
          <w:lang w:val="en-US" w:eastAsia="zh-CN"/>
        </w:rPr>
        <w:t>97</w:t>
      </w:r>
      <w:r>
        <w:rPr>
          <w:rFonts w:hint="eastAsia" w:ascii="宋体" w:hAnsi="宋体" w:cs="宋体"/>
          <w:sz w:val="24"/>
          <w:highlight w:val="none"/>
          <w:u w:val="none"/>
          <w:lang w:val="en-US" w:eastAsia="zh-CN"/>
        </w:rPr>
        <w:t>元</w:t>
      </w:r>
      <w:r>
        <w:rPr>
          <w:rFonts w:hint="eastAsia" w:ascii="宋体" w:hAnsi="宋体" w:cs="宋体"/>
          <w:sz w:val="24"/>
          <w:highlight w:val="none"/>
        </w:rPr>
        <w:t>（含安全文明施工措施费）</w:t>
      </w:r>
      <w:r>
        <w:rPr>
          <w:rFonts w:hint="eastAsia" w:ascii="宋体" w:hAnsi="宋体" w:cs="宋体"/>
          <w:sz w:val="24"/>
          <w:highlight w:val="none"/>
          <w:lang w:eastAsia="zh-CN"/>
        </w:rPr>
        <w:t>，请各投标单位按本项目招标价结合项目状况、自身实力和市场因素进行报价。报价不得超过该项投标的最高限价，否则按</w:t>
      </w:r>
      <w:r>
        <w:rPr>
          <w:rFonts w:hint="eastAsia" w:ascii="宋体" w:hAnsi="宋体" w:cs="宋体"/>
          <w:sz w:val="24"/>
          <w:highlight w:val="none"/>
          <w:lang w:val="en-US" w:eastAsia="zh-CN"/>
        </w:rPr>
        <w:t>无效</w:t>
      </w:r>
      <w:r>
        <w:rPr>
          <w:rFonts w:hint="eastAsia" w:ascii="宋体" w:hAnsi="宋体" w:cs="宋体"/>
          <w:sz w:val="24"/>
          <w:highlight w:val="none"/>
          <w:lang w:eastAsia="zh-CN"/>
        </w:rPr>
        <w:t>标处理。</w:t>
      </w:r>
    </w:p>
    <w:p>
      <w:pPr>
        <w:pStyle w:val="15"/>
        <w:spacing w:line="360" w:lineRule="auto"/>
        <w:ind w:firstLine="480" w:firstLineChars="200"/>
        <w:jc w:val="left"/>
        <w:rPr>
          <w:rFonts w:hint="eastAsia" w:ascii="宋体" w:hAnsi="宋体" w:cs="宋体"/>
          <w:sz w:val="24"/>
          <w:highlight w:val="none"/>
          <w:lang w:eastAsia="zh-CN"/>
        </w:rPr>
      </w:pPr>
      <w:r>
        <w:rPr>
          <w:rFonts w:hint="eastAsia" w:ascii="宋体" w:hAnsi="宋体" w:eastAsia="宋体" w:cs="宋体"/>
          <w:color w:val="auto"/>
          <w:sz w:val="24"/>
          <w:szCs w:val="22"/>
          <w:highlight w:val="none"/>
          <w:lang w:val="en-US" w:eastAsia="zh-CN"/>
        </w:rPr>
        <w:t>4、</w:t>
      </w:r>
      <w:r>
        <w:rPr>
          <w:rFonts w:hint="default" w:ascii="宋体" w:hAnsi="宋体" w:eastAsia="宋体" w:cs="宋体"/>
          <w:color w:val="auto"/>
          <w:sz w:val="24"/>
          <w:szCs w:val="22"/>
          <w:highlight w:val="none"/>
          <w:lang w:val="en-US" w:eastAsia="zh-CN"/>
        </w:rPr>
        <w:t>承包方式：</w:t>
      </w:r>
      <w:r>
        <w:rPr>
          <w:rFonts w:hint="default" w:ascii="宋体" w:hAnsi="宋体" w:eastAsia="宋体" w:cs="宋体"/>
          <w:bCs w:val="0"/>
          <w:color w:val="auto"/>
          <w:sz w:val="24"/>
          <w:szCs w:val="22"/>
          <w:highlight w:val="none"/>
          <w:u w:val="none"/>
          <w:lang w:eastAsia="zh-CN"/>
        </w:rPr>
        <w:t>固定综合单价包干，工程量按实结算，绿色施工安全防护措施费固定总价包干</w:t>
      </w:r>
      <w:r>
        <w:rPr>
          <w:rFonts w:hint="eastAsia" w:ascii="宋体" w:hAnsi="宋体" w:cs="宋体"/>
          <w:bCs w:val="0"/>
          <w:color w:val="auto"/>
          <w:sz w:val="24"/>
          <w:szCs w:val="22"/>
          <w:highlight w:val="none"/>
          <w:u w:val="none"/>
          <w:lang w:eastAsia="zh-CN"/>
        </w:rPr>
        <w:t>。</w:t>
      </w:r>
      <w:r>
        <w:rPr>
          <w:rFonts w:hint="eastAsia" w:ascii="宋体" w:hAnsi="宋体" w:eastAsia="宋体" w:cs="宋体"/>
          <w:color w:val="auto"/>
          <w:kern w:val="2"/>
          <w:sz w:val="24"/>
          <w:szCs w:val="22"/>
          <w:highlight w:val="none"/>
          <w:u w:val="none"/>
          <w:lang w:val="en-US" w:eastAsia="zh-CN" w:bidi="ar"/>
        </w:rPr>
        <w:t>合同结算价最终</w:t>
      </w:r>
      <w:r>
        <w:rPr>
          <w:rFonts w:hint="eastAsia" w:ascii="宋体" w:hAnsi="宋体" w:eastAsia="宋体" w:cs="宋体"/>
          <w:color w:val="auto"/>
          <w:sz w:val="24"/>
          <w:szCs w:val="22"/>
          <w:highlight w:val="none"/>
          <w:u w:val="none"/>
        </w:rPr>
        <w:t>以</w:t>
      </w:r>
      <w:r>
        <w:rPr>
          <w:rFonts w:hint="eastAsia" w:ascii="宋体" w:hAnsi="宋体" w:eastAsia="宋体" w:cs="宋体"/>
          <w:color w:val="auto"/>
          <w:sz w:val="24"/>
          <w:szCs w:val="22"/>
          <w:highlight w:val="none"/>
          <w:u w:val="none"/>
          <w:lang w:val="en-US" w:eastAsia="zh-CN"/>
        </w:rPr>
        <w:t>招标人</w:t>
      </w:r>
      <w:r>
        <w:rPr>
          <w:rFonts w:hint="eastAsia" w:ascii="宋体" w:hAnsi="宋体" w:eastAsia="宋体" w:cs="宋体"/>
          <w:color w:val="auto"/>
          <w:sz w:val="24"/>
          <w:szCs w:val="22"/>
          <w:highlight w:val="none"/>
          <w:u w:val="none"/>
        </w:rPr>
        <w:t>评审审定金额为准。</w:t>
      </w:r>
    </w:p>
    <w:p>
      <w:pPr>
        <w:spacing w:line="360" w:lineRule="auto"/>
        <w:ind w:firstLine="540" w:firstLineChars="224"/>
        <w:outlineLvl w:val="0"/>
        <w:rPr>
          <w:rFonts w:ascii="宋体" w:hAnsi="宋体"/>
          <w:sz w:val="24"/>
          <w:szCs w:val="24"/>
          <w:highlight w:val="none"/>
          <w:u w:val="single"/>
        </w:rPr>
      </w:pPr>
      <w:r>
        <w:rPr>
          <w:rFonts w:hint="eastAsia" w:ascii="宋体" w:hAnsi="宋体"/>
          <w:b/>
          <w:sz w:val="24"/>
          <w:szCs w:val="24"/>
          <w:highlight w:val="none"/>
          <w:lang w:val="en-US" w:eastAsia="zh-CN"/>
        </w:rPr>
        <w:t>六</w:t>
      </w:r>
      <w:r>
        <w:rPr>
          <w:rFonts w:hint="eastAsia" w:ascii="宋体" w:hAnsi="宋体"/>
          <w:b/>
          <w:sz w:val="24"/>
          <w:szCs w:val="24"/>
          <w:highlight w:val="none"/>
        </w:rPr>
        <w:t>、资金来源：</w:t>
      </w:r>
      <w:r>
        <w:rPr>
          <w:rFonts w:hint="eastAsia" w:ascii="宋体" w:hAnsi="宋体"/>
          <w:bCs/>
          <w:sz w:val="24"/>
          <w:szCs w:val="24"/>
          <w:highlight w:val="none"/>
          <w:u w:val="single"/>
        </w:rPr>
        <w:t>企业</w:t>
      </w:r>
      <w:r>
        <w:rPr>
          <w:rFonts w:hint="eastAsia" w:ascii="宋体" w:hAnsi="宋体"/>
          <w:sz w:val="24"/>
          <w:highlight w:val="none"/>
          <w:u w:val="single"/>
        </w:rPr>
        <w:t>自筹。</w:t>
      </w:r>
    </w:p>
    <w:p>
      <w:pPr>
        <w:spacing w:line="360" w:lineRule="auto"/>
        <w:ind w:firstLine="540" w:firstLineChars="224"/>
        <w:outlineLvl w:val="0"/>
        <w:rPr>
          <w:rFonts w:ascii="宋体" w:hAnsi="宋体"/>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r>
        <w:rPr>
          <w:rFonts w:hint="eastAsia" w:ascii="宋体" w:hAnsi="宋体"/>
          <w:b/>
          <w:color w:val="auto"/>
          <w:sz w:val="24"/>
          <w:highlight w:val="none"/>
        </w:rPr>
        <w:t>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numPr>
          <w:ilvl w:val="-1"/>
          <w:numId w:val="0"/>
        </w:num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递交投标文件时间和交标地点：</w:t>
      </w:r>
    </w:p>
    <w:p>
      <w:pPr>
        <w:numPr>
          <w:ilvl w:val="255"/>
          <w:numId w:val="0"/>
        </w:numPr>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时间：</w:t>
      </w:r>
      <w:r>
        <w:rPr>
          <w:rFonts w:hint="eastAsia" w:ascii="宋体" w:hAnsi="宋体" w:eastAsia="宋体" w:cs="Times New Roman"/>
          <w:color w:val="auto"/>
          <w:sz w:val="24"/>
          <w:szCs w:val="24"/>
          <w:highlight w:val="none"/>
          <w:u w:val="single"/>
        </w:rPr>
        <w:t>2023年</w:t>
      </w:r>
      <w:r>
        <w:rPr>
          <w:rFonts w:hint="eastAsia" w:ascii="宋体" w:hAnsi="宋体" w:eastAsia="宋体" w:cs="Times New Roman"/>
          <w:color w:val="auto"/>
          <w:sz w:val="24"/>
          <w:szCs w:val="24"/>
          <w:highlight w:val="none"/>
          <w:u w:val="single"/>
          <w:lang w:val="en-US" w:eastAsia="zh-CN"/>
        </w:rPr>
        <w:t>8</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16</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9</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 xml:space="preserve"> 30</w:t>
      </w:r>
      <w:r>
        <w:rPr>
          <w:rFonts w:hint="eastAsia" w:ascii="宋体" w:hAnsi="宋体" w:eastAsia="宋体" w:cs="Times New Roman"/>
          <w:color w:val="auto"/>
          <w:sz w:val="24"/>
          <w:szCs w:val="24"/>
          <w:highlight w:val="none"/>
          <w:u w:val="single"/>
        </w:rPr>
        <w:t>分至2023年</w:t>
      </w:r>
      <w:r>
        <w:rPr>
          <w:rFonts w:hint="eastAsia" w:ascii="宋体" w:hAnsi="宋体" w:eastAsia="宋体" w:cs="Times New Roman"/>
          <w:color w:val="auto"/>
          <w:sz w:val="24"/>
          <w:szCs w:val="24"/>
          <w:highlight w:val="none"/>
          <w:u w:val="single"/>
          <w:lang w:val="en-US" w:eastAsia="zh-CN"/>
        </w:rPr>
        <w:t>8</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16</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10</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00</w:t>
      </w:r>
      <w:r>
        <w:rPr>
          <w:rFonts w:hint="eastAsia" w:ascii="宋体" w:hAnsi="宋体" w:eastAsia="宋体" w:cs="Times New Roman"/>
          <w:color w:val="auto"/>
          <w:sz w:val="24"/>
          <w:szCs w:val="24"/>
          <w:highlight w:val="none"/>
          <w:u w:val="single"/>
        </w:rPr>
        <w:t>分</w:t>
      </w:r>
      <w:r>
        <w:rPr>
          <w:rFonts w:hint="eastAsia" w:ascii="宋体" w:hAnsi="宋体" w:eastAsia="宋体" w:cs="Times New Roman"/>
          <w:color w:val="auto"/>
          <w:sz w:val="24"/>
          <w:szCs w:val="24"/>
          <w:highlight w:val="none"/>
          <w:u w:val="single"/>
          <w:lang w:eastAsia="zh-CN"/>
        </w:rPr>
        <w:t>。</w:t>
      </w:r>
    </w:p>
    <w:p>
      <w:pPr>
        <w:spacing w:line="360" w:lineRule="auto"/>
        <w:ind w:firstLine="480" w:firstLineChars="200"/>
        <w:rPr>
          <w:rFonts w:hint="eastAsia" w:ascii="宋体" w:hAnsi="宋体" w:eastAsia="宋体" w:cs="Times New Roman"/>
          <w:color w:val="auto"/>
          <w:sz w:val="24"/>
          <w:szCs w:val="24"/>
          <w:highlight w:val="none"/>
          <w:u w:val="single"/>
          <w:lang w:eastAsia="zh-CN"/>
        </w:rPr>
      </w:pPr>
      <w:r>
        <w:rPr>
          <w:rFonts w:hint="eastAsia" w:ascii="宋体" w:hAnsi="宋体" w:eastAsia="宋体" w:cs="Times New Roman"/>
          <w:color w:val="auto"/>
          <w:sz w:val="24"/>
          <w:szCs w:val="24"/>
          <w:highlight w:val="none"/>
        </w:rPr>
        <w:t>交标地点：</w:t>
      </w:r>
      <w:r>
        <w:rPr>
          <w:rFonts w:hint="eastAsia" w:ascii="宋体" w:hAnsi="宋体" w:eastAsia="宋体" w:cs="Times New Roman"/>
          <w:color w:val="auto"/>
          <w:kern w:val="2"/>
          <w:sz w:val="24"/>
          <w:szCs w:val="24"/>
          <w:highlight w:val="none"/>
          <w:u w:val="single"/>
          <w:shd w:val="clear"/>
          <w:lang w:bidi="ar-SA"/>
        </w:rPr>
        <w:t>广州市南沙区南沙街天后路88号南沙天后宫景区办公室2楼</w:t>
      </w:r>
      <w:r>
        <w:rPr>
          <w:rFonts w:hint="eastAsia" w:ascii="宋体" w:hAnsi="宋体" w:eastAsia="宋体" w:cs="Times New Roman"/>
          <w:color w:val="auto"/>
          <w:kern w:val="2"/>
          <w:sz w:val="24"/>
          <w:szCs w:val="24"/>
          <w:highlight w:val="none"/>
          <w:u w:val="single"/>
          <w:shd w:val="clear"/>
          <w:lang w:val="en-US" w:eastAsia="zh-CN" w:bidi="ar-SA"/>
        </w:rPr>
        <w:t>206评标室</w:t>
      </w:r>
      <w:r>
        <w:rPr>
          <w:rFonts w:hint="eastAsia" w:ascii="宋体" w:hAnsi="宋体" w:eastAsia="宋体" w:cs="Times New Roman"/>
          <w:color w:val="auto"/>
          <w:sz w:val="24"/>
          <w:szCs w:val="24"/>
          <w:highlight w:val="none"/>
          <w:u w:val="single"/>
          <w:lang w:eastAsia="zh-CN"/>
        </w:rPr>
        <w:t>。</w:t>
      </w:r>
    </w:p>
    <w:p>
      <w:pPr>
        <w:numPr>
          <w:ilvl w:val="-1"/>
          <w:numId w:val="0"/>
        </w:num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开标时间：</w:t>
      </w:r>
      <w:r>
        <w:rPr>
          <w:rFonts w:hint="eastAsia" w:ascii="宋体" w:hAnsi="宋体" w:eastAsia="宋体" w:cs="Times New Roman"/>
          <w:color w:val="auto"/>
          <w:sz w:val="24"/>
          <w:szCs w:val="24"/>
          <w:highlight w:val="none"/>
          <w:u w:val="single"/>
        </w:rPr>
        <w:t>2023年</w:t>
      </w:r>
      <w:r>
        <w:rPr>
          <w:rFonts w:hint="eastAsia" w:ascii="宋体" w:hAnsi="宋体" w:eastAsia="宋体" w:cs="Times New Roman"/>
          <w:color w:val="auto"/>
          <w:sz w:val="24"/>
          <w:szCs w:val="24"/>
          <w:highlight w:val="none"/>
          <w:u w:val="single"/>
          <w:lang w:val="en-US" w:eastAsia="zh-CN"/>
        </w:rPr>
        <w:t>8</w:t>
      </w:r>
      <w:r>
        <w:rPr>
          <w:rFonts w:hint="eastAsia" w:ascii="宋体" w:hAnsi="宋体" w:eastAsia="宋体" w:cs="Times New Roman"/>
          <w:color w:val="auto"/>
          <w:sz w:val="24"/>
          <w:szCs w:val="24"/>
          <w:highlight w:val="none"/>
          <w:u w:val="single"/>
        </w:rPr>
        <w:t>月</w:t>
      </w:r>
      <w:r>
        <w:rPr>
          <w:rFonts w:hint="eastAsia" w:ascii="宋体" w:hAnsi="宋体" w:cs="Times New Roman"/>
          <w:color w:val="auto"/>
          <w:sz w:val="24"/>
          <w:szCs w:val="24"/>
          <w:highlight w:val="none"/>
          <w:u w:val="single"/>
          <w:lang w:val="en-US" w:eastAsia="zh-CN"/>
        </w:rPr>
        <w:t>16</w:t>
      </w:r>
      <w:r>
        <w:rPr>
          <w:rFonts w:hint="eastAsia" w:ascii="宋体" w:hAnsi="宋体" w:eastAsia="宋体" w:cs="Times New Roman"/>
          <w:color w:val="auto"/>
          <w:sz w:val="24"/>
          <w:szCs w:val="24"/>
          <w:highlight w:val="none"/>
          <w:u w:val="single"/>
        </w:rPr>
        <w:t>日</w:t>
      </w:r>
      <w:r>
        <w:rPr>
          <w:rFonts w:hint="eastAsia" w:ascii="宋体" w:hAnsi="宋体" w:cs="Times New Roman"/>
          <w:color w:val="auto"/>
          <w:sz w:val="24"/>
          <w:szCs w:val="24"/>
          <w:highlight w:val="none"/>
          <w:u w:val="single"/>
          <w:lang w:val="en-US" w:eastAsia="zh-CN"/>
        </w:rPr>
        <w:t>10</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00</w:t>
      </w:r>
      <w:r>
        <w:rPr>
          <w:rFonts w:hint="eastAsia" w:ascii="宋体" w:hAnsi="宋体" w:eastAsia="宋体" w:cs="Times New Roman"/>
          <w:color w:val="auto"/>
          <w:sz w:val="24"/>
          <w:szCs w:val="24"/>
          <w:highlight w:val="none"/>
          <w:u w:val="single"/>
        </w:rPr>
        <w:t>分</w:t>
      </w:r>
      <w:r>
        <w:rPr>
          <w:rFonts w:hint="eastAsia" w:ascii="宋体" w:hAnsi="宋体" w:eastAsia="宋体" w:cs="Times New Roman"/>
          <w:color w:val="auto"/>
          <w:sz w:val="24"/>
          <w:szCs w:val="24"/>
          <w:highlight w:val="none"/>
        </w:rPr>
        <w:t>。</w:t>
      </w:r>
    </w:p>
    <w:p>
      <w:pPr>
        <w:numPr>
          <w:ilvl w:val="255"/>
          <w:numId w:val="0"/>
        </w:numPr>
        <w:spacing w:line="360" w:lineRule="auto"/>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highlight w:val="none"/>
        </w:rPr>
        <w:t>地点：</w:t>
      </w:r>
      <w:r>
        <w:rPr>
          <w:rFonts w:hint="eastAsia" w:ascii="宋体" w:hAnsi="宋体" w:eastAsia="宋体" w:cs="Times New Roman"/>
          <w:color w:val="auto"/>
          <w:kern w:val="2"/>
          <w:sz w:val="24"/>
          <w:szCs w:val="24"/>
          <w:highlight w:val="none"/>
          <w:u w:val="single"/>
          <w:shd w:val="clear"/>
          <w:lang w:bidi="ar-SA"/>
        </w:rPr>
        <w:t>广州市南沙区南沙街天后路88号南沙天后宫景区办公室2楼</w:t>
      </w:r>
      <w:r>
        <w:rPr>
          <w:rFonts w:hint="eastAsia" w:ascii="宋体" w:hAnsi="宋体" w:eastAsia="宋体" w:cs="Times New Roman"/>
          <w:color w:val="auto"/>
          <w:kern w:val="2"/>
          <w:sz w:val="24"/>
          <w:szCs w:val="24"/>
          <w:highlight w:val="none"/>
          <w:u w:val="single"/>
          <w:shd w:val="clear"/>
          <w:lang w:val="en-US" w:eastAsia="zh-CN" w:bidi="ar-SA"/>
        </w:rPr>
        <w:t>206评标室</w:t>
      </w:r>
      <w:r>
        <w:rPr>
          <w:rFonts w:hint="eastAsia" w:ascii="宋体" w:hAnsi="宋体" w:eastAsia="宋体" w:cs="Times New Roman"/>
          <w:color w:val="auto"/>
          <w:sz w:val="24"/>
          <w:szCs w:val="24"/>
          <w:highlight w:val="none"/>
          <w:u w:val="single"/>
          <w:lang w:eastAsia="zh-CN"/>
        </w:rPr>
        <w:t>。</w:t>
      </w:r>
    </w:p>
    <w:p>
      <w:pPr>
        <w:pStyle w:val="1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lang w:val="en-US" w:eastAsia="zh-CN"/>
        </w:rPr>
        <w:t>八、</w:t>
      </w:r>
      <w:r>
        <w:rPr>
          <w:rFonts w:hint="eastAsia" w:ascii="宋体" w:hAnsi="宋体"/>
          <w:b/>
          <w:sz w:val="24"/>
          <w:szCs w:val="24"/>
          <w:highlight w:val="none"/>
        </w:rPr>
        <w:t>获取招标文件</w:t>
      </w:r>
      <w:r>
        <w:rPr>
          <w:rFonts w:hint="eastAsia" w:ascii="宋体" w:hAnsi="宋体"/>
          <w:b/>
          <w:sz w:val="24"/>
          <w:szCs w:val="24"/>
          <w:highlight w:val="none"/>
          <w:lang w:val="en-US" w:eastAsia="zh-CN"/>
        </w:rPr>
        <w:t>方式</w:t>
      </w:r>
      <w:r>
        <w:rPr>
          <w:rFonts w:hint="eastAsia" w:ascii="宋体" w:hAnsi="宋体"/>
          <w:b/>
          <w:sz w:val="24"/>
          <w:szCs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1、招标文件获取：在广州南沙资产经营集团有限公司网站（</w:t>
      </w:r>
      <w:r>
        <w:rPr>
          <w:rFonts w:ascii="宋体" w:hAnsi="宋体" w:eastAsia="宋体" w:cs="宋体"/>
          <w:color w:val="auto"/>
          <w:sz w:val="24"/>
          <w:highlight w:val="none"/>
        </w:rPr>
        <w:t>http://www.gnao.com.cn</w:t>
      </w:r>
      <w:r>
        <w:rPr>
          <w:rFonts w:hint="eastAsia" w:ascii="宋体" w:hAnsi="宋体" w:eastAsia="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、投标保证金须在规定的时间内完成缴纳</w:t>
      </w:r>
      <w:r>
        <w:rPr>
          <w:rFonts w:hint="eastAsia" w:ascii="宋体" w:hAnsi="宋体" w:eastAsia="宋体" w:cs="宋体"/>
          <w:color w:val="auto"/>
          <w:sz w:val="24"/>
          <w:szCs w:val="24"/>
          <w:highlight w:val="none"/>
          <w:lang w:eastAsia="zh-CN"/>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（1）金额：人民币壹万元。</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（2）缴纳方式：银行转账。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cs="宋体"/>
          <w:color w:val="auto"/>
          <w:sz w:val="24"/>
          <w:szCs w:val="24"/>
          <w:highlight w:val="none"/>
        </w:rPr>
        <w:t>广州南沙</w:t>
      </w:r>
      <w:r>
        <w:rPr>
          <w:rFonts w:hint="eastAsia" w:ascii="宋体" w:hAnsi="宋体" w:eastAsia="宋体" w:cs="宋体"/>
          <w:color w:val="auto"/>
          <w:sz w:val="24"/>
          <w:szCs w:val="24"/>
          <w:highlight w:val="none"/>
          <w:lang w:val="en-US" w:eastAsia="zh-CN"/>
        </w:rPr>
        <w:t>湿地旅游发展</w:t>
      </w:r>
      <w:r>
        <w:rPr>
          <w:rFonts w:hint="eastAsia" w:ascii="宋体" w:hAnsi="宋体" w:cs="宋体"/>
          <w:color w:val="auto"/>
          <w:sz w:val="24"/>
          <w:szCs w:val="24"/>
          <w:highlight w:val="none"/>
        </w:rPr>
        <w:t>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rPr>
        <w:t>广州农村商业银行十四冲支行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05621949000000074</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（3）缴纳时间：投标单位须在2023年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日（星期</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分前以投标人转出【以招标单位查询的信息为准，汇款时备注：</w:t>
      </w:r>
      <w:r>
        <w:rPr>
          <w:rFonts w:hint="eastAsia" w:ascii="宋体" w:hAnsi="宋体" w:eastAsia="宋体" w:cs="宋体"/>
          <w:b w:val="0"/>
          <w:bCs w:val="0"/>
          <w:spacing w:val="0"/>
          <w:kern w:val="0"/>
          <w:sz w:val="24"/>
          <w:szCs w:val="24"/>
          <w:highlight w:val="none"/>
          <w:u w:val="single"/>
        </w:rPr>
        <w:t>湿地景区二期停车场变压器增容项目</w:t>
      </w:r>
      <w:r>
        <w:rPr>
          <w:rFonts w:hint="eastAsia" w:ascii="宋体" w:hAnsi="宋体" w:eastAsia="宋体" w:cs="宋体"/>
          <w:color w:val="auto"/>
          <w:sz w:val="24"/>
          <w:szCs w:val="24"/>
          <w:highlight w:val="none"/>
          <w:u w:val="single"/>
        </w:rPr>
        <w:t>投标保证金</w:t>
      </w:r>
      <w:r>
        <w:rPr>
          <w:rFonts w:hint="eastAsia" w:ascii="宋体" w:hAnsi="宋体" w:eastAsia="宋体" w:cs="宋体"/>
          <w:color w:val="auto"/>
          <w:sz w:val="24"/>
          <w:szCs w:val="24"/>
          <w:highlight w:val="none"/>
        </w:rPr>
        <w:t>】</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4、未按规定缴纳投标保证金的正式投标人将被视为自动放弃本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的投标资格。</w:t>
      </w:r>
    </w:p>
    <w:p>
      <w:pPr>
        <w:spacing w:line="360" w:lineRule="auto"/>
        <w:ind w:firstLine="540" w:firstLineChars="224"/>
        <w:outlineLvl w:val="0"/>
        <w:rPr>
          <w:rFonts w:ascii="宋体" w:hAnsi="宋体"/>
          <w:b/>
          <w:sz w:val="24"/>
          <w:szCs w:val="24"/>
          <w:highlight w:val="none"/>
        </w:rPr>
      </w:pPr>
      <w:r>
        <w:rPr>
          <w:rFonts w:hint="eastAsia" w:ascii="宋体" w:hAnsi="宋体"/>
          <w:b/>
          <w:sz w:val="24"/>
          <w:szCs w:val="24"/>
          <w:highlight w:val="none"/>
          <w:lang w:val="en-US" w:eastAsia="zh-CN"/>
        </w:rPr>
        <w:t>九、</w:t>
      </w:r>
      <w:r>
        <w:rPr>
          <w:rFonts w:hint="eastAsia" w:ascii="宋体" w:hAnsi="宋体"/>
          <w:b/>
          <w:sz w:val="24"/>
          <w:szCs w:val="24"/>
          <w:highlight w:val="none"/>
        </w:rPr>
        <w:t>投标人合格条件：</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1、投标人参加投标的意思表达清楚，投标人代表被授权有效。</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2、投标人均具有独立法人资格，按国家法律经营。</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3、投标人均持有建设行政主管部门颁发的在有效期内的企业资质证书。</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4、投标人持有有效的建设行政主管部门颁发的安全生产许可证。</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5、投标人同时具有承接本工程所需的施工类资质。</w:t>
      </w:r>
    </w:p>
    <w:p>
      <w:pPr>
        <w:pStyle w:val="40"/>
        <w:spacing w:line="360" w:lineRule="auto"/>
        <w:ind w:firstLine="539"/>
        <w:rPr>
          <w:rFonts w:ascii="宋体" w:hAnsi="宋体" w:eastAsia="宋体"/>
          <w:color w:val="auto"/>
          <w:kern w:val="2"/>
          <w:sz w:val="24"/>
          <w:szCs w:val="24"/>
          <w:highlight w:val="none"/>
        </w:rPr>
      </w:pPr>
      <w:r>
        <w:rPr>
          <w:rFonts w:hint="eastAsia" w:ascii="宋体" w:hAnsi="宋体" w:eastAsia="宋体"/>
          <w:color w:val="auto"/>
          <w:sz w:val="24"/>
          <w:szCs w:val="24"/>
          <w:highlight w:val="none"/>
        </w:rPr>
        <w:t>6、投标人应具备以下资质</w:t>
      </w:r>
      <w:r>
        <w:rPr>
          <w:rFonts w:hint="eastAsia" w:ascii="宋体" w:hAnsi="宋体" w:eastAsia="宋体"/>
          <w:color w:val="auto"/>
          <w:kern w:val="2"/>
          <w:sz w:val="24"/>
          <w:szCs w:val="24"/>
          <w:highlight w:val="none"/>
        </w:rPr>
        <w:t>：</w:t>
      </w:r>
    </w:p>
    <w:p>
      <w:pPr>
        <w:pStyle w:val="40"/>
        <w:spacing w:line="360" w:lineRule="auto"/>
        <w:ind w:firstLine="480" w:firstLineChars="200"/>
        <w:rPr>
          <w:rFonts w:ascii="宋体" w:hAnsi="宋体" w:eastAsia="宋体"/>
          <w:color w:val="auto"/>
          <w:sz w:val="24"/>
          <w:szCs w:val="24"/>
          <w:highlight w:val="none"/>
          <w:u w:val="single"/>
        </w:rPr>
      </w:pPr>
      <w:r>
        <w:rPr>
          <w:rFonts w:hint="eastAsia" w:ascii="宋体" w:hAnsi="宋体"/>
          <w:sz w:val="24"/>
          <w:szCs w:val="24"/>
          <w:highlight w:val="none"/>
        </w:rPr>
        <w:t>6.1</w:t>
      </w:r>
      <w:r>
        <w:rPr>
          <w:rFonts w:hint="eastAsia" w:ascii="宋体" w:hAnsi="宋体" w:eastAsia="宋体"/>
          <w:color w:val="auto"/>
          <w:sz w:val="24"/>
          <w:szCs w:val="24"/>
          <w:highlight w:val="none"/>
        </w:rPr>
        <w:t>施工资质：</w:t>
      </w:r>
      <w:r>
        <w:rPr>
          <w:rFonts w:hint="eastAsia" w:ascii="宋体" w:hAnsi="宋体" w:eastAsia="宋体" w:cs="Times New Roman"/>
          <w:color w:val="auto"/>
          <w:sz w:val="24"/>
          <w:szCs w:val="24"/>
          <w:highlight w:val="none"/>
          <w:u w:val="single"/>
          <w:lang w:val="en-US" w:eastAsia="zh-CN"/>
        </w:rPr>
        <w:t>电力</w:t>
      </w:r>
      <w:r>
        <w:rPr>
          <w:rFonts w:hint="eastAsia" w:ascii="宋体" w:hAnsi="宋体" w:eastAsia="宋体" w:cs="Times New Roman"/>
          <w:color w:val="auto"/>
          <w:sz w:val="24"/>
          <w:szCs w:val="24"/>
          <w:highlight w:val="none"/>
          <w:u w:val="single"/>
        </w:rPr>
        <w:t>工</w:t>
      </w:r>
      <w:r>
        <w:rPr>
          <w:rFonts w:hint="eastAsia" w:ascii="宋体" w:hAnsi="宋体" w:eastAsia="宋体"/>
          <w:color w:val="auto"/>
          <w:sz w:val="24"/>
          <w:szCs w:val="24"/>
          <w:highlight w:val="none"/>
          <w:u w:val="single"/>
        </w:rPr>
        <w:t>程</w:t>
      </w:r>
      <w:r>
        <w:rPr>
          <w:rFonts w:hint="eastAsia" w:ascii="宋体" w:hAnsi="宋体" w:eastAsia="宋体"/>
          <w:color w:val="auto"/>
          <w:sz w:val="24"/>
          <w:szCs w:val="24"/>
          <w:highlight w:val="none"/>
          <w:u w:val="single"/>
          <w:lang w:val="en-US" w:eastAsia="zh-CN"/>
        </w:rPr>
        <w:t>施工总</w:t>
      </w:r>
      <w:r>
        <w:rPr>
          <w:rFonts w:hint="eastAsia" w:ascii="宋体" w:hAnsi="宋体" w:eastAsia="宋体"/>
          <w:color w:val="auto"/>
          <w:sz w:val="24"/>
          <w:szCs w:val="24"/>
          <w:highlight w:val="none"/>
          <w:u w:val="single"/>
        </w:rPr>
        <w:t>承包</w:t>
      </w:r>
      <w:r>
        <w:rPr>
          <w:rFonts w:hint="eastAsia" w:ascii="宋体" w:hAnsi="宋体" w:eastAsia="宋体"/>
          <w:color w:val="auto"/>
          <w:sz w:val="24"/>
          <w:szCs w:val="24"/>
          <w:highlight w:val="none"/>
          <w:u w:val="single"/>
          <w:lang w:val="en-US" w:eastAsia="zh-CN"/>
        </w:rPr>
        <w:t>三</w:t>
      </w:r>
      <w:r>
        <w:rPr>
          <w:rFonts w:hint="eastAsia" w:ascii="宋体" w:hAnsi="宋体" w:eastAsia="宋体"/>
          <w:color w:val="auto"/>
          <w:sz w:val="24"/>
          <w:szCs w:val="24"/>
          <w:highlight w:val="none"/>
          <w:u w:val="single"/>
        </w:rPr>
        <w:t>级或以上资质（以资质证书许可范围为准，须在有效期内）</w:t>
      </w:r>
      <w:r>
        <w:rPr>
          <w:rFonts w:hint="eastAsia" w:ascii="宋体" w:hAnsi="宋体" w:eastAsia="宋体"/>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《承装（修、试）电力设施许可证》承装类五级或以上资质并具有</w:t>
      </w:r>
      <w:r>
        <w:rPr>
          <w:rFonts w:hint="eastAsia" w:ascii="宋体" w:hAnsi="宋体" w:eastAsia="宋体"/>
          <w:color w:val="auto"/>
          <w:sz w:val="24"/>
          <w:szCs w:val="24"/>
          <w:highlight w:val="none"/>
          <w:u w:val="single"/>
        </w:rPr>
        <w:t>建设行政主管部门颁发的安全生产许可证</w:t>
      </w:r>
      <w:r>
        <w:rPr>
          <w:rFonts w:ascii="宋体" w:hAnsi="宋体" w:eastAsia="宋体"/>
          <w:color w:val="auto"/>
          <w:sz w:val="24"/>
          <w:szCs w:val="24"/>
          <w:highlight w:val="none"/>
          <w:u w:val="single"/>
        </w:rPr>
        <w:t>。</w:t>
      </w:r>
    </w:p>
    <w:p>
      <w:pPr>
        <w:pStyle w:val="40"/>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p>
    <w:p>
      <w:pPr>
        <w:pStyle w:val="40"/>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经招标人同意，中标人可以把中标项目的部分非主体、非关键性工作分包给具有相应资质和能力的专业单位实施，但不得再次分包。</w:t>
      </w:r>
    </w:p>
    <w:p>
      <w:pPr>
        <w:pStyle w:val="40"/>
        <w:spacing w:line="360" w:lineRule="auto"/>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7、投标人拟担任本工程：</w:t>
      </w:r>
    </w:p>
    <w:p>
      <w:pPr>
        <w:spacing w:line="360" w:lineRule="auto"/>
        <w:ind w:firstLine="537" w:firstLineChars="224"/>
        <w:rPr>
          <w:rFonts w:hint="eastAsia" w:ascii="宋体" w:hAnsi="宋体" w:eastAsia="宋体"/>
          <w:sz w:val="24"/>
          <w:szCs w:val="24"/>
          <w:highlight w:val="none"/>
          <w:lang w:eastAsia="zh-CN"/>
        </w:rPr>
      </w:pPr>
      <w:r>
        <w:rPr>
          <w:rFonts w:hint="eastAsia" w:ascii="宋体" w:hAnsi="宋体"/>
          <w:sz w:val="24"/>
          <w:szCs w:val="24"/>
          <w:highlight w:val="none"/>
        </w:rPr>
        <w:t>7.1施工负责人（兼项目负责人）要求</w:t>
      </w:r>
      <w:r>
        <w:rPr>
          <w:rFonts w:hint="eastAsia" w:ascii="宋体" w:hAnsi="宋体"/>
          <w:color w:val="auto"/>
          <w:sz w:val="24"/>
          <w:szCs w:val="24"/>
          <w:highlight w:val="none"/>
        </w:rPr>
        <w:t>：</w:t>
      </w:r>
      <w:r>
        <w:rPr>
          <w:rFonts w:hint="eastAsia" w:ascii="宋体" w:hAnsi="宋体" w:cs="宋体"/>
          <w:sz w:val="24"/>
          <w:szCs w:val="24"/>
          <w:highlight w:val="none"/>
          <w:u w:val="single"/>
        </w:rPr>
        <w:t>机电工程专业二级（或以上）注册建造师，且在投标人单位注册</w:t>
      </w:r>
      <w:r>
        <w:rPr>
          <w:rFonts w:hint="eastAsia" w:ascii="宋体" w:hAnsi="宋体"/>
          <w:sz w:val="24"/>
          <w:szCs w:val="24"/>
          <w:highlight w:val="none"/>
        </w:rPr>
        <w:t>。</w:t>
      </w:r>
    </w:p>
    <w:p>
      <w:pPr>
        <w:pStyle w:val="40"/>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注：拟派项目总负责人资格要求按《住房和城乡建设部</w:t>
      </w:r>
      <w:r>
        <w:rPr>
          <w:rFonts w:ascii="Times New Roman" w:hAnsi="Times New Roman" w:eastAsia="宋体"/>
          <w:color w:val="auto"/>
          <w:kern w:val="2"/>
          <w:sz w:val="21"/>
          <w:szCs w:val="24"/>
          <w:highlight w:val="none"/>
        </w:rPr>
        <w:t xml:space="preserve"> </w:t>
      </w:r>
      <w:r>
        <w:rPr>
          <w:rFonts w:hint="eastAsia" w:ascii="Times New Roman" w:hAnsi="Times New Roman" w:eastAsia="宋体"/>
          <w:color w:val="auto"/>
          <w:kern w:val="2"/>
          <w:sz w:val="21"/>
          <w:szCs w:val="24"/>
          <w:highlight w:val="none"/>
        </w:rPr>
        <w:t>国家发展改革委关于印发房屋建筑和市政基础设施项目工程总承包管理办法的通知》（建市规〔2019〕12号）第二十条的规定执行。投标人拟委派的项目总负责人不具备注册建造师执业资格的，应委派具备相应资格的注册建造师担任施工负责人。建造师的专业及等级标准按《注册建造师执业管理办法（试行）》及《注册建造师执业工程规模标准（试行）》；根据《住房和城乡建设部办公厅关于取消一级建造师临时执业证书的通知》（建办市[2019]50号）、《广东省住房和城乡建设厅关于取消二级建造师临时执业证书的通知》（粤建市〔2019〕153号）规定，取消一级建造师临时执业证书及二级建造师临时执业证书。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总负责人在任职期间不得担任专职安全员，专职安全员在任职期间也不得担任项目总负责人，项目总负责人和专职安全员不为同一人。</w:t>
      </w:r>
    </w:p>
    <w:p>
      <w:pPr>
        <w:numPr>
          <w:ilvl w:val="0"/>
          <w:numId w:val="4"/>
        </w:num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项目负责人（施工负责人）持有在有效期内的安全生产考核合格证书（B类），或能够提供广东省建筑施工企业管理人员安全生产考核信息系统安全生产管理人员证书信息的打印页。</w:t>
      </w:r>
    </w:p>
    <w:p>
      <w:pPr>
        <w:numPr>
          <w:ilvl w:val="0"/>
          <w:numId w:val="4"/>
        </w:numPr>
        <w:spacing w:line="360" w:lineRule="auto"/>
        <w:ind w:firstLine="537" w:firstLineChars="224"/>
        <w:rPr>
          <w:rFonts w:hint="eastAsia" w:ascii="宋体" w:hAnsi="宋体"/>
          <w:sz w:val="24"/>
          <w:szCs w:val="24"/>
          <w:highlight w:val="none"/>
        </w:rPr>
      </w:pPr>
      <w:r>
        <w:rPr>
          <w:rFonts w:hint="eastAsia" w:ascii="宋体" w:hAnsi="宋体" w:cs="宋体"/>
          <w:color w:val="auto"/>
          <w:sz w:val="24"/>
          <w:szCs w:val="24"/>
          <w:highlight w:val="none"/>
        </w:rPr>
        <w:t>专职安全员</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rPr>
        <w:t>具有安全生产考核合格证（C类）</w:t>
      </w:r>
      <w:r>
        <w:rPr>
          <w:rFonts w:hint="eastAsia" w:ascii="宋体" w:hAnsi="宋体" w:cs="宋体"/>
          <w:color w:val="auto"/>
          <w:kern w:val="0"/>
          <w:sz w:val="24"/>
          <w:highlight w:val="none"/>
        </w:rPr>
        <w:t>或能够提供广东省建筑施工企业管理人员安全生产考核信息系统安全生产管理人员证书信息的</w:t>
      </w:r>
      <w:r>
        <w:rPr>
          <w:rFonts w:hint="eastAsia" w:ascii="宋体" w:hAnsi="宋体" w:cs="宋体"/>
          <w:color w:val="auto"/>
          <w:kern w:val="0"/>
          <w:sz w:val="24"/>
          <w:szCs w:val="24"/>
          <w:highlight w:val="none"/>
        </w:rPr>
        <w:t>打印页</w:t>
      </w:r>
      <w:r>
        <w:rPr>
          <w:rFonts w:hint="eastAsia" w:ascii="宋体" w:hAnsi="宋体"/>
          <w:color w:val="auto"/>
          <w:sz w:val="24"/>
          <w:szCs w:val="24"/>
          <w:highlight w:val="none"/>
        </w:rPr>
        <w:t>。</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、投标人已按照附件一的内容签署盖章的《投标申请人声明》。</w:t>
      </w:r>
    </w:p>
    <w:p>
      <w:pPr>
        <w:spacing w:line="360" w:lineRule="auto"/>
        <w:ind w:firstLine="537" w:firstLineChars="224"/>
        <w:rPr>
          <w:rFonts w:hint="eastAsia" w:ascii="宋体" w:hAnsi="宋体"/>
          <w:sz w:val="24"/>
          <w:szCs w:val="24"/>
          <w:highlight w:val="none"/>
          <w:lang w:val="en-US" w:eastAsia="zh-CN"/>
        </w:rPr>
      </w:pPr>
      <w:bookmarkStart w:id="0" w:name="_Toc266881397"/>
      <w:bookmarkStart w:id="1" w:name="_Toc253143216"/>
      <w:bookmarkStart w:id="2" w:name="_Toc249846223"/>
      <w:bookmarkStart w:id="3" w:name="_Toc249845968"/>
      <w:bookmarkStart w:id="4" w:name="_Toc245023997"/>
      <w:bookmarkStart w:id="5" w:name="_Toc266093545"/>
      <w:r>
        <w:rPr>
          <w:rFonts w:hint="eastAsia" w:ascii="宋体" w:hAnsi="宋体"/>
          <w:sz w:val="24"/>
          <w:szCs w:val="24"/>
          <w:highlight w:val="none"/>
          <w:lang w:val="en-US" w:eastAsia="zh-CN"/>
        </w:rPr>
        <w:t>10、关于联合体投标：</w:t>
      </w:r>
      <w:bookmarkEnd w:id="0"/>
      <w:bookmarkEnd w:id="1"/>
      <w:bookmarkEnd w:id="2"/>
      <w:bookmarkEnd w:id="3"/>
      <w:bookmarkEnd w:id="4"/>
      <w:bookmarkEnd w:id="5"/>
    </w:p>
    <w:p>
      <w:pPr>
        <w:spacing w:line="360" w:lineRule="auto"/>
        <w:ind w:firstLine="537" w:firstLineChars="224"/>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ascii="宋体" w:hAnsi="宋体"/>
          <w:sz w:val="24"/>
          <w:szCs w:val="24"/>
          <w:highlight w:val="none"/>
        </w:rPr>
        <w:t>.1</w:t>
      </w:r>
      <w:r>
        <w:rPr>
          <w:rFonts w:hint="eastAsia" w:ascii="宋体" w:hAnsi="宋体"/>
          <w:sz w:val="24"/>
          <w:szCs w:val="24"/>
          <w:highlight w:val="none"/>
          <w:lang w:val="en-US" w:eastAsia="zh-CN"/>
        </w:rPr>
        <w:t>本项目</w:t>
      </w:r>
      <w:r>
        <w:rPr>
          <w:rFonts w:hint="eastAsia" w:ascii="宋体" w:hAnsi="宋体"/>
          <w:b/>
          <w:bCs/>
          <w:sz w:val="24"/>
          <w:szCs w:val="24"/>
          <w:highlight w:val="none"/>
          <w:u w:val="single"/>
          <w:lang w:val="en-US" w:eastAsia="zh-CN"/>
        </w:rPr>
        <w:t xml:space="preserve"> 不接受  </w:t>
      </w:r>
      <w:r>
        <w:rPr>
          <w:rFonts w:hint="eastAsia" w:ascii="宋体" w:hAnsi="宋体"/>
          <w:sz w:val="24"/>
          <w:szCs w:val="24"/>
          <w:highlight w:val="none"/>
        </w:rPr>
        <w:t>联合体投标。</w:t>
      </w:r>
    </w:p>
    <w:p>
      <w:pPr>
        <w:spacing w:line="360" w:lineRule="auto"/>
        <w:ind w:firstLine="537" w:firstLineChars="224"/>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1</w:t>
      </w:r>
      <w:r>
        <w:rPr>
          <w:rFonts w:hint="eastAsia" w:ascii="宋体" w:hAnsi="宋体"/>
          <w:sz w:val="24"/>
          <w:szCs w:val="24"/>
          <w:highlight w:val="none"/>
        </w:rPr>
        <w:t>、投标人未出现以下情形：与其它投标人的单位负责人为同一人或者存在控股、管理</w:t>
      </w:r>
      <w:r>
        <w:rPr>
          <w:rFonts w:hint="eastAsia" w:ascii="宋体" w:hAnsi="宋体" w:eastAsia="宋体" w:cs="宋体"/>
          <w:sz w:val="24"/>
          <w:szCs w:val="24"/>
          <w:highlight w:val="none"/>
        </w:rPr>
        <w:t>关系的（按投标人提供</w:t>
      </w:r>
      <w:r>
        <w:rPr>
          <w:rFonts w:hint="eastAsia" w:ascii="宋体" w:hAnsi="宋体"/>
          <w:sz w:val="24"/>
          <w:szCs w:val="24"/>
          <w:highlight w:val="none"/>
        </w:rPr>
        <w:t>的《投标申请人声明》的内容进行评审）。</w:t>
      </w:r>
      <w:bookmarkStart w:id="6" w:name="_Toc249846224"/>
      <w:bookmarkStart w:id="7" w:name="_Toc266881398"/>
      <w:bookmarkStart w:id="8" w:name="_Toc266093546"/>
      <w:bookmarkStart w:id="9" w:name="_Toc249845969"/>
      <w:bookmarkStart w:id="10" w:name="_Toc253143217"/>
      <w:bookmarkStart w:id="11" w:name="_Toc245023998"/>
    </w:p>
    <w:p>
      <w:pPr>
        <w:spacing w:line="360" w:lineRule="auto"/>
        <w:ind w:firstLine="540" w:firstLineChars="224"/>
        <w:rPr>
          <w:rFonts w:ascii="宋体" w:hAnsi="宋体" w:cs="宋体"/>
          <w:kern w:val="0"/>
          <w:sz w:val="24"/>
          <w:szCs w:val="24"/>
          <w:highlight w:val="none"/>
          <w:u w:val="single"/>
        </w:rPr>
      </w:pPr>
      <w:r>
        <w:rPr>
          <w:rFonts w:hint="eastAsia" w:ascii="宋体" w:hAnsi="宋体"/>
          <w:b/>
          <w:sz w:val="24"/>
          <w:szCs w:val="24"/>
          <w:highlight w:val="none"/>
        </w:rPr>
        <w:t>十、</w:t>
      </w:r>
      <w:bookmarkEnd w:id="6"/>
      <w:bookmarkEnd w:id="7"/>
      <w:bookmarkEnd w:id="8"/>
      <w:bookmarkEnd w:id="9"/>
      <w:bookmarkEnd w:id="10"/>
      <w:bookmarkEnd w:id="11"/>
      <w:r>
        <w:rPr>
          <w:rFonts w:ascii="宋体" w:hAnsi="宋体"/>
          <w:b/>
          <w:sz w:val="24"/>
          <w:szCs w:val="24"/>
          <w:highlight w:val="none"/>
          <w:shd w:val="clear" w:color="auto" w:fill="FFFFFF"/>
        </w:rPr>
        <w:t>资格审查方式：</w:t>
      </w:r>
      <w:r>
        <w:rPr>
          <w:rFonts w:hint="eastAsia" w:ascii="宋体" w:hAnsi="宋体"/>
          <w:bCs/>
          <w:sz w:val="24"/>
          <w:szCs w:val="24"/>
          <w:highlight w:val="none"/>
          <w:shd w:val="clear" w:color="auto" w:fill="FFFFFF"/>
        </w:rPr>
        <w:t>本项目采用资格后审方式，本项目为非电子标，投标人需按照招标文件要求提交纸质投标文件</w:t>
      </w:r>
      <w:r>
        <w:rPr>
          <w:rFonts w:ascii="宋体" w:hAnsi="宋体"/>
          <w:bCs/>
          <w:sz w:val="24"/>
          <w:szCs w:val="24"/>
          <w:highlight w:val="none"/>
          <w:shd w:val="clear" w:color="auto" w:fill="FFFFFF"/>
        </w:rPr>
        <w:t>。</w:t>
      </w:r>
    </w:p>
    <w:p>
      <w:pPr>
        <w:widowControl/>
        <w:spacing w:line="360" w:lineRule="auto"/>
        <w:ind w:firstLine="540" w:firstLineChars="224"/>
        <w:jc w:val="left"/>
        <w:rPr>
          <w:rFonts w:ascii="宋体" w:hAnsi="宋体" w:cs="宋体"/>
          <w:kern w:val="0"/>
          <w:sz w:val="24"/>
          <w:szCs w:val="24"/>
          <w:highlight w:val="none"/>
        </w:rPr>
      </w:pPr>
      <w:r>
        <w:rPr>
          <w:rFonts w:hint="eastAsia" w:ascii="宋体" w:hAnsi="宋体" w:cs="宋体"/>
          <w:b/>
          <w:kern w:val="0"/>
          <w:sz w:val="24"/>
          <w:szCs w:val="24"/>
          <w:highlight w:val="none"/>
        </w:rPr>
        <w:t>十</w:t>
      </w:r>
      <w:r>
        <w:rPr>
          <w:rFonts w:hint="eastAsia" w:ascii="宋体" w:hAnsi="宋体" w:cs="宋体"/>
          <w:b/>
          <w:kern w:val="0"/>
          <w:sz w:val="24"/>
          <w:szCs w:val="24"/>
          <w:highlight w:val="none"/>
          <w:lang w:val="en-US" w:eastAsia="zh-CN"/>
        </w:rPr>
        <w:t>一</w:t>
      </w:r>
      <w:r>
        <w:rPr>
          <w:rFonts w:hint="eastAsia" w:ascii="宋体" w:hAnsi="宋体" w:cs="宋体"/>
          <w:b/>
          <w:kern w:val="0"/>
          <w:sz w:val="24"/>
          <w:szCs w:val="24"/>
          <w:highlight w:val="none"/>
        </w:rPr>
        <w:t>、</w:t>
      </w:r>
      <w:r>
        <w:rPr>
          <w:rFonts w:hint="eastAsia" w:ascii="宋体" w:hAnsi="宋体" w:cs="宋体"/>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kern w:val="0"/>
          <w:sz w:val="24"/>
          <w:szCs w:val="24"/>
          <w:highlight w:val="none"/>
        </w:rPr>
        <w:t>。</w:t>
      </w:r>
    </w:p>
    <w:p>
      <w:pPr>
        <w:spacing w:line="360" w:lineRule="auto"/>
        <w:ind w:firstLine="540" w:firstLineChars="224"/>
        <w:rPr>
          <w:rFonts w:cs="Calibri"/>
          <w:kern w:val="0"/>
          <w:szCs w:val="21"/>
          <w:highlight w:val="none"/>
        </w:rPr>
      </w:pPr>
      <w:r>
        <w:rPr>
          <w:rFonts w:hint="eastAsia" w:ascii="宋体" w:hAnsi="宋体"/>
          <w:b/>
          <w:sz w:val="24"/>
          <w:szCs w:val="24"/>
          <w:highlight w:val="none"/>
        </w:rPr>
        <w:t>十</w:t>
      </w:r>
      <w:r>
        <w:rPr>
          <w:rFonts w:hint="eastAsia" w:ascii="宋体" w:hAnsi="宋体"/>
          <w:b/>
          <w:sz w:val="24"/>
          <w:szCs w:val="24"/>
          <w:highlight w:val="none"/>
          <w:lang w:val="en-US" w:eastAsia="zh-CN"/>
        </w:rPr>
        <w:t>二</w:t>
      </w:r>
      <w:r>
        <w:rPr>
          <w:rFonts w:hint="eastAsia" w:ascii="宋体" w:hAnsi="宋体"/>
          <w:b/>
          <w:sz w:val="24"/>
          <w:szCs w:val="24"/>
          <w:highlight w:val="none"/>
        </w:rPr>
        <w:t>、</w:t>
      </w:r>
      <w:r>
        <w:rPr>
          <w:rFonts w:ascii="宋体" w:hAnsi="宋体"/>
          <w:sz w:val="24"/>
          <w:szCs w:val="24"/>
          <w:highlight w:val="none"/>
          <w:shd w:val="clear" w:color="auto" w:fill="FFFFFF"/>
        </w:rPr>
        <w:t>中标结果将在</w:t>
      </w:r>
      <w:r>
        <w:rPr>
          <w:rFonts w:hint="eastAsia" w:ascii="宋体" w:hAnsi="宋体"/>
          <w:sz w:val="24"/>
          <w:szCs w:val="24"/>
          <w:highlight w:val="none"/>
          <w:u w:val="single"/>
          <w:shd w:val="clear" w:color="auto" w:fill="FFFFFF"/>
        </w:rPr>
        <w:t>广州南沙资产经营集团有限公司网站</w:t>
      </w:r>
      <w:r>
        <w:rPr>
          <w:rFonts w:ascii="宋体" w:hAnsi="宋体"/>
          <w:sz w:val="24"/>
          <w:szCs w:val="24"/>
          <w:highlight w:val="none"/>
          <w:shd w:val="clear" w:color="auto" w:fill="FFFFFF"/>
        </w:rPr>
        <w:t>公示</w:t>
      </w:r>
      <w:r>
        <w:rPr>
          <w:rFonts w:hint="eastAsia" w:ascii="宋体" w:hAnsi="宋体" w:cs="宋体"/>
          <w:sz w:val="24"/>
          <w:highlight w:val="none"/>
        </w:rPr>
        <w:t>，</w:t>
      </w:r>
      <w:r>
        <w:rPr>
          <w:rFonts w:hint="eastAsia" w:ascii="宋体" w:hAnsi="宋体" w:cs="宋体"/>
          <w:bCs/>
          <w:sz w:val="24"/>
          <w:highlight w:val="none"/>
        </w:rPr>
        <w:t>公示时间不得少于3日</w:t>
      </w:r>
      <w:r>
        <w:rPr>
          <w:rFonts w:ascii="宋体" w:hAnsi="宋体"/>
          <w:sz w:val="24"/>
          <w:szCs w:val="24"/>
          <w:highlight w:val="none"/>
          <w:shd w:val="clear" w:color="auto" w:fill="FFFFFF"/>
        </w:rPr>
        <w:t>。</w:t>
      </w:r>
    </w:p>
    <w:p>
      <w:pPr>
        <w:spacing w:line="360" w:lineRule="auto"/>
        <w:ind w:firstLine="540" w:firstLineChars="224"/>
        <w:rPr>
          <w:rFonts w:ascii="宋体" w:hAnsi="宋体" w:cs="宋体"/>
          <w:b/>
          <w:kern w:val="0"/>
          <w:sz w:val="24"/>
          <w:szCs w:val="24"/>
          <w:highlight w:val="none"/>
          <w:u w:val="single"/>
        </w:rPr>
      </w:pPr>
      <w:r>
        <w:rPr>
          <w:rFonts w:hint="eastAsia" w:ascii="宋体" w:hAnsi="宋体" w:cs="宋体"/>
          <w:b/>
          <w:bCs/>
          <w:kern w:val="0"/>
          <w:sz w:val="24"/>
          <w:szCs w:val="24"/>
          <w:highlight w:val="none"/>
        </w:rPr>
        <w:t>十</w:t>
      </w:r>
      <w:r>
        <w:rPr>
          <w:rFonts w:hint="eastAsia" w:ascii="宋体" w:hAnsi="宋体" w:cs="宋体"/>
          <w:b/>
          <w:bCs/>
          <w:kern w:val="0"/>
          <w:sz w:val="24"/>
          <w:szCs w:val="24"/>
          <w:highlight w:val="none"/>
          <w:lang w:val="en-US" w:eastAsia="zh-CN"/>
        </w:rPr>
        <w:t>三</w:t>
      </w:r>
      <w:r>
        <w:rPr>
          <w:rFonts w:hint="eastAsia" w:ascii="宋体" w:hAnsi="宋体" w:cs="宋体"/>
          <w:b/>
          <w:bCs/>
          <w:kern w:val="0"/>
          <w:sz w:val="24"/>
          <w:szCs w:val="24"/>
          <w:highlight w:val="none"/>
        </w:rPr>
        <w:t>、其他事项</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1、前期服务机构：</w:t>
      </w:r>
      <w:r>
        <w:rPr>
          <w:rFonts w:hint="eastAsia" w:ascii="宋体" w:hAnsi="宋体" w:cs="宋体"/>
          <w:bCs/>
          <w:kern w:val="0"/>
          <w:sz w:val="24"/>
          <w:szCs w:val="24"/>
          <w:highlight w:val="none"/>
          <w:u w:val="single"/>
        </w:rPr>
        <w:t xml:space="preserve">     /     </w:t>
      </w:r>
      <w:r>
        <w:rPr>
          <w:rFonts w:hint="eastAsia" w:ascii="宋体" w:hAnsi="宋体" w:cs="宋体"/>
          <w:bCs/>
          <w:kern w:val="0"/>
          <w:sz w:val="24"/>
          <w:szCs w:val="24"/>
          <w:highlight w:val="none"/>
        </w:rPr>
        <w:t>。</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[注释]如果前期服务机构参加本次投标，应将本公告发布前最终完成的工作成果（含电子文件）在招标人发布招标公告的同时提供给所有投标人参考，否则前期参与的服务机构中标无效。</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2、投标时是否需要提交设计模型：否。</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3、投标经济补偿：各投标人自行考虑参与项目投标的一切风险，本工程不设投标补偿，投标费用由投标人自理。</w:t>
      </w:r>
    </w:p>
    <w:p>
      <w:pPr>
        <w:spacing w:line="360" w:lineRule="auto"/>
        <w:ind w:firstLine="537" w:firstLineChars="224"/>
        <w:rPr>
          <w:rFonts w:ascii="宋体" w:hAnsi="宋体" w:cs="宋体"/>
          <w:bCs/>
          <w:kern w:val="0"/>
          <w:sz w:val="24"/>
          <w:szCs w:val="24"/>
          <w:highlight w:val="none"/>
        </w:rPr>
      </w:pPr>
      <w:r>
        <w:rPr>
          <w:rFonts w:hint="eastAsia" w:ascii="宋体" w:hAnsi="宋体" w:cs="宋体"/>
          <w:bCs/>
          <w:kern w:val="0"/>
          <w:sz w:val="24"/>
          <w:szCs w:val="24"/>
          <w:highlight w:val="none"/>
        </w:rPr>
        <w:t>5、关于异议及投诉：</w:t>
      </w:r>
    </w:p>
    <w:p>
      <w:pPr>
        <w:spacing w:line="360" w:lineRule="auto"/>
        <w:ind w:firstLine="537" w:firstLineChars="224"/>
        <w:rPr>
          <w:rFonts w:ascii="宋体" w:hAnsi="宋体" w:cs="宋体"/>
          <w:sz w:val="24"/>
          <w:szCs w:val="24"/>
          <w:highlight w:val="none"/>
        </w:rPr>
      </w:pPr>
      <w:r>
        <w:rPr>
          <w:rFonts w:hint="eastAsia" w:ascii="宋体" w:hAnsi="宋体" w:cs="宋体"/>
          <w:bCs/>
          <w:kern w:val="0"/>
          <w:sz w:val="24"/>
          <w:szCs w:val="24"/>
          <w:highlight w:val="none"/>
        </w:rPr>
        <w:t>（1）</w:t>
      </w:r>
      <w:r>
        <w:rPr>
          <w:rFonts w:hint="eastAsia" w:ascii="宋体" w:hAnsi="宋体" w:cs="宋体"/>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kern w:val="0"/>
          <w:sz w:val="24"/>
          <w:szCs w:val="24"/>
          <w:highlight w:val="none"/>
        </w:rPr>
      </w:pPr>
      <w:r>
        <w:rPr>
          <w:rFonts w:hint="eastAsia" w:ascii="宋体" w:hAnsi="宋体" w:cs="宋体"/>
          <w:b/>
          <w:bCs/>
          <w:kern w:val="0"/>
          <w:sz w:val="24"/>
          <w:szCs w:val="24"/>
          <w:highlight w:val="none"/>
        </w:rPr>
        <w:t>十四、</w:t>
      </w:r>
      <w:r>
        <w:rPr>
          <w:rFonts w:hint="eastAsia" w:ascii="宋体" w:hAnsi="宋体" w:cs="宋体"/>
          <w:kern w:val="0"/>
          <w:sz w:val="24"/>
          <w:szCs w:val="24"/>
          <w:highlight w:val="none"/>
        </w:rPr>
        <w:t>潜在投标人或利害关系人对本招标公告及招标内容有异议的，向招标人书面提出。</w:t>
      </w:r>
    </w:p>
    <w:p>
      <w:pPr>
        <w:spacing w:line="360" w:lineRule="auto"/>
        <w:ind w:firstLine="537" w:firstLineChars="224"/>
        <w:rPr>
          <w:rFonts w:hint="eastAsia" w:ascii="宋体" w:hAnsi="宋体" w:cs="宋体"/>
          <w:sz w:val="24"/>
          <w:szCs w:val="24"/>
          <w:highlight w:val="none"/>
          <w:lang w:val="en-US" w:eastAsia="zh-CN"/>
        </w:rPr>
      </w:pPr>
      <w:r>
        <w:rPr>
          <w:rFonts w:hint="eastAsia" w:ascii="宋体" w:hAnsi="宋体" w:cs="宋体"/>
          <w:sz w:val="24"/>
          <w:szCs w:val="24"/>
          <w:highlight w:val="none"/>
        </w:rPr>
        <w:t>异议受理部门：</w:t>
      </w:r>
      <w:r>
        <w:rPr>
          <w:rFonts w:hint="eastAsia" w:ascii="宋体" w:hAnsi="宋体" w:cs="宋体"/>
          <w:sz w:val="24"/>
          <w:szCs w:val="24"/>
          <w:highlight w:val="none"/>
          <w:lang w:val="en-US" w:eastAsia="zh-CN"/>
        </w:rPr>
        <w:t xml:space="preserve"> 广州南沙旅游发展有限公司</w:t>
      </w:r>
      <w:r>
        <w:rPr>
          <w:rFonts w:hint="eastAsia" w:ascii="宋体" w:hAnsi="宋体" w:eastAsia="宋体" w:cs="宋体"/>
          <w:i w:val="0"/>
          <w:iCs w:val="0"/>
          <w:caps w:val="0"/>
          <w:color w:val="auto"/>
          <w:spacing w:val="0"/>
          <w:kern w:val="2"/>
          <w:sz w:val="24"/>
          <w:szCs w:val="24"/>
          <w:highlight w:val="none"/>
          <w:shd w:val="clear" w:fill="auto"/>
          <w:lang w:val="en-US" w:eastAsia="zh-CN" w:bidi="ar"/>
        </w:rPr>
        <w:t>运营管理部(安全办)</w:t>
      </w:r>
    </w:p>
    <w:p>
      <w:pPr>
        <w:spacing w:line="360" w:lineRule="auto"/>
        <w:ind w:firstLine="537" w:firstLineChars="224"/>
        <w:rPr>
          <w:rFonts w:hint="default" w:ascii="宋体" w:hAnsi="宋体" w:cs="宋体"/>
          <w:sz w:val="24"/>
          <w:szCs w:val="24"/>
          <w:highlight w:val="none"/>
          <w:lang w:val="en-US"/>
        </w:rPr>
      </w:pPr>
      <w:r>
        <w:rPr>
          <w:rFonts w:hint="eastAsia" w:ascii="宋体" w:hAnsi="宋体" w:cs="宋体"/>
          <w:sz w:val="24"/>
          <w:szCs w:val="24"/>
          <w:highlight w:val="none"/>
        </w:rPr>
        <w:t>异议受理电话：</w:t>
      </w:r>
      <w:r>
        <w:rPr>
          <w:rFonts w:hint="eastAsia" w:ascii="宋体" w:hAnsi="宋体" w:cs="宋体"/>
          <w:sz w:val="24"/>
          <w:szCs w:val="24"/>
          <w:highlight w:val="none"/>
          <w:lang w:val="en-US" w:eastAsia="zh-CN"/>
        </w:rPr>
        <w:t xml:space="preserve"> </w:t>
      </w:r>
      <w:r>
        <w:rPr>
          <w:rFonts w:hint="eastAsia" w:ascii="宋体" w:hAnsi="宋体" w:eastAsia="宋体" w:cs="宋体"/>
          <w:i w:val="0"/>
          <w:iCs w:val="0"/>
          <w:caps w:val="0"/>
          <w:color w:val="auto"/>
          <w:spacing w:val="0"/>
          <w:kern w:val="2"/>
          <w:sz w:val="24"/>
          <w:szCs w:val="24"/>
          <w:highlight w:val="none"/>
          <w:shd w:val="clear" w:fill="auto"/>
          <w:lang w:val="en-US" w:eastAsia="zh-CN" w:bidi="ar"/>
        </w:rPr>
        <w:t>020-39002069</w:t>
      </w:r>
    </w:p>
    <w:p>
      <w:pPr>
        <w:spacing w:line="360" w:lineRule="auto"/>
        <w:ind w:firstLine="537" w:firstLineChars="224"/>
        <w:rPr>
          <w:rFonts w:hint="eastAsia" w:ascii="宋体" w:hAnsi="宋体" w:eastAsia="宋体"/>
          <w:sz w:val="24"/>
          <w:highlight w:val="none"/>
          <w:u w:val="singl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w:t>
      </w:r>
      <w:r>
        <w:rPr>
          <w:rFonts w:hint="eastAsia" w:ascii="宋体" w:hAnsi="宋体" w:cs="宋体"/>
          <w:color w:val="auto"/>
          <w:kern w:val="0"/>
          <w:sz w:val="24"/>
          <w:szCs w:val="24"/>
          <w:highlight w:val="none"/>
          <w:lang w:eastAsia="zh-CN"/>
        </w:rPr>
        <w:t>南沙</w:t>
      </w:r>
      <w:r>
        <w:rPr>
          <w:rFonts w:hint="eastAsia" w:ascii="宋体" w:hAnsi="宋体" w:cs="宋体"/>
          <w:color w:val="auto"/>
          <w:kern w:val="0"/>
          <w:sz w:val="24"/>
          <w:szCs w:val="24"/>
          <w:highlight w:val="none"/>
          <w:lang w:val="en-US" w:eastAsia="zh-CN"/>
        </w:rPr>
        <w:t>区南沙街天后路88号之一</w:t>
      </w:r>
    </w:p>
    <w:p>
      <w:pPr>
        <w:pStyle w:val="4"/>
        <w:spacing w:line="360" w:lineRule="auto"/>
        <w:rPr>
          <w:rFonts w:hint="eastAsia"/>
          <w:highlight w:val="none"/>
          <w:lang w:eastAsia="zh-CN"/>
        </w:rPr>
      </w:pPr>
    </w:p>
    <w:p>
      <w:pPr>
        <w:spacing w:line="360" w:lineRule="auto"/>
        <w:ind w:right="1348" w:rightChars="642"/>
        <w:jc w:val="right"/>
        <w:rPr>
          <w:rFonts w:ascii="宋体" w:hAnsi="宋体"/>
          <w:sz w:val="24"/>
          <w:highlight w:val="none"/>
        </w:rPr>
      </w:pPr>
    </w:p>
    <w:p>
      <w:pPr>
        <w:snapToGrid w:val="0"/>
        <w:spacing w:line="360" w:lineRule="auto"/>
        <w:ind w:firstLine="4560" w:firstLineChars="1900"/>
        <w:jc w:val="left"/>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招标单位：广州南沙</w:t>
      </w:r>
      <w:r>
        <w:rPr>
          <w:rFonts w:hint="eastAsia" w:ascii="宋体" w:hAnsi="宋体" w:cs="宋体"/>
          <w:sz w:val="24"/>
          <w:szCs w:val="24"/>
          <w:highlight w:val="none"/>
          <w:shd w:val="clear" w:color="auto" w:fill="FFFFFF"/>
          <w:lang w:val="en-US" w:eastAsia="zh-CN"/>
        </w:rPr>
        <w:t>湿地</w:t>
      </w:r>
      <w:r>
        <w:rPr>
          <w:rFonts w:hint="eastAsia" w:ascii="宋体" w:hAnsi="宋体" w:cs="宋体"/>
          <w:sz w:val="24"/>
          <w:szCs w:val="24"/>
          <w:highlight w:val="none"/>
          <w:shd w:val="clear" w:color="auto" w:fill="FFFFFF"/>
        </w:rPr>
        <w:t>旅游发展有限公司</w:t>
      </w:r>
    </w:p>
    <w:p>
      <w:pPr>
        <w:snapToGrid w:val="0"/>
        <w:spacing w:line="360" w:lineRule="auto"/>
        <w:ind w:firstLine="5760" w:firstLineChars="24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日期：202</w:t>
      </w:r>
      <w:r>
        <w:rPr>
          <w:rFonts w:hint="eastAsia" w:ascii="宋体" w:hAnsi="宋体" w:cs="宋体"/>
          <w:sz w:val="24"/>
          <w:szCs w:val="24"/>
          <w:highlight w:val="none"/>
          <w:shd w:val="clear" w:color="auto" w:fill="FFFFFF"/>
          <w:lang w:val="en-US" w:eastAsia="zh-CN"/>
        </w:rPr>
        <w:t>3</w:t>
      </w:r>
      <w:r>
        <w:rPr>
          <w:rFonts w:hint="eastAsia" w:ascii="宋体" w:hAnsi="宋体" w:eastAsia="宋体" w:cs="宋体"/>
          <w:sz w:val="24"/>
          <w:szCs w:val="24"/>
          <w:highlight w:val="none"/>
          <w:shd w:val="clear" w:color="auto" w:fill="FFFFFF"/>
        </w:rPr>
        <w:t>年</w:t>
      </w:r>
      <w:r>
        <w:rPr>
          <w:rFonts w:hint="eastAsia" w:ascii="宋体" w:hAnsi="宋体" w:cs="宋体"/>
          <w:sz w:val="24"/>
          <w:szCs w:val="24"/>
          <w:highlight w:val="none"/>
          <w:shd w:val="clear" w:color="auto" w:fill="FFFFFF"/>
          <w:lang w:val="en-US" w:eastAsia="zh-CN"/>
        </w:rPr>
        <w:t>8</w:t>
      </w:r>
      <w:r>
        <w:rPr>
          <w:rFonts w:hint="eastAsia" w:ascii="宋体" w:hAnsi="宋体" w:eastAsia="宋体" w:cs="宋体"/>
          <w:sz w:val="24"/>
          <w:szCs w:val="24"/>
          <w:highlight w:val="none"/>
          <w:shd w:val="clear" w:color="auto" w:fill="FFFFFF"/>
        </w:rPr>
        <w:t>月</w:t>
      </w:r>
      <w:r>
        <w:rPr>
          <w:rFonts w:hint="eastAsia" w:ascii="宋体" w:hAnsi="宋体" w:cs="宋体"/>
          <w:sz w:val="24"/>
          <w:szCs w:val="24"/>
          <w:highlight w:val="none"/>
          <w:shd w:val="clear" w:color="auto" w:fill="FFFFFF"/>
          <w:lang w:val="en-US" w:eastAsia="zh-CN"/>
        </w:rPr>
        <w:t>10</w:t>
      </w:r>
      <w:r>
        <w:rPr>
          <w:rFonts w:hint="eastAsia" w:ascii="宋体" w:hAnsi="宋体" w:eastAsia="宋体" w:cs="宋体"/>
          <w:sz w:val="24"/>
          <w:szCs w:val="24"/>
          <w:highlight w:val="none"/>
          <w:shd w:val="clear" w:color="auto" w:fill="FFFFFF"/>
        </w:rPr>
        <w:t>日</w:t>
      </w:r>
    </w:p>
    <w:p>
      <w:pPr>
        <w:snapToGrid w:val="0"/>
        <w:spacing w:line="360" w:lineRule="auto"/>
        <w:ind w:firstLine="5760" w:firstLineChars="2400"/>
        <w:jc w:val="left"/>
        <w:rPr>
          <w:rFonts w:ascii="宋体" w:hAnsi="宋体" w:cs="宋体"/>
          <w:sz w:val="24"/>
          <w:szCs w:val="24"/>
          <w:highlight w:val="none"/>
          <w:shd w:val="clear" w:color="auto" w:fill="FFFFFF"/>
        </w:rPr>
      </w:pPr>
    </w:p>
    <w:p>
      <w:pPr>
        <w:wordWrap w:val="0"/>
        <w:snapToGrid w:val="0"/>
        <w:spacing w:line="360" w:lineRule="auto"/>
        <w:ind w:right="720" w:firstLine="5760" w:firstLineChars="2400"/>
        <w:rPr>
          <w:rFonts w:ascii="宋体" w:hAnsi="宋体"/>
          <w:sz w:val="24"/>
          <w:highlight w:val="none"/>
        </w:rPr>
      </w:pPr>
    </w:p>
    <w:p>
      <w:pPr>
        <w:snapToGrid w:val="0"/>
        <w:spacing w:line="360" w:lineRule="auto"/>
        <w:jc w:val="left"/>
        <w:rPr>
          <w:rFonts w:ascii="宋体" w:hAnsi="宋体"/>
          <w:sz w:val="24"/>
          <w:highlight w:val="none"/>
        </w:rPr>
      </w:pPr>
      <w:r>
        <w:rPr>
          <w:rFonts w:hint="eastAsia" w:ascii="宋体" w:hAnsi="宋体"/>
          <w:sz w:val="24"/>
          <w:highlight w:val="none"/>
        </w:rPr>
        <w:br w:type="page"/>
      </w:r>
      <w:r>
        <w:rPr>
          <w:rFonts w:hint="eastAsia" w:ascii="宋体" w:hAnsi="宋体"/>
          <w:sz w:val="24"/>
          <w:highlight w:val="none"/>
        </w:rPr>
        <w:t>附件一：</w:t>
      </w:r>
    </w:p>
    <w:p>
      <w:pPr>
        <w:adjustRightInd w:val="0"/>
        <w:snapToGrid w:val="0"/>
        <w:spacing w:line="360" w:lineRule="auto"/>
        <w:jc w:val="center"/>
        <w:outlineLvl w:val="0"/>
        <w:rPr>
          <w:rFonts w:ascii="宋体" w:hAnsi="宋体" w:cs="宋体"/>
          <w:b/>
          <w:sz w:val="28"/>
          <w:szCs w:val="28"/>
          <w:highlight w:val="none"/>
        </w:rPr>
      </w:pPr>
      <w:r>
        <w:rPr>
          <w:rFonts w:hint="eastAsia" w:ascii="宋体" w:hAnsi="宋体" w:cs="宋体"/>
          <w:b/>
          <w:kern w:val="0"/>
          <w:sz w:val="28"/>
          <w:szCs w:val="28"/>
          <w:highlight w:val="none"/>
        </w:rPr>
        <w:t>投标申请人</w:t>
      </w:r>
      <w:r>
        <w:rPr>
          <w:rFonts w:hint="eastAsia" w:ascii="宋体" w:hAnsi="宋体" w:cs="宋体"/>
          <w:b/>
          <w:sz w:val="28"/>
          <w:szCs w:val="28"/>
          <w:highlight w:val="none"/>
        </w:rPr>
        <w:t>声明</w:t>
      </w:r>
    </w:p>
    <w:p>
      <w:pPr>
        <w:pStyle w:val="40"/>
        <w:snapToGrid w:val="0"/>
        <w:spacing w:line="36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致：</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（发包人名称） </w:t>
      </w:r>
      <w:r>
        <w:rPr>
          <w:rFonts w:ascii="宋体" w:hAnsi="宋体" w:eastAsia="宋体"/>
          <w:color w:val="000000" w:themeColor="text1"/>
          <w:sz w:val="24"/>
          <w:szCs w:val="24"/>
          <w:highlight w:val="none"/>
          <w:u w:val="single"/>
          <w14:textFill>
            <w14:solidFill>
              <w14:schemeClr w14:val="tx1"/>
            </w14:solidFill>
          </w14:textFill>
        </w:rPr>
        <w:t xml:space="preserve">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本公司就参加</w:t>
      </w:r>
      <w:r>
        <w:rPr>
          <w:rFonts w:hint="eastAsia" w:ascii="宋体" w:hAnsi="宋体" w:eastAsia="宋体"/>
          <w:sz w:val="21"/>
          <w:szCs w:val="21"/>
          <w:highlight w:val="none"/>
          <w:u w:val="single"/>
        </w:rPr>
        <w:t xml:space="preserve">     （项目名称）     </w:t>
      </w:r>
      <w:r>
        <w:rPr>
          <w:rFonts w:hint="eastAsia" w:ascii="宋体" w:hAnsi="宋体" w:eastAsia="宋体"/>
          <w:sz w:val="21"/>
          <w:szCs w:val="21"/>
          <w:highlight w:val="none"/>
        </w:rPr>
        <w:t>投标工作，作出郑重声明：</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二、本公司保证在本项目投标中不与其他单位围标、串标，不出让投标资格，不向招标人或评标委员会成员行贿。</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三、本公司不存在下列情形之一：</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（1）为招标人不具有独立法人资格的附属机构（单位）；</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2</w:t>
      </w:r>
      <w:r>
        <w:rPr>
          <w:rFonts w:hint="eastAsia" w:ascii="宋体" w:hAnsi="宋体" w:eastAsia="宋体"/>
          <w:sz w:val="21"/>
          <w:szCs w:val="21"/>
          <w:highlight w:val="none"/>
        </w:rPr>
        <w:t>）为本项目监理人或者与本项目监理人存在隶属关系或者其他利害关系；</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3</w:t>
      </w:r>
      <w:r>
        <w:rPr>
          <w:rFonts w:hint="eastAsia" w:ascii="宋体" w:hAnsi="宋体" w:eastAsia="宋体"/>
          <w:sz w:val="21"/>
          <w:szCs w:val="21"/>
          <w:highlight w:val="none"/>
        </w:rPr>
        <w:t>）为本标段的代建人；</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4</w:t>
      </w:r>
      <w:r>
        <w:rPr>
          <w:rFonts w:hint="eastAsia" w:ascii="宋体" w:hAnsi="宋体" w:eastAsia="宋体"/>
          <w:sz w:val="21"/>
          <w:szCs w:val="21"/>
          <w:highlight w:val="none"/>
        </w:rPr>
        <w:t>）为本标段提供招标代理服务的；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5</w:t>
      </w:r>
      <w:r>
        <w:rPr>
          <w:rFonts w:hint="eastAsia" w:ascii="宋体" w:hAnsi="宋体" w:eastAsia="宋体"/>
          <w:sz w:val="21"/>
          <w:szCs w:val="21"/>
          <w:highlight w:val="none"/>
        </w:rPr>
        <w:t>）与本标段的监理人或代建人或招标代理机构同为一个法定代表人的；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6</w:t>
      </w:r>
      <w:r>
        <w:rPr>
          <w:rFonts w:hint="eastAsia" w:ascii="宋体" w:hAnsi="宋体" w:eastAsia="宋体"/>
          <w:sz w:val="21"/>
          <w:szCs w:val="21"/>
          <w:highlight w:val="none"/>
        </w:rPr>
        <w:t>）与本标段的监理人或代建人或招标代理机构互相控股或参股的；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7</w:t>
      </w:r>
      <w:r>
        <w:rPr>
          <w:rFonts w:hint="eastAsia" w:ascii="宋体" w:hAnsi="宋体" w:eastAsia="宋体"/>
          <w:sz w:val="21"/>
          <w:szCs w:val="21"/>
          <w:highlight w:val="none"/>
        </w:rPr>
        <w:t>）与本标段的监理人或代建人或招标代理机构相互任职或工作的；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8</w:t>
      </w:r>
      <w:r>
        <w:rPr>
          <w:rFonts w:hint="eastAsia" w:ascii="宋体" w:hAnsi="宋体" w:eastAsia="宋体"/>
          <w:sz w:val="21"/>
          <w:szCs w:val="21"/>
          <w:highlight w:val="none"/>
        </w:rPr>
        <w:t>）与本标段的检测机构有隶属关系或者其他利害关系；</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9</w:t>
      </w:r>
      <w:r>
        <w:rPr>
          <w:rFonts w:hint="eastAsia" w:ascii="宋体" w:hAnsi="宋体" w:eastAsia="宋体"/>
          <w:sz w:val="21"/>
          <w:szCs w:val="21"/>
          <w:highlight w:val="none"/>
        </w:rPr>
        <w:t xml:space="preserve">）与招标人存在利害关系且可能影响招标公正性；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0</w:t>
      </w:r>
      <w:r>
        <w:rPr>
          <w:rFonts w:hint="eastAsia" w:ascii="宋体" w:hAnsi="宋体" w:eastAsia="宋体"/>
          <w:sz w:val="21"/>
          <w:szCs w:val="21"/>
          <w:highlight w:val="none"/>
        </w:rPr>
        <w:t xml:space="preserve">）与本标段的其他投标人为同一个单位负责人；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1</w:t>
      </w:r>
      <w:r>
        <w:rPr>
          <w:rFonts w:hint="eastAsia" w:ascii="宋体" w:hAnsi="宋体" w:eastAsia="宋体"/>
          <w:sz w:val="21"/>
          <w:szCs w:val="21"/>
          <w:highlight w:val="none"/>
        </w:rPr>
        <w:t xml:space="preserve">）与本标段的其他投标人存在控股、管理关系；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2</w:t>
      </w:r>
      <w:r>
        <w:rPr>
          <w:rFonts w:hint="eastAsia" w:ascii="宋体" w:hAnsi="宋体" w:eastAsia="宋体"/>
          <w:sz w:val="21"/>
          <w:szCs w:val="21"/>
          <w:highlight w:val="none"/>
        </w:rPr>
        <w:t xml:space="preserve">）被依法暂停或取消投标资格的； </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3</w:t>
      </w:r>
      <w:r>
        <w:rPr>
          <w:rFonts w:hint="eastAsia" w:ascii="宋体" w:hAnsi="宋体" w:eastAsia="宋体"/>
          <w:sz w:val="21"/>
          <w:szCs w:val="21"/>
          <w:highlight w:val="none"/>
        </w:rPr>
        <w:t>）被责令停产停业、暂扣或者吊销许可证、暂扣或者吊销执照的；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4</w:t>
      </w:r>
      <w:r>
        <w:rPr>
          <w:rFonts w:hint="eastAsia" w:ascii="宋体" w:hAnsi="宋体" w:eastAsia="宋体"/>
          <w:sz w:val="21"/>
          <w:szCs w:val="21"/>
          <w:highlight w:val="none"/>
        </w:rPr>
        <w:t>）进入清算程序，或被宣布破产，或其他丧失履约能力的情形；</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5</w:t>
      </w:r>
      <w:r>
        <w:rPr>
          <w:rFonts w:hint="eastAsia" w:ascii="宋体" w:hAnsi="宋体" w:eastAsia="宋体"/>
          <w:sz w:val="21"/>
          <w:szCs w:val="21"/>
          <w:highlight w:val="none"/>
        </w:rPr>
        <w:t>）在最近三年内有骗取中标或严重违约或重大工程质量问题的；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6</w:t>
      </w:r>
      <w:r>
        <w:rPr>
          <w:rFonts w:hint="eastAsia" w:ascii="宋体" w:hAnsi="宋体" w:eastAsia="宋体"/>
          <w:sz w:val="21"/>
          <w:szCs w:val="21"/>
          <w:highlight w:val="none"/>
        </w:rPr>
        <w:t>）被工商行政管理机关在全国企业信用信息公示系统中列入严重违法失信企业名单；</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7</w:t>
      </w:r>
      <w:r>
        <w:rPr>
          <w:rFonts w:hint="eastAsia" w:ascii="宋体" w:hAnsi="宋体" w:eastAsia="宋体"/>
          <w:sz w:val="21"/>
          <w:szCs w:val="21"/>
          <w:highlight w:val="none"/>
        </w:rPr>
        <w:t>）被最高人民法院在“信用中国”网站（www.creditchina.gov.cn）或各级信用信息共享平台中列入失信被执行人名单；</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8</w:t>
      </w:r>
      <w:r>
        <w:rPr>
          <w:rFonts w:hint="eastAsia" w:ascii="宋体" w:hAnsi="宋体" w:eastAsia="宋体"/>
          <w:sz w:val="21"/>
          <w:szCs w:val="21"/>
          <w:highlight w:val="none"/>
        </w:rPr>
        <w:t>）在近三年内投标人或其法定代表人、拟委派的项目负责人有行贿犯罪行为的；</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w:t>
      </w:r>
      <w:r>
        <w:rPr>
          <w:rFonts w:ascii="宋体" w:hAnsi="宋体" w:eastAsia="宋体"/>
          <w:sz w:val="21"/>
          <w:szCs w:val="21"/>
          <w:highlight w:val="none"/>
        </w:rPr>
        <w:t>19</w:t>
      </w:r>
      <w:r>
        <w:rPr>
          <w:rFonts w:hint="eastAsia" w:ascii="宋体" w:hAnsi="宋体" w:eastAsia="宋体"/>
          <w:sz w:val="21"/>
          <w:szCs w:val="21"/>
          <w:highlight w:val="none"/>
        </w:rPr>
        <w:t>）法律法规规定的其他情形。</w:t>
      </w:r>
    </w:p>
    <w:p>
      <w:pPr>
        <w:widowControl/>
        <w:spacing w:line="360" w:lineRule="auto"/>
        <w:ind w:firstLine="420" w:firstLineChars="200"/>
        <w:jc w:val="left"/>
        <w:rPr>
          <w:rFonts w:hint="eastAsia" w:ascii="宋体" w:hAnsi="宋体"/>
          <w:bCs/>
          <w:color w:val="000000"/>
          <w:kern w:val="0"/>
          <w:szCs w:val="21"/>
          <w:highlight w:val="none"/>
          <w:lang w:val="en-US" w:eastAsia="zh-CN"/>
        </w:rPr>
      </w:pPr>
    </w:p>
    <w:p>
      <w:pPr>
        <w:widowControl/>
        <w:numPr>
          <w:ilvl w:val="0"/>
          <w:numId w:val="5"/>
        </w:numPr>
        <w:spacing w:line="360" w:lineRule="auto"/>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本公司保证本项目拟派的项目负责人和安全员没有在其他在建项目中任职。</w:t>
      </w:r>
    </w:p>
    <w:p>
      <w:pPr>
        <w:widowControl/>
        <w:numPr>
          <w:ilvl w:val="0"/>
          <w:numId w:val="5"/>
        </w:numPr>
        <w:spacing w:line="360" w:lineRule="auto"/>
        <w:ind w:firstLine="420" w:firstLineChars="200"/>
        <w:jc w:val="left"/>
        <w:rPr>
          <w:rFonts w:ascii="宋体" w:hAnsi="宋体"/>
          <w:bCs/>
          <w:color w:val="000000"/>
          <w:kern w:val="0"/>
          <w:szCs w:val="21"/>
          <w:highlight w:val="none"/>
        </w:rPr>
      </w:pPr>
      <w:r>
        <w:rPr>
          <w:rFonts w:hint="eastAsia" w:ascii="宋体" w:hAnsi="宋体"/>
          <w:bCs/>
          <w:color w:val="000000"/>
          <w:kern w:val="0"/>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000000"/>
          <w:kern w:val="0"/>
          <w:szCs w:val="21"/>
          <w:highlight w:val="none"/>
        </w:rPr>
      </w:pPr>
      <w:r>
        <w:rPr>
          <w:rFonts w:hint="eastAsia" w:ascii="宋体" w:hAnsi="宋体"/>
          <w:color w:val="000000"/>
          <w:kern w:val="0"/>
          <w:szCs w:val="21"/>
          <w:highlight w:val="none"/>
          <w:lang w:val="en-US" w:eastAsia="zh-CN"/>
        </w:rPr>
        <w:t>六</w:t>
      </w:r>
      <w:r>
        <w:rPr>
          <w:rFonts w:hint="eastAsia" w:ascii="宋体" w:hAnsi="宋体"/>
          <w:color w:val="000000"/>
          <w:kern w:val="0"/>
          <w:szCs w:val="21"/>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000000"/>
          <w:kern w:val="0"/>
          <w:szCs w:val="21"/>
          <w:highlight w:val="none"/>
        </w:rPr>
      </w:pPr>
      <w:r>
        <w:rPr>
          <w:rFonts w:hint="eastAsia" w:ascii="宋体" w:hAnsi="宋体"/>
          <w:color w:val="000000"/>
          <w:kern w:val="0"/>
          <w:szCs w:val="21"/>
          <w:highlight w:val="none"/>
          <w:lang w:val="en-US" w:eastAsia="zh-CN"/>
        </w:rPr>
        <w:t>七</w:t>
      </w:r>
      <w:r>
        <w:rPr>
          <w:rFonts w:hint="eastAsia" w:ascii="宋体" w:hAnsi="宋体"/>
          <w:color w:val="000000"/>
          <w:kern w:val="0"/>
          <w:szCs w:val="21"/>
          <w:highlight w:val="none"/>
        </w:rPr>
        <w:t>、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40"/>
        <w:ind w:firstLine="420" w:firstLineChars="200"/>
        <w:jc w:val="left"/>
        <w:rPr>
          <w:rFonts w:hint="eastAsia" w:ascii="宋体" w:hAnsi="宋体" w:eastAsia="宋体"/>
          <w:sz w:val="21"/>
          <w:szCs w:val="21"/>
          <w:highlight w:val="none"/>
        </w:rPr>
      </w:pPr>
      <w:r>
        <w:rPr>
          <w:rFonts w:hint="eastAsia" w:ascii="宋体" w:hAnsi="宋体" w:eastAsia="宋体"/>
          <w:sz w:val="21"/>
          <w:szCs w:val="21"/>
          <w:highlight w:val="none"/>
          <w:lang w:val="en-US" w:eastAsia="zh-CN"/>
        </w:rPr>
        <w:t>八</w:t>
      </w:r>
      <w:r>
        <w:rPr>
          <w:rFonts w:hint="eastAsia" w:ascii="宋体" w:hAnsi="宋体" w:eastAsia="宋体"/>
          <w:sz w:val="21"/>
          <w:szCs w:val="21"/>
          <w:highlight w:val="none"/>
        </w:rPr>
        <w:t>、与本公司单位负责人为同一人或者与本公司存在控股、管理关系的其他单位包括：</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 xml:space="preserve"> 。（注：本条由投标人如实填写，如有，应列出全部满足招标公告资质要求的相关单位的名称；如无，则填写“无”。）</w:t>
      </w:r>
    </w:p>
    <w:p>
      <w:pPr>
        <w:pStyle w:val="40"/>
        <w:ind w:firstLine="420" w:firstLineChars="200"/>
        <w:jc w:val="left"/>
        <w:rPr>
          <w:rFonts w:hint="eastAsia" w:ascii="宋体" w:hAnsi="宋体" w:eastAsia="宋体"/>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lang w:val="en-US" w:eastAsia="zh-CN"/>
        </w:rPr>
        <w:t>十</w:t>
      </w:r>
      <w:r>
        <w:rPr>
          <w:rFonts w:hint="eastAsia" w:ascii="宋体" w:hAnsi="宋体" w:eastAsia="宋体"/>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lang w:val="en-US" w:eastAsia="zh-CN"/>
        </w:rPr>
        <w:t>十一</w:t>
      </w:r>
      <w:r>
        <w:rPr>
          <w:rFonts w:hint="eastAsia" w:ascii="宋体" w:hAnsi="宋体" w:eastAsia="宋体"/>
          <w:sz w:val="21"/>
          <w:szCs w:val="21"/>
          <w:highlight w:val="none"/>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40"/>
        <w:ind w:firstLine="420" w:firstLineChars="200"/>
        <w:rPr>
          <w:rFonts w:ascii="宋体" w:hAnsi="宋体" w:eastAsia="宋体"/>
          <w:sz w:val="21"/>
          <w:szCs w:val="21"/>
          <w:highlight w:val="none"/>
        </w:rPr>
      </w:pPr>
      <w:r>
        <w:rPr>
          <w:rFonts w:hint="eastAsia" w:ascii="宋体" w:hAnsi="宋体" w:eastAsia="宋体"/>
          <w:sz w:val="21"/>
          <w:szCs w:val="21"/>
          <w:highlight w:val="none"/>
        </w:rPr>
        <w:t>特此声明。</w:t>
      </w:r>
    </w:p>
    <w:p>
      <w:pPr>
        <w:pStyle w:val="39"/>
        <w:ind w:left="629" w:right="1449"/>
        <w:jc w:val="both"/>
        <w:rPr>
          <w:rFonts w:hint="eastAsia" w:ascii="宋体" w:hAnsi="宋体" w:eastAsia="宋体"/>
          <w:sz w:val="21"/>
          <w:szCs w:val="21"/>
          <w:highlight w:val="none"/>
        </w:rPr>
      </w:pPr>
      <w:r>
        <w:rPr>
          <w:rFonts w:hint="eastAsia" w:ascii="宋体" w:hAnsi="宋体" w:eastAsia="宋体"/>
          <w:sz w:val="21"/>
          <w:szCs w:val="21"/>
          <w:highlight w:val="none"/>
        </w:rPr>
        <w:t xml:space="preserve">                        </w:t>
      </w:r>
    </w:p>
    <w:p>
      <w:pPr>
        <w:pStyle w:val="39"/>
        <w:ind w:left="629" w:right="1449" w:firstLine="2940" w:firstLineChars="1400"/>
        <w:jc w:val="both"/>
        <w:rPr>
          <w:rFonts w:ascii="宋体" w:hAnsi="宋体" w:eastAsia="宋体"/>
          <w:sz w:val="21"/>
          <w:szCs w:val="21"/>
          <w:highlight w:val="none"/>
        </w:rPr>
      </w:pPr>
      <w:r>
        <w:rPr>
          <w:rFonts w:hint="eastAsia" w:ascii="宋体" w:hAnsi="宋体" w:eastAsia="宋体"/>
          <w:sz w:val="21"/>
          <w:szCs w:val="21"/>
          <w:highlight w:val="none"/>
        </w:rPr>
        <w:t xml:space="preserve"> 声明企业：</w:t>
      </w:r>
    </w:p>
    <w:p>
      <w:pPr>
        <w:pStyle w:val="4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法定代表人签字：</w:t>
      </w:r>
    </w:p>
    <w:p>
      <w:pPr>
        <w:pStyle w:val="40"/>
        <w:ind w:right="1179" w:firstLine="0"/>
        <w:rPr>
          <w:rFonts w:ascii="宋体" w:hAnsi="宋体" w:eastAsia="宋体"/>
          <w:sz w:val="21"/>
          <w:szCs w:val="21"/>
          <w:highlight w:val="none"/>
        </w:rPr>
      </w:pPr>
      <w:r>
        <w:rPr>
          <w:rFonts w:hint="eastAsia" w:ascii="宋体" w:hAnsi="宋体" w:eastAsia="宋体"/>
          <w:sz w:val="21"/>
          <w:szCs w:val="21"/>
          <w:highlight w:val="none"/>
        </w:rPr>
        <w:t xml:space="preserve">                             项目负责人签字:</w:t>
      </w:r>
    </w:p>
    <w:p>
      <w:pPr>
        <w:pStyle w:val="40"/>
        <w:ind w:right="879" w:firstLine="0"/>
        <w:jc w:val="left"/>
        <w:rPr>
          <w:rFonts w:ascii="宋体" w:hAnsi="宋体" w:eastAsia="宋体"/>
          <w:sz w:val="21"/>
          <w:szCs w:val="21"/>
          <w:highlight w:val="none"/>
        </w:rPr>
      </w:pPr>
      <w:r>
        <w:rPr>
          <w:rFonts w:hint="eastAsia" w:ascii="宋体" w:hAnsi="宋体" w:eastAsia="宋体"/>
          <w:sz w:val="21"/>
          <w:szCs w:val="21"/>
          <w:highlight w:val="none"/>
        </w:rPr>
        <w:t xml:space="preserve">                             技术负责人签字：</w:t>
      </w:r>
    </w:p>
    <w:p>
      <w:pPr>
        <w:pStyle w:val="40"/>
        <w:ind w:right="879" w:firstLine="5040" w:firstLineChars="2400"/>
        <w:jc w:val="left"/>
        <w:rPr>
          <w:rFonts w:ascii="宋体" w:hAnsi="宋体" w:eastAsia="宋体"/>
          <w:sz w:val="21"/>
          <w:szCs w:val="21"/>
          <w:highlight w:val="none"/>
        </w:rPr>
      </w:pPr>
      <w:r>
        <w:rPr>
          <w:rFonts w:hint="eastAsia" w:ascii="宋体" w:hAnsi="宋体" w:eastAsia="宋体"/>
          <w:sz w:val="21"/>
          <w:szCs w:val="21"/>
          <w:highlight w:val="none"/>
        </w:rPr>
        <w:t xml:space="preserve">年   月   日                 </w:t>
      </w:r>
    </w:p>
    <w:p>
      <w:pPr>
        <w:pStyle w:val="40"/>
        <w:ind w:right="879" w:firstLine="5040" w:firstLineChars="2400"/>
        <w:jc w:val="left"/>
        <w:rPr>
          <w:rFonts w:ascii="宋体" w:hAnsi="宋体" w:eastAsia="宋体"/>
          <w:sz w:val="21"/>
          <w:szCs w:val="21"/>
          <w:highlight w:val="none"/>
        </w:rPr>
      </w:pPr>
      <w:r>
        <w:rPr>
          <w:rFonts w:hint="eastAsia" w:ascii="宋体" w:hAnsi="宋体" w:eastAsia="宋体"/>
          <w:sz w:val="21"/>
          <w:szCs w:val="21"/>
          <w:highlight w:val="none"/>
        </w:rPr>
        <w:t xml:space="preserve"> （企业公章）</w:t>
      </w:r>
    </w:p>
    <w:p>
      <w:pPr>
        <w:spacing w:line="360" w:lineRule="auto"/>
        <w:rPr>
          <w:rFonts w:ascii="宋体" w:hAnsi="宋体"/>
          <w:szCs w:val="21"/>
          <w:highlight w:val="none"/>
        </w:rPr>
      </w:pPr>
      <w:r>
        <w:rPr>
          <w:rFonts w:hint="eastAsia" w:ascii="宋体" w:hAnsi="宋体"/>
          <w:color w:val="000000"/>
          <w:kern w:val="0"/>
          <w:szCs w:val="21"/>
          <w:highlight w:val="none"/>
        </w:rPr>
        <w:t>注：招标人应当要求投标人的项目负责人和技术负责人签字。</w:t>
      </w:r>
    </w:p>
    <w:p>
      <w:pPr>
        <w:pStyle w:val="40"/>
        <w:snapToGrid w:val="0"/>
        <w:spacing w:line="360" w:lineRule="auto"/>
        <w:ind w:right="172" w:firstLine="4080" w:firstLineChars="1700"/>
        <w:jc w:val="right"/>
        <w:rPr>
          <w:color w:val="000000" w:themeColor="text1"/>
          <w:sz w:val="24"/>
          <w:szCs w:val="24"/>
          <w:highlight w:val="none"/>
          <w14:textFill>
            <w14:solidFill>
              <w14:schemeClr w14:val="tx1"/>
            </w14:solidFill>
          </w14:textFill>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napToGrid w:val="0"/>
        <w:spacing w:line="360" w:lineRule="auto"/>
        <w:jc w:val="left"/>
        <w:rPr>
          <w:rFonts w:ascii="宋体" w:hAnsi="宋体"/>
          <w:sz w:val="24"/>
          <w:highlight w:val="none"/>
        </w:rPr>
      </w:pPr>
    </w:p>
    <w:p>
      <w:pPr>
        <w:spacing w:line="360" w:lineRule="auto"/>
        <w:jc w:val="center"/>
        <w:outlineLvl w:val="0"/>
        <w:rPr>
          <w:rFonts w:ascii="宋体" w:hAnsi="宋体"/>
          <w:b/>
          <w:bCs/>
          <w:sz w:val="32"/>
          <w:highlight w:val="none"/>
        </w:rPr>
      </w:pPr>
    </w:p>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0"/>
      </w:rPr>
      <w:instrText xml:space="preserve"> PAGE </w:instrText>
    </w:r>
    <w:r>
      <w:fldChar w:fldCharType="separate"/>
    </w:r>
    <w:r>
      <w:rPr>
        <w:rStyle w:val="20"/>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B16DD"/>
    <w:multiLevelType w:val="singleLevel"/>
    <w:tmpl w:val="8DDB16DD"/>
    <w:lvl w:ilvl="0" w:tentative="0">
      <w:start w:val="8"/>
      <w:numFmt w:val="decimal"/>
      <w:suff w:val="nothing"/>
      <w:lvlText w:val="%1、"/>
      <w:lvlJc w:val="left"/>
    </w:lvl>
  </w:abstractNum>
  <w:abstractNum w:abstractNumId="1">
    <w:nsid w:val="9B0774A3"/>
    <w:multiLevelType w:val="singleLevel"/>
    <w:tmpl w:val="9B0774A3"/>
    <w:lvl w:ilvl="0" w:tentative="0">
      <w:start w:val="3"/>
      <w:numFmt w:val="decimal"/>
      <w:suff w:val="nothing"/>
      <w:lvlText w:val="%1、"/>
      <w:lvlJc w:val="left"/>
      <w:rPr>
        <w:rFonts w:hint="default" w:ascii="宋体" w:hAnsi="宋体" w:eastAsia="宋体" w:cs="宋体"/>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abstractNum w:abstractNumId="3">
    <w:nsid w:val="4314DB3F"/>
    <w:multiLevelType w:val="singleLevel"/>
    <w:tmpl w:val="4314DB3F"/>
    <w:lvl w:ilvl="0" w:tentative="0">
      <w:start w:val="3"/>
      <w:numFmt w:val="decimal"/>
      <w:suff w:val="nothing"/>
      <w:lvlText w:val="%1、"/>
      <w:lvlJc w:val="left"/>
    </w:lvl>
  </w:abstractNum>
  <w:abstractNum w:abstractNumId="4">
    <w:nsid w:val="46D1C72D"/>
    <w:multiLevelType w:val="singleLevel"/>
    <w:tmpl w:val="46D1C72D"/>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s>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1C21F5"/>
    <w:rsid w:val="0122253E"/>
    <w:rsid w:val="012B1066"/>
    <w:rsid w:val="0189178A"/>
    <w:rsid w:val="02023858"/>
    <w:rsid w:val="022C17BB"/>
    <w:rsid w:val="02511214"/>
    <w:rsid w:val="02634ED2"/>
    <w:rsid w:val="0294251F"/>
    <w:rsid w:val="02BF486B"/>
    <w:rsid w:val="02D7673E"/>
    <w:rsid w:val="02FB5B81"/>
    <w:rsid w:val="035D13B8"/>
    <w:rsid w:val="03CC0010"/>
    <w:rsid w:val="03F5114A"/>
    <w:rsid w:val="041D53CF"/>
    <w:rsid w:val="046C0592"/>
    <w:rsid w:val="05175D89"/>
    <w:rsid w:val="055D51A9"/>
    <w:rsid w:val="05A353D9"/>
    <w:rsid w:val="05CB1589"/>
    <w:rsid w:val="0601161F"/>
    <w:rsid w:val="06120EF8"/>
    <w:rsid w:val="062C4F09"/>
    <w:rsid w:val="063576A1"/>
    <w:rsid w:val="064553B9"/>
    <w:rsid w:val="06661D48"/>
    <w:rsid w:val="06B04234"/>
    <w:rsid w:val="06B718AA"/>
    <w:rsid w:val="06CD2144"/>
    <w:rsid w:val="06E443D3"/>
    <w:rsid w:val="071B70F7"/>
    <w:rsid w:val="0773711B"/>
    <w:rsid w:val="07A26448"/>
    <w:rsid w:val="07B942C4"/>
    <w:rsid w:val="0822604D"/>
    <w:rsid w:val="08411FCF"/>
    <w:rsid w:val="086D2411"/>
    <w:rsid w:val="08D57F0F"/>
    <w:rsid w:val="08DE7D4C"/>
    <w:rsid w:val="09022A39"/>
    <w:rsid w:val="09274A20"/>
    <w:rsid w:val="09413C8E"/>
    <w:rsid w:val="095475DD"/>
    <w:rsid w:val="095E3D1E"/>
    <w:rsid w:val="099D1BD0"/>
    <w:rsid w:val="09CC14E6"/>
    <w:rsid w:val="0A071BD6"/>
    <w:rsid w:val="0A1127A5"/>
    <w:rsid w:val="0B49429C"/>
    <w:rsid w:val="0B620EE9"/>
    <w:rsid w:val="0B8D5667"/>
    <w:rsid w:val="0C061214"/>
    <w:rsid w:val="0C085ED2"/>
    <w:rsid w:val="0C7D4DDB"/>
    <w:rsid w:val="0CC542CD"/>
    <w:rsid w:val="0CFA536B"/>
    <w:rsid w:val="0D5E3142"/>
    <w:rsid w:val="0D8D2241"/>
    <w:rsid w:val="0DB04AC2"/>
    <w:rsid w:val="0E061F96"/>
    <w:rsid w:val="0E170691"/>
    <w:rsid w:val="0E1C71C1"/>
    <w:rsid w:val="0E333297"/>
    <w:rsid w:val="0ECE6617"/>
    <w:rsid w:val="0F166857"/>
    <w:rsid w:val="0F3F4DD0"/>
    <w:rsid w:val="0F453EF2"/>
    <w:rsid w:val="0FC13541"/>
    <w:rsid w:val="100C1E88"/>
    <w:rsid w:val="10197FD4"/>
    <w:rsid w:val="10384F18"/>
    <w:rsid w:val="10466ED0"/>
    <w:rsid w:val="10734036"/>
    <w:rsid w:val="10842C8D"/>
    <w:rsid w:val="10916459"/>
    <w:rsid w:val="11596B55"/>
    <w:rsid w:val="11642F84"/>
    <w:rsid w:val="118B7AAA"/>
    <w:rsid w:val="12BF00AD"/>
    <w:rsid w:val="12FE59B8"/>
    <w:rsid w:val="13172A77"/>
    <w:rsid w:val="138D4727"/>
    <w:rsid w:val="13ED0666"/>
    <w:rsid w:val="145C7FAF"/>
    <w:rsid w:val="1462210F"/>
    <w:rsid w:val="14A5037D"/>
    <w:rsid w:val="157106EE"/>
    <w:rsid w:val="15DF6D44"/>
    <w:rsid w:val="1629503C"/>
    <w:rsid w:val="163A0355"/>
    <w:rsid w:val="163C5853"/>
    <w:rsid w:val="164C43D7"/>
    <w:rsid w:val="164E100C"/>
    <w:rsid w:val="16926C54"/>
    <w:rsid w:val="16B72DAC"/>
    <w:rsid w:val="16B74615"/>
    <w:rsid w:val="16DB7346"/>
    <w:rsid w:val="16ED3654"/>
    <w:rsid w:val="177607D5"/>
    <w:rsid w:val="17877E71"/>
    <w:rsid w:val="17912518"/>
    <w:rsid w:val="179F49AC"/>
    <w:rsid w:val="17D634FB"/>
    <w:rsid w:val="189150F3"/>
    <w:rsid w:val="18967883"/>
    <w:rsid w:val="18B05A84"/>
    <w:rsid w:val="18C6750E"/>
    <w:rsid w:val="191F1437"/>
    <w:rsid w:val="19DA7332"/>
    <w:rsid w:val="19EC6A39"/>
    <w:rsid w:val="1AB56459"/>
    <w:rsid w:val="1AD217D3"/>
    <w:rsid w:val="1AE61D2B"/>
    <w:rsid w:val="1B2B6F43"/>
    <w:rsid w:val="1B5604F1"/>
    <w:rsid w:val="1BBD748F"/>
    <w:rsid w:val="1C012248"/>
    <w:rsid w:val="1C0607B2"/>
    <w:rsid w:val="1C1843DD"/>
    <w:rsid w:val="1C22230B"/>
    <w:rsid w:val="1C356831"/>
    <w:rsid w:val="1C8D5200"/>
    <w:rsid w:val="1CC902DC"/>
    <w:rsid w:val="1CE5374E"/>
    <w:rsid w:val="1CEF1CD0"/>
    <w:rsid w:val="1CFF3907"/>
    <w:rsid w:val="1CFF559E"/>
    <w:rsid w:val="1D142987"/>
    <w:rsid w:val="1D5C71A3"/>
    <w:rsid w:val="1DD81151"/>
    <w:rsid w:val="1E01508B"/>
    <w:rsid w:val="1E5C2575"/>
    <w:rsid w:val="1E8C4893"/>
    <w:rsid w:val="1EE3321B"/>
    <w:rsid w:val="1F263FFF"/>
    <w:rsid w:val="1F3E2E8F"/>
    <w:rsid w:val="1FF51D5D"/>
    <w:rsid w:val="1FF6208D"/>
    <w:rsid w:val="209C0BA8"/>
    <w:rsid w:val="2102376A"/>
    <w:rsid w:val="212B74A9"/>
    <w:rsid w:val="214A0F8D"/>
    <w:rsid w:val="21B54F59"/>
    <w:rsid w:val="21C20A0E"/>
    <w:rsid w:val="22187BFA"/>
    <w:rsid w:val="22AF715D"/>
    <w:rsid w:val="22DD71AC"/>
    <w:rsid w:val="22F120E9"/>
    <w:rsid w:val="23332EB5"/>
    <w:rsid w:val="234D69CA"/>
    <w:rsid w:val="249842BD"/>
    <w:rsid w:val="24A51BA5"/>
    <w:rsid w:val="25052A66"/>
    <w:rsid w:val="250671B1"/>
    <w:rsid w:val="250D40EA"/>
    <w:rsid w:val="25165DDE"/>
    <w:rsid w:val="253D42A6"/>
    <w:rsid w:val="25482840"/>
    <w:rsid w:val="25536928"/>
    <w:rsid w:val="256900F9"/>
    <w:rsid w:val="25A92133"/>
    <w:rsid w:val="25C160D6"/>
    <w:rsid w:val="25DC1D4B"/>
    <w:rsid w:val="25DD445C"/>
    <w:rsid w:val="25E216F4"/>
    <w:rsid w:val="261F3460"/>
    <w:rsid w:val="26B55A8F"/>
    <w:rsid w:val="26DB63D5"/>
    <w:rsid w:val="270C62BF"/>
    <w:rsid w:val="27485E34"/>
    <w:rsid w:val="27765C68"/>
    <w:rsid w:val="27E2468D"/>
    <w:rsid w:val="27F40718"/>
    <w:rsid w:val="2867067F"/>
    <w:rsid w:val="28705726"/>
    <w:rsid w:val="2875154D"/>
    <w:rsid w:val="28850C5D"/>
    <w:rsid w:val="29017B6B"/>
    <w:rsid w:val="2906420A"/>
    <w:rsid w:val="291B051C"/>
    <w:rsid w:val="291C3F69"/>
    <w:rsid w:val="298000A1"/>
    <w:rsid w:val="29987E43"/>
    <w:rsid w:val="29A67494"/>
    <w:rsid w:val="2A6E041B"/>
    <w:rsid w:val="2A727E28"/>
    <w:rsid w:val="2A796EAC"/>
    <w:rsid w:val="2A7A2C8C"/>
    <w:rsid w:val="2A8F5635"/>
    <w:rsid w:val="2AC34354"/>
    <w:rsid w:val="2AE64DA5"/>
    <w:rsid w:val="2B5D3862"/>
    <w:rsid w:val="2B7D59D5"/>
    <w:rsid w:val="2B7E547A"/>
    <w:rsid w:val="2B8230F3"/>
    <w:rsid w:val="2C6E0E3A"/>
    <w:rsid w:val="2CA80DBE"/>
    <w:rsid w:val="2D1D5CF2"/>
    <w:rsid w:val="2D413FE6"/>
    <w:rsid w:val="2DF47BDA"/>
    <w:rsid w:val="2E0510A7"/>
    <w:rsid w:val="2E450F62"/>
    <w:rsid w:val="2E671117"/>
    <w:rsid w:val="2E6A1348"/>
    <w:rsid w:val="2E9B657A"/>
    <w:rsid w:val="2F187EAF"/>
    <w:rsid w:val="2F6A59A5"/>
    <w:rsid w:val="2FB90ADC"/>
    <w:rsid w:val="2FC63312"/>
    <w:rsid w:val="300D774B"/>
    <w:rsid w:val="304415EA"/>
    <w:rsid w:val="30D64907"/>
    <w:rsid w:val="30E2391E"/>
    <w:rsid w:val="31A351E2"/>
    <w:rsid w:val="31BD0221"/>
    <w:rsid w:val="31C81974"/>
    <w:rsid w:val="31CA2A97"/>
    <w:rsid w:val="31E777DB"/>
    <w:rsid w:val="3222752F"/>
    <w:rsid w:val="32BE6B9B"/>
    <w:rsid w:val="32BF24E3"/>
    <w:rsid w:val="32E313DE"/>
    <w:rsid w:val="32E70E43"/>
    <w:rsid w:val="32F47C26"/>
    <w:rsid w:val="33646EDC"/>
    <w:rsid w:val="336B43A1"/>
    <w:rsid w:val="336C1EC1"/>
    <w:rsid w:val="343B14EB"/>
    <w:rsid w:val="346F40E9"/>
    <w:rsid w:val="34A61AC0"/>
    <w:rsid w:val="34F911D5"/>
    <w:rsid w:val="34FE7B98"/>
    <w:rsid w:val="350D0DB6"/>
    <w:rsid w:val="356C563A"/>
    <w:rsid w:val="35AA386B"/>
    <w:rsid w:val="35C037B2"/>
    <w:rsid w:val="35C644DF"/>
    <w:rsid w:val="35F67B94"/>
    <w:rsid w:val="364147E3"/>
    <w:rsid w:val="36937ED8"/>
    <w:rsid w:val="369A7725"/>
    <w:rsid w:val="36C327F9"/>
    <w:rsid w:val="374F0524"/>
    <w:rsid w:val="37874B00"/>
    <w:rsid w:val="37B027FC"/>
    <w:rsid w:val="37E014E1"/>
    <w:rsid w:val="38E876F6"/>
    <w:rsid w:val="396637F9"/>
    <w:rsid w:val="397D66DD"/>
    <w:rsid w:val="398D5E6D"/>
    <w:rsid w:val="39965D68"/>
    <w:rsid w:val="399D008D"/>
    <w:rsid w:val="39D771C9"/>
    <w:rsid w:val="3A2E20B5"/>
    <w:rsid w:val="3A471164"/>
    <w:rsid w:val="3AC84A28"/>
    <w:rsid w:val="3B902C2D"/>
    <w:rsid w:val="3B95258E"/>
    <w:rsid w:val="3BA63825"/>
    <w:rsid w:val="3BF1111E"/>
    <w:rsid w:val="3BF74783"/>
    <w:rsid w:val="3C1C4E3E"/>
    <w:rsid w:val="3C521A3F"/>
    <w:rsid w:val="3D566F67"/>
    <w:rsid w:val="3D5D3F08"/>
    <w:rsid w:val="3E172B20"/>
    <w:rsid w:val="3E191D4C"/>
    <w:rsid w:val="3E340F62"/>
    <w:rsid w:val="3E3B0E18"/>
    <w:rsid w:val="3E484743"/>
    <w:rsid w:val="3E5B1AEE"/>
    <w:rsid w:val="3EF1191C"/>
    <w:rsid w:val="3F3D71E5"/>
    <w:rsid w:val="3F521947"/>
    <w:rsid w:val="3FA02F3D"/>
    <w:rsid w:val="3FC20C48"/>
    <w:rsid w:val="3FE970EC"/>
    <w:rsid w:val="40375EE2"/>
    <w:rsid w:val="40420E5A"/>
    <w:rsid w:val="40AD4623"/>
    <w:rsid w:val="40AD4BF8"/>
    <w:rsid w:val="40AD6FA9"/>
    <w:rsid w:val="40B67104"/>
    <w:rsid w:val="41062A87"/>
    <w:rsid w:val="41691F92"/>
    <w:rsid w:val="418204C7"/>
    <w:rsid w:val="419E4433"/>
    <w:rsid w:val="41A42068"/>
    <w:rsid w:val="41B3623A"/>
    <w:rsid w:val="4267703E"/>
    <w:rsid w:val="42764AD5"/>
    <w:rsid w:val="427C546F"/>
    <w:rsid w:val="42806B8B"/>
    <w:rsid w:val="42EB30B5"/>
    <w:rsid w:val="43B7257E"/>
    <w:rsid w:val="43F31495"/>
    <w:rsid w:val="44112AE7"/>
    <w:rsid w:val="44485106"/>
    <w:rsid w:val="445702DB"/>
    <w:rsid w:val="44623B8E"/>
    <w:rsid w:val="447A4A68"/>
    <w:rsid w:val="44B27E14"/>
    <w:rsid w:val="44C411FA"/>
    <w:rsid w:val="454552C9"/>
    <w:rsid w:val="455A54BB"/>
    <w:rsid w:val="45FD4187"/>
    <w:rsid w:val="4615400D"/>
    <w:rsid w:val="46184551"/>
    <w:rsid w:val="461D62B2"/>
    <w:rsid w:val="46273016"/>
    <w:rsid w:val="46754385"/>
    <w:rsid w:val="46BB51AC"/>
    <w:rsid w:val="46C73D39"/>
    <w:rsid w:val="46D27639"/>
    <w:rsid w:val="46F07D78"/>
    <w:rsid w:val="47830769"/>
    <w:rsid w:val="47F877AA"/>
    <w:rsid w:val="481978C1"/>
    <w:rsid w:val="48375667"/>
    <w:rsid w:val="48377450"/>
    <w:rsid w:val="483B1322"/>
    <w:rsid w:val="486D01AA"/>
    <w:rsid w:val="486F1E9D"/>
    <w:rsid w:val="488851FA"/>
    <w:rsid w:val="48BD0F90"/>
    <w:rsid w:val="48C5790B"/>
    <w:rsid w:val="48D22EDE"/>
    <w:rsid w:val="48FB467F"/>
    <w:rsid w:val="49230DB0"/>
    <w:rsid w:val="4946009D"/>
    <w:rsid w:val="4954592C"/>
    <w:rsid w:val="497B4F19"/>
    <w:rsid w:val="49C16D01"/>
    <w:rsid w:val="49C43392"/>
    <w:rsid w:val="49E32E91"/>
    <w:rsid w:val="4A0C571F"/>
    <w:rsid w:val="4A91409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F02F20"/>
    <w:rsid w:val="500E34BA"/>
    <w:rsid w:val="507371B3"/>
    <w:rsid w:val="514B1109"/>
    <w:rsid w:val="51744496"/>
    <w:rsid w:val="51BA4525"/>
    <w:rsid w:val="51CB62F5"/>
    <w:rsid w:val="5231793A"/>
    <w:rsid w:val="52622DE3"/>
    <w:rsid w:val="52A07B0A"/>
    <w:rsid w:val="52A321B5"/>
    <w:rsid w:val="5334319E"/>
    <w:rsid w:val="53B537EB"/>
    <w:rsid w:val="53FD0290"/>
    <w:rsid w:val="542C7886"/>
    <w:rsid w:val="546332D9"/>
    <w:rsid w:val="5476514A"/>
    <w:rsid w:val="548756F9"/>
    <w:rsid w:val="549619F6"/>
    <w:rsid w:val="54EE63BF"/>
    <w:rsid w:val="559969D4"/>
    <w:rsid w:val="55BC1B8B"/>
    <w:rsid w:val="55F9531C"/>
    <w:rsid w:val="561359D4"/>
    <w:rsid w:val="561F0691"/>
    <w:rsid w:val="562D02B0"/>
    <w:rsid w:val="5642031F"/>
    <w:rsid w:val="56DE61F4"/>
    <w:rsid w:val="56E457CC"/>
    <w:rsid w:val="5749278A"/>
    <w:rsid w:val="575778D4"/>
    <w:rsid w:val="578339CF"/>
    <w:rsid w:val="58D95A5D"/>
    <w:rsid w:val="58EB4F8E"/>
    <w:rsid w:val="58EC3BCD"/>
    <w:rsid w:val="58EF7A7F"/>
    <w:rsid w:val="59000089"/>
    <w:rsid w:val="59401795"/>
    <w:rsid w:val="59682604"/>
    <w:rsid w:val="598C6341"/>
    <w:rsid w:val="59A85620"/>
    <w:rsid w:val="59B136B5"/>
    <w:rsid w:val="5A2E2F63"/>
    <w:rsid w:val="5A7D7092"/>
    <w:rsid w:val="5A9203F5"/>
    <w:rsid w:val="5AAC4DCF"/>
    <w:rsid w:val="5AE74481"/>
    <w:rsid w:val="5B57636B"/>
    <w:rsid w:val="5B887D5B"/>
    <w:rsid w:val="5BB573ED"/>
    <w:rsid w:val="5BFD6DD2"/>
    <w:rsid w:val="5C56190B"/>
    <w:rsid w:val="5CB176FC"/>
    <w:rsid w:val="5CD1780B"/>
    <w:rsid w:val="5DA0758D"/>
    <w:rsid w:val="5DBF64B7"/>
    <w:rsid w:val="5DD565C1"/>
    <w:rsid w:val="5E3C4E50"/>
    <w:rsid w:val="5E8B48FD"/>
    <w:rsid w:val="5FBA32FE"/>
    <w:rsid w:val="610452EC"/>
    <w:rsid w:val="613D5781"/>
    <w:rsid w:val="6165490D"/>
    <w:rsid w:val="619E0218"/>
    <w:rsid w:val="61A63AFA"/>
    <w:rsid w:val="620769DF"/>
    <w:rsid w:val="62EA7244"/>
    <w:rsid w:val="630B1438"/>
    <w:rsid w:val="63273020"/>
    <w:rsid w:val="63732E8D"/>
    <w:rsid w:val="63BD108B"/>
    <w:rsid w:val="63C549EF"/>
    <w:rsid w:val="63E220BC"/>
    <w:rsid w:val="63E646FB"/>
    <w:rsid w:val="63FA0C12"/>
    <w:rsid w:val="64517B88"/>
    <w:rsid w:val="647941B9"/>
    <w:rsid w:val="64C818B1"/>
    <w:rsid w:val="65642A4A"/>
    <w:rsid w:val="6600255B"/>
    <w:rsid w:val="661F3BB0"/>
    <w:rsid w:val="664B00BF"/>
    <w:rsid w:val="66587BBE"/>
    <w:rsid w:val="666C1984"/>
    <w:rsid w:val="66701D49"/>
    <w:rsid w:val="66865344"/>
    <w:rsid w:val="66AB2AE5"/>
    <w:rsid w:val="66E14E69"/>
    <w:rsid w:val="66FD34EF"/>
    <w:rsid w:val="672F485A"/>
    <w:rsid w:val="67425C9B"/>
    <w:rsid w:val="67657623"/>
    <w:rsid w:val="676C342A"/>
    <w:rsid w:val="67A630D7"/>
    <w:rsid w:val="6803677E"/>
    <w:rsid w:val="689174E5"/>
    <w:rsid w:val="68927DA1"/>
    <w:rsid w:val="68B16D80"/>
    <w:rsid w:val="68D21DF8"/>
    <w:rsid w:val="68F93BE6"/>
    <w:rsid w:val="690B4BC5"/>
    <w:rsid w:val="690C0FED"/>
    <w:rsid w:val="690E5612"/>
    <w:rsid w:val="69234E09"/>
    <w:rsid w:val="693A0FD5"/>
    <w:rsid w:val="69C355FC"/>
    <w:rsid w:val="6A1F0B7F"/>
    <w:rsid w:val="6A2A7F80"/>
    <w:rsid w:val="6A4F1AA6"/>
    <w:rsid w:val="6A666116"/>
    <w:rsid w:val="6A816BDE"/>
    <w:rsid w:val="6C067157"/>
    <w:rsid w:val="6C611242"/>
    <w:rsid w:val="6C7768E3"/>
    <w:rsid w:val="6C8D5F9A"/>
    <w:rsid w:val="6CD14066"/>
    <w:rsid w:val="6CD65400"/>
    <w:rsid w:val="6CEA6EED"/>
    <w:rsid w:val="6D5A3276"/>
    <w:rsid w:val="6D873DCA"/>
    <w:rsid w:val="6DA25EEA"/>
    <w:rsid w:val="6DC777E9"/>
    <w:rsid w:val="6DE7369B"/>
    <w:rsid w:val="6DEC4153"/>
    <w:rsid w:val="6DEF5C7C"/>
    <w:rsid w:val="6E2D1998"/>
    <w:rsid w:val="6E353752"/>
    <w:rsid w:val="6E4858A9"/>
    <w:rsid w:val="6E485C7E"/>
    <w:rsid w:val="6EA11F27"/>
    <w:rsid w:val="6EB25EEE"/>
    <w:rsid w:val="6EC437C4"/>
    <w:rsid w:val="6ED40AE0"/>
    <w:rsid w:val="6EE32DAC"/>
    <w:rsid w:val="6F39257A"/>
    <w:rsid w:val="6F735BDB"/>
    <w:rsid w:val="6F855291"/>
    <w:rsid w:val="70517319"/>
    <w:rsid w:val="705954D7"/>
    <w:rsid w:val="70974AC6"/>
    <w:rsid w:val="70C142C7"/>
    <w:rsid w:val="70EE101F"/>
    <w:rsid w:val="70F63534"/>
    <w:rsid w:val="70FE2BC4"/>
    <w:rsid w:val="71173AA3"/>
    <w:rsid w:val="71326D2A"/>
    <w:rsid w:val="71483643"/>
    <w:rsid w:val="71B47029"/>
    <w:rsid w:val="71B756B8"/>
    <w:rsid w:val="71E81D3B"/>
    <w:rsid w:val="71F2355A"/>
    <w:rsid w:val="7210413A"/>
    <w:rsid w:val="72BD6280"/>
    <w:rsid w:val="72BF1E77"/>
    <w:rsid w:val="72DC145C"/>
    <w:rsid w:val="7309353A"/>
    <w:rsid w:val="73171C00"/>
    <w:rsid w:val="733C2543"/>
    <w:rsid w:val="73407947"/>
    <w:rsid w:val="734C5ECC"/>
    <w:rsid w:val="73CF0695"/>
    <w:rsid w:val="745B1D72"/>
    <w:rsid w:val="74BD64D6"/>
    <w:rsid w:val="74FB5878"/>
    <w:rsid w:val="750B116F"/>
    <w:rsid w:val="75A50944"/>
    <w:rsid w:val="75D65090"/>
    <w:rsid w:val="76113AEC"/>
    <w:rsid w:val="763906BB"/>
    <w:rsid w:val="76B71ACC"/>
    <w:rsid w:val="76BF0084"/>
    <w:rsid w:val="76D30893"/>
    <w:rsid w:val="76EE77C9"/>
    <w:rsid w:val="770F524E"/>
    <w:rsid w:val="77186ED0"/>
    <w:rsid w:val="773B11DE"/>
    <w:rsid w:val="779D659C"/>
    <w:rsid w:val="779E12F4"/>
    <w:rsid w:val="77C30E1B"/>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16B3B"/>
    <w:rsid w:val="791E0FC4"/>
    <w:rsid w:val="79D24DFF"/>
    <w:rsid w:val="79D356BC"/>
    <w:rsid w:val="7A046294"/>
    <w:rsid w:val="7A793A06"/>
    <w:rsid w:val="7B312B15"/>
    <w:rsid w:val="7B4056BC"/>
    <w:rsid w:val="7B61206E"/>
    <w:rsid w:val="7B68300F"/>
    <w:rsid w:val="7BAD3DB7"/>
    <w:rsid w:val="7BB97AE5"/>
    <w:rsid w:val="7C53602D"/>
    <w:rsid w:val="7C5B7D97"/>
    <w:rsid w:val="7C7A27A4"/>
    <w:rsid w:val="7C962A1F"/>
    <w:rsid w:val="7D560A57"/>
    <w:rsid w:val="7D5B4FF4"/>
    <w:rsid w:val="7D6776E0"/>
    <w:rsid w:val="7D893026"/>
    <w:rsid w:val="7D9A31A9"/>
    <w:rsid w:val="7DA73074"/>
    <w:rsid w:val="7DD42F08"/>
    <w:rsid w:val="7DF61596"/>
    <w:rsid w:val="7E1B3D5A"/>
    <w:rsid w:val="7E411280"/>
    <w:rsid w:val="7E5D4B45"/>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4">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5">
    <w:name w:val="Normal Indent"/>
    <w:basedOn w:val="1"/>
    <w:qFormat/>
    <w:uiPriority w:val="0"/>
    <w:pPr>
      <w:ind w:firstLine="420"/>
    </w:pPr>
    <w:rPr>
      <w:szCs w:val="20"/>
    </w:rPr>
  </w:style>
  <w:style w:type="paragraph" w:styleId="6">
    <w:name w:val="annotation text"/>
    <w:basedOn w:val="1"/>
    <w:link w:val="30"/>
    <w:qFormat/>
    <w:uiPriority w:val="0"/>
    <w:pPr>
      <w:jc w:val="left"/>
    </w:pPr>
    <w:rPr>
      <w:rFonts w:ascii="Calibri" w:hAnsi="Calibri"/>
      <w:kern w:val="0"/>
      <w:sz w:val="20"/>
      <w:szCs w:val="20"/>
    </w:rPr>
  </w:style>
  <w:style w:type="paragraph" w:styleId="7">
    <w:name w:val="Body Text"/>
    <w:basedOn w:val="1"/>
    <w:next w:val="1"/>
    <w:unhideWhenUsed/>
    <w:qFormat/>
    <w:uiPriority w:val="99"/>
    <w:pPr>
      <w:spacing w:after="120"/>
    </w:pPr>
  </w:style>
  <w:style w:type="paragraph" w:styleId="8">
    <w:name w:val="Plain Text"/>
    <w:basedOn w:val="1"/>
    <w:link w:val="35"/>
    <w:qFormat/>
    <w:uiPriority w:val="0"/>
    <w:rPr>
      <w:rFonts w:ascii="宋体" w:hAnsi="Courier New"/>
      <w:szCs w:val="24"/>
    </w:rPr>
  </w:style>
  <w:style w:type="paragraph" w:styleId="9">
    <w:name w:val="Balloon Text"/>
    <w:basedOn w:val="1"/>
    <w:link w:val="37"/>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Body Text 2"/>
    <w:basedOn w:val="1"/>
    <w:qFormat/>
    <w:uiPriority w:val="0"/>
    <w:rPr>
      <w:rFonts w:ascii="宋体" w:hAnsi="宋体"/>
      <w:kern w:val="0"/>
      <w:sz w:val="20"/>
      <w:szCs w:val="24"/>
      <w:u w:val="single"/>
    </w:rPr>
  </w:style>
  <w:style w:type="paragraph" w:styleId="13">
    <w:name w:val="Normal (Web)"/>
    <w:basedOn w:val="1"/>
    <w:unhideWhenUsed/>
    <w:qFormat/>
    <w:uiPriority w:val="99"/>
    <w:rPr>
      <w:sz w:val="24"/>
      <w:szCs w:val="24"/>
    </w:rPr>
  </w:style>
  <w:style w:type="paragraph" w:styleId="14">
    <w:name w:val="annotation subject"/>
    <w:basedOn w:val="6"/>
    <w:next w:val="6"/>
    <w:link w:val="32"/>
    <w:qFormat/>
    <w:uiPriority w:val="0"/>
    <w:rPr>
      <w:rFonts w:ascii="Times New Roman" w:hAnsi="Times New Roman"/>
      <w:b/>
      <w:bCs/>
      <w:kern w:val="2"/>
      <w:sz w:val="21"/>
      <w:szCs w:val="22"/>
    </w:rPr>
  </w:style>
  <w:style w:type="paragraph" w:styleId="15">
    <w:name w:val="Body Text First Indent"/>
    <w:basedOn w:val="7"/>
    <w:qFormat/>
    <w:uiPriority w:val="0"/>
    <w:pPr>
      <w:spacing w:line="312" w:lineRule="auto"/>
      <w:ind w:firstLine="420"/>
    </w:p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qFormat/>
    <w:uiPriority w:val="0"/>
    <w:rPr>
      <w:color w:val="000000"/>
      <w:u w:val="none"/>
    </w:rPr>
  </w:style>
  <w:style w:type="character" w:styleId="22">
    <w:name w:val="HTML Definition"/>
    <w:basedOn w:val="18"/>
    <w:qFormat/>
    <w:uiPriority w:val="0"/>
    <w:rPr>
      <w:i/>
    </w:rPr>
  </w:style>
  <w:style w:type="character" w:styleId="23">
    <w:name w:val="Hyperlink"/>
    <w:qFormat/>
    <w:uiPriority w:val="0"/>
    <w:rPr>
      <w:color w:val="000000"/>
      <w:u w:val="none"/>
    </w:rPr>
  </w:style>
  <w:style w:type="character" w:styleId="24">
    <w:name w:val="HTML Code"/>
    <w:basedOn w:val="18"/>
    <w:qFormat/>
    <w:uiPriority w:val="0"/>
    <w:rPr>
      <w:rFonts w:hint="default" w:ascii="Consolas" w:hAnsi="Consolas" w:eastAsia="Consolas" w:cs="Consolas"/>
      <w:color w:val="C7254E"/>
      <w:sz w:val="21"/>
      <w:szCs w:val="21"/>
      <w:bdr w:val="single" w:color="E1E1E1" w:sz="4" w:space="0"/>
      <w:shd w:val="clear" w:color="auto" w:fill="F9F2F4"/>
    </w:rPr>
  </w:style>
  <w:style w:type="character" w:styleId="25">
    <w:name w:val="annotation reference"/>
    <w:qFormat/>
    <w:uiPriority w:val="0"/>
    <w:rPr>
      <w:sz w:val="21"/>
      <w:szCs w:val="21"/>
    </w:rPr>
  </w:style>
  <w:style w:type="character" w:styleId="26">
    <w:name w:val="HTML Keyboard"/>
    <w:basedOn w:val="18"/>
    <w:qFormat/>
    <w:uiPriority w:val="0"/>
    <w:rPr>
      <w:rFonts w:ascii="Consolas" w:hAnsi="Consolas" w:eastAsia="Consolas" w:cs="Consolas"/>
      <w:color w:val="FFFFFF"/>
      <w:sz w:val="21"/>
      <w:szCs w:val="21"/>
      <w:shd w:val="clear" w:color="auto" w:fill="333333"/>
    </w:rPr>
  </w:style>
  <w:style w:type="character" w:styleId="27">
    <w:name w:val="HTML Sample"/>
    <w:basedOn w:val="18"/>
    <w:qFormat/>
    <w:uiPriority w:val="0"/>
    <w:rPr>
      <w:rFonts w:hint="default" w:ascii="Consolas" w:hAnsi="Consolas" w:eastAsia="Consolas" w:cs="Consolas"/>
      <w:sz w:val="21"/>
      <w:szCs w:val="21"/>
    </w:rPr>
  </w:style>
  <w:style w:type="character" w:customStyle="1" w:styleId="28">
    <w:name w:val="hover40"/>
    <w:basedOn w:val="18"/>
    <w:qFormat/>
    <w:uiPriority w:val="0"/>
  </w:style>
  <w:style w:type="character" w:customStyle="1" w:styleId="29">
    <w:name w:val="times1"/>
    <w:qFormat/>
    <w:uiPriority w:val="0"/>
    <w:rPr>
      <w:color w:val="CDCDCD"/>
      <w:bdr w:val="single" w:color="CDCDCD" w:sz="6" w:space="0"/>
      <w:shd w:val="clear" w:color="auto" w:fill="EFEFEF"/>
    </w:rPr>
  </w:style>
  <w:style w:type="character" w:customStyle="1" w:styleId="30">
    <w:name w:val="批注文字 Char"/>
    <w:basedOn w:val="18"/>
    <w:link w:val="6"/>
    <w:qFormat/>
    <w:uiPriority w:val="0"/>
  </w:style>
  <w:style w:type="character" w:customStyle="1" w:styleId="31">
    <w:name w:val="纯文本 Char"/>
    <w:qFormat/>
    <w:uiPriority w:val="0"/>
    <w:rPr>
      <w:rFonts w:ascii="宋体" w:hAnsi="Courier New" w:cs="Courier New"/>
      <w:kern w:val="2"/>
      <w:sz w:val="21"/>
      <w:szCs w:val="21"/>
    </w:rPr>
  </w:style>
  <w:style w:type="character" w:customStyle="1" w:styleId="32">
    <w:name w:val="批注主题 Char"/>
    <w:link w:val="14"/>
    <w:qFormat/>
    <w:uiPriority w:val="0"/>
    <w:rPr>
      <w:b/>
      <w:bCs/>
      <w:kern w:val="2"/>
      <w:sz w:val="21"/>
      <w:szCs w:val="22"/>
    </w:rPr>
  </w:style>
  <w:style w:type="character" w:customStyle="1" w:styleId="33">
    <w:name w:val="hover36"/>
    <w:basedOn w:val="18"/>
    <w:qFormat/>
    <w:uiPriority w:val="0"/>
  </w:style>
  <w:style w:type="character" w:customStyle="1" w:styleId="34">
    <w:name w:val="times"/>
    <w:qFormat/>
    <w:uiPriority w:val="0"/>
    <w:rPr>
      <w:color w:val="3399FF"/>
      <w:bdr w:val="single" w:color="D1EDF8" w:sz="6" w:space="0"/>
      <w:shd w:val="clear" w:color="auto" w:fill="EAF9FF"/>
    </w:rPr>
  </w:style>
  <w:style w:type="character" w:customStyle="1" w:styleId="35">
    <w:name w:val="纯文本 Char1"/>
    <w:link w:val="8"/>
    <w:qFormat/>
    <w:locked/>
    <w:uiPriority w:val="0"/>
    <w:rPr>
      <w:rFonts w:ascii="宋体" w:hAnsi="Courier New"/>
      <w:kern w:val="2"/>
      <w:sz w:val="21"/>
      <w:szCs w:val="24"/>
    </w:rPr>
  </w:style>
  <w:style w:type="character" w:customStyle="1" w:styleId="36">
    <w:name w:val="hover42"/>
    <w:basedOn w:val="18"/>
    <w:qFormat/>
    <w:uiPriority w:val="0"/>
  </w:style>
  <w:style w:type="character" w:customStyle="1" w:styleId="37">
    <w:name w:val="批注框文本 Char"/>
    <w:link w:val="9"/>
    <w:qFormat/>
    <w:uiPriority w:val="0"/>
    <w:rPr>
      <w:kern w:val="2"/>
      <w:sz w:val="18"/>
      <w:szCs w:val="18"/>
    </w:rPr>
  </w:style>
  <w:style w:type="character" w:customStyle="1" w:styleId="38">
    <w:name w:val="hover41"/>
    <w:basedOn w:val="18"/>
    <w:qFormat/>
    <w:uiPriority w:val="0"/>
  </w:style>
  <w:style w:type="paragraph" w:customStyle="1" w:styleId="39">
    <w:name w:val="发文落款"/>
    <w:basedOn w:val="40"/>
    <w:qFormat/>
    <w:uiPriority w:val="0"/>
    <w:pPr>
      <w:ind w:left="4094" w:right="607" w:firstLine="0"/>
      <w:jc w:val="center"/>
    </w:p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a1"/>
    <w:basedOn w:val="1"/>
    <w:qFormat/>
    <w:uiPriority w:val="0"/>
    <w:pPr>
      <w:widowControl/>
      <w:jc w:val="left"/>
    </w:pPr>
    <w:rPr>
      <w:rFonts w:ascii="宋体" w:hAnsi="宋体" w:cs="宋体"/>
      <w:kern w:val="0"/>
      <w:sz w:val="24"/>
      <w:szCs w:val="24"/>
    </w:rPr>
  </w:style>
  <w:style w:type="paragraph" w:styleId="43">
    <w:name w:val="List Paragraph"/>
    <w:basedOn w:val="1"/>
    <w:qFormat/>
    <w:uiPriority w:val="99"/>
    <w:pPr>
      <w:ind w:firstLine="420" w:firstLineChars="200"/>
    </w:pPr>
  </w:style>
  <w:style w:type="character" w:customStyle="1" w:styleId="44">
    <w:name w:val="title21"/>
    <w:basedOn w:val="18"/>
    <w:qFormat/>
    <w:uiPriority w:val="0"/>
  </w:style>
  <w:style w:type="character" w:customStyle="1" w:styleId="45">
    <w:name w:val="username"/>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5788</Words>
  <Characters>6050</Characters>
  <Lines>66</Lines>
  <Paragraphs>18</Paragraphs>
  <TotalTime>9</TotalTime>
  <ScaleCrop>false</ScaleCrop>
  <LinksUpToDate>false</LinksUpToDate>
  <CharactersWithSpaces>6293</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cp:lastPrinted>2023-08-10T07:16:40Z</cp:lastPrinted>
  <dcterms:modified xsi:type="dcterms:W3CDTF">2023-08-10T08:39:45Z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8B123785C8C34FA6B333DBA1879620E7_13</vt:lpwstr>
  </property>
  <property fmtid="{D5CDD505-2E9C-101B-9397-08002B2CF9AE}" pid="4" name="commondata">
    <vt:lpwstr>eyJoZGlkIjoiYWQzZjliNzQ4M2JhYjM0MjI3YTk2NzE0ZGY0MWQ5N2YifQ==</vt:lpwstr>
  </property>
</Properties>
</file>