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00"/>
        <w:rPr>
          <w:sz w:val="20"/>
          <w:szCs w:val="20"/>
          <w:highlight w:val="none"/>
        </w:rPr>
      </w:pPr>
    </w:p>
    <w:p>
      <w:pPr>
        <w:spacing w:line="400" w:lineRule="exact"/>
        <w:rPr>
          <w:highlight w:val="none"/>
        </w:rPr>
      </w:pPr>
    </w:p>
    <w:p>
      <w:pPr>
        <w:spacing w:line="400" w:lineRule="exact"/>
        <w:rPr>
          <w:highlight w:val="none"/>
        </w:rPr>
      </w:pPr>
    </w:p>
    <w:p>
      <w:pPr>
        <w:jc w:val="center"/>
        <w:rPr>
          <w:rFonts w:hint="eastAsia" w:ascii="宋体" w:hAnsi="宋体" w:eastAsia="黑体" w:cstheme="minorBidi"/>
          <w:sz w:val="48"/>
          <w:szCs w:val="48"/>
          <w:highlight w:val="none"/>
          <w:lang w:val="en-US" w:eastAsia="zh-CN"/>
        </w:rPr>
      </w:pPr>
      <w:r>
        <w:rPr>
          <w:rFonts w:ascii="黑体" w:hAnsi="黑体" w:eastAsia="黑体" w:cs="黑体"/>
          <w:b/>
          <w:bCs/>
          <w:spacing w:val="20"/>
          <w:sz w:val="36"/>
          <w:szCs w:val="36"/>
          <w:highlight w:val="none"/>
        </w:rPr>
        <w:t xml:space="preserve"> </w:t>
      </w:r>
      <w:r>
        <w:rPr>
          <w:rFonts w:hint="eastAsia" w:ascii="宋体" w:hAnsi="宋体" w:eastAsia="黑体" w:cs="Times New Roman"/>
          <w:b w:val="0"/>
          <w:bCs w:val="0"/>
          <w:color w:val="auto"/>
          <w:spacing w:val="0"/>
          <w:sz w:val="44"/>
          <w:szCs w:val="44"/>
          <w:highlight w:val="none"/>
        </w:rPr>
        <w:t>湿地景区二期停车场变压器增容项目</w:t>
      </w:r>
    </w:p>
    <w:p>
      <w:pPr>
        <w:rPr>
          <w:sz w:val="28"/>
          <w:szCs w:val="28"/>
          <w:highlight w:val="none"/>
        </w:rPr>
      </w:pPr>
    </w:p>
    <w:p>
      <w:pPr>
        <w:rPr>
          <w:sz w:val="28"/>
          <w:szCs w:val="28"/>
          <w:highlight w:val="none"/>
        </w:rPr>
      </w:pPr>
    </w:p>
    <w:p>
      <w:pPr>
        <w:rPr>
          <w:sz w:val="28"/>
          <w:szCs w:val="28"/>
          <w:highlight w:val="none"/>
        </w:rPr>
      </w:pPr>
    </w:p>
    <w:p>
      <w:pPr>
        <w:jc w:val="center"/>
        <w:rPr>
          <w:rFonts w:hint="eastAsia" w:ascii="楷体" w:hAnsi="楷体" w:eastAsia="楷体" w:cs="楷体"/>
          <w:b/>
          <w:sz w:val="110"/>
          <w:szCs w:val="110"/>
          <w:highlight w:val="none"/>
        </w:rPr>
      </w:pPr>
      <w:r>
        <w:rPr>
          <w:rFonts w:hint="eastAsia" w:ascii="楷体" w:hAnsi="楷体" w:eastAsia="楷体" w:cs="楷体"/>
          <w:b/>
          <w:sz w:val="110"/>
          <w:szCs w:val="110"/>
          <w:highlight w:val="none"/>
        </w:rPr>
        <w:t>招标文件</w:t>
      </w: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tabs>
          <w:tab w:val="left" w:pos="7067"/>
        </w:tabs>
        <w:spacing w:line="360" w:lineRule="auto"/>
        <w:ind w:firstLine="1506" w:firstLineChars="500"/>
        <w:rPr>
          <w:rFonts w:ascii="宋体" w:hAnsi="宋体" w:cs="宋体"/>
          <w:b/>
          <w:sz w:val="30"/>
          <w:szCs w:val="30"/>
          <w:highlight w:val="none"/>
        </w:rPr>
      </w:pPr>
      <w:bookmarkStart w:id="0" w:name="_Toc24129"/>
      <w:bookmarkStart w:id="1" w:name="_Toc24489"/>
      <w:bookmarkStart w:id="2" w:name="_Toc726"/>
      <w:bookmarkStart w:id="3" w:name="_Toc494371510"/>
      <w:bookmarkStart w:id="4" w:name="_Toc17935"/>
      <w:bookmarkStart w:id="5" w:name="_Toc144974478"/>
      <w:bookmarkStart w:id="6" w:name="_Toc28091"/>
      <w:bookmarkStart w:id="7" w:name="_Toc20398"/>
      <w:bookmarkStart w:id="8" w:name="_Toc152042286"/>
      <w:bookmarkStart w:id="9" w:name="_Toc247527532"/>
      <w:bookmarkStart w:id="10" w:name="_Toc27659"/>
      <w:bookmarkStart w:id="11" w:name="_Toc23644"/>
      <w:bookmarkStart w:id="12" w:name="_Toc363"/>
      <w:bookmarkStart w:id="13" w:name="_Toc300834926"/>
      <w:bookmarkStart w:id="14" w:name="_Toc19474"/>
      <w:r>
        <w:rPr>
          <w:rFonts w:hint="eastAsia" w:ascii="宋体" w:hAnsi="宋体" w:cs="宋体"/>
          <w:b/>
          <w:sz w:val="30"/>
          <w:szCs w:val="30"/>
          <w:highlight w:val="none"/>
        </w:rPr>
        <w:t>招标单位：广州南沙</w:t>
      </w:r>
      <w:r>
        <w:rPr>
          <w:rFonts w:hint="eastAsia" w:ascii="宋体" w:hAnsi="宋体" w:cs="宋体"/>
          <w:b/>
          <w:sz w:val="30"/>
          <w:szCs w:val="30"/>
          <w:highlight w:val="none"/>
          <w:lang w:val="en-US" w:eastAsia="zh-CN"/>
        </w:rPr>
        <w:t>湿地</w:t>
      </w:r>
      <w:r>
        <w:rPr>
          <w:rFonts w:hint="eastAsia" w:ascii="宋体" w:hAnsi="宋体" w:cs="宋体"/>
          <w:b/>
          <w:sz w:val="30"/>
          <w:szCs w:val="30"/>
          <w:highlight w:val="none"/>
        </w:rPr>
        <w:t>旅游发展有限公司</w:t>
      </w:r>
    </w:p>
    <w:p>
      <w:pPr>
        <w:pStyle w:val="32"/>
        <w:ind w:firstLine="1482" w:firstLineChars="492"/>
        <w:jc w:val="both"/>
        <w:rPr>
          <w:rFonts w:hint="eastAsia" w:ascii="宋体" w:hAnsi="宋体" w:eastAsia="宋体" w:cs="宋体"/>
          <w:b/>
          <w:kern w:val="2"/>
          <w:sz w:val="30"/>
          <w:szCs w:val="30"/>
          <w:highlight w:val="none"/>
          <w:u w:val="none"/>
          <w:lang w:val="en-US" w:eastAsia="zh-CN" w:bidi="ar-SA"/>
        </w:rPr>
        <w:sectPr>
          <w:headerReference r:id="rId3" w:type="default"/>
          <w:endnotePr>
            <w:numFmt w:val="decimal"/>
          </w:endnotePr>
          <w:pgSz w:w="11906" w:h="16838"/>
          <w:pgMar w:top="1361" w:right="1304" w:bottom="1247" w:left="130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kern w:val="2"/>
          <w:sz w:val="30"/>
          <w:szCs w:val="30"/>
          <w:highlight w:val="none"/>
          <w:u w:val="none"/>
          <w:lang w:val="en-US" w:eastAsia="zh-CN" w:bidi="ar-SA"/>
        </w:rPr>
        <w:t>日    期：202</w:t>
      </w:r>
      <w:r>
        <w:rPr>
          <w:rFonts w:hint="eastAsia" w:cs="宋体"/>
          <w:b/>
          <w:kern w:val="2"/>
          <w:sz w:val="30"/>
          <w:szCs w:val="30"/>
          <w:highlight w:val="none"/>
          <w:u w:val="none"/>
          <w:lang w:val="en-US" w:eastAsia="zh-CN" w:bidi="ar-SA"/>
        </w:rPr>
        <w:t>3</w:t>
      </w:r>
      <w:r>
        <w:rPr>
          <w:rFonts w:hint="eastAsia" w:ascii="宋体" w:hAnsi="宋体" w:eastAsia="宋体" w:cs="宋体"/>
          <w:b/>
          <w:kern w:val="2"/>
          <w:sz w:val="30"/>
          <w:szCs w:val="30"/>
          <w:highlight w:val="none"/>
          <w:u w:val="none"/>
          <w:lang w:val="en-US" w:eastAsia="zh-CN" w:bidi="ar-SA"/>
        </w:rPr>
        <w:t>年</w:t>
      </w:r>
      <w:r>
        <w:rPr>
          <w:rFonts w:hint="eastAsia" w:cs="宋体"/>
          <w:b/>
          <w:kern w:val="2"/>
          <w:sz w:val="30"/>
          <w:szCs w:val="30"/>
          <w:highlight w:val="none"/>
          <w:u w:val="none"/>
          <w:lang w:val="en-US" w:eastAsia="zh-CN" w:bidi="ar-SA"/>
        </w:rPr>
        <w:t>8</w:t>
      </w:r>
      <w:r>
        <w:rPr>
          <w:rFonts w:hint="eastAsia" w:ascii="宋体" w:hAnsi="宋体" w:eastAsia="宋体" w:cs="宋体"/>
          <w:b/>
          <w:kern w:val="2"/>
          <w:sz w:val="30"/>
          <w:szCs w:val="30"/>
          <w:highlight w:val="none"/>
          <w:u w:val="none"/>
          <w:lang w:val="en-US" w:eastAsia="zh-CN" w:bidi="ar-SA"/>
        </w:rPr>
        <w:t>月</w:t>
      </w:r>
    </w:p>
    <w:p>
      <w:pPr>
        <w:tabs>
          <w:tab w:val="left" w:pos="7067"/>
        </w:tabs>
        <w:spacing w:line="360" w:lineRule="auto"/>
        <w:ind w:firstLine="1506" w:firstLineChars="500"/>
        <w:rPr>
          <w:rFonts w:ascii="宋体" w:hAnsi="宋体" w:cs="宋体"/>
          <w:b/>
          <w:sz w:val="30"/>
          <w:szCs w:val="30"/>
          <w:highlight w:val="none"/>
        </w:rPr>
      </w:pPr>
    </w:p>
    <w:p>
      <w:pPr>
        <w:pStyle w:val="3"/>
        <w:jc w:val="center"/>
        <w:rPr>
          <w:highlight w:val="none"/>
        </w:rPr>
      </w:pPr>
      <w:bookmarkStart w:id="15" w:name="_Toc29448"/>
      <w:bookmarkStart w:id="16" w:name="_Toc816"/>
      <w:r>
        <w:rPr>
          <w:rFonts w:hint="eastAsia"/>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bookmarkStart w:id="17" w:name="_Toc247513932"/>
      <w:bookmarkStart w:id="18" w:name="_Toc247527533"/>
      <w:bookmarkStart w:id="19" w:name="_Toc152045511"/>
      <w:bookmarkStart w:id="20" w:name="_Toc152042287"/>
      <w:bookmarkStart w:id="21" w:name="_Toc144974479"/>
      <w:r>
        <w:rPr>
          <w:rFonts w:ascii="Calibri" w:hAnsi="Calibri" w:eastAsia="宋体" w:cs="Times New Roman"/>
          <w:b/>
          <w:bCs/>
          <w:caps w:val="0"/>
          <w:color w:val="auto"/>
          <w:kern w:val="2"/>
          <w:sz w:val="28"/>
          <w:szCs w:val="28"/>
          <w:highlight w:val="none"/>
          <w:lang w:val="en-US" w:eastAsia="zh-CN" w:bidi="ar-SA"/>
        </w:rPr>
        <w:fldChar w:fldCharType="begin"/>
      </w:r>
      <w:r>
        <w:rPr>
          <w:rFonts w:ascii="Calibri" w:hAnsi="Calibri" w:eastAsia="宋体" w:cs="Times New Roman"/>
          <w:b/>
          <w:bCs/>
          <w:caps w:val="0"/>
          <w:color w:val="auto"/>
          <w:kern w:val="2"/>
          <w:sz w:val="28"/>
          <w:szCs w:val="28"/>
          <w:highlight w:val="none"/>
          <w:lang w:val="en-US" w:eastAsia="zh-CN" w:bidi="ar-SA"/>
        </w:rPr>
        <w:instrText xml:space="preserve">TOC \o "1-2" \h \u </w:instrText>
      </w:r>
      <w:r>
        <w:rPr>
          <w:rFonts w:ascii="Calibri" w:hAnsi="Calibri" w:eastAsia="宋体" w:cs="Times New Roman"/>
          <w:b/>
          <w:bCs/>
          <w:caps w:val="0"/>
          <w:color w:val="auto"/>
          <w:kern w:val="2"/>
          <w:sz w:val="28"/>
          <w:szCs w:val="28"/>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"_Toc9829"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第一卷</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_Toc9829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1</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"_Toc16845"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44"/>
          <w:sz w:val="20"/>
          <w:szCs w:val="44"/>
          <w:highlight w:val="none"/>
          <w:lang w:val="en-US" w:eastAsia="zh-CN" w:bidi="ar-SA"/>
        </w:rPr>
        <w:t>第一章招标公告（另册）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_Toc16845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"_Toc29549"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44"/>
          <w:sz w:val="20"/>
          <w:szCs w:val="44"/>
          <w:highlight w:val="none"/>
          <w:lang w:val="en-US" w:eastAsia="zh-CN" w:bidi="ar-SA"/>
        </w:rPr>
        <w:t>第二章投标人须知</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_Toc29549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3</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"_Toc23094" </w:instrText>
      </w:r>
      <w:r>
        <w:rPr>
          <w:rFonts w:ascii="Calibri" w:hAnsi="Calibri" w:eastAsia="宋体" w:cs="Times New Roman"/>
          <w:smallCaps/>
          <w:color w:val="auto"/>
          <w:kern w:val="2"/>
          <w:sz w:val="20"/>
          <w:szCs w:val="20"/>
          <w:highlight w:val="none"/>
          <w:lang w:val="en-US" w:eastAsia="zh-CN" w:bidi="ar-SA"/>
        </w:rPr>
        <w:fldChar w:fldCharType="separate"/>
      </w:r>
      <w:r>
        <w:rPr>
          <w:rFonts w:hint="eastAsia" w:ascii="Calibri" w:hAnsi="Calibri" w:eastAsia="宋体" w:cs="Times New Roman"/>
          <w:smallCaps/>
          <w:color w:val="auto"/>
          <w:kern w:val="2"/>
          <w:sz w:val="20"/>
          <w:szCs w:val="20"/>
          <w:highlight w:val="none"/>
          <w:lang w:val="en-US" w:eastAsia="zh-CN" w:bidi="ar-SA"/>
        </w:rPr>
        <w:t>投标人须知前附表</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_Toc23094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3</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"_Toc23892"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1. </w:t>
      </w:r>
      <w:r>
        <w:rPr>
          <w:rFonts w:hint="eastAsia" w:ascii="Calibri" w:hAnsi="Calibri" w:eastAsia="宋体" w:cs="Times New Roman"/>
          <w:smallCaps/>
          <w:color w:val="auto"/>
          <w:kern w:val="2"/>
          <w:sz w:val="20"/>
          <w:szCs w:val="20"/>
          <w:highlight w:val="none"/>
          <w:lang w:val="en-US" w:eastAsia="zh-CN" w:bidi="ar-SA"/>
        </w:rPr>
        <w:t>总则</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_Toc23892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"_Toc28224"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2. </w:t>
      </w:r>
      <w:r>
        <w:rPr>
          <w:rFonts w:hint="eastAsia" w:ascii="Calibri" w:hAnsi="Calibri" w:eastAsia="宋体" w:cs="Times New Roman"/>
          <w:smallCaps/>
          <w:color w:val="auto"/>
          <w:kern w:val="2"/>
          <w:sz w:val="20"/>
          <w:szCs w:val="20"/>
          <w:highlight w:val="none"/>
          <w:lang w:val="en-US" w:eastAsia="zh-CN" w:bidi="ar-SA"/>
        </w:rPr>
        <w:t>招标文件</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_Toc28224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7</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"_Toc27286"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3. </w:t>
      </w:r>
      <w:r>
        <w:rPr>
          <w:rFonts w:hint="eastAsia" w:ascii="Calibri" w:hAnsi="Calibri" w:eastAsia="宋体" w:cs="Times New Roman"/>
          <w:smallCaps/>
          <w:color w:val="auto"/>
          <w:kern w:val="2"/>
          <w:sz w:val="20"/>
          <w:szCs w:val="20"/>
          <w:highlight w:val="none"/>
          <w:lang w:val="en-US" w:eastAsia="zh-CN" w:bidi="ar-SA"/>
        </w:rPr>
        <w:t>投标文件</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_Toc27286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7</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"_Toc11889"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4. </w:t>
      </w:r>
      <w:r>
        <w:rPr>
          <w:rFonts w:hint="eastAsia" w:ascii="Calibri" w:hAnsi="Calibri" w:eastAsia="宋体" w:cs="Times New Roman"/>
          <w:smallCaps/>
          <w:color w:val="auto"/>
          <w:kern w:val="2"/>
          <w:sz w:val="20"/>
          <w:szCs w:val="20"/>
          <w:highlight w:val="none"/>
          <w:lang w:val="en-US" w:eastAsia="zh-CN" w:bidi="ar-SA"/>
        </w:rPr>
        <w:t>投标</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_Toc11889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9</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"_Toc9659"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5. </w:t>
      </w:r>
      <w:r>
        <w:rPr>
          <w:rFonts w:hint="eastAsia" w:ascii="Calibri" w:hAnsi="Calibri" w:eastAsia="宋体" w:cs="Times New Roman"/>
          <w:smallCaps/>
          <w:color w:val="auto"/>
          <w:kern w:val="2"/>
          <w:sz w:val="20"/>
          <w:szCs w:val="20"/>
          <w:highlight w:val="none"/>
          <w:lang w:val="en-US" w:eastAsia="zh-CN" w:bidi="ar-SA"/>
        </w:rPr>
        <w:t>开标</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_Toc9659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10</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"_Toc28414"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6. </w:t>
      </w:r>
      <w:r>
        <w:rPr>
          <w:rFonts w:hint="eastAsia" w:ascii="Calibri" w:hAnsi="Calibri" w:eastAsia="宋体" w:cs="Times New Roman"/>
          <w:smallCaps/>
          <w:color w:val="auto"/>
          <w:kern w:val="2"/>
          <w:sz w:val="20"/>
          <w:szCs w:val="20"/>
          <w:highlight w:val="none"/>
          <w:lang w:val="en-US" w:eastAsia="zh-CN" w:bidi="ar-SA"/>
        </w:rPr>
        <w:t>评标</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_Toc28414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11</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"_Toc24255"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7. </w:t>
      </w:r>
      <w:r>
        <w:rPr>
          <w:rFonts w:hint="eastAsia" w:ascii="Calibri" w:hAnsi="Calibri" w:eastAsia="宋体" w:cs="Times New Roman"/>
          <w:smallCaps/>
          <w:color w:val="auto"/>
          <w:kern w:val="2"/>
          <w:sz w:val="20"/>
          <w:szCs w:val="20"/>
          <w:highlight w:val="none"/>
          <w:lang w:val="en-US" w:eastAsia="zh-CN" w:bidi="ar-SA"/>
        </w:rPr>
        <w:t>合同授予</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_Toc24255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11</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"_Toc25097"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8</w:t>
      </w:r>
      <w:r>
        <w:rPr>
          <w:rFonts w:hint="eastAsia" w:ascii="Calibri" w:hAnsi="Calibri" w:eastAsia="宋体" w:cs="Times New Roman"/>
          <w:smallCaps/>
          <w:color w:val="auto"/>
          <w:kern w:val="2"/>
          <w:sz w:val="20"/>
          <w:szCs w:val="20"/>
          <w:highlight w:val="none"/>
          <w:lang w:val="en-US" w:eastAsia="zh-CN" w:bidi="ar-SA"/>
        </w:rPr>
        <w:t>. 纪律和监督</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_Toc25097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12</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"_Toc2189"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9. </w:t>
      </w:r>
      <w:r>
        <w:rPr>
          <w:rFonts w:hint="eastAsia" w:ascii="Calibri" w:hAnsi="Calibri" w:eastAsia="宋体" w:cs="Times New Roman"/>
          <w:smallCaps/>
          <w:color w:val="auto"/>
          <w:kern w:val="2"/>
          <w:sz w:val="20"/>
          <w:szCs w:val="20"/>
          <w:highlight w:val="none"/>
          <w:lang w:val="en-US" w:eastAsia="zh-CN" w:bidi="ar-SA"/>
        </w:rPr>
        <w:t>需要补充的其他内容</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_Toc2189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13</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"_Toc26793"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宋体" w:hAnsi="宋体" w:eastAsia="宋体" w:cs="Times New Roman"/>
          <w:b/>
          <w:bCs/>
          <w:caps/>
          <w:color w:val="auto"/>
          <w:kern w:val="2"/>
          <w:sz w:val="20"/>
          <w:szCs w:val="20"/>
          <w:highlight w:val="none"/>
          <w:lang w:val="en-US" w:eastAsia="zh-CN" w:bidi="ar-SA"/>
        </w:rPr>
        <w:t>第三章评标办法（综合评审法）</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_Toc26793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15</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"_Toc14287" </w:instrText>
      </w:r>
      <w:r>
        <w:rPr>
          <w:rFonts w:ascii="Calibri" w:hAnsi="Calibri" w:eastAsia="宋体" w:cs="Times New Roman"/>
          <w:smallCaps/>
          <w:color w:val="auto"/>
          <w:kern w:val="2"/>
          <w:sz w:val="20"/>
          <w:szCs w:val="20"/>
          <w:highlight w:val="none"/>
          <w:lang w:val="en-US" w:eastAsia="zh-CN" w:bidi="ar-SA"/>
        </w:rPr>
        <w:fldChar w:fldCharType="separate"/>
      </w:r>
      <w:r>
        <w:rPr>
          <w:rFonts w:hint="eastAsia" w:ascii="宋体" w:hAnsi="宋体" w:eastAsia="宋体" w:cs="Times New Roman"/>
          <w:smallCaps/>
          <w:color w:val="auto"/>
          <w:kern w:val="2"/>
          <w:sz w:val="20"/>
          <w:szCs w:val="20"/>
          <w:highlight w:val="none"/>
          <w:lang w:val="en-US" w:eastAsia="zh-CN" w:bidi="ar-SA"/>
        </w:rPr>
        <w:t>评标办法前附表</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_Toc14287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15</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"_Toc16222"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1. </w:t>
      </w:r>
      <w:r>
        <w:rPr>
          <w:rFonts w:hint="eastAsia" w:ascii="宋体" w:hAnsi="宋体" w:eastAsia="宋体" w:cs="Times New Roman"/>
          <w:smallCaps/>
          <w:color w:val="auto"/>
          <w:kern w:val="2"/>
          <w:sz w:val="20"/>
          <w:szCs w:val="20"/>
          <w:highlight w:val="none"/>
          <w:lang w:val="en-US" w:eastAsia="zh-CN" w:bidi="ar-SA"/>
        </w:rPr>
        <w:t>评标方法</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_Toc16222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"_Toc16219"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2. </w:t>
      </w:r>
      <w:r>
        <w:rPr>
          <w:rFonts w:hint="eastAsia" w:ascii="宋体" w:hAnsi="宋体" w:eastAsia="宋体" w:cs="Times New Roman"/>
          <w:smallCaps/>
          <w:color w:val="auto"/>
          <w:kern w:val="2"/>
          <w:sz w:val="20"/>
          <w:szCs w:val="20"/>
          <w:highlight w:val="none"/>
          <w:lang w:val="en-US" w:eastAsia="zh-CN" w:bidi="ar-SA"/>
        </w:rPr>
        <w:t>评审标准</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_Toc16219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"_Toc23123"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3. </w:t>
      </w:r>
      <w:r>
        <w:rPr>
          <w:rFonts w:hint="eastAsia" w:ascii="宋体" w:hAnsi="宋体" w:eastAsia="宋体" w:cs="Times New Roman"/>
          <w:smallCaps/>
          <w:color w:val="auto"/>
          <w:kern w:val="2"/>
          <w:sz w:val="20"/>
          <w:szCs w:val="20"/>
          <w:highlight w:val="none"/>
          <w:lang w:val="en-US" w:eastAsia="zh-CN" w:bidi="ar-SA"/>
        </w:rPr>
        <w:t>评标程序</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_Toc23123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"_Toc23502"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4. </w:t>
      </w:r>
      <w:r>
        <w:rPr>
          <w:rFonts w:hint="eastAsia" w:ascii="宋体" w:hAnsi="宋体" w:eastAsia="宋体" w:cs="Times New Roman"/>
          <w:smallCaps/>
          <w:color w:val="auto"/>
          <w:kern w:val="2"/>
          <w:sz w:val="20"/>
          <w:szCs w:val="20"/>
          <w:highlight w:val="none"/>
          <w:lang w:val="en-US" w:eastAsia="zh-CN" w:bidi="ar-SA"/>
        </w:rPr>
        <w:t>评标表格</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_Toc23502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18</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"_Toc13990"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第四章合同条款及格式（另册）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_Toc13990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27</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"_Toc17655"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第二卷</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_Toc17655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28</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"_Toc18278"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 xml:space="preserve">第五章 </w:t>
      </w:r>
      <w:r>
        <w:rPr>
          <w:rFonts w:hint="eastAsia" w:ascii="Times New Roman" w:hAnsi="Times New Roman" w:eastAsia="宋体" w:cs="Times New Roman"/>
          <w:b/>
          <w:bCs/>
          <w:caps/>
          <w:color w:val="auto"/>
          <w:kern w:val="2"/>
          <w:sz w:val="20"/>
          <w:szCs w:val="20"/>
          <w:highlight w:val="none"/>
          <w:lang w:val="en-US" w:eastAsia="zh-CN" w:bidi="ar-SA"/>
        </w:rPr>
        <w:t>发包人要求（另册）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_Toc18278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29</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"_Toc23074"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Times New Roman" w:hAnsi="Times New Roman" w:eastAsia="宋体" w:cs="Times New Roman"/>
          <w:b/>
          <w:bCs/>
          <w:caps/>
          <w:color w:val="auto"/>
          <w:kern w:val="2"/>
          <w:sz w:val="20"/>
          <w:szCs w:val="20"/>
          <w:highlight w:val="none"/>
          <w:lang w:val="en-US" w:eastAsia="zh-CN" w:bidi="ar-SA"/>
        </w:rPr>
        <w:t>第六章 发包人提供的资料（另册）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_Toc23074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30</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"_Toc11589"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第三卷</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_Toc11589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31</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hint="default"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"_Toc17793"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第七章投标文件格式</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end"/>
      </w:r>
      <w:r>
        <w:rPr>
          <w:rFonts w:hint="eastAsia" w:cs="Times New Roman"/>
          <w:b/>
          <w:bCs/>
          <w:caps/>
          <w:color w:val="auto"/>
          <w:kern w:val="2"/>
          <w:sz w:val="20"/>
          <w:szCs w:val="20"/>
          <w:highlight w:val="none"/>
          <w:lang w:val="en-US" w:eastAsia="zh-CN" w:bidi="ar-SA"/>
        </w:rPr>
        <w:t>32</w:t>
      </w:r>
    </w:p>
    <w:p>
      <w:pPr>
        <w:pStyle w:val="3"/>
        <w:rPr>
          <w:highlight w:val="none"/>
        </w:rPr>
        <w:sectPr>
          <w:headerReference r:id="rId4" w:type="default"/>
          <w:footerReference r:id="rId5" w:type="default"/>
          <w:pgSz w:w="11906" w:h="16838"/>
          <w:pgMar w:top="1247" w:right="1134" w:bottom="1247" w:left="136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ascii="Times New Roman" w:hAnsi="Times New Roman" w:eastAsia="宋体" w:cs="Times New Roman"/>
          <w:bCs/>
          <w:caps/>
          <w:color w:val="auto"/>
          <w:kern w:val="44"/>
          <w:sz w:val="44"/>
          <w:szCs w:val="28"/>
          <w:highlight w:val="none"/>
          <w:lang w:val="en-US" w:eastAsia="zh-CN" w:bidi="ar-SA"/>
        </w:rPr>
        <w:fldChar w:fldCharType="end"/>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pStyle w:val="3"/>
        <w:jc w:val="center"/>
        <w:rPr>
          <w:highlight w:val="none"/>
        </w:rPr>
      </w:pPr>
      <w:bookmarkStart w:id="22" w:name="_Toc14632"/>
      <w:bookmarkStart w:id="23" w:name="_Toc11431"/>
      <w:bookmarkStart w:id="24" w:name="_Toc5664"/>
      <w:bookmarkStart w:id="25" w:name="_Toc300834927"/>
      <w:bookmarkStart w:id="26" w:name="_Toc6648"/>
      <w:bookmarkStart w:id="27" w:name="_Toc494371511"/>
      <w:bookmarkStart w:id="28" w:name="_Toc24362"/>
      <w:bookmarkStart w:id="29" w:name="_Toc24226"/>
      <w:bookmarkStart w:id="30" w:name="_Toc20772"/>
      <w:bookmarkStart w:id="31" w:name="_Toc11363"/>
      <w:bookmarkStart w:id="32" w:name="_Toc23631"/>
      <w:bookmarkStart w:id="33" w:name="_Toc3317"/>
      <w:bookmarkStart w:id="34" w:name="_Toc9829"/>
      <w:bookmarkStart w:id="35" w:name="_Toc1856"/>
      <w:r>
        <w:rPr>
          <w:rFonts w:hint="eastAsia"/>
          <w:highlight w:val="none"/>
        </w:rPr>
        <w:t>第一卷</w:t>
      </w:r>
      <w:bookmarkEnd w:id="17"/>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jc w:val="center"/>
        <w:rPr>
          <w:rFonts w:ascii="宋体" w:hAnsi="宋体" w:cs="宋体"/>
          <w:sz w:val="24"/>
          <w:highlight w:val="none"/>
        </w:rPr>
      </w:pPr>
      <w:bookmarkStart w:id="36" w:name="_Toc300834928"/>
      <w:bookmarkStart w:id="37" w:name="_Toc247527534"/>
      <w:bookmarkStart w:id="38" w:name="_Toc247513933"/>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jc w:val="center"/>
        <w:outlineLvl w:val="0"/>
        <w:rPr>
          <w:b/>
          <w:bCs/>
          <w:kern w:val="44"/>
          <w:sz w:val="44"/>
          <w:szCs w:val="44"/>
          <w:highlight w:val="none"/>
        </w:rPr>
      </w:pPr>
      <w:bookmarkStart w:id="39" w:name="_Toc7403"/>
      <w:bookmarkStart w:id="40" w:name="_Toc597"/>
      <w:bookmarkStart w:id="41" w:name="_Toc16845"/>
      <w:bookmarkStart w:id="42" w:name="_Toc494371512"/>
      <w:bookmarkStart w:id="43" w:name="_Toc28981"/>
      <w:bookmarkStart w:id="44" w:name="_Toc7616"/>
      <w:bookmarkStart w:id="45" w:name="_Toc9002"/>
      <w:bookmarkStart w:id="46" w:name="_Toc7717"/>
      <w:r>
        <w:rPr>
          <w:rFonts w:hint="eastAsia"/>
          <w:b/>
          <w:bCs/>
          <w:kern w:val="44"/>
          <w:sz w:val="44"/>
          <w:szCs w:val="44"/>
          <w:highlight w:val="none"/>
        </w:rPr>
        <w:t>第一章招标公告（另册）</w:t>
      </w:r>
      <w:bookmarkEnd w:id="39"/>
      <w:bookmarkEnd w:id="40"/>
      <w:bookmarkEnd w:id="41"/>
      <w:bookmarkEnd w:id="42"/>
      <w:bookmarkEnd w:id="43"/>
      <w:bookmarkEnd w:id="44"/>
      <w:bookmarkEnd w:id="45"/>
      <w:bookmarkEnd w:id="46"/>
    </w:p>
    <w:bookmarkEnd w:id="19"/>
    <w:bookmarkEnd w:id="20"/>
    <w:bookmarkEnd w:id="21"/>
    <w:bookmarkEnd w:id="36"/>
    <w:bookmarkEnd w:id="37"/>
    <w:bookmarkEnd w:id="38"/>
    <w:p>
      <w:pPr>
        <w:jc w:val="center"/>
        <w:outlineLvl w:val="0"/>
        <w:rPr>
          <w:b/>
          <w:bCs/>
          <w:kern w:val="44"/>
          <w:sz w:val="44"/>
          <w:szCs w:val="44"/>
          <w:highlight w:val="none"/>
        </w:rPr>
      </w:pPr>
      <w:bookmarkStart w:id="47" w:name="_Toc1178"/>
      <w:bookmarkStart w:id="48" w:name="_Toc247513950"/>
      <w:bookmarkStart w:id="49" w:name="_Toc152042303"/>
      <w:bookmarkStart w:id="50" w:name="_Toc20453"/>
      <w:bookmarkStart w:id="51" w:name="_Toc144974495"/>
      <w:bookmarkStart w:id="52" w:name="_Toc300834947"/>
      <w:bookmarkStart w:id="53" w:name="_Toc247527551"/>
      <w:bookmarkStart w:id="54" w:name="_Toc152045527"/>
      <w:bookmarkStart w:id="55" w:name="_Toc18861"/>
      <w:r>
        <w:rPr>
          <w:b/>
          <w:bCs/>
          <w:kern w:val="44"/>
          <w:sz w:val="44"/>
          <w:szCs w:val="44"/>
          <w:highlight w:val="none"/>
        </w:rPr>
        <w:br w:type="page"/>
      </w:r>
      <w:bookmarkStart w:id="56" w:name="_Toc15284"/>
      <w:bookmarkStart w:id="57" w:name="_Toc25745"/>
      <w:bookmarkStart w:id="58" w:name="_Toc9024"/>
      <w:bookmarkStart w:id="59" w:name="_Toc26131"/>
      <w:bookmarkStart w:id="60" w:name="_Toc27217"/>
      <w:bookmarkStart w:id="61" w:name="_Toc3615"/>
      <w:bookmarkStart w:id="62" w:name="_Toc8440"/>
      <w:bookmarkStart w:id="63" w:name="_Toc29549"/>
      <w:bookmarkStart w:id="64" w:name="_Toc494371513"/>
      <w:bookmarkStart w:id="65" w:name="_Toc21868"/>
      <w:r>
        <w:rPr>
          <w:rFonts w:hint="eastAsia"/>
          <w:b/>
          <w:bCs/>
          <w:kern w:val="44"/>
          <w:sz w:val="44"/>
          <w:szCs w:val="44"/>
          <w:highlight w:val="none"/>
        </w:rPr>
        <w:t>第二章投标人须知</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4"/>
        <w:spacing w:line="240" w:lineRule="auto"/>
        <w:jc w:val="center"/>
        <w:rPr>
          <w:highlight w:val="none"/>
        </w:rPr>
      </w:pPr>
      <w:bookmarkStart w:id="66" w:name="_Toc15181"/>
      <w:bookmarkStart w:id="67" w:name="_Toc2677"/>
      <w:bookmarkStart w:id="68" w:name="_Toc23877"/>
      <w:bookmarkStart w:id="69" w:name="_Toc24688"/>
      <w:bookmarkStart w:id="70" w:name="_Toc20316"/>
      <w:bookmarkStart w:id="71" w:name="_Toc300834948"/>
      <w:bookmarkStart w:id="72" w:name="_Toc16066"/>
      <w:bookmarkStart w:id="73" w:name="_Toc1865"/>
      <w:bookmarkStart w:id="74" w:name="_Toc152042304"/>
      <w:bookmarkStart w:id="75" w:name="_Toc144974496"/>
      <w:bookmarkStart w:id="76" w:name="_Toc494371514"/>
      <w:bookmarkStart w:id="77" w:name="_Toc24123"/>
      <w:bookmarkStart w:id="78" w:name="_Toc152045528"/>
      <w:bookmarkStart w:id="79" w:name="_Toc3039"/>
      <w:bookmarkStart w:id="80" w:name="_Toc25706"/>
      <w:bookmarkStart w:id="81" w:name="_Toc12687"/>
      <w:bookmarkStart w:id="82" w:name="_Toc23094"/>
      <w:bookmarkStart w:id="83" w:name="_Toc247527552"/>
      <w:bookmarkStart w:id="84" w:name="_Toc19769"/>
      <w:bookmarkStart w:id="85" w:name="_Toc247513951"/>
      <w:r>
        <w:rPr>
          <w:rFonts w:hint="eastAsia"/>
          <w:highlight w:val="none"/>
        </w:rPr>
        <w:t>投标人须知前附表</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39"/>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w:t>
            </w:r>
          </w:p>
        </w:tc>
        <w:tc>
          <w:tcPr>
            <w:tcW w:w="2816" w:type="dxa"/>
            <w:tcBorders>
              <w:top w:val="double" w:color="auto" w:sz="4" w:space="0"/>
            </w:tcBorders>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招标单位</w:t>
            </w:r>
          </w:p>
        </w:tc>
        <w:tc>
          <w:tcPr>
            <w:tcW w:w="5908" w:type="dxa"/>
            <w:tcBorders>
              <w:top w:val="double" w:color="auto" w:sz="4" w:space="0"/>
            </w:tcBorders>
            <w:vAlign w:val="center"/>
          </w:tcPr>
          <w:p>
            <w:pPr>
              <w:widowControl/>
              <w:snapToGrid w:val="0"/>
              <w:spacing w:before="156" w:beforeLines="50" w:line="360" w:lineRule="auto"/>
              <w:jc w:val="left"/>
              <w:rPr>
                <w:rFonts w:hint="eastAsia" w:ascii="宋体" w:hAnsi="宋体" w:cs="宋体"/>
                <w:szCs w:val="21"/>
                <w:highlight w:val="none"/>
              </w:rPr>
            </w:pPr>
            <w:r>
              <w:rPr>
                <w:rFonts w:hint="eastAsia" w:ascii="宋体" w:hAnsi="宋体" w:cs="宋体"/>
                <w:szCs w:val="21"/>
                <w:highlight w:val="none"/>
              </w:rPr>
              <w:t>招标单位：广州南沙</w:t>
            </w:r>
            <w:r>
              <w:rPr>
                <w:rFonts w:hint="eastAsia" w:ascii="宋体" w:hAnsi="宋体" w:cs="宋体"/>
                <w:szCs w:val="21"/>
                <w:highlight w:val="none"/>
                <w:lang w:val="en-US" w:eastAsia="zh-CN"/>
              </w:rPr>
              <w:t>湿地</w:t>
            </w:r>
            <w:r>
              <w:rPr>
                <w:rFonts w:hint="eastAsia" w:ascii="宋体" w:hAnsi="宋体" w:cs="宋体"/>
                <w:szCs w:val="21"/>
                <w:highlight w:val="none"/>
              </w:rPr>
              <w:t xml:space="preserve">旅游发展有限公司 </w:t>
            </w:r>
          </w:p>
          <w:p>
            <w:pPr>
              <w:widowControl/>
              <w:snapToGrid w:val="0"/>
              <w:spacing w:before="156" w:beforeLines="50" w:line="360" w:lineRule="auto"/>
              <w:jc w:val="left"/>
              <w:rPr>
                <w:rFonts w:hint="eastAsia"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val="en-US" w:eastAsia="zh-CN"/>
              </w:rPr>
              <w:t>林小姐</w:t>
            </w:r>
            <w:r>
              <w:rPr>
                <w:rFonts w:hint="eastAsia" w:ascii="宋体" w:hAnsi="宋体" w:cs="宋体"/>
                <w:szCs w:val="21"/>
                <w:highlight w:val="none"/>
              </w:rPr>
              <w:t xml:space="preserve">           联系电话：</w:t>
            </w:r>
            <w:r>
              <w:rPr>
                <w:rFonts w:hint="eastAsia" w:ascii="宋体" w:hAnsi="宋体" w:eastAsia="宋体" w:cs="宋体"/>
                <w:color w:val="auto"/>
                <w:kern w:val="2"/>
                <w:sz w:val="21"/>
                <w:szCs w:val="21"/>
                <w:highlight w:val="none"/>
                <w:u w:val="none"/>
              </w:rPr>
              <w:t>020-</w:t>
            </w:r>
            <w:r>
              <w:rPr>
                <w:rFonts w:hint="eastAsia" w:ascii="宋体" w:hAnsi="宋体" w:eastAsia="宋体" w:cs="宋体"/>
                <w:color w:val="auto"/>
                <w:kern w:val="2"/>
                <w:sz w:val="21"/>
                <w:szCs w:val="21"/>
                <w:highlight w:val="none"/>
                <w:u w:val="none"/>
                <w:lang w:val="en-US" w:eastAsia="zh-CN"/>
              </w:rPr>
              <w:t>31151828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2</w:t>
            </w:r>
          </w:p>
        </w:tc>
        <w:tc>
          <w:tcPr>
            <w:tcW w:w="2816" w:type="dxa"/>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项目名称</w:t>
            </w:r>
          </w:p>
        </w:tc>
        <w:tc>
          <w:tcPr>
            <w:tcW w:w="5908" w:type="dxa"/>
            <w:vAlign w:val="center"/>
          </w:tcPr>
          <w:p>
            <w:pPr>
              <w:adjustRightInd w:val="0"/>
              <w:snapToGrid w:val="0"/>
              <w:spacing w:before="156" w:beforeLines="50" w:line="360" w:lineRule="auto"/>
              <w:rPr>
                <w:rFonts w:hint="eastAsia" w:ascii="宋体" w:hAnsi="宋体" w:eastAsia="宋体" w:cs="宋体"/>
                <w:szCs w:val="21"/>
                <w:highlight w:val="none"/>
                <w:lang w:eastAsia="zh-CN"/>
              </w:rPr>
            </w:pPr>
            <w:r>
              <w:rPr>
                <w:rFonts w:hint="eastAsia" w:ascii="宋体" w:hAnsi="宋体" w:eastAsia="宋体" w:cs="宋体"/>
                <w:b w:val="0"/>
                <w:bCs w:val="0"/>
                <w:spacing w:val="0"/>
                <w:kern w:val="0"/>
                <w:sz w:val="21"/>
                <w:szCs w:val="21"/>
                <w:highlight w:val="none"/>
                <w:u w:val="single"/>
              </w:rPr>
              <w:t>湿地景区二期停车场变压器增容项目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3</w:t>
            </w:r>
          </w:p>
        </w:tc>
        <w:tc>
          <w:tcPr>
            <w:tcW w:w="2816" w:type="dxa"/>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建设地点</w:t>
            </w:r>
          </w:p>
        </w:tc>
        <w:tc>
          <w:tcPr>
            <w:tcW w:w="5908" w:type="dxa"/>
            <w:vAlign w:val="center"/>
          </w:tcPr>
          <w:p>
            <w:pPr>
              <w:adjustRightInd w:val="0"/>
              <w:snapToGrid w:val="0"/>
              <w:spacing w:before="156" w:beforeLines="50" w:line="360" w:lineRule="auto"/>
              <w:rPr>
                <w:rFonts w:hint="eastAsia" w:ascii="宋体" w:hAnsi="宋体" w:cs="宋体"/>
                <w:szCs w:val="21"/>
                <w:highlight w:val="none"/>
              </w:rPr>
            </w:pPr>
            <w:r>
              <w:rPr>
                <w:rFonts w:hint="eastAsia" w:ascii="宋体" w:hAnsi="宋体" w:eastAsia="宋体" w:cs="宋体"/>
                <w:color w:val="auto"/>
                <w:kern w:val="0"/>
                <w:position w:val="0"/>
                <w:sz w:val="21"/>
                <w:szCs w:val="21"/>
                <w:highlight w:val="none"/>
                <w:u w:val="single"/>
              </w:rPr>
              <w:t>广州市南沙区湿地景区内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4</w:t>
            </w:r>
          </w:p>
        </w:tc>
        <w:tc>
          <w:tcPr>
            <w:tcW w:w="2816" w:type="dxa"/>
            <w:vAlign w:val="center"/>
          </w:tcPr>
          <w:p>
            <w:pPr>
              <w:adjustRightInd w:val="0"/>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5908" w:type="dxa"/>
            <w:vAlign w:val="center"/>
          </w:tcPr>
          <w:p>
            <w:pPr>
              <w:adjustRightInd w:val="0"/>
              <w:snapToGrid w:val="0"/>
              <w:spacing w:before="156" w:beforeLines="50"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总</w:t>
            </w:r>
            <w:r>
              <w:rPr>
                <w:rFonts w:hint="eastAsia" w:ascii="宋体" w:hAnsi="宋体" w:cs="宋体"/>
                <w:color w:val="auto"/>
                <w:szCs w:val="21"/>
                <w:highlight w:val="none"/>
              </w:rPr>
              <w:t>投资</w:t>
            </w:r>
            <w:r>
              <w:rPr>
                <w:rFonts w:hint="eastAsia" w:ascii="宋体" w:hAnsi="宋体" w:eastAsia="宋体" w:cs="宋体"/>
                <w:color w:val="auto"/>
                <w:szCs w:val="21"/>
                <w:highlight w:val="none"/>
                <w:lang w:val="en-US" w:eastAsia="zh-CN"/>
              </w:rPr>
              <w:t>约</w:t>
            </w:r>
            <w:r>
              <w:rPr>
                <w:rFonts w:hint="eastAsia" w:ascii="宋体" w:hAnsi="宋体" w:cs="宋体"/>
                <w:color w:val="auto"/>
                <w:szCs w:val="21"/>
                <w:highlight w:val="none"/>
                <w:lang w:val="en-US" w:eastAsia="zh-CN"/>
              </w:rPr>
              <w:t>73.30</w:t>
            </w:r>
            <w:r>
              <w:rPr>
                <w:rFonts w:hint="eastAsia" w:ascii="宋体" w:hAnsi="宋体" w:cs="宋体"/>
                <w:color w:val="auto"/>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5</w:t>
            </w:r>
          </w:p>
        </w:tc>
        <w:tc>
          <w:tcPr>
            <w:tcW w:w="2816" w:type="dxa"/>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资金来源及比例</w:t>
            </w:r>
          </w:p>
        </w:tc>
        <w:tc>
          <w:tcPr>
            <w:tcW w:w="5908" w:type="dxa"/>
            <w:vAlign w:val="center"/>
          </w:tcPr>
          <w:p>
            <w:pPr>
              <w:adjustRightInd w:val="0"/>
              <w:snapToGrid w:val="0"/>
              <w:spacing w:before="156" w:beforeLines="50" w:line="360" w:lineRule="auto"/>
              <w:rPr>
                <w:rFonts w:hint="eastAsia" w:ascii="宋体" w:hAnsi="宋体" w:cs="宋体"/>
                <w:szCs w:val="21"/>
                <w:highlight w:val="none"/>
              </w:rPr>
            </w:pPr>
            <w:r>
              <w:rPr>
                <w:rFonts w:hint="eastAsia" w:ascii="宋体" w:hAnsi="宋体" w:cs="宋体"/>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6</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资金落实情况</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7</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承包方式</w:t>
            </w:r>
          </w:p>
        </w:tc>
        <w:tc>
          <w:tcPr>
            <w:tcW w:w="5908" w:type="dxa"/>
            <w:vAlign w:val="center"/>
          </w:tcPr>
          <w:p>
            <w:pPr>
              <w:adjustRightInd w:val="0"/>
              <w:snapToGrid w:val="0"/>
              <w:spacing w:before="156" w:beforeLines="50" w:line="360" w:lineRule="auto"/>
              <w:ind w:firstLine="0" w:firstLineChars="0"/>
              <w:jc w:val="left"/>
              <w:rPr>
                <w:highlight w:val="none"/>
              </w:rPr>
            </w:pPr>
            <w:r>
              <w:rPr>
                <w:rFonts w:hint="eastAsia" w:ascii="宋体" w:hAnsi="宋体" w:eastAsia="宋体" w:cs="宋体"/>
                <w:bCs w:val="0"/>
                <w:color w:val="auto"/>
                <w:sz w:val="21"/>
                <w:szCs w:val="21"/>
                <w:highlight w:val="none"/>
                <w:u w:val="none"/>
                <w:lang w:eastAsia="zh-CN" w:bidi="ar"/>
              </w:rPr>
              <w:t>固定综合单价包干，工程量按实结算，绿色施工安全防护措施费固定总价包干</w:t>
            </w:r>
            <w:r>
              <w:rPr>
                <w:rFonts w:hint="eastAsia" w:ascii="宋体" w:hAnsi="宋体" w:cs="宋体"/>
                <w:bCs w:val="0"/>
                <w:color w:val="auto"/>
                <w:sz w:val="21"/>
                <w:szCs w:val="21"/>
                <w:highlight w:val="none"/>
                <w:u w:val="none"/>
                <w:lang w:eastAsia="zh-CN" w:bidi="ar"/>
              </w:rPr>
              <w:t>。</w:t>
            </w:r>
            <w:r>
              <w:rPr>
                <w:rFonts w:hint="eastAsia" w:ascii="宋体" w:hAnsi="宋体" w:eastAsia="宋体" w:cs="宋体"/>
                <w:color w:val="auto"/>
                <w:kern w:val="2"/>
                <w:sz w:val="21"/>
                <w:szCs w:val="21"/>
                <w:highlight w:val="none"/>
                <w:u w:val="none"/>
                <w:lang w:val="en-US" w:eastAsia="zh-CN" w:bidi="ar"/>
              </w:rPr>
              <w:t>合同结算价最终</w:t>
            </w:r>
            <w:r>
              <w:rPr>
                <w:rFonts w:hint="eastAsia" w:ascii="宋体" w:hAnsi="宋体" w:eastAsia="宋体" w:cs="宋体"/>
                <w:color w:val="auto"/>
                <w:sz w:val="21"/>
                <w:szCs w:val="21"/>
                <w:highlight w:val="none"/>
                <w:u w:val="none"/>
                <w:lang w:bidi="ar"/>
              </w:rPr>
              <w:t>以</w:t>
            </w:r>
            <w:r>
              <w:rPr>
                <w:rFonts w:hint="eastAsia" w:ascii="宋体" w:hAnsi="宋体" w:eastAsia="宋体" w:cs="宋体"/>
                <w:color w:val="auto"/>
                <w:sz w:val="21"/>
                <w:szCs w:val="21"/>
                <w:highlight w:val="none"/>
                <w:u w:val="none"/>
                <w:lang w:val="en-US" w:eastAsia="zh-CN" w:bidi="ar"/>
              </w:rPr>
              <w:t>招标人</w:t>
            </w:r>
            <w:r>
              <w:rPr>
                <w:rFonts w:hint="eastAsia" w:ascii="宋体" w:hAnsi="宋体" w:eastAsia="宋体" w:cs="宋体"/>
                <w:color w:val="auto"/>
                <w:sz w:val="21"/>
                <w:szCs w:val="21"/>
                <w:highlight w:val="none"/>
                <w:u w:val="none"/>
                <w:lang w:bidi="ar"/>
              </w:rPr>
              <w:t>评审审定金额为准。</w:t>
            </w:r>
            <w:r>
              <w:rPr>
                <w:rFonts w:hint="eastAsia" w:ascii="宋体" w:hAnsi="宋体" w:eastAsia="宋体" w:cs="宋体"/>
                <w:color w:val="auto"/>
                <w:szCs w:val="21"/>
                <w:highlight w:val="none"/>
                <w:u w:val="none"/>
                <w:lang w:bidi="ar"/>
              </w:rPr>
              <w:t>完成本工程项目</w:t>
            </w:r>
            <w:r>
              <w:rPr>
                <w:rFonts w:hint="eastAsia" w:ascii="宋体" w:hAnsi="宋体" w:cs="宋体"/>
                <w:color w:val="auto"/>
                <w:szCs w:val="21"/>
                <w:highlight w:val="none"/>
                <w:u w:val="none"/>
                <w:lang w:val="en-US" w:eastAsia="zh-CN" w:bidi="ar"/>
              </w:rPr>
              <w:t>招标</w:t>
            </w:r>
            <w:r>
              <w:rPr>
                <w:rFonts w:hint="eastAsia" w:ascii="宋体" w:hAnsi="宋体" w:eastAsia="宋体" w:cs="宋体"/>
                <w:color w:val="auto"/>
                <w:szCs w:val="21"/>
                <w:highlight w:val="none"/>
                <w:u w:val="none"/>
                <w:lang w:bidi="ar"/>
              </w:rPr>
              <w:t>范围内所有</w:t>
            </w:r>
            <w:r>
              <w:rPr>
                <w:rFonts w:hint="eastAsia" w:ascii="宋体" w:hAnsi="宋体" w:eastAsia="宋体" w:cs="宋体"/>
                <w:color w:val="auto"/>
                <w:szCs w:val="21"/>
                <w:highlight w:val="none"/>
                <w:u w:val="none"/>
                <w:lang w:val="en-US" w:eastAsia="zh-CN" w:bidi="ar"/>
              </w:rPr>
              <w:t>电力</w:t>
            </w:r>
            <w:r>
              <w:rPr>
                <w:rFonts w:hint="eastAsia" w:ascii="宋体" w:hAnsi="宋体" w:eastAsia="宋体" w:cs="宋体"/>
                <w:color w:val="auto"/>
                <w:szCs w:val="21"/>
                <w:highlight w:val="none"/>
                <w:u w:val="none"/>
                <w:lang w:bidi="ar"/>
              </w:rPr>
              <w:t>工程</w:t>
            </w:r>
            <w:r>
              <w:rPr>
                <w:rFonts w:hint="eastAsia" w:ascii="宋体" w:hAnsi="宋体" w:eastAsia="宋体" w:cs="宋体"/>
                <w:color w:val="auto"/>
                <w:szCs w:val="21"/>
                <w:highlight w:val="none"/>
                <w:u w:val="none"/>
                <w:lang w:val="en-US" w:eastAsia="zh-CN" w:bidi="ar"/>
              </w:rPr>
              <w:t>及设备安装</w:t>
            </w:r>
            <w:r>
              <w:rPr>
                <w:rFonts w:hint="eastAsia" w:ascii="宋体" w:hAnsi="宋体" w:eastAsia="宋体" w:cs="宋体"/>
                <w:color w:val="auto"/>
                <w:szCs w:val="21"/>
                <w:highlight w:val="none"/>
                <w:u w:val="none"/>
                <w:lang w:bidi="ar"/>
              </w:rPr>
              <w:t>工程</w:t>
            </w:r>
            <w:r>
              <w:rPr>
                <w:rFonts w:hint="eastAsia" w:ascii="宋体" w:hAnsi="宋体" w:eastAsia="宋体" w:cs="宋体"/>
                <w:color w:val="auto"/>
                <w:szCs w:val="21"/>
                <w:highlight w:val="none"/>
                <w:u w:val="none"/>
                <w:lang w:val="en-US" w:eastAsia="zh-CN" w:bidi="ar"/>
              </w:rPr>
              <w:t>等工程</w:t>
            </w:r>
            <w:r>
              <w:rPr>
                <w:rFonts w:hint="eastAsia" w:ascii="宋体" w:hAnsi="宋体" w:eastAsia="宋体" w:cs="宋体"/>
                <w:color w:val="auto"/>
                <w:szCs w:val="21"/>
                <w:highlight w:val="none"/>
                <w:u w:val="none"/>
                <w:lang w:bidi="ar"/>
              </w:rPr>
              <w:t>，负</w:t>
            </w:r>
            <w:r>
              <w:rPr>
                <w:rFonts w:hint="eastAsia" w:ascii="宋体" w:hAnsi="宋体" w:cs="宋体"/>
                <w:color w:val="auto"/>
                <w:szCs w:val="21"/>
                <w:highlight w:val="none"/>
                <w:u w:val="none"/>
                <w:lang w:bidi="ar"/>
              </w:rPr>
              <w:t>责项目实施阶段全过程建设管理，直至项目竣工验收合格并移交，包括但不</w:t>
            </w:r>
            <w:r>
              <w:rPr>
                <w:rFonts w:hint="eastAsia" w:ascii="宋体" w:hAnsi="宋体" w:cs="宋体"/>
                <w:szCs w:val="21"/>
                <w:highlight w:val="none"/>
              </w:rPr>
              <w:t>限于包工、包料、包设备、包质量、包安全生产、包文明施工、包工期、</w:t>
            </w:r>
            <w:r>
              <w:rPr>
                <w:rFonts w:hint="eastAsia" w:ascii="宋体" w:hAnsi="宋体" w:cs="宋体"/>
                <w:szCs w:val="21"/>
                <w:highlight w:val="none"/>
                <w:lang w:val="en-US" w:eastAsia="zh-CN"/>
              </w:rPr>
              <w:t>包整个项目高压工程报供电局验收且结果为合格、包验收送电、质保期内的维保服务、并按国家和相关部门颁发的有关质量验收标准一次验收合格、</w:t>
            </w:r>
            <w:r>
              <w:rPr>
                <w:rFonts w:hint="eastAsia" w:ascii="宋体" w:hAnsi="宋体" w:cs="宋体"/>
                <w:szCs w:val="21"/>
                <w:highlight w:val="none"/>
              </w:rPr>
              <w:t>包结算、包资料整理、包施工总承包管理和现场整体组织、包专业协调及配合等。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8</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招标范围</w:t>
            </w:r>
          </w:p>
        </w:tc>
        <w:tc>
          <w:tcPr>
            <w:tcW w:w="5908" w:type="dxa"/>
            <w:vAlign w:val="center"/>
          </w:tcPr>
          <w:p>
            <w:pPr>
              <w:snapToGrid w:val="0"/>
              <w:spacing w:before="156" w:beforeLines="50" w:line="360" w:lineRule="auto"/>
              <w:rPr>
                <w:rFonts w:ascii="宋体" w:hAnsi="宋体" w:cs="宋体"/>
                <w:szCs w:val="21"/>
                <w:highlight w:val="none"/>
              </w:rPr>
            </w:pPr>
            <w:r>
              <w:rPr>
                <w:rFonts w:hint="eastAsia"/>
                <w:szCs w:val="21"/>
                <w:highlight w:val="none"/>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9</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工期要求</w:t>
            </w:r>
          </w:p>
        </w:tc>
        <w:tc>
          <w:tcPr>
            <w:tcW w:w="5908" w:type="dxa"/>
            <w:vAlign w:val="center"/>
          </w:tcPr>
          <w:p>
            <w:pPr>
              <w:adjustRightInd w:val="0"/>
              <w:snapToGrid w:val="0"/>
              <w:spacing w:before="156" w:beforeLines="50" w:line="360" w:lineRule="auto"/>
              <w:rPr>
                <w:highlight w:val="none"/>
              </w:rPr>
            </w:pPr>
            <w:r>
              <w:rPr>
                <w:rFonts w:hint="eastAsia" w:ascii="宋体" w:hAnsi="宋体" w:cs="宋体"/>
                <w:szCs w:val="21"/>
                <w:highlight w:val="none"/>
              </w:rPr>
              <w:t>合同签订后</w:t>
            </w:r>
            <w:r>
              <w:rPr>
                <w:rFonts w:hint="eastAsia" w:ascii="宋体" w:hAnsi="宋体" w:cs="宋体"/>
                <w:szCs w:val="21"/>
                <w:highlight w:val="none"/>
                <w:lang w:val="en-US" w:eastAsia="zh-CN"/>
              </w:rPr>
              <w:t>90</w:t>
            </w:r>
            <w:r>
              <w:rPr>
                <w:rFonts w:hint="eastAsia" w:ascii="宋体" w:hAnsi="宋体" w:cs="宋体"/>
                <w:szCs w:val="21"/>
                <w:highlight w:val="none"/>
              </w:rPr>
              <w:t>个日历天。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10</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908" w:type="dxa"/>
            <w:vAlign w:val="center"/>
          </w:tcPr>
          <w:p>
            <w:pPr>
              <w:adjustRightInd w:val="0"/>
              <w:snapToGrid w:val="0"/>
              <w:spacing w:before="156" w:beforeLines="50" w:line="360" w:lineRule="auto"/>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val="none"/>
                <w:lang w:val="en-US" w:eastAsia="zh-CN" w:bidi="ar-SA"/>
              </w:rPr>
              <w:t>投标单位自行报价，</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不得超过本项目</w:t>
            </w:r>
            <w:r>
              <w:rPr>
                <w:rFonts w:hint="eastAsia" w:ascii="宋体" w:hAnsi="宋体" w:cs="宋体"/>
                <w:color w:val="auto"/>
                <w:szCs w:val="21"/>
                <w:highlight w:val="none"/>
              </w:rPr>
              <w:t>最高投标限价。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质量标准</w:t>
            </w:r>
          </w:p>
        </w:tc>
        <w:tc>
          <w:tcPr>
            <w:tcW w:w="5908" w:type="dxa"/>
            <w:vAlign w:val="center"/>
          </w:tcPr>
          <w:p>
            <w:pPr>
              <w:adjustRightInd w:val="0"/>
              <w:snapToGrid w:val="0"/>
              <w:spacing w:before="156" w:beforeLines="50" w:line="360" w:lineRule="auto"/>
              <w:jc w:val="left"/>
              <w:rPr>
                <w:rFonts w:hint="eastAsia" w:ascii="宋体" w:hAnsi="宋体" w:cs="宋体"/>
                <w:szCs w:val="21"/>
                <w:highlight w:val="none"/>
              </w:rPr>
            </w:pPr>
            <w:r>
              <w:rPr>
                <w:rFonts w:hint="eastAsia" w:ascii="宋体" w:hAnsi="宋体" w:eastAsia="宋体" w:cs="宋体"/>
                <w:i w:val="0"/>
                <w:iCs w:val="0"/>
                <w:caps w:val="0"/>
                <w:color w:val="auto"/>
                <w:spacing w:val="0"/>
                <w:sz w:val="21"/>
                <w:szCs w:val="21"/>
                <w:highlight w:val="none"/>
                <w:u w:val="none"/>
                <w:shd w:val="clear"/>
              </w:rPr>
              <w:t>工程质量执行国家、省或行业现行的工程建设质量验收标准及规范，达到合格标准。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12</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踏勘现场</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投标人合格条件</w:t>
            </w:r>
          </w:p>
        </w:tc>
        <w:tc>
          <w:tcPr>
            <w:tcW w:w="5908" w:type="dxa"/>
            <w:vAlign w:val="center"/>
          </w:tcPr>
          <w:p>
            <w:pPr>
              <w:adjustRightInd w:val="0"/>
              <w:snapToGrid w:val="0"/>
              <w:spacing w:before="156" w:beforeLines="50" w:line="360" w:lineRule="auto"/>
              <w:rPr>
                <w:rFonts w:ascii="宋体" w:hAnsi="宋体" w:cs="宋体"/>
                <w:strike/>
                <w:szCs w:val="21"/>
                <w:highlight w:val="none"/>
              </w:rPr>
            </w:pPr>
            <w:r>
              <w:rPr>
                <w:rFonts w:hint="eastAsia" w:ascii="宋体" w:hAnsi="宋体" w:cs="宋体"/>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14</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是否接受联合体投标</w:t>
            </w:r>
          </w:p>
        </w:tc>
        <w:tc>
          <w:tcPr>
            <w:tcW w:w="5908" w:type="dxa"/>
            <w:vAlign w:val="center"/>
          </w:tcPr>
          <w:p>
            <w:pPr>
              <w:pStyle w:val="15"/>
              <w:topLinePunct/>
              <w:adjustRightInd w:val="0"/>
              <w:snapToGrid w:val="0"/>
              <w:spacing w:before="156" w:beforeLines="50" w:line="360" w:lineRule="auto"/>
              <w:rPr>
                <w:rFonts w:hAnsi="宋体"/>
                <w:sz w:val="21"/>
                <w:szCs w:val="21"/>
                <w:highlight w:val="none"/>
              </w:rPr>
            </w:pPr>
            <w:r>
              <w:rPr>
                <w:rFonts w:hint="eastAsia" w:hAnsi="宋体"/>
                <w:kern w:val="0"/>
                <w:sz w:val="21"/>
                <w:szCs w:val="21"/>
                <w:highlight w:val="none"/>
              </w:rPr>
              <w:t>■</w:t>
            </w:r>
            <w:r>
              <w:rPr>
                <w:rFonts w:hint="eastAsia" w:hAnsi="宋体"/>
                <w:sz w:val="21"/>
                <w:szCs w:val="21"/>
                <w:highlight w:val="none"/>
              </w:rPr>
              <w:t>不接受</w:t>
            </w:r>
          </w:p>
          <w:p>
            <w:pPr>
              <w:pStyle w:val="15"/>
              <w:topLinePunct/>
              <w:adjustRightInd w:val="0"/>
              <w:snapToGrid w:val="0"/>
              <w:spacing w:before="156" w:beforeLines="50" w:line="360" w:lineRule="auto"/>
              <w:rPr>
                <w:rFonts w:hAnsi="宋体"/>
                <w:sz w:val="21"/>
                <w:szCs w:val="21"/>
                <w:highlight w:val="none"/>
              </w:rPr>
            </w:pPr>
            <w:r>
              <w:rPr>
                <w:rFonts w:hint="eastAsia" w:hAnsi="宋体" w:cs="宋体"/>
                <w:sz w:val="21"/>
                <w:szCs w:val="21"/>
                <w:highlight w:val="none"/>
              </w:rPr>
              <w:sym w:font="Wingdings 2" w:char="00A3"/>
            </w:r>
            <w:r>
              <w:rPr>
                <w:rFonts w:hint="eastAsia" w:hAnsi="宋体"/>
                <w:sz w:val="21"/>
                <w:szCs w:val="21"/>
                <w:highlight w:val="none"/>
              </w:rPr>
              <w:t>接受，应满足下列要求：</w:t>
            </w:r>
            <w:r>
              <w:rPr>
                <w:rFonts w:hint="eastAsia" w:hAnsi="宋体" w:cs="宋体"/>
                <w:sz w:val="21"/>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15</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最高投标限价或其计算方法</w:t>
            </w:r>
          </w:p>
        </w:tc>
        <w:tc>
          <w:tcPr>
            <w:tcW w:w="5908" w:type="dxa"/>
            <w:vAlign w:val="center"/>
          </w:tcPr>
          <w:p>
            <w:pPr>
              <w:adjustRightInd w:val="0"/>
              <w:snapToGrid w:val="0"/>
              <w:spacing w:before="156" w:beforeLines="50" w:line="360" w:lineRule="auto"/>
              <w:jc w:val="left"/>
              <w:rPr>
                <w:rFonts w:hint="eastAsia" w:ascii="宋体" w:hAnsi="宋体" w:cs="Times New Roman"/>
                <w:szCs w:val="21"/>
                <w:highlight w:val="none"/>
                <w:u w:val="single"/>
              </w:rPr>
            </w:pPr>
            <w:r>
              <w:rPr>
                <w:rFonts w:hint="eastAsia" w:ascii="宋体" w:hAnsi="宋体" w:eastAsia="宋体" w:cs="Times New Roman"/>
                <w:sz w:val="21"/>
                <w:szCs w:val="21"/>
                <w:highlight w:val="none"/>
                <w:u w:val="single"/>
              </w:rPr>
              <w:t>最高投标限价：</w:t>
            </w:r>
            <w:r>
              <w:rPr>
                <w:rFonts w:hint="eastAsia" w:ascii="宋体" w:hAnsi="宋体" w:eastAsia="宋体" w:cs="Times New Roman"/>
                <w:kern w:val="2"/>
                <w:position w:val="0"/>
                <w:sz w:val="21"/>
                <w:szCs w:val="21"/>
                <w:highlight w:val="none"/>
                <w:u w:val="single"/>
                <w:lang w:val="en-US" w:eastAsia="zh-CN"/>
              </w:rPr>
              <w:t>672142</w:t>
            </w:r>
            <w:r>
              <w:rPr>
                <w:rFonts w:hint="eastAsia" w:ascii="宋体" w:hAnsi="宋体" w:eastAsia="宋体" w:cs="Times New Roman"/>
                <w:kern w:val="2"/>
                <w:position w:val="0"/>
                <w:sz w:val="21"/>
                <w:szCs w:val="21"/>
                <w:highlight w:val="none"/>
                <w:u w:val="single"/>
              </w:rPr>
              <w:t>.</w:t>
            </w:r>
            <w:r>
              <w:rPr>
                <w:rFonts w:hint="eastAsia" w:ascii="宋体" w:hAnsi="宋体" w:eastAsia="宋体" w:cs="Times New Roman"/>
                <w:kern w:val="2"/>
                <w:position w:val="0"/>
                <w:sz w:val="21"/>
                <w:szCs w:val="21"/>
                <w:highlight w:val="none"/>
                <w:u w:val="single"/>
                <w:lang w:val="en-US" w:eastAsia="zh-CN"/>
              </w:rPr>
              <w:t>97</w:t>
            </w:r>
            <w:r>
              <w:rPr>
                <w:rFonts w:hint="eastAsia" w:ascii="宋体" w:hAnsi="宋体" w:eastAsia="宋体" w:cs="Times New Roman"/>
                <w:sz w:val="21"/>
                <w:szCs w:val="21"/>
                <w:highlight w:val="none"/>
                <w:u w:val="single"/>
                <w:lang w:val="en-US" w:eastAsia="zh-CN"/>
              </w:rPr>
              <w:t>元</w:t>
            </w:r>
            <w:r>
              <w:rPr>
                <w:rFonts w:hint="eastAsia" w:ascii="宋体" w:hAnsi="宋体" w:eastAsia="宋体" w:cs="Times New Roman"/>
                <w:sz w:val="21"/>
                <w:szCs w:val="21"/>
                <w:highlight w:val="none"/>
                <w:u w:val="single"/>
              </w:rPr>
              <w:t>（含安全文明施工措施费）</w:t>
            </w:r>
          </w:p>
          <w:p>
            <w:pPr>
              <w:adjustRightInd w:val="0"/>
              <w:snapToGrid w:val="0"/>
              <w:spacing w:before="156" w:beforeLines="50" w:line="360" w:lineRule="auto"/>
              <w:jc w:val="left"/>
              <w:rPr>
                <w:rFonts w:hint="eastAsia" w:ascii="宋体" w:hAnsi="宋体" w:cs="宋体"/>
                <w:szCs w:val="21"/>
                <w:highlight w:val="none"/>
                <w:u w:val="none"/>
              </w:rPr>
            </w:pPr>
            <w:r>
              <w:rPr>
                <w:rFonts w:hint="eastAsia" w:ascii="宋体" w:hAnsi="宋体" w:cs="Times New Roman"/>
                <w:szCs w:val="21"/>
                <w:highlight w:val="none"/>
                <w:u w:val="single"/>
              </w:rPr>
              <w:t>投标人的投标总报价超过对应最高投标限价的为无效标。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16</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投标有效期</w:t>
            </w:r>
          </w:p>
        </w:tc>
        <w:tc>
          <w:tcPr>
            <w:tcW w:w="5908" w:type="dxa"/>
            <w:vAlign w:val="center"/>
          </w:tcPr>
          <w:p>
            <w:pPr>
              <w:adjustRightInd w:val="0"/>
              <w:snapToGrid w:val="0"/>
              <w:spacing w:before="156" w:beforeLines="50" w:line="360" w:lineRule="auto"/>
              <w:jc w:val="left"/>
              <w:rPr>
                <w:rFonts w:ascii="宋体" w:hAnsi="宋体"/>
                <w:szCs w:val="21"/>
                <w:highlight w:val="none"/>
              </w:rPr>
            </w:pPr>
            <w:r>
              <w:rPr>
                <w:rFonts w:hint="eastAsia" w:ascii="宋体" w:hAnsi="宋体"/>
                <w:szCs w:val="21"/>
                <w:highlight w:val="none"/>
                <w:u w:val="single"/>
                <w:lang w:val="en-US" w:eastAsia="zh-CN"/>
              </w:rPr>
              <w:t>60</w:t>
            </w:r>
            <w:r>
              <w:rPr>
                <w:rFonts w:ascii="宋体" w:hAnsi="宋体"/>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17</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投标文件份数</w:t>
            </w:r>
          </w:p>
        </w:tc>
        <w:tc>
          <w:tcPr>
            <w:tcW w:w="5908" w:type="dxa"/>
            <w:vAlign w:val="center"/>
          </w:tcPr>
          <w:p>
            <w:pPr>
              <w:jc w:val="left"/>
              <w:rPr>
                <w:b/>
                <w:bCs/>
                <w:szCs w:val="21"/>
                <w:highlight w:val="none"/>
              </w:rPr>
            </w:pPr>
            <w:r>
              <w:rPr>
                <w:rFonts w:hint="eastAsia"/>
                <w:b/>
                <w:bCs/>
                <w:szCs w:val="21"/>
                <w:highlight w:val="none"/>
              </w:rPr>
              <w:t>资格审查文件：</w:t>
            </w:r>
            <w:r>
              <w:rPr>
                <w:rFonts w:hint="eastAsia"/>
                <w:szCs w:val="21"/>
                <w:highlight w:val="none"/>
                <w:u w:val="single"/>
              </w:rPr>
              <w:t>1份正本（含电子文件一套），</w:t>
            </w:r>
            <w:r>
              <w:rPr>
                <w:rFonts w:hint="eastAsia"/>
                <w:szCs w:val="21"/>
                <w:highlight w:val="none"/>
                <w:u w:val="single"/>
                <w:lang w:val="en-US" w:eastAsia="zh-CN"/>
              </w:rPr>
              <w:t>4</w:t>
            </w:r>
            <w:r>
              <w:rPr>
                <w:rFonts w:hint="eastAsia"/>
                <w:szCs w:val="21"/>
                <w:highlight w:val="none"/>
                <w:u w:val="single"/>
              </w:rPr>
              <w:t>份副本</w:t>
            </w:r>
            <w:r>
              <w:rPr>
                <w:rFonts w:hint="eastAsia"/>
                <w:szCs w:val="21"/>
                <w:highlight w:val="none"/>
                <w:u w:val="none"/>
              </w:rPr>
              <w:t>；</w:t>
            </w:r>
          </w:p>
          <w:p>
            <w:pPr>
              <w:jc w:val="left"/>
              <w:rPr>
                <w:szCs w:val="21"/>
                <w:highlight w:val="none"/>
                <w:u w:val="single"/>
              </w:rPr>
            </w:pPr>
            <w:r>
              <w:rPr>
                <w:rFonts w:hint="eastAsia"/>
                <w:b/>
                <w:bCs/>
                <w:szCs w:val="21"/>
                <w:highlight w:val="none"/>
              </w:rPr>
              <w:t>工程</w:t>
            </w:r>
            <w:r>
              <w:rPr>
                <w:b/>
                <w:bCs/>
                <w:szCs w:val="21"/>
                <w:highlight w:val="none"/>
              </w:rPr>
              <w:t>实施方案</w:t>
            </w:r>
            <w:r>
              <w:rPr>
                <w:rFonts w:hint="eastAsia"/>
                <w:b/>
                <w:bCs/>
                <w:szCs w:val="21"/>
                <w:highlight w:val="none"/>
              </w:rPr>
              <w:t>（含资信部分）文件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4</w:t>
            </w:r>
            <w:r>
              <w:rPr>
                <w:rFonts w:hint="eastAsia"/>
                <w:szCs w:val="21"/>
                <w:highlight w:val="none"/>
                <w:u w:val="single"/>
              </w:rPr>
              <w:t>份副本</w:t>
            </w:r>
            <w:r>
              <w:rPr>
                <w:rFonts w:hint="eastAsia"/>
                <w:szCs w:val="21"/>
                <w:highlight w:val="none"/>
                <w:u w:val="none"/>
              </w:rPr>
              <w:t>；</w:t>
            </w:r>
          </w:p>
          <w:p>
            <w:pPr>
              <w:jc w:val="left"/>
              <w:rPr>
                <w:szCs w:val="21"/>
                <w:highlight w:val="none"/>
                <w:u w:val="single"/>
              </w:rPr>
            </w:pPr>
            <w:r>
              <w:rPr>
                <w:rFonts w:hint="eastAsia"/>
                <w:b/>
                <w:bCs/>
                <w:szCs w:val="21"/>
                <w:highlight w:val="none"/>
              </w:rPr>
              <w:t>投标报价文件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4</w:t>
            </w:r>
            <w:r>
              <w:rPr>
                <w:rFonts w:hint="eastAsia"/>
                <w:szCs w:val="21"/>
                <w:highlight w:val="none"/>
                <w:u w:val="single"/>
              </w:rPr>
              <w:t>份副本</w:t>
            </w:r>
            <w:r>
              <w:rPr>
                <w:rFonts w:hint="eastAsia"/>
                <w:szCs w:val="21"/>
                <w:highlight w:val="none"/>
                <w:u w:val="none"/>
              </w:rPr>
              <w:t>。</w:t>
            </w:r>
          </w:p>
          <w:p>
            <w:pPr>
              <w:jc w:val="left"/>
              <w:rPr>
                <w:rFonts w:ascii="宋体" w:hAnsi="宋体" w:cs="宋体"/>
                <w:color w:val="auto"/>
                <w:szCs w:val="21"/>
                <w:highlight w:val="none"/>
              </w:rPr>
            </w:pPr>
            <w:r>
              <w:rPr>
                <w:rFonts w:hint="eastAsia" w:ascii="宋体" w:hAnsi="宋体" w:cs="宋体"/>
                <w:color w:val="auto"/>
                <w:szCs w:val="21"/>
                <w:highlight w:val="none"/>
              </w:rPr>
              <w:t>独自分开的封包数共为3包：</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资格审查文件1包；</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工程总承包实施方案（含资信部分）文件1包；</w:t>
            </w:r>
          </w:p>
          <w:p>
            <w:pPr>
              <w:jc w:val="left"/>
              <w:rPr>
                <w:rFonts w:hint="eastAsia" w:cs="Times New Roman"/>
                <w:b/>
                <w:bCs/>
                <w:sz w:val="21"/>
                <w:szCs w:val="21"/>
                <w:highlight w:val="none"/>
                <w:u w:val="none"/>
                <w:lang w:eastAsia="zh-CN"/>
              </w:rPr>
            </w:pPr>
            <w:r>
              <w:rPr>
                <w:rFonts w:hint="eastAsia" w:ascii="宋体" w:hAnsi="宋体" w:cs="宋体"/>
                <w:b/>
                <w:bCs/>
                <w:color w:val="auto"/>
                <w:szCs w:val="21"/>
                <w:highlight w:val="none"/>
                <w:u w:val="single"/>
              </w:rPr>
              <w:t>投标报价文件1包。</w:t>
            </w:r>
          </w:p>
          <w:p>
            <w:pPr>
              <w:adjustRightInd w:val="0"/>
              <w:snapToGrid w:val="0"/>
              <w:spacing w:line="360" w:lineRule="auto"/>
              <w:rPr>
                <w:highlight w:val="none"/>
              </w:rPr>
            </w:pPr>
            <w:r>
              <w:rPr>
                <w:rFonts w:hint="eastAsia"/>
                <w:szCs w:val="21"/>
                <w:highlight w:val="none"/>
                <w:u w:val="single"/>
              </w:rPr>
              <w:t>要求提供的电子文件（U盘）必须无病毒、无加密、可打开、可编辑。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18</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封套上</w:t>
            </w:r>
            <w:r>
              <w:rPr>
                <w:rFonts w:hint="eastAsia" w:ascii="宋体" w:hAnsi="宋体"/>
                <w:szCs w:val="21"/>
                <w:highlight w:val="none"/>
              </w:rPr>
              <w:t>应载明的信息</w:t>
            </w:r>
          </w:p>
        </w:tc>
        <w:tc>
          <w:tcPr>
            <w:tcW w:w="5908" w:type="dxa"/>
            <w:vAlign w:val="center"/>
          </w:tcPr>
          <w:p>
            <w:pPr>
              <w:jc w:val="left"/>
              <w:rPr>
                <w:b/>
                <w:bCs/>
                <w:szCs w:val="21"/>
                <w:highlight w:val="none"/>
              </w:rPr>
            </w:pPr>
            <w:r>
              <w:rPr>
                <w:rFonts w:hint="eastAsia"/>
                <w:b/>
                <w:bCs/>
                <w:szCs w:val="21"/>
                <w:highlight w:val="none"/>
              </w:rPr>
              <w:t>1、资格审查文件/工程</w:t>
            </w:r>
            <w:r>
              <w:rPr>
                <w:b/>
                <w:bCs/>
                <w:szCs w:val="21"/>
                <w:highlight w:val="none"/>
              </w:rPr>
              <w:t>实施方案</w:t>
            </w:r>
            <w:r>
              <w:rPr>
                <w:rFonts w:hint="eastAsia"/>
                <w:b/>
                <w:bCs/>
                <w:szCs w:val="21"/>
                <w:highlight w:val="none"/>
              </w:rPr>
              <w:t>（含资信部分）文件/投标报价文件</w:t>
            </w:r>
          </w:p>
          <w:p>
            <w:pPr>
              <w:jc w:val="left"/>
              <w:rPr>
                <w:szCs w:val="21"/>
                <w:highlight w:val="none"/>
              </w:rPr>
            </w:pPr>
            <w:r>
              <w:rPr>
                <w:rFonts w:hint="eastAsia"/>
                <w:szCs w:val="21"/>
                <w:highlight w:val="none"/>
              </w:rPr>
              <w:t>招标人名称：</w:t>
            </w:r>
            <w:r>
              <w:rPr>
                <w:rFonts w:hint="eastAsia"/>
                <w:szCs w:val="21"/>
                <w:highlight w:val="none"/>
                <w:u w:val="single"/>
              </w:rPr>
              <w:t>广州南沙</w:t>
            </w:r>
            <w:r>
              <w:rPr>
                <w:rFonts w:hint="eastAsia"/>
                <w:szCs w:val="21"/>
                <w:highlight w:val="none"/>
                <w:u w:val="single"/>
                <w:lang w:val="en-US" w:eastAsia="zh-CN"/>
              </w:rPr>
              <w:t>湿地</w:t>
            </w:r>
            <w:r>
              <w:rPr>
                <w:rFonts w:hint="eastAsia"/>
                <w:szCs w:val="21"/>
                <w:highlight w:val="none"/>
                <w:u w:val="single"/>
              </w:rPr>
              <w:t>旅游发展有限公司</w:t>
            </w:r>
          </w:p>
          <w:p>
            <w:pPr>
              <w:jc w:val="left"/>
              <w:rPr>
                <w:szCs w:val="21"/>
                <w:highlight w:val="none"/>
              </w:rPr>
            </w:pPr>
            <w:r>
              <w:rPr>
                <w:rFonts w:hint="eastAsia" w:ascii="Calibri" w:hAnsi="Calibri" w:eastAsia="宋体" w:cs="Times New Roman"/>
                <w:b w:val="0"/>
                <w:bCs w:val="0"/>
                <w:spacing w:val="0"/>
                <w:kern w:val="2"/>
                <w:sz w:val="21"/>
                <w:szCs w:val="21"/>
                <w:highlight w:val="none"/>
                <w:u w:val="single"/>
              </w:rPr>
              <w:t>湿地景区二期停车场变压器增容项目</w:t>
            </w:r>
            <w:r>
              <w:rPr>
                <w:rFonts w:hint="eastAsia"/>
                <w:szCs w:val="21"/>
                <w:highlight w:val="none"/>
                <w:u w:val="single"/>
              </w:rPr>
              <w:t>投标文件</w:t>
            </w:r>
            <w:r>
              <w:rPr>
                <w:rFonts w:hint="eastAsia"/>
                <w:szCs w:val="21"/>
                <w:highlight w:val="none"/>
              </w:rPr>
              <w:t>（</w:t>
            </w:r>
            <w:r>
              <w:rPr>
                <w:rFonts w:hint="eastAsia"/>
                <w:b/>
                <w:bCs/>
                <w:szCs w:val="21"/>
                <w:highlight w:val="none"/>
              </w:rPr>
              <w:t>资格审查文件/工程实施方案（含资信部分）文件/投标报价文件</w:t>
            </w:r>
            <w:r>
              <w:rPr>
                <w:rFonts w:hint="eastAsia"/>
                <w:szCs w:val="21"/>
                <w:highlight w:val="none"/>
              </w:rPr>
              <w:t>）</w:t>
            </w:r>
          </w:p>
          <w:p>
            <w:pPr>
              <w:jc w:val="left"/>
              <w:rPr>
                <w:szCs w:val="21"/>
                <w:highlight w:val="none"/>
              </w:rPr>
            </w:pPr>
            <w:r>
              <w:rPr>
                <w:rFonts w:hint="eastAsia"/>
                <w:szCs w:val="21"/>
                <w:highlight w:val="none"/>
              </w:rPr>
              <w:t>在</w:t>
            </w:r>
            <w:r>
              <w:rPr>
                <w:rFonts w:hint="eastAsia"/>
                <w:szCs w:val="21"/>
                <w:highlight w:val="none"/>
                <w:u w:val="single"/>
              </w:rPr>
              <w:t xml:space="preserve"> 202</w:t>
            </w:r>
            <w:r>
              <w:rPr>
                <w:rFonts w:hint="eastAsia"/>
                <w:szCs w:val="21"/>
                <w:highlight w:val="none"/>
                <w:u w:val="single"/>
                <w:lang w:val="en-US" w:eastAsia="zh-CN"/>
              </w:rPr>
              <w:t>3</w:t>
            </w:r>
            <w:r>
              <w:rPr>
                <w:rFonts w:hint="eastAsia"/>
                <w:szCs w:val="21"/>
                <w:highlight w:val="none"/>
                <w:u w:val="single"/>
              </w:rPr>
              <w:t>年</w:t>
            </w:r>
            <w:r>
              <w:rPr>
                <w:rFonts w:hint="eastAsia"/>
                <w:szCs w:val="21"/>
                <w:highlight w:val="none"/>
                <w:u w:val="single"/>
                <w:lang w:val="en-US" w:eastAsia="zh-CN"/>
              </w:rPr>
              <w:t>8</w:t>
            </w:r>
            <w:r>
              <w:rPr>
                <w:rFonts w:hint="eastAsia"/>
                <w:szCs w:val="21"/>
                <w:highlight w:val="none"/>
                <w:u w:val="single"/>
              </w:rPr>
              <w:t>月</w:t>
            </w:r>
            <w:r>
              <w:rPr>
                <w:rFonts w:hint="eastAsia"/>
                <w:szCs w:val="21"/>
                <w:highlight w:val="none"/>
                <w:u w:val="single"/>
                <w:lang w:val="en-US" w:eastAsia="zh-CN"/>
              </w:rPr>
              <w:t>16</w:t>
            </w:r>
            <w:r>
              <w:rPr>
                <w:rFonts w:hint="eastAsia"/>
                <w:szCs w:val="21"/>
                <w:highlight w:val="none"/>
                <w:u w:val="single"/>
              </w:rPr>
              <w:t>日</w:t>
            </w:r>
            <w:r>
              <w:rPr>
                <w:rFonts w:hint="eastAsia"/>
                <w:szCs w:val="21"/>
                <w:highlight w:val="none"/>
                <w:u w:val="single"/>
                <w:lang w:val="en-US" w:eastAsia="zh-CN"/>
              </w:rPr>
              <w:t>10</w:t>
            </w:r>
            <w:r>
              <w:rPr>
                <w:rFonts w:hint="eastAsia"/>
                <w:szCs w:val="21"/>
                <w:highlight w:val="none"/>
                <w:u w:val="single"/>
              </w:rPr>
              <w:t>时</w:t>
            </w:r>
            <w:r>
              <w:rPr>
                <w:rFonts w:hint="eastAsia"/>
                <w:szCs w:val="21"/>
                <w:highlight w:val="none"/>
                <w:u w:val="single"/>
                <w:lang w:val="en-US" w:eastAsia="zh-CN"/>
              </w:rPr>
              <w:t>00</w:t>
            </w:r>
            <w:r>
              <w:rPr>
                <w:rFonts w:hint="eastAsia" w:ascii="宋体" w:hAnsi="宋体"/>
                <w:szCs w:val="21"/>
                <w:highlight w:val="none"/>
                <w:u w:val="single"/>
              </w:rPr>
              <w:t>分</w:t>
            </w:r>
            <w:r>
              <w:rPr>
                <w:rFonts w:hint="eastAsia"/>
                <w:szCs w:val="21"/>
                <w:highlight w:val="none"/>
              </w:rPr>
              <w:t>前不得开启</w:t>
            </w:r>
          </w:p>
          <w:p>
            <w:pPr>
              <w:jc w:val="left"/>
              <w:rPr>
                <w:rFonts w:ascii="宋体" w:hAnsi="宋体"/>
                <w:szCs w:val="21"/>
                <w:highlight w:val="none"/>
              </w:rPr>
            </w:pPr>
            <w:r>
              <w:rPr>
                <w:rFonts w:hint="eastAsia"/>
                <w:szCs w:val="21"/>
                <w:highlight w:val="none"/>
                <w:u w:val="single"/>
              </w:rPr>
              <w:t>投标人名称：</w:t>
            </w:r>
            <w:r>
              <w:rPr>
                <w:rFonts w:hint="eastAsia"/>
                <w:szCs w:val="21"/>
                <w:highlight w:val="none"/>
                <w:u w:val="single"/>
                <w:lang w:val="en-US" w:eastAsia="zh-CN"/>
              </w:rPr>
              <w:t xml:space="preserve">                   </w:t>
            </w:r>
            <w:r>
              <w:rPr>
                <w:rFonts w:hint="eastAsia"/>
                <w:szCs w:val="21"/>
                <w:highlight w:val="none"/>
                <w:u w:val="none"/>
              </w:rPr>
              <w:t>（并加盖公章）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19</w:t>
            </w:r>
          </w:p>
        </w:tc>
        <w:tc>
          <w:tcPr>
            <w:tcW w:w="2816" w:type="dxa"/>
            <w:vAlign w:val="center"/>
          </w:tcPr>
          <w:p>
            <w:pPr>
              <w:snapToGrid w:val="0"/>
              <w:spacing w:before="156" w:beforeLines="50" w:line="360" w:lineRule="auto"/>
              <w:jc w:val="center"/>
              <w:rPr>
                <w:rFonts w:ascii="宋体" w:hAnsi="宋体"/>
                <w:szCs w:val="21"/>
                <w:highlight w:val="none"/>
              </w:rPr>
            </w:pPr>
            <w:r>
              <w:rPr>
                <w:rFonts w:hint="eastAsia"/>
                <w:szCs w:val="21"/>
                <w:highlight w:val="none"/>
              </w:rPr>
              <w:t>报名</w:t>
            </w:r>
            <w:r>
              <w:rPr>
                <w:rFonts w:hint="eastAsia"/>
                <w:szCs w:val="21"/>
                <w:highlight w:val="none"/>
                <w:lang w:eastAsia="zh-CN"/>
              </w:rPr>
              <w:t>登记</w:t>
            </w:r>
            <w:r>
              <w:rPr>
                <w:rFonts w:hint="eastAsia"/>
                <w:szCs w:val="21"/>
                <w:highlight w:val="none"/>
              </w:rPr>
              <w:t>地点和时间</w:t>
            </w:r>
          </w:p>
        </w:tc>
        <w:tc>
          <w:tcPr>
            <w:tcW w:w="5908" w:type="dxa"/>
            <w:vAlign w:val="center"/>
          </w:tcPr>
          <w:p>
            <w:pPr>
              <w:numPr>
                <w:ilvl w:val="255"/>
                <w:numId w:val="0"/>
              </w:numPr>
              <w:spacing w:line="360" w:lineRule="auto"/>
              <w:rPr>
                <w:rFonts w:ascii="宋体" w:hAnsi="宋体"/>
                <w:szCs w:val="21"/>
                <w:highlight w:val="none"/>
              </w:rPr>
            </w:pPr>
            <w:r>
              <w:rPr>
                <w:rFonts w:hint="eastAsia" w:ascii="宋体" w:hAnsi="宋体" w:cs="宋体"/>
                <w:color w:val="auto"/>
                <w:szCs w:val="21"/>
                <w:highlight w:val="none"/>
              </w:rPr>
              <w:t>不设置报名登记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20</w:t>
            </w:r>
          </w:p>
        </w:tc>
        <w:tc>
          <w:tcPr>
            <w:tcW w:w="2816" w:type="dxa"/>
            <w:vAlign w:val="center"/>
          </w:tcPr>
          <w:p>
            <w:pPr>
              <w:snapToGrid w:val="0"/>
              <w:spacing w:before="156" w:beforeLines="50" w:line="360" w:lineRule="auto"/>
              <w:jc w:val="center"/>
              <w:rPr>
                <w:szCs w:val="21"/>
                <w:highlight w:val="none"/>
              </w:rPr>
            </w:pPr>
            <w:r>
              <w:rPr>
                <w:rFonts w:hint="eastAsia"/>
                <w:szCs w:val="21"/>
                <w:highlight w:val="none"/>
              </w:rPr>
              <w:t>投标文件递交地点</w:t>
            </w:r>
          </w:p>
        </w:tc>
        <w:tc>
          <w:tcPr>
            <w:tcW w:w="5908" w:type="dxa"/>
            <w:vAlign w:val="center"/>
          </w:tcPr>
          <w:p>
            <w:pPr>
              <w:snapToGrid w:val="0"/>
              <w:spacing w:before="0" w:beforeLines="0" w:line="336" w:lineRule="auto"/>
              <w:rPr>
                <w:rFonts w:ascii="宋体" w:hAnsi="宋体"/>
                <w:szCs w:val="21"/>
                <w:highlight w:val="none"/>
              </w:rPr>
            </w:pPr>
            <w:r>
              <w:rPr>
                <w:rFonts w:hint="eastAsia" w:ascii="宋体" w:hAnsi="宋体"/>
                <w:szCs w:val="21"/>
                <w:highlight w:val="none"/>
              </w:rPr>
              <w:t xml:space="preserve">收件人：林小姐 </w:t>
            </w:r>
            <w:r>
              <w:rPr>
                <w:rFonts w:hint="eastAsia" w:ascii="宋体" w:hAnsi="宋体"/>
                <w:szCs w:val="21"/>
                <w:highlight w:val="none"/>
                <w:lang w:val="en-US" w:eastAsia="zh-CN"/>
              </w:rPr>
              <w:t xml:space="preserve">           </w:t>
            </w:r>
            <w:r>
              <w:rPr>
                <w:rFonts w:hint="eastAsia" w:ascii="宋体" w:hAnsi="宋体"/>
                <w:szCs w:val="21"/>
                <w:highlight w:val="none"/>
              </w:rPr>
              <w:t>联系电话：</w:t>
            </w:r>
            <w:r>
              <w:rPr>
                <w:rFonts w:hint="eastAsia" w:ascii="宋体" w:hAnsi="宋体" w:eastAsia="宋体" w:cs="宋体"/>
                <w:kern w:val="2"/>
                <w:sz w:val="21"/>
                <w:szCs w:val="21"/>
                <w:highlight w:val="none"/>
                <w:u w:val="none"/>
              </w:rPr>
              <w:t>020-</w:t>
            </w:r>
            <w:r>
              <w:rPr>
                <w:rFonts w:hint="eastAsia" w:ascii="宋体" w:hAnsi="宋体" w:eastAsia="宋体" w:cs="宋体"/>
                <w:kern w:val="2"/>
                <w:sz w:val="21"/>
                <w:szCs w:val="21"/>
                <w:highlight w:val="none"/>
                <w:u w:val="none"/>
                <w:lang w:val="en-US" w:eastAsia="zh-CN"/>
              </w:rPr>
              <w:t>31151828</w:t>
            </w:r>
            <w:r>
              <w:rPr>
                <w:rFonts w:ascii="宋体" w:hAnsi="宋体"/>
                <w:szCs w:val="21"/>
                <w:highlight w:val="none"/>
              </w:rPr>
              <w:t xml:space="preserve">      </w:t>
            </w:r>
          </w:p>
          <w:p>
            <w:pPr>
              <w:numPr>
                <w:ilvl w:val="-1"/>
                <w:numId w:val="0"/>
              </w:numPr>
              <w:snapToGrid w:val="0"/>
              <w:spacing w:beforeLines="0" w:line="336" w:lineRule="auto"/>
              <w:rPr>
                <w:rFonts w:ascii="宋体" w:hAnsi="宋体"/>
                <w:szCs w:val="21"/>
                <w:highlight w:val="none"/>
              </w:rPr>
            </w:pPr>
            <w:r>
              <w:rPr>
                <w:rFonts w:hint="eastAsia" w:ascii="宋体" w:hAnsi="宋体"/>
                <w:szCs w:val="21"/>
                <w:highlight w:val="none"/>
              </w:rPr>
              <w:t xml:space="preserve">地 </w:t>
            </w:r>
            <w:r>
              <w:rPr>
                <w:rFonts w:ascii="宋体" w:hAnsi="宋体"/>
                <w:szCs w:val="21"/>
                <w:highlight w:val="none"/>
              </w:rPr>
              <w:t xml:space="preserve"> </w:t>
            </w:r>
            <w:r>
              <w:rPr>
                <w:rFonts w:hint="eastAsia" w:ascii="宋体" w:hAnsi="宋体"/>
                <w:szCs w:val="21"/>
                <w:highlight w:val="none"/>
              </w:rPr>
              <w:t>点：</w:t>
            </w:r>
            <w:r>
              <w:rPr>
                <w:rFonts w:hint="eastAsia" w:ascii="宋体" w:hAnsi="宋体" w:eastAsia="宋体" w:cs="宋体"/>
                <w:color w:val="auto"/>
                <w:kern w:val="2"/>
                <w:sz w:val="21"/>
                <w:szCs w:val="21"/>
                <w:highlight w:val="none"/>
                <w:u w:val="none"/>
                <w:shd w:val="clear"/>
                <w:lang w:bidi="ar-SA"/>
              </w:rPr>
              <w:t>广州市南沙区南沙街天后路88号南沙天后宫景区办公室2楼</w:t>
            </w:r>
            <w:r>
              <w:rPr>
                <w:rFonts w:hint="eastAsia" w:ascii="宋体" w:hAnsi="宋体" w:eastAsia="宋体" w:cs="宋体"/>
                <w:color w:val="auto"/>
                <w:kern w:val="2"/>
                <w:sz w:val="21"/>
                <w:szCs w:val="21"/>
                <w:highlight w:val="none"/>
                <w:u w:val="none"/>
                <w:shd w:val="clear"/>
                <w:lang w:val="en-US" w:eastAsia="zh-CN" w:bidi="ar-SA"/>
              </w:rPr>
              <w:t>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投标截止时间</w:t>
            </w:r>
          </w:p>
        </w:tc>
        <w:tc>
          <w:tcPr>
            <w:tcW w:w="5908" w:type="dxa"/>
            <w:vAlign w:val="center"/>
          </w:tcPr>
          <w:p>
            <w:pPr>
              <w:adjustRightInd w:val="0"/>
              <w:snapToGrid w:val="0"/>
              <w:spacing w:before="0" w:beforeLines="50" w:line="360" w:lineRule="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rPr>
              <w:t>开始接收投标文件时间：</w:t>
            </w:r>
            <w:r>
              <w:rPr>
                <w:rFonts w:hint="eastAsia" w:ascii="宋体" w:hAnsi="宋体" w:eastAsia="宋体" w:cs="宋体"/>
                <w:color w:val="auto"/>
                <w:kern w:val="0"/>
                <w:szCs w:val="21"/>
                <w:highlight w:val="none"/>
                <w:u w:val="single"/>
                <w:lang w:val="en-US" w:eastAsia="zh-CN"/>
              </w:rPr>
              <w:t>2023年8月16日9时30分</w:t>
            </w:r>
            <w:r>
              <w:rPr>
                <w:rFonts w:hint="eastAsia" w:ascii="宋体" w:hAnsi="宋体" w:eastAsia="宋体" w:cs="宋体"/>
                <w:color w:val="auto"/>
                <w:kern w:val="0"/>
                <w:szCs w:val="21"/>
                <w:highlight w:val="none"/>
              </w:rPr>
              <w:t>。</w:t>
            </w:r>
          </w:p>
          <w:p>
            <w:pPr>
              <w:adjustRightInd w:val="0"/>
              <w:snapToGrid w:val="0"/>
              <w:spacing w:before="0" w:beforeLines="5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r>
              <w:rPr>
                <w:rFonts w:hint="eastAsia" w:ascii="宋体" w:hAnsi="宋体" w:eastAsia="宋体" w:cs="宋体"/>
                <w:color w:val="auto"/>
                <w:kern w:val="0"/>
                <w:szCs w:val="21"/>
                <w:highlight w:val="none"/>
                <w:u w:val="single"/>
                <w:lang w:val="en-US" w:eastAsia="zh-CN"/>
              </w:rPr>
              <w:t>2023年8月16日10时00分</w:t>
            </w:r>
            <w:r>
              <w:rPr>
                <w:rFonts w:hint="eastAsia" w:ascii="宋体" w:hAnsi="宋体" w:eastAsia="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22</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开标时间和地点</w:t>
            </w:r>
          </w:p>
        </w:tc>
        <w:tc>
          <w:tcPr>
            <w:tcW w:w="5908" w:type="dxa"/>
            <w:vAlign w:val="center"/>
          </w:tcPr>
          <w:p>
            <w:pPr>
              <w:snapToGrid w:val="0"/>
              <w:spacing w:before="156" w:beforeLines="50" w:line="360" w:lineRule="auto"/>
              <w:rPr>
                <w:szCs w:val="21"/>
                <w:highlight w:val="none"/>
              </w:rPr>
            </w:pPr>
            <w:r>
              <w:rPr>
                <w:rFonts w:hint="eastAsia"/>
                <w:szCs w:val="21"/>
                <w:highlight w:val="none"/>
              </w:rPr>
              <w:t>本项目资格审查文件、工程实施方案（含资信部分）文件、投标报价文件同时开启。</w:t>
            </w:r>
          </w:p>
          <w:p>
            <w:pPr>
              <w:snapToGrid w:val="0"/>
              <w:spacing w:before="156" w:beforeLines="50" w:line="360" w:lineRule="auto"/>
              <w:rPr>
                <w:rFonts w:hint="default" w:ascii="宋体" w:hAnsi="宋体"/>
                <w:szCs w:val="21"/>
                <w:highlight w:val="none"/>
                <w:lang w:val="en-US"/>
              </w:rPr>
            </w:pPr>
            <w:r>
              <w:rPr>
                <w:rFonts w:hint="eastAsia" w:ascii="宋体" w:hAnsi="宋体"/>
                <w:szCs w:val="21"/>
                <w:highlight w:val="none"/>
              </w:rPr>
              <w:t>开标时间：</w:t>
            </w:r>
            <w:r>
              <w:rPr>
                <w:rFonts w:hint="eastAsia" w:ascii="宋体" w:hAnsi="宋体" w:cs="Times New Roman"/>
                <w:szCs w:val="21"/>
                <w:highlight w:val="none"/>
                <w:u w:val="single"/>
                <w:lang w:val="en-US" w:eastAsia="zh-CN"/>
              </w:rPr>
              <w:t>2023年8月16日10时00分</w:t>
            </w:r>
          </w:p>
          <w:p>
            <w:pPr>
              <w:pStyle w:val="20"/>
              <w:snapToGrid w:val="0"/>
              <w:spacing w:before="156" w:beforeLines="50" w:line="360" w:lineRule="auto"/>
              <w:rPr>
                <w:sz w:val="21"/>
                <w:szCs w:val="21"/>
                <w:highlight w:val="none"/>
              </w:rPr>
            </w:pPr>
            <w:r>
              <w:rPr>
                <w:rFonts w:hint="eastAsia" w:ascii="宋体" w:hAnsi="宋体"/>
                <w:sz w:val="21"/>
                <w:szCs w:val="21"/>
                <w:highlight w:val="none"/>
              </w:rPr>
              <w:t>开标地点：</w:t>
            </w:r>
            <w:r>
              <w:rPr>
                <w:rFonts w:hint="eastAsia" w:ascii="宋体" w:hAnsi="宋体" w:eastAsia="宋体" w:cs="宋体"/>
                <w:kern w:val="2"/>
                <w:sz w:val="21"/>
                <w:szCs w:val="21"/>
                <w:highlight w:val="none"/>
                <w:u w:val="none"/>
                <w:shd w:val="clear"/>
                <w:lang w:bidi="ar-SA"/>
              </w:rPr>
              <w:t>广州市南沙区南沙街天后路88号南沙天后宫景区办公室2楼</w:t>
            </w:r>
            <w:r>
              <w:rPr>
                <w:rFonts w:hint="eastAsia" w:ascii="宋体" w:hAnsi="宋体" w:eastAsia="宋体" w:cs="宋体"/>
                <w:kern w:val="2"/>
                <w:sz w:val="21"/>
                <w:szCs w:val="21"/>
                <w:highlight w:val="none"/>
                <w:u w:val="none"/>
                <w:shd w:val="clear"/>
                <w:lang w:val="en-US" w:eastAsia="zh-CN" w:bidi="ar-SA"/>
              </w:rPr>
              <w:t>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开标评标办法</w:t>
            </w:r>
          </w:p>
        </w:tc>
        <w:tc>
          <w:tcPr>
            <w:tcW w:w="5908" w:type="dxa"/>
            <w:vAlign w:val="center"/>
          </w:tcPr>
          <w:p>
            <w:pPr>
              <w:snapToGrid w:val="0"/>
              <w:spacing w:before="156" w:beforeLines="50" w:line="360" w:lineRule="auto"/>
              <w:rPr>
                <w:szCs w:val="21"/>
                <w:highlight w:val="none"/>
              </w:rPr>
            </w:pPr>
            <w:r>
              <w:rPr>
                <w:rFonts w:hint="eastAsia" w:ascii="Times New Roman" w:hAnsi="Times New Roman"/>
                <w:szCs w:val="21"/>
                <w:highlight w:val="none"/>
              </w:rPr>
              <w:t>综合评</w:t>
            </w:r>
            <w:r>
              <w:rPr>
                <w:rFonts w:hint="eastAsia" w:ascii="Times New Roman" w:hAnsi="Times New Roman"/>
                <w:szCs w:val="21"/>
                <w:highlight w:val="none"/>
                <w:lang w:val="en-US" w:eastAsia="zh-CN"/>
              </w:rPr>
              <w:t>审</w:t>
            </w:r>
            <w:r>
              <w:rPr>
                <w:rFonts w:hint="eastAsia" w:ascii="Times New Roman" w:hAnsi="Times New Roman"/>
                <w:szCs w:val="21"/>
                <w:highlight w:val="none"/>
              </w:rPr>
              <w:t>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szCs w:val="21"/>
                <w:highlight w:val="none"/>
                <w:lang w:eastAsia="zh-CN"/>
              </w:rPr>
            </w:pPr>
            <w:r>
              <w:rPr>
                <w:rFonts w:hint="eastAsia" w:ascii="宋体" w:hAnsi="宋体"/>
                <w:bCs/>
                <w:szCs w:val="21"/>
                <w:highlight w:val="none"/>
              </w:rPr>
              <w:t>2</w:t>
            </w:r>
            <w:r>
              <w:rPr>
                <w:rFonts w:hint="eastAsia" w:ascii="宋体" w:hAnsi="宋体"/>
                <w:bCs/>
                <w:szCs w:val="21"/>
                <w:highlight w:val="none"/>
                <w:lang w:val="en-US" w:eastAsia="zh-CN"/>
              </w:rPr>
              <w:t>4</w:t>
            </w:r>
          </w:p>
        </w:tc>
        <w:tc>
          <w:tcPr>
            <w:tcW w:w="2816" w:type="dxa"/>
            <w:vAlign w:val="center"/>
          </w:tcPr>
          <w:p>
            <w:pPr>
              <w:snapToGrid w:val="0"/>
              <w:spacing w:before="156" w:beforeLines="50" w:line="360" w:lineRule="auto"/>
              <w:jc w:val="center"/>
              <w:rPr>
                <w:rFonts w:hint="eastAsia"/>
                <w:color w:val="auto"/>
                <w:szCs w:val="21"/>
                <w:highlight w:val="none"/>
              </w:rPr>
            </w:pPr>
            <w:r>
              <w:rPr>
                <w:rFonts w:ascii="宋体" w:hAnsi="宋体"/>
                <w:color w:val="auto"/>
                <w:szCs w:val="21"/>
                <w:highlight w:val="none"/>
              </w:rPr>
              <w:t>投标保证金</w:t>
            </w:r>
          </w:p>
        </w:tc>
        <w:tc>
          <w:tcPr>
            <w:tcW w:w="5908" w:type="dxa"/>
            <w:vAlign w:val="center"/>
          </w:tcPr>
          <w:p>
            <w:pPr>
              <w:adjustRightInd w:val="0"/>
              <w:snapToGrid w:val="0"/>
              <w:spacing w:line="560" w:lineRule="atLeast"/>
              <w:rPr>
                <w:rFonts w:hint="eastAsia" w:ascii="宋体" w:hAnsi="宋体" w:cs="宋体"/>
                <w:color w:val="auto"/>
                <w:szCs w:val="21"/>
                <w:highlight w:val="none"/>
              </w:rPr>
            </w:pPr>
            <w:r>
              <w:rPr>
                <w:rFonts w:hint="eastAsia" w:ascii="宋体" w:hAnsi="宋体" w:cs="宋体"/>
                <w:color w:val="auto"/>
                <w:szCs w:val="21"/>
                <w:highlight w:val="none"/>
              </w:rPr>
              <w:t>1、投标保证金的金额：人民币</w:t>
            </w:r>
            <w:r>
              <w:rPr>
                <w:rFonts w:hint="eastAsia" w:ascii="宋体" w:hAnsi="宋体" w:cs="宋体"/>
                <w:color w:val="auto"/>
                <w:szCs w:val="21"/>
                <w:highlight w:val="none"/>
                <w:u w:val="none"/>
              </w:rPr>
              <w:t>壹</w:t>
            </w:r>
            <w:r>
              <w:rPr>
                <w:rFonts w:hint="eastAsia" w:ascii="宋体" w:hAnsi="宋体" w:cs="宋体"/>
                <w:color w:val="auto"/>
                <w:szCs w:val="21"/>
                <w:highlight w:val="none"/>
              </w:rPr>
              <w:t>万元。</w:t>
            </w:r>
          </w:p>
          <w:p>
            <w:pPr>
              <w:adjustRightInd w:val="0"/>
              <w:snapToGrid w:val="0"/>
              <w:spacing w:line="560" w:lineRule="atLeast"/>
              <w:rPr>
                <w:rFonts w:hint="eastAsia" w:ascii="宋体" w:hAnsi="宋体" w:cs="宋体"/>
                <w:color w:val="auto"/>
                <w:szCs w:val="21"/>
                <w:highlight w:val="none"/>
              </w:rPr>
            </w:pPr>
            <w:r>
              <w:rPr>
                <w:rFonts w:hint="eastAsia" w:ascii="宋体" w:hAnsi="宋体" w:cs="宋体"/>
                <w:color w:val="auto"/>
                <w:szCs w:val="21"/>
                <w:highlight w:val="none"/>
              </w:rPr>
              <w:t>2、缴纳方式：</w:t>
            </w:r>
            <w:r>
              <w:rPr>
                <w:rFonts w:hint="eastAsia" w:ascii="宋体" w:hAnsi="宋体" w:eastAsia="宋体" w:cs="宋体"/>
                <w:color w:val="auto"/>
                <w:szCs w:val="21"/>
                <w:highlight w:val="none"/>
                <w:lang w:val="en-US" w:eastAsia="zh-CN"/>
              </w:rPr>
              <w:t>银行转账</w:t>
            </w:r>
          </w:p>
          <w:p>
            <w:pPr>
              <w:widowControl w:val="0"/>
              <w:adjustRightInd w:val="0"/>
              <w:snapToGrid w:val="0"/>
              <w:spacing w:line="56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账户名称：</w:t>
            </w:r>
            <w:r>
              <w:rPr>
                <w:rFonts w:hint="eastAsia" w:ascii="宋体" w:hAnsi="宋体" w:eastAsia="宋体" w:cs="宋体"/>
                <w:color w:val="auto"/>
                <w:sz w:val="21"/>
                <w:szCs w:val="21"/>
                <w:highlight w:val="none"/>
              </w:rPr>
              <w:t>广州南沙</w:t>
            </w:r>
            <w:r>
              <w:rPr>
                <w:rFonts w:hint="eastAsia" w:ascii="宋体" w:hAnsi="宋体" w:eastAsia="宋体" w:cs="宋体"/>
                <w:color w:val="auto"/>
                <w:sz w:val="21"/>
                <w:szCs w:val="21"/>
                <w:highlight w:val="none"/>
                <w:lang w:val="en-US" w:eastAsia="zh-CN"/>
              </w:rPr>
              <w:t>湿地旅游发展</w:t>
            </w:r>
            <w:r>
              <w:rPr>
                <w:rFonts w:hint="eastAsia" w:ascii="宋体" w:hAnsi="宋体" w:eastAsia="宋体" w:cs="宋体"/>
                <w:color w:val="auto"/>
                <w:sz w:val="21"/>
                <w:szCs w:val="21"/>
                <w:highlight w:val="none"/>
              </w:rPr>
              <w:t>有限公司</w:t>
            </w:r>
          </w:p>
          <w:p>
            <w:pPr>
              <w:widowControl w:val="0"/>
              <w:adjustRightInd w:val="0"/>
              <w:snapToGrid w:val="0"/>
              <w:spacing w:line="56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开户银行：</w:t>
            </w:r>
            <w:r>
              <w:rPr>
                <w:rFonts w:hint="eastAsia" w:ascii="宋体" w:hAnsi="宋体" w:eastAsia="宋体" w:cs="宋体"/>
                <w:color w:val="auto"/>
                <w:sz w:val="21"/>
                <w:szCs w:val="21"/>
                <w:highlight w:val="none"/>
              </w:rPr>
              <w:t>广州农村商业银行十四冲支行</w:t>
            </w:r>
          </w:p>
          <w:p>
            <w:pPr>
              <w:widowControl w:val="0"/>
              <w:adjustRightInd w:val="0"/>
              <w:snapToGrid w:val="0"/>
              <w:spacing w:line="56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账号：</w:t>
            </w:r>
            <w:r>
              <w:rPr>
                <w:rFonts w:hint="eastAsia" w:ascii="宋体" w:hAnsi="宋体" w:eastAsia="宋体" w:cs="宋体"/>
                <w:color w:val="auto"/>
                <w:sz w:val="21"/>
                <w:szCs w:val="21"/>
                <w:highlight w:val="none"/>
              </w:rPr>
              <w:t>05621949000000074</w:t>
            </w:r>
          </w:p>
          <w:p>
            <w:pPr>
              <w:numPr>
                <w:ilvl w:val="0"/>
                <w:numId w:val="1"/>
              </w:numPr>
              <w:adjustRightInd w:val="0"/>
              <w:snapToGrid w:val="0"/>
              <w:spacing w:before="0" w:beforeLines="-2147483648" w:line="560" w:lineRule="atLeast"/>
              <w:rPr>
                <w:rFonts w:hint="eastAsia" w:ascii="宋体" w:hAnsi="宋体" w:cs="宋体"/>
                <w:color w:val="auto"/>
                <w:szCs w:val="21"/>
                <w:highlight w:val="none"/>
              </w:rPr>
            </w:pPr>
            <w:r>
              <w:rPr>
                <w:rFonts w:hint="eastAsia" w:ascii="宋体" w:hAnsi="宋体" w:cs="宋体"/>
                <w:color w:val="auto"/>
                <w:szCs w:val="21"/>
                <w:highlight w:val="none"/>
              </w:rPr>
              <w:t>缴纳时间：投标单位须在</w:t>
            </w:r>
            <w:r>
              <w:rPr>
                <w:rFonts w:hint="eastAsia" w:ascii="宋体" w:hAnsi="宋体" w:cs="宋体"/>
                <w:color w:val="auto"/>
                <w:szCs w:val="21"/>
                <w:highlight w:val="none"/>
                <w:u w:val="none"/>
              </w:rPr>
              <w:t>2023年</w:t>
            </w:r>
            <w:r>
              <w:rPr>
                <w:rFonts w:hint="eastAsia" w:ascii="宋体" w:hAnsi="宋体" w:cs="宋体"/>
                <w:color w:val="auto"/>
                <w:szCs w:val="21"/>
                <w:highlight w:val="none"/>
                <w:u w:val="none"/>
                <w:lang w:val="en-US" w:eastAsia="zh-CN"/>
              </w:rPr>
              <w:t>8</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15</w:t>
            </w:r>
            <w:r>
              <w:rPr>
                <w:rFonts w:hint="eastAsia" w:ascii="宋体" w:hAnsi="宋体" w:cs="宋体"/>
                <w:color w:val="auto"/>
                <w:szCs w:val="21"/>
                <w:highlight w:val="none"/>
                <w:u w:val="none"/>
              </w:rPr>
              <w:t>日</w:t>
            </w:r>
            <w:r>
              <w:rPr>
                <w:rFonts w:hint="eastAsia" w:ascii="宋体" w:hAnsi="宋体" w:cs="宋体"/>
                <w:color w:val="auto"/>
                <w:szCs w:val="21"/>
                <w:highlight w:val="none"/>
                <w:u w:val="none"/>
                <w:lang w:val="en-US" w:eastAsia="zh-CN"/>
              </w:rPr>
              <w:t>12</w:t>
            </w:r>
            <w:r>
              <w:rPr>
                <w:rFonts w:hint="eastAsia" w:ascii="宋体" w:hAnsi="宋体" w:cs="宋体"/>
                <w:color w:val="auto"/>
                <w:szCs w:val="21"/>
                <w:highlight w:val="none"/>
                <w:u w:val="none"/>
              </w:rPr>
              <w:t>时</w:t>
            </w:r>
            <w:r>
              <w:rPr>
                <w:rFonts w:hint="eastAsia" w:ascii="宋体" w:hAnsi="宋体" w:cs="宋体"/>
                <w:color w:val="auto"/>
                <w:szCs w:val="21"/>
                <w:highlight w:val="none"/>
                <w:u w:val="none"/>
                <w:lang w:val="en-US" w:eastAsia="zh-CN"/>
              </w:rPr>
              <w:t>00</w:t>
            </w:r>
            <w:r>
              <w:rPr>
                <w:rFonts w:hint="eastAsia" w:ascii="宋体" w:hAnsi="宋体" w:cs="宋体"/>
                <w:color w:val="auto"/>
                <w:szCs w:val="21"/>
                <w:highlight w:val="none"/>
                <w:u w:val="none"/>
              </w:rPr>
              <w:t>分前</w:t>
            </w:r>
            <w:r>
              <w:rPr>
                <w:rFonts w:hint="eastAsia" w:ascii="宋体" w:hAnsi="宋体" w:cs="宋体"/>
                <w:color w:val="auto"/>
                <w:szCs w:val="21"/>
                <w:highlight w:val="none"/>
              </w:rPr>
              <w:t>以投标人转出【以招标单位查询的信息为准，汇款时备注：</w:t>
            </w:r>
            <w:r>
              <w:rPr>
                <w:rFonts w:hint="eastAsia" w:ascii="宋体" w:hAnsi="宋体" w:eastAsia="宋体" w:cs="宋体"/>
                <w:b w:val="0"/>
                <w:bCs w:val="0"/>
                <w:color w:val="auto"/>
                <w:spacing w:val="0"/>
                <w:kern w:val="2"/>
                <w:sz w:val="21"/>
                <w:szCs w:val="21"/>
                <w:highlight w:val="none"/>
                <w:u w:val="none"/>
              </w:rPr>
              <w:t>湿地景区二期停车场变压器增容项目</w:t>
            </w:r>
            <w:r>
              <w:rPr>
                <w:rFonts w:hint="eastAsia" w:ascii="宋体" w:hAnsi="宋体" w:cs="宋体"/>
                <w:color w:val="auto"/>
                <w:szCs w:val="21"/>
                <w:highlight w:val="none"/>
              </w:rPr>
              <w:t>投标保证金】</w:t>
            </w:r>
          </w:p>
          <w:p>
            <w:pPr>
              <w:numPr>
                <w:ilvl w:val="0"/>
                <w:numId w:val="1"/>
              </w:numPr>
              <w:adjustRightInd w:val="0"/>
              <w:snapToGrid w:val="0"/>
              <w:spacing w:before="0" w:beforeLines="-2147483648" w:line="560" w:lineRule="atLeast"/>
              <w:rPr>
                <w:rFonts w:hint="eastAsia" w:ascii="宋体" w:hAnsi="宋体" w:cs="宋体"/>
                <w:color w:val="auto"/>
                <w:szCs w:val="21"/>
                <w:highlight w:val="none"/>
              </w:rPr>
            </w:pPr>
            <w:r>
              <w:rPr>
                <w:rFonts w:hint="eastAsia" w:ascii="宋体" w:hAnsi="宋体" w:cs="宋体"/>
                <w:color w:val="auto"/>
                <w:szCs w:val="21"/>
                <w:highlight w:val="none"/>
              </w:rPr>
              <w:t>未按规定缴纳投标保证金的正式投标人将被视为自动放弃本工程的投标资格。</w:t>
            </w:r>
          </w:p>
          <w:p>
            <w:pPr>
              <w:adjustRightInd w:val="0"/>
              <w:snapToGrid w:val="0"/>
              <w:spacing w:before="0" w:beforeLines="-2147483648" w:line="560" w:lineRule="atLeast"/>
              <w:rPr>
                <w:rFonts w:hint="eastAsia" w:ascii="宋体" w:hAnsi="宋体" w:eastAsia="宋体" w:cs="宋体"/>
                <w:color w:val="auto"/>
                <w:szCs w:val="21"/>
                <w:highlight w:val="none"/>
                <w:lang w:val="en-US" w:eastAsia="zh-CN"/>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招标人在中标通知书发出后</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个工作日内无息退还未中标投标人的投标保证金，在合同签订后</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个工作日内无息退还中标投标人的投标保证金。所有投标人的投标保证金以转账的方式予以退还。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szCs w:val="21"/>
                <w:highlight w:val="none"/>
                <w:lang w:eastAsia="zh-CN"/>
              </w:rPr>
            </w:pPr>
            <w:r>
              <w:rPr>
                <w:rFonts w:hint="eastAsia" w:ascii="宋体" w:hAnsi="宋体"/>
                <w:bCs/>
                <w:szCs w:val="21"/>
                <w:highlight w:val="none"/>
              </w:rPr>
              <w:t>2</w:t>
            </w:r>
            <w:r>
              <w:rPr>
                <w:rFonts w:hint="eastAsia" w:ascii="宋体" w:hAnsi="宋体"/>
                <w:bCs/>
                <w:szCs w:val="21"/>
                <w:highlight w:val="none"/>
                <w:lang w:val="en-US" w:eastAsia="zh-CN"/>
              </w:rPr>
              <w:t>5</w:t>
            </w:r>
          </w:p>
        </w:tc>
        <w:tc>
          <w:tcPr>
            <w:tcW w:w="2816" w:type="dxa"/>
            <w:vAlign w:val="center"/>
          </w:tcPr>
          <w:p>
            <w:pPr>
              <w:pStyle w:val="38"/>
              <w:adjustRightInd w:val="0"/>
              <w:snapToGrid w:val="0"/>
              <w:spacing w:before="156" w:beforeLines="50" w:after="0" w:line="360" w:lineRule="auto"/>
              <w:ind w:firstLine="0"/>
              <w:jc w:val="center"/>
              <w:rPr>
                <w:rFonts w:ascii="宋体" w:hAnsi="宋体"/>
                <w:bCs/>
                <w:szCs w:val="21"/>
                <w:highlight w:val="none"/>
              </w:rPr>
            </w:pPr>
            <w:r>
              <w:rPr>
                <w:rFonts w:hint="eastAsia" w:ascii="宋体" w:hAnsi="宋体"/>
                <w:szCs w:val="21"/>
                <w:highlight w:val="none"/>
              </w:rPr>
              <w:t>保修期</w:t>
            </w:r>
          </w:p>
        </w:tc>
        <w:tc>
          <w:tcPr>
            <w:tcW w:w="5908" w:type="dxa"/>
            <w:vAlign w:val="center"/>
          </w:tcPr>
          <w:p>
            <w:pPr>
              <w:adjustRightInd w:val="0"/>
              <w:snapToGrid w:val="0"/>
              <w:spacing w:before="156" w:beforeLines="50" w:line="360" w:lineRule="auto"/>
              <w:rPr>
                <w:rFonts w:ascii="宋体" w:hAnsi="宋体"/>
                <w:bCs/>
                <w:szCs w:val="21"/>
                <w:highlight w:val="none"/>
              </w:rPr>
            </w:pPr>
            <w:r>
              <w:rPr>
                <w:rFonts w:hint="eastAsia" w:ascii="宋体" w:hAnsi="宋体"/>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szCs w:val="21"/>
                <w:highlight w:val="none"/>
                <w:lang w:eastAsia="zh-CN"/>
              </w:rPr>
            </w:pPr>
            <w:r>
              <w:rPr>
                <w:rFonts w:hint="eastAsia" w:ascii="宋体" w:hAnsi="宋体"/>
                <w:bCs/>
                <w:szCs w:val="21"/>
                <w:highlight w:val="none"/>
              </w:rPr>
              <w:t>2</w:t>
            </w:r>
            <w:r>
              <w:rPr>
                <w:rFonts w:hint="eastAsia" w:ascii="宋体" w:hAnsi="宋体"/>
                <w:bCs/>
                <w:szCs w:val="21"/>
                <w:highlight w:val="none"/>
                <w:lang w:val="en-US" w:eastAsia="zh-CN"/>
              </w:rPr>
              <w:t>6</w:t>
            </w:r>
          </w:p>
        </w:tc>
        <w:tc>
          <w:tcPr>
            <w:tcW w:w="2816"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szCs w:val="21"/>
                <w:highlight w:val="none"/>
              </w:rPr>
            </w:pPr>
            <w:r>
              <w:rPr>
                <w:rFonts w:hint="eastAsia" w:ascii="宋体" w:hAnsi="宋体"/>
                <w:szCs w:val="21"/>
                <w:highlight w:val="none"/>
              </w:rPr>
              <w:t>/</w:t>
            </w:r>
          </w:p>
        </w:tc>
      </w:tr>
    </w:tbl>
    <w:p>
      <w:pPr>
        <w:adjustRightInd w:val="0"/>
        <w:spacing w:line="440" w:lineRule="exact"/>
        <w:textAlignment w:val="baseline"/>
        <w:rPr>
          <w:rFonts w:ascii="宋体" w:hAnsi="宋体" w:cs="宋体"/>
          <w:bCs/>
          <w:kern w:val="0"/>
          <w:sz w:val="24"/>
          <w:highlight w:val="none"/>
        </w:rPr>
        <w:sectPr>
          <w:footerReference r:id="rId6" w:type="default"/>
          <w:pgSz w:w="11906" w:h="16838"/>
          <w:pgMar w:top="1247" w:right="1134" w:bottom="1247" w:left="136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
        <w:keepNext w:val="0"/>
        <w:keepLines w:val="0"/>
        <w:spacing w:before="0" w:after="0" w:line="360" w:lineRule="auto"/>
        <w:ind w:firstLine="643" w:firstLineChars="200"/>
        <w:jc w:val="left"/>
        <w:rPr>
          <w:highlight w:val="none"/>
        </w:rPr>
      </w:pPr>
      <w:bookmarkStart w:id="86" w:name="_Toc22983"/>
      <w:bookmarkStart w:id="87" w:name="_Toc494371515"/>
      <w:bookmarkStart w:id="88" w:name="_Toc8466"/>
      <w:bookmarkStart w:id="89" w:name="_Toc152042305"/>
      <w:bookmarkStart w:id="90" w:name="_Toc152045529"/>
      <w:bookmarkStart w:id="91" w:name="_Toc5310"/>
      <w:bookmarkStart w:id="92" w:name="_Toc493"/>
      <w:bookmarkStart w:id="93" w:name="_Toc247527553"/>
      <w:bookmarkStart w:id="94" w:name="_Toc19435"/>
      <w:bookmarkStart w:id="95" w:name="_Toc247513952"/>
      <w:bookmarkStart w:id="96" w:name="_Toc30938"/>
      <w:bookmarkStart w:id="97" w:name="_Toc31351"/>
      <w:bookmarkStart w:id="98" w:name="_Toc300834949"/>
      <w:bookmarkStart w:id="99" w:name="_Toc2174"/>
      <w:bookmarkStart w:id="100" w:name="_Toc25026"/>
      <w:bookmarkStart w:id="101" w:name="_Toc376"/>
      <w:bookmarkStart w:id="102" w:name="_Toc14621"/>
      <w:bookmarkStart w:id="103" w:name="_Toc144974497"/>
      <w:bookmarkStart w:id="104" w:name="_Toc23892"/>
      <w:bookmarkStart w:id="105" w:name="_Toc5556"/>
      <w:r>
        <w:rPr>
          <w:highlight w:val="none"/>
        </w:rPr>
        <w:t xml:space="preserve">1. </w:t>
      </w:r>
      <w:r>
        <w:rPr>
          <w:rFonts w:hint="eastAsia"/>
          <w:highlight w:val="none"/>
        </w:rPr>
        <w:t>总则</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5"/>
        <w:spacing w:before="0" w:after="0" w:line="360" w:lineRule="auto"/>
        <w:ind w:firstLine="560" w:firstLineChars="200"/>
        <w:rPr>
          <w:highlight w:val="none"/>
        </w:rPr>
      </w:pPr>
      <w:bookmarkStart w:id="106" w:name="_Toc12263"/>
      <w:bookmarkStart w:id="107" w:name="_Toc152045530"/>
      <w:bookmarkStart w:id="108" w:name="_Toc152042306"/>
      <w:bookmarkStart w:id="109" w:name="_Toc23702"/>
      <w:bookmarkStart w:id="110" w:name="_Toc30762"/>
      <w:bookmarkStart w:id="111" w:name="_Toc247513953"/>
      <w:bookmarkStart w:id="112" w:name="_Toc16159"/>
      <w:bookmarkStart w:id="113" w:name="_Toc144974498"/>
      <w:bookmarkStart w:id="114" w:name="_Toc27599"/>
      <w:bookmarkStart w:id="115" w:name="_Toc16499"/>
      <w:bookmarkStart w:id="116" w:name="_Toc300834950"/>
      <w:bookmarkStart w:id="117" w:name="_Toc494371516"/>
      <w:bookmarkStart w:id="118" w:name="_Toc247527554"/>
      <w:bookmarkStart w:id="119" w:name="_Toc22928"/>
      <w:bookmarkStart w:id="120" w:name="_Toc6146"/>
      <w:bookmarkStart w:id="121" w:name="_Toc8430"/>
      <w:bookmarkStart w:id="122" w:name="_Toc3327"/>
      <w:r>
        <w:rPr>
          <w:rFonts w:ascii="Times New Roman" w:hAnsi="Times New Roman"/>
          <w:highlight w:val="none"/>
        </w:rPr>
        <w:t>1.1</w:t>
      </w:r>
      <w:r>
        <w:rPr>
          <w:highlight w:val="none"/>
        </w:rPr>
        <w:t xml:space="preserve"> 项目概况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20" w:firstLineChars="200"/>
        <w:rPr>
          <w:rFonts w:hint="eastAsia" w:ascii="宋体" w:hAnsi="宋体" w:cs="宋体"/>
          <w:highlight w:val="none"/>
        </w:rPr>
      </w:pPr>
      <w:r>
        <w:rPr>
          <w:rFonts w:hint="eastAsia" w:ascii="宋体" w:hAnsi="宋体" w:cs="宋体"/>
          <w:highlight w:val="none"/>
        </w:rPr>
        <w:t>1.1.1根据《中华人民共和国招标投标法》等有关法律、法规和规章的规定，本招标项目已具备招标条件，现对该项目施工进行招标。</w:t>
      </w:r>
    </w:p>
    <w:p>
      <w:pPr>
        <w:spacing w:line="360" w:lineRule="auto"/>
        <w:ind w:firstLine="420" w:firstLineChars="200"/>
        <w:rPr>
          <w:rFonts w:hint="eastAsia" w:ascii="宋体" w:hAnsi="宋体" w:cs="宋体"/>
          <w:highlight w:val="none"/>
        </w:rPr>
      </w:pPr>
      <w:r>
        <w:rPr>
          <w:rFonts w:hint="eastAsia" w:ascii="宋体" w:hAnsi="宋体" w:cs="宋体"/>
          <w:highlight w:val="none"/>
        </w:rPr>
        <w:t>1.1.2 招标单位、建设管理单位、招标代理机构：见投标人须知前附表。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1.1.3 招标项目名称：见投标人须知前附表。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1.1.4 项目建设地点：见投标人须知前附表。</w:t>
      </w:r>
    </w:p>
    <w:p>
      <w:pPr>
        <w:pStyle w:val="5"/>
        <w:spacing w:before="0" w:after="0" w:line="360" w:lineRule="auto"/>
        <w:ind w:firstLine="560" w:firstLineChars="200"/>
        <w:rPr>
          <w:rFonts w:ascii="Times New Roman" w:hAnsi="Times New Roman"/>
          <w:highlight w:val="none"/>
        </w:rPr>
      </w:pPr>
      <w:bookmarkStart w:id="123" w:name="_Toc494371517"/>
      <w:bookmarkStart w:id="124" w:name="_Toc10866"/>
      <w:bookmarkStart w:id="125" w:name="_Toc23335"/>
      <w:bookmarkStart w:id="126" w:name="_Toc247527555"/>
      <w:bookmarkStart w:id="127" w:name="_Toc28164"/>
      <w:bookmarkStart w:id="128" w:name="_Toc152045531"/>
      <w:bookmarkStart w:id="129" w:name="_Toc21962"/>
      <w:bookmarkStart w:id="130" w:name="_Toc152042307"/>
      <w:bookmarkStart w:id="131" w:name="_Toc17611"/>
      <w:bookmarkStart w:id="132" w:name="_Toc24580"/>
      <w:bookmarkStart w:id="133" w:name="_Toc22426"/>
      <w:bookmarkStart w:id="134" w:name="_Toc144974499"/>
      <w:bookmarkStart w:id="135" w:name="_Toc2014"/>
      <w:bookmarkStart w:id="136" w:name="_Toc6619"/>
      <w:bookmarkStart w:id="137" w:name="_Toc5082"/>
      <w:bookmarkStart w:id="138" w:name="_Toc300834951"/>
      <w:bookmarkStart w:id="139" w:name="_Toc247513954"/>
      <w:r>
        <w:rPr>
          <w:rFonts w:ascii="Times New Roman" w:hAnsi="Times New Roman"/>
          <w:highlight w:val="none"/>
        </w:rPr>
        <w:t xml:space="preserve">1.2 </w:t>
      </w:r>
      <w:r>
        <w:rPr>
          <w:rFonts w:hint="default" w:ascii="Times New Roman" w:hAnsi="Times New Roman"/>
          <w:highlight w:val="none"/>
        </w:rPr>
        <w:t>项目的资金来源和落实情况</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360" w:lineRule="auto"/>
        <w:ind w:firstLine="420" w:firstLineChars="200"/>
        <w:rPr>
          <w:rFonts w:hint="eastAsia" w:ascii="宋体" w:hAnsi="宋体" w:cs="宋体"/>
          <w:highlight w:val="none"/>
        </w:rPr>
      </w:pPr>
      <w:r>
        <w:rPr>
          <w:rFonts w:hint="eastAsia" w:ascii="宋体" w:hAnsi="宋体" w:cs="宋体"/>
          <w:highlight w:val="none"/>
        </w:rPr>
        <w:t>1.2.1 资金来源及比例：见投标人须知前附表。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1.2.2 资金落实情况：见投标人须知前附表。</w:t>
      </w:r>
    </w:p>
    <w:p>
      <w:pPr>
        <w:pStyle w:val="5"/>
        <w:spacing w:before="0" w:after="0" w:line="360" w:lineRule="auto"/>
        <w:ind w:firstLine="560" w:firstLineChars="200"/>
        <w:rPr>
          <w:rFonts w:ascii="Times New Roman" w:hAnsi="Times New Roman"/>
          <w:highlight w:val="none"/>
        </w:rPr>
      </w:pPr>
      <w:bookmarkStart w:id="140" w:name="_Toc247527556"/>
      <w:bookmarkStart w:id="141" w:name="_Toc152045532"/>
      <w:bookmarkStart w:id="142" w:name="_Toc152042308"/>
      <w:bookmarkStart w:id="143" w:name="_Toc247513955"/>
      <w:bookmarkStart w:id="144" w:name="_Toc144974500"/>
      <w:bookmarkStart w:id="145" w:name="_Toc12223"/>
      <w:bookmarkStart w:id="146" w:name="_Toc10055"/>
      <w:bookmarkStart w:id="147" w:name="_Toc20564"/>
      <w:bookmarkStart w:id="148" w:name="_Toc30791"/>
      <w:bookmarkStart w:id="149" w:name="_Toc6852"/>
      <w:bookmarkStart w:id="150" w:name="_Toc5144"/>
      <w:bookmarkStart w:id="151" w:name="_Toc8046"/>
      <w:bookmarkStart w:id="152" w:name="_Toc300834952"/>
      <w:bookmarkStart w:id="153" w:name="_Toc12593"/>
      <w:bookmarkStart w:id="154" w:name="_Toc494371518"/>
      <w:bookmarkStart w:id="155" w:name="_Toc24250"/>
      <w:bookmarkStart w:id="156" w:name="_Toc21315"/>
      <w:r>
        <w:rPr>
          <w:rFonts w:ascii="Times New Roman" w:hAnsi="Times New Roman"/>
          <w:highlight w:val="none"/>
        </w:rPr>
        <w:t>1.3 招标范围、</w:t>
      </w:r>
      <w:r>
        <w:rPr>
          <w:rFonts w:hint="default" w:ascii="Times New Roman" w:hAnsi="Times New Roman"/>
          <w:highlight w:val="none"/>
        </w:rPr>
        <w:t>工期要求</w:t>
      </w:r>
      <w:r>
        <w:rPr>
          <w:rFonts w:ascii="Times New Roman" w:hAnsi="Times New Roman"/>
          <w:highlight w:val="none"/>
        </w:rPr>
        <w:t>和</w:t>
      </w:r>
      <w:bookmarkEnd w:id="140"/>
      <w:bookmarkEnd w:id="141"/>
      <w:bookmarkEnd w:id="142"/>
      <w:bookmarkEnd w:id="143"/>
      <w:bookmarkEnd w:id="144"/>
      <w:r>
        <w:rPr>
          <w:rFonts w:hint="default" w:ascii="Times New Roman" w:hAnsi="Times New Roman"/>
          <w:highlight w:val="none"/>
        </w:rPr>
        <w:t>质量标准</w:t>
      </w:r>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20" w:firstLineChars="200"/>
        <w:rPr>
          <w:rFonts w:hint="eastAsia" w:ascii="宋体" w:hAnsi="宋体" w:cs="宋体"/>
          <w:highlight w:val="none"/>
        </w:rPr>
      </w:pPr>
      <w:r>
        <w:rPr>
          <w:rFonts w:hint="eastAsia" w:ascii="宋体" w:hAnsi="宋体" w:cs="宋体"/>
          <w:highlight w:val="none"/>
        </w:rPr>
        <w:t>1.3.1 招标范围：见投标人须知前附表。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1.3.2 计划工期：见投标人须知前附表。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1.3.3 质量标准：见投标人须知前附表。</w:t>
      </w:r>
    </w:p>
    <w:p>
      <w:pPr>
        <w:pStyle w:val="5"/>
        <w:spacing w:before="0" w:after="0" w:line="360" w:lineRule="auto"/>
        <w:ind w:firstLine="560" w:firstLineChars="200"/>
        <w:rPr>
          <w:rFonts w:ascii="Times New Roman" w:hAnsi="Times New Roman"/>
          <w:highlight w:val="none"/>
        </w:rPr>
      </w:pPr>
      <w:bookmarkStart w:id="157" w:name="_Toc27436"/>
      <w:bookmarkStart w:id="158" w:name="_Toc494371519"/>
      <w:bookmarkStart w:id="159" w:name="_Toc247513956"/>
      <w:bookmarkStart w:id="160" w:name="_Toc15022"/>
      <w:bookmarkStart w:id="161" w:name="_Toc9786"/>
      <w:bookmarkStart w:id="162" w:name="_Toc10308"/>
      <w:bookmarkStart w:id="163" w:name="_Toc21278"/>
      <w:bookmarkStart w:id="164" w:name="_Toc144974501"/>
      <w:bookmarkStart w:id="165" w:name="_Toc30070"/>
      <w:bookmarkStart w:id="166" w:name="_Toc152042309"/>
      <w:bookmarkStart w:id="167" w:name="_Toc25165"/>
      <w:bookmarkStart w:id="168" w:name="_Toc247527557"/>
      <w:bookmarkStart w:id="169" w:name="_Toc300834953"/>
      <w:bookmarkStart w:id="170" w:name="_Toc152045533"/>
      <w:bookmarkStart w:id="171" w:name="_Toc16204"/>
      <w:bookmarkStart w:id="172" w:name="_Toc27548"/>
      <w:bookmarkStart w:id="173" w:name="_Toc29837"/>
      <w:r>
        <w:rPr>
          <w:rFonts w:ascii="Times New Roman" w:hAnsi="Times New Roman"/>
          <w:highlight w:val="none"/>
        </w:rPr>
        <w:t>1.4 投标人</w:t>
      </w:r>
      <w:r>
        <w:rPr>
          <w:rFonts w:hint="default" w:ascii="Times New Roman" w:hAnsi="Times New Roman"/>
          <w:highlight w:val="none"/>
        </w:rPr>
        <w:t>合格条件</w:t>
      </w:r>
      <w:r>
        <w:rPr>
          <w:rFonts w:ascii="Times New Roman" w:hAnsi="Times New Roman"/>
          <w:highlight w:val="none"/>
        </w:rPr>
        <w:t>（详见招标公告要求）</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5"/>
        <w:spacing w:before="0" w:after="0" w:line="360" w:lineRule="auto"/>
        <w:ind w:firstLine="560" w:firstLineChars="200"/>
        <w:rPr>
          <w:highlight w:val="none"/>
        </w:rPr>
      </w:pPr>
      <w:bookmarkStart w:id="174" w:name="_Toc152042312"/>
      <w:bookmarkStart w:id="175" w:name="_Toc29962"/>
      <w:bookmarkStart w:id="176" w:name="_Toc13053"/>
      <w:bookmarkStart w:id="177" w:name="_Toc15250"/>
      <w:bookmarkStart w:id="178" w:name="_Toc300834956"/>
      <w:bookmarkStart w:id="179" w:name="_Toc247513959"/>
      <w:bookmarkStart w:id="180" w:name="_Toc31463"/>
      <w:bookmarkStart w:id="181" w:name="_Toc152045536"/>
      <w:bookmarkStart w:id="182" w:name="_Toc494371521"/>
      <w:bookmarkStart w:id="183" w:name="_Toc247527560"/>
      <w:bookmarkStart w:id="184" w:name="_Toc9983"/>
      <w:bookmarkStart w:id="185" w:name="_Toc1809"/>
      <w:bookmarkStart w:id="186" w:name="_Toc25667"/>
      <w:bookmarkStart w:id="187" w:name="_Toc144974504"/>
      <w:bookmarkStart w:id="188" w:name="_Toc17087"/>
      <w:bookmarkStart w:id="189" w:name="_Toc29204"/>
      <w:bookmarkStart w:id="190" w:name="_Toc20208"/>
      <w:r>
        <w:rPr>
          <w:rFonts w:ascii="Times New Roman" w:hAnsi="Times New Roman"/>
          <w:highlight w:val="none"/>
        </w:rPr>
        <w:t>1</w:t>
      </w:r>
      <w:r>
        <w:rPr>
          <w:rFonts w:hint="default" w:ascii="Times New Roman" w:hAnsi="Times New Roman"/>
          <w:highlight w:val="none"/>
        </w:rPr>
        <w:t>.5</w:t>
      </w:r>
      <w:r>
        <w:rPr>
          <w:rFonts w:ascii="Times New Roman" w:hAnsi="Times New Roman"/>
          <w:highlight w:val="none"/>
        </w:rPr>
        <w:t xml:space="preserve"> </w:t>
      </w:r>
      <w:r>
        <w:rPr>
          <w:rFonts w:hint="default" w:ascii="Times New Roman" w:hAnsi="Times New Roman"/>
          <w:highlight w:val="none"/>
        </w:rPr>
        <w:t>保密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highlight w:val="none"/>
        </w:rPr>
        <w:tab/>
      </w:r>
    </w:p>
    <w:p>
      <w:pPr>
        <w:spacing w:line="360" w:lineRule="auto"/>
        <w:ind w:firstLine="420" w:firstLineChars="200"/>
        <w:rPr>
          <w:rFonts w:hint="eastAsia" w:ascii="宋体" w:hAnsi="宋体" w:cs="宋体"/>
          <w:highlight w:val="none"/>
        </w:rPr>
      </w:pPr>
      <w:r>
        <w:rPr>
          <w:rFonts w:hint="eastAsia" w:ascii="宋体" w:hAnsi="宋体" w:cs="宋体"/>
          <w:highlight w:val="none"/>
        </w:rPr>
        <w:t>参与招标投标活动的各方应对招标文件和投标文件中的商业和技术等秘密保密，否则应承担相应的法律责任。</w:t>
      </w:r>
    </w:p>
    <w:p>
      <w:pPr>
        <w:pStyle w:val="5"/>
        <w:spacing w:before="0" w:after="0" w:line="360" w:lineRule="auto"/>
        <w:ind w:firstLine="560" w:firstLineChars="200"/>
        <w:rPr>
          <w:rFonts w:ascii="Times New Roman" w:hAnsi="Times New Roman"/>
          <w:highlight w:val="none"/>
        </w:rPr>
      </w:pPr>
      <w:bookmarkStart w:id="191" w:name="_Toc144974505"/>
      <w:bookmarkStart w:id="192" w:name="_Toc27206"/>
      <w:bookmarkStart w:id="193" w:name="_Toc12677"/>
      <w:bookmarkStart w:id="194" w:name="_Toc152045537"/>
      <w:bookmarkStart w:id="195" w:name="_Toc15403"/>
      <w:bookmarkStart w:id="196" w:name="_Toc152042313"/>
      <w:bookmarkStart w:id="197" w:name="_Toc15952"/>
      <w:bookmarkStart w:id="198" w:name="_Toc7984"/>
      <w:bookmarkStart w:id="199" w:name="_Toc21141"/>
      <w:bookmarkStart w:id="200" w:name="_Toc10710"/>
      <w:bookmarkStart w:id="201" w:name="_Toc247527561"/>
      <w:bookmarkStart w:id="202" w:name="_Toc300834957"/>
      <w:bookmarkStart w:id="203" w:name="_Toc31702"/>
      <w:bookmarkStart w:id="204" w:name="_Toc247513960"/>
      <w:bookmarkStart w:id="205" w:name="_Toc494371522"/>
      <w:bookmarkStart w:id="206" w:name="_Toc29984"/>
      <w:bookmarkStart w:id="207" w:name="_Toc11478"/>
      <w:r>
        <w:rPr>
          <w:rFonts w:ascii="Times New Roman" w:hAnsi="Times New Roman"/>
          <w:highlight w:val="none"/>
        </w:rPr>
        <w:t>1.</w:t>
      </w:r>
      <w:r>
        <w:rPr>
          <w:rFonts w:hint="default" w:ascii="Times New Roman" w:hAnsi="Times New Roman"/>
          <w:highlight w:val="none"/>
        </w:rPr>
        <w:t>6</w:t>
      </w:r>
      <w:r>
        <w:rPr>
          <w:rFonts w:ascii="Times New Roman" w:hAnsi="Times New Roman"/>
          <w:highlight w:val="none"/>
        </w:rPr>
        <w:t xml:space="preserve"> 语言</w:t>
      </w:r>
      <w:bookmarkEnd w:id="191"/>
      <w:r>
        <w:rPr>
          <w:rFonts w:hint="default" w:ascii="Times New Roman" w:hAnsi="Times New Roman"/>
          <w:highlight w:val="none"/>
        </w:rPr>
        <w:t>文字</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360" w:lineRule="auto"/>
        <w:ind w:firstLine="420" w:firstLineChars="200"/>
        <w:rPr>
          <w:rFonts w:hint="eastAsia" w:ascii="宋体" w:hAnsi="宋体" w:cs="宋体"/>
          <w:highlight w:val="none"/>
        </w:rPr>
      </w:pPr>
      <w:r>
        <w:rPr>
          <w:rFonts w:hint="eastAsia" w:ascii="宋体" w:hAnsi="宋体" w:cs="宋体"/>
          <w:highlight w:val="none"/>
        </w:rPr>
        <w:t>招标投标文件使用的语言文字为中文。专用术语使用外文的，应附有中文注释。</w:t>
      </w:r>
    </w:p>
    <w:p>
      <w:pPr>
        <w:pStyle w:val="5"/>
        <w:spacing w:before="0" w:after="0" w:line="360" w:lineRule="auto"/>
        <w:ind w:firstLine="560" w:firstLineChars="200"/>
        <w:rPr>
          <w:rFonts w:ascii="Times New Roman" w:hAnsi="Times New Roman"/>
          <w:highlight w:val="none"/>
        </w:rPr>
      </w:pPr>
      <w:bookmarkStart w:id="208" w:name="_Toc18979"/>
      <w:bookmarkStart w:id="209" w:name="_Toc27006"/>
      <w:bookmarkStart w:id="210" w:name="_Toc24995"/>
      <w:bookmarkStart w:id="211" w:name="_Toc144974506"/>
      <w:bookmarkStart w:id="212" w:name="_Toc6208"/>
      <w:bookmarkStart w:id="213" w:name="_Toc32144"/>
      <w:bookmarkStart w:id="214" w:name="_Toc247513961"/>
      <w:bookmarkStart w:id="215" w:name="_Toc300834958"/>
      <w:bookmarkStart w:id="216" w:name="_Toc13627"/>
      <w:bookmarkStart w:id="217" w:name="_Toc494371523"/>
      <w:bookmarkStart w:id="218" w:name="_Toc27884"/>
      <w:bookmarkStart w:id="219" w:name="_Toc152042314"/>
      <w:bookmarkStart w:id="220" w:name="_Toc28646"/>
      <w:bookmarkStart w:id="221" w:name="_Toc247527562"/>
      <w:bookmarkStart w:id="222" w:name="_Toc3503"/>
      <w:bookmarkStart w:id="223" w:name="_Toc31715"/>
      <w:bookmarkStart w:id="224" w:name="_Toc152045538"/>
      <w:r>
        <w:rPr>
          <w:rFonts w:ascii="Times New Roman" w:hAnsi="Times New Roman"/>
          <w:highlight w:val="none"/>
        </w:rPr>
        <w:t>1.</w:t>
      </w:r>
      <w:r>
        <w:rPr>
          <w:rFonts w:hint="default" w:ascii="Times New Roman" w:hAnsi="Times New Roman"/>
          <w:highlight w:val="none"/>
        </w:rPr>
        <w:t>7</w:t>
      </w:r>
      <w:r>
        <w:rPr>
          <w:rFonts w:ascii="Times New Roman" w:hAnsi="Times New Roman"/>
          <w:highlight w:val="none"/>
        </w:rPr>
        <w:t xml:space="preserve"> </w:t>
      </w:r>
      <w:r>
        <w:rPr>
          <w:rFonts w:hint="default" w:ascii="Times New Roman" w:hAnsi="Times New Roman"/>
          <w:highlight w:val="none"/>
        </w:rPr>
        <w:t>计量单位</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360" w:lineRule="auto"/>
        <w:ind w:firstLine="420" w:firstLineChars="200"/>
        <w:rPr>
          <w:rFonts w:hint="eastAsia" w:ascii="宋体" w:hAnsi="宋体" w:cs="宋体"/>
          <w:highlight w:val="none"/>
        </w:rPr>
      </w:pPr>
      <w:r>
        <w:rPr>
          <w:rFonts w:hint="eastAsia" w:ascii="宋体" w:hAnsi="宋体" w:cs="宋体"/>
          <w:highlight w:val="none"/>
        </w:rPr>
        <w:t>1.8.1所有计量均采用中华人民共和国法定计量单位。</w:t>
      </w:r>
    </w:p>
    <w:p>
      <w:pPr>
        <w:spacing w:line="360" w:lineRule="auto"/>
        <w:ind w:firstLine="420" w:firstLineChars="200"/>
        <w:rPr>
          <w:rFonts w:hint="eastAsia" w:ascii="宋体" w:hAnsi="宋体" w:cs="宋体"/>
          <w:highlight w:val="none"/>
        </w:rPr>
      </w:pPr>
      <w:r>
        <w:rPr>
          <w:rFonts w:hint="eastAsia" w:ascii="宋体" w:hAnsi="宋体" w:cs="宋体"/>
          <w:highlight w:val="none"/>
        </w:rPr>
        <w:t>1.8.2 本工程投标报价采用的的币种为人民币。</w:t>
      </w:r>
    </w:p>
    <w:p>
      <w:pPr>
        <w:pStyle w:val="5"/>
        <w:spacing w:before="0" w:after="0" w:line="360" w:lineRule="auto"/>
        <w:ind w:firstLine="560" w:firstLineChars="200"/>
        <w:rPr>
          <w:rFonts w:ascii="Times New Roman" w:hAnsi="Times New Roman"/>
          <w:highlight w:val="none"/>
        </w:rPr>
      </w:pPr>
      <w:bookmarkStart w:id="225" w:name="_Toc13153"/>
      <w:bookmarkStart w:id="226" w:name="_Toc247527563"/>
      <w:bookmarkStart w:id="227" w:name="_Toc24491"/>
      <w:bookmarkStart w:id="228" w:name="_Toc23415"/>
      <w:bookmarkStart w:id="229" w:name="_Toc21709"/>
      <w:bookmarkStart w:id="230" w:name="_Toc300834959"/>
      <w:bookmarkStart w:id="231" w:name="_Toc26270"/>
      <w:bookmarkStart w:id="232" w:name="_Toc7578"/>
      <w:bookmarkStart w:id="233" w:name="_Toc16330"/>
      <w:bookmarkStart w:id="234" w:name="_Toc14018"/>
      <w:bookmarkStart w:id="235" w:name="_Toc21627"/>
      <w:bookmarkStart w:id="236" w:name="_Toc144974507"/>
      <w:bookmarkStart w:id="237" w:name="_Toc152042315"/>
      <w:bookmarkStart w:id="238" w:name="_Toc32089"/>
      <w:bookmarkStart w:id="239" w:name="_Toc152045539"/>
      <w:bookmarkStart w:id="240" w:name="_Toc247513962"/>
      <w:bookmarkStart w:id="241" w:name="_Toc494371524"/>
      <w:r>
        <w:rPr>
          <w:rFonts w:ascii="Times New Roman" w:hAnsi="Times New Roman"/>
          <w:highlight w:val="none"/>
        </w:rPr>
        <w:t>1.</w:t>
      </w:r>
      <w:r>
        <w:rPr>
          <w:rFonts w:hint="default" w:ascii="Times New Roman" w:hAnsi="Times New Roman"/>
          <w:highlight w:val="none"/>
        </w:rPr>
        <w:t>8</w:t>
      </w:r>
      <w:r>
        <w:rPr>
          <w:rFonts w:ascii="Times New Roman" w:hAnsi="Times New Roman"/>
          <w:highlight w:val="none"/>
        </w:rPr>
        <w:t xml:space="preserve"> 踏勘现场</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360" w:lineRule="auto"/>
        <w:ind w:firstLine="420" w:firstLineChars="200"/>
        <w:rPr>
          <w:rFonts w:hint="eastAsia" w:ascii="宋体" w:hAnsi="宋体" w:cs="宋体"/>
          <w:highlight w:val="none"/>
        </w:rPr>
      </w:pPr>
      <w:r>
        <w:rPr>
          <w:rFonts w:hint="eastAsia" w:ascii="宋体" w:hAnsi="宋体" w:cs="宋体"/>
          <w:highlight w:val="none"/>
        </w:rPr>
        <w:t>1.8.1 投标人须知前附表规定组织踏勘现场的，招标人按投标人须知前附表规定的时间、地点组织投标人踏勘项目现场。</w:t>
      </w:r>
    </w:p>
    <w:p>
      <w:pPr>
        <w:spacing w:line="360" w:lineRule="auto"/>
        <w:ind w:firstLine="420" w:firstLineChars="200"/>
        <w:rPr>
          <w:rFonts w:hint="eastAsia" w:ascii="宋体" w:hAnsi="宋体" w:cs="宋体"/>
          <w:highlight w:val="none"/>
        </w:rPr>
      </w:pPr>
      <w:r>
        <w:rPr>
          <w:rFonts w:hint="eastAsia" w:ascii="宋体" w:hAnsi="宋体" w:cs="宋体"/>
          <w:highlight w:val="none"/>
        </w:rPr>
        <w:t>1.8.2 投标人踏勘现场发生的费用自理。</w:t>
      </w:r>
    </w:p>
    <w:p>
      <w:pPr>
        <w:spacing w:line="360" w:lineRule="auto"/>
        <w:ind w:firstLine="420" w:firstLineChars="200"/>
        <w:rPr>
          <w:rFonts w:hint="eastAsia" w:ascii="宋体" w:hAnsi="宋体" w:cs="宋体"/>
          <w:highlight w:val="none"/>
        </w:rPr>
      </w:pPr>
      <w:r>
        <w:rPr>
          <w:rFonts w:hint="eastAsia" w:ascii="宋体" w:hAnsi="宋体" w:cs="宋体"/>
          <w:highlight w:val="none"/>
        </w:rPr>
        <w:t>1.8.3 除招标人的原因外，投标人自行负责在踏勘现场中所发生的人员伤亡和财产损失。</w:t>
      </w:r>
    </w:p>
    <w:p>
      <w:pPr>
        <w:spacing w:line="360" w:lineRule="auto"/>
        <w:ind w:firstLine="420" w:firstLineChars="200"/>
        <w:rPr>
          <w:rFonts w:hint="eastAsia" w:ascii="宋体" w:hAnsi="宋体" w:cs="宋体"/>
          <w:highlight w:val="none"/>
        </w:rPr>
      </w:pPr>
      <w:r>
        <w:rPr>
          <w:rFonts w:hint="eastAsia" w:ascii="宋体" w:hAnsi="宋体" w:cs="宋体"/>
          <w:highlight w:val="none"/>
        </w:rPr>
        <w:t>1.8.4 现场由投标人自行踏勘，投标人不进行踏勘的，视为已熟知现场条件，自行承担相关风险。招标人不对投标人自行踏勘现场作出的判断和决策负责。</w:t>
      </w:r>
    </w:p>
    <w:p>
      <w:pPr>
        <w:pStyle w:val="5"/>
        <w:spacing w:before="0" w:after="0" w:line="360" w:lineRule="auto"/>
        <w:ind w:firstLine="562" w:firstLineChars="200"/>
        <w:rPr>
          <w:rFonts w:ascii="Times New Roman" w:hAnsi="Times New Roman" w:cs="Times New Roman"/>
          <w:b/>
          <w:bCs w:val="0"/>
          <w:highlight w:val="none"/>
        </w:rPr>
      </w:pPr>
      <w:bookmarkStart w:id="242" w:name="_Toc144974510"/>
      <w:bookmarkStart w:id="243" w:name="_Toc152042318"/>
      <w:bookmarkStart w:id="244" w:name="_Toc28224"/>
      <w:bookmarkStart w:id="245" w:name="_Toc247527567"/>
      <w:bookmarkStart w:id="246" w:name="_Toc247513966"/>
      <w:bookmarkStart w:id="247" w:name="_Toc9925"/>
      <w:bookmarkStart w:id="248" w:name="_Toc300834963"/>
      <w:bookmarkStart w:id="249" w:name="_Toc20199"/>
      <w:bookmarkStart w:id="250" w:name="_Toc13096"/>
      <w:bookmarkStart w:id="251" w:name="_Toc18406"/>
      <w:bookmarkStart w:id="252" w:name="_Toc14358"/>
      <w:bookmarkStart w:id="253" w:name="_Toc25753"/>
      <w:bookmarkStart w:id="254" w:name="_Toc152045542"/>
      <w:bookmarkStart w:id="255" w:name="_Toc28780"/>
      <w:bookmarkStart w:id="256" w:name="_Toc25933"/>
      <w:bookmarkStart w:id="257" w:name="_Toc22361"/>
      <w:bookmarkStart w:id="258" w:name="_Toc494371528"/>
      <w:bookmarkStart w:id="259" w:name="_Toc23852"/>
      <w:bookmarkStart w:id="260" w:name="_Toc22778"/>
      <w:r>
        <w:rPr>
          <w:rFonts w:ascii="Times New Roman" w:hAnsi="Times New Roman" w:cs="Times New Roman"/>
          <w:b/>
          <w:bCs w:val="0"/>
          <w:highlight w:val="none"/>
        </w:rPr>
        <w:t xml:space="preserve">2. </w:t>
      </w:r>
      <w:r>
        <w:rPr>
          <w:rFonts w:hint="default" w:ascii="Times New Roman" w:hAnsi="Times New Roman" w:cs="Times New Roman"/>
          <w:b/>
          <w:bCs w:val="0"/>
          <w:highlight w:val="none"/>
        </w:rPr>
        <w:t>招标文件</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5"/>
        <w:spacing w:before="0" w:after="0" w:line="360" w:lineRule="auto"/>
        <w:ind w:firstLine="560" w:firstLineChars="200"/>
        <w:rPr>
          <w:rFonts w:ascii="Times New Roman" w:hAnsi="Times New Roman"/>
          <w:highlight w:val="none"/>
        </w:rPr>
      </w:pPr>
      <w:bookmarkStart w:id="261" w:name="_Toc144974511"/>
      <w:bookmarkStart w:id="262" w:name="_Toc244"/>
      <w:bookmarkStart w:id="263" w:name="_Toc152042319"/>
      <w:bookmarkStart w:id="264" w:name="_Toc494371529"/>
      <w:bookmarkStart w:id="265" w:name="_Toc22589"/>
      <w:bookmarkStart w:id="266" w:name="_Toc27602"/>
      <w:bookmarkStart w:id="267" w:name="_Toc247513967"/>
      <w:bookmarkStart w:id="268" w:name="_Toc152045543"/>
      <w:bookmarkStart w:id="269" w:name="_Toc644"/>
      <w:bookmarkStart w:id="270" w:name="_Toc11154"/>
      <w:bookmarkStart w:id="271" w:name="_Toc300834964"/>
      <w:bookmarkStart w:id="272" w:name="_Toc19518"/>
      <w:bookmarkStart w:id="273" w:name="_Toc16384"/>
      <w:bookmarkStart w:id="274" w:name="_Toc12130"/>
      <w:bookmarkStart w:id="275" w:name="_Toc247527568"/>
      <w:bookmarkStart w:id="276" w:name="_Toc18571"/>
      <w:bookmarkStart w:id="277" w:name="_Toc14514"/>
      <w:r>
        <w:rPr>
          <w:rFonts w:ascii="Times New Roman" w:hAnsi="Times New Roman"/>
          <w:highlight w:val="none"/>
        </w:rPr>
        <w:t>2.1 招标文件的组成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spacing w:line="360" w:lineRule="auto"/>
        <w:ind w:firstLine="420" w:firstLineChars="200"/>
        <w:rPr>
          <w:rFonts w:hint="eastAsia" w:ascii="宋体" w:hAnsi="宋体" w:cs="宋体"/>
          <w:highlight w:val="none"/>
        </w:rPr>
      </w:pPr>
      <w:r>
        <w:rPr>
          <w:rFonts w:hint="eastAsia"/>
          <w:highlight w:val="none"/>
        </w:rPr>
        <w:t>　</w:t>
      </w:r>
      <w:r>
        <w:rPr>
          <w:rFonts w:hint="eastAsia" w:ascii="宋体" w:hAnsi="宋体" w:cs="宋体"/>
          <w:highlight w:val="none"/>
        </w:rPr>
        <w:t>　本招标文件包括：</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（1）招标公告；</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（2）投标人须知；</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（3）评标办法；</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（4）合同条款及格式</w:t>
      </w:r>
      <w:r>
        <w:rPr>
          <w:rFonts w:hint="eastAsia"/>
          <w:color w:val="auto"/>
          <w:highlight w:val="none"/>
        </w:rPr>
        <w:t>（另册）</w:t>
      </w:r>
      <w:r>
        <w:rPr>
          <w:rFonts w:hint="eastAsia" w:ascii="Calibri" w:hAnsi="Calibri" w:cs="Times New Roman"/>
          <w:color w:val="auto"/>
          <w:highlight w:val="none"/>
        </w:rPr>
        <w:t>；</w:t>
      </w:r>
    </w:p>
    <w:p>
      <w:pPr>
        <w:spacing w:line="400" w:lineRule="exact"/>
        <w:ind w:firstLine="420" w:firstLineChars="200"/>
        <w:rPr>
          <w:rFonts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5</w:t>
      </w:r>
      <w:r>
        <w:rPr>
          <w:rFonts w:hint="eastAsia" w:cs="Times New Roman"/>
          <w:color w:val="auto"/>
          <w:highlight w:val="none"/>
        </w:rPr>
        <w:t>）发包人提供的资料（另册）；</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w:t>
      </w:r>
      <w:r>
        <w:rPr>
          <w:rFonts w:hint="eastAsia" w:ascii="Calibri" w:hAnsi="Calibri" w:cs="Times New Roman"/>
          <w:color w:val="auto"/>
          <w:highlight w:val="none"/>
          <w:lang w:val="en-US" w:eastAsia="zh-CN"/>
        </w:rPr>
        <w:t>6</w:t>
      </w:r>
      <w:r>
        <w:rPr>
          <w:rFonts w:hint="eastAsia" w:ascii="Calibri" w:hAnsi="Calibri" w:cs="Times New Roman"/>
          <w:color w:val="auto"/>
          <w:highlight w:val="none"/>
        </w:rPr>
        <w:t>）投标文件格式；</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w:t>
      </w:r>
      <w:r>
        <w:rPr>
          <w:rFonts w:hint="eastAsia" w:ascii="Calibri" w:hAnsi="Calibri" w:cs="Times New Roman"/>
          <w:color w:val="auto"/>
          <w:highlight w:val="none"/>
          <w:lang w:val="en-US" w:eastAsia="zh-CN"/>
        </w:rPr>
        <w:t>7</w:t>
      </w:r>
      <w:r>
        <w:rPr>
          <w:rFonts w:hint="eastAsia" w:ascii="Calibri" w:hAnsi="Calibri" w:cs="Times New Roman"/>
          <w:color w:val="auto"/>
          <w:highlight w:val="none"/>
        </w:rPr>
        <w:t>）投标人须知前附表规定的其他资料。</w:t>
      </w:r>
    </w:p>
    <w:p>
      <w:pPr>
        <w:pStyle w:val="5"/>
        <w:spacing w:before="0" w:after="0" w:line="360" w:lineRule="auto"/>
        <w:ind w:firstLine="560" w:firstLineChars="200"/>
        <w:rPr>
          <w:rFonts w:ascii="Times New Roman" w:hAnsi="Times New Roman"/>
          <w:highlight w:val="none"/>
        </w:rPr>
      </w:pPr>
      <w:bookmarkStart w:id="278" w:name="_Toc247513968"/>
      <w:bookmarkStart w:id="279" w:name="_Toc152045544"/>
      <w:bookmarkStart w:id="280" w:name="_Toc300834965"/>
      <w:bookmarkStart w:id="281" w:name="_Toc13489"/>
      <w:bookmarkStart w:id="282" w:name="_Toc24642"/>
      <w:bookmarkStart w:id="283" w:name="_Toc144974512"/>
      <w:bookmarkStart w:id="284" w:name="_Toc247527569"/>
      <w:bookmarkStart w:id="285" w:name="_Toc24802"/>
      <w:bookmarkStart w:id="286" w:name="_Toc152042320"/>
      <w:bookmarkStart w:id="287" w:name="_Toc28197"/>
      <w:bookmarkStart w:id="288" w:name="_Toc2920"/>
      <w:bookmarkStart w:id="289" w:name="_Toc3890"/>
      <w:bookmarkStart w:id="290" w:name="_Toc28374"/>
      <w:bookmarkStart w:id="291" w:name="_Toc10715"/>
      <w:bookmarkStart w:id="292" w:name="_Toc494371530"/>
      <w:bookmarkStart w:id="293" w:name="_Toc14693"/>
      <w:bookmarkStart w:id="294" w:name="_Toc6072"/>
      <w:r>
        <w:rPr>
          <w:rFonts w:ascii="Times New Roman" w:hAnsi="Times New Roman"/>
          <w:highlight w:val="none"/>
        </w:rPr>
        <w:t xml:space="preserve">2.2 </w:t>
      </w:r>
      <w:r>
        <w:rPr>
          <w:rFonts w:hint="default" w:ascii="Times New Roman" w:hAnsi="Times New Roman"/>
          <w:highlight w:val="none"/>
        </w:rPr>
        <w:t>招标文件的澄清</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2.2.1 投标人应仔细阅读和检查招标文件的全部内容。</w:t>
      </w:r>
      <w:r>
        <w:rPr>
          <w:rFonts w:hint="eastAsia" w:ascii="宋体" w:hAnsi="宋体" w:cs="宋体"/>
          <w:szCs w:val="24"/>
          <w:highlight w:val="none"/>
        </w:rPr>
        <w:t>如发现缺页或附件不全，应及时向招标人提出，以便补齐。</w:t>
      </w:r>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 xml:space="preserve">2.2.2 </w:t>
      </w:r>
      <w:r>
        <w:rPr>
          <w:rFonts w:hint="eastAsia" w:ascii="宋体" w:hAnsi="宋体" w:cs="宋体"/>
          <w:szCs w:val="24"/>
          <w:highlight w:val="none"/>
        </w:rPr>
        <w:t>招标补充公告一经在广州南沙资产经营集团有限公司网站发布，视作已发放给所有投标人。</w:t>
      </w:r>
    </w:p>
    <w:p>
      <w:pPr>
        <w:pStyle w:val="5"/>
        <w:spacing w:before="0" w:after="0" w:line="360" w:lineRule="auto"/>
        <w:ind w:firstLine="560" w:firstLineChars="200"/>
        <w:rPr>
          <w:rFonts w:ascii="Times New Roman" w:hAnsi="Times New Roman"/>
          <w:highlight w:val="none"/>
        </w:rPr>
      </w:pPr>
      <w:bookmarkStart w:id="295" w:name="_Toc247527570"/>
      <w:bookmarkStart w:id="296" w:name="_Toc28122"/>
      <w:bookmarkStart w:id="297" w:name="_Toc3897"/>
      <w:bookmarkStart w:id="298" w:name="_Toc13973"/>
      <w:bookmarkStart w:id="299" w:name="_Toc29656"/>
      <w:bookmarkStart w:id="300" w:name="_Toc247513969"/>
      <w:bookmarkStart w:id="301" w:name="_Toc494371531"/>
      <w:bookmarkStart w:id="302" w:name="_Toc18567"/>
      <w:bookmarkStart w:id="303" w:name="_Toc21917"/>
      <w:bookmarkStart w:id="304" w:name="_Toc144974513"/>
      <w:bookmarkStart w:id="305" w:name="_Toc152045545"/>
      <w:bookmarkStart w:id="306" w:name="_Toc24839"/>
      <w:bookmarkStart w:id="307" w:name="_Toc5512"/>
      <w:bookmarkStart w:id="308" w:name="_Toc2421"/>
      <w:bookmarkStart w:id="309" w:name="_Toc152042321"/>
      <w:bookmarkStart w:id="310" w:name="_Toc1392"/>
      <w:bookmarkStart w:id="311" w:name="_Toc300834966"/>
      <w:r>
        <w:rPr>
          <w:rFonts w:ascii="Times New Roman" w:hAnsi="Times New Roman"/>
          <w:highlight w:val="none"/>
        </w:rPr>
        <w:t>2.3 招标文件的修改</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2.3.1招标文件的澄清、修改均以在广州南沙资产经营集团有限公司网站进行发布。当招标文件的澄清、修改在同一内容的表述不一致时，以广州南沙资产经营集团有限公司网站最后发布的内容为准。</w:t>
      </w:r>
    </w:p>
    <w:p>
      <w:pPr>
        <w:spacing w:line="360" w:lineRule="auto"/>
        <w:ind w:firstLine="420" w:firstLineChars="200"/>
        <w:rPr>
          <w:rFonts w:hint="eastAsia" w:ascii="宋体" w:hAnsi="宋体" w:cs="宋体"/>
          <w:strike w:val="0"/>
          <w:highlight w:val="none"/>
        </w:rPr>
      </w:pPr>
      <w:r>
        <w:rPr>
          <w:rFonts w:hint="eastAsia" w:ascii="宋体" w:hAnsi="宋体" w:cs="宋体"/>
          <w:szCs w:val="24"/>
          <w:highlight w:val="none"/>
        </w:rPr>
        <w:t>2.3.2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5"/>
        <w:spacing w:before="0" w:after="0" w:line="360" w:lineRule="auto"/>
        <w:ind w:firstLine="562" w:firstLineChars="200"/>
        <w:rPr>
          <w:rFonts w:ascii="Times New Roman" w:hAnsi="Times New Roman" w:cs="Times New Roman"/>
          <w:b/>
          <w:bCs w:val="0"/>
          <w:highlight w:val="none"/>
        </w:rPr>
      </w:pPr>
      <w:bookmarkStart w:id="312" w:name="_Toc494371532"/>
      <w:bookmarkStart w:id="313" w:name="_Toc152042322"/>
      <w:bookmarkStart w:id="314" w:name="_Toc247527571"/>
      <w:bookmarkStart w:id="315" w:name="_Toc25826"/>
      <w:bookmarkStart w:id="316" w:name="_Toc29199"/>
      <w:bookmarkStart w:id="317" w:name="_Toc144974514"/>
      <w:bookmarkStart w:id="318" w:name="_Toc152045546"/>
      <w:bookmarkStart w:id="319" w:name="_Toc247513970"/>
      <w:bookmarkStart w:id="320" w:name="_Toc26021"/>
      <w:bookmarkStart w:id="321" w:name="_Toc26603"/>
      <w:bookmarkStart w:id="322" w:name="_Toc300834967"/>
      <w:bookmarkStart w:id="323" w:name="_Toc3337"/>
      <w:bookmarkStart w:id="324" w:name="_Toc28135"/>
      <w:bookmarkStart w:id="325" w:name="_Toc2051"/>
      <w:bookmarkStart w:id="326" w:name="_Toc8312"/>
      <w:bookmarkStart w:id="327" w:name="_Toc5036"/>
      <w:bookmarkStart w:id="328" w:name="_Toc27286"/>
      <w:bookmarkStart w:id="329" w:name="_Toc31255"/>
      <w:bookmarkStart w:id="330" w:name="_Toc5391"/>
      <w:r>
        <w:rPr>
          <w:rFonts w:ascii="Times New Roman" w:hAnsi="Times New Roman" w:cs="Times New Roman"/>
          <w:b/>
          <w:bCs w:val="0"/>
          <w:highlight w:val="none"/>
        </w:rPr>
        <w:t xml:space="preserve">3. </w:t>
      </w:r>
      <w:r>
        <w:rPr>
          <w:rFonts w:hint="default" w:ascii="Times New Roman" w:hAnsi="Times New Roman" w:cs="Times New Roman"/>
          <w:b/>
          <w:bCs w:val="0"/>
          <w:highlight w:val="none"/>
        </w:rPr>
        <w:t>投标文件</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5"/>
        <w:spacing w:before="0" w:after="0" w:line="360" w:lineRule="auto"/>
        <w:ind w:firstLine="560" w:firstLineChars="200"/>
        <w:rPr>
          <w:rFonts w:ascii="Times New Roman" w:hAnsi="Times New Roman"/>
          <w:highlight w:val="none"/>
        </w:rPr>
      </w:pPr>
      <w:bookmarkStart w:id="331" w:name="_Toc152042323"/>
      <w:bookmarkStart w:id="332" w:name="_Toc247527572"/>
      <w:bookmarkStart w:id="333" w:name="_Toc247513971"/>
      <w:bookmarkStart w:id="334" w:name="_Toc300834968"/>
      <w:bookmarkStart w:id="335" w:name="_Toc144974515"/>
      <w:bookmarkStart w:id="336" w:name="_Toc3199"/>
      <w:bookmarkStart w:id="337" w:name="_Toc10837"/>
      <w:bookmarkStart w:id="338" w:name="_Toc15668"/>
      <w:bookmarkStart w:id="339" w:name="_Toc16929"/>
      <w:bookmarkStart w:id="340" w:name="_Toc18809"/>
      <w:bookmarkStart w:id="341" w:name="_Toc26505"/>
      <w:bookmarkStart w:id="342" w:name="_Toc152045547"/>
      <w:bookmarkStart w:id="343" w:name="_Toc4137"/>
      <w:bookmarkStart w:id="344" w:name="_Toc21128"/>
      <w:bookmarkStart w:id="345" w:name="_Toc494371533"/>
      <w:bookmarkStart w:id="346" w:name="_Toc24076"/>
      <w:bookmarkStart w:id="347" w:name="_Toc2343"/>
      <w:r>
        <w:rPr>
          <w:rFonts w:ascii="Times New Roman" w:hAnsi="Times New Roman"/>
          <w:highlight w:val="none"/>
        </w:rPr>
        <w:t>3.1 投标文件的组成</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360" w:lineRule="auto"/>
        <w:ind w:firstLine="420" w:firstLineChars="200"/>
        <w:rPr>
          <w:highlight w:val="none"/>
        </w:rPr>
      </w:pPr>
      <w:r>
        <w:rPr>
          <w:rFonts w:hint="eastAsia"/>
          <w:highlight w:val="none"/>
        </w:rPr>
        <w:t>详见本招标文件第</w:t>
      </w:r>
      <w:r>
        <w:rPr>
          <w:rFonts w:hint="eastAsia"/>
          <w:highlight w:val="none"/>
          <w:lang w:val="en-US" w:eastAsia="zh-CN"/>
        </w:rPr>
        <w:t>五</w:t>
      </w:r>
      <w:r>
        <w:rPr>
          <w:rFonts w:hint="eastAsia"/>
          <w:highlight w:val="none"/>
        </w:rPr>
        <w:t>章“投标文件格式”。</w:t>
      </w:r>
    </w:p>
    <w:p>
      <w:pPr>
        <w:pStyle w:val="5"/>
        <w:spacing w:before="0" w:after="0" w:line="360" w:lineRule="auto"/>
        <w:ind w:firstLine="560" w:firstLineChars="200"/>
        <w:rPr>
          <w:rFonts w:ascii="Times New Roman" w:hAnsi="Times New Roman"/>
          <w:highlight w:val="none"/>
        </w:rPr>
      </w:pPr>
      <w:bookmarkStart w:id="348" w:name="_Toc247527573"/>
      <w:bookmarkStart w:id="349" w:name="_Toc30945"/>
      <w:bookmarkStart w:id="350" w:name="_Toc18309"/>
      <w:bookmarkStart w:id="351" w:name="_Toc7389"/>
      <w:bookmarkStart w:id="352" w:name="_Toc16226"/>
      <w:bookmarkStart w:id="353" w:name="_Toc152045548"/>
      <w:bookmarkStart w:id="354" w:name="_Toc18850"/>
      <w:bookmarkStart w:id="355" w:name="_Toc32538"/>
      <w:bookmarkStart w:id="356" w:name="_Toc23649"/>
      <w:bookmarkStart w:id="357" w:name="_Toc27324"/>
      <w:bookmarkStart w:id="358" w:name="_Toc247513972"/>
      <w:bookmarkStart w:id="359" w:name="_Toc31604"/>
      <w:bookmarkStart w:id="360" w:name="_Toc144974516"/>
      <w:bookmarkStart w:id="361" w:name="_Toc494371534"/>
      <w:bookmarkStart w:id="362" w:name="_Toc152042324"/>
      <w:bookmarkStart w:id="363" w:name="_Toc1905"/>
      <w:bookmarkStart w:id="364" w:name="_Toc300834969"/>
      <w:r>
        <w:rPr>
          <w:rFonts w:ascii="Times New Roman" w:hAnsi="Times New Roman"/>
          <w:highlight w:val="none"/>
        </w:rPr>
        <w:t>3.2 投标报价</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360" w:lineRule="auto"/>
        <w:ind w:firstLine="420" w:firstLineChars="200"/>
        <w:rPr>
          <w:rFonts w:hint="eastAsia" w:ascii="宋体" w:hAnsi="宋体" w:cs="宋体"/>
          <w:highlight w:val="none"/>
        </w:rPr>
      </w:pPr>
      <w:r>
        <w:rPr>
          <w:rFonts w:hint="eastAsia" w:ascii="宋体" w:hAnsi="宋体" w:cs="宋体"/>
          <w:highlight w:val="none"/>
        </w:rPr>
        <w:t>3.2.1 本工程的投标报价采用投标须知前附表第10款所规定的方式。</w:t>
      </w:r>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 xml:space="preserve">3.2.2 </w:t>
      </w:r>
      <w:r>
        <w:rPr>
          <w:rFonts w:hint="eastAsia" w:ascii="宋体" w:hAnsi="宋体" w:cs="宋体"/>
          <w:szCs w:val="24"/>
          <w:highlight w:val="none"/>
        </w:rPr>
        <w:t>投标人应充分了解施工场地的位置、周边环境、道路、装卸、保管、安装限制以及影响投标报价的其他要素。投标人根据投标设计，结合市场情况进行投标报价。</w:t>
      </w:r>
    </w:p>
    <w:p>
      <w:pPr>
        <w:spacing w:line="360" w:lineRule="auto"/>
        <w:ind w:firstLine="420" w:firstLineChars="200"/>
        <w:rPr>
          <w:rFonts w:hint="eastAsia" w:ascii="宋体" w:hAnsi="宋体" w:cs="宋体"/>
          <w:highlight w:val="none"/>
        </w:rPr>
      </w:pPr>
      <w:r>
        <w:rPr>
          <w:rFonts w:hint="eastAsia" w:ascii="宋体" w:hAnsi="宋体" w:cs="宋体"/>
          <w:highlight w:val="none"/>
        </w:rPr>
        <w:t>3.2.3 招标人设有最高投标限价的，投标人的投标报价不得超过最高投标限价。</w:t>
      </w:r>
    </w:p>
    <w:p>
      <w:pPr>
        <w:spacing w:line="360" w:lineRule="auto"/>
        <w:ind w:firstLine="420" w:firstLineChars="200"/>
        <w:rPr>
          <w:rFonts w:hint="eastAsia" w:ascii="宋体" w:hAnsi="宋体" w:cs="宋体"/>
          <w:highlight w:val="none"/>
        </w:rPr>
      </w:pPr>
      <w:r>
        <w:rPr>
          <w:rFonts w:hint="eastAsia" w:ascii="宋体" w:hAnsi="宋体" w:cs="宋体"/>
          <w:highlight w:val="none"/>
        </w:rPr>
        <w:t>3.2.4 投标报价的其他要求见投标人须知前附表。</w:t>
      </w:r>
    </w:p>
    <w:p>
      <w:pPr>
        <w:pStyle w:val="5"/>
        <w:spacing w:before="0" w:after="0" w:line="360" w:lineRule="auto"/>
        <w:ind w:firstLine="560" w:firstLineChars="200"/>
        <w:rPr>
          <w:rFonts w:ascii="Times New Roman" w:hAnsi="Times New Roman"/>
          <w:highlight w:val="none"/>
        </w:rPr>
      </w:pPr>
      <w:bookmarkStart w:id="365" w:name="_Toc3740"/>
      <w:bookmarkStart w:id="366" w:name="_Toc5732"/>
      <w:bookmarkStart w:id="367" w:name="_Toc25305"/>
      <w:bookmarkStart w:id="368" w:name="_Toc1280"/>
      <w:bookmarkStart w:id="369" w:name="_Toc144974517"/>
      <w:bookmarkStart w:id="370" w:name="_Toc15196"/>
      <w:bookmarkStart w:id="371" w:name="_Toc300834970"/>
      <w:bookmarkStart w:id="372" w:name="_Toc494371535"/>
      <w:bookmarkStart w:id="373" w:name="_Toc29718"/>
      <w:bookmarkStart w:id="374" w:name="_Toc32500"/>
      <w:bookmarkStart w:id="375" w:name="_Toc247513973"/>
      <w:bookmarkStart w:id="376" w:name="_Toc247527574"/>
      <w:bookmarkStart w:id="377" w:name="_Toc152045549"/>
      <w:bookmarkStart w:id="378" w:name="_Toc22353"/>
      <w:bookmarkStart w:id="379" w:name="_Toc1581"/>
      <w:bookmarkStart w:id="380" w:name="_Toc25744"/>
      <w:bookmarkStart w:id="381" w:name="_Toc152042325"/>
      <w:r>
        <w:rPr>
          <w:rFonts w:ascii="Times New Roman" w:hAnsi="Times New Roman"/>
          <w:highlight w:val="none"/>
        </w:rPr>
        <w:t>3.3 投标有效期</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spacing w:line="360" w:lineRule="auto"/>
        <w:ind w:firstLine="420" w:firstLineChars="200"/>
        <w:rPr>
          <w:rFonts w:hint="eastAsia" w:ascii="宋体" w:hAnsi="宋体" w:cs="宋体"/>
          <w:highlight w:val="none"/>
        </w:rPr>
      </w:pPr>
      <w:r>
        <w:rPr>
          <w:rFonts w:hint="eastAsia" w:ascii="宋体" w:hAnsi="宋体" w:cs="宋体"/>
          <w:highlight w:val="none"/>
        </w:rPr>
        <w:t>3.3.1 投标有效期按须知前附表的规定。</w:t>
      </w:r>
    </w:p>
    <w:p>
      <w:pPr>
        <w:spacing w:line="360" w:lineRule="auto"/>
        <w:ind w:firstLine="420" w:firstLineChars="200"/>
        <w:rPr>
          <w:rFonts w:hint="eastAsia" w:ascii="宋体" w:hAnsi="宋体" w:cs="宋体"/>
          <w:highlight w:val="none"/>
        </w:rPr>
      </w:pPr>
      <w:r>
        <w:rPr>
          <w:rFonts w:hint="eastAsia" w:ascii="宋体" w:hAnsi="宋体" w:cs="宋体"/>
          <w:highlight w:val="none"/>
        </w:rPr>
        <w:t>3.3.2 在投标有效期内，投标人撤销或修改其投标文件的，应承担招标文件和法律规定的责任。</w:t>
      </w:r>
    </w:p>
    <w:p>
      <w:pPr>
        <w:spacing w:line="360" w:lineRule="auto"/>
        <w:ind w:firstLine="420" w:firstLineChars="200"/>
        <w:rPr>
          <w:rFonts w:hint="eastAsia" w:ascii="宋体" w:hAnsi="宋体" w:cs="宋体"/>
          <w:color w:val="auto"/>
          <w:highlight w:val="none"/>
        </w:rPr>
      </w:pPr>
      <w:r>
        <w:rPr>
          <w:rFonts w:hint="eastAsia" w:ascii="宋体" w:hAnsi="宋体" w:cs="宋体"/>
          <w:highlight w:val="none"/>
        </w:rPr>
        <w:t>3.3.3 出现特殊情况需要延长投标有效期的，招标人以书面形式通知所有投标人延长投标有效期。投标人同意延长的，</w:t>
      </w:r>
      <w:r>
        <w:rPr>
          <w:rFonts w:hint="eastAsia" w:ascii="宋体" w:hAnsi="宋体" w:cs="宋体"/>
          <w:color w:val="auto"/>
          <w:highlight w:val="none"/>
        </w:rPr>
        <w:t>应相应延长其投标保证金的有效期，但不得要求或被允许修改或撤销其投标文件；投标人拒绝延长的，其投标失效，但投标人有权收回其投标保证金。</w:t>
      </w:r>
    </w:p>
    <w:p>
      <w:pPr>
        <w:pStyle w:val="5"/>
        <w:keepNext/>
        <w:keepLines/>
        <w:widowControl w:val="0"/>
        <w:spacing w:before="0" w:after="0" w:line="360" w:lineRule="auto"/>
        <w:ind w:firstLine="560" w:firstLineChars="200"/>
        <w:jc w:val="both"/>
        <w:outlineLvl w:val="2"/>
        <w:rPr>
          <w:rFonts w:hint="eastAsia" w:ascii="Times New Roman" w:hAnsi="Times New Roman" w:eastAsia="黑体" w:cs="Times New Roman"/>
          <w:bCs/>
          <w:color w:val="auto"/>
          <w:kern w:val="2"/>
          <w:sz w:val="28"/>
          <w:szCs w:val="28"/>
          <w:highlight w:val="none"/>
          <w:lang w:val="en-US" w:eastAsia="zh-CN" w:bidi="ar-SA"/>
        </w:rPr>
      </w:pPr>
      <w:bookmarkStart w:id="382" w:name="_Toc494371536"/>
      <w:bookmarkStart w:id="383" w:name="_Toc13372"/>
      <w:bookmarkStart w:id="384" w:name="_Toc28691"/>
      <w:bookmarkStart w:id="385" w:name="_Toc152042326"/>
      <w:bookmarkStart w:id="386" w:name="_Toc31972"/>
      <w:bookmarkStart w:id="387" w:name="_Toc144974518"/>
      <w:bookmarkStart w:id="388" w:name="_Toc24047"/>
      <w:bookmarkStart w:id="389" w:name="_Toc300834971"/>
      <w:bookmarkStart w:id="390" w:name="_Toc204"/>
      <w:bookmarkStart w:id="391" w:name="_Toc3081"/>
      <w:bookmarkStart w:id="392" w:name="_Toc3863"/>
      <w:bookmarkStart w:id="393" w:name="_Toc28467"/>
      <w:bookmarkStart w:id="394" w:name="_Toc31983"/>
      <w:bookmarkStart w:id="395" w:name="_Toc247527575"/>
      <w:bookmarkStart w:id="396" w:name="_Toc152045550"/>
      <w:bookmarkStart w:id="397" w:name="_Toc25607"/>
      <w:bookmarkStart w:id="398" w:name="_Toc247513974"/>
      <w:r>
        <w:rPr>
          <w:rFonts w:hint="eastAsia" w:ascii="Times New Roman" w:hAnsi="Times New Roman" w:eastAsia="黑体" w:cs="Times New Roman"/>
          <w:bCs/>
          <w:color w:val="auto"/>
          <w:kern w:val="2"/>
          <w:sz w:val="28"/>
          <w:szCs w:val="28"/>
          <w:highlight w:val="none"/>
          <w:lang w:val="en-US" w:eastAsia="zh-CN" w:bidi="ar-SA"/>
        </w:rPr>
        <w:t>3.4 投标保证金</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投标人须在开标前按投标人须知前附表规定的金额、担保形式递交投标保证金。并应符合投标人须知前附表的规定。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3.4.2有下列情形之一的，投标保证金将不予退还：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（1）投标人在投标有效期内撤回投标标书；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（2）中标人未在规定期限内签署合同协议。</w:t>
      </w:r>
    </w:p>
    <w:p>
      <w:pPr>
        <w:pStyle w:val="47"/>
        <w:spacing w:line="360" w:lineRule="auto"/>
        <w:ind w:firstLine="420" w:firstLineChars="200"/>
        <w:rPr>
          <w:rFonts w:hint="eastAsia" w:ascii="宋体" w:hAnsi="宋体"/>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）投标人在本项目投标过程中有违法违规行为的。</w:t>
      </w:r>
    </w:p>
    <w:p>
      <w:pPr>
        <w:pStyle w:val="5"/>
        <w:spacing w:before="0" w:after="0" w:line="360" w:lineRule="auto"/>
        <w:ind w:firstLine="560" w:firstLineChars="200"/>
        <w:rPr>
          <w:rFonts w:ascii="Times New Roman" w:hAnsi="Times New Roman"/>
          <w:highlight w:val="none"/>
        </w:rPr>
      </w:pPr>
      <w:bookmarkStart w:id="399" w:name="_Toc494371537"/>
      <w:bookmarkStart w:id="400" w:name="_Toc955"/>
      <w:bookmarkStart w:id="401" w:name="_Toc5908"/>
      <w:bookmarkStart w:id="402" w:name="_Toc11498"/>
      <w:bookmarkStart w:id="403" w:name="_Toc28635"/>
      <w:bookmarkStart w:id="404" w:name="_Toc247527577"/>
      <w:bookmarkStart w:id="405" w:name="_Toc152042328"/>
      <w:bookmarkStart w:id="406" w:name="_Toc144974520"/>
      <w:bookmarkStart w:id="407" w:name="_Toc8480"/>
      <w:bookmarkStart w:id="408" w:name="_Toc29993"/>
      <w:bookmarkStart w:id="409" w:name="_Toc300834973"/>
      <w:bookmarkStart w:id="410" w:name="_Toc5946"/>
      <w:bookmarkStart w:id="411" w:name="_Toc26931"/>
      <w:bookmarkStart w:id="412" w:name="_Toc247513976"/>
      <w:bookmarkStart w:id="413" w:name="_Toc24365"/>
      <w:bookmarkStart w:id="414" w:name="_Toc30108"/>
      <w:bookmarkStart w:id="415" w:name="_Toc152045552"/>
      <w:r>
        <w:rPr>
          <w:rFonts w:ascii="Times New Roman" w:hAnsi="Times New Roman"/>
          <w:highlight w:val="none"/>
        </w:rPr>
        <w:t>3.</w:t>
      </w:r>
      <w:r>
        <w:rPr>
          <w:rFonts w:hint="eastAsia" w:ascii="Times New Roman" w:hAnsi="Times New Roman"/>
          <w:highlight w:val="none"/>
          <w:lang w:val="en-US" w:eastAsia="zh-CN"/>
        </w:rPr>
        <w:t>5</w:t>
      </w:r>
      <w:r>
        <w:rPr>
          <w:rFonts w:ascii="Times New Roman" w:hAnsi="Times New Roman"/>
          <w:highlight w:val="none"/>
        </w:rPr>
        <w:t xml:space="preserve"> 资格审查资料</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shd w:val="clear" w:color="auto" w:fill="auto"/>
        </w:rPr>
        <w:t>本项目采用非电子化资格后审，由施工标评标委员会负责对投标人的资格进行审查，</w:t>
      </w:r>
      <w:r>
        <w:rPr>
          <w:rFonts w:hint="eastAsia" w:ascii="宋体" w:hAnsi="宋体" w:cs="宋体"/>
          <w:szCs w:val="24"/>
          <w:highlight w:val="none"/>
        </w:rPr>
        <w:t>评标时只对通过资格审查的投标人进行下一阶段的评审。</w:t>
      </w:r>
    </w:p>
    <w:p>
      <w:pPr>
        <w:pStyle w:val="5"/>
        <w:spacing w:before="0" w:after="0" w:line="360" w:lineRule="auto"/>
        <w:ind w:firstLine="560" w:firstLineChars="200"/>
        <w:rPr>
          <w:rFonts w:ascii="Times New Roman" w:hAnsi="Times New Roman"/>
          <w:highlight w:val="none"/>
        </w:rPr>
      </w:pPr>
      <w:bookmarkStart w:id="416" w:name="_Toc247527578"/>
      <w:bookmarkStart w:id="417" w:name="_Toc247513977"/>
      <w:bookmarkStart w:id="418" w:name="_Toc152042329"/>
      <w:bookmarkStart w:id="419" w:name="_Toc152045553"/>
      <w:bookmarkStart w:id="420" w:name="_Toc144974521"/>
      <w:bookmarkStart w:id="421" w:name="_Toc300834974"/>
      <w:r>
        <w:rPr>
          <w:rFonts w:hint="default" w:ascii="Times New Roman" w:hAnsi="Times New Roman"/>
          <w:highlight w:val="none"/>
        </w:rPr>
        <w:t>3.</w:t>
      </w:r>
      <w:r>
        <w:rPr>
          <w:rFonts w:hint="eastAsia" w:ascii="Times New Roman" w:hAnsi="Times New Roman"/>
          <w:highlight w:val="none"/>
          <w:lang w:val="en-US" w:eastAsia="zh-CN"/>
        </w:rPr>
        <w:t>6</w:t>
      </w:r>
      <w:r>
        <w:rPr>
          <w:rFonts w:hint="default" w:ascii="Times New Roman" w:hAnsi="Times New Roman"/>
          <w:highlight w:val="none"/>
        </w:rPr>
        <w:t xml:space="preserve"> 备选投标方案</w:t>
      </w:r>
      <w:bookmarkEnd w:id="416"/>
      <w:bookmarkEnd w:id="417"/>
      <w:bookmarkEnd w:id="418"/>
      <w:bookmarkEnd w:id="419"/>
      <w:bookmarkEnd w:id="420"/>
      <w:bookmarkEnd w:id="421"/>
    </w:p>
    <w:p>
      <w:pPr>
        <w:spacing w:line="360" w:lineRule="auto"/>
        <w:ind w:firstLine="420" w:firstLineChars="200"/>
        <w:rPr>
          <w:rFonts w:hint="eastAsia" w:ascii="宋体" w:hAnsi="宋体" w:cs="宋体"/>
          <w:strike w:val="0"/>
          <w:highlight w:val="none"/>
        </w:rPr>
      </w:pPr>
      <w:r>
        <w:rPr>
          <w:rFonts w:hint="eastAsia" w:ascii="宋体" w:hAnsi="宋体" w:cs="宋体"/>
          <w:highlight w:val="none"/>
        </w:rPr>
        <w:t>除投标人须知前附表另有规定外，投标人不得递交备选投标方案。</w:t>
      </w:r>
    </w:p>
    <w:p>
      <w:pPr>
        <w:pStyle w:val="5"/>
        <w:spacing w:before="0" w:after="0" w:line="360" w:lineRule="auto"/>
        <w:ind w:firstLine="560" w:firstLineChars="200"/>
        <w:rPr>
          <w:rFonts w:ascii="Times New Roman" w:hAnsi="Times New Roman"/>
          <w:highlight w:val="none"/>
        </w:rPr>
      </w:pPr>
      <w:bookmarkStart w:id="422" w:name="_Toc144974522"/>
      <w:bookmarkStart w:id="423" w:name="_Toc247527579"/>
      <w:bookmarkStart w:id="424" w:name="_Toc152045554"/>
      <w:bookmarkStart w:id="425" w:name="_Toc8230"/>
      <w:bookmarkStart w:id="426" w:name="_Toc247513978"/>
      <w:bookmarkStart w:id="427" w:name="_Toc494371539"/>
      <w:bookmarkStart w:id="428" w:name="_Toc1368"/>
      <w:bookmarkStart w:id="429" w:name="_Toc29948"/>
      <w:bookmarkStart w:id="430" w:name="_Toc6939"/>
      <w:bookmarkStart w:id="431" w:name="_Toc2595"/>
      <w:bookmarkStart w:id="432" w:name="_Toc32158"/>
      <w:bookmarkStart w:id="433" w:name="_Toc152042330"/>
      <w:bookmarkStart w:id="434" w:name="_Toc1992"/>
      <w:bookmarkStart w:id="435" w:name="_Toc4267"/>
      <w:bookmarkStart w:id="436" w:name="_Toc300834975"/>
      <w:bookmarkStart w:id="437" w:name="_Toc24511"/>
      <w:bookmarkStart w:id="438" w:name="_Toc12571"/>
      <w:r>
        <w:rPr>
          <w:rFonts w:ascii="Times New Roman" w:hAnsi="Times New Roman"/>
          <w:highlight w:val="none"/>
        </w:rPr>
        <w:t>3.</w:t>
      </w:r>
      <w:r>
        <w:rPr>
          <w:rFonts w:hint="eastAsia" w:ascii="Times New Roman" w:hAnsi="Times New Roman"/>
          <w:highlight w:val="none"/>
          <w:lang w:val="en-US" w:eastAsia="zh-CN"/>
        </w:rPr>
        <w:t>7</w:t>
      </w:r>
      <w:r>
        <w:rPr>
          <w:rFonts w:ascii="Times New Roman" w:hAnsi="Times New Roman"/>
          <w:highlight w:val="none"/>
        </w:rPr>
        <w:t xml:space="preserve"> 投标文件的编制</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360" w:lineRule="auto"/>
        <w:ind w:firstLine="420" w:firstLineChars="200"/>
        <w:rPr>
          <w:rFonts w:hint="eastAsia" w:ascii="宋体" w:hAnsi="宋体" w:cs="宋体"/>
          <w:highlight w:val="none"/>
        </w:rPr>
      </w:pPr>
      <w:r>
        <w:rPr>
          <w:rFonts w:hint="eastAsia" w:ascii="宋体" w:hAnsi="宋体" w:cs="宋体"/>
          <w:highlight w:val="none"/>
        </w:rPr>
        <w:t>3.7.1 投标文件应按“投标文件格式”进行编写，如有必要，可以增加附页，作为投标文件的组成部分。其中，投标函附录在满足招标文件实质性要求的基础上，可以提出比招标文件要求更有利于招标人的承诺。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3.7.2 投标文件应当对招标文件有关</w:t>
      </w:r>
      <w:r>
        <w:rPr>
          <w:rFonts w:hint="eastAsia" w:ascii="宋体" w:hAnsi="宋体" w:cs="宋体"/>
          <w:szCs w:val="24"/>
          <w:highlight w:val="none"/>
        </w:rPr>
        <w:t>招标范围、投标有效期、工期、质量标准、发包人要求等实质性内容作出响应。</w:t>
      </w:r>
    </w:p>
    <w:p>
      <w:pPr>
        <w:spacing w:line="360" w:lineRule="auto"/>
        <w:ind w:firstLine="420" w:firstLineChars="200"/>
        <w:rPr>
          <w:rFonts w:hint="eastAsia" w:ascii="宋体" w:hAnsi="宋体" w:cs="宋体"/>
          <w:highlight w:val="none"/>
        </w:rPr>
      </w:pPr>
      <w:r>
        <w:rPr>
          <w:rFonts w:hint="eastAsia" w:ascii="宋体" w:hAnsi="宋体" w:cs="宋体"/>
          <w:highlight w:val="none"/>
        </w:rPr>
        <w:t>3.7.3 投标文件编制要求：</w:t>
      </w:r>
    </w:p>
    <w:p>
      <w:pPr>
        <w:spacing w:line="360" w:lineRule="auto"/>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）投标文件正本壹份，副本份数见投标人须知前附表。正本和副本的封面上应清楚地标记“正本”或“副本”的字样。当副本和正本不一致时，以正本为准。副本可为是正本签字盖章后的复印件。</w:t>
      </w:r>
    </w:p>
    <w:p>
      <w:pPr>
        <w:spacing w:line="360" w:lineRule="auto"/>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）投标文件的正本与副本应分别装订成册，</w:t>
      </w:r>
      <w:r>
        <w:rPr>
          <w:rFonts w:hint="eastAsia" w:ascii="宋体" w:hAnsi="宋体" w:cs="宋体"/>
          <w:szCs w:val="24"/>
          <w:highlight w:val="none"/>
        </w:rPr>
        <w:t>各册独立装订的投标文件均采用不易松散的书式装订</w:t>
      </w:r>
      <w:r>
        <w:rPr>
          <w:rFonts w:hint="eastAsia" w:ascii="宋体" w:hAnsi="宋体" w:cs="宋体"/>
          <w:highlight w:val="none"/>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）投标文件的规格：资格审查文件、工程实施方案（含资信部分）文件、投标报价文件统一A4印刷本，纸质封面，封面</w:t>
      </w:r>
      <w:r>
        <w:rPr>
          <w:rFonts w:hint="eastAsia" w:ascii="宋体" w:hAnsi="宋体" w:cs="宋体"/>
          <w:szCs w:val="24"/>
          <w:highlight w:val="none"/>
        </w:rPr>
        <w:t>格式见第</w:t>
      </w:r>
      <w:r>
        <w:rPr>
          <w:rFonts w:hint="eastAsia" w:ascii="宋体" w:hAnsi="宋体" w:cs="宋体"/>
          <w:szCs w:val="24"/>
          <w:highlight w:val="none"/>
          <w:lang w:val="en-US" w:eastAsia="zh-CN"/>
        </w:rPr>
        <w:t>五</w:t>
      </w:r>
      <w:r>
        <w:rPr>
          <w:rFonts w:hint="eastAsia" w:ascii="宋体" w:hAnsi="宋体" w:cs="宋体"/>
          <w:szCs w:val="24"/>
          <w:highlight w:val="none"/>
        </w:rPr>
        <w:t>章</w:t>
      </w:r>
      <w:r>
        <w:rPr>
          <w:rFonts w:hint="eastAsia" w:ascii="宋体" w:hAnsi="宋体" w:cs="宋体"/>
          <w:highlight w:val="none"/>
        </w:rPr>
        <w:t>,使用书式装订。</w:t>
      </w:r>
    </w:p>
    <w:p>
      <w:pPr>
        <w:spacing w:line="360" w:lineRule="auto"/>
        <w:ind w:firstLine="420" w:firstLineChars="200"/>
        <w:rPr>
          <w:rFonts w:hint="eastAsia" w:ascii="宋体" w:hAnsi="宋体" w:cs="宋体"/>
          <w:highlight w:val="none"/>
        </w:rPr>
      </w:pPr>
      <w:r>
        <w:rPr>
          <w:rFonts w:hint="eastAsia" w:ascii="宋体" w:hAnsi="宋体" w:cs="宋体"/>
          <w:highlight w:val="none"/>
        </w:rPr>
        <w:t>3.7.4 投标文件份数：按须知前附表的规定。</w:t>
      </w:r>
    </w:p>
    <w:p>
      <w:pPr>
        <w:pStyle w:val="5"/>
        <w:spacing w:before="0" w:after="0" w:line="360" w:lineRule="auto"/>
        <w:ind w:firstLine="562" w:firstLineChars="200"/>
        <w:rPr>
          <w:rFonts w:ascii="Times New Roman" w:hAnsi="Times New Roman" w:cs="Times New Roman"/>
          <w:b/>
          <w:bCs w:val="0"/>
          <w:highlight w:val="none"/>
        </w:rPr>
      </w:pPr>
      <w:bookmarkStart w:id="439" w:name="_Toc300834976"/>
      <w:bookmarkStart w:id="440" w:name="_Toc28992"/>
      <w:bookmarkStart w:id="441" w:name="_Toc26855"/>
      <w:bookmarkStart w:id="442" w:name="_Toc144974523"/>
      <w:bookmarkStart w:id="443" w:name="_Toc2578"/>
      <w:bookmarkStart w:id="444" w:name="_Toc11889"/>
      <w:bookmarkStart w:id="445" w:name="_Toc24913"/>
      <w:bookmarkStart w:id="446" w:name="_Toc494371540"/>
      <w:bookmarkStart w:id="447" w:name="_Toc247527580"/>
      <w:bookmarkStart w:id="448" w:name="_Toc247513979"/>
      <w:bookmarkStart w:id="449" w:name="_Toc24077"/>
      <w:bookmarkStart w:id="450" w:name="_Toc152045555"/>
      <w:bookmarkStart w:id="451" w:name="_Toc152042331"/>
      <w:bookmarkStart w:id="452" w:name="_Toc9443"/>
      <w:bookmarkStart w:id="453" w:name="_Toc21390"/>
      <w:bookmarkStart w:id="454" w:name="_Toc10739"/>
      <w:bookmarkStart w:id="455" w:name="_Toc28527"/>
      <w:bookmarkStart w:id="456" w:name="_Toc16206"/>
      <w:bookmarkStart w:id="457" w:name="_Toc24355"/>
      <w:r>
        <w:rPr>
          <w:rFonts w:ascii="Times New Roman" w:hAnsi="Times New Roman" w:cs="Times New Roman"/>
          <w:b/>
          <w:bCs w:val="0"/>
          <w:highlight w:val="none"/>
        </w:rPr>
        <w:t xml:space="preserve">4. </w:t>
      </w:r>
      <w:r>
        <w:rPr>
          <w:rFonts w:hint="default" w:ascii="Times New Roman" w:hAnsi="Times New Roman" w:cs="Times New Roman"/>
          <w:b/>
          <w:bCs w:val="0"/>
          <w:highlight w:val="none"/>
        </w:rPr>
        <w:t>投标</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pStyle w:val="5"/>
        <w:spacing w:before="0" w:after="0" w:line="360" w:lineRule="auto"/>
        <w:ind w:firstLine="560" w:firstLineChars="200"/>
        <w:rPr>
          <w:rFonts w:ascii="Times New Roman" w:hAnsi="Times New Roman"/>
          <w:highlight w:val="none"/>
        </w:rPr>
      </w:pPr>
      <w:bookmarkStart w:id="458" w:name="_Toc247513980"/>
      <w:bookmarkStart w:id="459" w:name="_Toc152045556"/>
      <w:bookmarkStart w:id="460" w:name="_Toc247527581"/>
      <w:bookmarkStart w:id="461" w:name="_Toc152042332"/>
      <w:bookmarkStart w:id="462" w:name="_Toc144974524"/>
      <w:bookmarkStart w:id="463" w:name="_Toc300834977"/>
      <w:bookmarkStart w:id="464" w:name="_Toc2556"/>
      <w:bookmarkStart w:id="465" w:name="_Toc247513981"/>
      <w:bookmarkStart w:id="466" w:name="_Toc17435"/>
      <w:bookmarkStart w:id="467" w:name="_Toc20865"/>
      <w:bookmarkStart w:id="468" w:name="_Toc247527582"/>
      <w:bookmarkStart w:id="469" w:name="_Toc300834978"/>
      <w:bookmarkStart w:id="470" w:name="_Toc17033"/>
      <w:bookmarkStart w:id="471" w:name="_Toc7700"/>
      <w:bookmarkStart w:id="472" w:name="_Toc152042333"/>
      <w:bookmarkStart w:id="473" w:name="_Toc144974525"/>
      <w:bookmarkStart w:id="474" w:name="_Toc152045557"/>
      <w:bookmarkStart w:id="475" w:name="_Toc16217"/>
      <w:r>
        <w:rPr>
          <w:rFonts w:hint="default" w:ascii="Times New Roman" w:hAnsi="Times New Roman" w:cs="Times New Roman"/>
          <w:highlight w:val="none"/>
        </w:rPr>
        <w:t>4.1 投标文件的密封和标记</w:t>
      </w:r>
      <w:bookmarkEnd w:id="458"/>
      <w:bookmarkEnd w:id="459"/>
      <w:bookmarkEnd w:id="460"/>
      <w:bookmarkEnd w:id="461"/>
      <w:bookmarkEnd w:id="462"/>
      <w:bookmarkEnd w:id="463"/>
    </w:p>
    <w:p>
      <w:pPr>
        <w:spacing w:line="360" w:lineRule="auto"/>
        <w:ind w:firstLine="420" w:firstLineChars="200"/>
        <w:rPr>
          <w:rFonts w:hint="eastAsia" w:ascii="宋体" w:hAnsi="宋体" w:cs="宋体"/>
          <w:highlight w:val="none"/>
        </w:rPr>
      </w:pPr>
      <w:r>
        <w:rPr>
          <w:rFonts w:hint="eastAsia" w:ascii="宋体" w:hAnsi="宋体" w:cs="宋体"/>
          <w:highlight w:val="none"/>
        </w:rPr>
        <w:t>4.1.1 投标文件应进行包装、加贴封条，并在封套的封口处加盖投标人单位章。</w:t>
      </w:r>
    </w:p>
    <w:p>
      <w:pPr>
        <w:spacing w:line="360" w:lineRule="auto"/>
        <w:ind w:firstLine="420" w:firstLineChars="200"/>
        <w:rPr>
          <w:rFonts w:hint="eastAsia" w:ascii="宋体" w:hAnsi="宋体" w:cs="宋体"/>
          <w:highlight w:val="none"/>
        </w:rPr>
      </w:pPr>
      <w:r>
        <w:rPr>
          <w:rFonts w:hint="eastAsia" w:ascii="宋体" w:hAnsi="宋体" w:cs="宋体"/>
          <w:highlight w:val="none"/>
        </w:rPr>
        <w:t>4.1.2 投标文件封套上应写明的内容见投标人须知前附表。</w:t>
      </w:r>
    </w:p>
    <w:p>
      <w:pPr>
        <w:spacing w:line="360" w:lineRule="auto"/>
        <w:ind w:firstLine="420" w:firstLineChars="200"/>
        <w:rPr>
          <w:rFonts w:ascii="宋体" w:hAnsi="宋体"/>
          <w:highlight w:val="none"/>
        </w:rPr>
      </w:pPr>
      <w:r>
        <w:rPr>
          <w:rFonts w:hint="eastAsia" w:ascii="宋体" w:hAnsi="宋体" w:cs="宋体"/>
          <w:highlight w:val="none"/>
        </w:rPr>
        <w:t>4.1.3 未按本章第4.1.1项或第4.1.2项要求密封和加写标记的投标文件，招标人不予受理。</w:t>
      </w:r>
    </w:p>
    <w:p>
      <w:pPr>
        <w:pStyle w:val="5"/>
        <w:spacing w:before="0" w:after="0" w:line="360" w:lineRule="auto"/>
        <w:ind w:firstLine="560" w:firstLineChars="200"/>
        <w:rPr>
          <w:rFonts w:ascii="Times New Roman" w:hAnsi="Times New Roman"/>
          <w:highlight w:val="none"/>
        </w:rPr>
      </w:pPr>
      <w:r>
        <w:rPr>
          <w:rFonts w:ascii="Times New Roman" w:hAnsi="Times New Roman"/>
          <w:highlight w:val="none"/>
        </w:rPr>
        <w:t xml:space="preserve">4.2 </w:t>
      </w:r>
      <w:r>
        <w:rPr>
          <w:rFonts w:hint="default" w:ascii="Times New Roman" w:hAnsi="Times New Roman"/>
          <w:highlight w:val="none"/>
        </w:rPr>
        <w:t>投标文件的递交</w:t>
      </w:r>
      <w:bookmarkEnd w:id="464"/>
      <w:bookmarkEnd w:id="465"/>
      <w:bookmarkEnd w:id="466"/>
      <w:bookmarkEnd w:id="467"/>
      <w:bookmarkEnd w:id="468"/>
      <w:bookmarkEnd w:id="469"/>
      <w:bookmarkEnd w:id="470"/>
      <w:bookmarkEnd w:id="471"/>
      <w:bookmarkEnd w:id="472"/>
      <w:bookmarkEnd w:id="473"/>
      <w:bookmarkEnd w:id="474"/>
      <w:bookmarkEnd w:id="475"/>
    </w:p>
    <w:p>
      <w:pPr>
        <w:spacing w:line="360" w:lineRule="auto"/>
        <w:ind w:firstLine="420" w:firstLineChars="200"/>
        <w:rPr>
          <w:rFonts w:hint="eastAsia" w:ascii="宋体" w:hAnsi="宋体" w:cs="宋体"/>
          <w:highlight w:val="none"/>
        </w:rPr>
      </w:pPr>
      <w:r>
        <w:rPr>
          <w:rFonts w:hint="eastAsia" w:ascii="宋体" w:hAnsi="宋体" w:cs="宋体"/>
          <w:highlight w:val="none"/>
        </w:rPr>
        <w:t>4.2.1 投标人代表应按投标须知前附表所规定的时间和地点向招标人提交投标文件。</w:t>
      </w:r>
    </w:p>
    <w:p>
      <w:pPr>
        <w:spacing w:line="360" w:lineRule="auto"/>
        <w:ind w:firstLine="420" w:firstLineChars="200"/>
        <w:rPr>
          <w:rFonts w:hint="eastAsia" w:ascii="宋体" w:hAnsi="宋体" w:cs="宋体"/>
          <w:highlight w:val="none"/>
        </w:rPr>
      </w:pPr>
      <w:r>
        <w:rPr>
          <w:rFonts w:hint="eastAsia" w:ascii="宋体" w:hAnsi="宋体" w:cs="宋体"/>
          <w:highlight w:val="none"/>
        </w:rPr>
        <w:t>投标人代表应由投标人法定代表人或法定代表人书面授权的委托代理人担任。法定代表人应凭本人身份证和法定代表人证明书原件</w:t>
      </w:r>
      <w:r>
        <w:rPr>
          <w:rFonts w:hint="eastAsia" w:ascii="宋体" w:hAnsi="宋体" w:cs="宋体"/>
          <w:bCs w:val="0"/>
          <w:highlight w:val="none"/>
        </w:rPr>
        <w:t>提交</w:t>
      </w:r>
      <w:r>
        <w:rPr>
          <w:rFonts w:hint="eastAsia" w:ascii="宋体" w:hAnsi="宋体" w:cs="宋体"/>
          <w:highlight w:val="none"/>
        </w:rPr>
        <w:t>投标文件。委托代理人应凭本人身份证、法定代表人证明书原件和法定代表人授权委托证明书原件</w:t>
      </w:r>
      <w:r>
        <w:rPr>
          <w:rFonts w:hint="eastAsia" w:ascii="宋体" w:hAnsi="宋体" w:cs="宋体"/>
          <w:bCs w:val="0"/>
          <w:highlight w:val="none"/>
        </w:rPr>
        <w:t>提交</w:t>
      </w:r>
      <w:r>
        <w:rPr>
          <w:rFonts w:hint="eastAsia" w:ascii="宋体" w:hAnsi="宋体" w:cs="宋体"/>
          <w:highlight w:val="none"/>
        </w:rPr>
        <w:t>投标文件。</w:t>
      </w:r>
    </w:p>
    <w:p>
      <w:pPr>
        <w:spacing w:line="360" w:lineRule="auto"/>
        <w:ind w:firstLine="420" w:firstLineChars="200"/>
        <w:rPr>
          <w:rFonts w:hint="eastAsia" w:ascii="宋体" w:hAnsi="宋体" w:cs="宋体"/>
          <w:highlight w:val="none"/>
        </w:rPr>
      </w:pPr>
      <w:r>
        <w:rPr>
          <w:rFonts w:hint="eastAsia" w:ascii="宋体" w:hAnsi="宋体" w:cs="宋体"/>
          <w:highlight w:val="none"/>
        </w:rPr>
        <w:t>4.2.2 投标人递交投标文件的地点：见投标人须知前附表。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4.2.3 除投标人须知前附表另有规定外，投标人所递交的投标文件不予退还。</w:t>
      </w:r>
    </w:p>
    <w:p>
      <w:pPr>
        <w:spacing w:line="360" w:lineRule="auto"/>
        <w:ind w:firstLine="420" w:firstLineChars="200"/>
        <w:rPr>
          <w:rFonts w:hint="eastAsia" w:ascii="宋体" w:hAnsi="宋体" w:cs="宋体"/>
          <w:highlight w:val="none"/>
        </w:rPr>
      </w:pPr>
      <w:r>
        <w:rPr>
          <w:rFonts w:hint="eastAsia" w:ascii="宋体" w:hAnsi="宋体" w:cs="宋体"/>
          <w:highlight w:val="none"/>
        </w:rPr>
        <w:t>4.2.4 逾期送达的或者未送达指定地点的投标文件，招标人不予受理。</w:t>
      </w:r>
    </w:p>
    <w:p>
      <w:pPr>
        <w:spacing w:line="360" w:lineRule="auto"/>
        <w:ind w:firstLine="420" w:firstLineChars="200"/>
        <w:rPr>
          <w:rFonts w:hint="eastAsia" w:ascii="宋体" w:hAnsi="宋体" w:cs="宋体"/>
          <w:highlight w:val="none"/>
        </w:rPr>
      </w:pPr>
      <w:r>
        <w:rPr>
          <w:rFonts w:hint="eastAsia" w:ascii="宋体" w:hAnsi="宋体" w:cs="宋体"/>
          <w:highlight w:val="none"/>
        </w:rPr>
        <w:t>4.2.5 若出现以下情况，招标人将拒绝接收投标文件：</w:t>
      </w:r>
    </w:p>
    <w:p>
      <w:pPr>
        <w:spacing w:line="360" w:lineRule="auto"/>
        <w:ind w:firstLine="420" w:firstLineChars="200"/>
        <w:rPr>
          <w:rFonts w:hint="eastAsia" w:ascii="宋体" w:hAnsi="宋体" w:cs="宋体"/>
          <w:highlight w:val="none"/>
        </w:rPr>
      </w:pPr>
      <w:r>
        <w:rPr>
          <w:rFonts w:hint="eastAsia" w:ascii="宋体" w:hAnsi="宋体" w:cs="宋体"/>
          <w:highlight w:val="none"/>
        </w:rPr>
        <w:t>（1）在投标截止期后逾期或未在指定地点递交投标文件的；</w:t>
      </w:r>
    </w:p>
    <w:p>
      <w:pPr>
        <w:spacing w:line="360" w:lineRule="auto"/>
        <w:ind w:firstLine="420" w:firstLineChars="200"/>
        <w:rPr>
          <w:rFonts w:hint="eastAsia" w:ascii="宋体" w:hAnsi="宋体" w:cs="宋体"/>
          <w:highlight w:val="none"/>
        </w:rPr>
      </w:pPr>
      <w:r>
        <w:rPr>
          <w:rFonts w:hint="eastAsia" w:ascii="宋体" w:hAnsi="宋体" w:cs="宋体"/>
          <w:highlight w:val="none"/>
        </w:rPr>
        <w:t>（2）投标文件未按招标文件要求密封的；</w:t>
      </w:r>
    </w:p>
    <w:p>
      <w:pPr>
        <w:spacing w:line="360" w:lineRule="auto"/>
        <w:ind w:firstLine="420" w:firstLineChars="200"/>
        <w:rPr>
          <w:rFonts w:hint="eastAsia" w:ascii="宋体" w:hAnsi="宋体" w:cs="宋体"/>
          <w:highlight w:val="none"/>
        </w:rPr>
      </w:pPr>
      <w:r>
        <w:rPr>
          <w:rFonts w:hint="eastAsia" w:ascii="宋体" w:hAnsi="宋体" w:cs="宋体"/>
          <w:highlight w:val="none"/>
        </w:rPr>
        <w:t>（3）投标人代表未按要求签到的；</w:t>
      </w:r>
    </w:p>
    <w:p>
      <w:pPr>
        <w:spacing w:line="360" w:lineRule="auto"/>
        <w:ind w:firstLine="420" w:firstLineChars="200"/>
        <w:rPr>
          <w:rFonts w:hint="eastAsia" w:ascii="宋体" w:hAnsi="宋体" w:cs="宋体"/>
          <w:highlight w:val="none"/>
        </w:rPr>
      </w:pPr>
      <w:r>
        <w:rPr>
          <w:rFonts w:hint="eastAsia" w:ascii="宋体" w:hAnsi="宋体" w:cs="宋体"/>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360" w:lineRule="auto"/>
        <w:ind w:firstLine="420" w:firstLineChars="200"/>
        <w:rPr>
          <w:rFonts w:hint="eastAsia" w:ascii="宋体" w:hAnsi="宋体" w:cs="宋体"/>
          <w:highlight w:val="none"/>
          <w:u w:val="none"/>
        </w:rPr>
      </w:pPr>
      <w:r>
        <w:rPr>
          <w:rFonts w:hint="eastAsia" w:ascii="宋体" w:hAnsi="宋体" w:cs="宋体"/>
          <w:highlight w:val="none"/>
        </w:rPr>
        <w:t>（5）投标人未成功办理投标登记手续的。</w:t>
      </w:r>
    </w:p>
    <w:p>
      <w:pPr>
        <w:spacing w:line="360" w:lineRule="auto"/>
        <w:ind w:firstLine="420" w:firstLineChars="200"/>
        <w:rPr>
          <w:rFonts w:hint="eastAsia" w:ascii="宋体" w:hAnsi="宋体" w:cs="宋体"/>
          <w:highlight w:val="none"/>
        </w:rPr>
      </w:pPr>
      <w:r>
        <w:rPr>
          <w:rFonts w:hint="eastAsia" w:ascii="宋体" w:hAnsi="宋体" w:cs="宋体"/>
          <w:highlight w:val="none"/>
        </w:rPr>
        <w:t>4.2.6投标截止前，招标人拒绝接收符合条件的投标文件，投标人可向招标监督机构投诉。</w:t>
      </w:r>
    </w:p>
    <w:p>
      <w:pPr>
        <w:spacing w:line="360" w:lineRule="auto"/>
        <w:ind w:firstLine="420" w:firstLineChars="200"/>
        <w:rPr>
          <w:rFonts w:hint="eastAsia" w:ascii="宋体" w:hAnsi="宋体" w:cs="宋体"/>
          <w:highlight w:val="none"/>
          <w:u w:val="none"/>
        </w:rPr>
      </w:pPr>
      <w:r>
        <w:rPr>
          <w:rFonts w:hint="eastAsia" w:ascii="宋体" w:hAnsi="宋体" w:cs="宋体"/>
          <w:highlight w:val="none"/>
        </w:rPr>
        <w:t>4.2.7到投标截止时间止，若收到的投标文件少于3家的，本项目招标失败，将依法重新招标。</w:t>
      </w:r>
    </w:p>
    <w:p>
      <w:pPr>
        <w:pStyle w:val="5"/>
        <w:spacing w:before="0" w:after="0" w:line="360" w:lineRule="auto"/>
        <w:ind w:firstLine="560" w:firstLineChars="200"/>
        <w:rPr>
          <w:rFonts w:ascii="Times New Roman" w:hAnsi="Times New Roman"/>
          <w:highlight w:val="none"/>
        </w:rPr>
      </w:pPr>
      <w:bookmarkStart w:id="476" w:name="_Toc27188"/>
      <w:bookmarkStart w:id="477" w:name="_Toc28821"/>
      <w:bookmarkStart w:id="478" w:name="_Toc144974526"/>
      <w:bookmarkStart w:id="479" w:name="_Toc3022"/>
      <w:bookmarkStart w:id="480" w:name="_Toc494371542"/>
      <w:bookmarkStart w:id="481" w:name="_Toc23867"/>
      <w:bookmarkStart w:id="482" w:name="_Toc247513982"/>
      <w:bookmarkStart w:id="483" w:name="_Toc25096"/>
      <w:bookmarkStart w:id="484" w:name="_Toc152042334"/>
      <w:bookmarkStart w:id="485" w:name="_Toc29774"/>
      <w:bookmarkStart w:id="486" w:name="_Toc24863"/>
      <w:bookmarkStart w:id="487" w:name="_Toc1732"/>
      <w:bookmarkStart w:id="488" w:name="_Toc300834979"/>
      <w:bookmarkStart w:id="489" w:name="_Toc247527583"/>
      <w:bookmarkStart w:id="490" w:name="_Toc152045558"/>
      <w:bookmarkStart w:id="491" w:name="_Toc13098"/>
      <w:bookmarkStart w:id="492" w:name="_Toc29846"/>
      <w:r>
        <w:rPr>
          <w:rFonts w:ascii="Times New Roman" w:hAnsi="Times New Roman"/>
          <w:highlight w:val="none"/>
        </w:rPr>
        <w:t>4.3 投标文件的修改与撤回</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spacing w:line="360" w:lineRule="auto"/>
        <w:ind w:firstLine="420" w:firstLineChars="200"/>
        <w:rPr>
          <w:rFonts w:hint="eastAsia" w:ascii="宋体" w:hAnsi="宋体" w:cs="宋体"/>
          <w:highlight w:val="none"/>
        </w:rPr>
      </w:pPr>
      <w:r>
        <w:rPr>
          <w:rFonts w:hint="eastAsia" w:ascii="宋体" w:hAnsi="宋体" w:cs="宋体"/>
          <w:highlight w:val="none"/>
        </w:rPr>
        <w:t>4.3.1 在规定的投标截止时间前，投标人可以修改或撤回已递交的投标文件，但应以书面形式通知招标人。</w:t>
      </w:r>
    </w:p>
    <w:p>
      <w:pPr>
        <w:spacing w:line="360" w:lineRule="auto"/>
        <w:ind w:firstLine="420" w:firstLineChars="200"/>
        <w:rPr>
          <w:rFonts w:hint="eastAsia" w:ascii="宋体" w:hAnsi="宋体" w:cs="宋体"/>
          <w:highlight w:val="none"/>
        </w:rPr>
      </w:pPr>
      <w:r>
        <w:rPr>
          <w:rFonts w:hint="eastAsia" w:ascii="宋体" w:hAnsi="宋体" w:cs="宋体"/>
          <w:highlight w:val="none"/>
        </w:rPr>
        <w:t>4.3.2 投标人修改或撤回已递交投标文件的书面通知应按照本章</w:t>
      </w:r>
      <w:r>
        <w:rPr>
          <w:rFonts w:hint="eastAsia" w:ascii="宋体" w:hAnsi="宋体" w:cs="宋体"/>
          <w:color w:val="auto"/>
          <w:highlight w:val="none"/>
        </w:rPr>
        <w:t>第3.7.3项</w:t>
      </w:r>
      <w:r>
        <w:rPr>
          <w:rFonts w:hint="eastAsia" w:ascii="宋体" w:hAnsi="宋体" w:cs="宋体"/>
          <w:highlight w:val="none"/>
        </w:rPr>
        <w:t>的要求签字或盖章。招标人收到书面通知后，向投标人出具签收凭证。</w:t>
      </w:r>
    </w:p>
    <w:p>
      <w:pPr>
        <w:spacing w:line="360" w:lineRule="auto"/>
        <w:ind w:firstLine="420" w:firstLineChars="200"/>
        <w:rPr>
          <w:rFonts w:hint="eastAsia" w:ascii="宋体" w:hAnsi="宋体" w:cs="宋体"/>
          <w:color w:val="auto"/>
          <w:highlight w:val="none"/>
        </w:rPr>
      </w:pPr>
      <w:r>
        <w:rPr>
          <w:rFonts w:hint="eastAsia" w:ascii="宋体" w:hAnsi="宋体" w:cs="宋体"/>
          <w:highlight w:val="none"/>
        </w:rPr>
        <w:t xml:space="preserve">4.3.3 </w:t>
      </w:r>
      <w:r>
        <w:rPr>
          <w:rFonts w:hint="eastAsia" w:ascii="宋体" w:hAnsi="宋体" w:cs="宋体"/>
          <w:color w:val="auto"/>
          <w:highlight w:val="none"/>
        </w:rPr>
        <w:t>投标人撤回投标文件的，招标人自收到投标人书面撤回通知之日起5日内退还已收取的投标保证金。</w:t>
      </w:r>
    </w:p>
    <w:p>
      <w:pPr>
        <w:spacing w:line="360" w:lineRule="auto"/>
        <w:ind w:firstLine="420" w:firstLineChars="200"/>
        <w:rPr>
          <w:rFonts w:hint="eastAsia" w:ascii="宋体" w:hAnsi="宋体" w:cs="宋体"/>
          <w:highlight w:val="none"/>
        </w:rPr>
      </w:pPr>
      <w:r>
        <w:rPr>
          <w:rFonts w:hint="eastAsia" w:ascii="宋体" w:hAnsi="宋体" w:cs="宋体"/>
          <w:highlight w:val="none"/>
        </w:rPr>
        <w:t>4.3.4 修改的内容为投标文件的组成部分。修改的投标文件应按照本</w:t>
      </w:r>
      <w:r>
        <w:rPr>
          <w:rFonts w:hint="eastAsia" w:ascii="宋体" w:hAnsi="宋体" w:cs="宋体"/>
          <w:color w:val="auto"/>
          <w:highlight w:val="none"/>
        </w:rPr>
        <w:t>章第3条、第4条规定进</w:t>
      </w:r>
      <w:r>
        <w:rPr>
          <w:rFonts w:hint="eastAsia" w:ascii="宋体" w:hAnsi="宋体" w:cs="宋体"/>
          <w:highlight w:val="none"/>
        </w:rPr>
        <w:t>行编制、密封、标记和递交，并标明“修改”字样。</w:t>
      </w:r>
    </w:p>
    <w:p>
      <w:pPr>
        <w:spacing w:line="360" w:lineRule="auto"/>
        <w:ind w:firstLine="420" w:firstLineChars="200"/>
        <w:rPr>
          <w:rFonts w:hint="eastAsia" w:ascii="宋体" w:hAnsi="宋体" w:cs="宋体"/>
          <w:highlight w:val="none"/>
        </w:rPr>
      </w:pPr>
      <w:r>
        <w:rPr>
          <w:rFonts w:hint="eastAsia" w:ascii="宋体" w:hAnsi="宋体" w:cs="宋体"/>
          <w:highlight w:val="none"/>
        </w:rPr>
        <w:t>4.3.5 在投标截止时间之后，投标人不得补充、修改和更换投标文件。</w:t>
      </w:r>
    </w:p>
    <w:p>
      <w:pPr>
        <w:spacing w:line="360" w:lineRule="auto"/>
        <w:ind w:firstLine="420" w:firstLineChars="200"/>
        <w:rPr>
          <w:highlight w:val="none"/>
        </w:rPr>
      </w:pPr>
      <w:r>
        <w:rPr>
          <w:rFonts w:hint="eastAsia" w:ascii="宋体" w:hAnsi="宋体" w:cs="宋体"/>
          <w:highlight w:val="none"/>
        </w:rPr>
        <w:t>4.3.6 在投标截止后，投标人在投标文件格式中规定的有效期终止日前，投标人不能撤回投标文件，</w:t>
      </w:r>
      <w:r>
        <w:rPr>
          <w:rFonts w:hint="eastAsia" w:ascii="宋体" w:hAnsi="宋体" w:cs="宋体"/>
          <w:color w:val="auto"/>
          <w:highlight w:val="none"/>
        </w:rPr>
        <w:t>否则其投标担保将被没收，且招标人</w:t>
      </w:r>
      <w:r>
        <w:rPr>
          <w:rFonts w:hint="eastAsia" w:ascii="宋体" w:hAnsi="宋体" w:cs="宋体"/>
          <w:highlight w:val="none"/>
        </w:rPr>
        <w:t>有权就其撤回行为报告政府主管部门载入不良信用记录。</w:t>
      </w:r>
    </w:p>
    <w:p>
      <w:pPr>
        <w:pStyle w:val="5"/>
        <w:spacing w:before="0" w:after="0" w:line="360" w:lineRule="auto"/>
        <w:ind w:firstLine="562" w:firstLineChars="200"/>
        <w:rPr>
          <w:rFonts w:ascii="Times New Roman" w:hAnsi="Times New Roman" w:cs="Times New Roman"/>
          <w:b/>
          <w:bCs w:val="0"/>
          <w:highlight w:val="none"/>
        </w:rPr>
      </w:pPr>
      <w:bookmarkStart w:id="493" w:name="_Toc20912"/>
      <w:bookmarkStart w:id="494" w:name="_Toc29122"/>
      <w:bookmarkStart w:id="495" w:name="_Toc17327"/>
      <w:bookmarkStart w:id="496" w:name="_Toc9659"/>
      <w:bookmarkStart w:id="497" w:name="_Toc12021"/>
      <w:bookmarkStart w:id="498" w:name="_Toc247527584"/>
      <w:bookmarkStart w:id="499" w:name="_Toc300834980"/>
      <w:bookmarkStart w:id="500" w:name="_Toc7044"/>
      <w:bookmarkStart w:id="501" w:name="_Toc19988"/>
      <w:bookmarkStart w:id="502" w:name="_Toc21324"/>
      <w:bookmarkStart w:id="503" w:name="_Toc4859"/>
      <w:bookmarkStart w:id="504" w:name="_Toc19353"/>
      <w:bookmarkStart w:id="505" w:name="_Toc494371543"/>
      <w:bookmarkStart w:id="506" w:name="_Toc152045559"/>
      <w:bookmarkStart w:id="507" w:name="_Toc247513983"/>
      <w:bookmarkStart w:id="508" w:name="_Toc152042335"/>
      <w:bookmarkStart w:id="509" w:name="_Toc144974527"/>
      <w:bookmarkStart w:id="510" w:name="_Toc21626"/>
      <w:bookmarkStart w:id="511" w:name="_Toc4190"/>
      <w:r>
        <w:rPr>
          <w:rFonts w:ascii="Times New Roman" w:hAnsi="Times New Roman" w:cs="Times New Roman"/>
          <w:b/>
          <w:bCs w:val="0"/>
          <w:highlight w:val="none"/>
        </w:rPr>
        <w:t xml:space="preserve">5. </w:t>
      </w:r>
      <w:r>
        <w:rPr>
          <w:rFonts w:hint="default" w:ascii="Times New Roman" w:hAnsi="Times New Roman" w:cs="Times New Roman"/>
          <w:b/>
          <w:bCs w:val="0"/>
          <w:highlight w:val="none"/>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pStyle w:val="5"/>
        <w:spacing w:before="0" w:after="0" w:line="360" w:lineRule="auto"/>
        <w:ind w:firstLine="560" w:firstLineChars="200"/>
        <w:rPr>
          <w:rFonts w:ascii="Times New Roman" w:hAnsi="Times New Roman"/>
          <w:highlight w:val="none"/>
        </w:rPr>
      </w:pPr>
      <w:bookmarkStart w:id="512" w:name="_Toc22910"/>
      <w:bookmarkStart w:id="513" w:name="_Toc25808"/>
      <w:bookmarkStart w:id="514" w:name="_Toc11445"/>
      <w:bookmarkStart w:id="515" w:name="_Toc25302"/>
      <w:bookmarkStart w:id="516" w:name="_Toc795"/>
      <w:bookmarkStart w:id="517" w:name="_Toc27776"/>
      <w:bookmarkStart w:id="518" w:name="_Toc25002"/>
      <w:bookmarkStart w:id="519" w:name="_Toc144974528"/>
      <w:bookmarkStart w:id="520" w:name="_Toc494371544"/>
      <w:bookmarkStart w:id="521" w:name="_Toc152045560"/>
      <w:bookmarkStart w:id="522" w:name="_Toc300834981"/>
      <w:bookmarkStart w:id="523" w:name="_Toc247513984"/>
      <w:bookmarkStart w:id="524" w:name="_Toc21178"/>
      <w:bookmarkStart w:id="525" w:name="_Toc152042336"/>
      <w:bookmarkStart w:id="526" w:name="_Toc247527585"/>
      <w:bookmarkStart w:id="527" w:name="_Toc11407"/>
      <w:bookmarkStart w:id="528" w:name="_Toc23891"/>
      <w:r>
        <w:rPr>
          <w:rFonts w:ascii="Times New Roman" w:hAnsi="Times New Roman"/>
          <w:highlight w:val="none"/>
        </w:rPr>
        <w:t>5.1 开标时间和地点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360" w:lineRule="auto"/>
        <w:ind w:firstLine="420" w:firstLineChars="200"/>
        <w:rPr>
          <w:rFonts w:hint="eastAsia" w:ascii="宋体" w:hAnsi="宋体" w:cs="宋体"/>
          <w:highlight w:val="none"/>
        </w:rPr>
      </w:pPr>
      <w:r>
        <w:rPr>
          <w:rFonts w:hint="eastAsia" w:ascii="宋体" w:hAnsi="宋体" w:cs="宋体"/>
          <w:highlight w:val="none"/>
        </w:rPr>
        <w:t>招标人在规定的投标截止时间（开标时间）和投标人须知前附表规定的地点公开开标，并邀请所有投标人的法定代表人或其委托代理人准时参加。</w:t>
      </w:r>
    </w:p>
    <w:p>
      <w:pPr>
        <w:pStyle w:val="5"/>
        <w:spacing w:before="0" w:after="0" w:line="360" w:lineRule="auto"/>
        <w:ind w:firstLine="560" w:firstLineChars="200"/>
        <w:rPr>
          <w:rFonts w:ascii="Times New Roman" w:hAnsi="Times New Roman"/>
          <w:highlight w:val="none"/>
        </w:rPr>
      </w:pPr>
      <w:bookmarkStart w:id="529" w:name="_Toc144974529"/>
      <w:bookmarkStart w:id="530" w:name="_Toc22540"/>
      <w:bookmarkStart w:id="531" w:name="_Toc3986"/>
      <w:bookmarkStart w:id="532" w:name="_Toc3230"/>
      <w:bookmarkStart w:id="533" w:name="_Toc247527586"/>
      <w:bookmarkStart w:id="534" w:name="_Toc25227"/>
      <w:bookmarkStart w:id="535" w:name="_Toc25280"/>
      <w:bookmarkStart w:id="536" w:name="_Toc247513985"/>
      <w:bookmarkStart w:id="537" w:name="_Toc300834982"/>
      <w:bookmarkStart w:id="538" w:name="_Toc152045561"/>
      <w:bookmarkStart w:id="539" w:name="_Toc152042337"/>
      <w:bookmarkStart w:id="540" w:name="_Toc15353"/>
      <w:bookmarkStart w:id="541" w:name="_Toc494371545"/>
      <w:bookmarkStart w:id="542" w:name="_Toc22493"/>
      <w:bookmarkStart w:id="543" w:name="_Toc19222"/>
      <w:bookmarkStart w:id="544" w:name="_Toc22461"/>
      <w:bookmarkStart w:id="545" w:name="_Toc2530"/>
      <w:r>
        <w:rPr>
          <w:rFonts w:ascii="Times New Roman" w:hAnsi="Times New Roman"/>
          <w:highlight w:val="none"/>
        </w:rPr>
        <w:t>5.2 开标程序</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5.2.1 招标人按投标须知前附表所规定的时间和地点公开开标，并邀请所有投标人参加。截标后，开标开始时间因故推迟的，以实际开标时间为准。</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5.2.2 开标时，出现下列情形之一的，不参与开标及后续评审工作：</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5.2.2.1 未按招标文件要求提供投标担保的；</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5.2.3 开标由招标人主持。</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5.2.4由投标人或其推选的代表检查投标文件的包封、标记和密封情况。</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5.2.5开标细则</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（1）资格审查文件、工程实施方案（含资信部分）文件评审、投标报价文件同时公开开标；</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（2）经确认无误后，由招标人当众拆封各投标人递交的资格审查文件、工程实施方案（含资信部分）文件评审、投标报价文件。开标时宣读下列内容，并予以记录，开标记录提交评标委员会评审：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开标时，宣读</w:t>
      </w:r>
      <w:r>
        <w:rPr>
          <w:rFonts w:ascii="宋体" w:hAnsi="宋体"/>
          <w:color w:val="auto"/>
          <w:szCs w:val="21"/>
          <w:highlight w:val="none"/>
        </w:rPr>
        <w:t>a、投标人名称；b、标书密封情况；c、有无法定代表人证明书及授权委托证明书；d、</w:t>
      </w:r>
      <w:r>
        <w:rPr>
          <w:rFonts w:hint="eastAsia" w:ascii="宋体" w:hAnsi="宋体"/>
          <w:color w:val="auto"/>
          <w:szCs w:val="21"/>
          <w:highlight w:val="none"/>
        </w:rPr>
        <w:t>投标保证金</w:t>
      </w:r>
      <w:r>
        <w:rPr>
          <w:rFonts w:ascii="宋体" w:hAnsi="宋体"/>
          <w:color w:val="auto"/>
          <w:szCs w:val="21"/>
          <w:highlight w:val="none"/>
        </w:rPr>
        <w:t>递交情况；e、工期；f、质量标准；g、</w:t>
      </w:r>
      <w:r>
        <w:rPr>
          <w:rFonts w:hint="eastAsia" w:ascii="宋体" w:hAnsi="宋体"/>
          <w:color w:val="auto"/>
          <w:szCs w:val="21"/>
          <w:highlight w:val="none"/>
        </w:rPr>
        <w:t>施工</w:t>
      </w:r>
      <w:r>
        <w:rPr>
          <w:rFonts w:ascii="宋体" w:hAnsi="宋体"/>
          <w:color w:val="auto"/>
          <w:szCs w:val="21"/>
          <w:highlight w:val="none"/>
        </w:rPr>
        <w:t>负责人；h、投标总报价</w:t>
      </w:r>
      <w:r>
        <w:rPr>
          <w:rFonts w:hint="eastAsia" w:ascii="宋体" w:hAnsi="宋体" w:cs="宋体"/>
          <w:szCs w:val="24"/>
          <w:highlight w:val="none"/>
        </w:rPr>
        <w:t>等主要内容以及开标记录表中的其他必要内容。招标人对开标过程进行记录，并存档备查。</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（3）资格审查文件评审；编制资格审查报告。</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（4）工程总承包实施方案（含资信部分）文件评审；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（5）投标报价文件评审；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（6）</w:t>
      </w:r>
      <w:r>
        <w:rPr>
          <w:rFonts w:hint="eastAsia" w:ascii="宋体" w:hAnsi="宋体" w:cs="宋体"/>
          <w:highlight w:val="none"/>
        </w:rPr>
        <w:t>评委</w:t>
      </w:r>
      <w:r>
        <w:rPr>
          <w:rFonts w:hint="eastAsia" w:ascii="宋体" w:hAnsi="宋体" w:cs="宋体"/>
          <w:szCs w:val="24"/>
          <w:highlight w:val="none"/>
        </w:rPr>
        <w:t>汇总工程实施方案（含资信部分）文件与投标报价文件文件得分，并按照总分从高到低排序；</w:t>
      </w:r>
    </w:p>
    <w:p>
      <w:pPr>
        <w:spacing w:line="360" w:lineRule="auto"/>
        <w:ind w:firstLine="420" w:firstLineChars="200"/>
        <w:rPr>
          <w:rFonts w:hint="eastAsia" w:ascii="宋体" w:hAnsi="宋体" w:cs="宋体"/>
          <w:highlight w:val="none"/>
        </w:rPr>
      </w:pPr>
      <w:r>
        <w:rPr>
          <w:rFonts w:hint="eastAsia" w:ascii="宋体" w:hAnsi="宋体" w:cs="宋体"/>
          <w:szCs w:val="24"/>
          <w:highlight w:val="none"/>
        </w:rPr>
        <w:t>（8）评标委员会向业主推荐中标候选人，编写评标报告。</w:t>
      </w:r>
    </w:p>
    <w:p>
      <w:pPr>
        <w:pStyle w:val="5"/>
        <w:spacing w:before="0" w:after="0" w:line="360" w:lineRule="auto"/>
        <w:ind w:firstLine="560" w:firstLineChars="200"/>
        <w:rPr>
          <w:rFonts w:ascii="Times New Roman" w:hAnsi="Times New Roman"/>
          <w:highlight w:val="none"/>
        </w:rPr>
      </w:pPr>
      <w:bookmarkStart w:id="546" w:name="_Toc3531"/>
      <w:bookmarkStart w:id="547" w:name="_Toc12520"/>
      <w:bookmarkStart w:id="548" w:name="_Toc24887"/>
      <w:bookmarkStart w:id="549" w:name="_Toc7458"/>
      <w:bookmarkStart w:id="550" w:name="_Toc494371546"/>
      <w:bookmarkStart w:id="551" w:name="_Toc300834983"/>
      <w:bookmarkStart w:id="552" w:name="_Toc5505"/>
      <w:bookmarkStart w:id="553" w:name="_Toc29859"/>
      <w:bookmarkStart w:id="554" w:name="_Toc16449"/>
      <w:bookmarkStart w:id="555" w:name="_Toc10688"/>
      <w:bookmarkStart w:id="556" w:name="_Toc25032"/>
      <w:bookmarkStart w:id="557" w:name="_Toc20975"/>
      <w:r>
        <w:rPr>
          <w:rFonts w:ascii="Times New Roman" w:hAnsi="Times New Roman"/>
          <w:highlight w:val="none"/>
        </w:rPr>
        <w:t>5.3 开标异议</w:t>
      </w:r>
      <w:bookmarkEnd w:id="546"/>
      <w:bookmarkEnd w:id="547"/>
      <w:bookmarkEnd w:id="548"/>
      <w:bookmarkEnd w:id="549"/>
      <w:bookmarkEnd w:id="550"/>
      <w:bookmarkEnd w:id="551"/>
      <w:bookmarkEnd w:id="552"/>
      <w:bookmarkEnd w:id="553"/>
      <w:bookmarkEnd w:id="554"/>
      <w:bookmarkEnd w:id="555"/>
      <w:bookmarkEnd w:id="556"/>
      <w:bookmarkEnd w:id="557"/>
    </w:p>
    <w:p>
      <w:pPr>
        <w:spacing w:line="360" w:lineRule="auto"/>
        <w:ind w:firstLine="420" w:firstLineChars="200"/>
        <w:rPr>
          <w:rFonts w:hint="eastAsia" w:ascii="宋体" w:hAnsi="宋体" w:cs="宋体"/>
          <w:highlight w:val="none"/>
        </w:rPr>
      </w:pPr>
      <w:r>
        <w:rPr>
          <w:rFonts w:hint="eastAsia" w:ascii="宋体" w:hAnsi="宋体" w:cs="宋体"/>
          <w:highlight w:val="none"/>
        </w:rPr>
        <w:t>投标人对开标有异议的，应当在开标现场提出，招标人当场作出答复，并制作记录。</w:t>
      </w:r>
    </w:p>
    <w:p>
      <w:pPr>
        <w:pStyle w:val="5"/>
        <w:spacing w:before="0" w:after="0" w:line="360" w:lineRule="auto"/>
        <w:ind w:firstLine="562" w:firstLineChars="200"/>
        <w:rPr>
          <w:rFonts w:ascii="Times New Roman" w:hAnsi="Times New Roman" w:cs="Times New Roman"/>
          <w:b/>
          <w:bCs w:val="0"/>
          <w:highlight w:val="none"/>
        </w:rPr>
      </w:pPr>
      <w:bookmarkStart w:id="558" w:name="_Toc152042338"/>
      <w:bookmarkStart w:id="559" w:name="_Toc837"/>
      <w:bookmarkStart w:id="560" w:name="_Toc300834984"/>
      <w:bookmarkStart w:id="561" w:name="_Toc247513986"/>
      <w:bookmarkStart w:id="562" w:name="_Toc494371547"/>
      <w:bookmarkStart w:id="563" w:name="_Toc26333"/>
      <w:bookmarkStart w:id="564" w:name="_Toc3149"/>
      <w:bookmarkStart w:id="565" w:name="_Toc32048"/>
      <w:bookmarkStart w:id="566" w:name="_Toc28414"/>
      <w:bookmarkStart w:id="567" w:name="_Toc15084"/>
      <w:bookmarkStart w:id="568" w:name="_Toc247527587"/>
      <w:bookmarkStart w:id="569" w:name="_Toc12313"/>
      <w:bookmarkStart w:id="570" w:name="_Toc27705"/>
      <w:bookmarkStart w:id="571" w:name="_Toc109"/>
      <w:bookmarkStart w:id="572" w:name="_Toc152045562"/>
      <w:bookmarkStart w:id="573" w:name="_Toc198"/>
      <w:bookmarkStart w:id="574" w:name="_Toc15719"/>
      <w:bookmarkStart w:id="575" w:name="_Toc144974530"/>
      <w:bookmarkStart w:id="576" w:name="_Toc30683"/>
      <w:r>
        <w:rPr>
          <w:rFonts w:ascii="Times New Roman" w:hAnsi="Times New Roman" w:cs="Times New Roman"/>
          <w:b/>
          <w:bCs w:val="0"/>
          <w:highlight w:val="none"/>
        </w:rPr>
        <w:t xml:space="preserve">6. </w:t>
      </w:r>
      <w:r>
        <w:rPr>
          <w:rFonts w:hint="default" w:ascii="Times New Roman" w:hAnsi="Times New Roman" w:cs="Times New Roman"/>
          <w:b/>
          <w:bCs w:val="0"/>
          <w:highlight w:val="none"/>
        </w:rPr>
        <w:t>评标</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5"/>
        <w:spacing w:before="0" w:after="0" w:line="360" w:lineRule="auto"/>
        <w:ind w:firstLine="560" w:firstLineChars="200"/>
        <w:rPr>
          <w:rFonts w:ascii="Times New Roman" w:hAnsi="Times New Roman"/>
          <w:highlight w:val="none"/>
        </w:rPr>
      </w:pPr>
      <w:bookmarkStart w:id="577" w:name="_Toc8891"/>
      <w:bookmarkStart w:id="578" w:name="_Toc152042339"/>
      <w:bookmarkStart w:id="579" w:name="_Toc15741"/>
      <w:bookmarkStart w:id="580" w:name="_Toc3086"/>
      <w:bookmarkStart w:id="581" w:name="_Toc300834985"/>
      <w:bookmarkStart w:id="582" w:name="_Toc29481"/>
      <w:bookmarkStart w:id="583" w:name="_Toc247513987"/>
      <w:bookmarkStart w:id="584" w:name="_Toc2807"/>
      <w:bookmarkStart w:id="585" w:name="_Toc7043"/>
      <w:bookmarkStart w:id="586" w:name="_Toc247527588"/>
      <w:bookmarkStart w:id="587" w:name="_Toc152045563"/>
      <w:bookmarkStart w:id="588" w:name="_Toc144974531"/>
      <w:bookmarkStart w:id="589" w:name="_Toc32379"/>
      <w:bookmarkStart w:id="590" w:name="_Toc16291"/>
      <w:bookmarkStart w:id="591" w:name="_Toc18724"/>
      <w:bookmarkStart w:id="592" w:name="_Toc13286"/>
      <w:bookmarkStart w:id="593" w:name="_Toc494371548"/>
      <w:r>
        <w:rPr>
          <w:rFonts w:ascii="Times New Roman" w:hAnsi="Times New Roman"/>
          <w:highlight w:val="none"/>
        </w:rPr>
        <w:t>6.1 评标委员会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spacing w:line="360" w:lineRule="auto"/>
        <w:ind w:firstLine="420" w:firstLineChars="200"/>
        <w:rPr>
          <w:highlight w:val="none"/>
        </w:rPr>
      </w:pPr>
      <w:r>
        <w:rPr>
          <w:highlight w:val="none"/>
        </w:rPr>
        <w:t xml:space="preserve">6.1.1 </w:t>
      </w:r>
      <w:r>
        <w:rPr>
          <w:rFonts w:hint="eastAsia"/>
          <w:highlight w:val="none"/>
        </w:rPr>
        <w:t>评标由招标人依法组建的评标委员会负责，</w:t>
      </w:r>
      <w:r>
        <w:rPr>
          <w:rFonts w:hint="eastAsia"/>
          <w:color w:val="auto"/>
          <w:highlight w:val="none"/>
        </w:rPr>
        <w:t>成员人数为五人或以上单数</w:t>
      </w:r>
      <w:r>
        <w:rPr>
          <w:rFonts w:hint="eastAsia"/>
          <w:highlight w:val="none"/>
        </w:rPr>
        <w:t>。招标人参加或派代表</w:t>
      </w:r>
      <w:r>
        <w:rPr>
          <w:rFonts w:hint="eastAsia" w:ascii="宋体" w:hAnsi="宋体" w:cs="宋体"/>
          <w:highlight w:val="none"/>
        </w:rPr>
        <w:t>参加评标委员会的，人数原则上以一人为限，评标过程中不得以任何方式影响其他评标专家独立评标。</w:t>
      </w:r>
    </w:p>
    <w:p>
      <w:pPr>
        <w:pStyle w:val="5"/>
        <w:spacing w:before="0" w:after="0" w:line="360" w:lineRule="auto"/>
        <w:ind w:firstLine="560" w:firstLineChars="200"/>
        <w:rPr>
          <w:rFonts w:ascii="Times New Roman" w:hAnsi="Times New Roman"/>
          <w:highlight w:val="none"/>
        </w:rPr>
      </w:pPr>
      <w:bookmarkStart w:id="594" w:name="_Toc1462"/>
      <w:bookmarkStart w:id="595" w:name="_Toc12970"/>
      <w:bookmarkStart w:id="596" w:name="_Toc300834986"/>
      <w:bookmarkStart w:id="597" w:name="_Toc247513988"/>
      <w:bookmarkStart w:id="598" w:name="_Toc14458"/>
      <w:bookmarkStart w:id="599" w:name="_Toc144974532"/>
      <w:bookmarkStart w:id="600" w:name="_Toc26316"/>
      <w:bookmarkStart w:id="601" w:name="_Toc30692"/>
      <w:bookmarkStart w:id="602" w:name="_Toc6886"/>
      <w:bookmarkStart w:id="603" w:name="_Toc19365"/>
      <w:bookmarkStart w:id="604" w:name="_Toc19377"/>
      <w:bookmarkStart w:id="605" w:name="_Toc247527589"/>
      <w:bookmarkStart w:id="606" w:name="_Toc6335"/>
      <w:bookmarkStart w:id="607" w:name="_Toc152045564"/>
      <w:bookmarkStart w:id="608" w:name="_Toc494371549"/>
      <w:bookmarkStart w:id="609" w:name="_Toc18883"/>
      <w:bookmarkStart w:id="610" w:name="_Toc152042340"/>
      <w:r>
        <w:rPr>
          <w:rFonts w:ascii="Times New Roman" w:hAnsi="Times New Roman"/>
          <w:highlight w:val="none"/>
        </w:rPr>
        <w:t>6.2 评标原则</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spacing w:line="360" w:lineRule="auto"/>
        <w:ind w:firstLine="420" w:firstLineChars="200"/>
        <w:rPr>
          <w:rFonts w:hint="eastAsia" w:ascii="宋体" w:hAnsi="宋体" w:cs="宋体"/>
          <w:highlight w:val="none"/>
        </w:rPr>
      </w:pPr>
      <w:r>
        <w:rPr>
          <w:rFonts w:hint="eastAsia" w:ascii="宋体" w:hAnsi="宋体" w:cs="宋体"/>
          <w:highlight w:val="none"/>
        </w:rPr>
        <w:t>评标活动遵循公平、公正、科学和择优的原则。</w:t>
      </w:r>
    </w:p>
    <w:p>
      <w:pPr>
        <w:pStyle w:val="5"/>
        <w:spacing w:before="0" w:after="0" w:line="360" w:lineRule="auto"/>
        <w:ind w:firstLine="560" w:firstLineChars="200"/>
        <w:rPr>
          <w:rFonts w:ascii="Times New Roman" w:hAnsi="Times New Roman"/>
          <w:highlight w:val="none"/>
        </w:rPr>
      </w:pPr>
      <w:bookmarkStart w:id="611" w:name="_Toc300834987"/>
      <w:bookmarkStart w:id="612" w:name="_Toc25394"/>
      <w:bookmarkStart w:id="613" w:name="_Toc247527590"/>
      <w:bookmarkStart w:id="614" w:name="_Toc152045565"/>
      <w:bookmarkStart w:id="615" w:name="_Toc17295"/>
      <w:bookmarkStart w:id="616" w:name="_Toc30595"/>
      <w:bookmarkStart w:id="617" w:name="_Toc25099"/>
      <w:bookmarkStart w:id="618" w:name="_Toc8724"/>
      <w:bookmarkStart w:id="619" w:name="_Toc247513989"/>
      <w:bookmarkStart w:id="620" w:name="_Toc11669"/>
      <w:bookmarkStart w:id="621" w:name="_Toc494371550"/>
      <w:bookmarkStart w:id="622" w:name="_Toc18237"/>
      <w:bookmarkStart w:id="623" w:name="_Toc144974533"/>
      <w:bookmarkStart w:id="624" w:name="_Toc152042341"/>
      <w:bookmarkStart w:id="625" w:name="_Toc16889"/>
      <w:bookmarkStart w:id="626" w:name="_Toc10168"/>
      <w:bookmarkStart w:id="627" w:name="_Toc28220"/>
      <w:r>
        <w:rPr>
          <w:rFonts w:ascii="Times New Roman" w:hAnsi="Times New Roman"/>
          <w:highlight w:val="none"/>
        </w:rPr>
        <w:t>6.3 评标</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spacing w:line="360" w:lineRule="auto"/>
        <w:ind w:firstLine="420" w:firstLineChars="200"/>
        <w:rPr>
          <w:rFonts w:hint="eastAsia" w:ascii="宋体" w:hAnsi="宋体" w:cs="宋体"/>
          <w:highlight w:val="none"/>
        </w:rPr>
      </w:pPr>
      <w:r>
        <w:rPr>
          <w:rFonts w:hint="eastAsia" w:ascii="宋体" w:hAnsi="宋体" w:cs="宋体"/>
          <w:highlight w:val="none"/>
        </w:rPr>
        <w:t>评标委员会按照第三章“评标办法”规定的方法、评审因素、标准和程序对投标文件进行评审。第三章“评标办法”没有规定的方法、评审因素和标准，不作为评标依据。</w:t>
      </w:r>
    </w:p>
    <w:p>
      <w:pPr>
        <w:pStyle w:val="5"/>
        <w:spacing w:before="0" w:after="0" w:line="360" w:lineRule="auto"/>
        <w:ind w:firstLine="562" w:firstLineChars="200"/>
        <w:rPr>
          <w:rFonts w:ascii="Times New Roman" w:hAnsi="Times New Roman" w:cs="Times New Roman"/>
          <w:b/>
          <w:bCs w:val="0"/>
          <w:highlight w:val="none"/>
        </w:rPr>
      </w:pPr>
      <w:bookmarkStart w:id="628" w:name="_Toc247513990"/>
      <w:bookmarkStart w:id="629" w:name="_Toc6130"/>
      <w:bookmarkStart w:id="630" w:name="_Toc22306"/>
      <w:bookmarkStart w:id="631" w:name="_Toc23086"/>
      <w:bookmarkStart w:id="632" w:name="_Toc24255"/>
      <w:bookmarkStart w:id="633" w:name="_Toc144974534"/>
      <w:bookmarkStart w:id="634" w:name="_Toc300834988"/>
      <w:bookmarkStart w:id="635" w:name="_Toc494371551"/>
      <w:bookmarkStart w:id="636" w:name="_Toc22878"/>
      <w:bookmarkStart w:id="637" w:name="_Toc24084"/>
      <w:bookmarkStart w:id="638" w:name="_Toc152042342"/>
      <w:bookmarkStart w:id="639" w:name="_Toc30273"/>
      <w:bookmarkStart w:id="640" w:name="_Toc5557"/>
      <w:bookmarkStart w:id="641" w:name="_Toc5422"/>
      <w:bookmarkStart w:id="642" w:name="_Toc247527591"/>
      <w:bookmarkStart w:id="643" w:name="_Toc17020"/>
      <w:bookmarkStart w:id="644" w:name="_Toc152045566"/>
      <w:bookmarkStart w:id="645" w:name="_Toc12877"/>
      <w:bookmarkStart w:id="646" w:name="_Toc26245"/>
      <w:r>
        <w:rPr>
          <w:rFonts w:ascii="Times New Roman" w:hAnsi="Times New Roman" w:cs="Times New Roman"/>
          <w:b/>
          <w:bCs w:val="0"/>
          <w:highlight w:val="none"/>
        </w:rPr>
        <w:t xml:space="preserve">7. </w:t>
      </w:r>
      <w:r>
        <w:rPr>
          <w:rFonts w:hint="default" w:ascii="Times New Roman" w:hAnsi="Times New Roman" w:cs="Times New Roman"/>
          <w:b/>
          <w:bCs w:val="0"/>
          <w:highlight w:val="none"/>
        </w:rPr>
        <w:t>合同授予</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5"/>
        <w:spacing w:before="0" w:after="0" w:line="360" w:lineRule="auto"/>
        <w:ind w:firstLine="560" w:firstLineChars="200"/>
        <w:rPr>
          <w:rFonts w:ascii="Times New Roman" w:hAnsi="Times New Roman"/>
          <w:highlight w:val="none"/>
        </w:rPr>
      </w:pPr>
      <w:bookmarkStart w:id="647" w:name="_Toc144974535"/>
      <w:bookmarkStart w:id="648" w:name="_Toc10016"/>
      <w:bookmarkStart w:id="649" w:name="_Toc28811"/>
      <w:bookmarkStart w:id="650" w:name="_Toc247513991"/>
      <w:bookmarkStart w:id="651" w:name="_Toc6661"/>
      <w:bookmarkStart w:id="652" w:name="_Toc25537"/>
      <w:bookmarkStart w:id="653" w:name="_Toc247527592"/>
      <w:bookmarkStart w:id="654" w:name="_Toc7596"/>
      <w:bookmarkStart w:id="655" w:name="_Toc494371552"/>
      <w:bookmarkStart w:id="656" w:name="_Toc28912"/>
      <w:bookmarkStart w:id="657" w:name="_Toc2434"/>
      <w:bookmarkStart w:id="658" w:name="_Toc620"/>
      <w:bookmarkStart w:id="659" w:name="_Toc300834989"/>
      <w:bookmarkStart w:id="660" w:name="_Toc152045567"/>
      <w:bookmarkStart w:id="661" w:name="_Toc29318"/>
      <w:bookmarkStart w:id="662" w:name="_Toc152042343"/>
      <w:bookmarkStart w:id="663" w:name="_Toc28741"/>
      <w:r>
        <w:rPr>
          <w:rFonts w:ascii="Times New Roman" w:hAnsi="Times New Roman"/>
          <w:highlight w:val="none"/>
        </w:rPr>
        <w:t>7.1 定标方式</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spacing w:line="360" w:lineRule="auto"/>
        <w:ind w:firstLine="420" w:firstLineChars="200"/>
        <w:rPr>
          <w:rFonts w:hint="eastAsia" w:ascii="宋体" w:hAnsi="宋体" w:cs="宋体"/>
          <w:color w:val="auto"/>
          <w:highlight w:val="none"/>
        </w:rPr>
      </w:pPr>
      <w:r>
        <w:rPr>
          <w:rFonts w:hint="eastAsia" w:ascii="宋体" w:hAnsi="宋体" w:cs="宋体"/>
          <w:highlight w:val="none"/>
        </w:rPr>
        <w:t>7.1.1</w:t>
      </w:r>
      <w:r>
        <w:rPr>
          <w:rFonts w:hint="eastAsia" w:ascii="宋体" w:hAnsi="宋体" w:cs="宋体"/>
          <w:color w:val="auto"/>
          <w:highlight w:val="none"/>
        </w:rPr>
        <w:t>评标委员会</w:t>
      </w:r>
      <w:r>
        <w:rPr>
          <w:rFonts w:hint="eastAsia" w:ascii="宋体" w:hAnsi="宋体" w:eastAsia="宋体" w:cs="宋体"/>
          <w:color w:val="auto"/>
          <w:sz w:val="21"/>
          <w:highlight w:val="none"/>
        </w:rPr>
        <w:t>依据投标须知前附表</w:t>
      </w:r>
      <w:r>
        <w:rPr>
          <w:rFonts w:hint="eastAsia" w:ascii="宋体" w:hAnsi="宋体" w:eastAsia="宋体" w:cs="宋体"/>
          <w:color w:val="auto"/>
          <w:sz w:val="21"/>
          <w:highlight w:val="none"/>
          <w:lang w:val="en-US" w:eastAsia="zh-CN"/>
        </w:rPr>
        <w:t>评标方法</w:t>
      </w:r>
      <w:r>
        <w:rPr>
          <w:rFonts w:hint="eastAsia" w:ascii="宋体" w:hAnsi="宋体" w:eastAsia="宋体" w:cs="宋体"/>
          <w:color w:val="auto"/>
          <w:sz w:val="21"/>
          <w:highlight w:val="none"/>
        </w:rPr>
        <w:t>规定对投标文件进行评审和比较，向招标人提出书面评标报告，并推荐经评审</w:t>
      </w:r>
      <w:r>
        <w:rPr>
          <w:rFonts w:hint="eastAsia" w:ascii="宋体" w:hAnsi="宋体" w:eastAsia="宋体" w:cs="宋体"/>
          <w:color w:val="auto"/>
          <w:sz w:val="21"/>
          <w:highlight w:val="none"/>
          <w:lang w:eastAsia="zh-CN"/>
        </w:rPr>
        <w:t>综合得分</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高</w:t>
      </w:r>
      <w:r>
        <w:rPr>
          <w:rFonts w:hint="eastAsia" w:ascii="宋体" w:hAnsi="宋体" w:eastAsia="宋体" w:cs="宋体"/>
          <w:color w:val="auto"/>
          <w:sz w:val="21"/>
          <w:highlight w:val="none"/>
        </w:rPr>
        <w:t>至</w:t>
      </w:r>
      <w:r>
        <w:rPr>
          <w:rFonts w:hint="eastAsia" w:ascii="宋体" w:hAnsi="宋体" w:eastAsia="宋体" w:cs="宋体"/>
          <w:color w:val="auto"/>
          <w:sz w:val="21"/>
          <w:highlight w:val="none"/>
          <w:lang w:eastAsia="zh-CN"/>
        </w:rPr>
        <w:t>低</w:t>
      </w:r>
      <w:r>
        <w:rPr>
          <w:rFonts w:hint="eastAsia" w:ascii="宋体" w:hAnsi="宋体" w:eastAsia="宋体" w:cs="宋体"/>
          <w:color w:val="auto"/>
          <w:sz w:val="21"/>
          <w:highlight w:val="none"/>
        </w:rPr>
        <w:t>排序的前一～三名为第一、第二和第三中标候选人。招标人根据</w:t>
      </w:r>
      <w:r>
        <w:rPr>
          <w:rFonts w:hint="eastAsia" w:ascii="宋体" w:hAnsi="宋体" w:eastAsia="宋体" w:cs="宋体"/>
          <w:color w:val="auto"/>
          <w:sz w:val="21"/>
          <w:highlight w:val="none"/>
          <w:lang w:eastAsia="zh-CN"/>
        </w:rPr>
        <w:t>评标小组</w:t>
      </w:r>
      <w:r>
        <w:rPr>
          <w:rFonts w:hint="eastAsia" w:ascii="宋体" w:hAnsi="宋体" w:eastAsia="宋体" w:cs="宋体"/>
          <w:color w:val="auto"/>
          <w:sz w:val="21"/>
          <w:highlight w:val="none"/>
        </w:rPr>
        <w:t>提出的书面评标报告和推荐的中标候选人中，按排序依法确定中标人。</w:t>
      </w:r>
    </w:p>
    <w:p>
      <w:pPr>
        <w:spacing w:line="360" w:lineRule="auto"/>
        <w:ind w:firstLine="420" w:firstLineChars="200"/>
        <w:rPr>
          <w:rFonts w:hint="eastAsia" w:ascii="宋体" w:hAnsi="宋体" w:cs="宋体"/>
          <w:highlight w:val="none"/>
        </w:rPr>
      </w:pPr>
      <w:r>
        <w:rPr>
          <w:rFonts w:hint="eastAsia" w:ascii="宋体" w:hAnsi="宋体" w:cs="宋体"/>
          <w:highlight w:val="none"/>
        </w:rPr>
        <w:t>7.1.2 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360" w:lineRule="auto"/>
        <w:ind w:firstLine="560" w:firstLineChars="200"/>
        <w:rPr>
          <w:rFonts w:ascii="Times New Roman" w:hAnsi="Times New Roman"/>
          <w:highlight w:val="none"/>
        </w:rPr>
      </w:pPr>
      <w:bookmarkStart w:id="664" w:name="_Toc31309"/>
      <w:bookmarkStart w:id="665" w:name="_Toc8069"/>
      <w:bookmarkStart w:id="666" w:name="_Toc21974"/>
      <w:bookmarkStart w:id="667" w:name="_Toc3190"/>
      <w:bookmarkStart w:id="668" w:name="_Toc16401"/>
      <w:bookmarkStart w:id="669" w:name="_Toc300834990"/>
      <w:bookmarkStart w:id="670" w:name="_Toc30311"/>
      <w:bookmarkStart w:id="671" w:name="_Toc10691"/>
      <w:bookmarkStart w:id="672" w:name="_Toc25164"/>
      <w:bookmarkStart w:id="673" w:name="_Toc9281"/>
      <w:bookmarkStart w:id="674" w:name="_Toc32142"/>
      <w:bookmarkStart w:id="675" w:name="_Toc494371553"/>
      <w:r>
        <w:rPr>
          <w:rFonts w:ascii="Times New Roman" w:hAnsi="Times New Roman"/>
          <w:highlight w:val="none"/>
        </w:rPr>
        <w:t>7.2 中标候选人公示</w:t>
      </w:r>
      <w:bookmarkEnd w:id="664"/>
      <w:bookmarkEnd w:id="665"/>
      <w:bookmarkEnd w:id="666"/>
      <w:bookmarkEnd w:id="667"/>
      <w:bookmarkEnd w:id="668"/>
      <w:bookmarkEnd w:id="669"/>
      <w:bookmarkEnd w:id="670"/>
      <w:bookmarkEnd w:id="671"/>
      <w:bookmarkEnd w:id="672"/>
      <w:bookmarkEnd w:id="673"/>
      <w:bookmarkEnd w:id="674"/>
      <w:bookmarkEnd w:id="675"/>
    </w:p>
    <w:p>
      <w:pPr>
        <w:spacing w:line="360" w:lineRule="auto"/>
        <w:ind w:firstLine="420" w:firstLineChars="200"/>
        <w:rPr>
          <w:rFonts w:hint="eastAsia" w:ascii="宋体" w:hAnsi="宋体" w:cs="宋体"/>
          <w:highlight w:val="none"/>
        </w:rPr>
      </w:pPr>
      <w:r>
        <w:rPr>
          <w:rFonts w:hint="eastAsia" w:ascii="宋体" w:hAnsi="宋体" w:cs="宋体"/>
          <w:highlight w:val="none"/>
        </w:rPr>
        <w:t>在广州南沙资产经营有限公司网站公示中标候选人。</w:t>
      </w:r>
    </w:p>
    <w:p>
      <w:pPr>
        <w:pStyle w:val="5"/>
        <w:spacing w:before="0" w:after="0" w:line="360" w:lineRule="auto"/>
        <w:ind w:firstLine="560" w:firstLineChars="200"/>
        <w:rPr>
          <w:rFonts w:ascii="Times New Roman" w:hAnsi="Times New Roman"/>
          <w:highlight w:val="none"/>
        </w:rPr>
      </w:pPr>
      <w:bookmarkStart w:id="676" w:name="_Toc152045568"/>
      <w:bookmarkStart w:id="677" w:name="_Toc15630"/>
      <w:bookmarkStart w:id="678" w:name="_Toc9148"/>
      <w:bookmarkStart w:id="679" w:name="_Toc14116"/>
      <w:bookmarkStart w:id="680" w:name="_Toc14168"/>
      <w:bookmarkStart w:id="681" w:name="_Toc16751"/>
      <w:bookmarkStart w:id="682" w:name="_Toc144974536"/>
      <w:bookmarkStart w:id="683" w:name="_Toc8897"/>
      <w:bookmarkStart w:id="684" w:name="_Toc494371554"/>
      <w:bookmarkStart w:id="685" w:name="_Toc247527593"/>
      <w:bookmarkStart w:id="686" w:name="_Toc6019"/>
      <w:bookmarkStart w:id="687" w:name="_Toc775"/>
      <w:bookmarkStart w:id="688" w:name="_Toc152042344"/>
      <w:bookmarkStart w:id="689" w:name="_Toc247513992"/>
      <w:bookmarkStart w:id="690" w:name="_Toc3421"/>
      <w:bookmarkStart w:id="691" w:name="_Toc32373"/>
      <w:bookmarkStart w:id="692" w:name="_Toc300834991"/>
      <w:r>
        <w:rPr>
          <w:rFonts w:ascii="Times New Roman" w:hAnsi="Times New Roman"/>
          <w:highlight w:val="none"/>
        </w:rPr>
        <w:t>7.3 中标通知</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spacing w:line="360" w:lineRule="auto"/>
        <w:ind w:firstLine="420" w:firstLineChars="200"/>
        <w:rPr>
          <w:rFonts w:hint="eastAsia" w:ascii="宋体" w:hAnsi="宋体" w:cs="宋体"/>
          <w:highlight w:val="none"/>
        </w:rPr>
      </w:pPr>
      <w:r>
        <w:rPr>
          <w:rFonts w:hint="eastAsia" w:ascii="宋体" w:hAnsi="宋体" w:cs="宋体"/>
          <w:highlight w:val="none"/>
        </w:rPr>
        <w:t>评标公示后，在本章第3.3 款规定的投标有效期内，招标人以书面形式向中标人发出中标通知书。</w:t>
      </w:r>
    </w:p>
    <w:p>
      <w:pPr>
        <w:pStyle w:val="5"/>
        <w:spacing w:before="0" w:after="0" w:line="360" w:lineRule="auto"/>
        <w:ind w:firstLine="560" w:firstLineChars="200"/>
        <w:rPr>
          <w:rFonts w:ascii="Times New Roman" w:hAnsi="Times New Roman"/>
          <w:highlight w:val="none"/>
        </w:rPr>
      </w:pPr>
      <w:bookmarkStart w:id="693" w:name="_Toc152045570"/>
      <w:bookmarkStart w:id="694" w:name="_Toc5220"/>
      <w:bookmarkStart w:id="695" w:name="_Toc20159"/>
      <w:bookmarkStart w:id="696" w:name="_Toc247513994"/>
      <w:bookmarkStart w:id="697" w:name="_Toc1202"/>
      <w:bookmarkStart w:id="698" w:name="_Toc144974538"/>
      <w:bookmarkStart w:id="699" w:name="_Toc300834993"/>
      <w:bookmarkStart w:id="700" w:name="_Toc494371556"/>
      <w:bookmarkStart w:id="701" w:name="_Toc152042346"/>
      <w:bookmarkStart w:id="702" w:name="_Toc8137"/>
      <w:bookmarkStart w:id="703" w:name="_Toc20796"/>
      <w:bookmarkStart w:id="704" w:name="_Toc14095"/>
      <w:bookmarkStart w:id="705" w:name="_Toc21116"/>
      <w:bookmarkStart w:id="706" w:name="_Toc12825"/>
      <w:bookmarkStart w:id="707" w:name="_Toc21568"/>
      <w:bookmarkStart w:id="708" w:name="_Toc247527595"/>
      <w:bookmarkStart w:id="709" w:name="_Toc17963"/>
      <w:r>
        <w:rPr>
          <w:rFonts w:ascii="Times New Roman" w:hAnsi="Times New Roman"/>
          <w:highlight w:val="none"/>
        </w:rPr>
        <w:t>7.</w:t>
      </w:r>
      <w:r>
        <w:rPr>
          <w:rFonts w:hint="default" w:ascii="Times New Roman" w:hAnsi="Times New Roman"/>
          <w:highlight w:val="none"/>
        </w:rPr>
        <w:t>4</w:t>
      </w:r>
      <w:r>
        <w:rPr>
          <w:rFonts w:ascii="Times New Roman" w:hAnsi="Times New Roman"/>
          <w:highlight w:val="none"/>
        </w:rPr>
        <w:t xml:space="preserve"> 签订合同</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spacing w:line="360" w:lineRule="auto"/>
        <w:ind w:firstLine="420" w:firstLineChars="200"/>
        <w:rPr>
          <w:rFonts w:hint="eastAsia" w:ascii="宋体" w:hAnsi="宋体" w:cs="宋体"/>
          <w:highlight w:val="none"/>
        </w:rPr>
      </w:pPr>
      <w:r>
        <w:rPr>
          <w:rFonts w:hint="eastAsia" w:ascii="宋体" w:hAnsi="宋体" w:cs="宋体"/>
          <w:highlight w:val="none"/>
        </w:rPr>
        <w:t>7.5.1 招标人和中标人应当自中标通知书发出之日起</w:t>
      </w:r>
      <w:r>
        <w:rPr>
          <w:rFonts w:hint="eastAsia" w:ascii="宋体" w:hAnsi="宋体" w:cs="宋体"/>
          <w:highlight w:val="none"/>
          <w:lang w:val="en-US" w:eastAsia="zh-CN"/>
        </w:rPr>
        <w:t>30</w:t>
      </w:r>
      <w:r>
        <w:rPr>
          <w:rFonts w:hint="eastAsia" w:ascii="宋体" w:hAnsi="宋体" w:cs="宋体"/>
          <w:highlight w:val="none"/>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宋体" w:hAnsi="宋体" w:cs="宋体"/>
          <w:highlight w:val="none"/>
        </w:rPr>
      </w:pPr>
      <w:r>
        <w:rPr>
          <w:rFonts w:hint="eastAsia" w:ascii="宋体" w:hAnsi="宋体" w:cs="宋体"/>
          <w:highlight w:val="none"/>
        </w:rPr>
        <w:t>7.5.2 发出中标通知书后，招标人无正当理由拒签合同的，招标人向中标人退还投标保证金；给中标人造成损失的，还应当赔偿损失。</w:t>
      </w:r>
    </w:p>
    <w:p>
      <w:pPr>
        <w:pStyle w:val="5"/>
        <w:spacing w:before="0" w:after="0" w:line="360" w:lineRule="auto"/>
        <w:ind w:firstLine="562" w:firstLineChars="200"/>
        <w:rPr>
          <w:rFonts w:ascii="Times New Roman" w:hAnsi="Times New Roman" w:cs="Times New Roman"/>
          <w:b/>
          <w:bCs w:val="0"/>
          <w:highlight w:val="none"/>
        </w:rPr>
      </w:pPr>
      <w:bookmarkStart w:id="710" w:name="_Toc152045571"/>
      <w:bookmarkStart w:id="711" w:name="_Toc247513995"/>
      <w:bookmarkStart w:id="712" w:name="_Toc152042347"/>
      <w:bookmarkStart w:id="713" w:name="_Toc247527596"/>
      <w:bookmarkStart w:id="714" w:name="_Toc144974539"/>
      <w:bookmarkStart w:id="715" w:name="_Toc25097"/>
      <w:bookmarkStart w:id="716" w:name="_Toc300834994"/>
      <w:bookmarkStart w:id="717" w:name="_Toc22337"/>
      <w:bookmarkStart w:id="718" w:name="_Toc494371557"/>
      <w:bookmarkStart w:id="719" w:name="_Toc12071"/>
      <w:bookmarkStart w:id="720" w:name="_Toc26309"/>
      <w:bookmarkStart w:id="721" w:name="_Toc25920"/>
      <w:bookmarkStart w:id="722" w:name="_Toc24208"/>
      <w:bookmarkStart w:id="723" w:name="_Toc1819"/>
      <w:bookmarkStart w:id="724" w:name="_Toc4387"/>
      <w:bookmarkStart w:id="725" w:name="_Toc27652"/>
      <w:bookmarkStart w:id="726" w:name="_Toc3080"/>
      <w:bookmarkStart w:id="727" w:name="_Toc7104"/>
      <w:bookmarkStart w:id="728" w:name="_Toc5006"/>
      <w:r>
        <w:rPr>
          <w:rFonts w:ascii="Times New Roman" w:hAnsi="Times New Roman" w:cs="Times New Roman"/>
          <w:b/>
          <w:bCs w:val="0"/>
          <w:highlight w:val="none"/>
        </w:rPr>
        <w:t>8</w:t>
      </w:r>
      <w:bookmarkEnd w:id="710"/>
      <w:bookmarkEnd w:id="711"/>
      <w:bookmarkEnd w:id="712"/>
      <w:bookmarkEnd w:id="713"/>
      <w:bookmarkEnd w:id="714"/>
      <w:bookmarkStart w:id="729" w:name="_Toc144974542"/>
      <w:bookmarkStart w:id="730" w:name="_Toc247513998"/>
      <w:bookmarkStart w:id="731" w:name="_Toc247527599"/>
      <w:bookmarkStart w:id="732" w:name="_Toc152045574"/>
      <w:bookmarkStart w:id="733" w:name="_Toc152042350"/>
      <w:r>
        <w:rPr>
          <w:rFonts w:hint="default" w:ascii="Times New Roman" w:hAnsi="Times New Roman" w:cs="Times New Roman"/>
          <w:b/>
          <w:bCs w:val="0"/>
          <w:highlight w:val="none"/>
        </w:rPr>
        <w:t>. 纪律和监督</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pPr>
        <w:pStyle w:val="5"/>
        <w:spacing w:before="0" w:after="0" w:line="360" w:lineRule="auto"/>
        <w:ind w:firstLine="560" w:firstLineChars="200"/>
        <w:rPr>
          <w:rFonts w:ascii="Times New Roman" w:hAnsi="Times New Roman"/>
          <w:highlight w:val="none"/>
        </w:rPr>
      </w:pPr>
      <w:bookmarkStart w:id="734" w:name="_Toc22388"/>
      <w:bookmarkStart w:id="735" w:name="_Toc494371558"/>
      <w:bookmarkStart w:id="736" w:name="_Toc152045575"/>
      <w:bookmarkStart w:id="737" w:name="_Toc7513"/>
      <w:bookmarkStart w:id="738" w:name="_Toc13879"/>
      <w:bookmarkStart w:id="739" w:name="_Toc152042351"/>
      <w:bookmarkStart w:id="740" w:name="_Toc27460"/>
      <w:bookmarkStart w:id="741" w:name="_Toc247513999"/>
      <w:bookmarkStart w:id="742" w:name="_Toc27050"/>
      <w:bookmarkStart w:id="743" w:name="_Toc23906"/>
      <w:bookmarkStart w:id="744" w:name="_Toc26340"/>
      <w:bookmarkStart w:id="745" w:name="_Toc247527600"/>
      <w:bookmarkStart w:id="746" w:name="_Toc144974543"/>
      <w:bookmarkStart w:id="747" w:name="_Toc300834995"/>
      <w:bookmarkStart w:id="748" w:name="_Toc12304"/>
      <w:bookmarkStart w:id="749" w:name="_Toc15792"/>
      <w:bookmarkStart w:id="750" w:name="_Toc32569"/>
      <w:r>
        <w:rPr>
          <w:rFonts w:ascii="Times New Roman" w:hAnsi="Times New Roman"/>
          <w:highlight w:val="none"/>
        </w:rPr>
        <w:t>8.1 对招标人的纪律要求</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spacing w:line="360" w:lineRule="auto"/>
        <w:ind w:firstLine="420" w:firstLineChars="200"/>
        <w:rPr>
          <w:rFonts w:hint="eastAsia" w:ascii="宋体" w:hAnsi="宋体" w:cs="宋体"/>
          <w:highlight w:val="none"/>
        </w:rPr>
      </w:pPr>
      <w:r>
        <w:rPr>
          <w:rFonts w:hint="eastAsia" w:ascii="宋体" w:hAnsi="宋体" w:cs="宋体"/>
          <w:highlight w:val="none"/>
        </w:rPr>
        <w:t>招标人不得泄漏招标投标活动中应当保密的情况和资料，不得与投标人串通损害国家利益、社会公共利益或者他人合法权益。</w:t>
      </w:r>
    </w:p>
    <w:p>
      <w:pPr>
        <w:pStyle w:val="5"/>
        <w:spacing w:before="0" w:after="0" w:line="360" w:lineRule="auto"/>
        <w:ind w:firstLine="560" w:firstLineChars="200"/>
        <w:rPr>
          <w:rFonts w:ascii="Times New Roman" w:hAnsi="Times New Roman"/>
          <w:highlight w:val="none"/>
        </w:rPr>
      </w:pPr>
      <w:bookmarkStart w:id="751" w:name="_Toc15845"/>
      <w:bookmarkStart w:id="752" w:name="_Toc144974544"/>
      <w:bookmarkStart w:id="753" w:name="_Toc2646"/>
      <w:bookmarkStart w:id="754" w:name="_Toc152042352"/>
      <w:bookmarkStart w:id="755" w:name="_Toc8212"/>
      <w:bookmarkStart w:id="756" w:name="_Toc19057"/>
      <w:bookmarkStart w:id="757" w:name="_Toc25080"/>
      <w:bookmarkStart w:id="758" w:name="_Toc300834996"/>
      <w:bookmarkStart w:id="759" w:name="_Toc4332"/>
      <w:bookmarkStart w:id="760" w:name="_Toc494371559"/>
      <w:bookmarkStart w:id="761" w:name="_Toc31828"/>
      <w:bookmarkStart w:id="762" w:name="_Toc31880"/>
      <w:bookmarkStart w:id="763" w:name="_Toc152045576"/>
      <w:bookmarkStart w:id="764" w:name="_Toc14942"/>
      <w:bookmarkStart w:id="765" w:name="_Toc26587"/>
      <w:bookmarkStart w:id="766" w:name="_Toc247514000"/>
      <w:bookmarkStart w:id="767" w:name="_Toc247527601"/>
      <w:r>
        <w:rPr>
          <w:rFonts w:ascii="Times New Roman" w:hAnsi="Times New Roman"/>
          <w:highlight w:val="none"/>
        </w:rPr>
        <w:t>8.2 对投标人的纪律要求</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spacing w:line="360" w:lineRule="auto"/>
        <w:ind w:firstLine="420" w:firstLineChars="200"/>
        <w:rPr>
          <w:rFonts w:hint="eastAsia" w:ascii="宋体" w:hAnsi="宋体" w:cs="宋体"/>
          <w:highlight w:val="none"/>
        </w:rPr>
      </w:pPr>
      <w:r>
        <w:rPr>
          <w:rFonts w:hint="eastAsia" w:ascii="宋体"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360" w:lineRule="auto"/>
        <w:ind w:firstLine="560" w:firstLineChars="200"/>
        <w:rPr>
          <w:rFonts w:ascii="Times New Roman" w:hAnsi="Times New Roman"/>
          <w:highlight w:val="none"/>
        </w:rPr>
      </w:pPr>
      <w:bookmarkStart w:id="768" w:name="_Toc152042353"/>
      <w:bookmarkStart w:id="769" w:name="_Toc17070"/>
      <w:bookmarkStart w:id="770" w:name="_Toc28024"/>
      <w:bookmarkStart w:id="771" w:name="_Toc300834997"/>
      <w:bookmarkStart w:id="772" w:name="_Toc247514001"/>
      <w:bookmarkStart w:id="773" w:name="_Toc15492"/>
      <w:bookmarkStart w:id="774" w:name="_Toc9766"/>
      <w:bookmarkStart w:id="775" w:name="_Toc17727"/>
      <w:bookmarkStart w:id="776" w:name="_Toc15857"/>
      <w:bookmarkStart w:id="777" w:name="_Toc11809"/>
      <w:bookmarkStart w:id="778" w:name="_Toc152045577"/>
      <w:bookmarkStart w:id="779" w:name="_Toc144974545"/>
      <w:bookmarkStart w:id="780" w:name="_Toc247527602"/>
      <w:bookmarkStart w:id="781" w:name="_Toc402"/>
      <w:bookmarkStart w:id="782" w:name="_Toc21624"/>
      <w:bookmarkStart w:id="783" w:name="_Toc23820"/>
      <w:bookmarkStart w:id="784" w:name="_Toc494371560"/>
      <w:r>
        <w:rPr>
          <w:rFonts w:ascii="Times New Roman" w:hAnsi="Times New Roman"/>
          <w:highlight w:val="none"/>
        </w:rPr>
        <w:t>8.3 对评标委员会成员的纪律要求</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spacing w:line="360" w:lineRule="auto"/>
        <w:ind w:firstLine="420" w:firstLineChars="200"/>
        <w:rPr>
          <w:rFonts w:hint="eastAsia" w:ascii="宋体" w:hAnsi="宋体" w:cs="宋体"/>
          <w:highlight w:val="none"/>
        </w:rPr>
      </w:pPr>
      <w:r>
        <w:rPr>
          <w:rFonts w:hint="eastAsia" w:ascii="宋体" w:hAnsi="宋体" w:cs="宋体"/>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0" w:after="0" w:line="360" w:lineRule="auto"/>
        <w:ind w:firstLine="560" w:firstLineChars="200"/>
        <w:rPr>
          <w:rFonts w:ascii="Times New Roman" w:hAnsi="Times New Roman"/>
          <w:highlight w:val="none"/>
        </w:rPr>
      </w:pPr>
      <w:bookmarkStart w:id="785" w:name="_Toc247514002"/>
      <w:bookmarkStart w:id="786" w:name="_Toc494371561"/>
      <w:bookmarkStart w:id="787" w:name="_Toc247527603"/>
      <w:bookmarkStart w:id="788" w:name="_Toc15170"/>
      <w:bookmarkStart w:id="789" w:name="_Toc27915"/>
      <w:bookmarkStart w:id="790" w:name="_Toc30457"/>
      <w:bookmarkStart w:id="791" w:name="_Toc4059"/>
      <w:bookmarkStart w:id="792" w:name="_Toc23511"/>
      <w:bookmarkStart w:id="793" w:name="_Toc10968"/>
      <w:bookmarkStart w:id="794" w:name="_Toc21492"/>
      <w:bookmarkStart w:id="795" w:name="_Toc152042354"/>
      <w:bookmarkStart w:id="796" w:name="_Toc152045578"/>
      <w:bookmarkStart w:id="797" w:name="_Toc11718"/>
      <w:bookmarkStart w:id="798" w:name="_Toc29753"/>
      <w:bookmarkStart w:id="799" w:name="_Toc7845"/>
      <w:bookmarkStart w:id="800" w:name="_Toc300834998"/>
      <w:bookmarkStart w:id="801" w:name="_Toc144974546"/>
      <w:r>
        <w:rPr>
          <w:rFonts w:ascii="Times New Roman" w:hAnsi="Times New Roman"/>
          <w:highlight w:val="none"/>
        </w:rPr>
        <w:t>8.4 对与评标活动有关的工作人员的纪律要求</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pPr>
        <w:spacing w:line="360" w:lineRule="auto"/>
        <w:ind w:firstLine="420" w:firstLineChars="200"/>
        <w:rPr>
          <w:rFonts w:hint="eastAsia" w:ascii="宋体" w:hAnsi="宋体" w:cs="宋体"/>
          <w:highlight w:val="none"/>
        </w:rPr>
      </w:pPr>
      <w:bookmarkStart w:id="802" w:name="_Toc152042355"/>
      <w:r>
        <w:rPr>
          <w:rFonts w:hint="eastAsia" w:ascii="宋体" w:hAnsi="宋体" w:cs="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02"/>
    </w:p>
    <w:p>
      <w:pPr>
        <w:pStyle w:val="5"/>
        <w:spacing w:before="0" w:after="0" w:line="360" w:lineRule="auto"/>
        <w:ind w:firstLine="560" w:firstLineChars="200"/>
        <w:rPr>
          <w:rFonts w:ascii="Times New Roman" w:hAnsi="Times New Roman"/>
          <w:highlight w:val="none"/>
        </w:rPr>
      </w:pPr>
      <w:bookmarkStart w:id="803" w:name="_Toc247514003"/>
      <w:bookmarkStart w:id="804" w:name="_Toc18798"/>
      <w:bookmarkStart w:id="805" w:name="_Toc494371562"/>
      <w:bookmarkStart w:id="806" w:name="_Toc1588"/>
      <w:bookmarkStart w:id="807" w:name="_Toc32045"/>
      <w:bookmarkStart w:id="808" w:name="_Toc9764"/>
      <w:bookmarkStart w:id="809" w:name="_Toc152045579"/>
      <w:bookmarkStart w:id="810" w:name="_Toc247527604"/>
      <w:bookmarkStart w:id="811" w:name="_Toc21044"/>
      <w:bookmarkStart w:id="812" w:name="_Toc300834999"/>
      <w:bookmarkStart w:id="813" w:name="_Toc152042356"/>
      <w:bookmarkStart w:id="814" w:name="_Toc24198"/>
      <w:bookmarkStart w:id="815" w:name="_Toc26570"/>
      <w:bookmarkStart w:id="816" w:name="_Toc19195"/>
      <w:bookmarkStart w:id="817" w:name="_Toc13039"/>
      <w:bookmarkStart w:id="818" w:name="_Toc29127"/>
      <w:r>
        <w:rPr>
          <w:rFonts w:ascii="Times New Roman" w:hAnsi="Times New Roman"/>
          <w:highlight w:val="none"/>
        </w:rPr>
        <w:t>8.5 投诉</w:t>
      </w:r>
      <w:bookmarkEnd w:id="801"/>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spacing w:line="360" w:lineRule="auto"/>
        <w:ind w:firstLine="420" w:firstLineChars="200"/>
        <w:rPr>
          <w:rFonts w:hint="eastAsia" w:ascii="宋体" w:hAnsi="宋体" w:cs="宋体"/>
          <w:highlight w:val="none"/>
        </w:rPr>
      </w:pPr>
      <w:r>
        <w:rPr>
          <w:rFonts w:hint="eastAsia" w:ascii="宋体" w:hAnsi="宋体" w:cs="宋体"/>
          <w:highlight w:val="none"/>
        </w:rPr>
        <w:t>投标人和其他利害关系人认为本次招标活动违反法律、法规和规章规定的，有权向有关行政监督部门投诉。</w:t>
      </w:r>
    </w:p>
    <w:p>
      <w:pPr>
        <w:pStyle w:val="5"/>
        <w:spacing w:before="0" w:after="0" w:line="360" w:lineRule="auto"/>
        <w:ind w:firstLine="562" w:firstLineChars="200"/>
        <w:rPr>
          <w:rFonts w:ascii="Times New Roman" w:hAnsi="Times New Roman" w:cs="Times New Roman"/>
          <w:b/>
          <w:bCs w:val="0"/>
          <w:highlight w:val="none"/>
        </w:rPr>
      </w:pPr>
      <w:bookmarkStart w:id="819" w:name="_Toc28094"/>
      <w:bookmarkStart w:id="820" w:name="_Toc144974547"/>
      <w:bookmarkStart w:id="821" w:name="_Toc2189"/>
      <w:bookmarkStart w:id="822" w:name="_Toc247514004"/>
      <w:bookmarkStart w:id="823" w:name="_Toc152045580"/>
      <w:bookmarkStart w:id="824" w:name="_Toc152042357"/>
      <w:bookmarkStart w:id="825" w:name="_Toc494371563"/>
      <w:bookmarkStart w:id="826" w:name="_Toc797"/>
      <w:bookmarkStart w:id="827" w:name="_Toc8751"/>
      <w:bookmarkStart w:id="828" w:name="_Toc9682"/>
      <w:bookmarkStart w:id="829" w:name="_Toc22887"/>
      <w:bookmarkStart w:id="830" w:name="_Toc10294"/>
      <w:bookmarkStart w:id="831" w:name="_Toc24403"/>
      <w:bookmarkStart w:id="832" w:name="_Toc32584"/>
      <w:bookmarkStart w:id="833" w:name="_Toc247527605"/>
      <w:bookmarkStart w:id="834" w:name="_Toc15576"/>
      <w:bookmarkStart w:id="835" w:name="_Toc11552"/>
      <w:bookmarkStart w:id="836" w:name="_Toc300835000"/>
      <w:bookmarkStart w:id="837" w:name="_Toc25605"/>
      <w:r>
        <w:rPr>
          <w:rFonts w:ascii="Times New Roman" w:hAnsi="Times New Roman" w:cs="Times New Roman"/>
          <w:b/>
          <w:bCs w:val="0"/>
          <w:highlight w:val="none"/>
        </w:rPr>
        <w:t xml:space="preserve">9. </w:t>
      </w:r>
      <w:r>
        <w:rPr>
          <w:rFonts w:hint="default" w:ascii="Times New Roman" w:hAnsi="Times New Roman" w:cs="Times New Roman"/>
          <w:b/>
          <w:bCs w:val="0"/>
          <w:highlight w:val="none"/>
        </w:rPr>
        <w:t>需要补充的其他内容</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spacing w:line="360" w:lineRule="auto"/>
        <w:ind w:firstLine="420" w:firstLineChars="200"/>
        <w:rPr>
          <w:rFonts w:hint="eastAsia" w:ascii="宋体" w:hAnsi="宋体" w:cs="宋体"/>
          <w:highlight w:val="none"/>
        </w:rPr>
      </w:pPr>
      <w:r>
        <w:rPr>
          <w:rFonts w:hint="eastAsia" w:ascii="宋体" w:hAnsi="宋体" w:cs="宋体"/>
          <w:highlight w:val="none"/>
        </w:rPr>
        <w:t>需要补充的其他内容：见投标人须知前附表。</w:t>
      </w:r>
    </w:p>
    <w:p>
      <w:pPr>
        <w:spacing w:line="360" w:lineRule="auto"/>
        <w:ind w:firstLine="420" w:firstLineChars="200"/>
        <w:rPr>
          <w:rFonts w:hint="eastAsia" w:ascii="宋体" w:hAnsi="宋体" w:cs="宋体"/>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5"/>
        <w:rPr>
          <w:highlight w:val="none"/>
        </w:rPr>
      </w:pPr>
      <w:bookmarkStart w:id="838" w:name="_Toc247527606"/>
      <w:bookmarkStart w:id="839" w:name="_Toc247514005"/>
      <w:bookmarkStart w:id="840" w:name="_Toc16200"/>
      <w:bookmarkStart w:id="841" w:name="_Toc9735"/>
      <w:bookmarkStart w:id="842" w:name="_Toc19905"/>
      <w:bookmarkStart w:id="843" w:name="_Toc18813"/>
      <w:bookmarkStart w:id="844" w:name="_Toc32210"/>
      <w:bookmarkStart w:id="845" w:name="_Toc152042358"/>
      <w:bookmarkStart w:id="846" w:name="_Toc32753"/>
      <w:bookmarkStart w:id="847" w:name="_Toc494371565"/>
      <w:bookmarkStart w:id="848" w:name="_Toc152045581"/>
      <w:bookmarkStart w:id="849" w:name="_Toc30853"/>
      <w:bookmarkStart w:id="850" w:name="_Toc2797"/>
      <w:bookmarkStart w:id="851" w:name="_Toc15442"/>
      <w:bookmarkStart w:id="852" w:name="_Toc144974548"/>
      <w:bookmarkStart w:id="853" w:name="_Toc6420"/>
      <w:bookmarkStart w:id="854" w:name="_Toc300835002"/>
      <w:r>
        <w:rPr>
          <w:rFonts w:hint="eastAsia"/>
          <w:highlight w:val="none"/>
        </w:rPr>
        <w:t>附表：开标记录表</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spacing w:line="400" w:lineRule="exact"/>
        <w:jc w:val="center"/>
        <w:rPr>
          <w:szCs w:val="21"/>
          <w:highlight w:val="none"/>
          <w:u w:val="single"/>
        </w:rPr>
      </w:pPr>
      <w:r>
        <w:rPr>
          <w:rFonts w:hint="eastAsia" w:ascii="黑体" w:eastAsia="黑体"/>
          <w:sz w:val="28"/>
          <w:szCs w:val="28"/>
          <w:highlight w:val="none"/>
        </w:rPr>
        <w:t>开标记录表</w:t>
      </w:r>
    </w:p>
    <w:p>
      <w:pPr>
        <w:spacing w:line="400" w:lineRule="exact"/>
        <w:ind w:right="420"/>
        <w:jc w:val="left"/>
        <w:rPr>
          <w:rFonts w:hint="eastAsia"/>
          <w:szCs w:val="21"/>
          <w:highlight w:val="none"/>
        </w:rPr>
      </w:pPr>
      <w:r>
        <w:rPr>
          <w:rFonts w:hint="eastAsia"/>
          <w:szCs w:val="21"/>
          <w:highlight w:val="none"/>
        </w:rPr>
        <w:t>项目名称：</w:t>
      </w:r>
    </w:p>
    <w:tbl>
      <w:tblPr>
        <w:tblStyle w:val="39"/>
        <w:tblpPr w:leftFromText="180" w:rightFromText="180" w:vertAnchor="text" w:horzAnchor="page" w:tblpX="1933" w:tblpY="375"/>
        <w:tblOverlap w:val="never"/>
        <w:tblW w:w="11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2"/>
        <w:gridCol w:w="1823"/>
        <w:gridCol w:w="240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05" w:type="dxa"/>
            <w:vAlign w:val="center"/>
          </w:tcPr>
          <w:p>
            <w:pPr>
              <w:jc w:val="center"/>
              <w:rPr>
                <w:sz w:val="18"/>
                <w:szCs w:val="18"/>
                <w:highlight w:val="none"/>
              </w:rPr>
            </w:pPr>
            <w:r>
              <w:rPr>
                <w:rFonts w:hint="eastAsia"/>
                <w:sz w:val="18"/>
                <w:szCs w:val="18"/>
                <w:highlight w:val="none"/>
              </w:rPr>
              <w:t>序号</w:t>
            </w:r>
          </w:p>
        </w:tc>
        <w:tc>
          <w:tcPr>
            <w:tcW w:w="3342" w:type="dxa"/>
            <w:vAlign w:val="center"/>
          </w:tcPr>
          <w:p>
            <w:pPr>
              <w:jc w:val="center"/>
              <w:rPr>
                <w:sz w:val="18"/>
                <w:szCs w:val="18"/>
                <w:highlight w:val="none"/>
              </w:rPr>
            </w:pPr>
            <w:r>
              <w:rPr>
                <w:rFonts w:hint="eastAsia"/>
                <w:sz w:val="18"/>
                <w:szCs w:val="18"/>
                <w:highlight w:val="none"/>
              </w:rPr>
              <w:t>投标人名称</w:t>
            </w:r>
          </w:p>
        </w:tc>
        <w:tc>
          <w:tcPr>
            <w:tcW w:w="1823" w:type="dxa"/>
            <w:vAlign w:val="center"/>
          </w:tcPr>
          <w:p>
            <w:pPr>
              <w:jc w:val="center"/>
              <w:rPr>
                <w:sz w:val="18"/>
                <w:szCs w:val="18"/>
                <w:highlight w:val="none"/>
              </w:rPr>
            </w:pPr>
            <w:r>
              <w:rPr>
                <w:rFonts w:hint="eastAsia"/>
                <w:sz w:val="18"/>
                <w:szCs w:val="18"/>
                <w:highlight w:val="none"/>
              </w:rPr>
              <w:t>投标文件密封性</w:t>
            </w:r>
          </w:p>
        </w:tc>
        <w:tc>
          <w:tcPr>
            <w:tcW w:w="2400" w:type="dxa"/>
            <w:vAlign w:val="center"/>
          </w:tcPr>
          <w:p>
            <w:pPr>
              <w:jc w:val="center"/>
              <w:rPr>
                <w:sz w:val="18"/>
                <w:szCs w:val="18"/>
                <w:highlight w:val="none"/>
              </w:rPr>
            </w:pPr>
            <w:r>
              <w:rPr>
                <w:rFonts w:hint="eastAsia"/>
                <w:sz w:val="18"/>
                <w:szCs w:val="18"/>
                <w:highlight w:val="none"/>
              </w:rPr>
              <w:t>投标总报价</w:t>
            </w:r>
          </w:p>
          <w:p>
            <w:pPr>
              <w:jc w:val="center"/>
              <w:rPr>
                <w:sz w:val="18"/>
                <w:szCs w:val="18"/>
                <w:highlight w:val="none"/>
              </w:rPr>
            </w:pPr>
            <w:r>
              <w:rPr>
                <w:rFonts w:hint="eastAsia"/>
                <w:sz w:val="18"/>
                <w:szCs w:val="18"/>
                <w:highlight w:val="none"/>
              </w:rPr>
              <w:t>（元）</w:t>
            </w:r>
          </w:p>
        </w:tc>
        <w:tc>
          <w:tcPr>
            <w:tcW w:w="3543" w:type="dxa"/>
            <w:vAlign w:val="center"/>
          </w:tcPr>
          <w:p>
            <w:pPr>
              <w:jc w:val="center"/>
              <w:rPr>
                <w:sz w:val="18"/>
                <w:szCs w:val="18"/>
                <w:highlight w:val="none"/>
              </w:rPr>
            </w:pPr>
            <w:r>
              <w:rPr>
                <w:rFonts w:hint="eastAsia"/>
                <w:sz w:val="18"/>
                <w:szCs w:val="18"/>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bl>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r>
        <w:rPr>
          <w:rFonts w:hint="eastAsia"/>
          <w:szCs w:val="21"/>
          <w:highlight w:val="none"/>
          <w:lang w:val="en-US" w:eastAsia="zh-CN"/>
        </w:rPr>
        <w:t>唱标人</w:t>
      </w:r>
      <w:r>
        <w:rPr>
          <w:rFonts w:hint="eastAsia"/>
          <w:szCs w:val="21"/>
          <w:highlight w:val="none"/>
        </w:rPr>
        <w:t xml:space="preserve">：                                            </w:t>
      </w:r>
      <w:r>
        <w:rPr>
          <w:rFonts w:hint="eastAsia"/>
          <w:szCs w:val="21"/>
          <w:highlight w:val="none"/>
          <w:lang w:val="en-US" w:eastAsia="zh-CN"/>
        </w:rPr>
        <w:t>监督</w:t>
      </w:r>
      <w:r>
        <w:rPr>
          <w:rFonts w:hint="eastAsia"/>
          <w:szCs w:val="21"/>
          <w:highlight w:val="none"/>
        </w:rPr>
        <w:t>人：</w:t>
      </w:r>
      <w:r>
        <w:rPr>
          <w:rFonts w:hint="eastAsia"/>
          <w:szCs w:val="21"/>
          <w:highlight w:val="none"/>
          <w:lang w:val="en-US" w:eastAsia="zh-CN"/>
        </w:rPr>
        <w:t xml:space="preserve">                                记录人：</w:t>
      </w:r>
    </w:p>
    <w:p>
      <w:pPr>
        <w:pStyle w:val="16"/>
        <w:jc w:val="left"/>
        <w:rPr>
          <w:rFonts w:hint="eastAsia"/>
          <w:szCs w:val="21"/>
          <w:highlight w:val="none"/>
          <w:lang w:val="en-US" w:eastAsia="zh-CN"/>
        </w:rPr>
      </w:pPr>
    </w:p>
    <w:p>
      <w:pPr>
        <w:pStyle w:val="16"/>
        <w:jc w:val="left"/>
        <w:rPr>
          <w:rFonts w:hint="eastAsia"/>
          <w:szCs w:val="21"/>
          <w:highlight w:val="none"/>
          <w:lang w:val="en-US" w:eastAsia="zh-CN"/>
        </w:rPr>
      </w:pPr>
      <w:r>
        <w:rPr>
          <w:rFonts w:hint="eastAsia"/>
          <w:szCs w:val="21"/>
          <w:highlight w:val="none"/>
          <w:lang w:val="en-US" w:eastAsia="zh-CN"/>
        </w:rPr>
        <w:t>日期：</w:t>
      </w:r>
    </w:p>
    <w:p>
      <w:pPr>
        <w:rPr>
          <w:rFonts w:hint="default"/>
          <w:highlight w:val="none"/>
          <w:lang w:val="en-US" w:eastAsia="zh-CN"/>
        </w:rPr>
      </w:pPr>
    </w:p>
    <w:p>
      <w:pPr>
        <w:pStyle w:val="16"/>
        <w:jc w:val="left"/>
        <w:rPr>
          <w:szCs w:val="21"/>
          <w:highlight w:val="none"/>
        </w:rPr>
        <w:sectPr>
          <w:pgSz w:w="16838" w:h="11906" w:orient="landscape"/>
          <w:pgMar w:top="1247" w:right="1134" w:bottom="1247" w:left="1361" w:header="851" w:footer="992" w:gutter="0"/>
          <w:pgBorders>
            <w:top w:val="none" w:sz="0" w:space="0"/>
            <w:left w:val="none" w:sz="0" w:space="0"/>
            <w:bottom w:val="none" w:sz="0" w:space="0"/>
            <w:right w:val="none" w:sz="0" w:space="0"/>
          </w:pgBorders>
          <w:cols w:space="720" w:num="1"/>
          <w:docGrid w:linePitch="312" w:charSpace="0"/>
        </w:sectPr>
      </w:pPr>
      <w:r>
        <w:rPr>
          <w:rFonts w:hint="eastAsia"/>
          <w:szCs w:val="21"/>
          <w:highlight w:val="none"/>
        </w:rPr>
        <w:t>本表仅供参考，具体以开标时的开标记录表为准。</w:t>
      </w:r>
    </w:p>
    <w:p>
      <w:pPr>
        <w:pStyle w:val="3"/>
        <w:jc w:val="center"/>
        <w:rPr>
          <w:rFonts w:ascii="宋体" w:hAnsi="宋体"/>
          <w:highlight w:val="none"/>
        </w:rPr>
      </w:pPr>
      <w:bookmarkStart w:id="855" w:name="_Toc26793"/>
      <w:bookmarkStart w:id="856" w:name="_Toc247514022"/>
      <w:bookmarkStart w:id="857" w:name="_Toc494371566"/>
      <w:bookmarkStart w:id="858" w:name="_Toc3567"/>
      <w:bookmarkStart w:id="859" w:name="_Toc28090"/>
      <w:bookmarkStart w:id="860" w:name="_Toc29364"/>
      <w:bookmarkStart w:id="861" w:name="_Toc4886"/>
      <w:bookmarkStart w:id="862" w:name="_Toc21214"/>
      <w:bookmarkStart w:id="863" w:name="_Toc152042375"/>
      <w:bookmarkStart w:id="864" w:name="_Toc247527623"/>
      <w:bookmarkStart w:id="865" w:name="_Toc436834776"/>
      <w:bookmarkStart w:id="866" w:name="_Toc144974565"/>
      <w:bookmarkStart w:id="867" w:name="_Toc152045598"/>
      <w:bookmarkStart w:id="868" w:name="_Toc12479"/>
      <w:r>
        <w:rPr>
          <w:rFonts w:hint="eastAsia" w:ascii="宋体" w:hAnsi="宋体"/>
          <w:highlight w:val="none"/>
        </w:rPr>
        <w:t>第三章评标办法（综合评</w:t>
      </w:r>
      <w:r>
        <w:rPr>
          <w:rFonts w:hint="eastAsia" w:ascii="宋体" w:hAnsi="宋体"/>
          <w:highlight w:val="none"/>
          <w:lang w:val="en-US" w:eastAsia="zh-CN"/>
        </w:rPr>
        <w:t>审</w:t>
      </w:r>
      <w:r>
        <w:rPr>
          <w:rFonts w:hint="eastAsia" w:ascii="宋体" w:hAnsi="宋体"/>
          <w:highlight w:val="none"/>
        </w:rPr>
        <w:t>法）</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pPr>
        <w:pStyle w:val="4"/>
        <w:spacing w:before="120" w:after="120"/>
        <w:jc w:val="center"/>
        <w:rPr>
          <w:rFonts w:ascii="宋体" w:hAnsi="宋体" w:eastAsia="宋体"/>
          <w:highlight w:val="none"/>
        </w:rPr>
      </w:pPr>
      <w:bookmarkStart w:id="869" w:name="_Toc16897"/>
      <w:bookmarkStart w:id="870" w:name="_Toc5317"/>
      <w:bookmarkStart w:id="871" w:name="_Toc144974566"/>
      <w:bookmarkStart w:id="872" w:name="_Toc399165430"/>
      <w:bookmarkStart w:id="873" w:name="_Toc436834184"/>
      <w:bookmarkStart w:id="874" w:name="_Toc14287"/>
      <w:bookmarkStart w:id="875" w:name="_Toc152045599"/>
      <w:bookmarkStart w:id="876" w:name="_Toc152042376"/>
      <w:bookmarkStart w:id="877" w:name="_Toc494371567"/>
      <w:bookmarkStart w:id="878" w:name="_Toc27045"/>
      <w:bookmarkStart w:id="879" w:name="_Toc247527624"/>
      <w:bookmarkStart w:id="880" w:name="_Toc13978"/>
      <w:bookmarkStart w:id="881" w:name="_Toc16563"/>
      <w:bookmarkStart w:id="882" w:name="_Toc436834777"/>
      <w:bookmarkStart w:id="883" w:name="_Toc25647"/>
      <w:bookmarkStart w:id="884" w:name="_Toc300835009"/>
      <w:bookmarkStart w:id="885" w:name="_Toc247514023"/>
      <w:r>
        <w:rPr>
          <w:rFonts w:hint="eastAsia" w:ascii="宋体" w:hAnsi="宋体" w:eastAsia="宋体"/>
          <w:highlight w:val="none"/>
        </w:rPr>
        <w:t>评标办法前附表</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ascii="宋体" w:hAnsi="宋体"/>
                <w:szCs w:val="21"/>
                <w:highlight w:val="none"/>
              </w:rPr>
              <w:t>见附表</w:t>
            </w:r>
            <w:r>
              <w:rPr>
                <w:rFonts w:ascii="宋体" w:hAnsi="宋体"/>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rPr>
              <w:t>投标文件有效性审查表</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ascii="宋体" w:hAnsi="宋体" w:eastAsia="宋体" w:cs="宋体"/>
                <w:szCs w:val="21"/>
                <w:highlight w:val="none"/>
              </w:rPr>
              <w:t>附表2《工程实施方案（含资信部分）文件有效性审查表》、附表4《投</w:t>
            </w:r>
            <w:r>
              <w:rPr>
                <w:rFonts w:hint="eastAsia"/>
                <w:szCs w:val="21"/>
                <w:highlight w:val="none"/>
              </w:rPr>
              <w:t>标报价文件有效性审查表》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hint="eastAsia"/>
                <w:highlight w:val="none"/>
              </w:rPr>
            </w:pPr>
            <w:r>
              <w:rPr>
                <w:rFonts w:hint="eastAsia"/>
                <w:highlight w:val="none"/>
              </w:rPr>
              <w:t>投标人总得分满分为100分，总分=工程实施方案（含资信部分）得分</w:t>
            </w:r>
            <w:r>
              <w:rPr>
                <w:rFonts w:hint="eastAsia"/>
                <w:highlight w:val="none"/>
                <w:lang w:eastAsia="zh-CN"/>
              </w:rPr>
              <w:t>（</w:t>
            </w:r>
            <w:r>
              <w:rPr>
                <w:rFonts w:hint="eastAsia"/>
                <w:highlight w:val="none"/>
                <w:lang w:val="en-US" w:eastAsia="zh-CN"/>
              </w:rPr>
              <w:t>60</w:t>
            </w:r>
            <w:r>
              <w:rPr>
                <w:rFonts w:hint="eastAsia"/>
                <w:highlight w:val="none"/>
              </w:rPr>
              <w:t>%</w:t>
            </w:r>
            <w:r>
              <w:rPr>
                <w:rFonts w:hint="eastAsia"/>
                <w:highlight w:val="none"/>
                <w:lang w:eastAsia="zh-CN"/>
              </w:rPr>
              <w:t>）</w:t>
            </w:r>
            <w:r>
              <w:rPr>
                <w:rFonts w:hint="eastAsia"/>
                <w:highlight w:val="none"/>
              </w:rPr>
              <w:t>+投标报价得分</w:t>
            </w:r>
            <w:r>
              <w:rPr>
                <w:rFonts w:hint="eastAsia"/>
                <w:highlight w:val="none"/>
                <w:lang w:eastAsia="zh-CN"/>
              </w:rPr>
              <w:t>（</w:t>
            </w:r>
            <w:r>
              <w:rPr>
                <w:rFonts w:hint="eastAsia"/>
                <w:highlight w:val="none"/>
                <w:lang w:val="en-US" w:eastAsia="zh-CN"/>
              </w:rPr>
              <w:t>40</w:t>
            </w:r>
            <w:r>
              <w:rPr>
                <w:rFonts w:hint="eastAsia"/>
                <w:highlight w:val="none"/>
              </w:rPr>
              <w:t>%</w:t>
            </w:r>
            <w:r>
              <w:rPr>
                <w:rFonts w:hint="eastAsia"/>
                <w:highlight w:val="none"/>
                <w:lang w:eastAsia="zh-CN"/>
              </w:rPr>
              <w:t>）</w:t>
            </w:r>
            <w:r>
              <w:rPr>
                <w:rFonts w:hint="eastAsia"/>
                <w:highlight w:val="none"/>
              </w:rPr>
              <w:t>。</w:t>
            </w:r>
          </w:p>
          <w:p>
            <w:pPr>
              <w:spacing w:line="300" w:lineRule="exact"/>
              <w:rPr>
                <w:highlight w:val="none"/>
              </w:rPr>
            </w:pPr>
            <w:r>
              <w:rPr>
                <w:rFonts w:hint="eastAsia" w:ascii="Calibri" w:hAnsi="Calibri" w:eastAsia="宋体" w:cs="Times New Roman"/>
                <w:b w:val="0"/>
                <w:color w:val="auto"/>
                <w:kern w:val="2"/>
                <w:sz w:val="21"/>
                <w:szCs w:val="24"/>
                <w:highlight w:val="none"/>
                <w:lang w:val="en-US" w:eastAsia="zh-CN" w:bidi="ar-SA"/>
              </w:rPr>
              <w:t>注：精确到小数点后两位，第三位四舍五入。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工程实施方案（含资信部分）文件详细审查评分标准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rPr>
              <w:t>工程实施方案（含资信部分）文件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见附表3《工程实施方案（含资信部分）文件评分表》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szCs w:val="21"/>
                <w:highlight w:val="none"/>
              </w:rPr>
            </w:pPr>
            <w:r>
              <w:rPr>
                <w:rFonts w:hint="eastAsia"/>
                <w:szCs w:val="21"/>
                <w:highlight w:val="none"/>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w:t>
            </w:r>
            <w:r>
              <w:rPr>
                <w:rFonts w:hint="default"/>
                <w:szCs w:val="21"/>
                <w:highlight w:val="none"/>
                <w:lang w:val="en-US" w:eastAsia="zh-CN"/>
              </w:rPr>
              <w:t>6</w:t>
            </w:r>
            <w:r>
              <w:rPr>
                <w:rFonts w:hint="eastAsia"/>
                <w:szCs w:val="21"/>
                <w:highlight w:val="none"/>
              </w:rPr>
              <w:t>《投标报价</w:t>
            </w:r>
            <w:r>
              <w:rPr>
                <w:rFonts w:hint="eastAsia"/>
                <w:szCs w:val="21"/>
                <w:highlight w:val="none"/>
                <w:lang w:val="en-US" w:eastAsia="zh-CN"/>
              </w:rPr>
              <w:t>评分</w:t>
            </w:r>
            <w:r>
              <w:rPr>
                <w:rFonts w:hint="eastAsia"/>
                <w:szCs w:val="21"/>
                <w:highlight w:val="none"/>
              </w:rPr>
              <w:t>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需要补充的其他内容</w:t>
            </w:r>
          </w:p>
        </w:tc>
      </w:tr>
    </w:tbl>
    <w:p>
      <w:pPr>
        <w:pStyle w:val="4"/>
        <w:spacing w:before="0" w:after="0" w:line="360" w:lineRule="auto"/>
        <w:ind w:firstLine="643" w:firstLineChars="200"/>
        <w:rPr>
          <w:rFonts w:ascii="宋体" w:hAnsi="宋体" w:eastAsia="宋体"/>
          <w:highlight w:val="none"/>
        </w:rPr>
      </w:pPr>
      <w:r>
        <w:rPr>
          <w:highlight w:val="none"/>
        </w:rPr>
        <w:br w:type="page"/>
      </w:r>
      <w:bookmarkStart w:id="886" w:name="_Toc247527625"/>
      <w:bookmarkStart w:id="887" w:name="_Toc25246"/>
      <w:bookmarkStart w:id="888" w:name="_Toc436834778"/>
      <w:bookmarkStart w:id="889" w:name="_Toc300835010"/>
      <w:bookmarkStart w:id="890" w:name="_Toc247514024"/>
      <w:bookmarkStart w:id="891" w:name="_Toc6356"/>
      <w:bookmarkStart w:id="892" w:name="_Toc20806"/>
      <w:bookmarkStart w:id="893" w:name="_Toc494371568"/>
      <w:bookmarkStart w:id="894" w:name="_Toc10123"/>
      <w:bookmarkStart w:id="895" w:name="_Toc25710"/>
      <w:bookmarkStart w:id="896" w:name="_Toc16222"/>
      <w:bookmarkStart w:id="897" w:name="_Toc399165431"/>
      <w:bookmarkStart w:id="898" w:name="_Toc436834185"/>
      <w:bookmarkStart w:id="899" w:name="_Toc23786"/>
      <w:bookmarkStart w:id="900" w:name="_Toc152042377"/>
      <w:bookmarkStart w:id="901" w:name="_Toc152045600"/>
      <w:bookmarkStart w:id="902" w:name="_Toc144974567"/>
      <w:r>
        <w:rPr>
          <w:rFonts w:ascii="宋体" w:hAnsi="宋体" w:eastAsia="宋体"/>
          <w:highlight w:val="none"/>
        </w:rPr>
        <w:t xml:space="preserve">1. </w:t>
      </w:r>
      <w:r>
        <w:rPr>
          <w:rFonts w:hint="eastAsia" w:ascii="宋体" w:hAnsi="宋体" w:eastAsia="宋体"/>
          <w:highlight w:val="none"/>
        </w:rPr>
        <w:t>评标方法</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spacing w:line="360" w:lineRule="auto"/>
        <w:ind w:firstLine="420" w:firstLineChars="200"/>
        <w:rPr>
          <w:rFonts w:hint="eastAsia" w:ascii="宋体" w:hAnsi="宋体" w:cs="宋体"/>
          <w:highlight w:val="none"/>
        </w:rPr>
      </w:pPr>
      <w:r>
        <w:rPr>
          <w:rFonts w:hint="eastAsia" w:ascii="宋体" w:hAnsi="宋体" w:cs="宋体"/>
          <w:highlight w:val="none"/>
        </w:rPr>
        <w:t>本次评标采用综合评</w:t>
      </w:r>
      <w:r>
        <w:rPr>
          <w:rFonts w:hint="eastAsia" w:ascii="宋体" w:hAnsi="宋体" w:cs="宋体"/>
          <w:highlight w:val="none"/>
          <w:lang w:val="en-US" w:eastAsia="zh-CN"/>
        </w:rPr>
        <w:t>审</w:t>
      </w:r>
      <w:r>
        <w:rPr>
          <w:rFonts w:hint="eastAsia" w:ascii="宋体" w:hAnsi="宋体" w:cs="宋体"/>
          <w:highlight w:val="none"/>
        </w:rPr>
        <w:t>法。评标委员会对满足招标文件实质性要求的投标文件，按照本章第2.2款规定的评分标准进行打分，并按得分由高到低顺序推荐中标候选人，或根据招标人授权直接确定中标人，但投标报价低于其成本的除外。</w:t>
      </w:r>
    </w:p>
    <w:p>
      <w:pPr>
        <w:pStyle w:val="4"/>
        <w:spacing w:before="0" w:after="0" w:line="360" w:lineRule="auto"/>
        <w:ind w:firstLine="643" w:firstLineChars="200"/>
        <w:rPr>
          <w:rFonts w:ascii="宋体" w:hAnsi="宋体" w:eastAsia="宋体"/>
          <w:highlight w:val="none"/>
        </w:rPr>
      </w:pPr>
      <w:bookmarkStart w:id="903" w:name="_Toc65"/>
      <w:bookmarkStart w:id="904" w:name="_Toc494371569"/>
      <w:bookmarkStart w:id="905" w:name="_Toc17632"/>
      <w:bookmarkStart w:id="906" w:name="_Toc144974568"/>
      <w:bookmarkStart w:id="907" w:name="_Toc16219"/>
      <w:bookmarkStart w:id="908" w:name="_Toc247527626"/>
      <w:bookmarkStart w:id="909" w:name="_Toc247514025"/>
      <w:bookmarkStart w:id="910" w:name="_Toc300835011"/>
      <w:bookmarkStart w:id="911" w:name="_Toc30197"/>
      <w:bookmarkStart w:id="912" w:name="_Toc9484"/>
      <w:bookmarkStart w:id="913" w:name="_Toc399165432"/>
      <w:bookmarkStart w:id="914" w:name="_Toc152042378"/>
      <w:bookmarkStart w:id="915" w:name="_Toc152045601"/>
      <w:bookmarkStart w:id="916" w:name="_Toc436834779"/>
      <w:bookmarkStart w:id="917" w:name="_Toc29190"/>
      <w:bookmarkStart w:id="918" w:name="_Toc14150"/>
      <w:bookmarkStart w:id="919" w:name="_Toc436834186"/>
      <w:r>
        <w:rPr>
          <w:rFonts w:ascii="宋体" w:hAnsi="宋体" w:eastAsia="宋体"/>
          <w:highlight w:val="none"/>
        </w:rPr>
        <w:t xml:space="preserve">2. </w:t>
      </w:r>
      <w:r>
        <w:rPr>
          <w:rFonts w:hint="default" w:ascii="宋体" w:hAnsi="宋体" w:eastAsia="宋体"/>
          <w:highlight w:val="none"/>
        </w:rPr>
        <w:t>评审标准</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pStyle w:val="5"/>
        <w:keepNext w:val="0"/>
        <w:keepLines w:val="0"/>
        <w:spacing w:before="0" w:after="0" w:line="360" w:lineRule="auto"/>
        <w:ind w:firstLine="560" w:firstLineChars="200"/>
        <w:rPr>
          <w:rFonts w:ascii="宋体" w:eastAsia="宋体"/>
          <w:highlight w:val="none"/>
        </w:rPr>
      </w:pPr>
      <w:bookmarkStart w:id="920" w:name="_Toc13888"/>
      <w:bookmarkStart w:id="921" w:name="_Toc144974569"/>
      <w:bookmarkStart w:id="922" w:name="_Toc247527627"/>
      <w:bookmarkStart w:id="923" w:name="_Toc152042379"/>
      <w:bookmarkStart w:id="924" w:name="_Toc436834187"/>
      <w:bookmarkStart w:id="925" w:name="_Toc247514026"/>
      <w:bookmarkStart w:id="926" w:name="_Toc300835012"/>
      <w:bookmarkStart w:id="927" w:name="_Toc32127"/>
      <w:bookmarkStart w:id="928" w:name="_Toc152045602"/>
      <w:bookmarkStart w:id="929" w:name="_Toc436834780"/>
      <w:bookmarkStart w:id="930" w:name="_Toc17113"/>
      <w:bookmarkStart w:id="931" w:name="_Toc399165433"/>
      <w:bookmarkStart w:id="932" w:name="_Toc2867"/>
      <w:bookmarkStart w:id="933" w:name="_Toc494371570"/>
      <w:r>
        <w:rPr>
          <w:rFonts w:ascii="宋体" w:eastAsia="宋体"/>
          <w:highlight w:val="none"/>
        </w:rPr>
        <w:t>2.1 初步评审标准</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spacing w:line="360" w:lineRule="auto"/>
        <w:ind w:firstLine="420" w:firstLineChars="200"/>
        <w:rPr>
          <w:rFonts w:hint="eastAsia" w:ascii="宋体" w:hAnsi="宋体" w:cs="宋体"/>
          <w:highlight w:val="none"/>
        </w:rPr>
      </w:pPr>
      <w:r>
        <w:rPr>
          <w:rFonts w:hint="eastAsia" w:ascii="宋体" w:hAnsi="宋体" w:cs="宋体"/>
          <w:highlight w:val="none"/>
        </w:rPr>
        <w:t>2.1.1 资格审查标准：见评标办法前附表。</w:t>
      </w:r>
    </w:p>
    <w:p>
      <w:pPr>
        <w:spacing w:line="360" w:lineRule="auto"/>
        <w:ind w:firstLine="420" w:firstLineChars="200"/>
        <w:rPr>
          <w:rFonts w:hint="eastAsia" w:ascii="宋体" w:hAnsi="宋体" w:cs="宋体"/>
          <w:highlight w:val="none"/>
        </w:rPr>
      </w:pPr>
      <w:bookmarkStart w:id="934" w:name="_Toc300835013"/>
      <w:bookmarkStart w:id="935" w:name="_Toc144974570"/>
      <w:bookmarkStart w:id="936" w:name="_Toc152042380"/>
      <w:bookmarkStart w:id="937" w:name="_Toc247527628"/>
      <w:bookmarkStart w:id="938" w:name="_Toc399165434"/>
      <w:bookmarkStart w:id="939" w:name="_Toc152045603"/>
      <w:bookmarkStart w:id="940" w:name="_Toc247514027"/>
      <w:r>
        <w:rPr>
          <w:rFonts w:hint="eastAsia" w:ascii="宋体" w:hAnsi="宋体" w:cs="宋体"/>
          <w:highlight w:val="none"/>
        </w:rPr>
        <w:t>2.1.2投标文件有效性审查标准：见评标办法前附表。</w:t>
      </w:r>
    </w:p>
    <w:p>
      <w:pPr>
        <w:pStyle w:val="5"/>
        <w:keepNext w:val="0"/>
        <w:keepLines w:val="0"/>
        <w:spacing w:before="0" w:after="0" w:line="360" w:lineRule="auto"/>
        <w:ind w:firstLine="560" w:firstLineChars="200"/>
        <w:rPr>
          <w:rFonts w:ascii="宋体" w:eastAsia="宋体"/>
          <w:highlight w:val="none"/>
        </w:rPr>
      </w:pPr>
      <w:bookmarkStart w:id="941" w:name="_Toc32259"/>
      <w:bookmarkStart w:id="942" w:name="_Toc14736"/>
      <w:bookmarkStart w:id="943" w:name="_Toc494371571"/>
      <w:bookmarkStart w:id="944" w:name="_Toc25188"/>
      <w:bookmarkStart w:id="945" w:name="_Toc16804"/>
      <w:bookmarkStart w:id="946" w:name="_Toc436834188"/>
      <w:bookmarkStart w:id="947" w:name="_Toc436834781"/>
      <w:r>
        <w:rPr>
          <w:rFonts w:ascii="宋体" w:eastAsia="宋体"/>
          <w:highlight w:val="none"/>
        </w:rPr>
        <w:t xml:space="preserve">2.2 </w:t>
      </w:r>
      <w:r>
        <w:rPr>
          <w:rFonts w:hint="default" w:ascii="宋体" w:eastAsia="宋体"/>
          <w:highlight w:val="none"/>
        </w:rPr>
        <w:t>分值构成与评分标准</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spacing w:line="360" w:lineRule="auto"/>
        <w:ind w:firstLine="420" w:firstLineChars="200"/>
        <w:rPr>
          <w:rFonts w:hint="eastAsia" w:ascii="宋体" w:hAnsi="宋体" w:cs="宋体"/>
          <w:highlight w:val="none"/>
        </w:rPr>
      </w:pPr>
      <w:bookmarkStart w:id="948" w:name="_Toc152045604"/>
      <w:bookmarkStart w:id="949" w:name="_Toc247527629"/>
      <w:bookmarkStart w:id="950" w:name="_Toc152042381"/>
      <w:bookmarkStart w:id="951" w:name="_Toc144974571"/>
      <w:bookmarkStart w:id="952" w:name="_Toc399165435"/>
      <w:bookmarkStart w:id="953" w:name="_Toc300835014"/>
      <w:bookmarkStart w:id="954" w:name="_Toc247514028"/>
      <w:r>
        <w:rPr>
          <w:rFonts w:hint="eastAsia" w:ascii="宋体" w:hAnsi="宋体" w:cs="宋体"/>
          <w:highlight w:val="none"/>
        </w:rPr>
        <w:t>2.2.1</w:t>
      </w:r>
      <w:r>
        <w:rPr>
          <w:rFonts w:hint="eastAsia" w:ascii="宋体" w:hAnsi="宋体" w:cs="宋体"/>
          <w:szCs w:val="24"/>
          <w:highlight w:val="none"/>
        </w:rPr>
        <w:t>分值构成及权重</w:t>
      </w:r>
      <w:r>
        <w:rPr>
          <w:rFonts w:hint="eastAsia" w:ascii="宋体" w:hAnsi="宋体" w:cs="宋体"/>
          <w:highlight w:val="none"/>
        </w:rPr>
        <w:t>：见评标办法前附表。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2.2.2 评分标准</w:t>
      </w:r>
    </w:p>
    <w:p>
      <w:pPr>
        <w:spacing w:line="360" w:lineRule="auto"/>
        <w:ind w:firstLine="420" w:firstLineChars="200"/>
        <w:rPr>
          <w:rFonts w:hint="eastAsia" w:ascii="宋体" w:hAnsi="宋体" w:cs="宋体"/>
          <w:highlight w:val="none"/>
        </w:rPr>
      </w:pPr>
      <w:bookmarkStart w:id="955" w:name="_Toc24656"/>
      <w:bookmarkStart w:id="956" w:name="_Toc11029"/>
      <w:bookmarkStart w:id="957" w:name="_Toc13060"/>
      <w:bookmarkStart w:id="958" w:name="_Toc210"/>
      <w:bookmarkStart w:id="959" w:name="_Toc436834782"/>
      <w:bookmarkStart w:id="960" w:name="_Toc29432"/>
      <w:bookmarkStart w:id="961" w:name="_Toc494371572"/>
      <w:bookmarkStart w:id="962" w:name="_Toc436834189"/>
      <w:r>
        <w:rPr>
          <w:rFonts w:hint="eastAsia" w:ascii="宋体" w:hAnsi="宋体" w:cs="宋体"/>
          <w:highlight w:val="none"/>
        </w:rPr>
        <w:t>（1）工程实施方案（含资信部分）文件详细审查评分标准：见评标办法前附表。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（2）投标报价文件详细审查评分标准：见评标办法前附表。</w:t>
      </w:r>
    </w:p>
    <w:p>
      <w:pPr>
        <w:pStyle w:val="4"/>
        <w:spacing w:before="0" w:after="0" w:line="360" w:lineRule="auto"/>
        <w:ind w:firstLine="643" w:firstLineChars="200"/>
        <w:rPr>
          <w:rFonts w:ascii="宋体" w:hAnsi="宋体" w:eastAsia="宋体"/>
          <w:highlight w:val="none"/>
        </w:rPr>
      </w:pPr>
      <w:bookmarkStart w:id="963" w:name="_Toc23123"/>
      <w:bookmarkStart w:id="964" w:name="_Toc897"/>
      <w:r>
        <w:rPr>
          <w:rFonts w:ascii="宋体" w:hAnsi="宋体" w:eastAsia="宋体"/>
          <w:highlight w:val="none"/>
        </w:rPr>
        <w:t xml:space="preserve">3. </w:t>
      </w:r>
      <w:r>
        <w:rPr>
          <w:rFonts w:hint="default" w:ascii="宋体" w:hAnsi="宋体" w:eastAsia="宋体"/>
          <w:highlight w:val="none"/>
        </w:rPr>
        <w:t>评标程序</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pStyle w:val="5"/>
        <w:keepNext w:val="0"/>
        <w:keepLines w:val="0"/>
        <w:spacing w:before="0" w:after="0" w:line="360" w:lineRule="auto"/>
        <w:ind w:firstLine="560" w:firstLineChars="200"/>
        <w:rPr>
          <w:rFonts w:ascii="宋体" w:eastAsia="宋体"/>
          <w:highlight w:val="none"/>
        </w:rPr>
      </w:pPr>
      <w:bookmarkStart w:id="965" w:name="_Toc263"/>
      <w:bookmarkStart w:id="966" w:name="_Toc1082"/>
      <w:bookmarkStart w:id="967" w:name="_Toc24446"/>
      <w:bookmarkStart w:id="968" w:name="_Toc5646"/>
      <w:bookmarkStart w:id="969" w:name="_Toc494371574"/>
      <w:r>
        <w:rPr>
          <w:rFonts w:ascii="宋体" w:eastAsia="宋体"/>
          <w:highlight w:val="none"/>
        </w:rPr>
        <w:t>3.1资格审查文件评审</w:t>
      </w:r>
      <w:bookmarkEnd w:id="965"/>
      <w:bookmarkEnd w:id="966"/>
      <w:bookmarkEnd w:id="967"/>
      <w:bookmarkEnd w:id="968"/>
      <w:bookmarkEnd w:id="969"/>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3.1.1</w:t>
      </w:r>
      <w:r>
        <w:rPr>
          <w:rFonts w:hint="eastAsia" w:ascii="宋体" w:hAnsi="宋体" w:cs="宋体"/>
          <w:highlight w:val="none"/>
        </w:rPr>
        <w:t>资格审查采用非电子化审查方式进行，评标委员会对投标人递交的资格审查文件</w:t>
      </w:r>
      <w:r>
        <w:rPr>
          <w:rFonts w:hint="eastAsia" w:ascii="宋体" w:hAnsi="宋体" w:cs="宋体"/>
          <w:szCs w:val="24"/>
          <w:highlight w:val="none"/>
        </w:rPr>
        <w:t>进行评审。</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3.1.3汇总资格审查情况，编写资格审查报告。</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特别声明：资审合格后，投标人的资格发生变化而不满足投标人合格条件，在发出中标通知书前，资格问题仍未解决的，招标人将取消其中标资格。</w:t>
      </w:r>
    </w:p>
    <w:p>
      <w:pPr>
        <w:pStyle w:val="5"/>
        <w:keepNext w:val="0"/>
        <w:keepLines w:val="0"/>
        <w:spacing w:before="0" w:after="0" w:line="360" w:lineRule="auto"/>
        <w:ind w:firstLine="560" w:firstLineChars="200"/>
        <w:rPr>
          <w:rFonts w:ascii="宋体" w:eastAsia="宋体" w:cs="Times New Roman"/>
          <w:szCs w:val="28"/>
          <w:highlight w:val="none"/>
        </w:rPr>
      </w:pPr>
      <w:bookmarkStart w:id="970" w:name="_Toc22209"/>
      <w:bookmarkStart w:id="971" w:name="_Toc30033"/>
      <w:bookmarkStart w:id="972" w:name="_Toc15835"/>
      <w:bookmarkStart w:id="973" w:name="_Toc436834783"/>
      <w:bookmarkStart w:id="974" w:name="_Toc26253"/>
      <w:bookmarkStart w:id="975" w:name="_Toc436834190"/>
      <w:bookmarkStart w:id="976" w:name="_Toc494371575"/>
      <w:bookmarkStart w:id="977" w:name="_Toc300835017"/>
      <w:bookmarkStart w:id="978" w:name="_Toc247514031"/>
      <w:bookmarkStart w:id="979" w:name="_Toc152042385"/>
      <w:bookmarkStart w:id="980" w:name="_Toc247527632"/>
      <w:bookmarkStart w:id="981" w:name="_Toc152045607"/>
      <w:bookmarkStart w:id="982" w:name="_Toc399165439"/>
      <w:bookmarkStart w:id="983" w:name="_Toc144974575"/>
      <w:r>
        <w:rPr>
          <w:rFonts w:hint="default" w:ascii="宋体" w:eastAsia="宋体" w:cs="Times New Roman"/>
          <w:highlight w:val="none"/>
        </w:rPr>
        <w:t>3.2工程实施方案（含资信部分）文件评审</w:t>
      </w:r>
      <w:bookmarkEnd w:id="970"/>
      <w:bookmarkEnd w:id="971"/>
      <w:bookmarkEnd w:id="972"/>
      <w:bookmarkEnd w:id="973"/>
      <w:bookmarkEnd w:id="974"/>
      <w:bookmarkEnd w:id="975"/>
      <w:bookmarkEnd w:id="976"/>
    </w:p>
    <w:p>
      <w:pPr>
        <w:spacing w:line="360" w:lineRule="auto"/>
        <w:ind w:firstLine="420" w:firstLineChars="200"/>
        <w:rPr>
          <w:rFonts w:hint="eastAsia" w:ascii="宋体" w:hAnsi="宋体" w:cs="宋体"/>
          <w:szCs w:val="24"/>
          <w:highlight w:val="none"/>
        </w:rPr>
      </w:pPr>
      <w:bookmarkStart w:id="984" w:name="_Toc436834784"/>
      <w:bookmarkStart w:id="985" w:name="_Toc436834191"/>
      <w:r>
        <w:rPr>
          <w:rFonts w:hint="eastAsia" w:ascii="宋体" w:hAnsi="宋体" w:cs="宋体"/>
          <w:szCs w:val="24"/>
          <w:highlight w:val="none"/>
        </w:rPr>
        <w:t>3.2.1评标委员会按本办法附表2《工程实施方案（含资信部分）文件有效性审查表》对各投标文件进行评审，只有通过有效性审查的投标文件方可进入下一阶段的评审。如果有废标提议，则评标委员会成员共同表决，按照少数服从多数的原则决定是否废标。</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3.2.2评标委员会按本办法附表3《工程实施方案（含资信部分）文件评分表》对各投标人的进行综合评分，投标人得分为评标委员会各成员对其评分合计的算术平均值。分数出现小数点，保留小数点后二位小数，第三位小数四舍五入。</w:t>
      </w:r>
    </w:p>
    <w:p>
      <w:pPr>
        <w:pStyle w:val="5"/>
        <w:keepNext w:val="0"/>
        <w:keepLines w:val="0"/>
        <w:spacing w:before="0" w:after="0" w:line="360" w:lineRule="auto"/>
        <w:ind w:firstLine="560" w:firstLineChars="200"/>
        <w:rPr>
          <w:rFonts w:ascii="宋体" w:eastAsia="宋体"/>
          <w:highlight w:val="none"/>
        </w:rPr>
      </w:pPr>
      <w:bookmarkStart w:id="986" w:name="_Toc23957"/>
      <w:bookmarkStart w:id="987" w:name="_Toc29017"/>
      <w:bookmarkStart w:id="988" w:name="_Toc23184"/>
      <w:bookmarkStart w:id="989" w:name="_Toc494371576"/>
      <w:bookmarkStart w:id="990" w:name="_Toc10463"/>
      <w:r>
        <w:rPr>
          <w:rFonts w:ascii="宋体" w:eastAsia="宋体"/>
          <w:highlight w:val="none"/>
        </w:rPr>
        <w:t>3.3</w:t>
      </w:r>
      <w:bookmarkEnd w:id="984"/>
      <w:bookmarkEnd w:id="985"/>
      <w:bookmarkEnd w:id="986"/>
      <w:bookmarkEnd w:id="987"/>
      <w:bookmarkEnd w:id="988"/>
      <w:bookmarkEnd w:id="989"/>
      <w:bookmarkEnd w:id="990"/>
      <w:r>
        <w:rPr>
          <w:rFonts w:hint="default" w:ascii="宋体" w:eastAsia="宋体"/>
          <w:highlight w:val="none"/>
        </w:rPr>
        <w:t>投标报价文件评审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3.3.1投标报价文件有效性审查：评标委员会对通过工程实施方案（含资信部分）文件有效性审查的投标文件按本办法附表4《投标报价文件有效性审查表》的评审内容进行</w:t>
      </w:r>
      <w:r>
        <w:rPr>
          <w:rFonts w:hint="eastAsia" w:ascii="宋体" w:hAnsi="宋体" w:cs="宋体"/>
          <w:highlight w:val="none"/>
        </w:rPr>
        <w:t>投标报价文件</w:t>
      </w:r>
      <w:r>
        <w:rPr>
          <w:rFonts w:hint="eastAsia" w:ascii="宋体" w:hAnsi="宋体" w:cs="宋体"/>
          <w:szCs w:val="24"/>
          <w:highlight w:val="none"/>
        </w:rPr>
        <w:t>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3.3.2投标报价的算术校核。评标委员会对通过</w:t>
      </w:r>
      <w:r>
        <w:rPr>
          <w:rFonts w:hint="eastAsia" w:ascii="宋体" w:hAnsi="宋体" w:cs="宋体"/>
          <w:highlight w:val="none"/>
        </w:rPr>
        <w:t>投标文件</w:t>
      </w:r>
      <w:r>
        <w:rPr>
          <w:rFonts w:hint="eastAsia" w:ascii="宋体" w:hAnsi="宋体" w:cs="宋体"/>
          <w:szCs w:val="24"/>
          <w:highlight w:val="none"/>
        </w:rPr>
        <w:t>有效性审查的投标文件的</w:t>
      </w:r>
      <w:r>
        <w:rPr>
          <w:rFonts w:hint="eastAsia" w:ascii="宋体" w:hAnsi="宋体" w:cs="宋体"/>
          <w:szCs w:val="24"/>
          <w:highlight w:val="none"/>
          <w:lang w:val="en-US" w:eastAsia="zh-CN"/>
        </w:rPr>
        <w:t>投标</w:t>
      </w:r>
      <w:r>
        <w:rPr>
          <w:rFonts w:hint="eastAsia" w:ascii="宋体" w:hAnsi="宋体" w:cs="宋体"/>
          <w:szCs w:val="24"/>
          <w:highlight w:val="none"/>
        </w:rPr>
        <w:t>报价进行算术校核，具体标准如下：</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（1）如果数字表示的金额和用文字表示的金额不一致时，应以文字表示的金额为准（有以下算术性错误需要修正的除外）；</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（2）如果分项报价累加不等总价的，以分项报价累加为准，修正总价；</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w:t>
      </w:r>
      <w:r>
        <w:rPr>
          <w:rFonts w:hint="eastAsia" w:ascii="宋体" w:hAnsi="宋体" w:cs="宋体"/>
          <w:szCs w:val="24"/>
          <w:highlight w:val="none"/>
          <w:lang w:val="en-US" w:eastAsia="zh-CN"/>
        </w:rPr>
        <w:t>3</w:t>
      </w:r>
      <w:r>
        <w:rPr>
          <w:rFonts w:hint="eastAsia" w:ascii="宋体" w:hAnsi="宋体" w:cs="宋体"/>
          <w:szCs w:val="24"/>
          <w:highlight w:val="none"/>
        </w:rPr>
        <w:t>）投标文件存在其他计算性错误的，按正确的方法计算并修正；</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w:t>
      </w:r>
      <w:r>
        <w:rPr>
          <w:rFonts w:hint="eastAsia" w:ascii="宋体" w:hAnsi="宋体" w:cs="宋体"/>
          <w:szCs w:val="24"/>
          <w:highlight w:val="none"/>
          <w:lang w:val="en-US" w:eastAsia="zh-CN"/>
        </w:rPr>
        <w:t>4</w:t>
      </w:r>
      <w:r>
        <w:rPr>
          <w:rFonts w:hint="eastAsia" w:ascii="宋体" w:hAnsi="宋体" w:cs="宋体"/>
          <w:szCs w:val="24"/>
          <w:highlight w:val="none"/>
        </w:rPr>
        <w:t>）按上述修正错误的原则及方法调整或修正投标文件的投标报价，调整后的投标报价对投标人起约束作用。如果投标人不接受修正后的报价，则取消其投标资格，并且其投标担保也将被没收。</w:t>
      </w:r>
    </w:p>
    <w:p>
      <w:pPr>
        <w:spacing w:line="360" w:lineRule="auto"/>
        <w:ind w:firstLine="420" w:firstLineChars="200"/>
        <w:rPr>
          <w:rFonts w:hint="eastAsia" w:ascii="宋体" w:hAnsi="宋体" w:cs="宋体"/>
          <w:highlight w:val="none"/>
        </w:rPr>
      </w:pPr>
      <w:r>
        <w:rPr>
          <w:rFonts w:hint="eastAsia" w:ascii="宋体" w:hAnsi="宋体" w:cs="宋体"/>
          <w:szCs w:val="24"/>
          <w:highlight w:val="none"/>
        </w:rPr>
        <w:t>3.3.3投标报价评分：</w:t>
      </w:r>
      <w:r>
        <w:rPr>
          <w:rFonts w:hint="eastAsia" w:ascii="宋体" w:hAnsi="宋体" w:eastAsia="宋体" w:cs="宋体"/>
          <w:color w:val="auto"/>
          <w:szCs w:val="21"/>
          <w:highlight w:val="none"/>
          <w:lang w:eastAsia="zh-CN"/>
        </w:rPr>
        <w:t>以通过符合性审查的</w:t>
      </w:r>
      <w:r>
        <w:rPr>
          <w:rFonts w:hint="eastAsia" w:ascii="宋体" w:hAnsi="宋体" w:eastAsia="宋体" w:cs="宋体"/>
          <w:color w:val="auto"/>
          <w:szCs w:val="21"/>
          <w:highlight w:val="none"/>
          <w:lang w:val="en-US" w:eastAsia="zh-CN"/>
        </w:rPr>
        <w:t>所有</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eastAsia="zh-CN"/>
        </w:rPr>
        <w:t>投标报价的算术平均值</w:t>
      </w:r>
      <w:r>
        <w:rPr>
          <w:rFonts w:hint="eastAsia" w:ascii="宋体" w:hAnsi="宋体" w:eastAsia="宋体" w:cs="宋体"/>
          <w:color w:val="auto"/>
          <w:szCs w:val="21"/>
          <w:highlight w:val="none"/>
        </w:rPr>
        <w:t>作为</w:t>
      </w:r>
      <w:r>
        <w:rPr>
          <w:rFonts w:hint="eastAsia" w:ascii="宋体" w:hAnsi="宋体"/>
          <w:color w:val="auto"/>
          <w:highlight w:val="none"/>
        </w:rPr>
        <w:t>为评标参考价；</w:t>
      </w:r>
      <w:r>
        <w:rPr>
          <w:rFonts w:hint="eastAsia" w:ascii="宋体" w:hAnsi="宋体" w:cs="宋体"/>
          <w:highlight w:val="none"/>
        </w:rPr>
        <w:t>投标报价等于评标参考价时得100分，投标价每高于评标参考价1%，扣</w:t>
      </w:r>
      <w:r>
        <w:rPr>
          <w:rFonts w:hint="eastAsia" w:ascii="宋体" w:hAnsi="宋体" w:cs="宋体"/>
          <w:highlight w:val="none"/>
          <w:lang w:val="en-US" w:eastAsia="zh-CN"/>
        </w:rPr>
        <w:t>3</w:t>
      </w:r>
      <w:r>
        <w:rPr>
          <w:rFonts w:hint="eastAsia" w:ascii="宋体" w:hAnsi="宋体" w:cs="宋体"/>
          <w:highlight w:val="none"/>
        </w:rPr>
        <w:t>分，每低于评标参考价1%，扣</w:t>
      </w:r>
      <w:r>
        <w:rPr>
          <w:rFonts w:hint="eastAsia" w:ascii="宋体" w:hAnsi="宋体" w:cs="宋体"/>
          <w:highlight w:val="none"/>
          <w:lang w:val="en-US" w:eastAsia="zh-CN"/>
        </w:rPr>
        <w:t>1.5</w:t>
      </w:r>
      <w:r>
        <w:rPr>
          <w:rFonts w:hint="eastAsia" w:ascii="宋体" w:hAnsi="宋体" w:cs="宋体"/>
          <w:highlight w:val="none"/>
        </w:rPr>
        <w:t>分，扣至0分为止，得出的投标报价得分乘以</w:t>
      </w:r>
      <w:r>
        <w:rPr>
          <w:rFonts w:hint="eastAsia" w:ascii="宋体" w:hAnsi="宋体" w:cs="宋体"/>
          <w:highlight w:val="none"/>
          <w:lang w:val="en-US" w:eastAsia="zh-CN"/>
        </w:rPr>
        <w:t>40</w:t>
      </w:r>
      <w:r>
        <w:rPr>
          <w:rFonts w:hint="eastAsia" w:ascii="宋体" w:hAnsi="宋体" w:cs="宋体"/>
          <w:highlight w:val="none"/>
        </w:rPr>
        <w:t>%作为最终</w:t>
      </w:r>
      <w:r>
        <w:rPr>
          <w:rFonts w:hint="eastAsia" w:ascii="宋体" w:hAnsi="宋体" w:cs="宋体"/>
          <w:szCs w:val="24"/>
          <w:highlight w:val="none"/>
        </w:rPr>
        <w:t>投标报价</w:t>
      </w:r>
      <w:r>
        <w:rPr>
          <w:rFonts w:hint="eastAsia" w:ascii="宋体" w:hAnsi="宋体" w:cs="宋体"/>
          <w:highlight w:val="none"/>
        </w:rPr>
        <w:t>文件得分，精确到小数点后两位，第三位小数四舍五入。</w:t>
      </w:r>
    </w:p>
    <w:p>
      <w:pPr>
        <w:pStyle w:val="5"/>
        <w:keepNext w:val="0"/>
        <w:keepLines w:val="0"/>
        <w:spacing w:before="0" w:after="0" w:line="360" w:lineRule="auto"/>
        <w:ind w:firstLine="560" w:firstLineChars="200"/>
        <w:rPr>
          <w:rFonts w:ascii="宋体" w:eastAsia="宋体"/>
          <w:highlight w:val="none"/>
        </w:rPr>
      </w:pPr>
      <w:bookmarkStart w:id="991" w:name="_Toc27882"/>
      <w:bookmarkStart w:id="992" w:name="_Toc10214"/>
      <w:bookmarkStart w:id="993" w:name="_Toc436834786"/>
      <w:bookmarkStart w:id="994" w:name="_Toc494371578"/>
      <w:bookmarkStart w:id="995" w:name="_Toc10879"/>
      <w:bookmarkStart w:id="996" w:name="_Toc23723"/>
      <w:bookmarkStart w:id="997" w:name="_Toc436834193"/>
      <w:r>
        <w:rPr>
          <w:rFonts w:hint="default" w:ascii="宋体" w:eastAsia="宋体"/>
          <w:highlight w:val="none"/>
        </w:rPr>
        <w:t>3.</w:t>
      </w:r>
      <w:r>
        <w:rPr>
          <w:rFonts w:hint="eastAsia" w:ascii="宋体" w:eastAsia="宋体"/>
          <w:highlight w:val="none"/>
          <w:lang w:val="en-US" w:eastAsia="zh-CN"/>
        </w:rPr>
        <w:t>4</w:t>
      </w:r>
      <w:r>
        <w:rPr>
          <w:rFonts w:hint="default" w:ascii="宋体" w:eastAsia="宋体"/>
          <w:highlight w:val="none"/>
        </w:rPr>
        <w:t>评审汇总</w:t>
      </w:r>
      <w:bookmarkEnd w:id="991"/>
      <w:bookmarkEnd w:id="992"/>
      <w:bookmarkEnd w:id="993"/>
      <w:bookmarkEnd w:id="994"/>
      <w:bookmarkEnd w:id="995"/>
      <w:bookmarkEnd w:id="996"/>
      <w:bookmarkEnd w:id="997"/>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3.5.1投标人总得分满分为100分，总分权重分配见:评标办法前附表。</w:t>
      </w:r>
    </w:p>
    <w:p>
      <w:pPr>
        <w:spacing w:line="360" w:lineRule="auto"/>
        <w:ind w:firstLine="420" w:firstLineChars="200"/>
        <w:rPr>
          <w:rFonts w:hint="eastAsia" w:ascii="宋体" w:hAnsi="宋体" w:cs="宋体"/>
          <w:highlight w:val="none"/>
        </w:rPr>
      </w:pPr>
      <w:r>
        <w:rPr>
          <w:rFonts w:hint="eastAsia" w:ascii="宋体" w:hAnsi="宋体" w:cs="宋体"/>
          <w:szCs w:val="24"/>
          <w:highlight w:val="none"/>
        </w:rPr>
        <w:t>3.5.</w:t>
      </w:r>
      <w:r>
        <w:rPr>
          <w:rFonts w:hint="eastAsia" w:ascii="宋体" w:hAnsi="宋体" w:cs="宋体"/>
          <w:highlight w:val="none"/>
        </w:rPr>
        <w:t>2评评标委员会按照“评标办法前附表”所述公式，计算各有效投标文件的总分，并按照总分从高到低排列先后次序。如存在相同情况，则对具有相同情况的投标人，按中标候选人数量规定，由评标委员会采用记名投票方式，确定中标候选人的排序。评标委员会应按排序先后，在招标文件有效的投标人中，向招标人推荐前3名投标人依次为第一中标候选人至第三中标候选人，并编写评标报告。</w:t>
      </w:r>
    </w:p>
    <w:bookmarkEnd w:id="977"/>
    <w:bookmarkEnd w:id="978"/>
    <w:bookmarkEnd w:id="979"/>
    <w:bookmarkEnd w:id="980"/>
    <w:bookmarkEnd w:id="981"/>
    <w:bookmarkEnd w:id="982"/>
    <w:bookmarkEnd w:id="983"/>
    <w:p>
      <w:pPr>
        <w:pStyle w:val="5"/>
        <w:keepNext w:val="0"/>
        <w:keepLines w:val="0"/>
        <w:spacing w:before="0" w:after="0" w:line="360" w:lineRule="auto"/>
        <w:ind w:firstLine="560" w:firstLineChars="200"/>
        <w:rPr>
          <w:rFonts w:ascii="宋体" w:eastAsia="宋体"/>
          <w:highlight w:val="none"/>
        </w:rPr>
      </w:pPr>
      <w:bookmarkStart w:id="998" w:name="_Toc5720"/>
      <w:bookmarkStart w:id="999" w:name="_Toc28563"/>
      <w:bookmarkStart w:id="1000" w:name="_Toc436834787"/>
      <w:bookmarkStart w:id="1001" w:name="_Toc436834194"/>
      <w:bookmarkStart w:id="1002" w:name="_Toc4315"/>
      <w:bookmarkStart w:id="1003" w:name="_Toc494371579"/>
      <w:bookmarkStart w:id="1004" w:name="_Toc11454"/>
      <w:bookmarkStart w:id="1005" w:name="_Toc399165441"/>
      <w:r>
        <w:rPr>
          <w:rFonts w:ascii="宋体" w:eastAsia="宋体"/>
          <w:highlight w:val="none"/>
        </w:rPr>
        <w:t>3.</w:t>
      </w:r>
      <w:r>
        <w:rPr>
          <w:rFonts w:hint="eastAsia" w:ascii="宋体" w:eastAsia="宋体"/>
          <w:highlight w:val="none"/>
          <w:lang w:val="en-US" w:eastAsia="zh-CN"/>
        </w:rPr>
        <w:t>5</w:t>
      </w:r>
      <w:r>
        <w:rPr>
          <w:rFonts w:ascii="宋体" w:eastAsia="宋体"/>
          <w:highlight w:val="none"/>
        </w:rPr>
        <w:t>投标文件的澄清和补正</w:t>
      </w:r>
      <w:bookmarkEnd w:id="998"/>
      <w:bookmarkEnd w:id="999"/>
      <w:bookmarkEnd w:id="1000"/>
      <w:bookmarkEnd w:id="1001"/>
      <w:bookmarkEnd w:id="1002"/>
      <w:bookmarkEnd w:id="1003"/>
      <w:bookmarkEnd w:id="1004"/>
    </w:p>
    <w:p>
      <w:pPr>
        <w:spacing w:line="360" w:lineRule="auto"/>
        <w:ind w:firstLine="420" w:firstLineChars="200"/>
        <w:rPr>
          <w:rFonts w:hint="eastAsia" w:ascii="宋体" w:hAnsi="宋体" w:cs="宋体"/>
          <w:highlight w:val="none"/>
        </w:rPr>
      </w:pPr>
      <w:r>
        <w:rPr>
          <w:rFonts w:hint="eastAsia" w:ascii="宋体" w:hAnsi="宋体" w:cs="宋体"/>
          <w:highlight w:val="none"/>
        </w:rPr>
        <w:t>3.6.1为有助于投标文件的审查、评价和比较，评标期间，经评标委员会中两人以上（含两人）的成员以书面形式提出动议，评标委员会应当书面发出澄清通知，要求投标人对投标文件含义不明确的内容作出澄清。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360" w:lineRule="auto"/>
        <w:ind w:firstLine="420" w:firstLineChars="200"/>
        <w:rPr>
          <w:rFonts w:hint="eastAsia" w:ascii="宋体" w:hAnsi="宋体" w:cs="宋体"/>
          <w:highlight w:val="none"/>
        </w:rPr>
      </w:pPr>
      <w:r>
        <w:rPr>
          <w:rFonts w:hint="eastAsia" w:ascii="宋体" w:hAnsi="宋体" w:cs="宋体"/>
          <w:highlight w:val="none"/>
        </w:rPr>
        <w:t>3.6.2 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360" w:lineRule="auto"/>
        <w:ind w:firstLine="420" w:firstLineChars="200"/>
        <w:rPr>
          <w:rFonts w:hint="eastAsia" w:ascii="宋体" w:hAnsi="宋体" w:cs="宋体"/>
          <w:highlight w:val="none"/>
        </w:rPr>
      </w:pPr>
      <w:r>
        <w:rPr>
          <w:rFonts w:hint="eastAsia" w:ascii="宋体" w:hAnsi="宋体" w:cs="宋体"/>
          <w:highlight w:val="none"/>
        </w:rPr>
        <w:t>3.6.3 评标委员会成员均应当阅读投标人的澄清，但应独立参考澄清对投标文件进行评审。</w:t>
      </w:r>
    </w:p>
    <w:p>
      <w:pPr>
        <w:spacing w:line="360" w:lineRule="auto"/>
        <w:ind w:firstLine="420" w:firstLineChars="200"/>
        <w:rPr>
          <w:rFonts w:hint="eastAsia" w:ascii="宋体" w:hAnsi="宋体" w:cs="宋体"/>
          <w:highlight w:val="none"/>
        </w:rPr>
      </w:pPr>
      <w:r>
        <w:rPr>
          <w:rFonts w:hint="eastAsia" w:ascii="宋体" w:hAnsi="宋体" w:cs="宋体"/>
          <w:highlight w:val="none"/>
        </w:rPr>
        <w:t>3.6.4如果投标文件实质上不响应招标文件的各项要求，评标委员会相应评审将按照有效性审查标准予以拒绝，不接受投标人通过修改或撤销其不符合要求的差异或保留，使之成为具有响应性的投标。</w:t>
      </w:r>
    </w:p>
    <w:p>
      <w:pPr>
        <w:pStyle w:val="5"/>
        <w:keepNext w:val="0"/>
        <w:keepLines w:val="0"/>
        <w:spacing w:before="0" w:after="0" w:line="360" w:lineRule="auto"/>
        <w:ind w:firstLine="560" w:firstLineChars="200"/>
        <w:rPr>
          <w:rFonts w:ascii="宋体" w:eastAsia="宋体"/>
          <w:highlight w:val="none"/>
        </w:rPr>
      </w:pPr>
      <w:bookmarkStart w:id="1006" w:name="_Toc15072"/>
      <w:bookmarkStart w:id="1007" w:name="_Toc436834788"/>
      <w:bookmarkStart w:id="1008" w:name="_Toc17293"/>
      <w:bookmarkStart w:id="1009" w:name="_Toc436834195"/>
      <w:bookmarkStart w:id="1010" w:name="_Toc4464"/>
      <w:bookmarkStart w:id="1011" w:name="_Toc30749"/>
      <w:bookmarkStart w:id="1012" w:name="_Toc494371580"/>
      <w:r>
        <w:rPr>
          <w:rFonts w:ascii="宋体" w:eastAsia="宋体"/>
          <w:highlight w:val="none"/>
        </w:rPr>
        <w:t>3.</w:t>
      </w:r>
      <w:r>
        <w:rPr>
          <w:rFonts w:hint="eastAsia" w:ascii="宋体" w:eastAsia="宋体"/>
          <w:highlight w:val="none"/>
          <w:lang w:val="en-US" w:eastAsia="zh-CN"/>
        </w:rPr>
        <w:t>6</w:t>
      </w:r>
      <w:r>
        <w:rPr>
          <w:rFonts w:ascii="宋体" w:eastAsia="宋体"/>
          <w:highlight w:val="none"/>
        </w:rPr>
        <w:t>评标结果</w:t>
      </w:r>
      <w:bookmarkEnd w:id="1006"/>
      <w:bookmarkEnd w:id="1007"/>
      <w:bookmarkEnd w:id="1008"/>
      <w:bookmarkEnd w:id="1009"/>
      <w:bookmarkEnd w:id="1010"/>
      <w:bookmarkEnd w:id="1011"/>
      <w:bookmarkEnd w:id="1012"/>
    </w:p>
    <w:p>
      <w:pPr>
        <w:spacing w:line="360" w:lineRule="auto"/>
        <w:ind w:firstLine="420" w:firstLineChars="200"/>
        <w:rPr>
          <w:rFonts w:hint="eastAsia" w:ascii="宋体" w:hAnsi="宋体" w:cs="宋体"/>
          <w:highlight w:val="none"/>
        </w:rPr>
      </w:pPr>
      <w:bookmarkStart w:id="1013" w:name="_Toc436834196"/>
      <w:bookmarkStart w:id="1014" w:name="_Toc436834789"/>
      <w:r>
        <w:rPr>
          <w:rFonts w:hint="eastAsia" w:ascii="宋体" w:hAnsi="宋体" w:cs="宋体"/>
          <w:szCs w:val="24"/>
          <w:highlight w:val="none"/>
        </w:rPr>
        <w:t>评标委员会应按排序先后，在招标文件有效的投标人中，向招标人推荐投标人总得分前3名投标人依次为第一中标候选人至第三中标候选人。</w:t>
      </w:r>
    </w:p>
    <w:p>
      <w:pPr>
        <w:pStyle w:val="4"/>
        <w:spacing w:before="0" w:after="0" w:line="360" w:lineRule="auto"/>
        <w:ind w:firstLine="643" w:firstLineChars="200"/>
        <w:rPr>
          <w:rFonts w:ascii="宋体" w:hAnsi="宋体" w:eastAsia="宋体"/>
          <w:highlight w:val="none"/>
        </w:rPr>
      </w:pPr>
      <w:bookmarkStart w:id="1015" w:name="_Toc18452"/>
      <w:bookmarkStart w:id="1016" w:name="_Toc25035"/>
      <w:bookmarkStart w:id="1017" w:name="_Toc28901"/>
      <w:bookmarkStart w:id="1018" w:name="_Toc5262"/>
      <w:bookmarkStart w:id="1019" w:name="_Toc19275"/>
      <w:bookmarkStart w:id="1020" w:name="_Toc28257"/>
      <w:bookmarkStart w:id="1021" w:name="_Toc23502"/>
      <w:bookmarkStart w:id="1022" w:name="_Toc494371581"/>
      <w:r>
        <w:rPr>
          <w:rFonts w:ascii="宋体" w:hAnsi="宋体" w:eastAsia="宋体"/>
          <w:highlight w:val="none"/>
        </w:rPr>
        <w:t xml:space="preserve">4. </w:t>
      </w:r>
      <w:r>
        <w:rPr>
          <w:rFonts w:hint="default" w:ascii="宋体" w:hAnsi="宋体" w:eastAsia="宋体"/>
          <w:highlight w:val="none"/>
        </w:rPr>
        <w:t>评标表格</w:t>
      </w:r>
      <w:bookmarkEnd w:id="1005"/>
      <w:bookmarkEnd w:id="1013"/>
      <w:bookmarkEnd w:id="1014"/>
      <w:bookmarkEnd w:id="1015"/>
      <w:bookmarkEnd w:id="1016"/>
      <w:bookmarkEnd w:id="1017"/>
      <w:bookmarkEnd w:id="1018"/>
      <w:bookmarkEnd w:id="1019"/>
      <w:bookmarkEnd w:id="1020"/>
      <w:bookmarkEnd w:id="1021"/>
      <w:bookmarkEnd w:id="1022"/>
    </w:p>
    <w:p>
      <w:pPr>
        <w:spacing w:line="400" w:lineRule="exact"/>
        <w:ind w:firstLine="420" w:firstLineChars="200"/>
        <w:rPr>
          <w:rFonts w:ascii="宋体" w:hAnsi="宋体"/>
          <w:highlight w:val="none"/>
        </w:rPr>
      </w:pPr>
      <w:r>
        <w:rPr>
          <w:rFonts w:hint="eastAsia" w:ascii="宋体" w:hAnsi="宋体"/>
          <w:highlight w:val="none"/>
        </w:rPr>
        <w:t>见后附。</w:t>
      </w:r>
    </w:p>
    <w:p>
      <w:pPr>
        <w:spacing w:line="400" w:lineRule="exact"/>
        <w:rPr>
          <w:rFonts w:ascii="宋体" w:hAnsi="宋体"/>
          <w:b/>
          <w:sz w:val="28"/>
          <w:szCs w:val="28"/>
          <w:highlight w:val="none"/>
        </w:rPr>
      </w:pPr>
      <w:r>
        <w:rPr>
          <w:rFonts w:ascii="宋体" w:hAnsi="宋体"/>
          <w:highlight w:val="none"/>
        </w:rPr>
        <w:br w:type="page"/>
      </w:r>
      <w:r>
        <w:rPr>
          <w:rFonts w:hint="eastAsia" w:ascii="宋体" w:hAnsi="宋体"/>
          <w:b/>
          <w:sz w:val="28"/>
          <w:szCs w:val="28"/>
          <w:highlight w:val="none"/>
        </w:rPr>
        <w:t>附表</w:t>
      </w:r>
      <w:r>
        <w:rPr>
          <w:rFonts w:ascii="宋体" w:hAnsi="宋体"/>
          <w:b/>
          <w:sz w:val="28"/>
          <w:szCs w:val="28"/>
          <w:highlight w:val="none"/>
        </w:rPr>
        <w:t xml:space="preserve">1： </w:t>
      </w:r>
    </w:p>
    <w:p>
      <w:pPr>
        <w:jc w:val="center"/>
        <w:rPr>
          <w:rFonts w:ascii="宋体" w:hAnsi="宋体"/>
          <w:b/>
          <w:sz w:val="32"/>
          <w:szCs w:val="32"/>
          <w:highlight w:val="none"/>
        </w:rPr>
      </w:pPr>
      <w:r>
        <w:rPr>
          <w:rFonts w:hint="eastAsia" w:ascii="宋体" w:hAnsi="宋体"/>
          <w:b/>
          <w:sz w:val="32"/>
          <w:szCs w:val="32"/>
          <w:highlight w:val="none"/>
        </w:rPr>
        <w:t>资格审查表</w:t>
      </w:r>
    </w:p>
    <w:p>
      <w:pPr>
        <w:rPr>
          <w:rFonts w:ascii="宋体" w:hAnsi="宋体"/>
          <w:highlight w:val="none"/>
        </w:rPr>
      </w:pPr>
      <w:r>
        <w:rPr>
          <w:rFonts w:hint="eastAsia" w:ascii="宋体" w:hAnsi="宋体"/>
          <w:highlight w:val="none"/>
        </w:rPr>
        <w:t>工程名称：</w:t>
      </w:r>
    </w:p>
    <w:p>
      <w:pPr>
        <w:rPr>
          <w:rFonts w:ascii="宋体" w:hAnsi="宋体"/>
          <w:highlight w:val="none"/>
        </w:rPr>
      </w:pPr>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hint="eastAsia" w:ascii="宋体" w:hAnsi="宋体"/>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highlight w:val="none"/>
              </w:rPr>
            </w:pPr>
            <w:r>
              <w:rPr>
                <w:rFonts w:hint="eastAsia" w:ascii="宋体" w:hAnsi="宋体"/>
                <w:highlight w:val="none"/>
              </w:rPr>
              <w:t>投标人</w:t>
            </w:r>
          </w:p>
          <w:p>
            <w:pPr>
              <w:widowControl/>
              <w:snapToGrid w:val="0"/>
              <w:ind w:right="102"/>
              <w:jc w:val="left"/>
              <w:rPr>
                <w:rFonts w:ascii="宋体" w:hAnsi="宋体"/>
                <w:highlight w:val="none"/>
              </w:rPr>
            </w:pPr>
            <w:r>
              <w:rPr>
                <w:rFonts w:hint="eastAsia" w:ascii="宋体" w:hAnsi="宋体"/>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highlight w:val="none"/>
                <w:lang w:val="en-US" w:eastAsia="zh-CN"/>
              </w:rPr>
            </w:pPr>
            <w:r>
              <w:rPr>
                <w:rFonts w:hint="eastAsia" w:ascii="宋体" w:hAnsi="宋体"/>
                <w:highlight w:val="none"/>
                <w:lang w:val="en-US" w:eastAsia="zh-CN"/>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default" w:ascii="宋体" w:hAnsi="宋体" w:cs="Times New Roman"/>
                <w:kern w:val="2"/>
                <w:szCs w:val="24"/>
                <w:highlight w:val="none"/>
              </w:rPr>
            </w:pPr>
            <w:r>
              <w:rPr>
                <w:rFonts w:hint="eastAsia" w:ascii="宋体" w:hAnsi="宋体" w:cs="宋体"/>
                <w:kern w:val="0"/>
                <w:szCs w:val="21"/>
              </w:rPr>
              <w:t>投标人均具有独立法人资格，按国家法律经营。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highlight w:val="none"/>
                <w:lang w:val="en-US" w:eastAsia="zh-CN"/>
              </w:rPr>
            </w:pPr>
            <w:r>
              <w:rPr>
                <w:rFonts w:hint="eastAsia" w:ascii="宋体" w:hAnsi="宋体"/>
                <w:highlight w:val="none"/>
                <w:lang w:val="en-US" w:eastAsia="zh-CN"/>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default" w:ascii="宋体" w:hAnsi="宋体" w:cs="Times New Roman"/>
                <w:kern w:val="2"/>
                <w:szCs w:val="24"/>
                <w:highlight w:val="none"/>
              </w:rPr>
            </w:pPr>
            <w:r>
              <w:rPr>
                <w:rFonts w:hint="eastAsia" w:ascii="宋体" w:hAnsi="宋体" w:cs="宋体"/>
                <w:kern w:val="0"/>
                <w:szCs w:val="21"/>
              </w:rPr>
              <w:t>投标人持有有效的建设行政主管部门颁发的安全生产许可证。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highlight w:val="none"/>
                <w:lang w:eastAsia="zh-CN"/>
              </w:rPr>
            </w:pPr>
            <w:r>
              <w:rPr>
                <w:rFonts w:hint="eastAsia" w:ascii="宋体" w:hAnsi="宋体"/>
                <w:highlight w:val="none"/>
                <w:lang w:val="en-US" w:eastAsia="zh-CN"/>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r>
              <w:rPr>
                <w:rFonts w:hint="default" w:ascii="宋体" w:hAnsi="宋体" w:cs="Times New Roman"/>
                <w:kern w:val="2"/>
                <w:szCs w:val="24"/>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highlight w:val="none"/>
                <w:lang w:eastAsia="zh-CN"/>
              </w:rPr>
            </w:pPr>
            <w:r>
              <w:rPr>
                <w:rFonts w:hint="eastAsia" w:ascii="宋体" w:hAnsi="宋体"/>
                <w:highlight w:val="none"/>
                <w:lang w:val="en-US" w:eastAsia="zh-CN"/>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u w:val="none"/>
              </w:rPr>
            </w:pPr>
            <w:r>
              <w:rPr>
                <w:rFonts w:hint="default" w:ascii="宋体" w:hAnsi="宋体" w:cs="Times New Roman"/>
                <w:kern w:val="2"/>
                <w:szCs w:val="24"/>
                <w:highlight w:val="none"/>
              </w:rPr>
              <w:t>施工负责人（兼任项目负责人）符合本项目招标公告要求。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highlight w:val="none"/>
                <w:lang w:val="en-US" w:eastAsia="zh-CN"/>
              </w:rPr>
            </w:pPr>
            <w:r>
              <w:rPr>
                <w:rFonts w:hint="eastAsia" w:ascii="宋体" w:hAnsi="宋体"/>
                <w:highlight w:val="none"/>
                <w:lang w:val="en-US" w:eastAsia="zh-CN"/>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default" w:ascii="宋体" w:hAnsi="宋体" w:cs="Times New Roman"/>
                <w:color w:val="auto"/>
                <w:kern w:val="2"/>
                <w:szCs w:val="24"/>
                <w:highlight w:val="none"/>
              </w:rPr>
            </w:pPr>
            <w:r>
              <w:rPr>
                <w:rFonts w:hint="eastAsia" w:ascii="宋体" w:hAnsi="宋体" w:cs="宋体"/>
                <w:kern w:val="0"/>
                <w:szCs w:val="21"/>
              </w:rPr>
              <w:t>项目负责人（施工负责人）安全培训考核合格证（B类）或广东省建筑施工企业管理人员安全生产考核信息系统安全生产管理人员证书信息的打印页。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highlight w:val="none"/>
                <w:lang w:eastAsia="zh-CN"/>
              </w:rPr>
            </w:pPr>
            <w:r>
              <w:rPr>
                <w:rFonts w:hint="eastAsia" w:ascii="宋体" w:hAnsi="宋体"/>
                <w:highlight w:val="none"/>
                <w:lang w:val="en-US" w:eastAsia="zh-CN"/>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r>
              <w:rPr>
                <w:rFonts w:hint="default" w:ascii="宋体" w:hAnsi="宋体" w:cs="Times New Roman"/>
                <w:color w:val="auto"/>
                <w:kern w:val="2"/>
                <w:szCs w:val="24"/>
                <w:highlight w:val="none"/>
              </w:rPr>
              <w:t>专职安全员</w:t>
            </w:r>
            <w:r>
              <w:rPr>
                <w:rFonts w:hint="default" w:ascii="宋体" w:hAnsi="宋体" w:cs="Times New Roman"/>
                <w:color w:val="auto"/>
                <w:kern w:val="2"/>
                <w:szCs w:val="24"/>
                <w:highlight w:val="none"/>
                <w:lang w:val="en-US" w:eastAsia="zh-CN"/>
              </w:rPr>
              <w:t>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highlight w:val="none"/>
                <w:lang w:eastAsia="zh-CN"/>
              </w:rPr>
            </w:pPr>
            <w:r>
              <w:rPr>
                <w:rFonts w:hint="eastAsia" w:ascii="宋体" w:hAnsi="宋体" w:cs="Times New Roman"/>
                <w:highlight w:val="none"/>
                <w:lang w:val="en-US" w:eastAsia="zh-CN"/>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r>
              <w:rPr>
                <w:rFonts w:hint="default" w:ascii="宋体" w:hAnsi="宋体" w:cs="Times New Roman"/>
                <w:kern w:val="2"/>
                <w:szCs w:val="24"/>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cs="Times New Roman"/>
                <w:highlight w:val="none"/>
                <w:lang w:val="en-US" w:eastAsia="zh-CN"/>
              </w:rPr>
            </w:pPr>
            <w:r>
              <w:rPr>
                <w:rFonts w:hint="eastAsia" w:ascii="宋体" w:hAnsi="宋体" w:cs="Times New Roman"/>
                <w:highlight w:val="none"/>
                <w:lang w:val="en-US" w:eastAsia="zh-CN"/>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default" w:ascii="宋体" w:hAnsi="宋体" w:eastAsia="宋体" w:cs="Times New Roman"/>
                <w:highlight w:val="none"/>
              </w:rPr>
            </w:pPr>
            <w:r>
              <w:rPr>
                <w:rFonts w:hint="eastAsia" w:ascii="宋体" w:hAnsi="宋体"/>
              </w:rPr>
              <w:t>投标人未出现以下情形：与其它投标人的单位负责人为同一人或者存在控股、管理关系的（按投标人提供的《投标申请人声明》的内容进行评审）。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szCs w:val="24"/>
                <w:highlight w:val="none"/>
              </w:rPr>
            </w:pPr>
            <w:r>
              <w:rPr>
                <w:rFonts w:hint="default" w:ascii="宋体" w:hAnsi="宋体"/>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bl>
    <w:p>
      <w:pPr>
        <w:rPr>
          <w:rFonts w:ascii="宋体" w:hAnsi="宋体" w:cs="宋体"/>
          <w:szCs w:val="21"/>
          <w:highlight w:val="none"/>
        </w:rPr>
      </w:pPr>
      <w:r>
        <w:rPr>
          <w:rFonts w:hint="eastAsia" w:ascii="宋体" w:hAnsi="宋体"/>
          <w:highlight w:val="none"/>
        </w:rPr>
        <w:t>备注：</w:t>
      </w:r>
      <w:r>
        <w:rPr>
          <w:rFonts w:hint="eastAsia" w:ascii="宋体" w:hAnsi="宋体" w:cs="宋体"/>
          <w:szCs w:val="21"/>
          <w:highlight w:val="none"/>
        </w:rPr>
        <w:t>1.根据本表审查项目，符合的填“○”，不符合的填“×”，评审结论填“通过“或“不通过”。</w:t>
      </w:r>
    </w:p>
    <w:p>
      <w:pPr>
        <w:ind w:firstLine="630" w:firstLineChars="300"/>
        <w:rPr>
          <w:rFonts w:ascii="宋体" w:hAnsi="宋体" w:cs="宋体"/>
          <w:szCs w:val="21"/>
          <w:highlight w:val="none"/>
        </w:rPr>
      </w:pPr>
      <w:r>
        <w:rPr>
          <w:rFonts w:hint="eastAsia" w:ascii="宋体" w:hAnsi="宋体" w:cs="宋体"/>
          <w:szCs w:val="21"/>
          <w:highlight w:val="none"/>
        </w:rPr>
        <w:t>2.本表中出现一个（或以上）“×”，投标人的评审结论为“不通过”，即该投标人不进入下一阶段评审。</w:t>
      </w:r>
    </w:p>
    <w:p>
      <w:pPr>
        <w:ind w:firstLine="630" w:firstLineChars="300"/>
        <w:rPr>
          <w:rFonts w:ascii="宋体" w:hAnsi="宋体" w:cs="宋体"/>
          <w:szCs w:val="21"/>
          <w:highlight w:val="none"/>
        </w:rPr>
      </w:pPr>
      <w:r>
        <w:rPr>
          <w:rFonts w:hint="eastAsia" w:ascii="宋体" w:hAnsi="宋体" w:cs="宋体"/>
          <w:szCs w:val="21"/>
          <w:highlight w:val="none"/>
        </w:rPr>
        <w:t>3.本表中评审项目全部为“○”，投标人的评审结论为“通过”，即该投标人进入下一阶段评审</w:t>
      </w:r>
    </w:p>
    <w:p>
      <w:pPr>
        <w:ind w:firstLine="630" w:firstLineChars="300"/>
        <w:rPr>
          <w:rFonts w:ascii="宋体" w:hAnsi="宋体"/>
          <w:highlight w:val="none"/>
        </w:rPr>
      </w:pPr>
      <w:r>
        <w:rPr>
          <w:rFonts w:hint="eastAsia" w:ascii="宋体" w:hAnsi="宋体" w:cs="宋体"/>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highlight w:val="none"/>
        </w:rPr>
      </w:pPr>
    </w:p>
    <w:p>
      <w:pPr>
        <w:widowControl/>
        <w:snapToGrid w:val="0"/>
        <w:spacing w:line="240" w:lineRule="auto"/>
        <w:ind w:right="102"/>
        <w:jc w:val="left"/>
        <w:rPr>
          <w:rFonts w:ascii="宋体" w:hAnsi="宋体"/>
          <w:szCs w:val="21"/>
          <w:highlight w:val="none"/>
        </w:rPr>
      </w:pPr>
      <w:r>
        <w:rPr>
          <w:rFonts w:hint="eastAsia" w:ascii="宋体" w:hAnsi="宋体"/>
          <w:highlight w:val="none"/>
        </w:rPr>
        <w:t>评委签名：</w:t>
      </w:r>
      <w:r>
        <w:rPr>
          <w:rFonts w:ascii="宋体" w:hAnsi="宋体"/>
          <w:szCs w:val="21"/>
          <w:highlight w:val="none"/>
        </w:rPr>
        <w:t xml:space="preserve">                     </w:t>
      </w:r>
      <w:r>
        <w:rPr>
          <w:rFonts w:hint="eastAsia" w:ascii="宋体" w:hAnsi="宋体"/>
          <w:szCs w:val="21"/>
          <w:highlight w:val="none"/>
          <w:lang w:val="en-US" w:eastAsia="zh-CN"/>
        </w:rPr>
        <w:t xml:space="preserve">                                    </w:t>
      </w:r>
      <w:r>
        <w:rPr>
          <w:rFonts w:ascii="宋体" w:hAnsi="宋体"/>
          <w:szCs w:val="21"/>
          <w:highlight w:val="none"/>
        </w:rPr>
        <w:t>日期：</w:t>
      </w: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bookmarkStart w:id="1127" w:name="_GoBack"/>
      <w:bookmarkEnd w:id="1127"/>
    </w:p>
    <w:p>
      <w:pPr>
        <w:spacing w:line="400" w:lineRule="exact"/>
        <w:rPr>
          <w:rFonts w:ascii="宋体" w:hAnsi="宋体" w:eastAsia="宋体"/>
          <w:b/>
          <w:sz w:val="28"/>
          <w:szCs w:val="28"/>
        </w:rPr>
      </w:pPr>
      <w:r>
        <w:rPr>
          <w:rFonts w:hint="eastAsia" w:ascii="宋体" w:hAnsi="宋体" w:eastAsia="宋体"/>
          <w:b/>
          <w:sz w:val="28"/>
          <w:szCs w:val="28"/>
        </w:rPr>
        <w:t>附表2</w:t>
      </w:r>
      <w:r>
        <w:rPr>
          <w:rFonts w:ascii="宋体" w:hAnsi="宋体" w:eastAsia="宋体"/>
          <w:b/>
          <w:sz w:val="28"/>
          <w:szCs w:val="28"/>
        </w:rPr>
        <w:t xml:space="preserve">： </w:t>
      </w:r>
    </w:p>
    <w:p>
      <w:pPr>
        <w:widowControl/>
        <w:jc w:val="left"/>
        <w:rPr>
          <w:rFonts w:ascii="宋体" w:hAnsi="宋体" w:eastAsia="宋体"/>
        </w:r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工程实施方案（含资信部分）文件有效性审查表</w:t>
      </w:r>
    </w:p>
    <w:p>
      <w:pPr>
        <w:tabs>
          <w:tab w:val="left" w:pos="720"/>
        </w:tabs>
        <w:snapToGrid w:val="0"/>
        <w:spacing w:line="360" w:lineRule="auto"/>
        <w:rPr>
          <w:rFonts w:ascii="宋体" w:hAnsi="宋体" w:eastAsia="宋体"/>
          <w:bCs/>
          <w:szCs w:val="21"/>
        </w:rPr>
      </w:pPr>
      <w:r>
        <w:rPr>
          <w:rFonts w:hint="eastAsia" w:ascii="宋体" w:hAnsi="宋体" w:eastAsia="宋体"/>
          <w:bCs/>
          <w:szCs w:val="21"/>
        </w:rPr>
        <w:t>工程名称：</w:t>
      </w:r>
    </w:p>
    <w:tbl>
      <w:tblPr>
        <w:tblStyle w:val="39"/>
        <w:tblW w:w="9582" w:type="dxa"/>
        <w:jc w:val="center"/>
        <w:tblLayout w:type="fixed"/>
        <w:tblCellMar>
          <w:top w:w="0" w:type="dxa"/>
          <w:left w:w="108" w:type="dxa"/>
          <w:bottom w:w="0" w:type="dxa"/>
          <w:right w:w="108" w:type="dxa"/>
        </w:tblCellMar>
      </w:tblPr>
      <w:tblGrid>
        <w:gridCol w:w="672"/>
        <w:gridCol w:w="5733"/>
        <w:gridCol w:w="1059"/>
        <w:gridCol w:w="1059"/>
        <w:gridCol w:w="1059"/>
      </w:tblGrid>
      <w:tr>
        <w:tblPrEx>
          <w:tblCellMar>
            <w:top w:w="0" w:type="dxa"/>
            <w:left w:w="108" w:type="dxa"/>
            <w:bottom w:w="0" w:type="dxa"/>
            <w:right w:w="108" w:type="dxa"/>
          </w:tblCellMar>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eastAsia="宋体"/>
                <w:szCs w:val="21"/>
              </w:rPr>
            </w:pPr>
            <w:r>
              <w:rPr>
                <w:rFonts w:hint="eastAsia" w:ascii="宋体" w:hAnsi="宋体" w:eastAsia="宋体"/>
                <w:szCs w:val="21"/>
              </w:rPr>
              <w:t>投标单位</w:t>
            </w:r>
          </w:p>
          <w:p>
            <w:pPr>
              <w:rPr>
                <w:rFonts w:ascii="宋体" w:hAnsi="宋体" w:eastAsia="宋体"/>
                <w:szCs w:val="21"/>
              </w:rPr>
            </w:pPr>
            <w:r>
              <w:rPr>
                <w:rFonts w:hint="eastAsia" w:ascii="宋体" w:hAnsi="宋体" w:eastAsia="宋体"/>
                <w:szCs w:val="21"/>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highlight w:val="none"/>
              </w:rPr>
              <w:t>1</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eastAsia="宋体"/>
                <w:szCs w:val="21"/>
              </w:rPr>
            </w:pPr>
            <w:r>
              <w:rPr>
                <w:rFonts w:hint="eastAsia" w:eastAsia="宋体"/>
                <w:szCs w:val="21"/>
                <w:highlight w:val="none"/>
              </w:rPr>
              <w:t>投标文件所列投标人名称与投标登记一致。</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r>
      <w:tr>
        <w:tblPrEx>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highlight w:val="none"/>
              </w:rPr>
              <w:t>2</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eastAsia="宋体"/>
                <w:szCs w:val="21"/>
              </w:rPr>
            </w:pPr>
            <w:r>
              <w:rPr>
                <w:rFonts w:hint="eastAsia" w:eastAsia="宋体"/>
                <w:szCs w:val="21"/>
                <w:highlight w:val="none"/>
              </w:rPr>
              <w:t>能满足完成投标项目工期的。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r>
      <w:tr>
        <w:tblPrEx>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highlight w:val="none"/>
              </w:rPr>
              <w:t>3</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eastAsia="宋体"/>
              </w:rPr>
            </w:pPr>
            <w:r>
              <w:rPr>
                <w:rFonts w:hint="eastAsia" w:eastAsia="宋体"/>
                <w:szCs w:val="21"/>
                <w:highlight w:val="none"/>
              </w:rPr>
              <w:t>符合招标文件质量要求的。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highlight w:val="none"/>
              </w:rPr>
              <w:t>4</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eastAsia="宋体"/>
                <w:szCs w:val="21"/>
              </w:rPr>
            </w:pPr>
            <w:r>
              <w:rPr>
                <w:rFonts w:hint="eastAsia" w:eastAsia="宋体"/>
                <w:szCs w:val="21"/>
                <w:highlight w:val="none"/>
              </w:rPr>
              <w:t>投标文件的封面有加盖投标单位的法定印章的。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highlight w:val="none"/>
              </w:rPr>
              <w:t>5</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eastAsia="宋体"/>
                <w:szCs w:val="21"/>
              </w:rPr>
            </w:pPr>
            <w:r>
              <w:rPr>
                <w:rFonts w:hint="eastAsia" w:eastAsia="宋体"/>
                <w:szCs w:val="21"/>
                <w:highlight w:val="none"/>
              </w:rPr>
              <w:t>投标文件按规定的格式填写，主要内容</w:t>
            </w:r>
            <w:r>
              <w:rPr>
                <w:rFonts w:hint="eastAsia" w:eastAsia="宋体"/>
                <w:szCs w:val="21"/>
                <w:highlight w:val="none"/>
                <w:lang w:val="en-US" w:eastAsia="zh-CN"/>
              </w:rPr>
              <w:t>齐</w:t>
            </w:r>
            <w:r>
              <w:rPr>
                <w:rFonts w:hint="eastAsia" w:eastAsia="宋体"/>
                <w:szCs w:val="21"/>
                <w:highlight w:val="none"/>
              </w:rPr>
              <w:t>全。</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highlight w:val="none"/>
                <w:lang w:val="en-US" w:eastAsia="zh-CN"/>
              </w:rPr>
              <w:t>6</w:t>
            </w:r>
          </w:p>
        </w:tc>
        <w:tc>
          <w:tcPr>
            <w:tcW w:w="5733" w:type="dxa"/>
            <w:tcBorders>
              <w:top w:val="single" w:color="auto" w:sz="4" w:space="0"/>
              <w:left w:val="single" w:color="auto" w:sz="4" w:space="0"/>
              <w:bottom w:val="single" w:color="auto" w:sz="4" w:space="0"/>
              <w:right w:val="single" w:color="auto" w:sz="4" w:space="0"/>
            </w:tcBorders>
            <w:vAlign w:val="top"/>
          </w:tcPr>
          <w:p>
            <w:pPr>
              <w:adjustRightInd w:val="0"/>
              <w:spacing w:line="360" w:lineRule="auto"/>
              <w:rPr>
                <w:rFonts w:ascii="宋体" w:hAnsi="宋体" w:eastAsia="宋体"/>
                <w:szCs w:val="21"/>
              </w:rPr>
            </w:pPr>
            <w:r>
              <w:rPr>
                <w:rFonts w:hint="eastAsia" w:eastAsia="宋体"/>
                <w:szCs w:val="21"/>
                <w:highlight w:val="none"/>
                <w:lang w:val="en-US" w:eastAsia="zh-CN"/>
              </w:rPr>
              <w:t>不</w:t>
            </w:r>
            <w:r>
              <w:rPr>
                <w:rFonts w:hint="eastAsia" w:eastAsia="宋体"/>
                <w:szCs w:val="21"/>
                <w:highlight w:val="none"/>
              </w:rPr>
              <w:t>存在串通投标情形（串通投标情形以《中华人民共和国招标投标法实施条例》的规定为准）。</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rPr>
            </w:pPr>
          </w:p>
        </w:tc>
      </w:tr>
      <w:tr>
        <w:tblPrEx>
          <w:tblCellMar>
            <w:top w:w="0" w:type="dxa"/>
            <w:left w:w="108" w:type="dxa"/>
            <w:bottom w:w="0" w:type="dxa"/>
            <w:right w:w="108" w:type="dxa"/>
          </w:tblCellMar>
        </w:tblPrEx>
        <w:trPr>
          <w:trHeight w:val="4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highlight w:val="none"/>
              </w:rPr>
              <w:t>结论</w:t>
            </w:r>
          </w:p>
        </w:tc>
        <w:tc>
          <w:tcPr>
            <w:tcW w:w="57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highlight w:val="none"/>
              </w:rPr>
              <w:t>是否通过并进入下一阶段评审</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shd w:val="pct10" w:color="auto" w:fill="FFFFFF"/>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shd w:val="pct10" w:color="auto" w:fill="FFFFFF"/>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Cs w:val="21"/>
                <w:shd w:val="pct10" w:color="auto" w:fill="FFFFFF"/>
              </w:rPr>
            </w:pPr>
          </w:p>
        </w:tc>
      </w:tr>
    </w:tbl>
    <w:p>
      <w:pPr>
        <w:tabs>
          <w:tab w:val="left" w:pos="720"/>
        </w:tabs>
        <w:snapToGrid w:val="0"/>
        <w:rPr>
          <w:rFonts w:ascii="宋体" w:hAnsi="宋体" w:eastAsia="宋体" w:cs="宋体"/>
          <w:bCs/>
          <w:szCs w:val="21"/>
        </w:rPr>
      </w:pPr>
      <w:r>
        <w:rPr>
          <w:rFonts w:hint="eastAsia" w:ascii="宋体" w:hAnsi="宋体" w:eastAsia="宋体"/>
          <w:szCs w:val="21"/>
        </w:rPr>
        <w:t>注：</w:t>
      </w:r>
      <w:r>
        <w:rPr>
          <w:rFonts w:hint="eastAsia" w:ascii="宋体" w:hAnsi="宋体" w:eastAsia="宋体" w:cs="宋体"/>
          <w:bCs/>
          <w:szCs w:val="21"/>
        </w:rPr>
        <w:t>1、根据本表的审查项目，符合的填“○”，不符合的填“×”，评审结论填“通过“或“不通过”。</w:t>
      </w:r>
    </w:p>
    <w:p>
      <w:pPr>
        <w:tabs>
          <w:tab w:val="left" w:pos="720"/>
        </w:tabs>
        <w:snapToGrid w:val="0"/>
        <w:ind w:firstLine="420" w:firstLineChars="200"/>
        <w:rPr>
          <w:rFonts w:ascii="宋体" w:hAnsi="宋体" w:eastAsia="宋体" w:cs="宋体"/>
          <w:bCs/>
          <w:szCs w:val="21"/>
        </w:rPr>
      </w:pPr>
      <w:r>
        <w:rPr>
          <w:rFonts w:hint="eastAsia" w:ascii="宋体" w:hAnsi="宋体" w:eastAsia="宋体" w:cs="宋体"/>
          <w:bCs/>
          <w:szCs w:val="21"/>
        </w:rPr>
        <w:t>2、表中出现一个或以上“×”，即该投标人的评审“结论”为“不通过”，即该投标人不进入下一阶段评审。</w:t>
      </w:r>
    </w:p>
    <w:p>
      <w:pPr>
        <w:tabs>
          <w:tab w:val="left" w:pos="720"/>
        </w:tabs>
        <w:snapToGrid w:val="0"/>
        <w:ind w:firstLine="420" w:firstLineChars="200"/>
        <w:rPr>
          <w:rFonts w:ascii="宋体" w:hAnsi="宋体" w:eastAsia="宋体" w:cs="宋体"/>
          <w:bCs/>
          <w:szCs w:val="21"/>
        </w:rPr>
      </w:pPr>
      <w:r>
        <w:rPr>
          <w:rFonts w:hint="eastAsia" w:ascii="宋体" w:hAnsi="宋体" w:eastAsia="宋体" w:cs="宋体"/>
          <w:bCs/>
          <w:szCs w:val="21"/>
        </w:rPr>
        <w:t>3、表中全部评审结果为“○”，即该投标人的评审结论为“通过”。</w:t>
      </w:r>
    </w:p>
    <w:p>
      <w:pPr>
        <w:ind w:firstLine="420" w:firstLineChars="200"/>
        <w:rPr>
          <w:rFonts w:eastAsia="宋体"/>
        </w:rPr>
      </w:pPr>
      <w:r>
        <w:rPr>
          <w:rFonts w:hint="eastAsia" w:ascii="宋体" w:hAnsi="宋体" w:eastAsia="宋体" w:cs="宋体"/>
          <w:bCs/>
          <w:szCs w:val="21"/>
        </w:rPr>
        <w:t>4、若评委意见不一致时，则按少数服从多数的原则，决定该投标人是否通过符合性审查，进入下一阶段评审。</w:t>
      </w:r>
    </w:p>
    <w:p>
      <w:pPr>
        <w:widowControl w:val="0"/>
        <w:jc w:val="both"/>
        <w:rPr>
          <w:rFonts w:ascii="Calibri" w:hAnsi="宋体" w:eastAsia="宋体" w:cs="Times New Roman"/>
          <w:kern w:val="2"/>
          <w:sz w:val="20"/>
          <w:szCs w:val="21"/>
          <w:lang w:val="en-US" w:eastAsia="zh-CN" w:bidi="ar-SA"/>
        </w:rPr>
      </w:pPr>
    </w:p>
    <w:p>
      <w:pPr>
        <w:widowControl w:val="0"/>
        <w:jc w:val="both"/>
        <w:rPr>
          <w:rFonts w:ascii="Calibri" w:hAnsi="宋体" w:eastAsia="宋体" w:cs="Times New Roman"/>
          <w:b/>
          <w:kern w:val="2"/>
          <w:sz w:val="21"/>
          <w:szCs w:val="21"/>
          <w:lang w:val="en-US" w:eastAsia="zh-CN" w:bidi="ar-SA"/>
        </w:rPr>
      </w:pPr>
      <w:r>
        <w:rPr>
          <w:rFonts w:hint="eastAsia" w:ascii="Calibri" w:hAnsi="宋体" w:eastAsia="宋体" w:cs="Times New Roman"/>
          <w:kern w:val="2"/>
          <w:sz w:val="21"/>
          <w:szCs w:val="21"/>
          <w:lang w:val="en-US" w:eastAsia="zh-CN" w:bidi="ar-SA"/>
        </w:rPr>
        <w:t>评委签名：                                      日期：</w:t>
      </w:r>
    </w:p>
    <w:p>
      <w:pPr>
        <w:pStyle w:val="47"/>
        <w:rPr>
          <w:rFonts w:ascii="宋体" w:hAnsi="宋体"/>
          <w:szCs w:val="21"/>
          <w:highlight w:val="none"/>
        </w:rPr>
        <w:sectPr>
          <w:pgSz w:w="11906" w:h="16838"/>
          <w:pgMar w:top="1418" w:right="1247" w:bottom="1418" w:left="1247" w:header="851" w:footer="992" w:gutter="0"/>
          <w:pgBorders>
            <w:top w:val="none" w:sz="0" w:space="0"/>
            <w:left w:val="none" w:sz="0" w:space="0"/>
            <w:bottom w:val="none" w:sz="0" w:space="0"/>
            <w:right w:val="none" w:sz="0" w:space="0"/>
          </w:pgBorders>
          <w:cols w:space="720" w:num="1"/>
          <w:docGrid w:type="lines" w:linePitch="312" w:charSpace="0"/>
        </w:sectPr>
      </w:pPr>
    </w:p>
    <w:p>
      <w:pPr>
        <w:rPr>
          <w:rFonts w:ascii="宋体" w:hAnsi="宋体"/>
          <w:szCs w:val="21"/>
          <w:highlight w:val="none"/>
        </w:rPr>
      </w:pPr>
      <w:r>
        <w:rPr>
          <w:rFonts w:hint="eastAsia" w:ascii="宋体" w:hAnsi="宋体"/>
          <w:b/>
          <w:sz w:val="28"/>
          <w:szCs w:val="28"/>
          <w:highlight w:val="none"/>
        </w:rPr>
        <w:t>附表</w:t>
      </w:r>
      <w:r>
        <w:rPr>
          <w:rFonts w:hint="eastAsia" w:ascii="宋体" w:hAnsi="宋体"/>
          <w:b/>
          <w:sz w:val="28"/>
          <w:szCs w:val="28"/>
          <w:highlight w:val="none"/>
          <w:lang w:val="en-US" w:eastAsia="zh-CN"/>
        </w:rPr>
        <w:t>3</w:t>
      </w:r>
      <w:r>
        <w:rPr>
          <w:rFonts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工程实施方案（含资信部分）文件评分表</w:t>
      </w:r>
    </w:p>
    <w:p>
      <w:pPr>
        <w:jc w:val="left"/>
        <w:rPr>
          <w:szCs w:val="21"/>
          <w:highlight w:val="none"/>
        </w:rPr>
      </w:pPr>
      <w:r>
        <w:rPr>
          <w:rFonts w:hint="eastAsia"/>
          <w:szCs w:val="21"/>
          <w:highlight w:val="none"/>
        </w:rPr>
        <w:t>项目名称：</w:t>
      </w:r>
    </w:p>
    <w:tbl>
      <w:tblPr>
        <w:tblStyle w:val="40"/>
        <w:tblW w:w="1449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728"/>
        <w:gridCol w:w="496"/>
        <w:gridCol w:w="1006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评分项目</w:t>
            </w:r>
          </w:p>
        </w:tc>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评分内容</w:t>
            </w:r>
          </w:p>
        </w:tc>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分值</w:t>
            </w:r>
          </w:p>
        </w:tc>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评审标准</w:t>
            </w:r>
          </w:p>
        </w:tc>
        <w:tc>
          <w:tcPr>
            <w:tcW w:w="668" w:type="dxa"/>
            <w:vAlign w:val="center"/>
          </w:tcPr>
          <w:p>
            <w:pPr>
              <w:spacing w:line="360" w:lineRule="exact"/>
              <w:jc w:val="center"/>
              <w:rPr>
                <w:rFonts w:hint="eastAsia" w:eastAsia="宋体"/>
                <w:szCs w:val="21"/>
                <w:highlight w:val="none"/>
                <w:lang w:val="en-US" w:eastAsia="zh-CN"/>
              </w:rPr>
            </w:pPr>
            <w:r>
              <w:rPr>
                <w:rFonts w:hint="eastAsia"/>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0" w:type="auto"/>
            <w:vMerge w:val="restart"/>
            <w:vAlign w:val="center"/>
          </w:tcPr>
          <w:p>
            <w:pPr>
              <w:spacing w:line="360" w:lineRule="exact"/>
              <w:jc w:val="center"/>
              <w:rPr>
                <w:rFonts w:hint="eastAsia" w:ascii="Calibri" w:hAnsi="Calibri"/>
                <w:b w:val="0"/>
                <w:sz w:val="21"/>
                <w:szCs w:val="21"/>
                <w:highlight w:val="none"/>
                <w:vertAlign w:val="baseline"/>
              </w:rPr>
            </w:pPr>
            <w:r>
              <w:rPr>
                <w:rFonts w:hint="eastAsia" w:ascii="宋体" w:hAnsi="宋体" w:cs="宋体"/>
                <w:b w:val="0"/>
                <w:sz w:val="21"/>
                <w:szCs w:val="21"/>
                <w:highlight w:val="none"/>
                <w:vertAlign w:val="baseline"/>
              </w:rPr>
              <w:t>一、企业资信及团队实力（</w:t>
            </w:r>
            <w:r>
              <w:rPr>
                <w:rFonts w:hint="eastAsia" w:ascii="宋体" w:hAnsi="宋体" w:cs="宋体"/>
                <w:b w:val="0"/>
                <w:sz w:val="21"/>
                <w:szCs w:val="21"/>
                <w:highlight w:val="none"/>
                <w:vertAlign w:val="baseline"/>
                <w:lang w:val="en-US" w:eastAsia="zh-CN"/>
              </w:rPr>
              <w:t>3</w:t>
            </w:r>
            <w:r>
              <w:rPr>
                <w:rFonts w:hint="eastAsia" w:ascii="宋体" w:hAnsi="宋体" w:eastAsia="宋体" w:cs="宋体"/>
                <w:b w:val="0"/>
                <w:sz w:val="21"/>
                <w:szCs w:val="21"/>
                <w:highlight w:val="none"/>
                <w:vertAlign w:val="baseline"/>
                <w:lang w:val="en-US" w:eastAsia="zh-CN"/>
              </w:rPr>
              <w:t>0</w:t>
            </w:r>
            <w:r>
              <w:rPr>
                <w:rFonts w:hint="eastAsia" w:ascii="宋体" w:hAnsi="宋体" w:cs="宋体"/>
                <w:b w:val="0"/>
                <w:sz w:val="21"/>
                <w:szCs w:val="21"/>
                <w:highlight w:val="none"/>
                <w:vertAlign w:val="baseline"/>
              </w:rPr>
              <w:t>分）</w:t>
            </w: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b w:val="0"/>
                <w:sz w:val="21"/>
                <w:szCs w:val="21"/>
                <w:highlight w:val="none"/>
                <w:vertAlign w:val="baseline"/>
                <w:lang w:val="en-US" w:eastAsia="zh-CN"/>
              </w:rPr>
              <w:t>认证体系</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eastAsia="宋体" w:cs="宋体"/>
                <w:b w:val="0"/>
                <w:sz w:val="21"/>
                <w:szCs w:val="21"/>
                <w:highlight w:val="none"/>
                <w:vertAlign w:val="baseline"/>
                <w:lang w:eastAsia="zh-CN"/>
              </w:rPr>
              <w:t>3</w:t>
            </w:r>
          </w:p>
        </w:tc>
        <w:tc>
          <w:tcPr>
            <w:tcW w:w="0" w:type="auto"/>
            <w:vAlign w:val="center"/>
          </w:tcPr>
          <w:p>
            <w:pPr>
              <w:pStyle w:val="69"/>
              <w:wordWrap w:val="0"/>
              <w:topLinePunct/>
              <w:adjustRightInd w:val="0"/>
              <w:spacing w:line="360" w:lineRule="exact"/>
              <w:rPr>
                <w:rFonts w:hint="eastAsia" w:ascii="宋体" w:hAnsi="宋体" w:eastAsia="宋体" w:cs="宋体"/>
                <w:b w:val="0"/>
                <w:bCs w:val="0"/>
                <w:kern w:val="0"/>
                <w:szCs w:val="21"/>
                <w:highlight w:val="none"/>
              </w:rPr>
            </w:pPr>
            <w:r>
              <w:rPr>
                <w:rFonts w:hint="eastAsia" w:ascii="宋体" w:hAnsi="宋体" w:eastAsia="宋体" w:cs="宋体"/>
                <w:kern w:val="0"/>
                <w:szCs w:val="21"/>
                <w:highlight w:val="none"/>
              </w:rPr>
              <w:t>投标人具有有效的质量管理体系认证证书、环境管理体系认证证书、职业健康安全管理体系认证证书，每</w:t>
            </w:r>
            <w:r>
              <w:rPr>
                <w:rFonts w:hint="eastAsia" w:ascii="宋体" w:hAnsi="宋体" w:cs="宋体"/>
                <w:kern w:val="0"/>
                <w:szCs w:val="21"/>
                <w:highlight w:val="none"/>
                <w:lang w:val="en-US" w:eastAsia="zh-CN"/>
              </w:rPr>
              <w:t>提供</w:t>
            </w:r>
            <w:r>
              <w:rPr>
                <w:rFonts w:hint="eastAsia" w:ascii="宋体" w:hAnsi="宋体" w:eastAsia="宋体" w:cs="宋体"/>
                <w:kern w:val="0"/>
                <w:szCs w:val="21"/>
                <w:highlight w:val="none"/>
              </w:rPr>
              <w:t>一</w:t>
            </w:r>
            <w:r>
              <w:rPr>
                <w:rFonts w:hint="eastAsia" w:ascii="宋体" w:hAnsi="宋体" w:eastAsia="宋体" w:cs="宋体"/>
                <w:b w:val="0"/>
                <w:bCs w:val="0"/>
                <w:kern w:val="0"/>
                <w:szCs w:val="21"/>
                <w:highlight w:val="none"/>
              </w:rPr>
              <w:t>个证书</w:t>
            </w:r>
            <w:r>
              <w:rPr>
                <w:rFonts w:hint="eastAsia" w:ascii="宋体" w:hAnsi="宋体" w:eastAsia="宋体" w:cs="宋体"/>
                <w:b w:val="0"/>
                <w:bCs w:val="0"/>
                <w:kern w:val="0"/>
                <w:szCs w:val="21"/>
                <w:highlight w:val="none"/>
                <w:shd w:val="clear"/>
                <w:lang w:val="en-US" w:eastAsia="zh-CN"/>
              </w:rPr>
              <w:t>得1</w:t>
            </w:r>
            <w:r>
              <w:rPr>
                <w:rFonts w:hint="eastAsia" w:ascii="宋体" w:hAnsi="宋体" w:eastAsia="宋体" w:cs="宋体"/>
                <w:b w:val="0"/>
                <w:bCs w:val="0"/>
                <w:kern w:val="0"/>
                <w:szCs w:val="21"/>
                <w:highlight w:val="none"/>
                <w:shd w:val="clear"/>
              </w:rPr>
              <w:t>分</w:t>
            </w:r>
            <w:r>
              <w:rPr>
                <w:rFonts w:hint="eastAsia" w:ascii="宋体" w:hAnsi="宋体" w:eastAsia="宋体" w:cs="宋体"/>
                <w:b w:val="0"/>
                <w:bCs w:val="0"/>
                <w:kern w:val="0"/>
                <w:szCs w:val="21"/>
                <w:highlight w:val="none"/>
              </w:rPr>
              <w:t>。本项最高</w:t>
            </w:r>
            <w:r>
              <w:rPr>
                <w:rFonts w:hint="eastAsia" w:ascii="宋体" w:hAnsi="宋体" w:eastAsia="宋体" w:cs="宋体"/>
                <w:b w:val="0"/>
                <w:bCs w:val="0"/>
                <w:kern w:val="0"/>
                <w:szCs w:val="21"/>
                <w:highlight w:val="none"/>
                <w:shd w:val="clear"/>
              </w:rPr>
              <w:t>得</w:t>
            </w:r>
            <w:r>
              <w:rPr>
                <w:rFonts w:hint="eastAsia" w:ascii="宋体" w:hAnsi="宋体" w:eastAsia="宋体" w:cs="宋体"/>
                <w:b w:val="0"/>
                <w:bCs w:val="0"/>
                <w:kern w:val="0"/>
                <w:szCs w:val="21"/>
                <w:highlight w:val="none"/>
                <w:shd w:val="clear"/>
                <w:lang w:val="en-US" w:eastAsia="zh-CN"/>
              </w:rPr>
              <w:t>3</w:t>
            </w:r>
            <w:r>
              <w:rPr>
                <w:rFonts w:hint="eastAsia" w:ascii="宋体" w:hAnsi="宋体" w:eastAsia="宋体" w:cs="宋体"/>
                <w:b w:val="0"/>
                <w:bCs w:val="0"/>
                <w:kern w:val="0"/>
                <w:szCs w:val="21"/>
                <w:highlight w:val="none"/>
                <w:shd w:val="clear"/>
              </w:rPr>
              <w:t>分</w:t>
            </w:r>
            <w:r>
              <w:rPr>
                <w:rFonts w:hint="eastAsia" w:ascii="宋体" w:hAnsi="宋体" w:eastAsia="宋体" w:cs="宋体"/>
                <w:b w:val="0"/>
                <w:bCs w:val="0"/>
                <w:kern w:val="0"/>
                <w:szCs w:val="21"/>
                <w:highlight w:val="none"/>
              </w:rPr>
              <w:t>。</w:t>
            </w:r>
          </w:p>
          <w:p>
            <w:pPr>
              <w:pStyle w:val="69"/>
              <w:wordWrap w:val="0"/>
              <w:topLinePunct/>
              <w:autoSpaceDE w:val="0"/>
              <w:autoSpaceDN w:val="0"/>
              <w:adjustRightInd w:val="0"/>
              <w:rPr>
                <w:rFonts w:hint="eastAsia" w:ascii="宋体" w:hAnsi="宋体" w:cs="宋体"/>
                <w:b w:val="0"/>
                <w:kern w:val="0"/>
                <w:sz w:val="21"/>
                <w:szCs w:val="21"/>
                <w:highlight w:val="none"/>
                <w:vertAlign w:val="baseline"/>
              </w:rPr>
            </w:pPr>
            <w:r>
              <w:rPr>
                <w:rFonts w:hint="eastAsia" w:ascii="宋体" w:hAnsi="宋体" w:eastAsia="宋体" w:cs="宋体"/>
                <w:b w:val="0"/>
                <w:bCs w:val="0"/>
                <w:kern w:val="0"/>
                <w:szCs w:val="21"/>
                <w:highlight w:val="none"/>
              </w:rPr>
              <w:t>注：</w:t>
            </w:r>
            <w:r>
              <w:rPr>
                <w:rFonts w:hint="eastAsia" w:ascii="宋体" w:hAnsi="宋体" w:eastAsia="宋体" w:cs="宋体"/>
                <w:b w:val="0"/>
                <w:bCs w:val="0"/>
                <w:kern w:val="0"/>
                <w:sz w:val="21"/>
                <w:szCs w:val="21"/>
                <w:highlight w:val="none"/>
              </w:rPr>
              <w:t>（须提供</w:t>
            </w:r>
            <w:r>
              <w:rPr>
                <w:rFonts w:hint="eastAsia" w:ascii="宋体" w:hAnsi="宋体" w:eastAsia="宋体" w:cs="宋体"/>
                <w:b w:val="0"/>
                <w:bCs w:val="0"/>
                <w:kern w:val="0"/>
                <w:sz w:val="21"/>
                <w:szCs w:val="21"/>
                <w:highlight w:val="none"/>
                <w:lang w:val="en-US" w:eastAsia="zh-CN"/>
              </w:rPr>
              <w:t>以上有效期内的</w:t>
            </w:r>
            <w:r>
              <w:rPr>
                <w:rFonts w:hint="eastAsia" w:ascii="宋体" w:hAnsi="宋体" w:eastAsia="宋体" w:cs="宋体"/>
                <w:b w:val="0"/>
                <w:bCs w:val="0"/>
                <w:kern w:val="0"/>
                <w:sz w:val="21"/>
                <w:szCs w:val="21"/>
                <w:highlight w:val="none"/>
              </w:rPr>
              <w:t>证书复印件以及在全国认证认可信息公共服务平台上http://cx.cnca.cn查询结果的截图，证书状态必须为“有效”</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否则不得分。</w:t>
            </w:r>
            <w:r>
              <w:rPr>
                <w:rFonts w:hint="eastAsia" w:ascii="宋体" w:hAnsi="宋体" w:eastAsia="宋体" w:cs="宋体"/>
                <w:b w:val="0"/>
                <w:bCs w:val="0"/>
                <w:kern w:val="0"/>
                <w:sz w:val="21"/>
                <w:szCs w:val="21"/>
                <w:highlight w:val="none"/>
              </w:rPr>
              <w:t>）</w:t>
            </w:r>
          </w:p>
        </w:tc>
        <w:tc>
          <w:tcPr>
            <w:tcW w:w="668" w:type="dxa"/>
            <w:vAlign w:val="center"/>
          </w:tcPr>
          <w:p>
            <w:pPr>
              <w:pStyle w:val="69"/>
              <w:wordWrap w:val="0"/>
              <w:topLinePunct/>
              <w:autoSpaceDE w:val="0"/>
              <w:autoSpaceDN w:val="0"/>
              <w:adjustRightInd w:val="0"/>
              <w:rPr>
                <w:rFonts w:hint="eastAsia" w:ascii="宋体" w:hAnsi="宋体" w:eastAsia="宋体" w:cs="宋体"/>
                <w:b w:val="0"/>
                <w:bCs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0" w:type="auto"/>
            <w:vMerge w:val="continue"/>
            <w:vAlign w:val="center"/>
          </w:tcPr>
          <w:p>
            <w:pPr>
              <w:spacing w:line="360" w:lineRule="exact"/>
              <w:jc w:val="center"/>
              <w:rPr>
                <w:rFonts w:hint="eastAsia" w:ascii="Calibri" w:hAnsi="Calibri"/>
                <w:b w:val="0"/>
                <w:sz w:val="21"/>
                <w:szCs w:val="21"/>
                <w:highlight w:val="none"/>
                <w:vertAlign w:val="baseline"/>
              </w:rPr>
            </w:pP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b w:val="0"/>
                <w:sz w:val="21"/>
                <w:szCs w:val="21"/>
                <w:highlight w:val="none"/>
                <w:vertAlign w:val="baseline"/>
              </w:rPr>
              <w:t>企业业绩</w:t>
            </w:r>
          </w:p>
        </w:tc>
        <w:tc>
          <w:tcPr>
            <w:tcW w:w="0" w:type="auto"/>
            <w:vAlign w:val="center"/>
          </w:tcPr>
          <w:p>
            <w:pPr>
              <w:spacing w:line="360" w:lineRule="exact"/>
              <w:jc w:val="center"/>
              <w:rPr>
                <w:rFonts w:hint="default" w:ascii="宋体" w:hAnsi="宋体" w:cs="宋体"/>
                <w:b w:val="0"/>
                <w:sz w:val="21"/>
                <w:szCs w:val="21"/>
                <w:highlight w:val="none"/>
                <w:vertAlign w:val="baseline"/>
                <w:lang w:val="en-US"/>
              </w:rPr>
            </w:pPr>
            <w:r>
              <w:rPr>
                <w:rFonts w:hint="eastAsia" w:ascii="宋体" w:hAnsi="宋体" w:cs="宋体"/>
                <w:sz w:val="21"/>
                <w:szCs w:val="21"/>
                <w:highlight w:val="none"/>
                <w:lang w:val="en-US" w:eastAsia="zh-CN"/>
              </w:rPr>
              <w:t>20</w:t>
            </w:r>
          </w:p>
        </w:tc>
        <w:tc>
          <w:tcPr>
            <w:tcW w:w="0" w:type="auto"/>
            <w:vAlign w:val="center"/>
          </w:tcPr>
          <w:p>
            <w:pPr>
              <w:pStyle w:val="69"/>
              <w:wordWrap w:val="0"/>
              <w:topLinePunct/>
              <w:autoSpaceDE w:val="0"/>
              <w:autoSpaceDN w:val="0"/>
              <w:adjustRightInd w:val="0"/>
              <w:spacing w:line="360" w:lineRule="exact"/>
              <w:jc w:val="left"/>
              <w:rPr>
                <w:rFonts w:hint="eastAsia" w:ascii="Calibri" w:hAnsi="Calibri" w:cs="Times New Roman"/>
                <w:b w:val="0"/>
                <w:sz w:val="21"/>
                <w:szCs w:val="21"/>
                <w:highlight w:val="none"/>
                <w:vertAlign w:val="baseline"/>
              </w:rPr>
            </w:pPr>
            <w:r>
              <w:rPr>
                <w:rFonts w:hint="eastAsia" w:ascii="宋体" w:hAnsi="宋体" w:cs="宋体"/>
                <w:kern w:val="0"/>
                <w:szCs w:val="21"/>
                <w:highlight w:val="none"/>
              </w:rPr>
              <w:t>投标人201</w:t>
            </w:r>
            <w:r>
              <w:rPr>
                <w:rFonts w:hint="eastAsia" w:ascii="宋体" w:hAnsi="宋体" w:cs="宋体"/>
                <w:kern w:val="0"/>
                <w:szCs w:val="21"/>
                <w:highlight w:val="none"/>
                <w:lang w:val="en-US" w:eastAsia="zh-CN"/>
              </w:rPr>
              <w:t>9</w:t>
            </w:r>
            <w:r>
              <w:rPr>
                <w:rFonts w:hint="eastAsia" w:ascii="宋体" w:hAnsi="宋体" w:cs="宋体"/>
                <w:kern w:val="0"/>
                <w:szCs w:val="21"/>
                <w:highlight w:val="none"/>
              </w:rPr>
              <w:t>年1月1日以来承接的</w:t>
            </w:r>
            <w:r>
              <w:rPr>
                <w:rFonts w:hint="eastAsia" w:ascii="宋体" w:hAnsi="宋体" w:cs="宋体"/>
                <w:kern w:val="0"/>
                <w:szCs w:val="21"/>
                <w:highlight w:val="none"/>
                <w:lang w:val="en-US" w:eastAsia="zh-CN"/>
              </w:rPr>
              <w:t>电力建筑</w:t>
            </w:r>
            <w:r>
              <w:rPr>
                <w:rFonts w:hint="eastAsia" w:ascii="宋体" w:hAnsi="宋体" w:cs="宋体"/>
                <w:kern w:val="0"/>
                <w:szCs w:val="21"/>
                <w:highlight w:val="none"/>
              </w:rPr>
              <w:t>工程</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或电气工程专业</w:t>
            </w:r>
            <w:r>
              <w:rPr>
                <w:rFonts w:hint="eastAsia" w:ascii="宋体" w:hAnsi="宋体" w:cs="宋体"/>
                <w:kern w:val="0"/>
                <w:szCs w:val="21"/>
                <w:highlight w:val="none"/>
                <w:lang w:eastAsia="zh-CN"/>
              </w:rPr>
              <w:t>）</w:t>
            </w:r>
            <w:r>
              <w:rPr>
                <w:rFonts w:hint="eastAsia" w:ascii="宋体" w:hAnsi="宋体" w:cs="宋体"/>
                <w:kern w:val="0"/>
                <w:szCs w:val="21"/>
                <w:highlight w:val="none"/>
              </w:rPr>
              <w:t>类项目业绩，每提供一项得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分，最高得</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注：</w:t>
            </w:r>
            <w:r>
              <w:rPr>
                <w:rFonts w:hint="eastAsia" w:ascii="宋体" w:hAnsi="宋体" w:cs="宋体"/>
                <w:kern w:val="0"/>
                <w:szCs w:val="21"/>
                <w:highlight w:val="none"/>
              </w:rPr>
              <w:t>以合同签订时间为准，</w:t>
            </w:r>
            <w:r>
              <w:rPr>
                <w:rFonts w:hint="eastAsia" w:ascii="宋体" w:hAnsi="宋体" w:cs="宋体"/>
                <w:kern w:val="0"/>
                <w:szCs w:val="21"/>
                <w:highlight w:val="none"/>
                <w:lang w:eastAsia="zh-CN"/>
              </w:rPr>
              <w:t>需</w:t>
            </w:r>
            <w:r>
              <w:rPr>
                <w:rFonts w:hint="eastAsia" w:ascii="宋体" w:hAnsi="宋体" w:cs="宋体"/>
                <w:kern w:val="0"/>
                <w:szCs w:val="21"/>
                <w:highlight w:val="none"/>
              </w:rPr>
              <w:t>提供合同</w:t>
            </w:r>
            <w:r>
              <w:rPr>
                <w:rFonts w:hint="eastAsia" w:ascii="宋体" w:hAnsi="宋体" w:cs="宋体"/>
                <w:kern w:val="0"/>
                <w:szCs w:val="21"/>
                <w:highlight w:val="none"/>
                <w:lang w:val="en-US" w:eastAsia="zh-CN"/>
              </w:rPr>
              <w:t>关键页</w:t>
            </w:r>
            <w:r>
              <w:rPr>
                <w:rFonts w:hint="eastAsia" w:ascii="宋体" w:hAnsi="宋体" w:cs="宋体"/>
                <w:kern w:val="0"/>
                <w:szCs w:val="21"/>
                <w:highlight w:val="none"/>
              </w:rPr>
              <w:t>复印件加盖投标人公章</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不提供、提供不全的不得分</w:t>
            </w:r>
          </w:p>
        </w:tc>
        <w:tc>
          <w:tcPr>
            <w:tcW w:w="668" w:type="dxa"/>
            <w:vAlign w:val="center"/>
          </w:tcPr>
          <w:p>
            <w:pPr>
              <w:pStyle w:val="69"/>
              <w:wordWrap w:val="0"/>
              <w:topLinePunct/>
              <w:autoSpaceDE w:val="0"/>
              <w:autoSpaceDN w:val="0"/>
              <w:adjustRightInd w:val="0"/>
              <w:spacing w:line="360" w:lineRule="exact"/>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0" w:type="auto"/>
            <w:vMerge w:val="continue"/>
            <w:vAlign w:val="center"/>
          </w:tcPr>
          <w:p>
            <w:pPr>
              <w:spacing w:line="360" w:lineRule="exact"/>
              <w:jc w:val="center"/>
              <w:rPr>
                <w:rFonts w:hint="eastAsia" w:ascii="Calibri" w:hAnsi="Calibri"/>
                <w:b w:val="0"/>
                <w:sz w:val="21"/>
                <w:szCs w:val="21"/>
                <w:highlight w:val="none"/>
                <w:vertAlign w:val="baseline"/>
              </w:rPr>
            </w:pP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cs="Times New Roman"/>
                <w:b w:val="0"/>
                <w:sz w:val="21"/>
                <w:szCs w:val="21"/>
                <w:highlight w:val="none"/>
                <w:vertAlign w:val="baseline"/>
              </w:rPr>
              <w:t>财务情况</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cs="宋体"/>
                <w:szCs w:val="21"/>
                <w:highlight w:val="none"/>
                <w:lang w:val="en-US" w:eastAsia="zh-CN"/>
              </w:rPr>
              <w:t>3</w:t>
            </w:r>
          </w:p>
        </w:tc>
        <w:tc>
          <w:tcPr>
            <w:tcW w:w="0" w:type="auto"/>
            <w:vAlign w:val="center"/>
          </w:tcPr>
          <w:p>
            <w:pPr>
              <w:spacing w:line="360" w:lineRule="exact"/>
              <w:jc w:val="left"/>
              <w:rPr>
                <w:rFonts w:hint="eastAsia" w:ascii="Calibri" w:hAnsi="Calibri"/>
                <w:b w:val="0"/>
                <w:sz w:val="21"/>
                <w:szCs w:val="21"/>
                <w:highlight w:val="none"/>
                <w:vertAlign w:val="baseline"/>
              </w:rPr>
            </w:pPr>
            <w:r>
              <w:rPr>
                <w:rFonts w:ascii="宋体" w:hAnsi="宋体" w:cs="宋体"/>
                <w:color w:val="000000" w:themeColor="text1"/>
                <w:highlight w:val="none"/>
                <w14:textFill>
                  <w14:solidFill>
                    <w14:schemeClr w14:val="tx1"/>
                  </w14:solidFill>
                </w14:textFill>
              </w:rPr>
              <w:t>投标人近三年（20</w:t>
            </w:r>
            <w:r>
              <w:rPr>
                <w:rFonts w:hint="eastAsia" w:ascii="宋体" w:hAnsi="宋体" w:cs="宋体"/>
                <w:color w:val="000000" w:themeColor="text1"/>
                <w:highlight w:val="none"/>
                <w:lang w:val="en-US" w:eastAsia="zh-CN"/>
                <w14:textFill>
                  <w14:solidFill>
                    <w14:schemeClr w14:val="tx1"/>
                  </w14:solidFill>
                </w14:textFill>
              </w:rPr>
              <w:t>20</w:t>
            </w:r>
            <w:r>
              <w:rPr>
                <w:rFonts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lang w:val="en-US" w:eastAsia="zh-CN"/>
                <w14:textFill>
                  <w14:solidFill>
                    <w14:schemeClr w14:val="tx1"/>
                  </w14:solidFill>
                </w14:textFill>
              </w:rPr>
              <w:t>21</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2022</w:t>
            </w:r>
            <w:r>
              <w:rPr>
                <w:rFonts w:ascii="宋体" w:hAnsi="宋体" w:cs="宋体"/>
                <w:color w:val="000000" w:themeColor="text1"/>
                <w:highlight w:val="none"/>
                <w14:textFill>
                  <w14:solidFill>
                    <w14:schemeClr w14:val="tx1"/>
                  </w14:solidFill>
                </w14:textFill>
              </w:rPr>
              <w:t>年）的财务情况，①其中3年均盈利的，得</w:t>
            </w:r>
            <w:r>
              <w:rPr>
                <w:rFonts w:hint="eastAsia" w:ascii="宋体" w:hAnsi="宋体" w:cs="宋体"/>
                <w:color w:val="000000" w:themeColor="text1"/>
                <w:highlight w:val="none"/>
                <w:lang w:val="en-US" w:eastAsia="zh-CN"/>
                <w14:textFill>
                  <w14:solidFill>
                    <w14:schemeClr w14:val="tx1"/>
                  </w14:solidFill>
                </w14:textFill>
              </w:rPr>
              <w:t>3</w:t>
            </w:r>
            <w:r>
              <w:rPr>
                <w:rFonts w:ascii="宋体" w:hAnsi="宋体" w:cs="宋体"/>
                <w:color w:val="000000" w:themeColor="text1"/>
                <w:highlight w:val="none"/>
                <w14:textFill>
                  <w14:solidFill>
                    <w14:schemeClr w14:val="tx1"/>
                  </w14:solidFill>
                </w14:textFill>
              </w:rPr>
              <w:t>分；②其他情况不得分。本项最高得</w:t>
            </w:r>
            <w:r>
              <w:rPr>
                <w:rFonts w:hint="eastAsia" w:ascii="宋体" w:hAnsi="宋体" w:cs="宋体"/>
                <w:color w:val="000000" w:themeColor="text1"/>
                <w:highlight w:val="none"/>
                <w:lang w:val="en-US" w:eastAsia="zh-CN"/>
                <w14:textFill>
                  <w14:solidFill>
                    <w14:schemeClr w14:val="tx1"/>
                  </w14:solidFill>
                </w14:textFill>
              </w:rPr>
              <w:t>3</w:t>
            </w:r>
            <w:r>
              <w:rPr>
                <w:rFonts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注：</w:t>
            </w:r>
            <w:r>
              <w:rPr>
                <w:rFonts w:ascii="宋体" w:hAnsi="宋体" w:cs="宋体"/>
                <w:color w:val="000000" w:themeColor="text1"/>
                <w:highlight w:val="none"/>
                <w14:textFill>
                  <w14:solidFill>
                    <w14:schemeClr w14:val="tx1"/>
                  </w14:solidFill>
                </w14:textFill>
              </w:rPr>
              <w:t>以投标人提供会计师事务所审计的财务报表复印件统计的数据作为评审依据。</w:t>
            </w:r>
          </w:p>
        </w:tc>
        <w:tc>
          <w:tcPr>
            <w:tcW w:w="668" w:type="dxa"/>
            <w:vAlign w:val="center"/>
          </w:tcPr>
          <w:p>
            <w:pPr>
              <w:spacing w:line="360" w:lineRule="exact"/>
              <w:jc w:val="left"/>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0" w:type="auto"/>
            <w:vMerge w:val="continue"/>
            <w:vAlign w:val="center"/>
          </w:tcPr>
          <w:p>
            <w:pPr>
              <w:spacing w:line="360" w:lineRule="exact"/>
              <w:jc w:val="center"/>
              <w:rPr>
                <w:rFonts w:hint="eastAsia" w:ascii="Calibri" w:hAnsi="Calibri"/>
                <w:b w:val="0"/>
                <w:sz w:val="21"/>
                <w:szCs w:val="21"/>
                <w:highlight w:val="none"/>
                <w:vertAlign w:val="baseline"/>
              </w:rPr>
            </w:pP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cs="Times New Roman"/>
                <w:b w:val="0"/>
                <w:sz w:val="21"/>
                <w:szCs w:val="21"/>
                <w:highlight w:val="none"/>
                <w:vertAlign w:val="baseline"/>
              </w:rPr>
              <w:t>拟投入项目管理机构及人员情况</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eastAsia="宋体" w:cs="宋体"/>
                <w:sz w:val="21"/>
                <w:szCs w:val="21"/>
                <w:highlight w:val="none"/>
                <w:lang w:val="en-US" w:eastAsia="zh-CN"/>
              </w:rPr>
              <w:t>4</w:t>
            </w:r>
          </w:p>
        </w:tc>
        <w:tc>
          <w:tcPr>
            <w:tcW w:w="0" w:type="auto"/>
            <w:vAlign w:val="center"/>
          </w:tcPr>
          <w:p>
            <w:pPr>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技术负责人：具有</w:t>
            </w:r>
            <w:r>
              <w:rPr>
                <w:rFonts w:hint="eastAsia" w:ascii="宋体" w:hAnsi="宋体" w:cs="宋体"/>
                <w:szCs w:val="21"/>
                <w:highlight w:val="none"/>
                <w:lang w:val="en-US" w:eastAsia="zh-CN"/>
              </w:rPr>
              <w:t>建筑</w:t>
            </w:r>
            <w:r>
              <w:rPr>
                <w:rFonts w:hint="eastAsia" w:ascii="宋体" w:hAnsi="宋体" w:cs="宋体"/>
                <w:szCs w:val="21"/>
                <w:highlight w:val="none"/>
              </w:rPr>
              <w:t>工程类中级或以上工程师职称证书的，得</w:t>
            </w:r>
            <w:r>
              <w:rPr>
                <w:rFonts w:hint="eastAsia" w:ascii="宋体" w:hAnsi="宋体" w:cs="宋体"/>
                <w:szCs w:val="21"/>
                <w:highlight w:val="none"/>
                <w:lang w:val="en-US" w:eastAsia="zh-CN"/>
              </w:rPr>
              <w:t>2</w:t>
            </w:r>
            <w:r>
              <w:rPr>
                <w:rFonts w:hint="eastAsia" w:ascii="宋体" w:hAnsi="宋体" w:cs="宋体"/>
                <w:szCs w:val="21"/>
                <w:highlight w:val="none"/>
              </w:rPr>
              <w:t>分；</w:t>
            </w:r>
          </w:p>
          <w:p>
            <w:pPr>
              <w:spacing w:line="240" w:lineRule="auto"/>
              <w:jc w:val="left"/>
              <w:rPr>
                <w:rFonts w:hint="eastAsia" w:ascii="Calibri" w:hAnsi="Calibri"/>
                <w:b w:val="0"/>
                <w:sz w:val="21"/>
                <w:szCs w:val="21"/>
                <w:highlight w:val="none"/>
                <w:vertAlign w:val="baseli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工程造价负责人：</w:t>
            </w:r>
            <w:r>
              <w:rPr>
                <w:rFonts w:hint="eastAsia" w:ascii="宋体" w:hAnsi="宋体" w:cs="宋体"/>
                <w:color w:val="000000" w:themeColor="text1"/>
                <w:highlight w:val="none"/>
                <w14:textFill>
                  <w14:solidFill>
                    <w14:schemeClr w14:val="tx1"/>
                  </w14:solidFill>
                </w14:textFill>
              </w:rPr>
              <w:t>同时具备二级（或以上）的注册造价工程师及二级（或以上）等级的注册建造师的，得2分。注：</w:t>
            </w:r>
            <w:r>
              <w:rPr>
                <w:rFonts w:hint="eastAsia" w:ascii="宋体" w:hAnsi="宋体" w:eastAsia="宋体" w:cs="宋体"/>
                <w:b w:val="0"/>
                <w:bCs w:val="0"/>
                <w:color w:val="auto"/>
                <w:sz w:val="21"/>
                <w:szCs w:val="21"/>
                <w:highlight w:val="none"/>
              </w:rPr>
              <w:t>须提供</w:t>
            </w:r>
            <w:r>
              <w:rPr>
                <w:rFonts w:hint="eastAsia" w:ascii="宋体" w:hAnsi="宋体" w:eastAsia="宋体" w:cs="宋体"/>
                <w:b w:val="0"/>
                <w:bCs w:val="0"/>
                <w:color w:val="auto"/>
                <w:sz w:val="21"/>
                <w:szCs w:val="21"/>
                <w:highlight w:val="none"/>
                <w:lang w:val="en-US" w:eastAsia="zh-CN"/>
              </w:rPr>
              <w:t>人员相关</w:t>
            </w:r>
            <w:r>
              <w:rPr>
                <w:rFonts w:hint="eastAsia" w:ascii="宋体" w:hAnsi="宋体" w:eastAsia="宋体" w:cs="宋体"/>
                <w:b w:val="0"/>
                <w:bCs w:val="0"/>
                <w:color w:val="auto"/>
                <w:kern w:val="2"/>
                <w:sz w:val="21"/>
                <w:szCs w:val="21"/>
                <w:highlight w:val="none"/>
              </w:rPr>
              <w:t>证书、 身份证复印件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及投标人为其购买至投标截止日期近</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个月（</w:t>
            </w:r>
            <w:r>
              <w:rPr>
                <w:rFonts w:hint="eastAsia" w:ascii="宋体" w:hAnsi="宋体" w:eastAsia="宋体" w:cs="宋体"/>
                <w:b w:val="0"/>
                <w:bCs w:val="0"/>
                <w:color w:val="auto"/>
                <w:kern w:val="2"/>
                <w:sz w:val="21"/>
                <w:szCs w:val="21"/>
                <w:highlight w:val="none"/>
              </w:rPr>
              <w:t>截止投标当月的上一月份</w:t>
            </w:r>
            <w:r>
              <w:rPr>
                <w:rFonts w:hint="eastAsia" w:ascii="宋体" w:hAnsi="宋体" w:eastAsia="宋体" w:cs="宋体"/>
                <w:b w:val="0"/>
                <w:bCs w:val="0"/>
                <w:color w:val="auto"/>
                <w:sz w:val="21"/>
                <w:szCs w:val="21"/>
                <w:highlight w:val="none"/>
              </w:rPr>
              <w:t>）有效的社会保险证明文件</w:t>
            </w:r>
            <w:r>
              <w:rPr>
                <w:rFonts w:hint="eastAsia" w:ascii="宋体" w:hAnsi="宋体" w:eastAsia="宋体" w:cs="宋体"/>
                <w:b w:val="0"/>
                <w:bCs w:val="0"/>
                <w:color w:val="auto"/>
                <w:sz w:val="21"/>
                <w:szCs w:val="21"/>
                <w:highlight w:val="none"/>
                <w:lang w:val="en-US" w:eastAsia="zh-CN"/>
              </w:rPr>
              <w:t>复印</w:t>
            </w:r>
            <w:r>
              <w:rPr>
                <w:rFonts w:hint="eastAsia" w:ascii="宋体" w:hAnsi="宋体" w:eastAsia="宋体" w:cs="宋体"/>
                <w:b w:val="0"/>
                <w:bCs w:val="0"/>
                <w:color w:val="auto"/>
                <w:sz w:val="21"/>
                <w:szCs w:val="21"/>
                <w:highlight w:val="none"/>
              </w:rPr>
              <w:t>件，</w:t>
            </w:r>
            <w:r>
              <w:rPr>
                <w:rFonts w:hint="eastAsia" w:ascii="宋体" w:hAnsi="宋体" w:eastAsia="宋体" w:cs="宋体"/>
                <w:b w:val="0"/>
                <w:bCs w:val="0"/>
                <w:color w:val="auto"/>
                <w:kern w:val="2"/>
                <w:sz w:val="21"/>
                <w:szCs w:val="21"/>
                <w:highlight w:val="none"/>
                <w:lang w:eastAsia="zh-CN"/>
              </w:rPr>
              <w:t>以上所有文件加盖公章，</w:t>
            </w:r>
            <w:r>
              <w:rPr>
                <w:rFonts w:hint="eastAsia" w:ascii="宋体" w:hAnsi="宋体" w:eastAsia="宋体" w:cs="宋体"/>
                <w:b w:val="0"/>
                <w:bCs w:val="0"/>
                <w:color w:val="auto"/>
                <w:sz w:val="21"/>
                <w:szCs w:val="21"/>
                <w:highlight w:val="none"/>
                <w:lang w:val="en-US" w:eastAsia="zh-CN"/>
              </w:rPr>
              <w:t>不提供</w:t>
            </w:r>
            <w:r>
              <w:rPr>
                <w:rFonts w:hint="eastAsia" w:ascii="宋体" w:hAnsi="宋体" w:eastAsia="宋体" w:cs="宋体"/>
                <w:b w:val="0"/>
                <w:bCs w:val="0"/>
                <w:color w:val="auto"/>
                <w:sz w:val="21"/>
                <w:szCs w:val="21"/>
                <w:highlight w:val="none"/>
              </w:rPr>
              <w:t>不得分。</w:t>
            </w:r>
          </w:p>
        </w:tc>
        <w:tc>
          <w:tcPr>
            <w:tcW w:w="668" w:type="dxa"/>
            <w:vAlign w:val="center"/>
          </w:tcPr>
          <w:p>
            <w:pPr>
              <w:spacing w:line="240" w:lineRule="auto"/>
              <w:jc w:val="left"/>
              <w:rPr>
                <w:rFonts w:hint="eastAsia" w:ascii="宋体" w:hAnsi="宋体" w:cs="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0" w:type="auto"/>
            <w:vMerge w:val="restart"/>
            <w:vAlign w:val="center"/>
          </w:tcPr>
          <w:p>
            <w:pPr>
              <w:spacing w:line="360" w:lineRule="exact"/>
              <w:jc w:val="center"/>
              <w:rPr>
                <w:rFonts w:hint="eastAsia"/>
              </w:rPr>
            </w:pPr>
            <w:r>
              <w:rPr>
                <w:rFonts w:hint="eastAsia"/>
              </w:rPr>
              <w:t>二、施工实施方案（</w:t>
            </w:r>
            <w:r>
              <w:rPr>
                <w:rFonts w:hint="eastAsia"/>
                <w:lang w:val="en-US" w:eastAsia="zh-CN"/>
              </w:rPr>
              <w:t>30</w:t>
            </w:r>
            <w:r>
              <w:rPr>
                <w:rFonts w:hint="eastAsia"/>
              </w:rPr>
              <w:t>分）</w:t>
            </w:r>
          </w:p>
          <w:p>
            <w:pPr>
              <w:pStyle w:val="47"/>
              <w:rPr>
                <w:rFonts w:hint="eastAsia"/>
              </w:rPr>
            </w:pPr>
          </w:p>
        </w:tc>
        <w:tc>
          <w:tcPr>
            <w:tcW w:w="0" w:type="auto"/>
            <w:vAlign w:val="center"/>
          </w:tcPr>
          <w:p>
            <w:pPr>
              <w:spacing w:line="360" w:lineRule="exact"/>
              <w:jc w:val="center"/>
              <w:rPr>
                <w:rFonts w:hint="eastAsia" w:ascii="Calibri" w:hAnsi="Calibri" w:cs="Times New Roman"/>
                <w:b w:val="0"/>
                <w:sz w:val="21"/>
                <w:szCs w:val="21"/>
                <w:highlight w:val="none"/>
                <w:vertAlign w:val="baseline"/>
              </w:rPr>
            </w:pPr>
            <w:r>
              <w:rPr>
                <w:rFonts w:hint="eastAsia" w:ascii="Calibri" w:hAnsi="Calibri" w:cs="Times New Roman"/>
                <w:b w:val="0"/>
                <w:sz w:val="21"/>
                <w:szCs w:val="21"/>
                <w:highlight w:val="none"/>
                <w:vertAlign w:val="baseline"/>
              </w:rPr>
              <w:t>施工组织方案</w:t>
            </w:r>
          </w:p>
        </w:tc>
        <w:tc>
          <w:tcPr>
            <w:tcW w:w="0" w:type="auto"/>
            <w:vAlign w:val="center"/>
          </w:tcPr>
          <w:p>
            <w:pPr>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0" w:type="auto"/>
            <w:vAlign w:val="center"/>
          </w:tcPr>
          <w:p>
            <w:pPr>
              <w:spacing w:line="360" w:lineRule="exact"/>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项目前期和总体施工组织方案内容的完整性，施工流程的条理清晰度，方案组织的科学性，项目目标是否满足招标文件要求</w:t>
            </w:r>
            <w:r>
              <w:rPr>
                <w:rFonts w:hint="eastAsia" w:ascii="宋体" w:hAnsi="宋体" w:cs="宋体"/>
                <w:color w:val="000000" w:themeColor="text1"/>
                <w:highlight w:val="none"/>
                <w:lang w:eastAsia="zh-CN"/>
                <w14:textFill>
                  <w14:solidFill>
                    <w14:schemeClr w14:val="tx1"/>
                  </w14:solidFill>
                </w14:textFill>
              </w:rPr>
              <w:t>。</w:t>
            </w:r>
            <w:r>
              <w:rPr>
                <w:rFonts w:hint="default" w:ascii="宋体" w:hAnsi="宋体" w:cs="宋体"/>
                <w:szCs w:val="21"/>
                <w:highlight w:val="none"/>
              </w:rPr>
              <w:t>优：</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分；良：[</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360" w:lineRule="exact"/>
              <w:jc w:val="left"/>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0" w:type="auto"/>
            <w:vMerge w:val="continue"/>
            <w:vAlign w:val="center"/>
          </w:tcPr>
          <w:p>
            <w:pPr>
              <w:spacing w:line="360" w:lineRule="exact"/>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b w:val="0"/>
                <w:sz w:val="21"/>
                <w:szCs w:val="21"/>
                <w:highlight w:val="none"/>
                <w:vertAlign w:val="baseline"/>
              </w:rPr>
            </w:pPr>
            <w:r>
              <w:rPr>
                <w:rFonts w:hint="eastAsia" w:ascii="宋体" w:hAnsi="宋体" w:cs="宋体"/>
                <w:b w:val="0"/>
                <w:color w:val="auto"/>
                <w:sz w:val="21"/>
                <w:szCs w:val="21"/>
                <w:highlight w:val="none"/>
                <w:vertAlign w:val="baseline"/>
              </w:rPr>
              <w:t>安全防护、文明施工措施</w:t>
            </w:r>
          </w:p>
        </w:tc>
        <w:tc>
          <w:tcPr>
            <w:tcW w:w="0" w:type="auto"/>
            <w:vAlign w:val="center"/>
          </w:tcPr>
          <w:p>
            <w:pPr>
              <w:spacing w:line="360" w:lineRule="exact"/>
              <w:jc w:val="center"/>
              <w:rPr>
                <w:rFonts w:hint="default" w:ascii="宋体" w:hAnsi="宋体" w:cs="宋体"/>
                <w:b w:val="0"/>
                <w:sz w:val="21"/>
                <w:szCs w:val="21"/>
                <w:highlight w:val="none"/>
                <w:vertAlign w:val="baseline"/>
              </w:rPr>
            </w:pPr>
            <w:r>
              <w:rPr>
                <w:rFonts w:hint="eastAsia" w:ascii="宋体" w:hAnsi="宋体" w:cs="宋体"/>
                <w:b w:val="0"/>
                <w:sz w:val="21"/>
                <w:szCs w:val="21"/>
                <w:highlight w:val="none"/>
                <w:vertAlign w:val="baseline"/>
                <w:lang w:val="en-US" w:eastAsia="zh-CN"/>
              </w:rPr>
              <w:t>5</w:t>
            </w:r>
          </w:p>
        </w:tc>
        <w:tc>
          <w:tcPr>
            <w:tcW w:w="0" w:type="auto"/>
            <w:vAlign w:val="center"/>
          </w:tcPr>
          <w:p>
            <w:pPr>
              <w:jc w:val="left"/>
              <w:rPr>
                <w:rFonts w:hint="eastAsia" w:ascii="宋体" w:hAnsi="宋体" w:cs="宋体"/>
                <w:szCs w:val="21"/>
                <w:highlight w:val="none"/>
              </w:rPr>
            </w:pPr>
            <w:r>
              <w:rPr>
                <w:rFonts w:hint="default" w:ascii="宋体" w:hAnsi="宋体" w:cs="宋体"/>
                <w:szCs w:val="21"/>
                <w:highlight w:val="none"/>
              </w:rPr>
              <w:t>加强制度化、标准化和精细化管理，尽量降低施工作业对周边的影响，提供安全控制措施。</w:t>
            </w:r>
          </w:p>
          <w:p>
            <w:pPr>
              <w:spacing w:line="240" w:lineRule="auto"/>
              <w:jc w:val="left"/>
              <w:rPr>
                <w:rFonts w:hint="eastAsia" w:ascii="宋体" w:hAnsi="宋体" w:cs="宋体"/>
                <w:b w:val="0"/>
                <w:sz w:val="21"/>
                <w:szCs w:val="21"/>
                <w:highlight w:val="none"/>
                <w:vertAlign w:val="baseline"/>
              </w:rPr>
            </w:pP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b w:val="0"/>
                <w:sz w:val="21"/>
                <w:szCs w:val="21"/>
                <w:highlight w:val="none"/>
                <w:vertAlign w:val="baseline"/>
              </w:rPr>
            </w:pPr>
            <w:r>
              <w:rPr>
                <w:rFonts w:hint="eastAsia" w:ascii="宋体" w:hAnsi="宋体" w:cs="宋体"/>
                <w:szCs w:val="21"/>
                <w:highlight w:val="none"/>
              </w:rPr>
              <w:t>质量控制措施</w:t>
            </w:r>
          </w:p>
        </w:tc>
        <w:tc>
          <w:tcPr>
            <w:tcW w:w="0" w:type="auto"/>
            <w:vAlign w:val="center"/>
          </w:tcPr>
          <w:p>
            <w:pPr>
              <w:spacing w:line="360" w:lineRule="exact"/>
              <w:jc w:val="center"/>
              <w:rPr>
                <w:rFonts w:hint="default" w:ascii="宋体" w:hAnsi="宋体" w:cs="宋体"/>
                <w:b w:val="0"/>
                <w:sz w:val="21"/>
                <w:szCs w:val="21"/>
                <w:highlight w:val="none"/>
                <w:vertAlign w:val="baseline"/>
              </w:rPr>
            </w:pPr>
            <w:r>
              <w:rPr>
                <w:rFonts w:hint="eastAsia" w:ascii="宋体" w:hAnsi="宋体" w:cs="宋体"/>
                <w:b w:val="0"/>
                <w:sz w:val="21"/>
                <w:szCs w:val="21"/>
                <w:highlight w:val="none"/>
                <w:vertAlign w:val="baseline"/>
                <w:lang w:val="en-US" w:eastAsia="zh-CN"/>
              </w:rPr>
              <w:t>5</w:t>
            </w:r>
          </w:p>
        </w:tc>
        <w:tc>
          <w:tcPr>
            <w:tcW w:w="0" w:type="auto"/>
            <w:vAlign w:val="center"/>
          </w:tcPr>
          <w:p>
            <w:pPr>
              <w:spacing w:line="240" w:lineRule="auto"/>
              <w:jc w:val="left"/>
              <w:rPr>
                <w:rFonts w:hint="eastAsia" w:ascii="宋体" w:hAnsi="宋体" w:cs="宋体"/>
                <w:b w:val="0"/>
                <w:sz w:val="21"/>
                <w:szCs w:val="21"/>
                <w:highlight w:val="none"/>
                <w:vertAlign w:val="baseline"/>
              </w:rPr>
            </w:pPr>
            <w:r>
              <w:rPr>
                <w:rFonts w:hint="eastAsia" w:ascii="宋体" w:hAnsi="宋体" w:cs="宋体"/>
                <w:szCs w:val="21"/>
                <w:highlight w:val="none"/>
              </w:rPr>
              <w:t>确保项目质量达到工程建设标准和国家相关部门验收规范。提供工程实施设计施工的全过程质量控制及保证措施。</w:t>
            </w: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b w:val="0"/>
                <w:sz w:val="21"/>
                <w:szCs w:val="21"/>
                <w:highlight w:val="none"/>
                <w:vertAlign w:val="baseline"/>
              </w:rPr>
            </w:pPr>
            <w:r>
              <w:rPr>
                <w:rFonts w:hint="eastAsia" w:ascii="宋体" w:hAnsi="宋体" w:cs="宋体"/>
                <w:szCs w:val="21"/>
                <w:highlight w:val="none"/>
                <w:lang w:val="en-US" w:eastAsia="zh-CN"/>
              </w:rPr>
              <w:t>施工</w:t>
            </w:r>
            <w:r>
              <w:rPr>
                <w:rFonts w:hint="eastAsia" w:ascii="宋体" w:hAnsi="宋体" w:cs="宋体"/>
                <w:szCs w:val="21"/>
                <w:highlight w:val="none"/>
              </w:rPr>
              <w:t>进度控制措施</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cs="宋体"/>
                <w:b w:val="0"/>
                <w:sz w:val="21"/>
                <w:szCs w:val="21"/>
                <w:highlight w:val="none"/>
                <w:vertAlign w:val="baseline"/>
                <w:lang w:val="en-US" w:eastAsia="zh-CN"/>
              </w:rPr>
              <w:t>5</w:t>
            </w:r>
          </w:p>
        </w:tc>
        <w:tc>
          <w:tcPr>
            <w:tcW w:w="0" w:type="auto"/>
            <w:vAlign w:val="center"/>
          </w:tcPr>
          <w:p>
            <w:pPr>
              <w:jc w:val="left"/>
              <w:rPr>
                <w:rFonts w:hint="eastAsia" w:ascii="宋体" w:hAnsi="宋体" w:cs="宋体"/>
                <w:szCs w:val="21"/>
                <w:highlight w:val="none"/>
              </w:rPr>
            </w:pPr>
            <w:r>
              <w:rPr>
                <w:rFonts w:hint="eastAsia" w:ascii="宋体" w:hAnsi="宋体" w:cs="宋体"/>
                <w:szCs w:val="21"/>
                <w:highlight w:val="none"/>
              </w:rPr>
              <w:t>在保证质量、安全、文明施工的前提下，切实保障项目实施进度。提供保障项目实施进度的措施。</w:t>
            </w:r>
          </w:p>
          <w:p>
            <w:pPr>
              <w:spacing w:line="240" w:lineRule="auto"/>
              <w:jc w:val="left"/>
              <w:rPr>
                <w:rFonts w:hint="eastAsia" w:ascii="宋体" w:hAnsi="宋体" w:cs="宋体"/>
                <w:b w:val="0"/>
                <w:sz w:val="21"/>
                <w:szCs w:val="21"/>
                <w:highlight w:val="none"/>
                <w:vertAlign w:val="baseline"/>
              </w:rPr>
            </w:pP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szCs w:val="21"/>
                <w:highlight w:val="none"/>
              </w:rPr>
            </w:pPr>
            <w:r>
              <w:rPr>
                <w:rFonts w:hint="eastAsia" w:ascii="宋体" w:hAnsi="宋体" w:cs="宋体"/>
                <w:szCs w:val="21"/>
                <w:highlight w:val="none"/>
              </w:rPr>
              <w:t>应急处理措施、预案以及抵抗风险的措施</w:t>
            </w:r>
          </w:p>
        </w:tc>
        <w:tc>
          <w:tcPr>
            <w:tcW w:w="0" w:type="auto"/>
            <w:vAlign w:val="center"/>
          </w:tcPr>
          <w:p>
            <w:pPr>
              <w:spacing w:line="360" w:lineRule="exact"/>
              <w:jc w:val="center"/>
              <w:rPr>
                <w:rFonts w:hint="default" w:ascii="宋体" w:hAnsi="宋体" w:eastAsia="宋体" w:cs="宋体"/>
                <w:b w:val="0"/>
                <w:sz w:val="21"/>
                <w:szCs w:val="21"/>
                <w:highlight w:val="none"/>
                <w:vertAlign w:val="baseline"/>
                <w:lang w:val="en-US" w:eastAsia="zh-CN"/>
              </w:rPr>
            </w:pPr>
            <w:r>
              <w:rPr>
                <w:rFonts w:hint="eastAsia" w:ascii="宋体" w:hAnsi="宋体" w:cs="宋体"/>
                <w:b w:val="0"/>
                <w:sz w:val="21"/>
                <w:szCs w:val="21"/>
                <w:highlight w:val="none"/>
                <w:vertAlign w:val="baseline"/>
                <w:lang w:val="en-US" w:eastAsia="zh-CN"/>
              </w:rPr>
              <w:t>5</w:t>
            </w:r>
          </w:p>
        </w:tc>
        <w:tc>
          <w:tcPr>
            <w:tcW w:w="0" w:type="auto"/>
            <w:vAlign w:val="center"/>
          </w:tcPr>
          <w:p>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Cs w:val="21"/>
                <w:highlight w:val="none"/>
              </w:rPr>
              <w:t>投标人对本项目制定的特性、台风、暴雨等天气影响等特殊情况制定的应急处置方案，包括传达机制、人员和设备调配、责任分工等进行评审：</w:t>
            </w: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szCs w:val="21"/>
                <w:highlight w:val="none"/>
              </w:rPr>
            </w:pPr>
            <w:r>
              <w:rPr>
                <w:rFonts w:hint="eastAsia"/>
                <w:szCs w:val="21"/>
                <w:highlight w:val="none"/>
              </w:rPr>
              <w:t>合计（一</w:t>
            </w:r>
            <w:r>
              <w:rPr>
                <w:szCs w:val="21"/>
                <w:highlight w:val="none"/>
              </w:rPr>
              <w:t>+</w:t>
            </w:r>
            <w:r>
              <w:rPr>
                <w:rFonts w:hint="eastAsia"/>
                <w:szCs w:val="21"/>
                <w:highlight w:val="none"/>
              </w:rPr>
              <w:t>二）</w:t>
            </w:r>
          </w:p>
        </w:tc>
        <w:tc>
          <w:tcPr>
            <w:tcW w:w="0" w:type="auto"/>
            <w:vAlign w:val="center"/>
          </w:tcPr>
          <w:p>
            <w:pPr>
              <w:spacing w:line="360" w:lineRule="exact"/>
              <w:jc w:val="center"/>
              <w:rPr>
                <w:rFonts w:hint="default" w:ascii="宋体" w:hAnsi="宋体" w:eastAsia="宋体" w:cs="宋体"/>
                <w:b w:val="0"/>
                <w:sz w:val="21"/>
                <w:szCs w:val="21"/>
                <w:highlight w:val="none"/>
                <w:vertAlign w:val="baseline"/>
                <w:lang w:val="en-US" w:eastAsia="zh-CN"/>
              </w:rPr>
            </w:pPr>
            <w:r>
              <w:rPr>
                <w:rFonts w:hint="eastAsia"/>
                <w:szCs w:val="21"/>
                <w:highlight w:val="none"/>
                <w:lang w:val="en-US" w:eastAsia="zh-CN"/>
              </w:rPr>
              <w:t>60</w:t>
            </w:r>
          </w:p>
        </w:tc>
        <w:tc>
          <w:tcPr>
            <w:tcW w:w="0" w:type="auto"/>
            <w:vAlign w:val="center"/>
          </w:tcPr>
          <w:p>
            <w:pPr>
              <w:spacing w:line="240" w:lineRule="auto"/>
              <w:jc w:val="left"/>
              <w:rPr>
                <w:rFonts w:hint="eastAsia" w:ascii="宋体" w:hAnsi="宋体" w:eastAsia="宋体" w:cs="宋体"/>
                <w:kern w:val="2"/>
                <w:szCs w:val="21"/>
                <w:highlight w:val="none"/>
              </w:rPr>
            </w:pPr>
          </w:p>
        </w:tc>
        <w:tc>
          <w:tcPr>
            <w:tcW w:w="668" w:type="dxa"/>
            <w:vAlign w:val="center"/>
          </w:tcPr>
          <w:p>
            <w:pPr>
              <w:spacing w:line="240" w:lineRule="auto"/>
              <w:jc w:val="left"/>
              <w:rPr>
                <w:rFonts w:hint="eastAsia" w:ascii="宋体" w:hAnsi="宋体" w:eastAsia="宋体" w:cs="宋体"/>
                <w:kern w:val="2"/>
                <w:szCs w:val="21"/>
                <w:highlight w:val="none"/>
              </w:rPr>
            </w:pPr>
          </w:p>
        </w:tc>
      </w:tr>
    </w:tbl>
    <w:p>
      <w:pPr>
        <w:snapToGrid/>
        <w:ind w:firstLine="420" w:firstLineChars="200"/>
        <w:rPr>
          <w:rFonts w:hint="eastAsia" w:hAnsi="宋体"/>
          <w:szCs w:val="21"/>
          <w:highlight w:val="none"/>
        </w:rPr>
      </w:pPr>
      <w:r>
        <w:rPr>
          <w:rFonts w:hint="eastAsia" w:hAnsi="宋体"/>
          <w:szCs w:val="21"/>
          <w:highlight w:val="none"/>
        </w:rPr>
        <w:t xml:space="preserve">评委签名：                                           </w:t>
      </w:r>
      <w:r>
        <w:rPr>
          <w:rFonts w:hint="eastAsia" w:hAnsi="宋体"/>
          <w:szCs w:val="21"/>
          <w:highlight w:val="none"/>
          <w:lang w:val="en-US" w:eastAsia="zh-CN"/>
        </w:rPr>
        <w:t xml:space="preserve">                                        </w:t>
      </w:r>
      <w:r>
        <w:rPr>
          <w:rFonts w:hint="eastAsia" w:hAnsi="宋体"/>
          <w:szCs w:val="21"/>
          <w:highlight w:val="none"/>
        </w:rPr>
        <w:t>日期：</w:t>
      </w: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562" w:firstLineChars="200"/>
        <w:rPr>
          <w:rFonts w:hint="eastAsia" w:ascii="宋体" w:hAnsi="宋体"/>
          <w:b/>
          <w:sz w:val="28"/>
          <w:szCs w:val="28"/>
          <w:highlight w:val="none"/>
        </w:rPr>
      </w:pPr>
    </w:p>
    <w:p>
      <w:pPr>
        <w:snapToGrid/>
        <w:ind w:firstLine="562" w:firstLineChars="200"/>
        <w:rPr>
          <w:rFonts w:hint="eastAsia" w:ascii="宋体" w:hAnsi="宋体"/>
          <w:b/>
          <w:sz w:val="28"/>
          <w:szCs w:val="28"/>
          <w:highlight w:val="none"/>
        </w:rPr>
      </w:pPr>
    </w:p>
    <w:p>
      <w:pPr>
        <w:snapToGrid/>
        <w:ind w:firstLine="562" w:firstLineChars="200"/>
        <w:rPr>
          <w:rFonts w:hint="eastAsia" w:ascii="宋体" w:hAnsi="宋体"/>
          <w:b/>
          <w:sz w:val="28"/>
          <w:szCs w:val="28"/>
          <w:highlight w:val="none"/>
        </w:rPr>
      </w:pPr>
    </w:p>
    <w:p>
      <w:pPr>
        <w:snapToGrid/>
        <w:ind w:firstLine="562" w:firstLineChars="200"/>
        <w:rPr>
          <w:rFonts w:hint="eastAsia" w:ascii="宋体" w:hAnsi="宋体"/>
          <w:b/>
          <w:sz w:val="28"/>
          <w:szCs w:val="28"/>
          <w:highlight w:val="none"/>
        </w:rPr>
      </w:pPr>
    </w:p>
    <w:p>
      <w:pPr>
        <w:snapToGrid/>
        <w:ind w:firstLine="562" w:firstLineChars="200"/>
        <w:rPr>
          <w:rFonts w:hint="eastAsia" w:ascii="宋体" w:hAnsi="宋体"/>
          <w:b/>
          <w:sz w:val="28"/>
          <w:szCs w:val="28"/>
          <w:highlight w:val="none"/>
        </w:rPr>
      </w:pPr>
    </w:p>
    <w:p>
      <w:pPr>
        <w:snapToGrid/>
        <w:ind w:firstLine="562" w:firstLineChars="200"/>
        <w:rPr>
          <w:rFonts w:hint="eastAsia" w:ascii="宋体" w:hAnsi="宋体"/>
          <w:b/>
          <w:sz w:val="28"/>
          <w:szCs w:val="28"/>
          <w:highlight w:val="none"/>
        </w:rPr>
      </w:pPr>
    </w:p>
    <w:p>
      <w:pPr>
        <w:snapToGrid/>
        <w:ind w:firstLine="562" w:firstLineChars="200"/>
        <w:rPr>
          <w:rFonts w:hint="eastAsia" w:ascii="宋体" w:hAnsi="宋体"/>
          <w:b/>
          <w:sz w:val="28"/>
          <w:szCs w:val="28"/>
          <w:highlight w:val="none"/>
        </w:rPr>
      </w:pPr>
    </w:p>
    <w:p>
      <w:pPr>
        <w:spacing w:line="360" w:lineRule="exact"/>
        <w:jc w:val="left"/>
        <w:rPr>
          <w:rFonts w:ascii="宋体" w:hAnsi="宋体" w:eastAsia="宋体"/>
          <w:b/>
          <w:sz w:val="36"/>
          <w:szCs w:val="36"/>
        </w:rPr>
      </w:pPr>
      <w:r>
        <w:rPr>
          <w:rFonts w:hint="eastAsia" w:ascii="宋体" w:hAnsi="宋体" w:eastAsia="宋体"/>
          <w:b/>
          <w:sz w:val="28"/>
          <w:szCs w:val="28"/>
        </w:rPr>
        <w:t>附表4</w:t>
      </w:r>
      <w:r>
        <w:rPr>
          <w:rFonts w:ascii="宋体" w:hAnsi="宋体" w:eastAsia="宋体"/>
          <w:b/>
          <w:sz w:val="28"/>
          <w:szCs w:val="28"/>
        </w:rPr>
        <w:t>：</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投标报价文件有效性审查表</w:t>
      </w:r>
    </w:p>
    <w:p>
      <w:pPr>
        <w:rPr>
          <w:rFonts w:eastAsia="宋体"/>
          <w:szCs w:val="21"/>
        </w:rPr>
      </w:pPr>
      <w:r>
        <w:rPr>
          <w:rFonts w:hint="eastAsia" w:ascii="宋体" w:hAnsi="宋体" w:eastAsia="宋体"/>
        </w:rPr>
        <w:t>工程名称：</w:t>
      </w:r>
    </w:p>
    <w:p>
      <w:pPr>
        <w:spacing w:line="300" w:lineRule="exact"/>
        <w:rPr>
          <w:rFonts w:ascii="宋体" w:hAnsi="宋体" w:eastAsia="宋体"/>
          <w:szCs w:val="21"/>
        </w:rPr>
      </w:pPr>
    </w:p>
    <w:tbl>
      <w:tblPr>
        <w:tblStyle w:val="39"/>
        <w:tblW w:w="12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9315"/>
        <w:gridCol w:w="838"/>
        <w:gridCol w:w="776"/>
        <w:gridCol w:w="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tabs>
                <w:tab w:val="left" w:pos="0"/>
              </w:tabs>
              <w:spacing w:line="360" w:lineRule="auto"/>
              <w:rPr>
                <w:rFonts w:eastAsia="宋体"/>
                <w:szCs w:val="21"/>
              </w:rPr>
            </w:pPr>
            <w:r>
              <w:rPr>
                <w:rFonts w:hint="eastAsia" w:eastAsia="宋体"/>
                <w:szCs w:val="21"/>
              </w:rPr>
              <w:t>序号</w:t>
            </w:r>
          </w:p>
        </w:tc>
        <w:tc>
          <w:tcPr>
            <w:tcW w:w="9315"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0"/>
              </w:tabs>
              <w:wordWrap w:val="0"/>
              <w:snapToGrid w:val="0"/>
              <w:ind w:left="3700" w:leftChars="227" w:hanging="3223" w:hangingChars="1535"/>
              <w:jc w:val="right"/>
              <w:rPr>
                <w:rFonts w:eastAsia="宋体"/>
                <w:szCs w:val="21"/>
              </w:rPr>
            </w:pPr>
            <w:r>
              <w:rPr>
                <w:rFonts w:hint="eastAsia" w:eastAsia="宋体"/>
                <w:szCs w:val="21"/>
                <w:lang w:bidi="ar"/>
              </w:rPr>
              <w:t xml:space="preserve">投标单位  </w:t>
            </w:r>
          </w:p>
          <w:p>
            <w:pPr>
              <w:tabs>
                <w:tab w:val="left" w:pos="0"/>
              </w:tabs>
              <w:snapToGrid w:val="0"/>
              <w:ind w:firstLine="210" w:firstLineChars="100"/>
              <w:rPr>
                <w:rFonts w:eastAsia="宋体"/>
                <w:szCs w:val="21"/>
              </w:rPr>
            </w:pPr>
            <w:r>
              <w:rPr>
                <w:rFonts w:hint="eastAsia" w:eastAsia="宋体"/>
                <w:szCs w:val="21"/>
              </w:rPr>
              <w:t>评审内容</w:t>
            </w:r>
          </w:p>
        </w:tc>
        <w:tc>
          <w:tcPr>
            <w:tcW w:w="838" w:type="dxa"/>
            <w:tcBorders>
              <w:top w:val="single" w:color="auto" w:sz="4" w:space="0"/>
              <w:left w:val="single" w:color="auto" w:sz="4" w:space="0"/>
              <w:bottom w:val="single" w:color="auto" w:sz="6" w:space="0"/>
              <w:right w:val="single" w:color="auto" w:sz="6" w:space="0"/>
            </w:tcBorders>
          </w:tcPr>
          <w:p>
            <w:pPr>
              <w:tabs>
                <w:tab w:val="left" w:pos="0"/>
              </w:tabs>
              <w:spacing w:line="360" w:lineRule="auto"/>
              <w:ind w:left="550" w:leftChars="227" w:hanging="73" w:hangingChars="35"/>
              <w:rPr>
                <w:rFonts w:eastAsia="宋体"/>
                <w:szCs w:val="21"/>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rFonts w:eastAsia="宋体"/>
                <w:szCs w:val="21"/>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eastAsia="宋体"/>
                <w:szCs w:val="21"/>
              </w:rPr>
            </w:pPr>
            <w:r>
              <w:rPr>
                <w:rFonts w:hint="eastAsia" w:eastAsia="宋体"/>
                <w:szCs w:val="21"/>
              </w:rPr>
              <w:t>1</w:t>
            </w:r>
          </w:p>
        </w:tc>
        <w:tc>
          <w:tcPr>
            <w:tcW w:w="9315" w:type="dxa"/>
            <w:tcBorders>
              <w:top w:val="single" w:color="auto" w:sz="4" w:space="0"/>
              <w:left w:val="single" w:color="auto" w:sz="6" w:space="0"/>
              <w:bottom w:val="single" w:color="auto" w:sz="6" w:space="0"/>
              <w:right w:val="single" w:color="auto" w:sz="6" w:space="0"/>
            </w:tcBorders>
            <w:vAlign w:val="center"/>
          </w:tcPr>
          <w:p>
            <w:pPr>
              <w:tabs>
                <w:tab w:val="left" w:pos="0"/>
              </w:tabs>
              <w:spacing w:line="240" w:lineRule="atLeast"/>
              <w:rPr>
                <w:rFonts w:eastAsia="宋体"/>
                <w:szCs w:val="21"/>
              </w:rPr>
            </w:pPr>
            <w:r>
              <w:rPr>
                <w:rFonts w:hint="eastAsia" w:eastAsia="宋体"/>
                <w:szCs w:val="21"/>
              </w:rPr>
              <w:t>投标文件的封面有加盖投标单位的法定印章并经投标人代表签署或盖章的。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eastAsia="宋体"/>
                <w:szCs w:val="21"/>
              </w:rPr>
            </w:pPr>
            <w:r>
              <w:rPr>
                <w:rFonts w:hint="eastAsia" w:eastAsia="宋体"/>
                <w:szCs w:val="21"/>
              </w:rPr>
              <w:t>2</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rFonts w:hint="eastAsia" w:eastAsia="宋体"/>
                <w:szCs w:val="21"/>
                <w:lang w:eastAsia="zh-CN"/>
              </w:rPr>
            </w:pPr>
            <w:r>
              <w:rPr>
                <w:rFonts w:hint="eastAsia" w:eastAsia="宋体"/>
                <w:szCs w:val="21"/>
              </w:rPr>
              <w:t>对同一招标项目</w:t>
            </w:r>
            <w:r>
              <w:rPr>
                <w:rFonts w:hint="eastAsia" w:eastAsia="宋体"/>
                <w:szCs w:val="21"/>
                <w:lang w:val="en-US" w:eastAsia="zh-CN"/>
              </w:rPr>
              <w:t>没有</w:t>
            </w:r>
            <w:r>
              <w:rPr>
                <w:rFonts w:hint="eastAsia" w:eastAsia="宋体"/>
                <w:szCs w:val="21"/>
              </w:rPr>
              <w:t>出现两个或以上的投标报价</w:t>
            </w:r>
            <w:r>
              <w:rPr>
                <w:rFonts w:hint="eastAsia" w:eastAsia="宋体"/>
                <w:szCs w:val="21"/>
                <w:lang w:eastAsia="zh-CN"/>
              </w:rPr>
              <w:t>。</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eastAsia="宋体"/>
                <w:color w:val="auto"/>
                <w:szCs w:val="21"/>
              </w:rPr>
            </w:pPr>
            <w:r>
              <w:rPr>
                <w:rFonts w:hint="eastAsia" w:eastAsia="宋体"/>
                <w:color w:val="auto"/>
                <w:szCs w:val="21"/>
              </w:rPr>
              <w:t>3</w:t>
            </w:r>
          </w:p>
        </w:tc>
        <w:tc>
          <w:tcPr>
            <w:tcW w:w="9315" w:type="dxa"/>
            <w:tcBorders>
              <w:top w:val="single" w:color="auto" w:sz="6" w:space="0"/>
              <w:left w:val="single" w:color="auto" w:sz="6" w:space="0"/>
              <w:bottom w:val="single" w:color="auto" w:sz="6" w:space="0"/>
              <w:right w:val="single" w:color="auto" w:sz="6" w:space="0"/>
            </w:tcBorders>
            <w:vAlign w:val="center"/>
          </w:tcPr>
          <w:p>
            <w:pPr>
              <w:jc w:val="left"/>
              <w:rPr>
                <w:rFonts w:eastAsia="宋体"/>
                <w:b/>
                <w:szCs w:val="21"/>
              </w:rPr>
            </w:pPr>
            <w:r>
              <w:rPr>
                <w:rFonts w:hint="eastAsia" w:eastAsia="宋体"/>
                <w:szCs w:val="21"/>
              </w:rPr>
              <w:t>投标报价总价</w:t>
            </w:r>
            <w:r>
              <w:rPr>
                <w:rFonts w:hint="eastAsia" w:eastAsia="宋体"/>
                <w:szCs w:val="21"/>
                <w:lang w:val="en-US" w:eastAsia="zh-CN"/>
              </w:rPr>
              <w:t>不</w:t>
            </w:r>
            <w:r>
              <w:rPr>
                <w:rFonts w:hint="eastAsia" w:eastAsia="宋体"/>
                <w:szCs w:val="21"/>
              </w:rPr>
              <w:t>高于最高投标限价总价的。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default" w:eastAsia="宋体"/>
                <w:color w:val="auto"/>
                <w:szCs w:val="21"/>
                <w:lang w:val="en-US" w:eastAsia="zh-CN"/>
              </w:rPr>
            </w:pPr>
            <w:r>
              <w:rPr>
                <w:rFonts w:hint="eastAsia" w:eastAsia="宋体"/>
                <w:color w:val="auto"/>
                <w:szCs w:val="21"/>
                <w:lang w:val="en-US" w:eastAsia="zh-CN"/>
              </w:rPr>
              <w:t>4</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rFonts w:hint="eastAsia" w:eastAsia="宋体"/>
                <w:szCs w:val="21"/>
              </w:rPr>
            </w:pPr>
            <w:r>
              <w:rPr>
                <w:rFonts w:hint="eastAsia" w:eastAsia="宋体"/>
                <w:szCs w:val="21"/>
                <w:highlight w:val="none"/>
              </w:rPr>
              <w:t>算术复核后的投标报价总价与原投标报价总价相比</w:t>
            </w:r>
            <w:r>
              <w:rPr>
                <w:rFonts w:hint="eastAsia" w:ascii="Times New Roman" w:eastAsia="宋体"/>
                <w:szCs w:val="21"/>
                <w:highlight w:val="none"/>
                <w:lang w:val="en-US" w:eastAsia="zh-CN"/>
              </w:rPr>
              <w:t>不</w:t>
            </w:r>
            <w:r>
              <w:rPr>
                <w:rFonts w:hint="eastAsia" w:eastAsia="宋体"/>
                <w:szCs w:val="21"/>
                <w:highlight w:val="none"/>
              </w:rPr>
              <w:t>存在1%或以上误差的。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lang w:eastAsia="zh-CN"/>
              </w:rPr>
            </w:pPr>
            <w:r>
              <w:rPr>
                <w:rFonts w:hint="eastAsia" w:eastAsia="宋体"/>
                <w:color w:val="auto"/>
                <w:szCs w:val="21"/>
                <w:lang w:val="en-US" w:eastAsia="zh-CN"/>
              </w:rPr>
              <w:t>5</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rFonts w:eastAsia="宋体"/>
                <w:szCs w:val="21"/>
              </w:rPr>
            </w:pPr>
            <w:r>
              <w:rPr>
                <w:rFonts w:hint="eastAsia" w:eastAsia="宋体"/>
                <w:szCs w:val="21"/>
              </w:rPr>
              <w:t>投标文件按规定的格式填写，主要内容</w:t>
            </w:r>
            <w:r>
              <w:rPr>
                <w:rFonts w:hint="eastAsia" w:eastAsia="宋体"/>
                <w:szCs w:val="21"/>
                <w:lang w:val="en-US" w:eastAsia="zh-CN"/>
              </w:rPr>
              <w:t>齐</w:t>
            </w:r>
            <w:r>
              <w:rPr>
                <w:rFonts w:hint="eastAsia" w:eastAsia="宋体"/>
                <w:szCs w:val="21"/>
              </w:rPr>
              <w:t>全。</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lang w:eastAsia="zh-CN"/>
              </w:rPr>
            </w:pPr>
            <w:r>
              <w:rPr>
                <w:rFonts w:hint="eastAsia" w:eastAsia="宋体"/>
                <w:color w:val="auto"/>
                <w:szCs w:val="21"/>
                <w:lang w:val="en-US" w:eastAsia="zh-CN"/>
              </w:rPr>
              <w:t>6</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rFonts w:eastAsia="宋体"/>
                <w:szCs w:val="21"/>
              </w:rPr>
            </w:pPr>
            <w:r>
              <w:rPr>
                <w:rFonts w:hint="eastAsia" w:eastAsia="宋体"/>
                <w:szCs w:val="21"/>
                <w:lang w:val="en-US" w:eastAsia="zh-CN"/>
              </w:rPr>
              <w:t>不</w:t>
            </w:r>
            <w:r>
              <w:rPr>
                <w:rFonts w:hint="eastAsia" w:eastAsia="宋体"/>
                <w:szCs w:val="21"/>
              </w:rPr>
              <w:t>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rFonts w:eastAsia="宋体"/>
                <w:szCs w:val="21"/>
              </w:rPr>
            </w:pPr>
            <w:r>
              <w:rPr>
                <w:rFonts w:hint="eastAsia" w:eastAsia="宋体"/>
                <w:bCs/>
                <w:szCs w:val="21"/>
              </w:rPr>
              <w:t>结论</w:t>
            </w:r>
          </w:p>
        </w:tc>
        <w:tc>
          <w:tcPr>
            <w:tcW w:w="9315" w:type="dxa"/>
            <w:tcBorders>
              <w:top w:val="single" w:color="auto" w:sz="6" w:space="0"/>
              <w:left w:val="single" w:color="auto" w:sz="6" w:space="0"/>
              <w:bottom w:val="single" w:color="auto" w:sz="4" w:space="0"/>
              <w:right w:val="single" w:color="auto" w:sz="6" w:space="0"/>
            </w:tcBorders>
            <w:vAlign w:val="center"/>
          </w:tcPr>
          <w:p>
            <w:pPr>
              <w:spacing w:line="360" w:lineRule="auto"/>
              <w:rPr>
                <w:rFonts w:eastAsia="宋体"/>
                <w:szCs w:val="21"/>
              </w:rPr>
            </w:pPr>
            <w:r>
              <w:rPr>
                <w:rFonts w:hint="eastAsia" w:eastAsia="宋体"/>
                <w:bCs/>
                <w:szCs w:val="21"/>
              </w:rPr>
              <w:t>是否通过并进入下一阶段评审</w:t>
            </w:r>
          </w:p>
        </w:tc>
        <w:tc>
          <w:tcPr>
            <w:tcW w:w="838"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rFonts w:eastAsia="宋体"/>
                <w:szCs w:val="21"/>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rFonts w:eastAsia="宋体"/>
                <w:szCs w:val="21"/>
              </w:rPr>
            </w:pPr>
          </w:p>
        </w:tc>
      </w:tr>
    </w:tbl>
    <w:p>
      <w:pPr>
        <w:spacing w:line="300" w:lineRule="exact"/>
        <w:rPr>
          <w:rFonts w:ascii="宋体" w:hAnsi="宋体" w:eastAsia="宋体"/>
          <w:szCs w:val="21"/>
        </w:rPr>
      </w:pPr>
    </w:p>
    <w:p>
      <w:pPr>
        <w:spacing w:line="300" w:lineRule="exact"/>
        <w:rPr>
          <w:rFonts w:ascii="宋体" w:hAnsi="宋体" w:eastAsia="宋体"/>
          <w:szCs w:val="21"/>
        </w:rPr>
      </w:pPr>
      <w:r>
        <w:rPr>
          <w:rFonts w:hint="eastAsia" w:ascii="宋体" w:hAnsi="宋体" w:eastAsia="宋体"/>
          <w:szCs w:val="21"/>
        </w:rPr>
        <w:t>注：</w:t>
      </w:r>
      <w:r>
        <w:rPr>
          <w:rFonts w:ascii="宋体" w:hAnsi="宋体" w:eastAsia="宋体"/>
          <w:szCs w:val="21"/>
        </w:rPr>
        <w:t>1.</w:t>
      </w:r>
      <w:r>
        <w:rPr>
          <w:rFonts w:hint="eastAsia" w:ascii="宋体" w:hAnsi="宋体" w:eastAsia="宋体"/>
          <w:szCs w:val="21"/>
        </w:rPr>
        <w:t>根据本表审查项目，不符合的填“○”，符合的填“×”，评审结论填“通过“或“不通过”。。</w:t>
      </w:r>
    </w:p>
    <w:p>
      <w:pPr>
        <w:spacing w:line="3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本表中出现一个（或以上）“×”，投标人的评审结论为“不通过”，即该投标人不进入下一阶段评审。</w:t>
      </w:r>
    </w:p>
    <w:p>
      <w:pPr>
        <w:spacing w:line="3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本表中评审项目全部为“○”，投标人的评审结论为“通过”，即该投标人进入下一阶段评审。</w:t>
      </w:r>
    </w:p>
    <w:p>
      <w:pPr>
        <w:ind w:firstLine="420" w:firstLineChars="200"/>
        <w:rPr>
          <w:rFonts w:eastAsia="宋体"/>
        </w:rPr>
      </w:pPr>
      <w:r>
        <w:rPr>
          <w:rFonts w:ascii="宋体" w:hAnsi="宋体" w:eastAsia="宋体"/>
          <w:szCs w:val="21"/>
        </w:rPr>
        <w:t>4.</w:t>
      </w:r>
      <w:r>
        <w:rPr>
          <w:rFonts w:hint="eastAsia" w:ascii="宋体" w:hAnsi="宋体" w:eastAsia="宋体"/>
          <w:szCs w:val="21"/>
        </w:rPr>
        <w:t>如对本表中某种情形的评审意见不一致时，以评审组过半数成员的意见作为评审组对该情形的认定结论。</w:t>
      </w:r>
    </w:p>
    <w:p>
      <w:pPr>
        <w:rPr>
          <w:rFonts w:hAnsi="宋体" w:eastAsia="宋体"/>
          <w:szCs w:val="21"/>
        </w:rPr>
      </w:pPr>
    </w:p>
    <w:p>
      <w:pPr>
        <w:rPr>
          <w:rFonts w:hAnsi="宋体" w:eastAsia="宋体"/>
          <w:b/>
          <w:szCs w:val="21"/>
        </w:rPr>
      </w:pPr>
      <w:r>
        <w:rPr>
          <w:rFonts w:hint="eastAsia" w:hAnsi="宋体" w:eastAsia="宋体"/>
          <w:szCs w:val="21"/>
        </w:rPr>
        <w:t>评委签名：                                           日期：</w:t>
      </w:r>
    </w:p>
    <w:p>
      <w:pPr>
        <w:spacing w:line="360" w:lineRule="auto"/>
        <w:rPr>
          <w:rFonts w:ascii="宋体" w:hAnsi="宋体"/>
          <w:szCs w:val="21"/>
        </w:rPr>
        <w:sectPr>
          <w:pgSz w:w="16838" w:h="11906" w:orient="landscape"/>
          <w:pgMar w:top="907" w:right="1440" w:bottom="102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47"/>
        <w:rPr>
          <w:rFonts w:hint="eastAsia" w:ascii="宋体" w:hAnsi="宋体"/>
          <w:sz w:val="24"/>
          <w:highlight w:val="none"/>
        </w:rPr>
      </w:pPr>
    </w:p>
    <w:p>
      <w:pPr>
        <w:snapToGrid w:val="0"/>
        <w:rPr>
          <w:rFonts w:hint="eastAsia" w:ascii="宋体" w:hAnsi="宋体"/>
          <w:b/>
          <w:sz w:val="28"/>
          <w:szCs w:val="28"/>
          <w:highlight w:val="none"/>
        </w:rPr>
      </w:pPr>
      <w:r>
        <w:rPr>
          <w:rFonts w:hint="eastAsia" w:ascii="宋体" w:hAnsi="宋体"/>
          <w:b/>
          <w:sz w:val="28"/>
          <w:szCs w:val="28"/>
          <w:highlight w:val="none"/>
        </w:rPr>
        <w:t>附表</w:t>
      </w:r>
      <w:r>
        <w:rPr>
          <w:rFonts w:hint="eastAsia" w:ascii="宋体" w:hAnsi="宋体"/>
          <w:b/>
          <w:sz w:val="28"/>
          <w:szCs w:val="28"/>
          <w:highlight w:val="none"/>
          <w:lang w:val="en-US" w:eastAsia="zh-CN"/>
        </w:rPr>
        <w:t>5</w:t>
      </w:r>
      <w:r>
        <w:rPr>
          <w:rFonts w:hint="eastAsia" w:ascii="宋体" w:hAnsi="宋体"/>
          <w:b/>
          <w:sz w:val="28"/>
          <w:szCs w:val="28"/>
          <w:highlight w:val="none"/>
        </w:rPr>
        <w:t>：</w:t>
      </w:r>
    </w:p>
    <w:p>
      <w:pPr>
        <w:pStyle w:val="47"/>
        <w:rPr>
          <w:rFonts w:hint="eastAsia" w:ascii="宋体" w:hAnsi="宋体"/>
          <w:sz w:val="24"/>
          <w:highlight w:val="none"/>
        </w:rPr>
      </w:pPr>
    </w:p>
    <w:p>
      <w:pPr>
        <w:pStyle w:val="47"/>
        <w:rPr>
          <w:rFonts w:hint="eastAsia" w:ascii="宋体" w:hAnsi="宋体"/>
          <w:sz w:val="24"/>
          <w:highlight w:val="none"/>
        </w:rPr>
      </w:pPr>
    </w:p>
    <w:p>
      <w:pPr>
        <w:spacing w:line="360" w:lineRule="auto"/>
        <w:jc w:val="center"/>
        <w:rPr>
          <w:rFonts w:ascii="宋体" w:hAnsi="宋体"/>
          <w:b/>
          <w:sz w:val="36"/>
          <w:szCs w:val="36"/>
          <w:highlight w:val="none"/>
        </w:rPr>
      </w:pPr>
      <w:r>
        <w:rPr>
          <w:rFonts w:hint="eastAsia" w:ascii="宋体" w:hAnsi="宋体"/>
          <w:b/>
          <w:bCs/>
          <w:sz w:val="32"/>
          <w:szCs w:val="32"/>
          <w:highlight w:val="none"/>
        </w:rPr>
        <w:t>投标报价</w:t>
      </w:r>
      <w:r>
        <w:rPr>
          <w:rFonts w:hint="eastAsia" w:ascii="宋体" w:hAnsi="宋体"/>
          <w:b/>
          <w:sz w:val="32"/>
          <w:szCs w:val="32"/>
          <w:highlight w:val="none"/>
        </w:rPr>
        <w:t>算术复核表</w:t>
      </w:r>
    </w:p>
    <w:p>
      <w:pPr>
        <w:spacing w:line="360" w:lineRule="auto"/>
        <w:rPr>
          <w:rFonts w:ascii="宋体" w:hAnsi="宋体"/>
          <w:bCs/>
          <w:szCs w:val="21"/>
          <w:highlight w:val="none"/>
        </w:rPr>
      </w:pPr>
      <w:r>
        <w:rPr>
          <w:rFonts w:hint="eastAsia" w:ascii="宋体" w:hAnsi="宋体"/>
          <w:bCs/>
          <w:szCs w:val="21"/>
          <w:highlight w:val="none"/>
        </w:rPr>
        <w:t>工程名称：</w:t>
      </w:r>
    </w:p>
    <w:tbl>
      <w:tblPr>
        <w:tblStyle w:val="3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325"/>
        <w:gridCol w:w="2363"/>
        <w:gridCol w:w="2291"/>
        <w:gridCol w:w="1995"/>
        <w:gridCol w:w="166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vAlign w:val="center"/>
          </w:tcPr>
          <w:p>
            <w:pPr>
              <w:jc w:val="center"/>
              <w:rPr>
                <w:rFonts w:ascii="宋体" w:hAnsi="宋体"/>
                <w:sz w:val="24"/>
                <w:highlight w:val="none"/>
              </w:rPr>
            </w:pPr>
            <w:r>
              <w:rPr>
                <w:rFonts w:hint="eastAsia" w:ascii="宋体" w:hAnsi="宋体"/>
                <w:sz w:val="24"/>
                <w:highlight w:val="none"/>
              </w:rPr>
              <w:t>序号</w:t>
            </w:r>
          </w:p>
        </w:tc>
        <w:tc>
          <w:tcPr>
            <w:tcW w:w="3325" w:type="dxa"/>
            <w:vAlign w:val="center"/>
          </w:tcPr>
          <w:p>
            <w:pPr>
              <w:jc w:val="center"/>
              <w:rPr>
                <w:rFonts w:ascii="宋体" w:hAnsi="宋体"/>
                <w:sz w:val="24"/>
                <w:highlight w:val="none"/>
              </w:rPr>
            </w:pPr>
            <w:r>
              <w:rPr>
                <w:rFonts w:hint="eastAsia" w:ascii="宋体" w:hAnsi="宋体"/>
                <w:sz w:val="24"/>
                <w:highlight w:val="none"/>
              </w:rPr>
              <w:t>投标单位</w:t>
            </w:r>
          </w:p>
        </w:tc>
        <w:tc>
          <w:tcPr>
            <w:tcW w:w="2363" w:type="dxa"/>
            <w:vAlign w:val="center"/>
          </w:tcPr>
          <w:p>
            <w:pPr>
              <w:jc w:val="center"/>
              <w:rPr>
                <w:rFonts w:ascii="宋体" w:hAnsi="宋体"/>
                <w:sz w:val="24"/>
                <w:highlight w:val="none"/>
              </w:rPr>
            </w:pPr>
            <w:r>
              <w:rPr>
                <w:rFonts w:hint="eastAsia" w:ascii="宋体" w:hAnsi="宋体" w:cs="Times New Roman"/>
                <w:sz w:val="24"/>
                <w:highlight w:val="none"/>
              </w:rPr>
              <w:t>投标报</w:t>
            </w:r>
            <w:r>
              <w:rPr>
                <w:rFonts w:hint="eastAsia" w:ascii="宋体" w:hAnsi="宋体"/>
                <w:sz w:val="24"/>
                <w:highlight w:val="none"/>
              </w:rPr>
              <w:t>价（元）</w:t>
            </w:r>
          </w:p>
        </w:tc>
        <w:tc>
          <w:tcPr>
            <w:tcW w:w="2291" w:type="dxa"/>
            <w:vAlign w:val="center"/>
          </w:tcPr>
          <w:p>
            <w:pPr>
              <w:jc w:val="center"/>
              <w:rPr>
                <w:rFonts w:ascii="宋体" w:hAnsi="宋体"/>
                <w:sz w:val="24"/>
                <w:highlight w:val="none"/>
              </w:rPr>
            </w:pPr>
            <w:r>
              <w:rPr>
                <w:rFonts w:hint="eastAsia" w:ascii="宋体" w:hAnsi="宋体"/>
                <w:sz w:val="24"/>
                <w:highlight w:val="none"/>
              </w:rPr>
              <w:t>算术复核后报价（元）</w:t>
            </w:r>
          </w:p>
        </w:tc>
        <w:tc>
          <w:tcPr>
            <w:tcW w:w="1995" w:type="dxa"/>
            <w:vAlign w:val="center"/>
          </w:tcPr>
          <w:p>
            <w:pPr>
              <w:jc w:val="center"/>
              <w:rPr>
                <w:rFonts w:ascii="宋体" w:hAnsi="宋体"/>
                <w:sz w:val="24"/>
                <w:highlight w:val="none"/>
              </w:rPr>
            </w:pPr>
            <w:r>
              <w:rPr>
                <w:rFonts w:hint="eastAsia" w:ascii="宋体" w:hAnsi="宋体"/>
                <w:sz w:val="24"/>
                <w:highlight w:val="none"/>
              </w:rPr>
              <w:t>经评审的最终</w:t>
            </w:r>
            <w:r>
              <w:rPr>
                <w:rFonts w:hint="eastAsia" w:ascii="宋体" w:hAnsi="宋体" w:cs="Times New Roman"/>
                <w:sz w:val="24"/>
                <w:highlight w:val="none"/>
              </w:rPr>
              <w:t>投标</w:t>
            </w:r>
            <w:r>
              <w:rPr>
                <w:rFonts w:hint="eastAsia" w:ascii="宋体" w:hAnsi="宋体"/>
                <w:sz w:val="24"/>
                <w:highlight w:val="none"/>
              </w:rPr>
              <w:t>报价（元）</w:t>
            </w:r>
          </w:p>
        </w:tc>
        <w:tc>
          <w:tcPr>
            <w:tcW w:w="1664" w:type="dxa"/>
            <w:vAlign w:val="center"/>
          </w:tcPr>
          <w:p>
            <w:pPr>
              <w:jc w:val="center"/>
              <w:rPr>
                <w:rFonts w:ascii="宋体" w:hAnsi="宋体"/>
                <w:sz w:val="24"/>
                <w:highlight w:val="none"/>
              </w:rPr>
            </w:pPr>
            <w:r>
              <w:rPr>
                <w:rFonts w:hint="eastAsia" w:ascii="宋体" w:hAnsi="宋体"/>
                <w:sz w:val="24"/>
                <w:highlight w:val="none"/>
              </w:rPr>
              <w:t>偏差率</w:t>
            </w:r>
          </w:p>
        </w:tc>
        <w:tc>
          <w:tcPr>
            <w:tcW w:w="1589" w:type="dxa"/>
            <w:vAlign w:val="center"/>
          </w:tcPr>
          <w:p>
            <w:pPr>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trPr>
        <w:tc>
          <w:tcPr>
            <w:tcW w:w="947" w:type="dxa"/>
          </w:tcPr>
          <w:p>
            <w:pPr>
              <w:spacing w:line="360" w:lineRule="auto"/>
              <w:jc w:val="center"/>
              <w:rPr>
                <w:rFonts w:ascii="宋体" w:hAnsi="宋体"/>
                <w:sz w:val="24"/>
                <w:highlight w:val="none"/>
              </w:rPr>
            </w:pPr>
          </w:p>
        </w:tc>
        <w:tc>
          <w:tcPr>
            <w:tcW w:w="332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229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1664" w:type="dxa"/>
          </w:tcPr>
          <w:p>
            <w:pPr>
              <w:spacing w:line="360" w:lineRule="auto"/>
              <w:jc w:val="center"/>
              <w:rPr>
                <w:rFonts w:ascii="宋体" w:hAnsi="宋体"/>
                <w:sz w:val="24"/>
                <w:highlight w:val="none"/>
              </w:rPr>
            </w:pPr>
          </w:p>
        </w:tc>
        <w:tc>
          <w:tcPr>
            <w:tcW w:w="1589"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947" w:type="dxa"/>
          </w:tcPr>
          <w:p>
            <w:pPr>
              <w:spacing w:line="360" w:lineRule="auto"/>
              <w:jc w:val="center"/>
              <w:rPr>
                <w:rFonts w:ascii="宋体" w:hAnsi="宋体"/>
                <w:sz w:val="24"/>
                <w:highlight w:val="none"/>
              </w:rPr>
            </w:pPr>
          </w:p>
        </w:tc>
        <w:tc>
          <w:tcPr>
            <w:tcW w:w="332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229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1664" w:type="dxa"/>
          </w:tcPr>
          <w:p>
            <w:pPr>
              <w:spacing w:line="360" w:lineRule="auto"/>
              <w:jc w:val="center"/>
              <w:rPr>
                <w:rFonts w:ascii="宋体" w:hAnsi="宋体"/>
                <w:sz w:val="24"/>
                <w:highlight w:val="none"/>
              </w:rPr>
            </w:pPr>
          </w:p>
        </w:tc>
        <w:tc>
          <w:tcPr>
            <w:tcW w:w="1589"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32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229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1664" w:type="dxa"/>
          </w:tcPr>
          <w:p>
            <w:pPr>
              <w:spacing w:line="360" w:lineRule="auto"/>
              <w:jc w:val="center"/>
              <w:rPr>
                <w:rFonts w:ascii="宋体" w:hAnsi="宋体"/>
                <w:sz w:val="24"/>
                <w:highlight w:val="none"/>
              </w:rPr>
            </w:pPr>
          </w:p>
        </w:tc>
        <w:tc>
          <w:tcPr>
            <w:tcW w:w="1589"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32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229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1664" w:type="dxa"/>
          </w:tcPr>
          <w:p>
            <w:pPr>
              <w:spacing w:line="360" w:lineRule="auto"/>
              <w:jc w:val="center"/>
              <w:rPr>
                <w:rFonts w:ascii="宋体" w:hAnsi="宋体"/>
                <w:sz w:val="24"/>
                <w:highlight w:val="none"/>
              </w:rPr>
            </w:pPr>
          </w:p>
        </w:tc>
        <w:tc>
          <w:tcPr>
            <w:tcW w:w="1589"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947" w:type="dxa"/>
          </w:tcPr>
          <w:p>
            <w:pPr>
              <w:spacing w:line="360" w:lineRule="auto"/>
              <w:jc w:val="center"/>
              <w:rPr>
                <w:rFonts w:ascii="宋体" w:hAnsi="宋体"/>
                <w:sz w:val="24"/>
                <w:highlight w:val="none"/>
              </w:rPr>
            </w:pPr>
          </w:p>
        </w:tc>
        <w:tc>
          <w:tcPr>
            <w:tcW w:w="332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229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1664" w:type="dxa"/>
          </w:tcPr>
          <w:p>
            <w:pPr>
              <w:spacing w:line="360" w:lineRule="auto"/>
              <w:jc w:val="center"/>
              <w:rPr>
                <w:rFonts w:ascii="宋体" w:hAnsi="宋体"/>
                <w:sz w:val="24"/>
                <w:highlight w:val="none"/>
              </w:rPr>
            </w:pPr>
          </w:p>
        </w:tc>
        <w:tc>
          <w:tcPr>
            <w:tcW w:w="1589" w:type="dxa"/>
          </w:tcPr>
          <w:p>
            <w:pPr>
              <w:spacing w:line="360" w:lineRule="auto"/>
              <w:jc w:val="center"/>
              <w:rPr>
                <w:rFonts w:ascii="宋体" w:hAnsi="宋体"/>
                <w:sz w:val="24"/>
                <w:highlight w:val="none"/>
              </w:rPr>
            </w:pPr>
          </w:p>
        </w:tc>
      </w:tr>
    </w:tbl>
    <w:p>
      <w:pPr>
        <w:spacing w:line="360" w:lineRule="auto"/>
        <w:rPr>
          <w:rFonts w:ascii="宋体" w:hAnsi="宋体"/>
          <w:highlight w:val="none"/>
        </w:rPr>
      </w:pPr>
    </w:p>
    <w:p>
      <w:pPr>
        <w:spacing w:line="360" w:lineRule="auto"/>
        <w:rPr>
          <w:rFonts w:ascii="宋体" w:hAnsi="宋体"/>
          <w:szCs w:val="21"/>
          <w:highlight w:val="none"/>
        </w:rPr>
      </w:pPr>
      <w:r>
        <w:rPr>
          <w:rFonts w:hint="eastAsia" w:ascii="宋体" w:hAnsi="宋体"/>
          <w:highlight w:val="none"/>
        </w:rPr>
        <w:t>评委签名：</w:t>
      </w:r>
      <w:r>
        <w:rPr>
          <w:rFonts w:ascii="宋体" w:hAnsi="宋体"/>
          <w:szCs w:val="21"/>
          <w:highlight w:val="none"/>
        </w:rPr>
        <w:t xml:space="preserve">                     日期：</w:t>
      </w:r>
    </w:p>
    <w:p>
      <w:pPr>
        <w:snapToGrid/>
        <w:ind w:firstLine="562" w:firstLineChars="200"/>
        <w:rPr>
          <w:rFonts w:hint="eastAsia" w:ascii="宋体" w:hAnsi="宋体" w:eastAsia="宋体" w:cs="Times New Roman"/>
          <w:b/>
          <w:sz w:val="28"/>
          <w:szCs w:val="28"/>
          <w:highlight w:val="none"/>
        </w:rPr>
      </w:pPr>
    </w:p>
    <w:p>
      <w:pPr>
        <w:snapToGrid/>
        <w:ind w:firstLine="562" w:firstLineChars="200"/>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附表</w:t>
      </w:r>
      <w:r>
        <w:rPr>
          <w:rFonts w:hint="eastAsia" w:ascii="宋体" w:hAnsi="宋体" w:eastAsia="宋体" w:cs="Times New Roman"/>
          <w:b/>
          <w:sz w:val="28"/>
          <w:szCs w:val="28"/>
          <w:highlight w:val="none"/>
          <w:lang w:val="en-US" w:eastAsia="zh-CN"/>
        </w:rPr>
        <w:t>6</w:t>
      </w:r>
      <w:r>
        <w:rPr>
          <w:rFonts w:hint="eastAsia" w:ascii="宋体" w:hAnsi="宋体" w:eastAsia="宋体" w:cs="Times New Roman"/>
          <w:b/>
          <w:sz w:val="28"/>
          <w:szCs w:val="28"/>
          <w:highlight w:val="none"/>
        </w:rPr>
        <w:t>：</w:t>
      </w:r>
    </w:p>
    <w:p>
      <w:pPr>
        <w:snapToGrid w:val="0"/>
        <w:rPr>
          <w:rFonts w:ascii="黑体" w:hAnsi="黑体" w:eastAsia="黑体" w:cs="Times New Roman"/>
          <w:b/>
          <w:sz w:val="24"/>
          <w:highlight w:val="none"/>
        </w:rPr>
      </w:pPr>
      <w:r>
        <w:rPr>
          <w:rFonts w:hint="eastAsia" w:ascii="黑体" w:hAnsi="黑体" w:eastAsia="黑体" w:cs="Times New Roman"/>
          <w:b/>
          <w:sz w:val="24"/>
          <w:highlight w:val="none"/>
        </w:rPr>
        <w:t xml:space="preserve">           </w:t>
      </w:r>
    </w:p>
    <w:p>
      <w:pPr>
        <w:spacing w:line="360" w:lineRule="auto"/>
        <w:jc w:val="center"/>
        <w:rPr>
          <w:rFonts w:ascii="宋体" w:hAnsi="宋体" w:eastAsia="宋体" w:cs="Times New Roman"/>
          <w:b/>
          <w:bCs/>
          <w:sz w:val="32"/>
          <w:szCs w:val="32"/>
          <w:highlight w:val="none"/>
        </w:rPr>
      </w:pPr>
      <w:r>
        <w:rPr>
          <w:rFonts w:hint="eastAsia" w:ascii="宋体" w:hAnsi="宋体" w:eastAsia="宋体" w:cs="Times New Roman"/>
          <w:b/>
          <w:bCs/>
          <w:sz w:val="32"/>
          <w:szCs w:val="32"/>
          <w:highlight w:val="none"/>
        </w:rPr>
        <w:t>投标报价评分表</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工程名称：</w:t>
      </w:r>
    </w:p>
    <w:tbl>
      <w:tblPr>
        <w:tblStyle w:val="39"/>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投标报价</w:t>
            </w:r>
            <w:r>
              <w:rPr>
                <w:rFonts w:ascii="宋体" w:hAnsi="宋体" w:eastAsia="宋体" w:cs="Times New Roman"/>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highlight w:val="none"/>
              </w:rPr>
              <w:t>评标参考价（</w:t>
            </w:r>
            <w:r>
              <w:rPr>
                <w:rFonts w:ascii="宋体" w:hAnsi="宋体" w:eastAsia="宋体" w:cs="Times New Roman"/>
                <w:highlight w:val="none"/>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pacing w:val="-10"/>
                <w:sz w:val="24"/>
                <w:highlight w:val="none"/>
              </w:rPr>
            </w:pPr>
            <w:r>
              <w:rPr>
                <w:rFonts w:hint="eastAsia" w:ascii="宋体" w:hAnsi="宋体" w:eastAsia="宋体" w:cs="Times New Roman"/>
                <w:spacing w:val="-10"/>
                <w:sz w:val="24"/>
                <w:highlight w:val="none"/>
              </w:rPr>
              <w:t>偏差（（</w:t>
            </w:r>
            <w:r>
              <w:rPr>
                <w:rFonts w:ascii="宋体" w:hAnsi="宋体" w:eastAsia="宋体" w:cs="Times New Roman"/>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减分（</w:t>
            </w:r>
            <w:r>
              <w:rPr>
                <w:rFonts w:ascii="宋体" w:hAnsi="宋体" w:eastAsia="宋体" w:cs="Times New Roman"/>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经济标得分</w:t>
            </w:r>
            <w:r>
              <w:rPr>
                <w:rFonts w:ascii="宋体" w:hAnsi="宋体" w:eastAsia="宋体" w:cs="Times New Roman"/>
                <w:sz w:val="24"/>
                <w:highlight w:val="none"/>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bl>
    <w:p>
      <w:pPr>
        <w:spacing w:line="360" w:lineRule="auto"/>
        <w:rPr>
          <w:rFonts w:ascii="宋体" w:hAnsi="宋体" w:eastAsia="宋体" w:cs="Times New Roman"/>
          <w:sz w:val="24"/>
          <w:highlight w:val="none"/>
        </w:rPr>
      </w:pPr>
    </w:p>
    <w:p>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评委签名：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 xml:space="preserve">               日期：</w:t>
      </w:r>
    </w:p>
    <w:p>
      <w:pPr>
        <w:widowControl w:val="0"/>
        <w:ind w:firstLine="480"/>
        <w:jc w:val="both"/>
        <w:rPr>
          <w:rFonts w:hint="eastAsia" w:ascii="宋体" w:hAnsi="宋体" w:eastAsia="宋体" w:cs="宋体"/>
          <w:kern w:val="2"/>
          <w:sz w:val="24"/>
          <w:szCs w:val="24"/>
          <w:highlight w:val="none"/>
          <w:lang w:val="en-US" w:eastAsia="zh-CN" w:bidi="ar-SA"/>
        </w:rPr>
      </w:pPr>
    </w:p>
    <w:p>
      <w:pPr>
        <w:pStyle w:val="2"/>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
      <w:pPr>
        <w:rPr>
          <w:rFonts w:ascii="宋体" w:hAnsi="宋体"/>
          <w:szCs w:val="21"/>
          <w:highlight w:val="none"/>
        </w:rPr>
      </w:pPr>
    </w:p>
    <w:p>
      <w:pPr>
        <w:spacing w:line="400" w:lineRule="exact"/>
        <w:rPr>
          <w:rFonts w:ascii="宋体" w:hAnsi="宋体"/>
          <w:b/>
          <w:sz w:val="28"/>
          <w:szCs w:val="28"/>
          <w:highlight w:val="none"/>
        </w:rPr>
      </w:pPr>
      <w:r>
        <w:rPr>
          <w:rFonts w:hint="eastAsia" w:ascii="宋体" w:hAnsi="宋体"/>
          <w:b/>
          <w:sz w:val="28"/>
          <w:szCs w:val="28"/>
          <w:highlight w:val="none"/>
        </w:rPr>
        <w:t>附表</w:t>
      </w:r>
      <w:r>
        <w:rPr>
          <w:rFonts w:hint="eastAsia" w:ascii="宋体" w:hAnsi="宋体"/>
          <w:b/>
          <w:sz w:val="28"/>
          <w:szCs w:val="28"/>
          <w:highlight w:val="none"/>
          <w:lang w:val="en-US" w:eastAsia="zh-CN"/>
        </w:rPr>
        <w:t>7</w:t>
      </w:r>
      <w:r>
        <w:rPr>
          <w:rFonts w:hint="eastAsia"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总得分汇总表</w:t>
      </w:r>
    </w:p>
    <w:p>
      <w:pPr>
        <w:spacing w:line="360" w:lineRule="auto"/>
        <w:jc w:val="left"/>
        <w:rPr>
          <w:szCs w:val="21"/>
          <w:highlight w:val="none"/>
        </w:rPr>
      </w:pPr>
      <w:r>
        <w:rPr>
          <w:rFonts w:hint="eastAsia"/>
          <w:szCs w:val="21"/>
          <w:highlight w:val="none"/>
        </w:rPr>
        <w:t xml:space="preserve">项目名称：                                                                                           </w:t>
      </w:r>
    </w:p>
    <w:tbl>
      <w:tblPr>
        <w:tblStyle w:val="39"/>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92"/>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szCs w:val="21"/>
                <w:highlight w:val="none"/>
              </w:rPr>
            </w:pPr>
            <w:r>
              <w:rPr>
                <w:rFonts w:hint="eastAsia"/>
                <w:szCs w:val="21"/>
                <w:highlight w:val="none"/>
              </w:rPr>
              <w:t>序号</w:t>
            </w:r>
          </w:p>
        </w:tc>
        <w:tc>
          <w:tcPr>
            <w:tcW w:w="4292" w:type="dxa"/>
            <w:vAlign w:val="center"/>
          </w:tcPr>
          <w:p>
            <w:pPr>
              <w:spacing w:line="360" w:lineRule="auto"/>
              <w:jc w:val="center"/>
              <w:rPr>
                <w:szCs w:val="21"/>
                <w:highlight w:val="none"/>
              </w:rPr>
            </w:pPr>
            <w:r>
              <w:rPr>
                <w:rFonts w:hint="eastAsia"/>
                <w:szCs w:val="21"/>
                <w:highlight w:val="none"/>
              </w:rPr>
              <w:t>权重</w:t>
            </w:r>
          </w:p>
        </w:tc>
        <w:tc>
          <w:tcPr>
            <w:tcW w:w="2760" w:type="dxa"/>
            <w:vAlign w:val="center"/>
          </w:tcPr>
          <w:p>
            <w:pPr>
              <w:spacing w:line="360" w:lineRule="auto"/>
              <w:jc w:val="center"/>
              <w:rPr>
                <w:szCs w:val="21"/>
                <w:highlight w:val="none"/>
              </w:rPr>
            </w:pPr>
            <w:r>
              <w:rPr>
                <w:rFonts w:hint="eastAsia"/>
                <w:szCs w:val="21"/>
                <w:highlight w:val="none"/>
              </w:rPr>
              <w:t>项目</w:t>
            </w:r>
          </w:p>
        </w:tc>
        <w:tc>
          <w:tcPr>
            <w:tcW w:w="1984" w:type="dxa"/>
            <w:vAlign w:val="center"/>
          </w:tcPr>
          <w:p>
            <w:pPr>
              <w:spacing w:line="360" w:lineRule="auto"/>
              <w:jc w:val="center"/>
              <w:rPr>
                <w:szCs w:val="21"/>
                <w:highlight w:val="none"/>
              </w:rPr>
            </w:pPr>
            <w:r>
              <w:rPr>
                <w:rFonts w:hint="eastAsia"/>
                <w:szCs w:val="21"/>
                <w:highlight w:val="none"/>
              </w:rPr>
              <w:t>投标人1</w:t>
            </w:r>
          </w:p>
        </w:tc>
        <w:tc>
          <w:tcPr>
            <w:tcW w:w="1701" w:type="dxa"/>
            <w:vAlign w:val="center"/>
          </w:tcPr>
          <w:p>
            <w:pPr>
              <w:spacing w:line="360" w:lineRule="auto"/>
              <w:jc w:val="center"/>
              <w:rPr>
                <w:szCs w:val="21"/>
                <w:highlight w:val="none"/>
              </w:rPr>
            </w:pPr>
            <w:r>
              <w:rPr>
                <w:rFonts w:hint="eastAsia"/>
                <w:szCs w:val="21"/>
                <w:highlight w:val="none"/>
              </w:rPr>
              <w:t>投标人2</w:t>
            </w:r>
          </w:p>
        </w:tc>
        <w:tc>
          <w:tcPr>
            <w:tcW w:w="1589" w:type="dxa"/>
            <w:vAlign w:val="center"/>
          </w:tcPr>
          <w:p>
            <w:pPr>
              <w:spacing w:line="360" w:lineRule="auto"/>
              <w:jc w:val="center"/>
              <w:rPr>
                <w:szCs w:val="21"/>
                <w:highlight w:val="none"/>
              </w:rPr>
            </w:pPr>
            <w:r>
              <w:rPr>
                <w:rFonts w:hint="eastAsia"/>
                <w:szCs w:val="21"/>
                <w:highlight w:val="none"/>
              </w:rPr>
              <w:t>……</w:t>
            </w:r>
          </w:p>
        </w:tc>
        <w:tc>
          <w:tcPr>
            <w:tcW w:w="876" w:type="dxa"/>
            <w:vAlign w:val="center"/>
          </w:tcPr>
          <w:p>
            <w:pPr>
              <w:spacing w:line="360" w:lineRule="auto"/>
              <w:jc w:val="center"/>
              <w:rPr>
                <w:szCs w:val="21"/>
                <w:highlight w:val="none"/>
              </w:rPr>
            </w:pPr>
            <w:r>
              <w:rPr>
                <w:rFonts w:hint="eastAsia"/>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highlight w:val="none"/>
              </w:rPr>
            </w:pPr>
            <w:r>
              <w:rPr>
                <w:rFonts w:hint="eastAsia"/>
                <w:szCs w:val="21"/>
                <w:highlight w:val="none"/>
              </w:rPr>
              <w:t>1</w:t>
            </w:r>
          </w:p>
        </w:tc>
        <w:tc>
          <w:tcPr>
            <w:tcW w:w="4292" w:type="dxa"/>
            <w:vAlign w:val="center"/>
          </w:tcPr>
          <w:p>
            <w:pPr>
              <w:spacing w:line="360" w:lineRule="auto"/>
              <w:jc w:val="center"/>
              <w:rPr>
                <w:szCs w:val="21"/>
                <w:highlight w:val="none"/>
              </w:rPr>
            </w:pPr>
            <w:r>
              <w:rPr>
                <w:rFonts w:hint="eastAsia"/>
                <w:szCs w:val="21"/>
                <w:highlight w:val="none"/>
              </w:rPr>
              <w:t>工程实施方案（含资信部分）得分</w:t>
            </w:r>
            <w:r>
              <w:rPr>
                <w:rFonts w:hint="eastAsia"/>
                <w:szCs w:val="21"/>
                <w:highlight w:val="none"/>
                <w:lang w:eastAsia="zh-CN"/>
              </w:rPr>
              <w:t>（</w:t>
            </w:r>
            <w:r>
              <w:rPr>
                <w:rFonts w:hint="eastAsia"/>
                <w:szCs w:val="21"/>
                <w:highlight w:val="none"/>
                <w:lang w:val="en-US" w:eastAsia="zh-CN"/>
              </w:rPr>
              <w:t>60</w:t>
            </w:r>
            <w:r>
              <w:rPr>
                <w:rFonts w:hint="eastAsia"/>
                <w:szCs w:val="21"/>
                <w:highlight w:val="none"/>
              </w:rPr>
              <w:t>%</w:t>
            </w:r>
            <w:r>
              <w:rPr>
                <w:rFonts w:hint="eastAsia"/>
                <w:szCs w:val="21"/>
                <w:highlight w:val="none"/>
                <w:lang w:eastAsia="zh-CN"/>
              </w:rPr>
              <w:t>）</w:t>
            </w:r>
          </w:p>
        </w:tc>
        <w:tc>
          <w:tcPr>
            <w:tcW w:w="2760" w:type="dxa"/>
            <w:vAlign w:val="center"/>
          </w:tcPr>
          <w:p>
            <w:pPr>
              <w:spacing w:line="360" w:lineRule="auto"/>
              <w:jc w:val="center"/>
              <w:rPr>
                <w:szCs w:val="21"/>
                <w:highlight w:val="none"/>
              </w:rPr>
            </w:pPr>
            <w:r>
              <w:rPr>
                <w:rFonts w:hint="eastAsia"/>
                <w:szCs w:val="21"/>
                <w:highlight w:val="none"/>
              </w:rPr>
              <w:t>工程实施方案（含资信部分）得分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highlight w:val="none"/>
              </w:rPr>
            </w:pPr>
            <w:r>
              <w:rPr>
                <w:rFonts w:hint="eastAsia"/>
                <w:szCs w:val="21"/>
                <w:highlight w:val="none"/>
              </w:rPr>
              <w:t>2</w:t>
            </w:r>
          </w:p>
        </w:tc>
        <w:tc>
          <w:tcPr>
            <w:tcW w:w="4292" w:type="dxa"/>
            <w:vAlign w:val="center"/>
          </w:tcPr>
          <w:p>
            <w:pPr>
              <w:spacing w:line="360" w:lineRule="auto"/>
              <w:jc w:val="center"/>
              <w:rPr>
                <w:szCs w:val="21"/>
                <w:highlight w:val="none"/>
              </w:rPr>
            </w:pPr>
            <w:r>
              <w:rPr>
                <w:rFonts w:hint="eastAsia"/>
                <w:szCs w:val="21"/>
                <w:highlight w:val="none"/>
              </w:rPr>
              <w:t>投标报价得分</w:t>
            </w:r>
            <w:r>
              <w:rPr>
                <w:rFonts w:hint="eastAsia"/>
                <w:szCs w:val="21"/>
                <w:highlight w:val="none"/>
                <w:lang w:eastAsia="zh-CN"/>
              </w:rPr>
              <w:t>（</w:t>
            </w:r>
            <w:r>
              <w:rPr>
                <w:rFonts w:hint="eastAsia"/>
                <w:szCs w:val="21"/>
                <w:highlight w:val="none"/>
                <w:lang w:val="en-US" w:eastAsia="zh-CN"/>
              </w:rPr>
              <w:t>40</w:t>
            </w:r>
            <w:r>
              <w:rPr>
                <w:rFonts w:hint="eastAsia"/>
                <w:szCs w:val="21"/>
                <w:highlight w:val="none"/>
              </w:rPr>
              <w:t>%</w:t>
            </w:r>
            <w:r>
              <w:rPr>
                <w:rFonts w:hint="eastAsia"/>
                <w:szCs w:val="21"/>
                <w:highlight w:val="none"/>
                <w:lang w:eastAsia="zh-CN"/>
              </w:rPr>
              <w:t>）</w:t>
            </w:r>
          </w:p>
        </w:tc>
        <w:tc>
          <w:tcPr>
            <w:tcW w:w="2760" w:type="dxa"/>
            <w:vAlign w:val="center"/>
          </w:tcPr>
          <w:p>
            <w:pPr>
              <w:spacing w:line="360" w:lineRule="auto"/>
              <w:jc w:val="center"/>
              <w:rPr>
                <w:szCs w:val="21"/>
                <w:highlight w:val="none"/>
              </w:rPr>
            </w:pPr>
            <w:r>
              <w:rPr>
                <w:rFonts w:hint="eastAsia"/>
                <w:szCs w:val="21"/>
                <w:highlight w:val="none"/>
              </w:rPr>
              <w:t>投标报价得分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32" w:type="dxa"/>
            <w:gridSpan w:val="3"/>
            <w:vAlign w:val="center"/>
          </w:tcPr>
          <w:p>
            <w:pPr>
              <w:spacing w:line="360" w:lineRule="auto"/>
              <w:jc w:val="center"/>
              <w:rPr>
                <w:szCs w:val="21"/>
                <w:highlight w:val="none"/>
              </w:rPr>
            </w:pPr>
            <w:r>
              <w:rPr>
                <w:rFonts w:hint="eastAsia"/>
                <w:szCs w:val="21"/>
                <w:highlight w:val="none"/>
              </w:rPr>
              <w:t>总得分=工程实施方案（含资信部分）得分+投标报价得分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bl>
    <w:p>
      <w:pPr>
        <w:spacing w:line="360" w:lineRule="auto"/>
        <w:rPr>
          <w:szCs w:val="21"/>
          <w:highlight w:val="none"/>
        </w:rPr>
      </w:pPr>
      <w:r>
        <w:rPr>
          <w:rFonts w:hint="eastAsia"/>
          <w:szCs w:val="21"/>
          <w:highlight w:val="none"/>
        </w:rPr>
        <w:t>注：精确到小数点后两位，第三位四舍五入。</w:t>
      </w:r>
    </w:p>
    <w:p>
      <w:pPr>
        <w:spacing w:line="360" w:lineRule="auto"/>
        <w:ind w:firstLine="405"/>
        <w:rPr>
          <w:szCs w:val="21"/>
          <w:highlight w:val="none"/>
        </w:rPr>
      </w:pPr>
    </w:p>
    <w:p>
      <w:pPr>
        <w:rPr>
          <w:rFonts w:ascii="宋体" w:hAnsi="宋体"/>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Ansi="宋体"/>
          <w:szCs w:val="21"/>
          <w:highlight w:val="none"/>
        </w:rPr>
        <w:t>评委签名：                                           日期：</w:t>
      </w:r>
    </w:p>
    <w:p>
      <w:pPr>
        <w:rPr>
          <w:highlight w:val="none"/>
        </w:rPr>
      </w:pPr>
    </w:p>
    <w:p>
      <w:pPr>
        <w:pStyle w:val="3"/>
        <w:jc w:val="center"/>
        <w:rPr>
          <w:highlight w:val="none"/>
        </w:rPr>
      </w:pPr>
      <w:bookmarkStart w:id="1023" w:name="_Toc494371582"/>
      <w:bookmarkStart w:id="1024" w:name="_Toc13994"/>
      <w:bookmarkStart w:id="1025" w:name="_Toc31763"/>
      <w:bookmarkStart w:id="1026" w:name="_Toc22634"/>
      <w:bookmarkStart w:id="1027" w:name="_Toc2492"/>
      <w:bookmarkStart w:id="1028" w:name="_Toc29492"/>
      <w:bookmarkStart w:id="1029" w:name="_Toc152042387"/>
      <w:bookmarkStart w:id="1030" w:name="_Toc13990"/>
      <w:bookmarkStart w:id="1031" w:name="_Toc300835030"/>
      <w:bookmarkStart w:id="1032" w:name="_Toc2984"/>
      <w:bookmarkStart w:id="1033" w:name="_Toc17385"/>
      <w:bookmarkStart w:id="1034" w:name="_Toc247514033"/>
      <w:bookmarkStart w:id="1035" w:name="_Toc4736"/>
      <w:bookmarkStart w:id="1036" w:name="_Toc144974577"/>
      <w:bookmarkStart w:id="1037" w:name="_Toc16000"/>
      <w:bookmarkStart w:id="1038" w:name="_Toc29140"/>
      <w:bookmarkStart w:id="1039" w:name="_Toc4333"/>
      <w:bookmarkStart w:id="1040" w:name="_Toc247527634"/>
      <w:bookmarkStart w:id="1041" w:name="_Toc152045609"/>
      <w:r>
        <w:rPr>
          <w:rFonts w:hint="eastAsia"/>
          <w:highlight w:val="none"/>
        </w:rPr>
        <w:t>第四章合同条款及格式</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Start w:id="1042" w:name="_Toc152042388"/>
      <w:bookmarkStart w:id="1043" w:name="_Toc152045610"/>
      <w:bookmarkStart w:id="1044" w:name="_Toc184635097"/>
      <w:bookmarkStart w:id="1045" w:name="_Toc247514034"/>
      <w:bookmarkStart w:id="1046" w:name="_Toc144974578"/>
      <w:bookmarkStart w:id="1047" w:name="_Toc247527635"/>
      <w:r>
        <w:rPr>
          <w:rFonts w:hint="eastAsia"/>
          <w:color w:val="auto"/>
          <w:highlight w:val="none"/>
        </w:rPr>
        <w:t>（另册）</w:t>
      </w:r>
    </w:p>
    <w:p>
      <w:pPr>
        <w:rPr>
          <w:highlight w:val="none"/>
        </w:rPr>
      </w:pPr>
      <w:r>
        <w:rPr>
          <w:highlight w:val="none"/>
        </w:rPr>
        <w:br w:type="page"/>
      </w:r>
    </w:p>
    <w:p>
      <w:pPr>
        <w:rPr>
          <w:highlight w:val="none"/>
        </w:rPr>
        <w:sectPr>
          <w:footerReference r:id="rId7" w:type="default"/>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rPr>
          <w:highlight w:val="none"/>
        </w:rPr>
      </w:pPr>
      <w:r>
        <w:rPr>
          <w:rFonts w:ascii="黑体" w:hAnsi="黑体" w:eastAsia="黑体" w:cs="黑体"/>
          <w:b/>
          <w:bCs/>
          <w:spacing w:val="20"/>
          <w:sz w:val="36"/>
          <w:szCs w:val="36"/>
          <w:highlight w:val="none"/>
        </w:rPr>
        <w:t xml:space="preserve"> </w:t>
      </w:r>
      <w:r>
        <w:rPr>
          <w:rFonts w:hint="eastAsia" w:ascii="黑体" w:hAnsi="黑体" w:eastAsia="黑体" w:cs="黑体"/>
          <w:b/>
          <w:bCs/>
          <w:spacing w:val="20"/>
          <w:sz w:val="36"/>
          <w:szCs w:val="36"/>
          <w:highlight w:val="none"/>
          <w:lang w:val="en-US" w:eastAsia="zh-CN"/>
        </w:rPr>
        <w:t xml:space="preserve">                   </w:t>
      </w:r>
    </w:p>
    <w:bookmarkEnd w:id="1042"/>
    <w:bookmarkEnd w:id="1043"/>
    <w:bookmarkEnd w:id="1044"/>
    <w:bookmarkEnd w:id="1045"/>
    <w:bookmarkEnd w:id="1046"/>
    <w:bookmarkEnd w:id="1047"/>
    <w:p>
      <w:pPr>
        <w:rPr>
          <w:highlight w:val="none"/>
        </w:rPr>
      </w:pPr>
    </w:p>
    <w:p>
      <w:pPr>
        <w:rPr>
          <w:highlight w:val="none"/>
        </w:rPr>
      </w:pPr>
      <w:bookmarkStart w:id="1048" w:name="_Toc152042554"/>
      <w:bookmarkEnd w:id="1048"/>
      <w:bookmarkStart w:id="1049" w:name="_Toc247514202"/>
      <w:bookmarkEnd w:id="1049"/>
      <w:bookmarkStart w:id="1050" w:name="_Toc247527803"/>
      <w:bookmarkEnd w:id="1050"/>
      <w:bookmarkStart w:id="1051" w:name="_Toc144974834"/>
      <w:bookmarkEnd w:id="1051"/>
      <w:bookmarkStart w:id="1052" w:name="_Toc152045772"/>
      <w:bookmarkEnd w:id="1052"/>
    </w:p>
    <w:p>
      <w:pPr>
        <w:spacing w:line="240" w:lineRule="auto"/>
        <w:rPr>
          <w:highlight w:val="none"/>
        </w:rPr>
      </w:pPr>
    </w:p>
    <w:p>
      <w:pPr>
        <w:rPr>
          <w:highlight w:val="none"/>
        </w:rPr>
      </w:pPr>
      <w:bookmarkStart w:id="1053" w:name="_Toc247514232"/>
      <w:bookmarkStart w:id="1054" w:name="_Toc247527819"/>
      <w:bookmarkStart w:id="1055" w:name="_Toc300835204"/>
      <w:bookmarkStart w:id="1056" w:name="_Toc28468"/>
      <w:bookmarkStart w:id="1057" w:name="_Toc6632"/>
      <w:bookmarkStart w:id="1058" w:name="_Toc2433"/>
      <w:bookmarkStart w:id="1059" w:name="_Toc25726"/>
      <w:bookmarkStart w:id="1060" w:name="_Toc2710"/>
      <w:bookmarkStart w:id="1061" w:name="_Toc494371583"/>
      <w:bookmarkStart w:id="1062" w:name="_Toc30942"/>
      <w:bookmarkStart w:id="1063" w:name="_Toc7709"/>
      <w:bookmarkStart w:id="1064" w:name="_Toc28286"/>
      <w:bookmarkStart w:id="1065" w:name="_Toc22"/>
      <w:bookmarkStart w:id="1066" w:name="_Toc13932"/>
    </w:p>
    <w:p>
      <w:pPr>
        <w:rPr>
          <w:highlight w:val="none"/>
        </w:rPr>
      </w:pPr>
    </w:p>
    <w:p>
      <w:pPr>
        <w:rPr>
          <w:highlight w:val="none"/>
        </w:rPr>
      </w:pPr>
    </w:p>
    <w:p>
      <w:pPr>
        <w:bidi w:val="0"/>
        <w:rPr>
          <w:rFonts w:hint="eastAsia"/>
          <w:highlight w:val="none"/>
        </w:rPr>
      </w:pPr>
      <w:bookmarkStart w:id="1067" w:name="_Toc24312"/>
      <w:bookmarkStart w:id="1068" w:name="_Toc17655"/>
    </w:p>
    <w:p>
      <w:pPr>
        <w:pStyle w:val="3"/>
        <w:jc w:val="center"/>
        <w:rPr>
          <w:highlight w:val="none"/>
        </w:rPr>
      </w:pPr>
      <w:r>
        <w:rPr>
          <w:rFonts w:hint="eastAsia"/>
          <w:highlight w:val="none"/>
        </w:rPr>
        <w:t>第二卷</w:t>
      </w:r>
      <w:bookmarkEnd w:id="1053"/>
      <w:bookmarkEnd w:id="1054"/>
      <w:bookmarkEnd w:id="1055"/>
      <w:r>
        <w:rPr>
          <w:highlight w:val="none"/>
        </w:rPr>
        <w:br w:type="page"/>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Start w:id="1069" w:name="_Toc494371586"/>
      <w:bookmarkStart w:id="1070" w:name="_Toc247527825"/>
      <w:bookmarkStart w:id="1071" w:name="_Toc15004"/>
      <w:bookmarkStart w:id="1072" w:name="_Toc27414"/>
      <w:bookmarkStart w:id="1073" w:name="_Toc5743"/>
      <w:bookmarkStart w:id="1074" w:name="_Toc1451"/>
      <w:bookmarkStart w:id="1075" w:name="_Toc25694"/>
      <w:bookmarkStart w:id="1076" w:name="_Toc300835207"/>
      <w:bookmarkStart w:id="1077" w:name="_Toc24911"/>
      <w:bookmarkStart w:id="1078" w:name="_Toc1901"/>
      <w:bookmarkStart w:id="1079" w:name="_Toc16430"/>
      <w:bookmarkStart w:id="1080" w:name="_Toc20209"/>
      <w:bookmarkStart w:id="1081" w:name="_Toc247514244"/>
      <w:bookmarkStart w:id="1082" w:name="_Toc7732"/>
      <w:bookmarkStart w:id="1083" w:name="_Toc144974855"/>
      <w:bookmarkStart w:id="1084" w:name="_Toc152045786"/>
      <w:bookmarkStart w:id="1085" w:name="_Toc152042575"/>
    </w:p>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Pr>
        <w:pStyle w:val="3"/>
        <w:jc w:val="center"/>
        <w:rPr>
          <w:rFonts w:hint="eastAsia"/>
          <w:highlight w:val="none"/>
        </w:rPr>
      </w:pPr>
      <w:bookmarkStart w:id="1086" w:name="_Toc18331"/>
      <w:bookmarkStart w:id="1087" w:name="_Toc15238"/>
      <w:bookmarkStart w:id="1088" w:name="_Toc26681"/>
      <w:bookmarkStart w:id="1089" w:name="_Toc247527826"/>
      <w:bookmarkStart w:id="1090" w:name="_Toc22446"/>
      <w:bookmarkStart w:id="1091" w:name="_Toc300835208"/>
      <w:bookmarkStart w:id="1092" w:name="_Toc2828"/>
      <w:bookmarkStart w:id="1093" w:name="_Toc12601"/>
      <w:bookmarkStart w:id="1094" w:name="_Toc8886"/>
      <w:bookmarkStart w:id="1095" w:name="_Toc13416"/>
      <w:bookmarkStart w:id="1096" w:name="_Toc10445"/>
      <w:bookmarkStart w:id="1097" w:name="_Toc494371587"/>
      <w:bookmarkStart w:id="1098" w:name="_Toc24639"/>
      <w:bookmarkStart w:id="1099" w:name="_Toc17793"/>
      <w:bookmarkStart w:id="1100" w:name="_Toc247514245"/>
      <w:bookmarkStart w:id="1101" w:name="_Toc5024"/>
    </w:p>
    <w:p>
      <w:pPr>
        <w:keepNext/>
        <w:keepLines/>
        <w:widowControl w:val="0"/>
        <w:numPr>
          <w:ilvl w:val="0"/>
          <w:numId w:val="2"/>
        </w:numPr>
        <w:spacing w:before="340" w:after="330" w:line="576" w:lineRule="auto"/>
        <w:jc w:val="center"/>
        <w:outlineLvl w:val="0"/>
        <w:rPr>
          <w:rFonts w:ascii="Times New Roman" w:hAnsi="Times New Roman" w:eastAsia="宋体" w:cs="Times New Roman"/>
          <w:bCs/>
          <w:color w:val="auto"/>
          <w:kern w:val="44"/>
          <w:sz w:val="44"/>
          <w:szCs w:val="44"/>
          <w:highlight w:val="none"/>
          <w:lang w:val="en-US" w:eastAsia="zh-CN" w:bidi="ar-SA"/>
        </w:rPr>
      </w:pPr>
      <w:bookmarkStart w:id="1102" w:name="_Toc300835205"/>
      <w:bookmarkStart w:id="1103" w:name="_Toc21618"/>
      <w:bookmarkStart w:id="1104" w:name="_Toc18278"/>
      <w:bookmarkStart w:id="1105" w:name="_Toc21889"/>
      <w:bookmarkStart w:id="1106" w:name="_Toc25249"/>
      <w:bookmarkStart w:id="1107" w:name="_Toc32359"/>
      <w:bookmarkStart w:id="1108" w:name="_Toc494371585"/>
      <w:bookmarkStart w:id="1109" w:name="_Toc15946"/>
      <w:bookmarkStart w:id="1110" w:name="_Toc8482"/>
      <w:bookmarkStart w:id="1111" w:name="_Toc18835"/>
      <w:bookmarkStart w:id="1112" w:name="_Toc11303"/>
      <w:bookmarkStart w:id="1113" w:name="_Toc300835206"/>
      <w:bookmarkStart w:id="1114" w:name="_Toc32466"/>
      <w:bookmarkStart w:id="1115" w:name="_Toc29491"/>
      <w:r>
        <w:rPr>
          <w:rFonts w:hint="eastAsia" w:ascii="Times New Roman" w:hAnsi="Times New Roman" w:eastAsia="宋体" w:cs="Times New Roman"/>
          <w:bCs/>
          <w:color w:val="auto"/>
          <w:kern w:val="44"/>
          <w:sz w:val="44"/>
          <w:szCs w:val="44"/>
          <w:highlight w:val="none"/>
          <w:lang w:val="en-US" w:eastAsia="zh-CN" w:bidi="ar-SA"/>
        </w:rPr>
        <w:t>发包人要求（另册）</w:t>
      </w:r>
    </w:p>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Pr>
        <w:keepNext/>
        <w:keepLines/>
        <w:widowControl w:val="0"/>
        <w:spacing w:before="340" w:after="330" w:line="576" w:lineRule="auto"/>
        <w:jc w:val="center"/>
        <w:outlineLvl w:val="0"/>
        <w:rPr>
          <w:rFonts w:hint="eastAsia" w:ascii="Times New Roman" w:hAnsi="Times New Roman" w:eastAsia="宋体" w:cs="Times New Roman"/>
          <w:bCs/>
          <w:kern w:val="44"/>
          <w:sz w:val="44"/>
          <w:szCs w:val="44"/>
          <w:highlight w:val="none"/>
          <w:lang w:val="en-US" w:eastAsia="zh-CN" w:bidi="ar-SA"/>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color w:val="auto"/>
          <w:highlight w:val="none"/>
        </w:rPr>
      </w:pPr>
      <w:bookmarkStart w:id="1116" w:name="_Toc23074"/>
      <w:r>
        <w:rPr>
          <w:rFonts w:hint="eastAsia" w:ascii="Times New Roman" w:hAnsi="Times New Roman" w:eastAsia="宋体" w:cs="Times New Roman"/>
          <w:bCs/>
          <w:color w:val="auto"/>
          <w:kern w:val="44"/>
          <w:sz w:val="44"/>
          <w:szCs w:val="44"/>
          <w:highlight w:val="none"/>
          <w:lang w:val="en-US" w:eastAsia="zh-CN" w:bidi="ar-SA"/>
        </w:rPr>
        <w:t>第六章 发包人提供的资料（另册）</w:t>
      </w:r>
    </w:p>
    <w:p>
      <w:pPr>
        <w:pStyle w:val="3"/>
        <w:jc w:val="both"/>
        <w:rPr>
          <w:rFonts w:hint="eastAsia"/>
          <w:color w:val="auto"/>
          <w:highlight w:val="none"/>
        </w:rPr>
      </w:pPr>
    </w:p>
    <w:bookmarkEnd w:id="1116"/>
    <w:p>
      <w:pPr>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3"/>
        <w:jc w:val="center"/>
        <w:rPr>
          <w:rFonts w:hint="eastAsia"/>
          <w:highlight w:val="none"/>
        </w:rPr>
        <w:sectPr>
          <w:headerReference r:id="rId8" w:type="default"/>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rPr>
          <w:rFonts w:hint="eastAsia"/>
          <w:color w:val="auto"/>
          <w:highlight w:val="none"/>
        </w:rPr>
      </w:pPr>
      <w:bookmarkStart w:id="1117" w:name="_Toc11589"/>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ind w:firstLine="11440" w:firstLineChars="2600"/>
        <w:jc w:val="center"/>
        <w:rPr>
          <w:rFonts w:hint="eastAsia" w:ascii="Times New Roman" w:hAnsi="Times New Roman" w:cs="Times New Roman"/>
          <w:bCs/>
          <w:color w:val="auto"/>
          <w:kern w:val="44"/>
          <w:sz w:val="44"/>
          <w:szCs w:val="44"/>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ascii="Times New Roman" w:hAnsi="Times New Roman"/>
          <w:bCs/>
          <w:color w:val="auto"/>
          <w:kern w:val="44"/>
          <w:sz w:val="44"/>
          <w:szCs w:val="44"/>
          <w:highlight w:val="none"/>
        </w:rPr>
        <w:t>第</w:t>
      </w:r>
      <w:r>
        <w:rPr>
          <w:rFonts w:hint="eastAsia" w:ascii="Times New Roman" w:hAnsi="Times New Roman" w:cs="Times New Roman"/>
          <w:bCs/>
          <w:color w:val="auto"/>
          <w:kern w:val="44"/>
          <w:sz w:val="44"/>
          <w:szCs w:val="44"/>
          <w:highlight w:val="none"/>
          <w:lang w:val="en-US" w:eastAsia="zh-CN"/>
        </w:rPr>
        <w:t>第</w:t>
      </w:r>
      <w:r>
        <w:rPr>
          <w:rFonts w:hint="eastAsia" w:ascii="Times New Roman" w:hAnsi="Times New Roman"/>
          <w:bCs/>
          <w:color w:val="auto"/>
          <w:kern w:val="44"/>
          <w:sz w:val="44"/>
          <w:szCs w:val="44"/>
          <w:highlight w:val="none"/>
        </w:rPr>
        <w:t>三卷</w:t>
      </w:r>
      <w:bookmarkEnd w:id="1117"/>
    </w:p>
    <w:p>
      <w:pPr>
        <w:pStyle w:val="47"/>
        <w:rPr>
          <w:rFonts w:hint="eastAsia"/>
          <w:highlight w:val="none"/>
        </w:rPr>
      </w:pPr>
    </w:p>
    <w:p>
      <w:pPr>
        <w:pStyle w:val="3"/>
        <w:jc w:val="center"/>
        <w:rPr>
          <w:highlight w:val="none"/>
        </w:rPr>
      </w:pPr>
      <w:r>
        <w:rPr>
          <w:rFonts w:hint="eastAsia"/>
          <w:highlight w:val="none"/>
        </w:rPr>
        <w:t>第</w:t>
      </w:r>
      <w:r>
        <w:rPr>
          <w:rFonts w:hint="eastAsia"/>
          <w:highlight w:val="none"/>
          <w:lang w:val="en-US" w:eastAsia="zh-CN"/>
        </w:rPr>
        <w:t>七</w:t>
      </w:r>
      <w:r>
        <w:rPr>
          <w:rFonts w:hint="eastAsia"/>
          <w:highlight w:val="none"/>
        </w:rPr>
        <w:t>章投标文件格式</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spacing w:line="400" w:lineRule="exact"/>
        <w:rPr>
          <w:highlight w:val="none"/>
        </w:rPr>
      </w:pPr>
    </w:p>
    <w:p>
      <w:pPr>
        <w:widowControl/>
        <w:jc w:val="left"/>
        <w:rPr>
          <w:b/>
          <w:sz w:val="24"/>
          <w:highlight w:val="none"/>
        </w:rPr>
      </w:pPr>
      <w:r>
        <w:rPr>
          <w:highlight w:val="none"/>
        </w:rPr>
        <w:br w:type="page"/>
      </w:r>
      <w:bookmarkStart w:id="1118" w:name="_Toc14611"/>
      <w:bookmarkStart w:id="1119" w:name="_Toc494371589"/>
      <w:bookmarkStart w:id="1120" w:name="_Toc194"/>
      <w:bookmarkStart w:id="1121" w:name="_Toc2218"/>
      <w:bookmarkStart w:id="1122" w:name="_Toc271821942"/>
      <w:bookmarkStart w:id="1123" w:name="_Toc300835233"/>
      <w:bookmarkStart w:id="1124" w:name="_Toc10741"/>
      <w:bookmarkStart w:id="1125" w:name="_Toc8323"/>
      <w:bookmarkStart w:id="1126" w:name="_Toc8355"/>
    </w:p>
    <w:bookmarkEnd w:id="1118"/>
    <w:bookmarkEnd w:id="1119"/>
    <w:bookmarkEnd w:id="1120"/>
    <w:bookmarkEnd w:id="1121"/>
    <w:bookmarkEnd w:id="1122"/>
    <w:bookmarkEnd w:id="1123"/>
    <w:bookmarkEnd w:id="1124"/>
    <w:bookmarkEnd w:id="1125"/>
    <w:bookmarkEnd w:id="1126"/>
    <w:p>
      <w:pPr>
        <w:spacing w:line="360" w:lineRule="auto"/>
        <w:jc w:val="center"/>
        <w:rPr>
          <w:rFonts w:ascii="黑体" w:hAnsi="黑体" w:eastAsia="黑体" w:cs="黑体"/>
          <w:b/>
          <w:sz w:val="30"/>
          <w:szCs w:val="30"/>
          <w:highlight w:val="none"/>
        </w:rPr>
      </w:pPr>
    </w:p>
    <w:p>
      <w:pPr>
        <w:spacing w:line="360" w:lineRule="auto"/>
        <w:jc w:val="center"/>
        <w:rPr>
          <w:rFonts w:ascii="黑体" w:hAnsi="黑体" w:eastAsia="黑体" w:cs="黑体"/>
          <w:b/>
          <w:sz w:val="30"/>
          <w:szCs w:val="30"/>
          <w:highlight w:val="none"/>
        </w:rPr>
      </w:pPr>
      <w:r>
        <w:rPr>
          <w:rFonts w:hint="eastAsia" w:ascii="黑体" w:hAnsi="黑体" w:eastAsia="黑体" w:cs="黑体"/>
          <w:b/>
          <w:sz w:val="30"/>
          <w:szCs w:val="30"/>
          <w:highlight w:val="none"/>
        </w:rPr>
        <w:t>第一部分  资格审查文件</w:t>
      </w: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u w:val="single"/>
        </w:rPr>
      </w:pPr>
    </w:p>
    <w:p>
      <w:pPr>
        <w:jc w:val="center"/>
        <w:rPr>
          <w:rFonts w:hint="eastAsia" w:ascii="宋体" w:hAnsi="宋体" w:cs="宋体"/>
          <w:b/>
          <w:color w:val="000000"/>
          <w:w w:val="73"/>
          <w:kern w:val="0"/>
          <w:sz w:val="52"/>
          <w:szCs w:val="52"/>
          <w:highlight w:val="none"/>
          <w:u w:val="single"/>
        </w:rPr>
      </w:pPr>
      <w:r>
        <w:rPr>
          <w:rFonts w:hint="eastAsia" w:ascii="黑体" w:hAnsi="黑体" w:eastAsia="黑体" w:cs="黑体"/>
          <w:b/>
          <w:bCs w:val="0"/>
          <w:spacing w:val="0"/>
          <w:kern w:val="0"/>
          <w:sz w:val="48"/>
          <w:szCs w:val="48"/>
          <w:highlight w:val="none"/>
          <w:u w:val="none"/>
        </w:rPr>
        <w:t>湿地景区二期停车场变压器增容项目</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（资格审查文件）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br w:type="page"/>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目 录</w:t>
      </w:r>
    </w:p>
    <w:p>
      <w:pPr>
        <w:numPr>
          <w:ilvl w:val="0"/>
          <w:numId w:val="3"/>
        </w:numPr>
        <w:spacing w:line="360" w:lineRule="auto"/>
        <w:jc w:val="left"/>
        <w:rPr>
          <w:bCs/>
          <w:szCs w:val="21"/>
          <w:highlight w:val="none"/>
        </w:rPr>
      </w:pPr>
      <w:r>
        <w:rPr>
          <w:rFonts w:hint="eastAsia"/>
          <w:bCs/>
          <w:szCs w:val="21"/>
          <w:highlight w:val="none"/>
        </w:rPr>
        <w:t>投标申请公函</w:t>
      </w:r>
    </w:p>
    <w:p>
      <w:pPr>
        <w:numPr>
          <w:ilvl w:val="0"/>
          <w:numId w:val="3"/>
        </w:numPr>
        <w:spacing w:line="360" w:lineRule="auto"/>
        <w:jc w:val="left"/>
        <w:rPr>
          <w:bCs/>
          <w:szCs w:val="21"/>
          <w:highlight w:val="none"/>
        </w:rPr>
      </w:pPr>
      <w:r>
        <w:rPr>
          <w:rFonts w:hint="eastAsia"/>
          <w:bCs/>
          <w:szCs w:val="21"/>
          <w:highlight w:val="none"/>
          <w:lang w:val="zh-CN"/>
        </w:rPr>
        <w:t>法定代表人证明书</w:t>
      </w:r>
      <w:r>
        <w:rPr>
          <w:rFonts w:hint="eastAsia"/>
          <w:bCs/>
          <w:szCs w:val="21"/>
          <w:highlight w:val="none"/>
        </w:rPr>
        <w:t>及</w:t>
      </w:r>
      <w:r>
        <w:rPr>
          <w:rFonts w:hint="eastAsia"/>
          <w:bCs/>
          <w:szCs w:val="21"/>
          <w:highlight w:val="none"/>
          <w:lang w:val="zh-CN"/>
        </w:rPr>
        <w:t>法定代表人授权委托书</w:t>
      </w:r>
    </w:p>
    <w:p>
      <w:pPr>
        <w:numPr>
          <w:ilvl w:val="0"/>
          <w:numId w:val="3"/>
        </w:numPr>
        <w:spacing w:line="360" w:lineRule="auto"/>
        <w:jc w:val="left"/>
        <w:rPr>
          <w:bCs/>
          <w:szCs w:val="21"/>
          <w:highlight w:val="none"/>
        </w:rPr>
      </w:pPr>
      <w:r>
        <w:rPr>
          <w:rFonts w:hint="eastAsia"/>
          <w:szCs w:val="21"/>
          <w:highlight w:val="none"/>
        </w:rPr>
        <w:t>事业单位法人证书或法人营业执照</w:t>
      </w:r>
    </w:p>
    <w:p>
      <w:pPr>
        <w:numPr>
          <w:ilvl w:val="0"/>
          <w:numId w:val="3"/>
        </w:numPr>
        <w:spacing w:line="360" w:lineRule="auto"/>
        <w:jc w:val="left"/>
        <w:rPr>
          <w:bCs/>
          <w:szCs w:val="21"/>
          <w:highlight w:val="none"/>
        </w:rPr>
      </w:pPr>
      <w:r>
        <w:rPr>
          <w:rFonts w:hint="eastAsia"/>
          <w:szCs w:val="21"/>
          <w:highlight w:val="none"/>
        </w:rPr>
        <w:t>企业资质证书</w:t>
      </w:r>
    </w:p>
    <w:p>
      <w:pPr>
        <w:numPr>
          <w:ilvl w:val="0"/>
          <w:numId w:val="3"/>
        </w:numPr>
        <w:spacing w:line="360" w:lineRule="auto"/>
        <w:jc w:val="left"/>
        <w:rPr>
          <w:bCs/>
          <w:szCs w:val="21"/>
          <w:highlight w:val="none"/>
        </w:rPr>
      </w:pPr>
      <w:r>
        <w:rPr>
          <w:rFonts w:hint="eastAsia"/>
          <w:szCs w:val="21"/>
          <w:highlight w:val="none"/>
        </w:rPr>
        <w:t>投标人安全生产许可证</w:t>
      </w:r>
    </w:p>
    <w:p>
      <w:pPr>
        <w:numPr>
          <w:ilvl w:val="0"/>
          <w:numId w:val="3"/>
        </w:numPr>
        <w:spacing w:line="360" w:lineRule="auto"/>
        <w:jc w:val="left"/>
        <w:rPr>
          <w:bCs/>
          <w:szCs w:val="21"/>
          <w:highlight w:val="none"/>
        </w:rPr>
      </w:pPr>
      <w:r>
        <w:rPr>
          <w:rFonts w:hint="eastAsia"/>
          <w:szCs w:val="21"/>
          <w:highlight w:val="none"/>
        </w:rPr>
        <w:t>主要负责人资格要求资料</w:t>
      </w:r>
    </w:p>
    <w:p>
      <w:pPr>
        <w:numPr>
          <w:ilvl w:val="0"/>
          <w:numId w:val="3"/>
        </w:numPr>
        <w:spacing w:line="360" w:lineRule="auto"/>
        <w:jc w:val="left"/>
        <w:rPr>
          <w:bCs/>
          <w:sz w:val="24"/>
          <w:highlight w:val="none"/>
        </w:rPr>
      </w:pPr>
      <w:r>
        <w:rPr>
          <w:rFonts w:hint="eastAsia"/>
          <w:szCs w:val="21"/>
          <w:highlight w:val="none"/>
        </w:rPr>
        <w:t>投标申请人声明</w:t>
      </w:r>
    </w:p>
    <w:p>
      <w:pPr>
        <w:numPr>
          <w:ilvl w:val="0"/>
          <w:numId w:val="3"/>
        </w:numPr>
        <w:spacing w:line="360" w:lineRule="auto"/>
        <w:jc w:val="left"/>
        <w:rPr>
          <w:bCs/>
          <w:sz w:val="24"/>
          <w:highlight w:val="none"/>
        </w:rPr>
      </w:pPr>
      <w:r>
        <w:rPr>
          <w:rFonts w:hint="eastAsia"/>
          <w:szCs w:val="21"/>
          <w:highlight w:val="none"/>
        </w:rPr>
        <w:t>投标人认为应提供的其他资料</w:t>
      </w:r>
    </w:p>
    <w:p>
      <w:pPr>
        <w:spacing w:line="360" w:lineRule="auto"/>
        <w:jc w:val="left"/>
        <w:rPr>
          <w:szCs w:val="21"/>
          <w:highlight w:val="none"/>
        </w:rPr>
      </w:pPr>
    </w:p>
    <w:p>
      <w:pPr>
        <w:spacing w:line="360" w:lineRule="auto"/>
        <w:jc w:val="left"/>
        <w:rPr>
          <w:szCs w:val="21"/>
          <w:highlight w:val="none"/>
        </w:rPr>
      </w:pPr>
      <w:r>
        <w:rPr>
          <w:rFonts w:hint="eastAsia"/>
          <w:szCs w:val="21"/>
          <w:highlight w:val="none"/>
        </w:rPr>
        <w:t>注：页码由投标人自行编制；若由法定代表人递交投标文件的，不需要“</w:t>
      </w:r>
      <w:r>
        <w:rPr>
          <w:rFonts w:hint="eastAsia"/>
          <w:bCs/>
          <w:szCs w:val="21"/>
          <w:highlight w:val="none"/>
          <w:lang w:val="zh-CN"/>
        </w:rPr>
        <w:t>法定代表人授权委托书”。</w:t>
      </w:r>
    </w:p>
    <w:p>
      <w:pPr>
        <w:spacing w:line="360" w:lineRule="auto"/>
        <w:jc w:val="center"/>
        <w:rPr>
          <w:rFonts w:ascii="黑体" w:hAnsi="黑体" w:eastAsia="黑体" w:cs="黑体"/>
          <w:b/>
          <w:sz w:val="32"/>
          <w:szCs w:val="32"/>
          <w:highlight w:val="none"/>
        </w:rPr>
      </w:pPr>
      <w:r>
        <w:rPr>
          <w:rFonts w:hint="eastAsia"/>
          <w:bCs/>
          <w:sz w:val="24"/>
          <w:highlight w:val="none"/>
        </w:rPr>
        <w:br w:type="page"/>
      </w:r>
      <w:r>
        <w:rPr>
          <w:rFonts w:hint="eastAsia" w:ascii="黑体" w:hAnsi="黑体" w:eastAsia="黑体" w:cs="黑体"/>
          <w:b/>
          <w:sz w:val="32"/>
          <w:szCs w:val="32"/>
          <w:highlight w:val="none"/>
        </w:rPr>
        <w:t>投标申请公函</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t>致招标人：</w:t>
      </w:r>
      <w:r>
        <w:rPr>
          <w:rFonts w:hint="eastAsia"/>
          <w:bCs/>
          <w:szCs w:val="21"/>
          <w:highlight w:val="none"/>
          <w:u w:val="single"/>
        </w:rPr>
        <w:t xml:space="preserve">                              </w:t>
      </w:r>
    </w:p>
    <w:p>
      <w:pPr>
        <w:spacing w:line="360" w:lineRule="auto"/>
        <w:ind w:firstLine="315" w:firstLineChars="150"/>
        <w:jc w:val="left"/>
        <w:rPr>
          <w:bCs/>
          <w:szCs w:val="21"/>
          <w:highlight w:val="none"/>
        </w:rPr>
      </w:pPr>
    </w:p>
    <w:p>
      <w:pPr>
        <w:spacing w:line="360" w:lineRule="auto"/>
        <w:ind w:firstLine="420" w:firstLineChars="200"/>
        <w:jc w:val="left"/>
        <w:rPr>
          <w:rFonts w:hint="eastAsia" w:ascii="宋体" w:hAnsi="宋体" w:cs="宋体"/>
          <w:bCs/>
          <w:szCs w:val="21"/>
          <w:highlight w:val="none"/>
        </w:rPr>
      </w:pPr>
      <w:r>
        <w:rPr>
          <w:rFonts w:hint="eastAsia"/>
          <w:bCs/>
          <w:szCs w:val="21"/>
          <w:highlight w:val="none"/>
        </w:rPr>
        <w:t>按照本工程招标公告的要求，我们递交有关资料文件，以便贵单位审查我们</w:t>
      </w:r>
      <w:r>
        <w:rPr>
          <w:rFonts w:hint="eastAsia" w:ascii="宋体" w:hAnsi="宋体" w:cs="宋体"/>
          <w:bCs/>
          <w:szCs w:val="21"/>
          <w:highlight w:val="none"/>
        </w:rPr>
        <w:t>参加</w:t>
      </w:r>
      <w:r>
        <w:rPr>
          <w:rFonts w:hint="eastAsia" w:ascii="宋体" w:hAnsi="宋体" w:eastAsia="宋体" w:cs="宋体"/>
          <w:b w:val="0"/>
          <w:bCs w:val="0"/>
          <w:spacing w:val="0"/>
          <w:kern w:val="0"/>
          <w:sz w:val="21"/>
          <w:szCs w:val="21"/>
          <w:highlight w:val="none"/>
          <w:u w:val="single"/>
        </w:rPr>
        <w:t>湿地景区二期停车场变压器增容项目</w:t>
      </w:r>
      <w:r>
        <w:rPr>
          <w:rFonts w:hint="eastAsia" w:ascii="宋体" w:hAnsi="宋体" w:cs="宋体"/>
          <w:bCs/>
          <w:szCs w:val="21"/>
          <w:highlight w:val="none"/>
        </w:rPr>
        <w:t>投标资格。</w:t>
      </w:r>
    </w:p>
    <w:p>
      <w:pPr>
        <w:spacing w:line="360" w:lineRule="auto"/>
        <w:ind w:firstLine="420" w:firstLineChars="200"/>
        <w:jc w:val="left"/>
        <w:rPr>
          <w:bCs/>
          <w:szCs w:val="21"/>
          <w:highlight w:val="none"/>
        </w:rPr>
      </w:pPr>
      <w:r>
        <w:rPr>
          <w:rFonts w:hint="eastAsia"/>
          <w:bCs/>
          <w:szCs w:val="21"/>
          <w:highlight w:val="none"/>
        </w:rPr>
        <w:t>此申请是</w:t>
      </w:r>
      <w:r>
        <w:rPr>
          <w:rFonts w:hint="eastAsia"/>
          <w:bCs/>
          <w:szCs w:val="21"/>
          <w:highlight w:val="none"/>
          <w:u w:val="single"/>
        </w:rPr>
        <w:t xml:space="preserve">                  （单位名称）</w:t>
      </w:r>
      <w:r>
        <w:rPr>
          <w:rFonts w:hint="eastAsia"/>
          <w:bCs/>
          <w:szCs w:val="21"/>
          <w:highlight w:val="none"/>
        </w:rPr>
        <w:t>以</w:t>
      </w:r>
      <w:r>
        <w:rPr>
          <w:rFonts w:hint="eastAsia"/>
          <w:bCs/>
          <w:szCs w:val="21"/>
          <w:highlight w:val="none"/>
          <w:u w:val="single"/>
        </w:rPr>
        <w:t xml:space="preserve">        （人名）</w:t>
      </w:r>
      <w:r>
        <w:rPr>
          <w:rFonts w:hint="eastAsia"/>
          <w:bCs/>
          <w:szCs w:val="21"/>
          <w:highlight w:val="none"/>
        </w:rPr>
        <w:t>为全权代表身份递交的。</w:t>
      </w:r>
    </w:p>
    <w:p>
      <w:pPr>
        <w:spacing w:line="360" w:lineRule="auto"/>
        <w:ind w:firstLine="420" w:firstLineChars="200"/>
        <w:jc w:val="left"/>
        <w:rPr>
          <w:bCs/>
          <w:szCs w:val="21"/>
          <w:highlight w:val="none"/>
        </w:rPr>
      </w:pPr>
      <w:r>
        <w:rPr>
          <w:rFonts w:hint="eastAsia"/>
          <w:bCs/>
          <w:szCs w:val="21"/>
          <w:highlight w:val="none"/>
        </w:rPr>
        <w:t>我们保证所有提交的资料是真实可靠的，并为提交的资料负有相应的法律责任。</w:t>
      </w:r>
    </w:p>
    <w:p>
      <w:pPr>
        <w:spacing w:line="360" w:lineRule="auto"/>
        <w:ind w:firstLine="420" w:firstLineChars="200"/>
        <w:jc w:val="left"/>
        <w:rPr>
          <w:bCs/>
          <w:szCs w:val="21"/>
          <w:highlight w:val="none"/>
        </w:rPr>
      </w:pPr>
      <w:r>
        <w:rPr>
          <w:rFonts w:hint="eastAsia"/>
          <w:bCs/>
          <w:szCs w:val="21"/>
          <w:highlight w:val="none"/>
        </w:rPr>
        <w:t>我们理解招标单位有权拒绝任何申请，而无需由招标单位承担任何责任。</w:t>
      </w:r>
    </w:p>
    <w:p>
      <w:pPr>
        <w:spacing w:line="360" w:lineRule="auto"/>
        <w:ind w:firstLine="315" w:firstLineChars="150"/>
        <w:jc w:val="left"/>
        <w:rPr>
          <w:bCs/>
          <w:szCs w:val="21"/>
          <w:highlight w:val="none"/>
        </w:rPr>
      </w:pPr>
    </w:p>
    <w:p>
      <w:pPr>
        <w:spacing w:line="360" w:lineRule="auto"/>
        <w:ind w:firstLine="315" w:firstLineChars="150"/>
        <w:jc w:val="left"/>
        <w:rPr>
          <w:bCs/>
          <w:szCs w:val="21"/>
          <w:highlight w:val="none"/>
        </w:rPr>
      </w:pPr>
      <w:r>
        <w:rPr>
          <w:rFonts w:hint="eastAsia"/>
          <w:bCs/>
          <w:szCs w:val="21"/>
          <w:highlight w:val="none"/>
        </w:rPr>
        <w:t xml:space="preserve">                     申请单位名称：</w:t>
      </w:r>
    </w:p>
    <w:p>
      <w:pPr>
        <w:spacing w:line="360" w:lineRule="auto"/>
        <w:ind w:firstLine="315" w:firstLineChars="150"/>
        <w:jc w:val="left"/>
        <w:rPr>
          <w:szCs w:val="21"/>
          <w:highlight w:val="none"/>
        </w:rPr>
      </w:pPr>
      <w:r>
        <w:rPr>
          <w:rFonts w:hint="eastAsia"/>
          <w:bCs/>
          <w:szCs w:val="21"/>
          <w:highlight w:val="none"/>
        </w:rPr>
        <w:t xml:space="preserve">                     申请日期：      年   月   日</w:t>
      </w:r>
    </w:p>
    <w:p>
      <w:pPr>
        <w:spacing w:line="360" w:lineRule="auto"/>
        <w:jc w:val="left"/>
        <w:rPr>
          <w:bCs/>
          <w:sz w:val="24"/>
          <w:highlight w:val="none"/>
        </w:rPr>
      </w:pPr>
    </w:p>
    <w:p>
      <w:pPr>
        <w:spacing w:line="360" w:lineRule="auto"/>
        <w:jc w:val="center"/>
        <w:rPr>
          <w:rFonts w:ascii="黑体" w:hAnsi="黑体" w:eastAsia="黑体" w:cs="黑体"/>
          <w:b/>
          <w:sz w:val="32"/>
          <w:szCs w:val="32"/>
          <w:highlight w:val="none"/>
          <w:lang w:val="zh-CN"/>
        </w:rPr>
      </w:pPr>
      <w:r>
        <w:rPr>
          <w:rFonts w:hint="eastAsia"/>
          <w:bCs/>
          <w:sz w:val="24"/>
          <w:highlight w:val="none"/>
        </w:rPr>
        <w:br w:type="page"/>
      </w:r>
      <w:r>
        <w:rPr>
          <w:rFonts w:hint="eastAsia" w:ascii="黑体" w:hAnsi="黑体" w:eastAsia="黑体" w:cs="黑体"/>
          <w:b/>
          <w:sz w:val="32"/>
          <w:szCs w:val="32"/>
          <w:highlight w:val="none"/>
          <w:lang w:val="zh-CN"/>
        </w:rPr>
        <w:t>法人代表证明书、授权委托证明书</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法定代表人证明书</w:t>
      </w:r>
    </w:p>
    <w:p>
      <w:pPr>
        <w:spacing w:line="360" w:lineRule="auto"/>
        <w:jc w:val="right"/>
        <w:rPr>
          <w:szCs w:val="21"/>
          <w:highlight w:val="none"/>
        </w:rPr>
      </w:pPr>
      <w:r>
        <w:rPr>
          <w:rFonts w:hint="eastAsia"/>
          <w:szCs w:val="21"/>
          <w:highlight w:val="none"/>
        </w:rPr>
        <w:t>（   ）第   号</w:t>
      </w:r>
    </w:p>
    <w:tbl>
      <w:tblPr>
        <w:tblStyle w:val="39"/>
        <w:tblW w:w="9498" w:type="dxa"/>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9498" w:type="dxa"/>
          </w:tcPr>
          <w:p>
            <w:pPr>
              <w:spacing w:line="360" w:lineRule="auto"/>
              <w:ind w:firstLine="420" w:firstLineChars="200"/>
              <w:rPr>
                <w:szCs w:val="21"/>
                <w:highlight w:val="none"/>
              </w:rPr>
            </w:pPr>
            <w:r>
              <w:rPr>
                <w:rFonts w:hint="eastAsia"/>
                <w:szCs w:val="21"/>
                <w:highlight w:val="none"/>
                <w:u w:val="single"/>
                <w:lang w:bidi="ar"/>
              </w:rPr>
              <w:t xml:space="preserve">       </w:t>
            </w:r>
            <w:r>
              <w:rPr>
                <w:rFonts w:hint="eastAsia"/>
                <w:szCs w:val="21"/>
                <w:highlight w:val="none"/>
                <w:lang w:bidi="ar"/>
              </w:rPr>
              <w:t>现任我公司</w:t>
            </w:r>
            <w:r>
              <w:rPr>
                <w:rFonts w:hint="eastAsia"/>
                <w:szCs w:val="21"/>
                <w:highlight w:val="none"/>
                <w:u w:val="single"/>
                <w:lang w:bidi="ar"/>
              </w:rPr>
              <w:t xml:space="preserve">      </w:t>
            </w:r>
            <w:r>
              <w:rPr>
                <w:rFonts w:hint="eastAsia"/>
                <w:szCs w:val="21"/>
                <w:highlight w:val="none"/>
                <w:lang w:bidi="ar"/>
              </w:rPr>
              <w:t>职务，为法定代表人（负责人），特此证明。</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napToGrid w:val="0"/>
              <w:spacing w:line="360" w:lineRule="auto"/>
              <w:rPr>
                <w:szCs w:val="21"/>
                <w:highlight w:val="none"/>
                <w:u w:val="single"/>
              </w:rPr>
            </w:pPr>
            <w:r>
              <w:rPr>
                <w:rFonts w:hint="eastAsia"/>
                <w:szCs w:val="21"/>
                <w:highlight w:val="none"/>
                <w:lang w:bidi="ar"/>
              </w:rPr>
              <w:t>附：法定代表人（负责人）性别：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firstLine="570"/>
              <w:rPr>
                <w:szCs w:val="21"/>
                <w:highlight w:val="none"/>
                <w:u w:val="single"/>
              </w:rPr>
            </w:pPr>
          </w:p>
          <w:p>
            <w:pPr>
              <w:snapToGrid w:val="0"/>
              <w:spacing w:line="360" w:lineRule="auto"/>
              <w:ind w:firstLine="570"/>
              <w:rPr>
                <w:szCs w:val="21"/>
                <w:highlight w:val="none"/>
              </w:rPr>
            </w:pPr>
            <w:r>
              <w:rPr>
                <w:rFonts w:hint="eastAsia"/>
                <w:szCs w:val="21"/>
                <w:highlight w:val="none"/>
                <w:lang w:bidi="ar"/>
              </w:rPr>
              <w:t xml:space="preserve">                       单位：</w:t>
            </w:r>
            <w:r>
              <w:rPr>
                <w:rFonts w:hint="eastAsia"/>
                <w:szCs w:val="21"/>
                <w:highlight w:val="none"/>
                <w:u w:val="single"/>
                <w:lang w:bidi="ar"/>
              </w:rPr>
              <w:t xml:space="preserve">                                    </w:t>
            </w:r>
            <w:r>
              <w:rPr>
                <w:rFonts w:hint="eastAsia"/>
                <w:szCs w:val="21"/>
                <w:highlight w:val="none"/>
                <w:lang w:bidi="ar"/>
              </w:rPr>
              <w:t>（盖章）</w:t>
            </w:r>
          </w:p>
          <w:p>
            <w:pPr>
              <w:snapToGrid w:val="0"/>
              <w:spacing w:line="360" w:lineRule="auto"/>
              <w:ind w:firstLine="573"/>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注：法定代表人证明书也可以采用工商行政管理局统一印制的格式。</w:t>
      </w:r>
    </w:p>
    <w:p>
      <w:pPr>
        <w:spacing w:line="360" w:lineRule="auto"/>
        <w:rPr>
          <w:szCs w:val="21"/>
          <w:highlight w:val="none"/>
        </w:rPr>
      </w:pPr>
      <w:r>
        <w:rPr>
          <w:rFonts w:hint="eastAsia"/>
          <w:szCs w:val="21"/>
          <w:highlight w:val="none"/>
        </w:rPr>
        <w:t xml:space="preserve">  </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法定代表人授权委托书</w:t>
      </w:r>
    </w:p>
    <w:p>
      <w:pPr>
        <w:spacing w:line="360" w:lineRule="auto"/>
        <w:jc w:val="right"/>
        <w:rPr>
          <w:szCs w:val="21"/>
          <w:highlight w:val="none"/>
        </w:rPr>
      </w:pPr>
      <w:r>
        <w:rPr>
          <w:rFonts w:hint="eastAsia"/>
          <w:szCs w:val="21"/>
          <w:highlight w:val="none"/>
        </w:rPr>
        <w:t>（   ）第   号</w:t>
      </w:r>
    </w:p>
    <w:tbl>
      <w:tblPr>
        <w:tblStyle w:val="39"/>
        <w:tblW w:w="9500" w:type="dxa"/>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szCs w:val="21"/>
                <w:highlight w:val="none"/>
              </w:rPr>
            </w:pPr>
            <w:r>
              <w:rPr>
                <w:rFonts w:hint="eastAsia"/>
                <w:szCs w:val="21"/>
                <w:highlight w:val="none"/>
                <w:lang w:bidi="ar"/>
              </w:rPr>
              <w:t>兹授权</w:t>
            </w:r>
            <w:r>
              <w:rPr>
                <w:rFonts w:hint="eastAsia"/>
                <w:szCs w:val="21"/>
                <w:highlight w:val="none"/>
                <w:u w:val="single"/>
                <w:lang w:bidi="ar"/>
              </w:rPr>
              <w:t xml:space="preserve">      </w:t>
            </w:r>
            <w:r>
              <w:rPr>
                <w:rFonts w:hint="eastAsia"/>
                <w:szCs w:val="21"/>
                <w:highlight w:val="none"/>
                <w:lang w:bidi="ar"/>
              </w:rPr>
              <w:t>为我方委托代理人，其权限是：</w:t>
            </w:r>
            <w:r>
              <w:rPr>
                <w:rFonts w:hint="eastAsia"/>
                <w:szCs w:val="21"/>
                <w:highlight w:val="none"/>
                <w:u w:val="single"/>
                <w:lang w:bidi="ar"/>
              </w:rPr>
              <w:t>负责办理         投标相关事宜</w:t>
            </w:r>
            <w:r>
              <w:rPr>
                <w:rFonts w:hint="eastAsia"/>
                <w:szCs w:val="21"/>
                <w:highlight w:val="none"/>
                <w:lang w:bidi="ar"/>
              </w:rPr>
              <w:t>。</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pacing w:line="360" w:lineRule="auto"/>
              <w:rPr>
                <w:szCs w:val="21"/>
                <w:highlight w:val="none"/>
                <w:u w:val="single"/>
              </w:rPr>
            </w:pPr>
            <w:r>
              <w:rPr>
                <w:rFonts w:hint="eastAsia"/>
                <w:szCs w:val="21"/>
                <w:highlight w:val="none"/>
                <w:lang w:bidi="ar"/>
              </w:rPr>
              <w:t>附：代理人性别：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hanging="105"/>
              <w:rPr>
                <w:szCs w:val="21"/>
                <w:highlight w:val="none"/>
                <w:u w:val="single"/>
              </w:rPr>
            </w:pPr>
          </w:p>
          <w:p>
            <w:pPr>
              <w:spacing w:line="360" w:lineRule="auto"/>
              <w:ind w:firstLine="420" w:firstLineChars="200"/>
              <w:rPr>
                <w:szCs w:val="21"/>
                <w:highlight w:val="none"/>
              </w:rPr>
            </w:pPr>
            <w:r>
              <w:rPr>
                <w:rFonts w:hint="eastAsia"/>
                <w:szCs w:val="21"/>
                <w:highlight w:val="none"/>
                <w:lang w:bidi="ar"/>
              </w:rPr>
              <w:t>法定代表人（负责人）：</w:t>
            </w:r>
            <w:r>
              <w:rPr>
                <w:rFonts w:hint="eastAsia"/>
                <w:szCs w:val="21"/>
                <w:highlight w:val="none"/>
                <w:u w:val="single"/>
                <w:lang w:bidi="ar"/>
              </w:rPr>
              <w:t xml:space="preserve">          </w:t>
            </w:r>
            <w:r>
              <w:rPr>
                <w:rFonts w:hint="eastAsia"/>
                <w:szCs w:val="21"/>
                <w:highlight w:val="none"/>
                <w:lang w:bidi="ar"/>
              </w:rPr>
              <w:t>（签名或盖章）</w:t>
            </w:r>
          </w:p>
          <w:p>
            <w:pPr>
              <w:spacing w:line="360" w:lineRule="auto"/>
              <w:ind w:firstLine="420" w:firstLineChars="200"/>
              <w:rPr>
                <w:szCs w:val="21"/>
                <w:highlight w:val="none"/>
              </w:rPr>
            </w:pPr>
            <w:r>
              <w:rPr>
                <w:rFonts w:hint="eastAsia"/>
                <w:szCs w:val="21"/>
                <w:highlight w:val="none"/>
                <w:lang w:bidi="ar"/>
              </w:rPr>
              <w:t>授权单位：（盖章）</w:t>
            </w:r>
            <w:r>
              <w:rPr>
                <w:rFonts w:hint="eastAsia"/>
                <w:szCs w:val="21"/>
                <w:highlight w:val="none"/>
                <w:u w:val="single"/>
                <w:lang w:bidi="ar"/>
              </w:rPr>
              <w:t xml:space="preserve">                          </w:t>
            </w:r>
          </w:p>
          <w:p>
            <w:pPr>
              <w:snapToGrid w:val="0"/>
              <w:spacing w:line="360" w:lineRule="auto"/>
              <w:ind w:firstLine="570"/>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注：法定代表人授权委托书也可以采用工商行政管理局统一印制的格式。</w:t>
      </w:r>
    </w:p>
    <w:p>
      <w:pPr>
        <w:spacing w:line="360" w:lineRule="auto"/>
        <w:jc w:val="center"/>
        <w:rPr>
          <w:rFonts w:hint="eastAsia"/>
          <w:bCs/>
          <w:sz w:val="24"/>
          <w:highlight w:val="none"/>
        </w:rPr>
      </w:pPr>
    </w:p>
    <w:p>
      <w:pPr>
        <w:pStyle w:val="16"/>
        <w:rPr>
          <w:rFonts w:hint="eastAsia"/>
          <w:bCs/>
          <w:sz w:val="24"/>
          <w:highlight w:val="none"/>
        </w:rPr>
      </w:pPr>
    </w:p>
    <w:p>
      <w:pPr>
        <w:pStyle w:val="38"/>
        <w:rPr>
          <w:rFonts w:hint="eastAsia"/>
          <w:bCs/>
          <w:sz w:val="24"/>
          <w:highlight w:val="none"/>
        </w:rPr>
      </w:pPr>
    </w:p>
    <w:p>
      <w:pPr>
        <w:pStyle w:val="38"/>
        <w:rPr>
          <w:rFonts w:hint="eastAsia"/>
          <w:bCs/>
          <w:sz w:val="24"/>
          <w:highlight w:val="none"/>
        </w:rPr>
      </w:pPr>
    </w:p>
    <w:p>
      <w:pPr>
        <w:pStyle w:val="38"/>
        <w:ind w:left="0" w:leftChars="0" w:firstLine="0" w:firstLineChars="0"/>
        <w:rPr>
          <w:rFonts w:hint="eastAsia"/>
          <w:bCs/>
          <w:sz w:val="24"/>
          <w:highlight w:val="none"/>
        </w:rPr>
      </w:pPr>
    </w:p>
    <w:p>
      <w:pPr>
        <w:pStyle w:val="38"/>
        <w:rPr>
          <w:rFonts w:hint="eastAsia"/>
          <w:bCs/>
          <w:sz w:val="24"/>
          <w:highlight w:val="none"/>
        </w:rPr>
      </w:pP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第二部分 工程实施方案（含资信部分）文件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jc w:val="center"/>
        <w:rPr>
          <w:rFonts w:hint="eastAsia" w:ascii="宋体" w:hAnsi="宋体" w:cs="宋体"/>
          <w:b/>
          <w:color w:val="000000"/>
          <w:w w:val="73"/>
          <w:kern w:val="0"/>
          <w:sz w:val="52"/>
          <w:szCs w:val="52"/>
          <w:highlight w:val="none"/>
          <w:u w:val="single"/>
        </w:rPr>
      </w:pPr>
      <w:r>
        <w:rPr>
          <w:rFonts w:hint="eastAsia" w:ascii="黑体" w:hAnsi="黑体" w:eastAsia="黑体" w:cs="黑体"/>
          <w:b/>
          <w:bCs w:val="0"/>
          <w:spacing w:val="0"/>
          <w:kern w:val="0"/>
          <w:sz w:val="48"/>
          <w:szCs w:val="48"/>
          <w:highlight w:val="none"/>
          <w:u w:val="none"/>
        </w:rPr>
        <w:t>湿地景区二期停车场变压器增容项目</w:t>
      </w:r>
    </w:p>
    <w:p>
      <w:pPr>
        <w:jc w:val="center"/>
        <w:rPr>
          <w:rFonts w:hint="eastAsia" w:ascii="宋体" w:hAnsi="宋体" w:cs="宋体"/>
          <w:b/>
          <w:color w:val="000000"/>
          <w:w w:val="73"/>
          <w:kern w:val="0"/>
          <w:sz w:val="52"/>
          <w:szCs w:val="52"/>
          <w:highlight w:val="none"/>
          <w:u w:val="none"/>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（工程实施方案（含资信部分）文件）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一、施工技术投标书</w:t>
      </w:r>
    </w:p>
    <w:p>
      <w:pPr>
        <w:spacing w:line="360" w:lineRule="auto"/>
        <w:rPr>
          <w:rFonts w:hint="eastAsia"/>
          <w:szCs w:val="21"/>
          <w:highlight w:val="none"/>
        </w:rPr>
      </w:pPr>
      <w:r>
        <w:rPr>
          <w:rFonts w:hint="eastAsia"/>
          <w:szCs w:val="21"/>
          <w:highlight w:val="none"/>
          <w:lang w:val="en-US" w:eastAsia="zh-CN"/>
        </w:rPr>
        <w:t>二</w:t>
      </w:r>
      <w:r>
        <w:rPr>
          <w:rFonts w:hint="eastAsia"/>
          <w:szCs w:val="21"/>
          <w:highlight w:val="none"/>
        </w:rPr>
        <w:t>、投标承诺书</w:t>
      </w:r>
    </w:p>
    <w:p>
      <w:pPr>
        <w:pStyle w:val="47"/>
        <w:ind w:firstLine="0"/>
        <w:rPr>
          <w:rFonts w:hint="default" w:eastAsia="宋体"/>
          <w:highlight w:val="none"/>
          <w:lang w:val="en-US" w:eastAsia="zh-CN"/>
        </w:rPr>
      </w:pPr>
      <w:r>
        <w:rPr>
          <w:rFonts w:hint="default"/>
          <w:szCs w:val="21"/>
          <w:highlight w:val="none"/>
          <w:lang w:val="en-US" w:eastAsia="zh-CN"/>
        </w:rPr>
        <w:t>三、</w:t>
      </w:r>
      <w:r>
        <w:rPr>
          <w:rFonts w:hint="default"/>
          <w:color w:val="auto"/>
          <w:szCs w:val="21"/>
          <w:highlight w:val="none"/>
          <w:lang w:val="en-US"/>
        </w:rPr>
        <w:t>参与编制施工技术投标文件人员名单</w:t>
      </w:r>
    </w:p>
    <w:p>
      <w:pPr>
        <w:spacing w:line="360" w:lineRule="auto"/>
        <w:rPr>
          <w:szCs w:val="21"/>
          <w:highlight w:val="none"/>
        </w:rPr>
      </w:pPr>
      <w:r>
        <w:rPr>
          <w:rFonts w:hint="default"/>
          <w:szCs w:val="21"/>
          <w:highlight w:val="none"/>
          <w:lang w:val="en-US" w:eastAsia="zh-CN"/>
        </w:rPr>
        <w:t>四</w:t>
      </w:r>
      <w:r>
        <w:rPr>
          <w:rFonts w:hint="eastAsia"/>
          <w:szCs w:val="21"/>
          <w:highlight w:val="none"/>
        </w:rPr>
        <w:t>、施工技术评分资料（按《工程实施方案（含资信部分）文件评分表》要求提交）</w:t>
      </w:r>
    </w:p>
    <w:p>
      <w:pPr>
        <w:spacing w:line="360" w:lineRule="auto"/>
        <w:rPr>
          <w:szCs w:val="21"/>
          <w:highlight w:val="none"/>
        </w:rPr>
      </w:pPr>
      <w:r>
        <w:rPr>
          <w:rFonts w:hint="default"/>
          <w:szCs w:val="21"/>
          <w:highlight w:val="none"/>
          <w:lang w:val="en-US" w:eastAsia="zh-CN"/>
        </w:rPr>
        <w:t>五</w:t>
      </w:r>
      <w:r>
        <w:rPr>
          <w:rFonts w:hint="eastAsia"/>
          <w:szCs w:val="21"/>
          <w:highlight w:val="none"/>
        </w:rPr>
        <w:t>、投标人认为应提供的其他资料</w:t>
      </w: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spacing w:line="360" w:lineRule="auto"/>
        <w:jc w:val="center"/>
        <w:rPr>
          <w:rFonts w:ascii="黑体" w:hAnsi="黑体" w:eastAsia="黑体" w:cs="黑体"/>
          <w:b/>
          <w:sz w:val="32"/>
          <w:szCs w:val="32"/>
          <w:highlight w:val="none"/>
          <w:lang w:val="zh-CN"/>
        </w:rPr>
      </w:pPr>
      <w:r>
        <w:rPr>
          <w:b/>
          <w:sz w:val="48"/>
          <w:szCs w:val="48"/>
          <w:highlight w:val="none"/>
        </w:rPr>
        <w:br w:type="page"/>
      </w:r>
      <w:r>
        <w:rPr>
          <w:rFonts w:hint="eastAsia" w:ascii="黑体" w:hAnsi="黑体" w:eastAsia="黑体" w:cs="黑体"/>
          <w:b/>
          <w:sz w:val="32"/>
          <w:szCs w:val="32"/>
          <w:highlight w:val="none"/>
        </w:rPr>
        <w:t>施工</w:t>
      </w:r>
      <w:r>
        <w:rPr>
          <w:rFonts w:hint="eastAsia" w:ascii="黑体" w:hAnsi="黑体" w:eastAsia="黑体" w:cs="黑体"/>
          <w:b/>
          <w:sz w:val="32"/>
          <w:szCs w:val="32"/>
          <w:highlight w:val="none"/>
          <w:lang w:val="zh-CN"/>
        </w:rPr>
        <w:t>技术投标书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9"/>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工期</w:t>
            </w:r>
          </w:p>
        </w:tc>
        <w:tc>
          <w:tcPr>
            <w:tcW w:w="6697" w:type="dxa"/>
            <w:gridSpan w:val="2"/>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lang w:val="zh-CN"/>
              </w:rPr>
              <w:t>质量标准</w:t>
            </w:r>
          </w:p>
        </w:tc>
        <w:tc>
          <w:tcPr>
            <w:tcW w:w="6697" w:type="dxa"/>
            <w:gridSpan w:val="2"/>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保修期限</w:t>
            </w:r>
          </w:p>
        </w:tc>
        <w:tc>
          <w:tcPr>
            <w:tcW w:w="6697" w:type="dxa"/>
            <w:gridSpan w:val="2"/>
            <w:vAlign w:val="center"/>
          </w:tcPr>
          <w:p>
            <w:pPr>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restart"/>
            <w:vAlign w:val="center"/>
          </w:tcPr>
          <w:p>
            <w:pPr>
              <w:autoSpaceDE w:val="0"/>
              <w:autoSpaceDN w:val="0"/>
              <w:adjustRightInd w:val="0"/>
              <w:spacing w:line="360" w:lineRule="auto"/>
              <w:jc w:val="center"/>
              <w:rPr>
                <w:rFonts w:hint="eastAsia"/>
                <w:bCs/>
                <w:szCs w:val="21"/>
                <w:highlight w:val="none"/>
              </w:rPr>
            </w:pPr>
            <w:r>
              <w:rPr>
                <w:rFonts w:hint="eastAsia"/>
                <w:bCs/>
                <w:color w:val="auto"/>
                <w:szCs w:val="21"/>
                <w:highlight w:val="none"/>
              </w:rPr>
              <w:t>项目负责人（</w:t>
            </w:r>
            <w:r>
              <w:rPr>
                <w:rFonts w:hint="eastAsia"/>
                <w:color w:val="auto"/>
                <w:szCs w:val="21"/>
                <w:highlight w:val="none"/>
              </w:rPr>
              <w:t>施工负责人）</w:t>
            </w:r>
          </w:p>
        </w:tc>
        <w:tc>
          <w:tcPr>
            <w:tcW w:w="2294" w:type="dxa"/>
            <w:vAlign w:val="center"/>
          </w:tcPr>
          <w:p>
            <w:pPr>
              <w:autoSpaceDE w:val="0"/>
              <w:autoSpaceDN w:val="0"/>
              <w:adjustRightInd w:val="0"/>
              <w:snapToGrid w:val="0"/>
              <w:spacing w:line="360" w:lineRule="auto"/>
              <w:jc w:val="center"/>
              <w:rPr>
                <w:rFonts w:hint="eastAsia"/>
                <w:bCs/>
                <w:szCs w:val="21"/>
                <w:highlight w:val="none"/>
              </w:rPr>
            </w:pPr>
            <w:r>
              <w:rPr>
                <w:rFonts w:hint="eastAsia"/>
                <w:bCs/>
                <w:color w:val="auto"/>
                <w:szCs w:val="21"/>
                <w:highlight w:val="none"/>
              </w:rPr>
              <w:t>姓    名</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continue"/>
            <w:vAlign w:val="center"/>
          </w:tcPr>
          <w:p>
            <w:pPr>
              <w:autoSpaceDE w:val="0"/>
              <w:autoSpaceDN w:val="0"/>
              <w:adjustRightInd w:val="0"/>
              <w:spacing w:line="360" w:lineRule="auto"/>
              <w:jc w:val="center"/>
              <w:rPr>
                <w:rFonts w:hint="eastAsia"/>
                <w:bCs/>
                <w:szCs w:val="21"/>
                <w:highlight w:val="none"/>
              </w:rPr>
            </w:pPr>
          </w:p>
        </w:tc>
        <w:tc>
          <w:tcPr>
            <w:tcW w:w="2294" w:type="dxa"/>
            <w:vAlign w:val="center"/>
          </w:tcPr>
          <w:p>
            <w:pPr>
              <w:autoSpaceDE w:val="0"/>
              <w:autoSpaceDN w:val="0"/>
              <w:adjustRightInd w:val="0"/>
              <w:snapToGrid w:val="0"/>
              <w:spacing w:line="360" w:lineRule="auto"/>
              <w:jc w:val="center"/>
              <w:rPr>
                <w:rFonts w:hint="eastAsia"/>
                <w:bCs/>
                <w:szCs w:val="21"/>
                <w:highlight w:val="none"/>
              </w:rPr>
            </w:pPr>
            <w:r>
              <w:rPr>
                <w:rFonts w:hint="eastAsia"/>
                <w:bCs/>
                <w:color w:val="auto"/>
                <w:szCs w:val="21"/>
                <w:highlight w:val="none"/>
              </w:rPr>
              <w:t>注册证号</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restart"/>
            <w:vAlign w:val="center"/>
          </w:tcPr>
          <w:p>
            <w:pPr>
              <w:autoSpaceDE w:val="0"/>
              <w:autoSpaceDN w:val="0"/>
              <w:adjustRightInd w:val="0"/>
              <w:spacing w:line="360" w:lineRule="auto"/>
              <w:jc w:val="center"/>
              <w:rPr>
                <w:bCs/>
                <w:szCs w:val="21"/>
                <w:highlight w:val="none"/>
              </w:rPr>
            </w:pPr>
            <w:r>
              <w:rPr>
                <w:rFonts w:hint="eastAsia"/>
                <w:bCs/>
                <w:color w:val="auto"/>
                <w:szCs w:val="21"/>
                <w:highlight w:val="none"/>
              </w:rPr>
              <w:t>安全员</w:t>
            </w:r>
          </w:p>
        </w:tc>
        <w:tc>
          <w:tcPr>
            <w:tcW w:w="2294" w:type="dxa"/>
            <w:vAlign w:val="center"/>
          </w:tcPr>
          <w:p>
            <w:pPr>
              <w:autoSpaceDE w:val="0"/>
              <w:autoSpaceDN w:val="0"/>
              <w:adjustRightInd w:val="0"/>
              <w:spacing w:line="360" w:lineRule="auto"/>
              <w:ind w:firstLine="308" w:firstLineChars="147"/>
              <w:jc w:val="center"/>
              <w:rPr>
                <w:bCs/>
                <w:szCs w:val="21"/>
                <w:highlight w:val="none"/>
                <w:lang w:val="zh-CN"/>
              </w:rPr>
            </w:pPr>
            <w:r>
              <w:rPr>
                <w:rFonts w:hint="eastAsia"/>
                <w:color w:val="auto"/>
                <w:szCs w:val="21"/>
                <w:highlight w:val="none"/>
                <w:lang w:val="zh-CN"/>
              </w:rPr>
              <w:t>姓名</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vAlign w:val="center"/>
          </w:tcPr>
          <w:p>
            <w:pPr>
              <w:autoSpaceDE w:val="0"/>
              <w:autoSpaceDN w:val="0"/>
              <w:adjustRightInd w:val="0"/>
              <w:spacing w:line="360" w:lineRule="auto"/>
              <w:jc w:val="center"/>
              <w:rPr>
                <w:bCs/>
                <w:szCs w:val="21"/>
                <w:highlight w:val="none"/>
                <w:lang w:val="zh-CN"/>
              </w:rPr>
            </w:pPr>
          </w:p>
        </w:tc>
        <w:tc>
          <w:tcPr>
            <w:tcW w:w="2294" w:type="dxa"/>
            <w:vAlign w:val="center"/>
          </w:tcPr>
          <w:p>
            <w:pPr>
              <w:autoSpaceDE w:val="0"/>
              <w:autoSpaceDN w:val="0"/>
              <w:adjustRightInd w:val="0"/>
              <w:spacing w:line="360" w:lineRule="auto"/>
              <w:jc w:val="center"/>
              <w:rPr>
                <w:color w:val="auto"/>
                <w:szCs w:val="21"/>
                <w:highlight w:val="none"/>
              </w:rPr>
            </w:pPr>
            <w:r>
              <w:rPr>
                <w:rFonts w:hint="eastAsia"/>
                <w:color w:val="auto"/>
                <w:szCs w:val="21"/>
                <w:highlight w:val="none"/>
              </w:rPr>
              <w:t>安全生产考核</w:t>
            </w:r>
          </w:p>
          <w:p>
            <w:pPr>
              <w:autoSpaceDE w:val="0"/>
              <w:autoSpaceDN w:val="0"/>
              <w:adjustRightInd w:val="0"/>
              <w:spacing w:line="360" w:lineRule="auto"/>
              <w:jc w:val="center"/>
              <w:rPr>
                <w:bCs/>
                <w:szCs w:val="21"/>
                <w:highlight w:val="none"/>
                <w:lang w:val="zh-CN"/>
              </w:rPr>
            </w:pPr>
            <w:r>
              <w:rPr>
                <w:rFonts w:hint="eastAsia"/>
                <w:color w:val="auto"/>
                <w:szCs w:val="21"/>
                <w:highlight w:val="none"/>
              </w:rPr>
              <w:t>合格证（</w:t>
            </w:r>
            <w:r>
              <w:rPr>
                <w:color w:val="auto"/>
                <w:szCs w:val="21"/>
                <w:highlight w:val="none"/>
              </w:rPr>
              <w:t>C</w:t>
            </w:r>
            <w:r>
              <w:rPr>
                <w:rFonts w:hint="eastAsia"/>
                <w:color w:val="auto"/>
                <w:szCs w:val="21"/>
                <w:highlight w:val="none"/>
              </w:rPr>
              <w:t>类）编号</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（企业公章）</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bl>
    <w:p>
      <w:pPr>
        <w:spacing w:line="360" w:lineRule="auto"/>
        <w:jc w:val="center"/>
        <w:rPr>
          <w:b/>
          <w:szCs w:val="21"/>
          <w:highlight w:val="none"/>
        </w:rPr>
      </w:pPr>
    </w:p>
    <w:p>
      <w:pPr>
        <w:spacing w:line="360" w:lineRule="auto"/>
        <w:jc w:val="center"/>
        <w:rPr>
          <w:b/>
          <w:szCs w:val="21"/>
          <w:highlight w:val="none"/>
        </w:rPr>
      </w:pPr>
    </w:p>
    <w:p>
      <w:pPr>
        <w:bidi w:val="0"/>
        <w:rPr>
          <w:highlight w:val="none"/>
        </w:rPr>
      </w:pPr>
      <w:r>
        <w:rPr>
          <w:highlight w:val="none"/>
        </w:rPr>
        <w:br w:type="page"/>
      </w:r>
    </w:p>
    <w:p>
      <w:pPr>
        <w:pStyle w:val="93"/>
        <w:spacing w:beforeLines="0" w:afterLines="0" w:line="360" w:lineRule="auto"/>
        <w:jc w:val="center"/>
        <w:rPr>
          <w:rFonts w:hAnsi="黑体" w:cs="黑体"/>
          <w:spacing w:val="0"/>
          <w:sz w:val="32"/>
          <w:szCs w:val="32"/>
          <w:highlight w:val="none"/>
        </w:rPr>
      </w:pPr>
      <w:r>
        <w:rPr>
          <w:rFonts w:hint="eastAsia" w:hAnsi="黑体" w:cs="黑体"/>
          <w:spacing w:val="0"/>
          <w:sz w:val="32"/>
          <w:szCs w:val="32"/>
          <w:highlight w:val="none"/>
        </w:rPr>
        <w:t>投标承诺书</w:t>
      </w:r>
    </w:p>
    <w:p>
      <w:pPr>
        <w:spacing w:line="360" w:lineRule="auto"/>
        <w:rPr>
          <w:szCs w:val="21"/>
          <w:highlight w:val="none"/>
        </w:rPr>
      </w:pPr>
    </w:p>
    <w:p>
      <w:pPr>
        <w:spacing w:line="360" w:lineRule="auto"/>
        <w:rPr>
          <w:szCs w:val="21"/>
          <w:highlight w:val="none"/>
        </w:rPr>
      </w:pPr>
      <w:r>
        <w:rPr>
          <w:rFonts w:hint="eastAsia"/>
          <w:szCs w:val="21"/>
          <w:highlight w:val="none"/>
        </w:rPr>
        <w:t>致</w:t>
      </w:r>
      <w:r>
        <w:rPr>
          <w:rFonts w:hint="eastAsia"/>
          <w:szCs w:val="21"/>
          <w:highlight w:val="none"/>
          <w:u w:val="single"/>
        </w:rPr>
        <w:t>广州南沙</w:t>
      </w:r>
      <w:r>
        <w:rPr>
          <w:rFonts w:hint="eastAsia"/>
          <w:szCs w:val="21"/>
          <w:highlight w:val="none"/>
          <w:u w:val="single"/>
          <w:lang w:val="en-US" w:eastAsia="zh-CN"/>
        </w:rPr>
        <w:t>湿地</w:t>
      </w:r>
      <w:r>
        <w:rPr>
          <w:rFonts w:hint="eastAsia"/>
          <w:szCs w:val="21"/>
          <w:highlight w:val="none"/>
          <w:u w:val="single"/>
        </w:rPr>
        <w:t>旅游发展有限公司</w:t>
      </w:r>
      <w:r>
        <w:rPr>
          <w:rFonts w:hint="eastAsia"/>
          <w:szCs w:val="21"/>
          <w:highlight w:val="none"/>
        </w:rPr>
        <w:t>：</w:t>
      </w:r>
    </w:p>
    <w:p>
      <w:pPr>
        <w:spacing w:line="360" w:lineRule="auto"/>
        <w:ind w:firstLine="420" w:firstLineChars="200"/>
        <w:rPr>
          <w:szCs w:val="21"/>
          <w:highlight w:val="none"/>
        </w:rPr>
      </w:pPr>
    </w:p>
    <w:p>
      <w:pPr>
        <w:ind w:firstLine="630" w:firstLineChars="300"/>
        <w:jc w:val="both"/>
        <w:rPr>
          <w:szCs w:val="21"/>
          <w:highlight w:val="none"/>
        </w:rPr>
      </w:pPr>
      <w:r>
        <w:rPr>
          <w:rFonts w:hint="eastAsia"/>
          <w:szCs w:val="21"/>
          <w:highlight w:val="none"/>
        </w:rPr>
        <w:t>若我方成为“</w:t>
      </w:r>
      <w:r>
        <w:rPr>
          <w:rFonts w:hint="eastAsia" w:ascii="宋体" w:hAnsi="宋体" w:eastAsia="宋体" w:cs="宋体"/>
          <w:b w:val="0"/>
          <w:bCs w:val="0"/>
          <w:spacing w:val="0"/>
          <w:kern w:val="0"/>
          <w:sz w:val="21"/>
          <w:szCs w:val="21"/>
          <w:highlight w:val="none"/>
          <w:u w:val="single"/>
        </w:rPr>
        <w:t>湿地景区二期停车场变压器增容项目</w:t>
      </w:r>
      <w:r>
        <w:rPr>
          <w:rFonts w:hint="eastAsia"/>
          <w:szCs w:val="21"/>
          <w:highlight w:val="none"/>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szCs w:val="21"/>
          <w:highlight w:val="none"/>
        </w:rPr>
      </w:pPr>
      <w:r>
        <w:rPr>
          <w:rFonts w:hint="eastAsia"/>
          <w:szCs w:val="21"/>
          <w:highlight w:val="none"/>
        </w:rPr>
        <w:t>1、在招标</w:t>
      </w:r>
      <w:r>
        <w:rPr>
          <w:rFonts w:hint="eastAsia"/>
          <w:szCs w:val="21"/>
          <w:highlight w:val="none"/>
          <w:lang w:val="en-US" w:eastAsia="zh-CN"/>
        </w:rPr>
        <w:t>人</w:t>
      </w:r>
      <w:r>
        <w:rPr>
          <w:rFonts w:hint="eastAsia"/>
          <w:szCs w:val="21"/>
          <w:highlight w:val="none"/>
        </w:rPr>
        <w:t>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szCs w:val="21"/>
          <w:highlight w:val="none"/>
        </w:rPr>
      </w:pPr>
      <w:r>
        <w:rPr>
          <w:rFonts w:hint="eastAsia"/>
          <w:szCs w:val="21"/>
          <w:highlight w:val="none"/>
        </w:rPr>
        <w:t>2、我单位合同签订负责人收到已审定的合同正式稿后5个工作日内签订合同并送达招标人。</w:t>
      </w:r>
    </w:p>
    <w:p>
      <w:pPr>
        <w:spacing w:line="360" w:lineRule="auto"/>
        <w:ind w:firstLine="420" w:firstLineChars="200"/>
        <w:rPr>
          <w:szCs w:val="21"/>
          <w:highlight w:val="none"/>
        </w:rPr>
      </w:pPr>
      <w:r>
        <w:rPr>
          <w:rFonts w:hint="eastAsia"/>
          <w:szCs w:val="21"/>
          <w:highlight w:val="none"/>
        </w:rPr>
        <w:t>3、招标人通知领取已签订的合同文件后2个工作日内领取合同文件。</w:t>
      </w:r>
    </w:p>
    <w:p>
      <w:pPr>
        <w:spacing w:line="360" w:lineRule="auto"/>
        <w:ind w:firstLine="420" w:firstLineChars="200"/>
        <w:rPr>
          <w:szCs w:val="21"/>
          <w:highlight w:val="none"/>
        </w:rPr>
      </w:pPr>
      <w:r>
        <w:rPr>
          <w:rFonts w:hint="eastAsia"/>
          <w:szCs w:val="21"/>
          <w:highlight w:val="none"/>
        </w:rPr>
        <w:t>4、我方承诺，严格按照上述1～3项要求办理相关工作，若不能按上述1～3项要求办理相关工作，我方自动放弃中标人资格，接受相关条款处罚。</w:t>
      </w:r>
    </w:p>
    <w:p>
      <w:pPr>
        <w:spacing w:line="360" w:lineRule="auto"/>
        <w:ind w:firstLine="420" w:firstLineChars="200"/>
        <w:rPr>
          <w:szCs w:val="21"/>
          <w:highlight w:val="none"/>
        </w:rPr>
      </w:pPr>
      <w:r>
        <w:rPr>
          <w:rFonts w:hint="eastAsia"/>
          <w:szCs w:val="21"/>
          <w:highlight w:val="none"/>
        </w:rPr>
        <w:t>5、合同签订负责人和项目负责人保持电话联系畅通。</w:t>
      </w:r>
    </w:p>
    <w:p>
      <w:pPr>
        <w:spacing w:line="360" w:lineRule="auto"/>
        <w:ind w:firstLine="420" w:firstLineChars="200"/>
        <w:rPr>
          <w:szCs w:val="21"/>
          <w:highlight w:val="none"/>
        </w:rPr>
      </w:pPr>
    </w:p>
    <w:p>
      <w:pPr>
        <w:spacing w:line="360" w:lineRule="auto"/>
        <w:rPr>
          <w:szCs w:val="21"/>
          <w:highlight w:val="none"/>
        </w:rPr>
      </w:pPr>
      <w:r>
        <w:rPr>
          <w:rFonts w:hint="eastAsia"/>
          <w:szCs w:val="21"/>
          <w:highlight w:val="none"/>
        </w:rPr>
        <w:t>投标单位（盖公章）：</w:t>
      </w:r>
    </w:p>
    <w:p>
      <w:pPr>
        <w:spacing w:line="360" w:lineRule="auto"/>
        <w:rPr>
          <w:szCs w:val="21"/>
          <w:highlight w:val="none"/>
        </w:rPr>
      </w:pPr>
      <w:r>
        <w:rPr>
          <w:rFonts w:hint="eastAsia"/>
          <w:szCs w:val="21"/>
          <w:highlight w:val="none"/>
        </w:rPr>
        <w:t>法定代表人（签字或盖章）：</w:t>
      </w:r>
    </w:p>
    <w:p>
      <w:pPr>
        <w:spacing w:line="360" w:lineRule="auto"/>
        <w:rPr>
          <w:szCs w:val="21"/>
          <w:highlight w:val="none"/>
        </w:rPr>
      </w:pPr>
      <w:r>
        <w:rPr>
          <w:rFonts w:hint="eastAsia"/>
          <w:szCs w:val="21"/>
          <w:highlight w:val="none"/>
        </w:rPr>
        <w:t>项目负责人（签名或盖章）：</w:t>
      </w:r>
    </w:p>
    <w:p>
      <w:pPr>
        <w:spacing w:line="360" w:lineRule="auto"/>
        <w:rPr>
          <w:szCs w:val="21"/>
          <w:highlight w:val="none"/>
        </w:rPr>
      </w:pPr>
      <w:r>
        <w:rPr>
          <w:rFonts w:hint="eastAsia"/>
          <w:szCs w:val="21"/>
          <w:highlight w:val="none"/>
        </w:rPr>
        <w:t>项目负责人联系电话：</w:t>
      </w:r>
    </w:p>
    <w:p>
      <w:pPr>
        <w:spacing w:line="360" w:lineRule="auto"/>
        <w:rPr>
          <w:szCs w:val="21"/>
          <w:highlight w:val="none"/>
        </w:rPr>
      </w:pPr>
      <w:r>
        <w:rPr>
          <w:rFonts w:hint="eastAsia"/>
          <w:szCs w:val="21"/>
          <w:highlight w:val="none"/>
        </w:rPr>
        <w:t>合同签订负责人（签名或盖章）：</w:t>
      </w:r>
    </w:p>
    <w:p>
      <w:pPr>
        <w:spacing w:line="360" w:lineRule="auto"/>
        <w:rPr>
          <w:szCs w:val="21"/>
          <w:highlight w:val="none"/>
        </w:rPr>
      </w:pPr>
      <w:r>
        <w:rPr>
          <w:rFonts w:hint="eastAsia"/>
          <w:szCs w:val="21"/>
          <w:highlight w:val="none"/>
        </w:rPr>
        <w:t>合同签订负责人联系电话：</w:t>
      </w:r>
    </w:p>
    <w:p>
      <w:pPr>
        <w:pStyle w:val="72"/>
        <w:ind w:right="458" w:firstLine="0"/>
        <w:jc w:val="right"/>
        <w:rPr>
          <w:rFonts w:ascii="宋体" w:hAnsi="宋体" w:eastAsia="宋体"/>
          <w:color w:val="auto"/>
          <w:sz w:val="21"/>
          <w:szCs w:val="21"/>
          <w:highlight w:val="none"/>
        </w:rPr>
      </w:pPr>
    </w:p>
    <w:p>
      <w:pPr>
        <w:pStyle w:val="72"/>
        <w:ind w:right="458" w:firstLine="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pStyle w:val="91"/>
        <w:spacing w:line="360" w:lineRule="auto"/>
        <w:jc w:val="center"/>
        <w:rPr>
          <w:b/>
          <w:sz w:val="30"/>
          <w:szCs w:val="30"/>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autoSpaceDE w:val="0"/>
        <w:autoSpaceDN w:val="0"/>
        <w:adjustRightInd w:val="0"/>
        <w:spacing w:line="360" w:lineRule="auto"/>
        <w:jc w:val="both"/>
        <w:rPr>
          <w:rFonts w:hint="eastAsia" w:ascii="黑体" w:hAnsi="黑体" w:eastAsia="黑体" w:cs="黑体"/>
          <w:b/>
          <w:color w:val="auto"/>
          <w:sz w:val="32"/>
          <w:szCs w:val="32"/>
          <w:highlight w:val="none"/>
        </w:rPr>
      </w:pP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参与编制施工技术投标文件人员名单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bl>
    <w:p>
      <w:pPr>
        <w:autoSpaceDE w:val="0"/>
        <w:autoSpaceDN w:val="0"/>
        <w:adjustRightInd w:val="0"/>
        <w:spacing w:line="360" w:lineRule="auto"/>
        <w:ind w:left="-420" w:leftChars="-200" w:right="-506" w:rightChars="-241"/>
        <w:jc w:val="left"/>
        <w:rPr>
          <w:rFonts w:cs="Times New Roman"/>
          <w:color w:val="auto"/>
          <w:szCs w:val="21"/>
          <w:highlight w:val="none"/>
        </w:rPr>
      </w:pPr>
      <w:r>
        <w:rPr>
          <w:rFonts w:hint="eastAsia" w:cs="Times New Roman"/>
          <w:color w:val="auto"/>
          <w:szCs w:val="21"/>
          <w:highlight w:val="none"/>
        </w:rPr>
        <w:t>注：参与编制施工技术投标文件人员名单应包括如编制文件资料、负责清样校对、负责打印及复印等人员在内的人员名单。</w:t>
      </w:r>
    </w:p>
    <w:p>
      <w:pPr>
        <w:pStyle w:val="47"/>
        <w:rPr>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pStyle w:val="47"/>
        <w:ind w:firstLine="0"/>
        <w:rPr>
          <w:highlight w:val="none"/>
        </w:rPr>
      </w:pP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w:t>
      </w:r>
      <w:r>
        <w:rPr>
          <w:rFonts w:hint="eastAsia" w:ascii="黑体" w:hAnsi="黑体" w:eastAsia="黑体" w:cs="黑体"/>
          <w:b/>
          <w:sz w:val="30"/>
          <w:szCs w:val="30"/>
          <w:highlight w:val="none"/>
          <w:lang w:val="en-US" w:eastAsia="zh-CN"/>
        </w:rPr>
        <w:t>三</w:t>
      </w:r>
      <w:r>
        <w:rPr>
          <w:rFonts w:hint="eastAsia" w:ascii="黑体" w:hAnsi="黑体" w:eastAsia="黑体" w:cs="黑体"/>
          <w:b/>
          <w:sz w:val="30"/>
          <w:szCs w:val="30"/>
          <w:highlight w:val="none"/>
        </w:rPr>
        <w:t>部分 投标报价文件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bCs w:val="0"/>
          <w:spacing w:val="0"/>
          <w:kern w:val="0"/>
          <w:sz w:val="48"/>
          <w:szCs w:val="48"/>
          <w:highlight w:val="none"/>
          <w:u w:val="none"/>
        </w:rPr>
        <w:t>湿地景区二期停车场变压器增容项目</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（投标报价文件）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一、投标报价书</w:t>
      </w:r>
    </w:p>
    <w:p>
      <w:pPr>
        <w:spacing w:line="360" w:lineRule="auto"/>
        <w:rPr>
          <w:rFonts w:cs="Times New Roman"/>
          <w:color w:val="auto"/>
          <w:szCs w:val="21"/>
          <w:highlight w:val="none"/>
        </w:rPr>
      </w:pPr>
      <w:r>
        <w:rPr>
          <w:rFonts w:hint="eastAsia" w:cs="Times New Roman"/>
          <w:color w:val="auto"/>
          <w:szCs w:val="21"/>
          <w:highlight w:val="none"/>
        </w:rPr>
        <w:t>二、参与编制投标报价文件人员名单</w:t>
      </w:r>
    </w:p>
    <w:p>
      <w:pPr>
        <w:spacing w:line="360" w:lineRule="auto"/>
        <w:rPr>
          <w:rFonts w:cs="Times New Roman"/>
          <w:color w:val="auto"/>
          <w:szCs w:val="21"/>
          <w:highlight w:val="none"/>
        </w:rPr>
      </w:pPr>
      <w:r>
        <w:rPr>
          <w:rFonts w:hint="default" w:cs="Times New Roman"/>
          <w:color w:val="auto"/>
          <w:szCs w:val="21"/>
          <w:highlight w:val="none"/>
          <w:lang w:val="en-US"/>
        </w:rPr>
        <w:t>三</w:t>
      </w:r>
      <w:r>
        <w:rPr>
          <w:rFonts w:hint="eastAsia" w:cs="Times New Roman"/>
          <w:color w:val="auto"/>
          <w:szCs w:val="21"/>
          <w:highlight w:val="none"/>
        </w:rPr>
        <w:t>、投标人认为应提供的其他资料</w:t>
      </w: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sz w:val="32"/>
          <w:szCs w:val="32"/>
          <w:highlight w:val="none"/>
          <w:lang w:val="zh-CN"/>
        </w:rPr>
      </w:pPr>
      <w:r>
        <w:rPr>
          <w:rFonts w:hint="eastAsia" w:ascii="黑体" w:hAnsi="黑体" w:eastAsia="黑体" w:cs="黑体"/>
          <w:b/>
          <w:sz w:val="32"/>
          <w:szCs w:val="32"/>
          <w:highlight w:val="none"/>
        </w:rPr>
        <w:br w:type="page"/>
      </w:r>
      <w:r>
        <w:rPr>
          <w:rFonts w:hint="eastAsia" w:ascii="黑体" w:hAnsi="黑体" w:eastAsia="黑体" w:cs="黑体"/>
          <w:b/>
          <w:bCs/>
          <w:sz w:val="32"/>
          <w:szCs w:val="32"/>
          <w:highlight w:val="none"/>
        </w:rPr>
        <w:t>投标报价</w:t>
      </w:r>
      <w:r>
        <w:rPr>
          <w:rFonts w:hint="eastAsia" w:ascii="黑体" w:hAnsi="黑体" w:eastAsia="黑体" w:cs="黑体"/>
          <w:b/>
          <w:bCs/>
          <w:sz w:val="32"/>
          <w:szCs w:val="32"/>
          <w:highlight w:val="none"/>
          <w:lang w:val="zh-CN"/>
        </w:rPr>
        <w:t>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cs="宋体"/>
                <w:bCs/>
                <w:szCs w:val="21"/>
                <w:highlight w:val="none"/>
              </w:rPr>
            </w:pPr>
            <w:r>
              <w:rPr>
                <w:rFonts w:hint="eastAsia" w:ascii="宋体" w:hAnsi="宋体" w:cs="宋体"/>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bl>
    <w:p>
      <w:pPr>
        <w:autoSpaceDE w:val="0"/>
        <w:autoSpaceDN w:val="0"/>
        <w:adjustRightInd w:val="0"/>
        <w:spacing w:line="360" w:lineRule="auto"/>
        <w:ind w:left="-199" w:leftChars="-95" w:right="-405" w:rightChars="-193"/>
        <w:jc w:val="left"/>
        <w:rPr>
          <w:bCs/>
          <w:szCs w:val="21"/>
          <w:highlight w:val="none"/>
        </w:rPr>
      </w:pPr>
      <w:r>
        <w:rPr>
          <w:rFonts w:hint="eastAsia"/>
          <w:bCs/>
          <w:szCs w:val="21"/>
          <w:highlight w:val="none"/>
        </w:rPr>
        <w:t>注：投标总报价的大写金额和小写金额不一致的，以大写金额为准，投标报价精确到小数点后两位。</w:t>
      </w: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autoSpaceDE w:val="0"/>
        <w:autoSpaceDN w:val="0"/>
        <w:adjustRightInd w:val="0"/>
        <w:spacing w:line="360" w:lineRule="auto"/>
        <w:jc w:val="both"/>
        <w:rPr>
          <w:rFonts w:hint="eastAsia" w:ascii="黑体" w:hAnsi="黑体" w:eastAsia="黑体" w:cs="黑体"/>
          <w:b/>
          <w:color w:val="auto"/>
          <w:sz w:val="32"/>
          <w:szCs w:val="32"/>
          <w:highlight w:val="none"/>
        </w:rPr>
      </w:pP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参与编制投标报价文件人员名单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bl>
    <w:p>
      <w:pPr>
        <w:widowControl w:val="0"/>
        <w:spacing w:line="360" w:lineRule="auto"/>
        <w:jc w:val="left"/>
        <w:rPr>
          <w:rFonts w:ascii="Calibri" w:hAnsi="宋体" w:eastAsia="宋体" w:cs="Times New Roman"/>
          <w:color w:val="auto"/>
          <w:kern w:val="2"/>
          <w:sz w:val="21"/>
          <w:szCs w:val="21"/>
          <w:highlight w:val="none"/>
          <w:lang w:val="en-US" w:eastAsia="zh-CN" w:bidi="ar-SA"/>
        </w:rPr>
      </w:pPr>
      <w:r>
        <w:rPr>
          <w:rFonts w:hint="eastAsia" w:ascii="Calibri" w:hAnsi="宋体" w:eastAsia="宋体" w:cs="Times New Roman"/>
          <w:color w:val="auto"/>
          <w:kern w:val="2"/>
          <w:sz w:val="21"/>
          <w:szCs w:val="21"/>
          <w:highlight w:val="none"/>
          <w:lang w:val="en-US" w:eastAsia="zh-CN" w:bidi="ar-SA"/>
        </w:rPr>
        <w:t>注：参与编制投标报价人员名单应包括如编制文件资料、负责清样校对、负责打印及复印等人员在内的人员名单。</w:t>
      </w:r>
    </w:p>
    <w:p>
      <w:pPr>
        <w:pStyle w:val="14"/>
        <w:rPr>
          <w:highlight w:val="none"/>
        </w:rPr>
      </w:pPr>
    </w:p>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2"/>
                            </w:rPr>
                          </w:pPr>
                          <w:r>
                            <w:fldChar w:fldCharType="begin"/>
                          </w:r>
                          <w:r>
                            <w:rPr>
                              <w:rStyle w:val="42"/>
                            </w:rPr>
                            <w:instrText xml:space="preserve">PAGE  </w:instrText>
                          </w:r>
                          <w:r>
                            <w:fldChar w:fldCharType="separate"/>
                          </w:r>
                          <w:r>
                            <w:rPr>
                              <w:rStyle w:val="42"/>
                            </w:rPr>
                            <w:t>29</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pPr>
                      <w:pStyle w:val="24"/>
                      <w:rPr>
                        <w:rStyle w:val="42"/>
                      </w:rPr>
                    </w:pPr>
                    <w:r>
                      <w:fldChar w:fldCharType="begin"/>
                    </w:r>
                    <w:r>
                      <w:rPr>
                        <w:rStyle w:val="42"/>
                      </w:rPr>
                      <w:instrText xml:space="preserve">PAGE  </w:instrText>
                    </w:r>
                    <w:r>
                      <w:fldChar w:fldCharType="separate"/>
                    </w:r>
                    <w:r>
                      <w:rPr>
                        <w:rStyle w:val="42"/>
                      </w:rPr>
                      <w:t>29</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1FC5A"/>
    <w:multiLevelType w:val="singleLevel"/>
    <w:tmpl w:val="EC11FC5A"/>
    <w:lvl w:ilvl="0" w:tentative="0">
      <w:start w:val="5"/>
      <w:numFmt w:val="chineseCounting"/>
      <w:suff w:val="space"/>
      <w:lvlText w:val="第%1章"/>
      <w:lvlJc w:val="left"/>
      <w:rPr>
        <w:rFonts w:hint="eastAsia"/>
      </w:rPr>
    </w:lvl>
  </w:abstractNum>
  <w:abstractNum w:abstractNumId="1">
    <w:nsid w:val="EDF1AA85"/>
    <w:multiLevelType w:val="singleLevel"/>
    <w:tmpl w:val="EDF1AA85"/>
    <w:lvl w:ilvl="0" w:tentative="0">
      <w:start w:val="3"/>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0"/>
  <w:bordersDoNotSurroundFooter w:val="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s>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E5DE6"/>
    <w:rsid w:val="00FF19AD"/>
    <w:rsid w:val="00FF7B92"/>
    <w:rsid w:val="01024097"/>
    <w:rsid w:val="010C528E"/>
    <w:rsid w:val="01334788"/>
    <w:rsid w:val="01A66FB4"/>
    <w:rsid w:val="01B4367D"/>
    <w:rsid w:val="01C20632"/>
    <w:rsid w:val="01F84FD7"/>
    <w:rsid w:val="02346138"/>
    <w:rsid w:val="0242733A"/>
    <w:rsid w:val="026736B8"/>
    <w:rsid w:val="0269377A"/>
    <w:rsid w:val="026C5D14"/>
    <w:rsid w:val="028E4DDB"/>
    <w:rsid w:val="02C52150"/>
    <w:rsid w:val="02DB6548"/>
    <w:rsid w:val="02F27EAE"/>
    <w:rsid w:val="02FA119A"/>
    <w:rsid w:val="030502E0"/>
    <w:rsid w:val="032F22E2"/>
    <w:rsid w:val="0331353B"/>
    <w:rsid w:val="034372F4"/>
    <w:rsid w:val="036D7EE4"/>
    <w:rsid w:val="03C21F10"/>
    <w:rsid w:val="03EA07D9"/>
    <w:rsid w:val="03FE335B"/>
    <w:rsid w:val="046E6F3C"/>
    <w:rsid w:val="04762458"/>
    <w:rsid w:val="047A5433"/>
    <w:rsid w:val="04942A4D"/>
    <w:rsid w:val="04AB667F"/>
    <w:rsid w:val="04B276B1"/>
    <w:rsid w:val="04D764F5"/>
    <w:rsid w:val="04F77729"/>
    <w:rsid w:val="052B5C4D"/>
    <w:rsid w:val="0547174E"/>
    <w:rsid w:val="05691B32"/>
    <w:rsid w:val="057476A3"/>
    <w:rsid w:val="05802F9C"/>
    <w:rsid w:val="05A207AE"/>
    <w:rsid w:val="05C66AF7"/>
    <w:rsid w:val="05E56E6E"/>
    <w:rsid w:val="06216546"/>
    <w:rsid w:val="06257654"/>
    <w:rsid w:val="06287461"/>
    <w:rsid w:val="06330903"/>
    <w:rsid w:val="064A7DDF"/>
    <w:rsid w:val="067558A7"/>
    <w:rsid w:val="068C1967"/>
    <w:rsid w:val="06947230"/>
    <w:rsid w:val="06AB5199"/>
    <w:rsid w:val="06EA07A8"/>
    <w:rsid w:val="07244B6B"/>
    <w:rsid w:val="073672C8"/>
    <w:rsid w:val="076E6BAF"/>
    <w:rsid w:val="07885CE5"/>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576C98"/>
    <w:rsid w:val="0A5B31A0"/>
    <w:rsid w:val="0AB51B04"/>
    <w:rsid w:val="0AE2394F"/>
    <w:rsid w:val="0AF669C7"/>
    <w:rsid w:val="0B1B0ED2"/>
    <w:rsid w:val="0B24496D"/>
    <w:rsid w:val="0B261B7D"/>
    <w:rsid w:val="0B2A1901"/>
    <w:rsid w:val="0B4C33E8"/>
    <w:rsid w:val="0B5F6424"/>
    <w:rsid w:val="0B9C5CFE"/>
    <w:rsid w:val="0BA57E29"/>
    <w:rsid w:val="0BAA68C5"/>
    <w:rsid w:val="0BD25EA5"/>
    <w:rsid w:val="0C444B52"/>
    <w:rsid w:val="0C833461"/>
    <w:rsid w:val="0C930B8B"/>
    <w:rsid w:val="0CBA5558"/>
    <w:rsid w:val="0CC6479D"/>
    <w:rsid w:val="0CD361AE"/>
    <w:rsid w:val="0CD9474F"/>
    <w:rsid w:val="0CEF1DD4"/>
    <w:rsid w:val="0D193E25"/>
    <w:rsid w:val="0D1D2641"/>
    <w:rsid w:val="0D2D41AC"/>
    <w:rsid w:val="0D364901"/>
    <w:rsid w:val="0D3E2BC2"/>
    <w:rsid w:val="0D4E6308"/>
    <w:rsid w:val="0D511930"/>
    <w:rsid w:val="0D6E463D"/>
    <w:rsid w:val="0D93638B"/>
    <w:rsid w:val="0DAF5AF8"/>
    <w:rsid w:val="0DB83735"/>
    <w:rsid w:val="0DE46919"/>
    <w:rsid w:val="0DF65E24"/>
    <w:rsid w:val="0E165C5A"/>
    <w:rsid w:val="0E215250"/>
    <w:rsid w:val="0E415CE8"/>
    <w:rsid w:val="0E4D2492"/>
    <w:rsid w:val="0E650431"/>
    <w:rsid w:val="0EC51C3E"/>
    <w:rsid w:val="0ECC55BC"/>
    <w:rsid w:val="0ECD68A1"/>
    <w:rsid w:val="0F0710E1"/>
    <w:rsid w:val="0F120D4E"/>
    <w:rsid w:val="0F1D5312"/>
    <w:rsid w:val="0F587BBB"/>
    <w:rsid w:val="0F6018A7"/>
    <w:rsid w:val="0F97156B"/>
    <w:rsid w:val="0FA978A5"/>
    <w:rsid w:val="0FB5357C"/>
    <w:rsid w:val="1001579B"/>
    <w:rsid w:val="10141CD8"/>
    <w:rsid w:val="101A7974"/>
    <w:rsid w:val="103D6844"/>
    <w:rsid w:val="1056152C"/>
    <w:rsid w:val="108D6BDC"/>
    <w:rsid w:val="10B04615"/>
    <w:rsid w:val="10B564AE"/>
    <w:rsid w:val="10F17346"/>
    <w:rsid w:val="10F60360"/>
    <w:rsid w:val="110D108E"/>
    <w:rsid w:val="1117092B"/>
    <w:rsid w:val="112809FB"/>
    <w:rsid w:val="11384C16"/>
    <w:rsid w:val="113E11D1"/>
    <w:rsid w:val="114602AE"/>
    <w:rsid w:val="11512BB8"/>
    <w:rsid w:val="11685B05"/>
    <w:rsid w:val="11AF6357"/>
    <w:rsid w:val="11B91958"/>
    <w:rsid w:val="11CA59B9"/>
    <w:rsid w:val="11F77ECD"/>
    <w:rsid w:val="12042FE4"/>
    <w:rsid w:val="1205136C"/>
    <w:rsid w:val="125A4E46"/>
    <w:rsid w:val="125F6DBC"/>
    <w:rsid w:val="12656274"/>
    <w:rsid w:val="127D35B3"/>
    <w:rsid w:val="12934512"/>
    <w:rsid w:val="12D32F6F"/>
    <w:rsid w:val="12FF3426"/>
    <w:rsid w:val="132F24EA"/>
    <w:rsid w:val="139D1AD6"/>
    <w:rsid w:val="13AF75FF"/>
    <w:rsid w:val="13B401F1"/>
    <w:rsid w:val="13ED394E"/>
    <w:rsid w:val="1407788E"/>
    <w:rsid w:val="14157B94"/>
    <w:rsid w:val="141D110B"/>
    <w:rsid w:val="142D74CC"/>
    <w:rsid w:val="14565475"/>
    <w:rsid w:val="14AA1960"/>
    <w:rsid w:val="14FA6CA3"/>
    <w:rsid w:val="14FB6263"/>
    <w:rsid w:val="15035722"/>
    <w:rsid w:val="153D2BE9"/>
    <w:rsid w:val="154B5DAC"/>
    <w:rsid w:val="156B2FF9"/>
    <w:rsid w:val="15D31466"/>
    <w:rsid w:val="15FC0905"/>
    <w:rsid w:val="160944AB"/>
    <w:rsid w:val="16257519"/>
    <w:rsid w:val="163B6F9E"/>
    <w:rsid w:val="16421D82"/>
    <w:rsid w:val="168960C6"/>
    <w:rsid w:val="1692644F"/>
    <w:rsid w:val="16931DB3"/>
    <w:rsid w:val="169D6502"/>
    <w:rsid w:val="16A47360"/>
    <w:rsid w:val="16C06660"/>
    <w:rsid w:val="16E64EFA"/>
    <w:rsid w:val="16E87689"/>
    <w:rsid w:val="17150BFB"/>
    <w:rsid w:val="173F6C31"/>
    <w:rsid w:val="17501932"/>
    <w:rsid w:val="1766064E"/>
    <w:rsid w:val="177213C1"/>
    <w:rsid w:val="17793FC0"/>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592C5D"/>
    <w:rsid w:val="19827BA3"/>
    <w:rsid w:val="19852BDB"/>
    <w:rsid w:val="198A18F4"/>
    <w:rsid w:val="19982894"/>
    <w:rsid w:val="199D17B2"/>
    <w:rsid w:val="19BE22AE"/>
    <w:rsid w:val="19EA2D1A"/>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3E3E4B"/>
    <w:rsid w:val="1D5B61E6"/>
    <w:rsid w:val="1D5F6F9E"/>
    <w:rsid w:val="1D7B5F47"/>
    <w:rsid w:val="1D917F0B"/>
    <w:rsid w:val="1D9259F6"/>
    <w:rsid w:val="1DA046A6"/>
    <w:rsid w:val="1DA85311"/>
    <w:rsid w:val="1DB774C0"/>
    <w:rsid w:val="1DCB6BF8"/>
    <w:rsid w:val="1E1B7164"/>
    <w:rsid w:val="1E431CAF"/>
    <w:rsid w:val="1E557791"/>
    <w:rsid w:val="1E64188F"/>
    <w:rsid w:val="1E666DE3"/>
    <w:rsid w:val="1E6F7F18"/>
    <w:rsid w:val="1E7148AD"/>
    <w:rsid w:val="1EA556AE"/>
    <w:rsid w:val="1EC60F40"/>
    <w:rsid w:val="1EEE706A"/>
    <w:rsid w:val="1EF56774"/>
    <w:rsid w:val="1F00136A"/>
    <w:rsid w:val="1F445432"/>
    <w:rsid w:val="1F4A3B9F"/>
    <w:rsid w:val="1F9048FC"/>
    <w:rsid w:val="1FA56D3B"/>
    <w:rsid w:val="1FF32162"/>
    <w:rsid w:val="2018173E"/>
    <w:rsid w:val="203B7048"/>
    <w:rsid w:val="204775B2"/>
    <w:rsid w:val="206A4C40"/>
    <w:rsid w:val="20A522BB"/>
    <w:rsid w:val="20B0162F"/>
    <w:rsid w:val="20E27E60"/>
    <w:rsid w:val="20F62E33"/>
    <w:rsid w:val="21304699"/>
    <w:rsid w:val="214E7870"/>
    <w:rsid w:val="215E4FAB"/>
    <w:rsid w:val="2165669B"/>
    <w:rsid w:val="216D5541"/>
    <w:rsid w:val="222258EE"/>
    <w:rsid w:val="223C36D7"/>
    <w:rsid w:val="223F1EE9"/>
    <w:rsid w:val="22976AE8"/>
    <w:rsid w:val="22AF6AE8"/>
    <w:rsid w:val="22B86265"/>
    <w:rsid w:val="22BE3CB0"/>
    <w:rsid w:val="22D91F81"/>
    <w:rsid w:val="22E27BFF"/>
    <w:rsid w:val="232E269F"/>
    <w:rsid w:val="23641680"/>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4EA6013"/>
    <w:rsid w:val="250066FE"/>
    <w:rsid w:val="25373087"/>
    <w:rsid w:val="253C0BC9"/>
    <w:rsid w:val="25501B0F"/>
    <w:rsid w:val="25A94438"/>
    <w:rsid w:val="25DD42B4"/>
    <w:rsid w:val="25ED42A4"/>
    <w:rsid w:val="260332E1"/>
    <w:rsid w:val="2604237F"/>
    <w:rsid w:val="26123EE1"/>
    <w:rsid w:val="26170CF9"/>
    <w:rsid w:val="26185677"/>
    <w:rsid w:val="261E4108"/>
    <w:rsid w:val="2621768A"/>
    <w:rsid w:val="26257636"/>
    <w:rsid w:val="26292A28"/>
    <w:rsid w:val="262E2431"/>
    <w:rsid w:val="26427C13"/>
    <w:rsid w:val="265A438E"/>
    <w:rsid w:val="26BC38BA"/>
    <w:rsid w:val="26D174E0"/>
    <w:rsid w:val="2718248E"/>
    <w:rsid w:val="271A44C8"/>
    <w:rsid w:val="27215E65"/>
    <w:rsid w:val="27284277"/>
    <w:rsid w:val="272D1A5A"/>
    <w:rsid w:val="2742136D"/>
    <w:rsid w:val="276D4EBD"/>
    <w:rsid w:val="276D624A"/>
    <w:rsid w:val="277527C9"/>
    <w:rsid w:val="279B0BE0"/>
    <w:rsid w:val="27AC55ED"/>
    <w:rsid w:val="27B65134"/>
    <w:rsid w:val="27BD7CB3"/>
    <w:rsid w:val="27F81F2C"/>
    <w:rsid w:val="282A2FBF"/>
    <w:rsid w:val="284D4CE1"/>
    <w:rsid w:val="28884F3F"/>
    <w:rsid w:val="288A3A6E"/>
    <w:rsid w:val="289B53DE"/>
    <w:rsid w:val="28EA36A0"/>
    <w:rsid w:val="290A4F8B"/>
    <w:rsid w:val="291649C5"/>
    <w:rsid w:val="29230D98"/>
    <w:rsid w:val="294A75C0"/>
    <w:rsid w:val="29734AA2"/>
    <w:rsid w:val="29975184"/>
    <w:rsid w:val="29B27D0E"/>
    <w:rsid w:val="29B60371"/>
    <w:rsid w:val="29B96DA4"/>
    <w:rsid w:val="29EB44B2"/>
    <w:rsid w:val="2A560798"/>
    <w:rsid w:val="2A6B032A"/>
    <w:rsid w:val="2A7864C1"/>
    <w:rsid w:val="2A8D307C"/>
    <w:rsid w:val="2A9F612F"/>
    <w:rsid w:val="2AAF2EFC"/>
    <w:rsid w:val="2AF66151"/>
    <w:rsid w:val="2AF9698D"/>
    <w:rsid w:val="2B09048E"/>
    <w:rsid w:val="2B1400CF"/>
    <w:rsid w:val="2B1701F4"/>
    <w:rsid w:val="2B4138A5"/>
    <w:rsid w:val="2B843AC4"/>
    <w:rsid w:val="2B8A15BC"/>
    <w:rsid w:val="2B947C37"/>
    <w:rsid w:val="2B960392"/>
    <w:rsid w:val="2BAC24A6"/>
    <w:rsid w:val="2BAC6B19"/>
    <w:rsid w:val="2BBE5D16"/>
    <w:rsid w:val="2BC75583"/>
    <w:rsid w:val="2BEB29E9"/>
    <w:rsid w:val="2C336D31"/>
    <w:rsid w:val="2C337AAD"/>
    <w:rsid w:val="2C461694"/>
    <w:rsid w:val="2C4E6FBB"/>
    <w:rsid w:val="2C623D16"/>
    <w:rsid w:val="2C630866"/>
    <w:rsid w:val="2C6C5779"/>
    <w:rsid w:val="2C721548"/>
    <w:rsid w:val="2C875270"/>
    <w:rsid w:val="2CB23F2C"/>
    <w:rsid w:val="2CD27B8C"/>
    <w:rsid w:val="2CD813D3"/>
    <w:rsid w:val="2CE74F46"/>
    <w:rsid w:val="2D084BDC"/>
    <w:rsid w:val="2D266300"/>
    <w:rsid w:val="2D430728"/>
    <w:rsid w:val="2D470279"/>
    <w:rsid w:val="2D67146E"/>
    <w:rsid w:val="2D786683"/>
    <w:rsid w:val="2D962B7E"/>
    <w:rsid w:val="2DED5358"/>
    <w:rsid w:val="2DF410A0"/>
    <w:rsid w:val="2DF64E15"/>
    <w:rsid w:val="2DF802B3"/>
    <w:rsid w:val="2E1F33B7"/>
    <w:rsid w:val="2E2B674B"/>
    <w:rsid w:val="2E3B4D8F"/>
    <w:rsid w:val="2E690389"/>
    <w:rsid w:val="2E705D56"/>
    <w:rsid w:val="2E93460F"/>
    <w:rsid w:val="2EF354FE"/>
    <w:rsid w:val="2F0371B0"/>
    <w:rsid w:val="2F6273BF"/>
    <w:rsid w:val="2F7560D1"/>
    <w:rsid w:val="2F822E24"/>
    <w:rsid w:val="2F90501C"/>
    <w:rsid w:val="2FE95C27"/>
    <w:rsid w:val="2FFC638E"/>
    <w:rsid w:val="302B23F0"/>
    <w:rsid w:val="302D1C95"/>
    <w:rsid w:val="303F1F52"/>
    <w:rsid w:val="30600FDD"/>
    <w:rsid w:val="30656F02"/>
    <w:rsid w:val="308C0468"/>
    <w:rsid w:val="309D2590"/>
    <w:rsid w:val="30A51AD1"/>
    <w:rsid w:val="30FD6FF5"/>
    <w:rsid w:val="3131082A"/>
    <w:rsid w:val="313425ED"/>
    <w:rsid w:val="313F1551"/>
    <w:rsid w:val="31A937D0"/>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646FC1"/>
    <w:rsid w:val="337803D8"/>
    <w:rsid w:val="3425303A"/>
    <w:rsid w:val="343C3638"/>
    <w:rsid w:val="347B3F37"/>
    <w:rsid w:val="34AE330A"/>
    <w:rsid w:val="34BE525E"/>
    <w:rsid w:val="34F84A14"/>
    <w:rsid w:val="34FD55E0"/>
    <w:rsid w:val="350C652A"/>
    <w:rsid w:val="351729F7"/>
    <w:rsid w:val="355A1802"/>
    <w:rsid w:val="35842B40"/>
    <w:rsid w:val="35B25B7D"/>
    <w:rsid w:val="35C0722D"/>
    <w:rsid w:val="35C91C5E"/>
    <w:rsid w:val="35D16583"/>
    <w:rsid w:val="3642530D"/>
    <w:rsid w:val="36436038"/>
    <w:rsid w:val="36546FA8"/>
    <w:rsid w:val="367C374B"/>
    <w:rsid w:val="36876A24"/>
    <w:rsid w:val="36A106FF"/>
    <w:rsid w:val="36A91052"/>
    <w:rsid w:val="37074A11"/>
    <w:rsid w:val="3772755D"/>
    <w:rsid w:val="37941B92"/>
    <w:rsid w:val="379C15D3"/>
    <w:rsid w:val="37AF2962"/>
    <w:rsid w:val="37C026C0"/>
    <w:rsid w:val="37D0665A"/>
    <w:rsid w:val="38054D85"/>
    <w:rsid w:val="38146F9B"/>
    <w:rsid w:val="38436ADE"/>
    <w:rsid w:val="38AC1CC4"/>
    <w:rsid w:val="390455C8"/>
    <w:rsid w:val="392711B7"/>
    <w:rsid w:val="394043E4"/>
    <w:rsid w:val="394A00C4"/>
    <w:rsid w:val="396474D8"/>
    <w:rsid w:val="39704603"/>
    <w:rsid w:val="399A2295"/>
    <w:rsid w:val="39D73083"/>
    <w:rsid w:val="39F3552C"/>
    <w:rsid w:val="39F914B3"/>
    <w:rsid w:val="3A076BBA"/>
    <w:rsid w:val="3A0D1C58"/>
    <w:rsid w:val="3A136626"/>
    <w:rsid w:val="3A2E4CC2"/>
    <w:rsid w:val="3A486CF8"/>
    <w:rsid w:val="3A66264B"/>
    <w:rsid w:val="3AD136DE"/>
    <w:rsid w:val="3B456C6F"/>
    <w:rsid w:val="3B494BA9"/>
    <w:rsid w:val="3B6A0C9F"/>
    <w:rsid w:val="3B884EC9"/>
    <w:rsid w:val="3B8D4D19"/>
    <w:rsid w:val="3BA03824"/>
    <w:rsid w:val="3BD020C5"/>
    <w:rsid w:val="3C0071B8"/>
    <w:rsid w:val="3C3814A4"/>
    <w:rsid w:val="3C4533E3"/>
    <w:rsid w:val="3C604625"/>
    <w:rsid w:val="3CA05622"/>
    <w:rsid w:val="3CB27731"/>
    <w:rsid w:val="3CB55E96"/>
    <w:rsid w:val="3CDC3953"/>
    <w:rsid w:val="3CE443F3"/>
    <w:rsid w:val="3D00259E"/>
    <w:rsid w:val="3D0C105D"/>
    <w:rsid w:val="3D80093F"/>
    <w:rsid w:val="3D9520B5"/>
    <w:rsid w:val="3D9C10B4"/>
    <w:rsid w:val="3DA9522F"/>
    <w:rsid w:val="3DC908C6"/>
    <w:rsid w:val="3E5102CA"/>
    <w:rsid w:val="3E64274E"/>
    <w:rsid w:val="3E9075B2"/>
    <w:rsid w:val="3EA13ABF"/>
    <w:rsid w:val="3EA730B9"/>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624102"/>
    <w:rsid w:val="426376A0"/>
    <w:rsid w:val="426E55B3"/>
    <w:rsid w:val="4280555E"/>
    <w:rsid w:val="42A87727"/>
    <w:rsid w:val="42B100E1"/>
    <w:rsid w:val="42CD1A7E"/>
    <w:rsid w:val="42D515B0"/>
    <w:rsid w:val="42E01C7B"/>
    <w:rsid w:val="430D6BDD"/>
    <w:rsid w:val="430F35F3"/>
    <w:rsid w:val="431D7965"/>
    <w:rsid w:val="43581E5B"/>
    <w:rsid w:val="436718F8"/>
    <w:rsid w:val="439523B0"/>
    <w:rsid w:val="43953AB7"/>
    <w:rsid w:val="4395585E"/>
    <w:rsid w:val="43A507CE"/>
    <w:rsid w:val="43BD6441"/>
    <w:rsid w:val="43F90F3B"/>
    <w:rsid w:val="43FF7BD1"/>
    <w:rsid w:val="440230F8"/>
    <w:rsid w:val="44313ADA"/>
    <w:rsid w:val="44502C6E"/>
    <w:rsid w:val="44655966"/>
    <w:rsid w:val="44732E22"/>
    <w:rsid w:val="448654A3"/>
    <w:rsid w:val="44EC7F57"/>
    <w:rsid w:val="456D6971"/>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B81E47"/>
    <w:rsid w:val="47C20D98"/>
    <w:rsid w:val="4801681C"/>
    <w:rsid w:val="48483F7F"/>
    <w:rsid w:val="4853644C"/>
    <w:rsid w:val="48697D37"/>
    <w:rsid w:val="486D0579"/>
    <w:rsid w:val="488F3F8D"/>
    <w:rsid w:val="48904946"/>
    <w:rsid w:val="489E4331"/>
    <w:rsid w:val="48A77428"/>
    <w:rsid w:val="48F701F3"/>
    <w:rsid w:val="490546FB"/>
    <w:rsid w:val="490D4385"/>
    <w:rsid w:val="491A76CE"/>
    <w:rsid w:val="492F0336"/>
    <w:rsid w:val="496B053C"/>
    <w:rsid w:val="498A6BB7"/>
    <w:rsid w:val="498E2FDD"/>
    <w:rsid w:val="499758D7"/>
    <w:rsid w:val="499A1FBF"/>
    <w:rsid w:val="49A86CA7"/>
    <w:rsid w:val="49AE1E44"/>
    <w:rsid w:val="49B465E4"/>
    <w:rsid w:val="49D36B22"/>
    <w:rsid w:val="4A2D795D"/>
    <w:rsid w:val="4A5339DF"/>
    <w:rsid w:val="4A786F8C"/>
    <w:rsid w:val="4ABD1827"/>
    <w:rsid w:val="4AD51900"/>
    <w:rsid w:val="4AE75E3F"/>
    <w:rsid w:val="4B1F151D"/>
    <w:rsid w:val="4B4E43C2"/>
    <w:rsid w:val="4B9E1622"/>
    <w:rsid w:val="4B9E5499"/>
    <w:rsid w:val="4BAA7DA5"/>
    <w:rsid w:val="4BD73E5B"/>
    <w:rsid w:val="4BDC61D3"/>
    <w:rsid w:val="4C30340E"/>
    <w:rsid w:val="4C3F09F6"/>
    <w:rsid w:val="4C577947"/>
    <w:rsid w:val="4CAA56B2"/>
    <w:rsid w:val="4CAA5EE5"/>
    <w:rsid w:val="4CB40769"/>
    <w:rsid w:val="4CB81C26"/>
    <w:rsid w:val="4CD66B95"/>
    <w:rsid w:val="4D1B13DF"/>
    <w:rsid w:val="4D345AFC"/>
    <w:rsid w:val="4D66747F"/>
    <w:rsid w:val="4D8957DD"/>
    <w:rsid w:val="4D98627E"/>
    <w:rsid w:val="4DB57276"/>
    <w:rsid w:val="4DB608B0"/>
    <w:rsid w:val="4DC2344C"/>
    <w:rsid w:val="4DCC5302"/>
    <w:rsid w:val="4DD27F78"/>
    <w:rsid w:val="4DD95517"/>
    <w:rsid w:val="4E1A100D"/>
    <w:rsid w:val="4E265F35"/>
    <w:rsid w:val="4E2C43E6"/>
    <w:rsid w:val="4E4F07F9"/>
    <w:rsid w:val="4E581AB8"/>
    <w:rsid w:val="4E7960B8"/>
    <w:rsid w:val="4E80380F"/>
    <w:rsid w:val="4E883291"/>
    <w:rsid w:val="4E8B2172"/>
    <w:rsid w:val="4E8B7D73"/>
    <w:rsid w:val="4E944E04"/>
    <w:rsid w:val="4E9D3F55"/>
    <w:rsid w:val="4EC74D11"/>
    <w:rsid w:val="4ED34C95"/>
    <w:rsid w:val="4EF0430E"/>
    <w:rsid w:val="4F0066A1"/>
    <w:rsid w:val="4F460EAC"/>
    <w:rsid w:val="4F6039D5"/>
    <w:rsid w:val="4F6A65DF"/>
    <w:rsid w:val="4FA55E13"/>
    <w:rsid w:val="4FA92537"/>
    <w:rsid w:val="4FB6225D"/>
    <w:rsid w:val="4FD16883"/>
    <w:rsid w:val="4FE71F4D"/>
    <w:rsid w:val="4FEE547C"/>
    <w:rsid w:val="500451B4"/>
    <w:rsid w:val="50513DBE"/>
    <w:rsid w:val="50634346"/>
    <w:rsid w:val="506E0E2C"/>
    <w:rsid w:val="50A12BDE"/>
    <w:rsid w:val="5121482B"/>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F3A07"/>
    <w:rsid w:val="51D171E5"/>
    <w:rsid w:val="51D25FE1"/>
    <w:rsid w:val="51E1750A"/>
    <w:rsid w:val="51E33E74"/>
    <w:rsid w:val="520B7B24"/>
    <w:rsid w:val="521C0BB6"/>
    <w:rsid w:val="521C3A78"/>
    <w:rsid w:val="52233414"/>
    <w:rsid w:val="52363A6E"/>
    <w:rsid w:val="523A133F"/>
    <w:rsid w:val="52736C91"/>
    <w:rsid w:val="5293771F"/>
    <w:rsid w:val="529B64F9"/>
    <w:rsid w:val="52AB57B0"/>
    <w:rsid w:val="52D16BF7"/>
    <w:rsid w:val="53072F3F"/>
    <w:rsid w:val="53301796"/>
    <w:rsid w:val="535378DE"/>
    <w:rsid w:val="539E0210"/>
    <w:rsid w:val="53A25C1A"/>
    <w:rsid w:val="53A63C5B"/>
    <w:rsid w:val="53C26E85"/>
    <w:rsid w:val="542E491F"/>
    <w:rsid w:val="543B6AE0"/>
    <w:rsid w:val="546062BA"/>
    <w:rsid w:val="546C4910"/>
    <w:rsid w:val="547D3B66"/>
    <w:rsid w:val="54922220"/>
    <w:rsid w:val="549B7165"/>
    <w:rsid w:val="54D53B92"/>
    <w:rsid w:val="54E925B3"/>
    <w:rsid w:val="55002B5A"/>
    <w:rsid w:val="556C3448"/>
    <w:rsid w:val="559A60A0"/>
    <w:rsid w:val="56426652"/>
    <w:rsid w:val="56535110"/>
    <w:rsid w:val="566057C7"/>
    <w:rsid w:val="566A15A8"/>
    <w:rsid w:val="569354B1"/>
    <w:rsid w:val="569F2C55"/>
    <w:rsid w:val="56B471B4"/>
    <w:rsid w:val="56BC5B54"/>
    <w:rsid w:val="56C13B29"/>
    <w:rsid w:val="56FE35BF"/>
    <w:rsid w:val="57064EA9"/>
    <w:rsid w:val="571C41A7"/>
    <w:rsid w:val="57305B52"/>
    <w:rsid w:val="575631D2"/>
    <w:rsid w:val="5762594A"/>
    <w:rsid w:val="576D7290"/>
    <w:rsid w:val="57AA1FE0"/>
    <w:rsid w:val="57C33473"/>
    <w:rsid w:val="57C872FB"/>
    <w:rsid w:val="57EB4109"/>
    <w:rsid w:val="580751C1"/>
    <w:rsid w:val="58471CAD"/>
    <w:rsid w:val="585574D5"/>
    <w:rsid w:val="58582053"/>
    <w:rsid w:val="58680E1B"/>
    <w:rsid w:val="58705FC5"/>
    <w:rsid w:val="58745084"/>
    <w:rsid w:val="587D1CE7"/>
    <w:rsid w:val="59076E25"/>
    <w:rsid w:val="591C32FA"/>
    <w:rsid w:val="592E4D8C"/>
    <w:rsid w:val="59321703"/>
    <w:rsid w:val="594930E9"/>
    <w:rsid w:val="5959534D"/>
    <w:rsid w:val="596B460B"/>
    <w:rsid w:val="59A66247"/>
    <w:rsid w:val="59AD0976"/>
    <w:rsid w:val="59BA7A63"/>
    <w:rsid w:val="59C5423B"/>
    <w:rsid w:val="59EE166C"/>
    <w:rsid w:val="59EF00DD"/>
    <w:rsid w:val="59FA3DCB"/>
    <w:rsid w:val="5A4A011A"/>
    <w:rsid w:val="5A9B5664"/>
    <w:rsid w:val="5AAF1D42"/>
    <w:rsid w:val="5AB56805"/>
    <w:rsid w:val="5AC926ED"/>
    <w:rsid w:val="5AD672EA"/>
    <w:rsid w:val="5AE62910"/>
    <w:rsid w:val="5AF654A7"/>
    <w:rsid w:val="5B1A64ED"/>
    <w:rsid w:val="5B2E25C1"/>
    <w:rsid w:val="5B526DEA"/>
    <w:rsid w:val="5B93240F"/>
    <w:rsid w:val="5BA814CE"/>
    <w:rsid w:val="5BAD3376"/>
    <w:rsid w:val="5BB54638"/>
    <w:rsid w:val="5BC648F3"/>
    <w:rsid w:val="5C321CD1"/>
    <w:rsid w:val="5C431A93"/>
    <w:rsid w:val="5C4F1CBB"/>
    <w:rsid w:val="5C806A3E"/>
    <w:rsid w:val="5C8A3E79"/>
    <w:rsid w:val="5CC905AC"/>
    <w:rsid w:val="5CDA3CA1"/>
    <w:rsid w:val="5CE65D3B"/>
    <w:rsid w:val="5CEA2F22"/>
    <w:rsid w:val="5CFC4E0B"/>
    <w:rsid w:val="5D301B5E"/>
    <w:rsid w:val="5D537D35"/>
    <w:rsid w:val="5D6338BC"/>
    <w:rsid w:val="5D737B74"/>
    <w:rsid w:val="5D851D93"/>
    <w:rsid w:val="5DB52ED4"/>
    <w:rsid w:val="5DC3245D"/>
    <w:rsid w:val="5DD2224E"/>
    <w:rsid w:val="5DFB2052"/>
    <w:rsid w:val="5E111628"/>
    <w:rsid w:val="5E2249E7"/>
    <w:rsid w:val="5E2A0012"/>
    <w:rsid w:val="5E3407B3"/>
    <w:rsid w:val="5E424B36"/>
    <w:rsid w:val="5E575074"/>
    <w:rsid w:val="5E6B289C"/>
    <w:rsid w:val="5E706ACF"/>
    <w:rsid w:val="5E771697"/>
    <w:rsid w:val="5E7720BA"/>
    <w:rsid w:val="5E9C653C"/>
    <w:rsid w:val="5EA3001C"/>
    <w:rsid w:val="5ECB712B"/>
    <w:rsid w:val="5EE13914"/>
    <w:rsid w:val="5EFA66AB"/>
    <w:rsid w:val="5F0251E8"/>
    <w:rsid w:val="5F095D8A"/>
    <w:rsid w:val="5F0B2DAF"/>
    <w:rsid w:val="5F135C40"/>
    <w:rsid w:val="5F3563C3"/>
    <w:rsid w:val="5F4D5468"/>
    <w:rsid w:val="5FC25AB6"/>
    <w:rsid w:val="5FC363A7"/>
    <w:rsid w:val="5FD96164"/>
    <w:rsid w:val="600C03BB"/>
    <w:rsid w:val="60212DA9"/>
    <w:rsid w:val="60215989"/>
    <w:rsid w:val="602C59C3"/>
    <w:rsid w:val="60506531"/>
    <w:rsid w:val="607118EE"/>
    <w:rsid w:val="60C277F5"/>
    <w:rsid w:val="60E73EB1"/>
    <w:rsid w:val="60FF253F"/>
    <w:rsid w:val="610B655F"/>
    <w:rsid w:val="611067EB"/>
    <w:rsid w:val="611B4D6D"/>
    <w:rsid w:val="616552B2"/>
    <w:rsid w:val="618417B4"/>
    <w:rsid w:val="61931EF3"/>
    <w:rsid w:val="619839DD"/>
    <w:rsid w:val="619E6C16"/>
    <w:rsid w:val="61AE3AC8"/>
    <w:rsid w:val="61C13BFA"/>
    <w:rsid w:val="61CA2071"/>
    <w:rsid w:val="61D01336"/>
    <w:rsid w:val="61F544E2"/>
    <w:rsid w:val="6201592A"/>
    <w:rsid w:val="62084976"/>
    <w:rsid w:val="621363A6"/>
    <w:rsid w:val="622760E3"/>
    <w:rsid w:val="622D2C02"/>
    <w:rsid w:val="6233790A"/>
    <w:rsid w:val="62523F0C"/>
    <w:rsid w:val="62687D5B"/>
    <w:rsid w:val="62701383"/>
    <w:rsid w:val="62752629"/>
    <w:rsid w:val="627D4BC8"/>
    <w:rsid w:val="62871E0E"/>
    <w:rsid w:val="629501CE"/>
    <w:rsid w:val="62A220EF"/>
    <w:rsid w:val="62D17084"/>
    <w:rsid w:val="62E223F2"/>
    <w:rsid w:val="62FC405D"/>
    <w:rsid w:val="63175D3F"/>
    <w:rsid w:val="632F59FF"/>
    <w:rsid w:val="634B337E"/>
    <w:rsid w:val="636C0CDB"/>
    <w:rsid w:val="63772071"/>
    <w:rsid w:val="63B72EE5"/>
    <w:rsid w:val="63ED50B6"/>
    <w:rsid w:val="640763BE"/>
    <w:rsid w:val="64416D9B"/>
    <w:rsid w:val="64761778"/>
    <w:rsid w:val="647A3012"/>
    <w:rsid w:val="64873E0F"/>
    <w:rsid w:val="64B256F5"/>
    <w:rsid w:val="64C70A52"/>
    <w:rsid w:val="64E300E8"/>
    <w:rsid w:val="64F14070"/>
    <w:rsid w:val="6540192B"/>
    <w:rsid w:val="654F54B3"/>
    <w:rsid w:val="65695672"/>
    <w:rsid w:val="656F2B35"/>
    <w:rsid w:val="65C12820"/>
    <w:rsid w:val="661659C4"/>
    <w:rsid w:val="66457067"/>
    <w:rsid w:val="666D35AE"/>
    <w:rsid w:val="6673247C"/>
    <w:rsid w:val="668B7BF2"/>
    <w:rsid w:val="669C0C38"/>
    <w:rsid w:val="66F7206B"/>
    <w:rsid w:val="66FB6A7C"/>
    <w:rsid w:val="674404A6"/>
    <w:rsid w:val="674D23CD"/>
    <w:rsid w:val="67520465"/>
    <w:rsid w:val="67526E31"/>
    <w:rsid w:val="67786815"/>
    <w:rsid w:val="67897AF0"/>
    <w:rsid w:val="67D16432"/>
    <w:rsid w:val="67EB1D0F"/>
    <w:rsid w:val="67ED5E98"/>
    <w:rsid w:val="67F93045"/>
    <w:rsid w:val="68030C59"/>
    <w:rsid w:val="68053CDC"/>
    <w:rsid w:val="68190173"/>
    <w:rsid w:val="683315F2"/>
    <w:rsid w:val="68384F8F"/>
    <w:rsid w:val="684B418A"/>
    <w:rsid w:val="685346F8"/>
    <w:rsid w:val="685A600A"/>
    <w:rsid w:val="685E7E08"/>
    <w:rsid w:val="68732318"/>
    <w:rsid w:val="68825E19"/>
    <w:rsid w:val="688F22C8"/>
    <w:rsid w:val="68DC128B"/>
    <w:rsid w:val="68F24AF6"/>
    <w:rsid w:val="691A62C6"/>
    <w:rsid w:val="691C603D"/>
    <w:rsid w:val="69705AF8"/>
    <w:rsid w:val="697344C0"/>
    <w:rsid w:val="698A1A2A"/>
    <w:rsid w:val="699F4416"/>
    <w:rsid w:val="69D7212A"/>
    <w:rsid w:val="69FD776F"/>
    <w:rsid w:val="6A4643CF"/>
    <w:rsid w:val="6A4928BD"/>
    <w:rsid w:val="6A6B044D"/>
    <w:rsid w:val="6A8C371C"/>
    <w:rsid w:val="6A9034D2"/>
    <w:rsid w:val="6AA84FFB"/>
    <w:rsid w:val="6AF771C8"/>
    <w:rsid w:val="6AFA6964"/>
    <w:rsid w:val="6B001842"/>
    <w:rsid w:val="6B01423D"/>
    <w:rsid w:val="6B0A2AF3"/>
    <w:rsid w:val="6B214BBE"/>
    <w:rsid w:val="6B565AA8"/>
    <w:rsid w:val="6B5748FF"/>
    <w:rsid w:val="6B7B2B55"/>
    <w:rsid w:val="6B9F0C46"/>
    <w:rsid w:val="6BC321EF"/>
    <w:rsid w:val="6BD41082"/>
    <w:rsid w:val="6BE43EF7"/>
    <w:rsid w:val="6C1C58EB"/>
    <w:rsid w:val="6C2B64B6"/>
    <w:rsid w:val="6C4B06A2"/>
    <w:rsid w:val="6C6555E3"/>
    <w:rsid w:val="6C6F1CAD"/>
    <w:rsid w:val="6C8501AE"/>
    <w:rsid w:val="6CA060FB"/>
    <w:rsid w:val="6CBD09C7"/>
    <w:rsid w:val="6D1B05CF"/>
    <w:rsid w:val="6D2263C3"/>
    <w:rsid w:val="6D357968"/>
    <w:rsid w:val="6D3C20E9"/>
    <w:rsid w:val="6D531B89"/>
    <w:rsid w:val="6D7A6056"/>
    <w:rsid w:val="6D81791D"/>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336E4"/>
    <w:rsid w:val="6F5B58A9"/>
    <w:rsid w:val="6F7870DC"/>
    <w:rsid w:val="6F953F74"/>
    <w:rsid w:val="7014078E"/>
    <w:rsid w:val="703062F3"/>
    <w:rsid w:val="706E1F45"/>
    <w:rsid w:val="706F49DA"/>
    <w:rsid w:val="7071160C"/>
    <w:rsid w:val="709F2080"/>
    <w:rsid w:val="70A2025E"/>
    <w:rsid w:val="70A30984"/>
    <w:rsid w:val="70D41C98"/>
    <w:rsid w:val="70E819EC"/>
    <w:rsid w:val="70F02008"/>
    <w:rsid w:val="70F14C5F"/>
    <w:rsid w:val="712C4D88"/>
    <w:rsid w:val="7132631C"/>
    <w:rsid w:val="71540D31"/>
    <w:rsid w:val="717E1969"/>
    <w:rsid w:val="7184468B"/>
    <w:rsid w:val="71BB560F"/>
    <w:rsid w:val="71DA1C38"/>
    <w:rsid w:val="71E05DC1"/>
    <w:rsid w:val="71F3032E"/>
    <w:rsid w:val="721026A7"/>
    <w:rsid w:val="721C3518"/>
    <w:rsid w:val="721E66BD"/>
    <w:rsid w:val="723104CD"/>
    <w:rsid w:val="72536B56"/>
    <w:rsid w:val="72787E4E"/>
    <w:rsid w:val="72A27B87"/>
    <w:rsid w:val="72C3452E"/>
    <w:rsid w:val="72F70913"/>
    <w:rsid w:val="732377F9"/>
    <w:rsid w:val="73AA2F3F"/>
    <w:rsid w:val="73DC55C9"/>
    <w:rsid w:val="73E412FE"/>
    <w:rsid w:val="73EF726A"/>
    <w:rsid w:val="74115BC8"/>
    <w:rsid w:val="741268A9"/>
    <w:rsid w:val="741369A5"/>
    <w:rsid w:val="743B1481"/>
    <w:rsid w:val="74435A34"/>
    <w:rsid w:val="74657F16"/>
    <w:rsid w:val="74675EF3"/>
    <w:rsid w:val="7487555F"/>
    <w:rsid w:val="74A1707C"/>
    <w:rsid w:val="74BD16B9"/>
    <w:rsid w:val="750521E8"/>
    <w:rsid w:val="751029E3"/>
    <w:rsid w:val="75340FED"/>
    <w:rsid w:val="75364955"/>
    <w:rsid w:val="75396C52"/>
    <w:rsid w:val="753D4076"/>
    <w:rsid w:val="756D17F9"/>
    <w:rsid w:val="75792336"/>
    <w:rsid w:val="757A4188"/>
    <w:rsid w:val="757F3C79"/>
    <w:rsid w:val="759444D0"/>
    <w:rsid w:val="75B207EF"/>
    <w:rsid w:val="75B96A41"/>
    <w:rsid w:val="75DC6E28"/>
    <w:rsid w:val="75E05530"/>
    <w:rsid w:val="75EC2D5B"/>
    <w:rsid w:val="762A5C5B"/>
    <w:rsid w:val="76557DF7"/>
    <w:rsid w:val="767D12A6"/>
    <w:rsid w:val="76987D42"/>
    <w:rsid w:val="76992F80"/>
    <w:rsid w:val="76C52F8C"/>
    <w:rsid w:val="76D35374"/>
    <w:rsid w:val="76DB7DBB"/>
    <w:rsid w:val="76F740F6"/>
    <w:rsid w:val="76FC652B"/>
    <w:rsid w:val="7729054A"/>
    <w:rsid w:val="772F2752"/>
    <w:rsid w:val="77C667E4"/>
    <w:rsid w:val="77FA1E94"/>
    <w:rsid w:val="7835260B"/>
    <w:rsid w:val="78572C09"/>
    <w:rsid w:val="78AC2E84"/>
    <w:rsid w:val="78B26C4E"/>
    <w:rsid w:val="78DD3A7F"/>
    <w:rsid w:val="79292F6F"/>
    <w:rsid w:val="792B19AA"/>
    <w:rsid w:val="793F37F2"/>
    <w:rsid w:val="79AE1496"/>
    <w:rsid w:val="79F67585"/>
    <w:rsid w:val="7A032C19"/>
    <w:rsid w:val="7A1079B3"/>
    <w:rsid w:val="7A1507E2"/>
    <w:rsid w:val="7A193607"/>
    <w:rsid w:val="7A343E7F"/>
    <w:rsid w:val="7A3451CC"/>
    <w:rsid w:val="7A436A2A"/>
    <w:rsid w:val="7A52047C"/>
    <w:rsid w:val="7A6355C1"/>
    <w:rsid w:val="7A784B83"/>
    <w:rsid w:val="7A8F545A"/>
    <w:rsid w:val="7AB74CE8"/>
    <w:rsid w:val="7AC2517E"/>
    <w:rsid w:val="7AF449DF"/>
    <w:rsid w:val="7AF828C6"/>
    <w:rsid w:val="7B1468FA"/>
    <w:rsid w:val="7B284CE0"/>
    <w:rsid w:val="7B366E08"/>
    <w:rsid w:val="7B53662E"/>
    <w:rsid w:val="7B6A615D"/>
    <w:rsid w:val="7B7E5148"/>
    <w:rsid w:val="7B9D72A8"/>
    <w:rsid w:val="7BF90168"/>
    <w:rsid w:val="7C0E27F5"/>
    <w:rsid w:val="7C1B2050"/>
    <w:rsid w:val="7C3009AD"/>
    <w:rsid w:val="7C3837D0"/>
    <w:rsid w:val="7C553194"/>
    <w:rsid w:val="7C627104"/>
    <w:rsid w:val="7C6B7CF2"/>
    <w:rsid w:val="7C6C2208"/>
    <w:rsid w:val="7C6F7FDF"/>
    <w:rsid w:val="7C7472F4"/>
    <w:rsid w:val="7C8829AF"/>
    <w:rsid w:val="7C9062CD"/>
    <w:rsid w:val="7C926EDE"/>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227DCD"/>
    <w:rsid w:val="7F3A1A7A"/>
    <w:rsid w:val="7F3B0416"/>
    <w:rsid w:val="7F4209F2"/>
    <w:rsid w:val="7F50673F"/>
    <w:rsid w:val="7F9937B2"/>
    <w:rsid w:val="7F9C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4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5"/>
    <w:qFormat/>
    <w:uiPriority w:val="0"/>
    <w:pPr>
      <w:shd w:val="clear" w:color="auto" w:fill="000080"/>
    </w:pPr>
    <w:rPr>
      <w:rFonts w:ascii="Times New Roman" w:hAnsi="Times New Roman"/>
    </w:rPr>
  </w:style>
  <w:style w:type="paragraph" w:styleId="14">
    <w:name w:val="annotation text"/>
    <w:basedOn w:val="1"/>
    <w:link w:val="63"/>
    <w:qFormat/>
    <w:uiPriority w:val="0"/>
    <w:pPr>
      <w:jc w:val="left"/>
    </w:pPr>
    <w:rPr>
      <w:rFonts w:ascii="Times New Roman" w:hAnsi="Times New Roman"/>
    </w:rPr>
  </w:style>
  <w:style w:type="paragraph" w:styleId="15">
    <w:name w:val="Body Text 3"/>
    <w:basedOn w:val="1"/>
    <w:qFormat/>
    <w:uiPriority w:val="0"/>
    <w:rPr>
      <w:rFonts w:ascii="宋体"/>
      <w:sz w:val="24"/>
      <w:szCs w:val="20"/>
    </w:rPr>
  </w:style>
  <w:style w:type="paragraph" w:styleId="16">
    <w:name w:val="Body Text"/>
    <w:basedOn w:val="1"/>
    <w:next w:val="1"/>
    <w:link w:val="61"/>
    <w:qFormat/>
    <w:uiPriority w:val="0"/>
    <w:pPr>
      <w:spacing w:after="120"/>
    </w:pPr>
    <w:rPr>
      <w:rFonts w:ascii="Times New Roman" w:hAnsi="Times New Roman"/>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Plain Text"/>
    <w:basedOn w:val="1"/>
    <w:next w:val="1"/>
    <w:link w:val="56"/>
    <w:qFormat/>
    <w:uiPriority w:val="0"/>
    <w:rPr>
      <w:rFonts w:hAnsi="Courier New"/>
      <w:sz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52"/>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link w:val="58"/>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宋体" w:hAnsi="宋体"/>
      <w:kern w:val="0"/>
      <w:sz w:val="20"/>
      <w:u w:val="single"/>
    </w:rPr>
  </w:style>
  <w:style w:type="paragraph" w:styleId="3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54"/>
    <w:qFormat/>
    <w:uiPriority w:val="0"/>
    <w:pPr>
      <w:jc w:val="both"/>
    </w:pPr>
    <w:rPr>
      <w:b/>
      <w:bCs/>
    </w:rPr>
  </w:style>
  <w:style w:type="paragraph" w:styleId="38">
    <w:name w:val="Body Text First Indent"/>
    <w:basedOn w:val="16"/>
    <w:link w:val="59"/>
    <w:qFormat/>
    <w:uiPriority w:val="0"/>
    <w:pPr>
      <w:spacing w:line="312" w:lineRule="auto"/>
      <w:ind w:firstLine="42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000000"/>
      <w:u w:val="none"/>
    </w:rPr>
  </w:style>
  <w:style w:type="character" w:styleId="44">
    <w:name w:val="Hyperlink"/>
    <w:qFormat/>
    <w:uiPriority w:val="0"/>
    <w:rPr>
      <w:color w:val="000000"/>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paragraph" w:customStyle="1" w:styleId="47">
    <w:name w:val="样式 小四 行距: 1.5 倍行距"/>
    <w:qFormat/>
    <w:uiPriority w:val="0"/>
    <w:pPr>
      <w:widowControl w:val="0"/>
      <w:ind w:firstLine="480"/>
      <w:jc w:val="both"/>
    </w:pPr>
    <w:rPr>
      <w:rFonts w:ascii="Calibri" w:hAnsi="Calibri" w:eastAsia="宋体" w:cs="宋体"/>
      <w:kern w:val="2"/>
      <w:sz w:val="21"/>
      <w:szCs w:val="24"/>
      <w:lang w:val="en-US" w:eastAsia="zh-CN" w:bidi="ar-SA"/>
    </w:rPr>
  </w:style>
  <w:style w:type="character" w:customStyle="1" w:styleId="48">
    <w:name w:val="标题 2 Char"/>
    <w:link w:val="4"/>
    <w:qFormat/>
    <w:uiPriority w:val="0"/>
    <w:rPr>
      <w:rFonts w:ascii="Arial" w:hAnsi="Arial" w:eastAsia="黑体"/>
      <w:b/>
      <w:bCs/>
      <w:kern w:val="2"/>
      <w:sz w:val="32"/>
      <w:szCs w:val="32"/>
      <w:lang w:val="en-US" w:eastAsia="zh-CN" w:bidi="ar-SA"/>
    </w:rPr>
  </w:style>
  <w:style w:type="paragraph" w:customStyle="1" w:styleId="49">
    <w:name w:val="样式1"/>
    <w:basedOn w:val="1"/>
    <w:next w:val="6"/>
    <w:qFormat/>
    <w:uiPriority w:val="0"/>
    <w:pPr>
      <w:spacing w:line="360" w:lineRule="auto"/>
      <w:ind w:firstLine="420" w:firstLineChars="200"/>
    </w:pPr>
    <w:rPr>
      <w:rFonts w:ascii="宋体" w:hAnsi="宋体"/>
      <w:szCs w:val="21"/>
    </w:rPr>
  </w:style>
  <w:style w:type="character" w:customStyle="1" w:styleId="50">
    <w:name w:val="标题 1 Char"/>
    <w:link w:val="3"/>
    <w:qFormat/>
    <w:uiPriority w:val="0"/>
    <w:rPr>
      <w:rFonts w:eastAsia="宋体"/>
      <w:b/>
      <w:bCs/>
      <w:kern w:val="44"/>
      <w:sz w:val="44"/>
      <w:szCs w:val="44"/>
      <w:lang w:val="en-US" w:eastAsia="zh-CN" w:bidi="ar-SA"/>
    </w:rPr>
  </w:style>
  <w:style w:type="character" w:customStyle="1" w:styleId="51">
    <w:name w:val="times1"/>
    <w:qFormat/>
    <w:uiPriority w:val="0"/>
    <w:rPr>
      <w:color w:val="CDCDCD"/>
      <w:bdr w:val="single" w:color="CDCDCD" w:sz="6" w:space="0"/>
      <w:shd w:val="clear" w:color="auto" w:fill="EFEFEF"/>
    </w:rPr>
  </w:style>
  <w:style w:type="character" w:customStyle="1" w:styleId="52">
    <w:name w:val="页脚 Char"/>
    <w:link w:val="24"/>
    <w:qFormat/>
    <w:uiPriority w:val="99"/>
    <w:rPr>
      <w:rFonts w:eastAsia="宋体"/>
      <w:kern w:val="2"/>
      <w:sz w:val="18"/>
      <w:szCs w:val="18"/>
      <w:lang w:val="en-US" w:eastAsia="zh-CN" w:bidi="ar-SA"/>
    </w:rPr>
  </w:style>
  <w:style w:type="character" w:customStyle="1" w:styleId="53">
    <w:name w:val="font161"/>
    <w:qFormat/>
    <w:uiPriority w:val="0"/>
    <w:rPr>
      <w:b/>
      <w:bCs/>
      <w:sz w:val="32"/>
      <w:szCs w:val="32"/>
    </w:rPr>
  </w:style>
  <w:style w:type="character" w:customStyle="1" w:styleId="54">
    <w:name w:val="批注主题 Char"/>
    <w:link w:val="37"/>
    <w:qFormat/>
    <w:uiPriority w:val="0"/>
    <w:rPr>
      <w:rFonts w:eastAsia="宋体"/>
      <w:b/>
      <w:bCs/>
      <w:kern w:val="2"/>
      <w:sz w:val="21"/>
      <w:szCs w:val="24"/>
      <w:lang w:val="en-US" w:eastAsia="zh-CN" w:bidi="ar-SA"/>
    </w:rPr>
  </w:style>
  <w:style w:type="character" w:customStyle="1" w:styleId="55">
    <w:name w:val="文档结构图 Char"/>
    <w:link w:val="13"/>
    <w:qFormat/>
    <w:uiPriority w:val="0"/>
    <w:rPr>
      <w:rFonts w:eastAsia="宋体"/>
      <w:kern w:val="2"/>
      <w:sz w:val="21"/>
      <w:szCs w:val="24"/>
      <w:lang w:val="en-US" w:eastAsia="zh-CN" w:bidi="ar-SA"/>
    </w:rPr>
  </w:style>
  <w:style w:type="character" w:customStyle="1" w:styleId="56">
    <w:name w:val="纯文本 Char"/>
    <w:basedOn w:val="41"/>
    <w:link w:val="20"/>
    <w:qFormat/>
    <w:uiPriority w:val="0"/>
    <w:rPr>
      <w:rFonts w:hint="eastAsia" w:ascii="宋体" w:hAnsi="Courier New" w:eastAsia="宋体" w:cs="Courier New"/>
      <w:kern w:val="2"/>
      <w:sz w:val="21"/>
      <w:szCs w:val="21"/>
    </w:rPr>
  </w:style>
  <w:style w:type="character" w:customStyle="1" w:styleId="57">
    <w:name w:val="hover41"/>
    <w:basedOn w:val="41"/>
    <w:qFormat/>
    <w:uiPriority w:val="0"/>
  </w:style>
  <w:style w:type="character" w:customStyle="1" w:styleId="58">
    <w:name w:val="页眉 Char"/>
    <w:link w:val="25"/>
    <w:qFormat/>
    <w:uiPriority w:val="99"/>
    <w:rPr>
      <w:rFonts w:eastAsia="宋体"/>
      <w:kern w:val="2"/>
      <w:sz w:val="18"/>
      <w:szCs w:val="18"/>
      <w:lang w:val="en-US" w:eastAsia="zh-CN" w:bidi="ar-SA"/>
    </w:rPr>
  </w:style>
  <w:style w:type="character" w:customStyle="1" w:styleId="59">
    <w:name w:val="正文首行缩进 Char"/>
    <w:link w:val="38"/>
    <w:qFormat/>
    <w:uiPriority w:val="0"/>
    <w:rPr>
      <w:rFonts w:eastAsia="宋体"/>
      <w:kern w:val="2"/>
      <w:sz w:val="21"/>
      <w:szCs w:val="24"/>
      <w:lang w:val="en-US" w:eastAsia="zh-CN" w:bidi="ar-SA"/>
    </w:rPr>
  </w:style>
  <w:style w:type="character" w:customStyle="1" w:styleId="60">
    <w:name w:val="标题 3 Char"/>
    <w:link w:val="5"/>
    <w:qFormat/>
    <w:uiPriority w:val="0"/>
    <w:rPr>
      <w:rFonts w:ascii="黑体" w:hAnsi="宋体" w:eastAsia="黑体"/>
      <w:bCs/>
      <w:kern w:val="2"/>
      <w:sz w:val="28"/>
      <w:szCs w:val="28"/>
      <w:lang w:val="en-US" w:eastAsia="zh-CN" w:bidi="ar-SA"/>
    </w:rPr>
  </w:style>
  <w:style w:type="character" w:customStyle="1" w:styleId="61">
    <w:name w:val="正文文本 Char"/>
    <w:link w:val="16"/>
    <w:qFormat/>
    <w:uiPriority w:val="0"/>
    <w:rPr>
      <w:rFonts w:eastAsia="宋体"/>
      <w:kern w:val="2"/>
      <w:sz w:val="21"/>
      <w:szCs w:val="24"/>
      <w:lang w:val="en-US" w:eastAsia="zh-CN" w:bidi="ar-SA"/>
    </w:rPr>
  </w:style>
  <w:style w:type="character" w:customStyle="1" w:styleId="62">
    <w:name w:val="times"/>
    <w:qFormat/>
    <w:uiPriority w:val="0"/>
    <w:rPr>
      <w:color w:val="3399FF"/>
      <w:bdr w:val="single" w:color="D1EDF8" w:sz="6" w:space="0"/>
      <w:shd w:val="clear" w:color="auto" w:fill="EAF9FF"/>
    </w:rPr>
  </w:style>
  <w:style w:type="character" w:customStyle="1" w:styleId="63">
    <w:name w:val="批注文字 Char"/>
    <w:link w:val="14"/>
    <w:qFormat/>
    <w:uiPriority w:val="0"/>
    <w:rPr>
      <w:rFonts w:eastAsia="宋体"/>
      <w:kern w:val="2"/>
      <w:sz w:val="21"/>
      <w:szCs w:val="24"/>
      <w:lang w:val="en-US" w:eastAsia="zh-CN" w:bidi="ar-SA"/>
    </w:rPr>
  </w:style>
  <w:style w:type="character" w:customStyle="1" w:styleId="64">
    <w:name w:val="p12"/>
    <w:basedOn w:val="41"/>
    <w:qFormat/>
    <w:uiPriority w:val="0"/>
  </w:style>
  <w:style w:type="character" w:customStyle="1" w:styleId="65">
    <w:name w:val="标题 4 Char"/>
    <w:link w:val="6"/>
    <w:qFormat/>
    <w:uiPriority w:val="0"/>
    <w:rPr>
      <w:rFonts w:ascii="Arial" w:hAnsi="Arial" w:eastAsia="黑体"/>
      <w:b/>
      <w:bCs/>
      <w:kern w:val="2"/>
      <w:sz w:val="28"/>
      <w:szCs w:val="28"/>
      <w:lang w:val="en-US" w:eastAsia="zh-CN" w:bidi="ar-SA"/>
    </w:rPr>
  </w:style>
  <w:style w:type="paragraph" w:customStyle="1" w:styleId="66">
    <w:name w:val="修订1"/>
    <w:qFormat/>
    <w:uiPriority w:val="0"/>
    <w:rPr>
      <w:rFonts w:ascii="Calibri" w:hAnsi="Calibri" w:eastAsia="宋体" w:cs="Times New Roman"/>
      <w:kern w:val="2"/>
      <w:sz w:val="21"/>
      <w:szCs w:val="24"/>
      <w:lang w:val="en-US" w:eastAsia="zh-CN" w:bidi="ar-SA"/>
    </w:rPr>
  </w:style>
  <w:style w:type="paragraph" w:customStyle="1" w:styleId="67">
    <w:name w:val="Char Char Char Char"/>
    <w:basedOn w:val="1"/>
    <w:qFormat/>
    <w:uiPriority w:val="0"/>
    <w:rPr>
      <w:rFonts w:eastAsia="楷体_GB2312"/>
      <w:szCs w:val="20"/>
    </w:rPr>
  </w:style>
  <w:style w:type="paragraph" w:customStyle="1" w:styleId="68">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9">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71">
    <w:name w:val="样式2"/>
    <w:basedOn w:val="5"/>
    <w:qFormat/>
    <w:uiPriority w:val="0"/>
    <w:rPr>
      <w:i/>
    </w:rPr>
  </w:style>
  <w:style w:type="paragraph" w:customStyle="1" w:styleId="72">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3">
    <w:name w:val="List Paragraph"/>
    <w:basedOn w:val="1"/>
    <w:qFormat/>
    <w:uiPriority w:val="34"/>
    <w:pPr>
      <w:ind w:firstLine="420" w:firstLineChars="200"/>
    </w:pPr>
    <w:rPr>
      <w:szCs w:val="22"/>
    </w:rPr>
  </w:style>
  <w:style w:type="paragraph" w:customStyle="1" w:styleId="74">
    <w:name w:val="表格"/>
    <w:basedOn w:val="1"/>
    <w:qFormat/>
    <w:uiPriority w:val="0"/>
    <w:pPr>
      <w:jc w:val="center"/>
      <w:textAlignment w:val="center"/>
    </w:pPr>
    <w:rPr>
      <w:rFonts w:ascii="华文细黑" w:hAnsi="华文细黑"/>
      <w:kern w:val="0"/>
      <w:szCs w:val="20"/>
    </w:rPr>
  </w:style>
  <w:style w:type="paragraph" w:customStyle="1" w:styleId="75">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6">
    <w:name w:val="1"/>
    <w:basedOn w:val="1"/>
    <w:qFormat/>
    <w:uiPriority w:val="0"/>
  </w:style>
  <w:style w:type="paragraph" w:customStyle="1" w:styleId="77">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Char"/>
    <w:basedOn w:val="1"/>
    <w:qFormat/>
    <w:uiPriority w:val="0"/>
    <w:pPr>
      <w:tabs>
        <w:tab w:val="left" w:pos="360"/>
      </w:tabs>
    </w:pPr>
    <w:rPr>
      <w:sz w:val="24"/>
    </w:rPr>
  </w:style>
  <w:style w:type="paragraph" w:customStyle="1" w:styleId="79">
    <w:name w:val="表格文字"/>
    <w:basedOn w:val="1"/>
    <w:qFormat/>
    <w:uiPriority w:val="0"/>
    <w:pPr>
      <w:adjustRightInd w:val="0"/>
      <w:spacing w:line="420" w:lineRule="atLeast"/>
      <w:jc w:val="left"/>
      <w:textAlignment w:val="baseline"/>
    </w:pPr>
    <w:rPr>
      <w:kern w:val="0"/>
      <w:szCs w:val="20"/>
    </w:rPr>
  </w:style>
  <w:style w:type="paragraph" w:customStyle="1" w:styleId="80">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列出段落1"/>
    <w:basedOn w:val="1"/>
    <w:qFormat/>
    <w:uiPriority w:val="34"/>
    <w:pPr>
      <w:ind w:firstLine="420" w:firstLineChars="200"/>
    </w:pPr>
    <w:rPr>
      <w:szCs w:val="20"/>
    </w:rPr>
  </w:style>
  <w:style w:type="paragraph" w:customStyle="1" w:styleId="82">
    <w:name w:val="文二"/>
    <w:basedOn w:val="1"/>
    <w:qFormat/>
    <w:uiPriority w:val="0"/>
    <w:pPr>
      <w:jc w:val="left"/>
    </w:pPr>
    <w:rPr>
      <w:rFonts w:ascii="宋体" w:hAnsi="宋体"/>
      <w:szCs w:val="21"/>
    </w:rPr>
  </w:style>
  <w:style w:type="paragraph" w:customStyle="1" w:styleId="83">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5">
    <w:name w:val="表头"/>
    <w:basedOn w:val="1"/>
    <w:qFormat/>
    <w:uiPriority w:val="0"/>
    <w:pPr>
      <w:spacing w:line="360" w:lineRule="auto"/>
      <w:jc w:val="center"/>
    </w:pPr>
    <w:rPr>
      <w:rFonts w:ascii="黑体" w:eastAsia="黑体"/>
      <w:kern w:val="0"/>
      <w:sz w:val="24"/>
      <w:szCs w:val="20"/>
    </w:rPr>
  </w:style>
  <w:style w:type="paragraph" w:customStyle="1" w:styleId="86">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7">
    <w:name w:val="正题"/>
    <w:basedOn w:val="75"/>
    <w:next w:val="75"/>
    <w:qFormat/>
    <w:uiPriority w:val="0"/>
    <w:pPr>
      <w:ind w:firstLine="0" w:firstLineChars="0"/>
      <w:jc w:val="center"/>
    </w:pPr>
    <w:rPr>
      <w:rFonts w:eastAsia="黑体"/>
      <w:b/>
      <w:sz w:val="36"/>
      <w:szCs w:val="36"/>
    </w:rPr>
  </w:style>
  <w:style w:type="paragraph" w:customStyle="1" w:styleId="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9">
    <w:name w:val="Char1"/>
    <w:basedOn w:val="1"/>
    <w:qFormat/>
    <w:uiPriority w:val="0"/>
    <w:pPr>
      <w:tabs>
        <w:tab w:val="left" w:pos="360"/>
      </w:tabs>
    </w:pPr>
    <w:rPr>
      <w:sz w:val="24"/>
    </w:rPr>
  </w:style>
  <w:style w:type="paragraph" w:customStyle="1" w:styleId="90">
    <w:name w:val="Table Paragraph"/>
    <w:basedOn w:val="1"/>
    <w:qFormat/>
    <w:uiPriority w:val="1"/>
    <w:rPr>
      <w:rFonts w:ascii="宋体" w:hAnsi="宋体" w:cs="宋体"/>
      <w:lang w:val="zh-CN" w:bidi="zh-CN"/>
    </w:rPr>
  </w:style>
  <w:style w:type="paragraph" w:customStyle="1" w:styleId="91">
    <w:name w:val="BodyText"/>
    <w:basedOn w:val="1"/>
    <w:qFormat/>
    <w:uiPriority w:val="0"/>
    <w:pPr>
      <w:spacing w:after="120"/>
    </w:pPr>
    <w:rPr>
      <w:rFonts w:ascii="Times New Roman" w:hAnsi="Times New Roman"/>
      <w:kern w:val="0"/>
      <w:sz w:val="20"/>
      <w:szCs w:val="20"/>
    </w:rPr>
  </w:style>
  <w:style w:type="paragraph" w:customStyle="1" w:styleId="9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NormalCharacter"/>
    <w:qFormat/>
    <w:uiPriority w:val="0"/>
    <w:rPr>
      <w:rFonts w:ascii="Times New Roman" w:hAnsi="Times New Roman" w:eastAsia="宋体"/>
    </w:rPr>
  </w:style>
  <w:style w:type="character" w:customStyle="1" w:styleId="96">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16824</Words>
  <Characters>17569</Characters>
  <Lines>155</Lines>
  <Paragraphs>43</Paragraphs>
  <TotalTime>18</TotalTime>
  <ScaleCrop>false</ScaleCrop>
  <LinksUpToDate>false</LinksUpToDate>
  <CharactersWithSpaces>19118</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2023-08-10T08:28:08Z</cp:lastPrinted>
  <dcterms:modified xsi:type="dcterms:W3CDTF">2023-08-10T08:39:42Z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6C2CD54C325B41B18F3B15C0F5D26F8F_13</vt:lpwstr>
  </property>
  <property fmtid="{D5CDD505-2E9C-101B-9397-08002B2CF9AE}" pid="4" name="commondata">
    <vt:lpwstr>eyJoZGlkIjoiYWQzZjliNzQ4M2JhYjM0MjI3YTk2NzE0ZGY0MWQ5N2YifQ==</vt:lpwstr>
  </property>
</Properties>
</file>