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jc w:val="center"/>
        <w:rPr>
          <w:rFonts w:hint="eastAsia"/>
          <w:color w:val="auto"/>
          <w:highlight w:val="none"/>
        </w:rPr>
      </w:pPr>
      <w:r>
        <w:rPr>
          <w:rFonts w:hint="eastAsia" w:ascii="宋体" w:hAnsi="宋体" w:eastAsia="宋体" w:cs="宋体"/>
          <w:b/>
          <w:color w:val="auto"/>
          <w:sz w:val="44"/>
          <w:szCs w:val="44"/>
          <w:highlight w:val="none"/>
          <w:lang w:eastAsia="zh-CN"/>
        </w:rPr>
        <w:t>港口新鲜集市（A地块）项目一期集装箱采购及安装</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广州南沙国际物流有限公司</w:t>
      </w:r>
      <w:r>
        <w:rPr>
          <w:rFonts w:hint="eastAsia" w:ascii="宋体" w:hAnsi="宋体" w:eastAsia="宋体" w:cs="宋体"/>
          <w:b/>
          <w:color w:val="auto"/>
          <w:sz w:val="32"/>
          <w:szCs w:val="32"/>
          <w:highlight w:val="none"/>
        </w:rPr>
        <w:t>（业主单位）</w:t>
      </w:r>
    </w:p>
    <w:p>
      <w:pPr>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1285" w:firstLineChars="400"/>
        <w:rPr>
          <w:rFonts w:hint="default" w:ascii="宋体" w:hAnsi="宋体" w:eastAsia="宋体" w:cs="宋体"/>
          <w:color w:val="auto"/>
          <w:spacing w:val="28"/>
          <w:position w:val="8"/>
          <w:sz w:val="28"/>
          <w:szCs w:val="28"/>
          <w:highlight w:val="none"/>
          <w:lang w:val="en-US"/>
        </w:r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8月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3"/>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rPr>
              <w:color w:val="auto"/>
              <w:highlight w:val="none"/>
            </w:rPr>
          </w:pPr>
          <w:r>
            <w:rPr>
              <w:rFonts w:hint="eastAsia" w:asciiTheme="minorEastAsia" w:hAnsiTheme="minorEastAsia" w:cstheme="minorEastAsia"/>
              <w:color w:val="auto"/>
              <w:sz w:val="24"/>
              <w:highlight w:val="none"/>
            </w:rPr>
            <w:fldChar w:fldCharType="end"/>
          </w:r>
        </w:p>
      </w:sdtContent>
    </w:sdt>
    <w:p>
      <w:pPr>
        <w:pStyle w:val="14"/>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3302"/>
      <w:r>
        <w:rPr>
          <w:rFonts w:hint="eastAsia" w:ascii="黑体" w:hAnsi="宋体" w:cs="黑体"/>
          <w:b/>
          <w:color w:val="auto"/>
          <w:kern w:val="44"/>
          <w:sz w:val="44"/>
          <w:szCs w:val="44"/>
          <w:highlight w:val="none"/>
        </w:rPr>
        <w:t>第1章 投标须知及前附表</w:t>
      </w:r>
      <w:bookmarkEnd w:id="2"/>
      <w:bookmarkEnd w:id="3"/>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5"/>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港口新鲜集市（A地块）项目一期集装箱采购及安装</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p>
            <w:pPr>
              <w:pStyle w:val="14"/>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lang w:val="en-US" w:eastAsia="zh-CN"/>
              </w:rPr>
              <w:t>广州市南沙区龙穴岛西南侧，毗邻南沙港一期、南沙港四期码头</w:t>
            </w:r>
          </w:p>
        </w:tc>
      </w:tr>
      <w:tr>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eastAsia="zh-CN"/>
              </w:rPr>
              <w:t>地块位于</w:t>
            </w:r>
            <w:r>
              <w:rPr>
                <w:rFonts w:hint="eastAsia" w:ascii="宋体" w:hAnsi="宋体" w:eastAsia="宋体" w:cs="宋体"/>
                <w:color w:val="auto"/>
                <w:sz w:val="21"/>
                <w:szCs w:val="21"/>
                <w:highlight w:val="none"/>
                <w:lang w:val="en-US" w:eastAsia="zh-CN"/>
              </w:rPr>
              <w:t>广州市南沙区龙穴岛西南侧，毗邻南沙港一期、南沙港四期码头，</w:t>
            </w:r>
            <w:r>
              <w:rPr>
                <w:rFonts w:hint="eastAsia" w:ascii="宋体" w:hAnsi="宋体" w:eastAsia="宋体" w:cs="宋体"/>
                <w:color w:val="auto"/>
                <w:sz w:val="21"/>
                <w:szCs w:val="21"/>
                <w:highlight w:val="none"/>
              </w:rPr>
              <w:t>规划总面积约27950平方米。项目整体策划，分期开发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主要打造进出口水果海鲜商品集市，同时配备餐饮及消费街区，包括</w:t>
            </w:r>
            <w:r>
              <w:rPr>
                <w:rFonts w:hint="eastAsia" w:ascii="宋体" w:hAnsi="宋体" w:eastAsia="宋体" w:cs="宋体"/>
                <w:b w:val="0"/>
                <w:bCs w:val="0"/>
                <w:color w:val="auto"/>
                <w:sz w:val="21"/>
                <w:szCs w:val="21"/>
                <w:highlight w:val="none"/>
                <w:lang w:val="en-US" w:eastAsia="zh-CN"/>
              </w:rPr>
              <w:t>ABCDE成品集装箱配套的基础、彩色混凝土、硅铺塑胶地面、卵石分隔带、平道牙、汀步、沙坑、台阶、无障碍坡道、排水沟、绿化工程</w:t>
            </w:r>
            <w:r>
              <w:rPr>
                <w:rFonts w:hint="eastAsia" w:ascii="宋体" w:hAnsi="宋体" w:eastAsia="宋体" w:cs="宋体"/>
                <w:color w:val="auto"/>
                <w:spacing w:val="0"/>
                <w:sz w:val="21"/>
                <w:szCs w:val="21"/>
                <w:highlight w:val="none"/>
                <w:lang w:val="en-US" w:eastAsia="zh-CN"/>
              </w:rPr>
              <w:t>等</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一期</w:t>
            </w:r>
            <w:r>
              <w:rPr>
                <w:rFonts w:hint="eastAsia" w:ascii="宋体" w:hAnsi="宋体" w:eastAsia="宋体" w:cs="宋体"/>
                <w:color w:val="auto"/>
                <w:sz w:val="21"/>
                <w:szCs w:val="21"/>
                <w:highlight w:val="none"/>
              </w:rPr>
              <w:t>用地面积约15600平方米。</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lang w:val="en-US" w:eastAsia="zh-CN"/>
              </w:rPr>
              <w:t>按</w:t>
            </w:r>
            <w:r>
              <w:rPr>
                <w:rFonts w:hint="eastAsia" w:ascii="宋体" w:hAnsi="宋体" w:eastAsia="宋体" w:cs="宋体"/>
                <w:bCs w:val="0"/>
                <w:color w:val="auto"/>
                <w:sz w:val="21"/>
                <w:szCs w:val="21"/>
                <w:highlight w:val="none"/>
                <w:u w:val="none"/>
                <w:lang w:eastAsia="zh-CN"/>
              </w:rPr>
              <w:t>中标综合单价包干，工程量按实</w:t>
            </w:r>
            <w:r>
              <w:rPr>
                <w:rFonts w:hint="eastAsia" w:ascii="宋体" w:hAnsi="宋体" w:eastAsia="宋体" w:cs="宋体"/>
                <w:bCs w:val="0"/>
                <w:color w:val="auto"/>
                <w:sz w:val="21"/>
                <w:szCs w:val="21"/>
                <w:highlight w:val="none"/>
                <w:u w:val="none"/>
                <w:lang w:val="en-US" w:eastAsia="zh-CN"/>
              </w:rPr>
              <w:t>计算，</w:t>
            </w:r>
            <w:r>
              <w:rPr>
                <w:rFonts w:hint="eastAsia" w:ascii="宋体" w:hAnsi="宋体" w:eastAsia="宋体" w:cs="宋体"/>
                <w:bCs w:val="0"/>
                <w:color w:val="auto"/>
                <w:sz w:val="21"/>
                <w:szCs w:val="21"/>
                <w:highlight w:val="none"/>
                <w:u w:val="none"/>
                <w:lang w:eastAsia="zh-CN"/>
              </w:rPr>
              <w:t>措施费总价包干</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lang w:val="en-US" w:eastAsia="zh-CN"/>
              </w:rPr>
              <w:t>一期投资1150.37万元</w:t>
            </w:r>
            <w:r>
              <w:rPr>
                <w:rFonts w:hint="eastAsia" w:ascii="宋体" w:hAnsi="宋体" w:eastAsia="宋体" w:cs="宋体"/>
                <w:color w:val="auto"/>
                <w:sz w:val="21"/>
                <w:szCs w:val="21"/>
                <w:highlight w:val="none"/>
              </w:rPr>
              <w:t>。</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u w:val="none"/>
              </w:rPr>
            </w:pPr>
            <w:r>
              <w:rPr>
                <w:rFonts w:hint="eastAsia" w:ascii="宋体" w:hAnsi="宋体" w:eastAsia="宋体" w:cs="宋体"/>
                <w:color w:val="auto"/>
                <w:highlight w:val="none"/>
                <w:u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eastAsia="zh-CN"/>
              </w:rPr>
              <w:t>符合</w:t>
            </w:r>
            <w:r>
              <w:rPr>
                <w:rFonts w:hint="eastAsia" w:ascii="宋体" w:hAnsi="宋体" w:eastAsia="宋体" w:cs="宋体"/>
                <w:color w:val="auto"/>
                <w:sz w:val="21"/>
                <w:szCs w:val="21"/>
                <w:highlight w:val="none"/>
                <w:u w:val="none"/>
              </w:rPr>
              <w:t>国家安全环保标准、国家有关产品质量认证标准</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1"/>
              <w:widowControl/>
              <w:spacing w:line="360" w:lineRule="auto"/>
              <w:ind w:firstLine="0"/>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z w:val="21"/>
                <w:szCs w:val="21"/>
                <w:highlight w:val="none"/>
                <w:lang w:val="en-US" w:eastAsia="zh-CN"/>
              </w:rPr>
              <w:t>集装箱商铺总面积1205.5平方米，其中A区建筑面积54平方米，楼梯面积6.59平方米；B区建筑面积162平方米；C区建筑面积162平方米；D区卫生间建筑面积36平方米，包含马桶、蹲厕、小便池、厕所隔断、水电安装等；E区建筑面积449.47平方米，平台面积217.44平方米，楼梯面积13.41平方米；F区冷库建筑面积72平方米；物业管理处面积18平方米；项目建设包括箱体运输吊装，平台围栏安装，室内装修包含保温隔热层，扣板天花安装，门窗安装，水泥纤维地板安装。</w:t>
            </w:r>
          </w:p>
          <w:p>
            <w:pPr>
              <w:pStyle w:val="21"/>
              <w:widowControl/>
              <w:spacing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pacing w:val="0"/>
                <w:sz w:val="21"/>
                <w:szCs w:val="21"/>
                <w:highlight w:val="none"/>
                <w:lang w:val="en-US" w:eastAsia="zh-CN"/>
              </w:rPr>
              <w:t>具体以中标人根据方案图完成深化设计图并经招标人确认为准。</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暂定为35日历天，自招标人发出中标通知书之日起计，2023年9月15日前完工。</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rPr>
              <w:t>投标人</w:t>
            </w:r>
            <w:r>
              <w:rPr>
                <w:rFonts w:hint="eastAsia" w:ascii="宋体" w:hAnsi="宋体" w:eastAsia="宋体" w:cs="宋体"/>
                <w:bCs w:val="0"/>
                <w:color w:val="auto"/>
                <w:kern w:val="2"/>
                <w:sz w:val="21"/>
                <w:szCs w:val="21"/>
                <w:highlight w:val="none"/>
                <w:lang w:eastAsia="zh-CN"/>
              </w:rPr>
              <w:t>营业执照经营范围包含集装箱（</w:t>
            </w:r>
            <w:r>
              <w:rPr>
                <w:rFonts w:hint="eastAsia" w:ascii="宋体" w:hAnsi="宋体" w:eastAsia="宋体" w:cs="宋体"/>
                <w:bCs w:val="0"/>
                <w:color w:val="auto"/>
                <w:kern w:val="2"/>
                <w:sz w:val="21"/>
                <w:szCs w:val="21"/>
                <w:highlight w:val="none"/>
                <w:lang w:val="en-US" w:eastAsia="zh-CN"/>
              </w:rPr>
              <w:t>房屋</w:t>
            </w:r>
            <w:r>
              <w:rPr>
                <w:rFonts w:hint="eastAsia" w:ascii="宋体" w:hAnsi="宋体" w:eastAsia="宋体" w:cs="宋体"/>
                <w:bCs w:val="0"/>
                <w:color w:val="auto"/>
                <w:kern w:val="2"/>
                <w:sz w:val="21"/>
                <w:szCs w:val="21"/>
                <w:highlight w:val="none"/>
                <w:lang w:eastAsia="zh-CN"/>
              </w:rPr>
              <w:t>）</w:t>
            </w:r>
            <w:r>
              <w:rPr>
                <w:rFonts w:hint="eastAsia" w:ascii="宋体" w:hAnsi="宋体" w:eastAsia="宋体" w:cs="宋体"/>
                <w:bCs w:val="0"/>
                <w:color w:val="auto"/>
                <w:kern w:val="2"/>
                <w:sz w:val="21"/>
                <w:szCs w:val="21"/>
                <w:highlight w:val="none"/>
                <w:lang w:val="en-US" w:eastAsia="zh-CN"/>
              </w:rPr>
              <w:t>生产或制造</w:t>
            </w:r>
            <w:r>
              <w:rPr>
                <w:rFonts w:hint="eastAsia" w:ascii="宋体" w:hAnsi="宋体" w:eastAsia="宋体" w:cs="宋体"/>
                <w:bCs w:val="0"/>
                <w:color w:val="auto"/>
                <w:kern w:val="2"/>
                <w:sz w:val="21"/>
                <w:szCs w:val="21"/>
                <w:highlight w:val="none"/>
                <w:lang w:eastAsia="zh-CN"/>
              </w:rPr>
              <w:t>相关内容</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0" w:firstLineChars="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 w:val="21"/>
                <w:szCs w:val="21"/>
                <w:highlight w:val="none"/>
                <w:lang w:val="en-US"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Autospacing="0"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Autospacing="0" w:after="0" w:line="360" w:lineRule="auto"/>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360" w:lineRule="auto"/>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招标控制价及要求</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招标控制价为</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none"/>
                <w:lang w:val="en-US" w:eastAsia="zh-CN"/>
              </w:rPr>
              <w:t>1802027.46</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w:t>
            </w:r>
          </w:p>
          <w:p>
            <w:pPr>
              <w:pStyle w:val="2"/>
              <w:widowControl w:val="0"/>
              <w:spacing w:line="360" w:lineRule="auto"/>
              <w:ind w:firstLine="420" w:firstLineChars="20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 w:val="0"/>
                <w:bCs w:val="0"/>
                <w:color w:val="auto"/>
                <w:sz w:val="21"/>
                <w:szCs w:val="21"/>
                <w:highlight w:val="none"/>
              </w:rPr>
              <w:t>投标单位根据</w:t>
            </w:r>
            <w:r>
              <w:rPr>
                <w:rFonts w:hint="eastAsia" w:ascii="宋体" w:hAnsi="宋体" w:eastAsia="宋体" w:cs="宋体"/>
                <w:b w:val="0"/>
                <w:bCs w:val="0"/>
                <w:color w:val="auto"/>
                <w:sz w:val="21"/>
                <w:szCs w:val="21"/>
                <w:highlight w:val="none"/>
                <w:lang w:val="en-US" w:eastAsia="zh-CN"/>
              </w:rPr>
              <w:t>方案图及工程量清单自行报价</w:t>
            </w:r>
            <w:r>
              <w:rPr>
                <w:rFonts w:hint="eastAsia" w:ascii="宋体" w:hAnsi="宋体" w:eastAsia="宋体" w:cs="宋体"/>
                <w:b w:val="0"/>
                <w:bCs w:val="0"/>
                <w:color w:val="auto"/>
                <w:sz w:val="21"/>
                <w:szCs w:val="21"/>
                <w:highlight w:val="none"/>
              </w:rPr>
              <w:t>。</w:t>
            </w:r>
            <w:r>
              <w:rPr>
                <w:rFonts w:hint="eastAsia" w:ascii="宋体" w:hAnsi="宋体" w:eastAsia="宋体" w:cs="宋体"/>
                <w:color w:val="auto"/>
                <w:sz w:val="21"/>
                <w:szCs w:val="21"/>
                <w:highlight w:val="none"/>
              </w:rPr>
              <w:t>投标价格是指完成项目所需的人工费、材料费、制造费、安装费、装卸费、运输费、企业管理费、税金、利润和风险费等完成本项目的一切费用之和。</w:t>
            </w:r>
            <w:r>
              <w:rPr>
                <w:rFonts w:hint="eastAsia" w:ascii="宋体" w:hAnsi="宋体" w:eastAsia="宋体" w:cs="宋体"/>
                <w:color w:val="auto"/>
                <w:kern w:val="2"/>
                <w:sz w:val="21"/>
                <w:szCs w:val="21"/>
                <w:highlight w:val="none"/>
                <w:lang w:val="en-US" w:eastAsia="zh-CN" w:bidi="ar-SA"/>
              </w:rPr>
              <w:t>投标报价不能超过招标控制价，否则按废标处理。小数点后保留二位小数，第三位小数四舍五入。</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1、金额：人民币</w:t>
            </w:r>
            <w:r>
              <w:rPr>
                <w:rFonts w:hint="eastAsia" w:ascii="宋体" w:hAnsi="宋体" w:eastAsia="宋体" w:cs="宋体"/>
                <w:color w:val="auto"/>
                <w:sz w:val="21"/>
                <w:szCs w:val="21"/>
                <w:highlight w:val="none"/>
                <w:lang w:val="en-US" w:eastAsia="zh-CN"/>
              </w:rPr>
              <w:t>壹万</w:t>
            </w:r>
            <w:r>
              <w:rPr>
                <w:rFonts w:hint="eastAsia" w:ascii="宋体" w:hAnsi="宋体" w:eastAsia="宋体" w:cs="宋体"/>
                <w:color w:val="auto"/>
                <w:sz w:val="21"/>
                <w:szCs w:val="21"/>
                <w:highlight w:val="none"/>
              </w:rPr>
              <w:t>元。</w:t>
            </w:r>
          </w:p>
          <w:p>
            <w:pPr>
              <w:numPr>
                <w:ilvl w:val="-1"/>
                <w:numId w:val="0"/>
              </w:numPr>
              <w:adjustRightInd w:val="0"/>
              <w:snapToGri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2、缴纳方式：</w:t>
            </w:r>
            <w:r>
              <w:rPr>
                <w:rFonts w:hint="eastAsia" w:ascii="宋体" w:hAnsi="宋体" w:eastAsia="宋体" w:cs="宋体"/>
                <w:color w:val="auto"/>
                <w:sz w:val="21"/>
                <w:szCs w:val="21"/>
                <w:highlight w:val="none"/>
                <w:lang w:eastAsia="zh-CN"/>
              </w:rPr>
              <w:t>银行转账。</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账户名称：广州南沙建设维护管理有限公司</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开户银行：中国工商银行广东自由贸易试验区南沙分行</w:t>
            </w:r>
            <w:r>
              <w:rPr>
                <w:rFonts w:hint="eastAsia" w:ascii="宋体" w:hAnsi="宋体" w:eastAsia="宋体" w:cs="宋体"/>
                <w:color w:val="auto"/>
                <w:sz w:val="21"/>
                <w:szCs w:val="21"/>
                <w:highlight w:val="none"/>
                <w:lang w:val="en-US" w:eastAsia="zh-CN"/>
              </w:rPr>
              <w:t xml:space="preserve"> </w:t>
            </w:r>
          </w:p>
          <w:p>
            <w:pPr>
              <w:numPr>
                <w:ilvl w:val="-1"/>
                <w:numId w:val="0"/>
              </w:numPr>
              <w:adjustRightInd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账号：3602056909200030855</w:t>
            </w:r>
          </w:p>
          <w:p>
            <w:pPr>
              <w:numPr>
                <w:ilvl w:val="0"/>
                <w:numId w:val="1"/>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缴纳时间：投标单位须在</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8月15</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二</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17</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前</w:t>
            </w:r>
            <w:r>
              <w:rPr>
                <w:rFonts w:hint="eastAsia" w:ascii="宋体" w:hAnsi="宋体" w:eastAsia="宋体" w:cs="宋体"/>
                <w:color w:val="auto"/>
                <w:sz w:val="21"/>
                <w:szCs w:val="21"/>
                <w:highlight w:val="none"/>
              </w:rPr>
              <w:t>以投标人转出【汇款时备注：</w:t>
            </w:r>
            <w:r>
              <w:rPr>
                <w:rFonts w:hint="eastAsia" w:ascii="宋体" w:hAnsi="宋体" w:eastAsia="宋体" w:cs="宋体"/>
                <w:color w:val="auto"/>
                <w:szCs w:val="21"/>
                <w:highlight w:val="none"/>
                <w:u w:val="none"/>
                <w:lang w:eastAsia="zh-CN"/>
              </w:rPr>
              <w:t>港口新鲜集市（A地块）项目一期集装箱采购及安装</w:t>
            </w:r>
            <w:r>
              <w:rPr>
                <w:rFonts w:hint="eastAsia" w:ascii="宋体" w:hAnsi="宋体" w:eastAsia="宋体" w:cs="宋体"/>
                <w:color w:val="auto"/>
                <w:sz w:val="21"/>
                <w:szCs w:val="21"/>
                <w:highlight w:val="none"/>
              </w:rPr>
              <w:t>投标保证金】</w:t>
            </w:r>
          </w:p>
          <w:p>
            <w:pPr>
              <w:numPr>
                <w:ilvl w:val="-1"/>
                <w:numId w:val="0"/>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360" w:lineRule="auto"/>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14"/>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14"/>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收件人：李工，66806279</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提交地点：广州市南沙区金融大厦1807会议室</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8月16</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15</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8月16</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15</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r>
              <w:rPr>
                <w:rFonts w:hint="eastAsia" w:ascii="宋体" w:hAnsi="宋体" w:eastAsia="宋体" w:cs="宋体"/>
                <w:color w:val="auto"/>
                <w:kern w:val="2"/>
                <w:sz w:val="21"/>
                <w:szCs w:val="21"/>
                <w:highlight w:val="none"/>
                <w:u w:val="none"/>
                <w:lang w:val="en-US" w:eastAsia="zh-CN" w:bidi="ar-SA"/>
              </w:rPr>
              <w:t>前。</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8月16</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15</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地点：广州市南沙区金融大厦1807会议室</w:t>
            </w:r>
          </w:p>
          <w:p>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综合评分法</w:t>
            </w:r>
          </w:p>
        </w:tc>
      </w:tr>
    </w:tbl>
    <w:p>
      <w:pPr>
        <w:spacing w:line="240" w:lineRule="auto"/>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spacing w:line="240" w:lineRule="auto"/>
        <w:jc w:val="left"/>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广州南沙国际物流有限公司</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 xml:space="preserve">南沙建设维护管理有限公司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4"/>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val="en-US"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4"/>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4"/>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 商务标文件</w:t>
      </w:r>
    </w:p>
    <w:p>
      <w:pPr>
        <w:numPr>
          <w:ilvl w:val="0"/>
          <w:numId w:val="2"/>
        </w:numPr>
        <w:spacing w:line="360" w:lineRule="auto"/>
        <w:ind w:left="425" w:hanging="425" w:firstLineChars="0"/>
        <w:rPr>
          <w:rFonts w:ascii="宋体" w:hAnsi="宋体" w:eastAsia="宋体" w:cs="宋体"/>
          <w:color w:val="auto"/>
          <w:sz w:val="24"/>
          <w:highlight w:val="none"/>
        </w:rPr>
      </w:pPr>
      <w:r>
        <w:rPr>
          <w:rFonts w:hint="eastAsia" w:ascii="宋体" w:hAnsi="宋体" w:eastAsia="宋体" w:cs="宋体"/>
          <w:color w:val="auto"/>
          <w:sz w:val="24"/>
          <w:highlight w:val="none"/>
        </w:rPr>
        <w:t>投标文件目录。</w:t>
      </w:r>
    </w:p>
    <w:p>
      <w:pPr>
        <w:numPr>
          <w:ilvl w:val="0"/>
          <w:numId w:val="2"/>
        </w:numPr>
        <w:spacing w:line="360" w:lineRule="auto"/>
        <w:ind w:left="425" w:hanging="425" w:firstLineChars="0"/>
        <w:rPr>
          <w:rFonts w:ascii="宋体" w:hAnsi="宋体" w:eastAsia="宋体" w:cs="宋体"/>
          <w:color w:val="auto"/>
          <w:sz w:val="24"/>
          <w:highlight w:val="none"/>
        </w:rPr>
      </w:pPr>
      <w:r>
        <w:rPr>
          <w:rFonts w:hint="eastAsia" w:ascii="宋体" w:hAnsi="宋体" w:eastAsia="宋体" w:cs="宋体"/>
          <w:color w:val="auto"/>
          <w:sz w:val="24"/>
          <w:highlight w:val="none"/>
        </w:rPr>
        <w:t>投标函（按招标文件第3章格式填写）</w:t>
      </w:r>
    </w:p>
    <w:p>
      <w:pPr>
        <w:numPr>
          <w:ilvl w:val="0"/>
          <w:numId w:val="2"/>
        </w:numPr>
        <w:spacing w:line="360" w:lineRule="auto"/>
        <w:ind w:left="425" w:hanging="425" w:firstLineChars="0"/>
        <w:rPr>
          <w:rFonts w:ascii="宋体" w:hAnsi="宋体" w:eastAsia="宋体" w:cs="宋体"/>
          <w:color w:val="auto"/>
          <w:sz w:val="24"/>
          <w:highlight w:val="none"/>
        </w:rPr>
      </w:pPr>
      <w:r>
        <w:rPr>
          <w:rFonts w:hint="eastAsia" w:ascii="宋体" w:hAnsi="宋体" w:eastAsia="宋体" w:cs="宋体"/>
          <w:color w:val="auto"/>
          <w:sz w:val="24"/>
          <w:highlight w:val="none"/>
        </w:rPr>
        <w:t>服务承诺书（按招标文件第3章格式填写）。</w:t>
      </w:r>
    </w:p>
    <w:p>
      <w:pPr>
        <w:numPr>
          <w:ilvl w:val="0"/>
          <w:numId w:val="2"/>
        </w:numPr>
        <w:spacing w:line="360" w:lineRule="auto"/>
        <w:ind w:left="425" w:hanging="425" w:firstLineChars="0"/>
        <w:rPr>
          <w:rFonts w:ascii="宋体" w:hAnsi="宋体" w:eastAsia="宋体" w:cs="宋体"/>
          <w:color w:val="auto"/>
          <w:sz w:val="24"/>
          <w:highlight w:val="none"/>
        </w:rPr>
      </w:pPr>
      <w:r>
        <w:rPr>
          <w:rFonts w:hint="eastAsia" w:ascii="宋体" w:hAnsi="宋体" w:eastAsia="宋体" w:cs="宋体"/>
          <w:color w:val="auto"/>
          <w:sz w:val="24"/>
          <w:highlight w:val="none"/>
        </w:rPr>
        <w:t>企业法定代表人证明书及法定代表人授权委托证明书（按招标文件第3章格式填写，或使用从工商管理部门购买的版本填写）。</w:t>
      </w:r>
    </w:p>
    <w:p>
      <w:pPr>
        <w:numPr>
          <w:ilvl w:val="0"/>
          <w:numId w:val="2"/>
        </w:numPr>
        <w:spacing w:line="360" w:lineRule="auto"/>
        <w:ind w:left="425" w:hanging="425" w:firstLineChars="0"/>
        <w:rPr>
          <w:rFonts w:ascii="宋体" w:hAnsi="宋体" w:eastAsia="宋体" w:cs="宋体"/>
          <w:color w:val="auto"/>
          <w:sz w:val="24"/>
          <w:highlight w:val="none"/>
        </w:rPr>
      </w:pPr>
      <w:r>
        <w:rPr>
          <w:rFonts w:hint="eastAsia" w:ascii="宋体" w:hAnsi="宋体" w:eastAsia="宋体" w:cs="宋体"/>
          <w:color w:val="auto"/>
          <w:sz w:val="24"/>
          <w:highlight w:val="none"/>
        </w:rPr>
        <w:t>公司法人营业执照复印件。</w:t>
      </w:r>
    </w:p>
    <w:p>
      <w:pPr>
        <w:numPr>
          <w:ilvl w:val="0"/>
          <w:numId w:val="2"/>
        </w:numPr>
        <w:spacing w:line="360" w:lineRule="auto"/>
        <w:ind w:left="425" w:hanging="425" w:firstLineChars="0"/>
        <w:rPr>
          <w:rFonts w:ascii="宋体" w:hAnsi="宋体" w:eastAsia="宋体" w:cs="宋体"/>
          <w:color w:val="auto"/>
          <w:sz w:val="24"/>
          <w:highlight w:val="none"/>
        </w:rPr>
      </w:pPr>
      <w:r>
        <w:rPr>
          <w:rFonts w:hint="eastAsia" w:ascii="宋体" w:hAnsi="宋体" w:eastAsia="宋体" w:cs="宋体"/>
          <w:color w:val="auto"/>
          <w:sz w:val="24"/>
          <w:highlight w:val="none"/>
        </w:rPr>
        <w:t>投标人综合概况（按招标文件第3章格式填写）</w:t>
      </w:r>
      <w:r>
        <w:rPr>
          <w:rFonts w:hint="eastAsia" w:ascii="宋体" w:hAnsi="宋体" w:eastAsia="宋体" w:cs="宋体"/>
          <w:color w:val="auto"/>
          <w:sz w:val="24"/>
          <w:highlight w:val="none"/>
          <w:lang w:eastAsia="zh-CN"/>
        </w:rPr>
        <w:t>。</w:t>
      </w:r>
    </w:p>
    <w:p>
      <w:pPr>
        <w:numPr>
          <w:ilvl w:val="0"/>
          <w:numId w:val="2"/>
        </w:numPr>
        <w:spacing w:line="360" w:lineRule="auto"/>
        <w:ind w:left="425" w:hanging="425" w:firstLineChars="0"/>
        <w:rPr>
          <w:rFonts w:ascii="宋体" w:hAnsi="宋体" w:eastAsia="宋体" w:cs="宋体"/>
          <w:color w:val="auto"/>
          <w:sz w:val="24"/>
          <w:highlight w:val="none"/>
        </w:rPr>
      </w:pP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numPr>
          <w:ilvl w:val="0"/>
          <w:numId w:val="2"/>
        </w:numPr>
        <w:spacing w:line="360" w:lineRule="auto"/>
        <w:ind w:left="425" w:hanging="425"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pPr>
        <w:pStyle w:val="2"/>
        <w:numPr>
          <w:ilvl w:val="0"/>
          <w:numId w:val="2"/>
        </w:numPr>
        <w:ind w:left="425" w:hanging="425" w:firstLineChars="0"/>
        <w:rPr>
          <w:rFonts w:hint="eastAsia" w:hAnsi="宋体" w:cs="宋体"/>
          <w:color w:val="auto"/>
          <w:sz w:val="24"/>
          <w:highlight w:val="none"/>
          <w:lang w:val="en-US" w:eastAsia="zh-CN"/>
        </w:rPr>
      </w:pPr>
      <w:r>
        <w:rPr>
          <w:rFonts w:hint="eastAsia" w:hAnsi="宋体" w:cs="宋体"/>
          <w:color w:val="auto"/>
          <w:sz w:val="24"/>
          <w:highlight w:val="none"/>
          <w:lang w:val="en-US" w:eastAsia="zh-CN"/>
        </w:rPr>
        <w:t>投标申请人声明。</w:t>
      </w:r>
    </w:p>
    <w:p>
      <w:pPr>
        <w:pStyle w:val="2"/>
        <w:numPr>
          <w:ilvl w:val="0"/>
          <w:numId w:val="2"/>
        </w:numPr>
        <w:ind w:left="425" w:hanging="425" w:firstLineChars="0"/>
        <w:rPr>
          <w:rFonts w:hint="eastAsia" w:hAnsi="宋体" w:cs="宋体"/>
          <w:color w:val="auto"/>
          <w:sz w:val="24"/>
          <w:highlight w:val="none"/>
          <w:lang w:val="en-US" w:eastAsia="zh-CN"/>
        </w:rPr>
      </w:pPr>
      <w:r>
        <w:rPr>
          <w:rFonts w:hAnsi="宋体" w:cs="宋体"/>
          <w:color w:val="auto"/>
          <w:sz w:val="24"/>
          <w:highlight w:val="none"/>
        </w:rPr>
        <w:t>投标文件电子版（刻录光盘</w:t>
      </w:r>
      <w:r>
        <w:rPr>
          <w:rFonts w:hint="eastAsia" w:hAnsi="宋体" w:cs="宋体"/>
          <w:color w:val="auto"/>
          <w:sz w:val="24"/>
          <w:highlight w:val="none"/>
          <w:lang w:eastAsia="zh-CN"/>
        </w:rPr>
        <w:t>或提供</w:t>
      </w:r>
      <w:r>
        <w:rPr>
          <w:rFonts w:hint="eastAsia" w:hAnsi="宋体" w:cs="宋体"/>
          <w:color w:val="auto"/>
          <w:sz w:val="24"/>
          <w:highlight w:val="none"/>
          <w:lang w:val="en-US" w:eastAsia="zh-CN"/>
        </w:rPr>
        <w:t>U盘，需为公司盖章版本</w:t>
      </w:r>
      <w:r>
        <w:rPr>
          <w:rFonts w:hAnsi="宋体" w:cs="宋体"/>
          <w:color w:val="auto"/>
          <w:sz w:val="24"/>
          <w:highlight w:val="none"/>
        </w:rPr>
        <w:t>）</w:t>
      </w:r>
      <w:r>
        <w:rPr>
          <w:rFonts w:hint="eastAsia" w:hAnsi="宋体" w:cs="宋体"/>
          <w:color w:val="auto"/>
          <w:sz w:val="24"/>
          <w:highlight w:val="none"/>
          <w:lang w:eastAsia="zh-CN"/>
        </w:rPr>
        <w:t>。</w:t>
      </w:r>
    </w:p>
    <w:p>
      <w:pPr>
        <w:pStyle w:val="2"/>
        <w:numPr>
          <w:ilvl w:val="0"/>
          <w:numId w:val="2"/>
        </w:numPr>
        <w:ind w:left="425" w:hanging="425" w:firstLineChars="0"/>
        <w:rPr>
          <w:rFonts w:hint="eastAsia" w:hAnsi="宋体" w:cs="宋体"/>
          <w:color w:val="auto"/>
          <w:sz w:val="24"/>
          <w:highlight w:val="none"/>
          <w:lang w:val="en-US" w:eastAsia="zh-CN"/>
        </w:rPr>
      </w:pPr>
      <w:r>
        <w:rPr>
          <w:rFonts w:hint="eastAsia" w:hAnsi="宋体" w:cs="宋体"/>
          <w:color w:val="auto"/>
          <w:sz w:val="24"/>
          <w:highlight w:val="none"/>
          <w:lang w:val="en-US" w:eastAsia="zh-CN"/>
        </w:rPr>
        <w:t>投标人认为需要提供的其他文件。</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技术标文件</w:t>
      </w:r>
    </w:p>
    <w:p>
      <w:pPr>
        <w:pStyle w:val="2"/>
        <w:numPr>
          <w:ilvl w:val="0"/>
          <w:numId w:val="3"/>
        </w:numPr>
        <w:ind w:left="425" w:hanging="425" w:firstLineChars="0"/>
        <w:rPr>
          <w:color w:val="auto"/>
          <w:highlight w:val="none"/>
        </w:rPr>
      </w:pPr>
      <w:r>
        <w:rPr>
          <w:rFonts w:hint="eastAsia" w:ascii="宋体" w:hAnsi="宋体" w:cs="宋体"/>
          <w:color w:val="auto"/>
          <w:sz w:val="24"/>
          <w:highlight w:val="none"/>
          <w:lang w:eastAsia="zh-CN"/>
        </w:rPr>
        <w:t>项目整体实施方案</w:t>
      </w:r>
      <w:r>
        <w:rPr>
          <w:rFonts w:hint="eastAsia" w:ascii="宋体" w:hAnsi="宋体" w:eastAsia="宋体" w:cs="宋体"/>
          <w:color w:val="auto"/>
          <w:sz w:val="24"/>
          <w:highlight w:val="none"/>
          <w:lang w:eastAsia="zh-CN"/>
        </w:rPr>
        <w:t>。</w:t>
      </w:r>
    </w:p>
    <w:p>
      <w:pPr>
        <w:pStyle w:val="2"/>
        <w:numPr>
          <w:ilvl w:val="0"/>
          <w:numId w:val="3"/>
        </w:numPr>
        <w:ind w:left="425" w:hanging="425" w:firstLineChars="0"/>
        <w:rPr>
          <w:rFonts w:hint="eastAsia" w:hAnsi="宋体" w:eastAsia="宋体" w:cs="宋体"/>
          <w:color w:val="auto"/>
          <w:sz w:val="24"/>
          <w:highlight w:val="none"/>
          <w:lang w:eastAsia="zh-CN"/>
        </w:rPr>
      </w:pPr>
      <w:r>
        <w:rPr>
          <w:rFonts w:hAnsi="宋体" w:cs="宋体"/>
          <w:color w:val="auto"/>
          <w:sz w:val="24"/>
          <w:highlight w:val="none"/>
        </w:rPr>
        <w:t>投标文件电子版（刻录光盘</w:t>
      </w:r>
      <w:r>
        <w:rPr>
          <w:rFonts w:hint="eastAsia" w:hAnsi="宋体" w:cs="宋体"/>
          <w:color w:val="auto"/>
          <w:sz w:val="24"/>
          <w:highlight w:val="none"/>
          <w:lang w:eastAsia="zh-CN"/>
        </w:rPr>
        <w:t>或提供</w:t>
      </w:r>
      <w:r>
        <w:rPr>
          <w:rFonts w:hint="eastAsia" w:hAnsi="宋体" w:cs="宋体"/>
          <w:color w:val="auto"/>
          <w:sz w:val="24"/>
          <w:highlight w:val="none"/>
          <w:lang w:val="en-US" w:eastAsia="zh-CN"/>
        </w:rPr>
        <w:t>U盘，需为公司盖章版本</w:t>
      </w:r>
      <w:r>
        <w:rPr>
          <w:rFonts w:hAnsi="宋体" w:cs="宋体"/>
          <w:color w:val="auto"/>
          <w:sz w:val="24"/>
          <w:highlight w:val="none"/>
        </w:rPr>
        <w:t>）</w:t>
      </w:r>
      <w:r>
        <w:rPr>
          <w:rFonts w:hint="eastAsia" w:hAnsi="宋体" w:cs="宋体"/>
          <w:color w:val="auto"/>
          <w:sz w:val="24"/>
          <w:highlight w:val="none"/>
          <w:lang w:eastAsia="zh-CN"/>
        </w:rPr>
        <w:t>。</w:t>
      </w:r>
    </w:p>
    <w:p>
      <w:pPr>
        <w:pStyle w:val="2"/>
        <w:numPr>
          <w:ilvl w:val="0"/>
          <w:numId w:val="3"/>
        </w:numPr>
        <w:ind w:left="425" w:hanging="425" w:firstLineChars="0"/>
        <w:rPr>
          <w:rFonts w:hint="default" w:hAnsi="宋体" w:eastAsia="宋体" w:cs="宋体"/>
          <w:color w:val="auto"/>
          <w:sz w:val="24"/>
          <w:highlight w:val="none"/>
          <w:lang w:val="en-US" w:eastAsia="zh-CN"/>
        </w:rPr>
      </w:pPr>
      <w:r>
        <w:rPr>
          <w:rFonts w:hint="eastAsia" w:hAnsi="宋体" w:cs="宋体"/>
          <w:color w:val="auto"/>
          <w:sz w:val="24"/>
          <w:highlight w:val="none"/>
          <w:lang w:val="en-US" w:eastAsia="zh-CN"/>
        </w:rPr>
        <w:t>投标人认为需要提供的其他文件。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招标控制价，否则按废标处理</w:t>
      </w:r>
      <w:r>
        <w:rPr>
          <w:rFonts w:hint="eastAsia" w:ascii="宋体" w:hAnsi="宋体" w:cs="宋体"/>
          <w:color w:val="auto"/>
          <w:sz w:val="24"/>
          <w:szCs w:val="24"/>
          <w:highlight w:val="none"/>
        </w:rPr>
        <w:t>。（小数点后保留二位小数，第三位小数四舍五入）</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4"/>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一年内拒绝其对招标人其他招标项目的投标文件。</w:t>
      </w:r>
      <w:r>
        <w:rPr>
          <w:rFonts w:hint="eastAsia" w:ascii="宋体" w:hAnsi="宋体" w:eastAsia="宋体" w:cs="宋体"/>
          <w:color w:val="auto"/>
          <w:sz w:val="24"/>
          <w:highlight w:val="none"/>
        </w:rPr>
        <w:t>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4"/>
        <w:widowControl/>
        <w:numPr>
          <w:ilvl w:val="0"/>
          <w:numId w:val="4"/>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14"/>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4" w:name="_Toc1632"/>
      <w:bookmarkStart w:id="5"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rPr>
          <w:color w:val="auto"/>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hint="eastAsia" w:ascii="黑体" w:hAnsi="宋体" w:eastAsia="黑体" w:cs="黑体"/>
          <w:b/>
          <w:color w:val="auto"/>
          <w:kern w:val="44"/>
          <w:sz w:val="44"/>
          <w:szCs w:val="44"/>
          <w:highlight w:val="none"/>
          <w:lang w:eastAsia="zh-CN"/>
        </w:rPr>
      </w:pPr>
      <w:r>
        <w:rPr>
          <w:rFonts w:hint="eastAsia" w:ascii="黑体" w:hAnsi="宋体" w:cs="黑体"/>
          <w:b/>
          <w:color w:val="auto"/>
          <w:kern w:val="44"/>
          <w:sz w:val="44"/>
          <w:szCs w:val="44"/>
          <w:highlight w:val="none"/>
        </w:rPr>
        <w:t>第2章 项目需求书</w:t>
      </w:r>
      <w:bookmarkEnd w:id="4"/>
      <w:r>
        <w:rPr>
          <w:rFonts w:hint="eastAsia" w:ascii="黑体" w:hAnsi="宋体" w:cs="黑体"/>
          <w:b/>
          <w:color w:val="auto"/>
          <w:kern w:val="44"/>
          <w:sz w:val="44"/>
          <w:szCs w:val="44"/>
          <w:highlight w:val="none"/>
          <w:lang w:eastAsia="zh-CN"/>
        </w:rPr>
        <w:t>（</w:t>
      </w:r>
      <w:r>
        <w:rPr>
          <w:rFonts w:hint="eastAsia" w:ascii="黑体" w:hAnsi="宋体" w:cs="黑体"/>
          <w:b/>
          <w:color w:val="auto"/>
          <w:kern w:val="44"/>
          <w:sz w:val="44"/>
          <w:szCs w:val="44"/>
          <w:highlight w:val="none"/>
          <w:lang w:val="en-US" w:eastAsia="zh-CN"/>
        </w:rPr>
        <w:t>另附</w:t>
      </w:r>
      <w:r>
        <w:rPr>
          <w:rFonts w:hint="eastAsia" w:ascii="黑体" w:hAnsi="宋体" w:cs="黑体"/>
          <w:b/>
          <w:color w:val="auto"/>
          <w:kern w:val="44"/>
          <w:sz w:val="44"/>
          <w:szCs w:val="44"/>
          <w:highlight w:val="none"/>
          <w:lang w:eastAsia="zh-CN"/>
        </w:rPr>
        <w:t>）</w:t>
      </w:r>
    </w:p>
    <w:p>
      <w:pPr>
        <w:widowControl/>
        <w:spacing w:before="0" w:after="0" w:line="360" w:lineRule="auto"/>
        <w:jc w:val="cente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rPr>
          <w:color w:val="auto"/>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广州南沙国际物流有限公司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港口新鲜集市（A地块）项目一期集装箱采购及安装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港口新鲜集市（A地块）项目一期集装箱采购及安装</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3"/>
          <w:sz w:val="24"/>
          <w:highlight w:val="none"/>
          <w:u w:val="single"/>
          <w:lang w:val="en-US" w:eastAsia="zh-CN"/>
        </w:rPr>
        <w:t>90</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广州南沙国际物流有限公司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5"/>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23342668"/>
      <w:bookmarkEnd w:id="6"/>
      <w:bookmarkStart w:id="7" w:name="_Toc216145749"/>
      <w:bookmarkEnd w:id="7"/>
      <w:r>
        <w:rPr>
          <w:rFonts w:hint="eastAsia" w:ascii="宋体" w:hAnsi="宋体" w:eastAsia="宋体" w:cs="黑体"/>
          <w:color w:val="auto"/>
          <w:sz w:val="28"/>
          <w:szCs w:val="28"/>
          <w:highlight w:val="none"/>
        </w:rPr>
        <w:t>格式三：</w:t>
      </w:r>
    </w:p>
    <w:p>
      <w:pPr>
        <w:pStyle w:val="27"/>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7"/>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7"/>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7"/>
        <w:widowControl/>
        <w:ind w:firstLine="618"/>
        <w:rPr>
          <w:b/>
          <w:color w:val="auto"/>
          <w:sz w:val="30"/>
          <w:szCs w:val="30"/>
          <w:highlight w:val="none"/>
        </w:rPr>
      </w:pPr>
      <w:r>
        <w:rPr>
          <w:b/>
          <w:color w:val="auto"/>
          <w:sz w:val="30"/>
          <w:szCs w:val="30"/>
          <w:highlight w:val="none"/>
        </w:rPr>
        <w:t xml:space="preserve"> </w:t>
      </w:r>
    </w:p>
    <w:p>
      <w:pPr>
        <w:pStyle w:val="27"/>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7"/>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7"/>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5"/>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5"/>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7"/>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广州南沙国际物流有限公司</w:t>
      </w:r>
      <w:r>
        <w:rPr>
          <w:rFonts w:hint="eastAsia" w:ascii="宋体" w:hAnsi="宋体" w:eastAsia="宋体" w:cs="宋体"/>
          <w:color w:val="auto"/>
          <w:sz w:val="24"/>
          <w:highlight w:val="none"/>
          <w:u w:val="single"/>
        </w:rPr>
        <w:t>、广州南沙建设维护管理有限公司</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港口新鲜集市（A地块）项目一期集装箱采购及安装</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415833503"/>
      <w:bookmarkEnd w:id="11"/>
      <w:bookmarkStart w:id="12" w:name="_Toc326909213"/>
      <w:bookmarkEnd w:id="12"/>
      <w:bookmarkStart w:id="13" w:name="_Toc199647675"/>
      <w:bookmarkEnd w:id="13"/>
      <w:bookmarkStart w:id="14" w:name="_Toc196036941"/>
      <w:bookmarkEnd w:id="14"/>
      <w:bookmarkStart w:id="15" w:name="_Toc459403394"/>
      <w:bookmarkEnd w:id="15"/>
      <w:bookmarkStart w:id="16" w:name="_Toc41822703"/>
      <w:bookmarkEnd w:id="16"/>
      <w:bookmarkStart w:id="17" w:name="_Toc197235848"/>
      <w:bookmarkEnd w:id="17"/>
      <w:bookmarkStart w:id="18" w:name="_Toc415728297"/>
      <w:bookmarkEnd w:id="18"/>
      <w:bookmarkStart w:id="19" w:name="_Toc196130110"/>
      <w:bookmarkEnd w:id="19"/>
      <w:bookmarkStart w:id="20" w:name="_Toc196130013"/>
      <w:bookmarkEnd w:id="20"/>
      <w:bookmarkStart w:id="21" w:name="_Toc196037097"/>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5"/>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196130111"/>
      <w:bookmarkEnd w:id="24"/>
      <w:bookmarkStart w:id="25" w:name="_Toc199647676"/>
      <w:bookmarkEnd w:id="25"/>
      <w:bookmarkStart w:id="26" w:name="_Toc415833504"/>
      <w:bookmarkEnd w:id="26"/>
      <w:bookmarkStart w:id="27" w:name="_Toc459403395"/>
      <w:bookmarkEnd w:id="27"/>
      <w:bookmarkStart w:id="28" w:name="_Toc415728298"/>
      <w:bookmarkEnd w:id="28"/>
      <w:bookmarkStart w:id="29" w:name="_Toc197235849"/>
      <w:bookmarkEnd w:id="29"/>
      <w:bookmarkStart w:id="30" w:name="_Toc196036942"/>
      <w:bookmarkEnd w:id="30"/>
      <w:bookmarkStart w:id="31" w:name="_Toc196037098"/>
      <w:bookmarkEnd w:id="31"/>
      <w:bookmarkStart w:id="32" w:name="_Toc326909214"/>
      <w:bookmarkEnd w:id="32"/>
      <w:bookmarkStart w:id="33" w:name="_Toc196130014"/>
      <w:bookmarkEnd w:id="33"/>
      <w:bookmarkStart w:id="34" w:name="_Toc462911099"/>
    </w:p>
    <w:bookmarkEnd w:id="3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六</w:t>
      </w:r>
      <w:r>
        <w:rPr>
          <w:rFonts w:hint="eastAsia" w:ascii="仿宋" w:hAnsi="仿宋" w:eastAsia="仿宋" w:cs="宋体"/>
          <w:color w:val="auto"/>
          <w:sz w:val="28"/>
          <w:szCs w:val="28"/>
          <w:highlight w:val="none"/>
        </w:rPr>
        <w:t>：</w:t>
      </w: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七</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2、项目负责人必须附执业证书及资格证书、身份证、职称证书及业绩等证明材料（复印件，加盖单位公章）。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7"/>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八</w:t>
      </w:r>
      <w:r>
        <w:rPr>
          <w:rFonts w:hint="eastAsia" w:ascii="宋体" w:hAnsi="宋体" w:eastAsia="宋体" w:cs="黑体"/>
          <w:b/>
          <w:color w:val="auto"/>
          <w:spacing w:val="4"/>
          <w:kern w:val="0"/>
          <w:sz w:val="28"/>
          <w:szCs w:val="28"/>
          <w:highlight w:val="none"/>
        </w:rPr>
        <w:t>：</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en-US" w:eastAsia="zh-CN"/>
        </w:rPr>
        <w:t>投标</w:t>
      </w: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5"/>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eastAsia="zh-CN"/>
              </w:rPr>
              <w:t>港口新鲜集市（A地块）项目一期集装箱采购及安装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center"/>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center"/>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center"/>
              <w:rPr>
                <w:rFonts w:hint="default"/>
                <w:color w:val="auto"/>
                <w:highlight w:val="none"/>
                <w:lang w:val="en-US" w:eastAsia="zh-CN"/>
              </w:rPr>
            </w:pPr>
            <w:r>
              <w:rPr>
                <w:rFonts w:hint="eastAsia"/>
                <w:color w:val="auto"/>
                <w:highlight w:val="none"/>
                <w:lang w:eastAsia="zh-CN"/>
              </w:rPr>
              <w:t>下浮率：</w:t>
            </w:r>
            <w:r>
              <w:rPr>
                <w:rFonts w:hint="eastAsia"/>
                <w:color w:val="auto"/>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2"/>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2"/>
        <w:widowControl/>
        <w:spacing w:line="360" w:lineRule="auto"/>
        <w:ind w:firstLine="210" w:firstLineChars="100"/>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lang w:val="en-US" w:eastAsia="zh-CN"/>
        </w:rPr>
        <w:t>2</w:t>
      </w:r>
      <w:r>
        <w:rPr>
          <w:rFonts w:hint="eastAsia" w:ascii="宋体" w:hAnsi="宋体" w:eastAsia="宋体" w:cs="宋体"/>
          <w:bCs/>
          <w:color w:val="auto"/>
          <w:highlight w:val="none"/>
          <w:lang w:eastAsia="zh-CN"/>
        </w:rPr>
        <w:t>）</w:t>
      </w:r>
      <w:r>
        <w:rPr>
          <w:rFonts w:hint="eastAsia" w:ascii="宋体" w:hAnsi="宋体" w:eastAsia="宋体" w:cs="宋体"/>
          <w:bCs/>
          <w:color w:val="auto"/>
          <w:kern w:val="2"/>
          <w:sz w:val="21"/>
          <w:szCs w:val="21"/>
          <w:highlight w:val="none"/>
          <w:lang w:val="en-US" w:eastAsia="zh-CN" w:bidi="ar-SA"/>
        </w:rPr>
        <w:t>投标单位自行报价，投标总报价不能超过招标控制价，否则按废标处理。小数点后保留二位小数，第三位小数四舍五入。</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2"/>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360" w:lineRule="auto"/>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5"/>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2"/>
        <w:widowControl/>
        <w:spacing w:line="360" w:lineRule="auto"/>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2"/>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2"/>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360" w:lineRule="auto"/>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成员共同表决，按照少数服从多数的原则决定是否通过符合性审查。</w:t>
      </w:r>
    </w:p>
    <w:p>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360" w:lineRule="auto"/>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360" w:lineRule="auto"/>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eastAsia" w:ascii="仿宋" w:hAnsi="仿宋" w:eastAsia="仿宋" w:cs="仿宋"/>
          <w:color w:val="auto"/>
          <w:sz w:val="28"/>
          <w:szCs w:val="28"/>
          <w:highlight w:val="none"/>
          <w:u w:val="none"/>
        </w:rPr>
        <w:t>，也可以重新招标</w:t>
      </w:r>
      <w:r>
        <w:rPr>
          <w:rFonts w:hint="eastAsia" w:ascii="仿宋" w:hAnsi="仿宋" w:eastAsia="仿宋" w:cs="仿宋"/>
          <w:color w:val="auto"/>
          <w:sz w:val="28"/>
          <w:szCs w:val="28"/>
          <w:highlight w:val="none"/>
        </w:rPr>
        <w:t>。以此类推，如所有中标候选人均出现前款所列的情形，为招标失败，招标人依法重新招标。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a、投标人名称；b、标书密封情况；c、法定代表人证明及授权委托；d、项目负责人名称；e、投标报价等主要内容以及开标记录表中的其他必要内容，并予以记录，记录提交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w:t>
      </w:r>
      <w:r>
        <w:rPr>
          <w:rFonts w:hint="eastAsia" w:ascii="仿宋" w:hAnsi="仿宋" w:eastAsia="仿宋" w:cs="仿宋"/>
          <w:color w:val="auto"/>
          <w:sz w:val="28"/>
          <w:szCs w:val="28"/>
          <w:highlight w:val="none"/>
          <w:u w:val="none"/>
        </w:rPr>
        <w:t>若出现得分相同的单位，按报价低者排前的原则，若报价亦一致的，由评标</w:t>
      </w:r>
      <w:r>
        <w:rPr>
          <w:rFonts w:hint="eastAsia" w:ascii="仿宋" w:hAnsi="仿宋" w:eastAsia="仿宋" w:cs="仿宋"/>
          <w:color w:val="auto"/>
          <w:sz w:val="28"/>
          <w:szCs w:val="28"/>
          <w:highlight w:val="none"/>
          <w:u w:val="none"/>
          <w:lang w:eastAsia="zh-CN"/>
        </w:rPr>
        <w:t>小组</w:t>
      </w:r>
      <w:r>
        <w:rPr>
          <w:rFonts w:hint="eastAsia" w:ascii="仿宋" w:hAnsi="仿宋" w:eastAsia="仿宋" w:cs="仿宋"/>
          <w:color w:val="auto"/>
          <w:sz w:val="28"/>
          <w:szCs w:val="28"/>
          <w:highlight w:val="none"/>
          <w:u w:val="none"/>
        </w:rPr>
        <w:t>采用记名投票方式，确定其排序</w:t>
      </w:r>
      <w:r>
        <w:rPr>
          <w:rFonts w:hint="eastAsia" w:ascii="仿宋" w:hAnsi="仿宋" w:eastAsia="仿宋" w:cs="仿宋"/>
          <w:color w:val="auto"/>
          <w:sz w:val="28"/>
          <w:szCs w:val="28"/>
          <w:highlight w:val="none"/>
        </w:rPr>
        <w:t>。</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snapToGrid/>
        <w:spacing w:line="240" w:lineRule="auto"/>
        <w:ind w:firstLine="0" w:firstLineChars="0"/>
        <w:jc w:val="left"/>
        <w:rPr>
          <w:rFonts w:hint="eastAsia"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pPr>
        <w:pStyle w:val="24"/>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4"/>
        <w:widowControl/>
        <w:ind w:firstLine="562"/>
        <w:rPr>
          <w:rFonts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pPr>
        <w:pStyle w:val="24"/>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pStyle w:val="24"/>
        <w:widowControl/>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附件4 图纸（另附）</w:t>
      </w:r>
    </w:p>
    <w:p>
      <w:pPr>
        <w:pStyle w:val="24"/>
        <w:widowControl/>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附件5 工程量清单（另附）</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5"/>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pPr>
        <w:snapToGrid w:val="0"/>
        <w:ind w:left="74"/>
        <w:outlineLvl w:val="0"/>
        <w:rPr>
          <w:rFonts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5"/>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797"/>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797" w:type="dxa"/>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240" w:type="dxa"/>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restart"/>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pStyle w:val="5"/>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eastAsia="宋体" w:cs="宋体"/>
                <w:b w:val="0"/>
                <w:bCs/>
                <w:color w:val="auto"/>
                <w:szCs w:val="21"/>
                <w:highlight w:val="none"/>
                <w:lang w:val="en-US" w:eastAsia="zh-CN"/>
              </w:rPr>
              <w:t>2</w:t>
            </w:r>
            <w:r>
              <w:rPr>
                <w:rFonts w:hint="eastAsia" w:ascii="宋体" w:hAnsi="宋体" w:eastAsia="宋体" w:cs="宋体"/>
                <w:b w:val="0"/>
                <w:bCs/>
                <w:color w:val="auto"/>
                <w:szCs w:val="21"/>
                <w:highlight w:val="none"/>
                <w:lang w:val="en-US" w:eastAsia="zh-CN"/>
              </w:rPr>
              <w:t>0分</w:t>
            </w:r>
            <w:r>
              <w:rPr>
                <w:rFonts w:hint="eastAsia" w:ascii="宋体" w:hAnsi="宋体" w:eastAsia="宋体" w:cs="宋体"/>
                <w:b w:val="0"/>
                <w:bCs/>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lang w:eastAsia="zh-CN"/>
              </w:rPr>
            </w:pPr>
          </w:p>
        </w:tc>
        <w:tc>
          <w:tcPr>
            <w:tcW w:w="1406" w:type="dxa"/>
            <w:vAlign w:val="center"/>
          </w:tcPr>
          <w:p>
            <w:pPr>
              <w:widowControl/>
              <w:ind w:left="-42" w:leftChars="0" w:right="-61" w:right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企业</w:t>
            </w:r>
            <w:r>
              <w:rPr>
                <w:rFonts w:hint="eastAsia" w:ascii="宋体" w:hAnsi="宋体" w:eastAsia="宋体" w:cs="宋体"/>
                <w:color w:val="auto"/>
                <w:szCs w:val="21"/>
                <w:highlight w:val="none"/>
              </w:rPr>
              <w:t>业绩</w:t>
            </w:r>
          </w:p>
        </w:tc>
        <w:tc>
          <w:tcPr>
            <w:tcW w:w="709" w:type="dxa"/>
            <w:vAlign w:val="center"/>
          </w:tcPr>
          <w:p>
            <w:pPr>
              <w:jc w:val="center"/>
              <w:rPr>
                <w:rFonts w:hint="eastAsia" w:ascii="宋体" w:hAnsi="宋体" w:eastAsia="宋体" w:cs="宋体"/>
                <w:color w:val="auto"/>
                <w:szCs w:val="21"/>
                <w:highlight w:val="none"/>
                <w:lang w:eastAsia="zh-CN"/>
              </w:rPr>
            </w:pPr>
            <w:r>
              <w:rPr>
                <w:rFonts w:hint="eastAsia" w:ascii="宋体" w:hAnsi="宋体" w:eastAsia="宋体" w:cs="宋体"/>
                <w:color w:val="auto"/>
                <w:kern w:val="0"/>
                <w:szCs w:val="21"/>
                <w:highlight w:val="none"/>
                <w:lang w:val="en-US" w:eastAsia="zh-CN"/>
              </w:rPr>
              <w:t>6</w:t>
            </w:r>
            <w:r>
              <w:rPr>
                <w:rFonts w:hint="eastAsia" w:ascii="宋体" w:hAnsi="宋体" w:eastAsia="宋体" w:cs="宋体"/>
                <w:color w:val="auto"/>
                <w:kern w:val="0"/>
                <w:szCs w:val="21"/>
                <w:highlight w:val="none"/>
              </w:rPr>
              <w:t>分</w:t>
            </w:r>
          </w:p>
        </w:tc>
        <w:tc>
          <w:tcPr>
            <w:tcW w:w="9797" w:type="dxa"/>
            <w:vAlign w:val="center"/>
          </w:tcPr>
          <w:p>
            <w:pPr>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投标人2018年1月1日至今承接过投资额120万或以上的</w:t>
            </w:r>
            <w:r>
              <w:rPr>
                <w:rFonts w:hint="eastAsia" w:ascii="宋体" w:hAnsi="宋体" w:eastAsia="宋体" w:cs="宋体"/>
                <w:color w:val="auto"/>
                <w:sz w:val="21"/>
                <w:szCs w:val="21"/>
                <w:highlight w:val="none"/>
              </w:rPr>
              <w:t>集装箱</w:t>
            </w:r>
            <w:r>
              <w:rPr>
                <w:rFonts w:hint="eastAsia" w:ascii="宋体" w:hAnsi="宋体" w:eastAsia="宋体" w:cs="宋体"/>
                <w:bCs w:val="0"/>
                <w:color w:val="auto"/>
                <w:kern w:val="2"/>
                <w:sz w:val="21"/>
                <w:szCs w:val="21"/>
                <w:highlight w:val="none"/>
                <w:lang w:eastAsia="zh-CN"/>
              </w:rPr>
              <w:t>（</w:t>
            </w:r>
            <w:r>
              <w:rPr>
                <w:rFonts w:hint="eastAsia" w:ascii="宋体" w:hAnsi="宋体" w:eastAsia="宋体" w:cs="宋体"/>
                <w:bCs w:val="0"/>
                <w:color w:val="auto"/>
                <w:kern w:val="2"/>
                <w:sz w:val="21"/>
                <w:szCs w:val="21"/>
                <w:highlight w:val="none"/>
                <w:lang w:val="en-US" w:eastAsia="zh-CN"/>
              </w:rPr>
              <w:t>房屋</w:t>
            </w:r>
            <w:r>
              <w:rPr>
                <w:rFonts w:hint="eastAsia" w:ascii="宋体" w:hAnsi="宋体" w:eastAsia="宋体" w:cs="宋体"/>
                <w:bCs w:val="0"/>
                <w:color w:val="auto"/>
                <w:kern w:val="2"/>
                <w:sz w:val="21"/>
                <w:szCs w:val="21"/>
                <w:highlight w:val="none"/>
                <w:lang w:eastAsia="zh-CN"/>
              </w:rPr>
              <w:t>）</w:t>
            </w:r>
            <w:r>
              <w:rPr>
                <w:rFonts w:hint="eastAsia" w:ascii="宋体" w:hAnsi="宋体" w:eastAsia="宋体" w:cs="宋体"/>
                <w:bCs w:val="0"/>
                <w:color w:val="auto"/>
                <w:kern w:val="2"/>
                <w:sz w:val="21"/>
                <w:szCs w:val="21"/>
                <w:highlight w:val="none"/>
                <w:lang w:val="en-US" w:eastAsia="zh-CN"/>
              </w:rPr>
              <w:t>生产或制造</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Cs w:val="21"/>
                <w:highlight w:val="none"/>
                <w:lang w:val="en-US" w:eastAsia="zh-CN"/>
              </w:rPr>
              <w:t xml:space="preserve">业绩的，每有一个项目业绩得1分，本项最高得6分。 </w:t>
            </w:r>
          </w:p>
          <w:p>
            <w:p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注：</w:t>
            </w:r>
            <w:r>
              <w:rPr>
                <w:rFonts w:hint="eastAsia" w:ascii="宋体" w:hAnsi="宋体" w:eastAsia="宋体" w:cs="宋体"/>
                <w:color w:val="auto"/>
                <w:szCs w:val="21"/>
                <w:highlight w:val="none"/>
              </w:rPr>
              <w:t>需提供合同</w:t>
            </w:r>
            <w:r>
              <w:rPr>
                <w:rFonts w:hint="eastAsia" w:ascii="宋体" w:hAnsi="宋体" w:eastAsia="宋体" w:cs="宋体"/>
                <w:color w:val="auto"/>
                <w:szCs w:val="21"/>
                <w:highlight w:val="none"/>
                <w:lang w:eastAsia="zh-CN"/>
              </w:rPr>
              <w:t>关键页</w:t>
            </w:r>
            <w:r>
              <w:rPr>
                <w:rFonts w:hint="eastAsia" w:ascii="宋体" w:hAnsi="宋体" w:eastAsia="宋体" w:cs="宋体"/>
                <w:color w:val="auto"/>
                <w:szCs w:val="21"/>
                <w:highlight w:val="none"/>
              </w:rPr>
              <w:t>复印件</w:t>
            </w:r>
            <w:r>
              <w:rPr>
                <w:rFonts w:hint="eastAsia" w:ascii="宋体" w:hAnsi="宋体" w:eastAsia="宋体" w:cs="宋体"/>
                <w:color w:val="auto"/>
                <w:szCs w:val="21"/>
                <w:highlight w:val="none"/>
                <w:lang w:eastAsia="zh-CN"/>
              </w:rPr>
              <w:t>（体现施工内容及投资额的页面、盖章页等）</w:t>
            </w:r>
            <w:r>
              <w:rPr>
                <w:rFonts w:hint="eastAsia" w:ascii="宋体" w:hAnsi="宋体" w:eastAsia="宋体" w:cs="宋体"/>
                <w:color w:val="auto"/>
                <w:szCs w:val="21"/>
                <w:highlight w:val="none"/>
              </w:rPr>
              <w:t>，不提供、提供不全或专家无法认定的不得分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业绩时间以合同签订时间为准。</w:t>
            </w:r>
          </w:p>
        </w:tc>
        <w:tc>
          <w:tcPr>
            <w:tcW w:w="240" w:type="dxa"/>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vAlign w:val="center"/>
          </w:tcPr>
          <w:p>
            <w:pPr>
              <w:snapToGrid w:val="0"/>
              <w:ind w:left="-2" w:leftChars="-1"/>
              <w:jc w:val="center"/>
              <w:rPr>
                <w:rFonts w:hint="eastAsia" w:ascii="宋体" w:hAnsi="宋体" w:eastAsia="宋体" w:cs="宋体"/>
                <w:color w:val="auto"/>
                <w:szCs w:val="21"/>
                <w:highlight w:val="none"/>
              </w:rPr>
            </w:pPr>
          </w:p>
        </w:tc>
        <w:tc>
          <w:tcPr>
            <w:tcW w:w="1406" w:type="dxa"/>
            <w:vAlign w:val="center"/>
          </w:tcPr>
          <w:p>
            <w:pPr>
              <w:widowControl/>
              <w:ind w:left="-42" w:right="-61"/>
              <w:jc w:val="center"/>
              <w:rPr>
                <w:rFonts w:hint="eastAsia" w:ascii="宋体" w:hAnsi="宋体" w:eastAsia="宋体" w:cs="宋体"/>
                <w:color w:val="auto"/>
                <w:kern w:val="0"/>
                <w:szCs w:val="21"/>
                <w:highlight w:val="none"/>
              </w:rPr>
            </w:pPr>
          </w:p>
          <w:p>
            <w:pPr>
              <w:widowControl/>
              <w:ind w:left="-42" w:right="-61"/>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认证</w:t>
            </w:r>
            <w:r>
              <w:rPr>
                <w:rFonts w:hint="eastAsia" w:ascii="宋体" w:hAnsi="宋体" w:eastAsia="宋体" w:cs="宋体"/>
                <w:color w:val="auto"/>
                <w:kern w:val="0"/>
                <w:szCs w:val="21"/>
                <w:highlight w:val="none"/>
                <w:lang w:eastAsia="zh-CN"/>
              </w:rPr>
              <w:t>体系</w:t>
            </w:r>
          </w:p>
          <w:p>
            <w:pPr>
              <w:widowControl/>
              <w:ind w:left="-42" w:leftChars="0" w:right="-61" w:rightChars="0"/>
              <w:rPr>
                <w:rFonts w:hint="eastAsia" w:ascii="宋体" w:hAnsi="宋体" w:eastAsia="宋体" w:cs="宋体"/>
                <w:color w:val="auto"/>
                <w:kern w:val="2"/>
                <w:sz w:val="21"/>
                <w:szCs w:val="21"/>
                <w:highlight w:val="none"/>
                <w:lang w:val="en-US" w:eastAsia="zh-CN" w:bidi="ar-SA"/>
              </w:rPr>
            </w:pPr>
          </w:p>
        </w:tc>
        <w:tc>
          <w:tcPr>
            <w:tcW w:w="709" w:type="dxa"/>
            <w:vAlign w:val="center"/>
          </w:tcPr>
          <w:p>
            <w:pPr>
              <w:jc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分</w:t>
            </w:r>
          </w:p>
        </w:tc>
        <w:tc>
          <w:tcPr>
            <w:tcW w:w="9797" w:type="dxa"/>
            <w:vAlign w:val="center"/>
          </w:tcPr>
          <w:p>
            <w:pPr>
              <w:autoSpaceDE w:val="0"/>
              <w:autoSpaceDN w:val="0"/>
              <w:jc w:val="left"/>
              <w:rPr>
                <w:rFonts w:hint="eastAsia" w:ascii="宋体" w:hAnsi="宋体" w:eastAsia="宋体" w:cs="宋体"/>
                <w:b w:val="0"/>
                <w:bCs w:val="0"/>
                <w:color w:val="auto"/>
                <w:szCs w:val="21"/>
                <w:highlight w:val="none"/>
              </w:rPr>
            </w:pPr>
            <w:r>
              <w:rPr>
                <w:rFonts w:hint="eastAsia" w:ascii="宋体" w:hAnsi="宋体" w:eastAsia="宋体" w:cs="宋体"/>
                <w:color w:val="auto"/>
                <w:szCs w:val="21"/>
                <w:highlight w:val="none"/>
              </w:rPr>
              <w:t>投标人具有有效的质量管理体系认证证书、环境管理体系认证证书、职业健康安全管理体系认证证书，每有一</w:t>
            </w:r>
            <w:r>
              <w:rPr>
                <w:rFonts w:hint="eastAsia" w:ascii="宋体" w:hAnsi="宋体" w:eastAsia="宋体" w:cs="宋体"/>
                <w:b w:val="0"/>
                <w:bCs w:val="0"/>
                <w:color w:val="auto"/>
                <w:szCs w:val="21"/>
                <w:highlight w:val="none"/>
              </w:rPr>
              <w:t>个证书</w:t>
            </w:r>
            <w:r>
              <w:rPr>
                <w:rFonts w:hint="eastAsia" w:ascii="宋体" w:hAnsi="宋体" w:eastAsia="宋体" w:cs="宋体"/>
                <w:b w:val="0"/>
                <w:bCs w:val="0"/>
                <w:color w:val="auto"/>
                <w:szCs w:val="21"/>
                <w:highlight w:val="none"/>
                <w:shd w:val="clear" w:color="auto" w:fill="auto"/>
                <w:lang w:val="en-US" w:eastAsia="zh-CN"/>
              </w:rPr>
              <w:t>得1</w:t>
            </w:r>
            <w:r>
              <w:rPr>
                <w:rFonts w:hint="eastAsia" w:ascii="宋体" w:hAnsi="宋体" w:eastAsia="宋体" w:cs="宋体"/>
                <w:b w:val="0"/>
                <w:bCs w:val="0"/>
                <w:color w:val="auto"/>
                <w:szCs w:val="21"/>
                <w:highlight w:val="none"/>
                <w:shd w:val="clear" w:color="auto" w:fill="auto"/>
              </w:rPr>
              <w:t>分</w:t>
            </w:r>
            <w:r>
              <w:rPr>
                <w:rFonts w:hint="eastAsia" w:ascii="宋体" w:hAnsi="宋体" w:eastAsia="宋体" w:cs="宋体"/>
                <w:b w:val="0"/>
                <w:bCs w:val="0"/>
                <w:color w:val="auto"/>
                <w:szCs w:val="21"/>
                <w:highlight w:val="none"/>
              </w:rPr>
              <w:t>。本项最高</w:t>
            </w:r>
            <w:r>
              <w:rPr>
                <w:rFonts w:hint="eastAsia" w:ascii="宋体" w:hAnsi="宋体" w:eastAsia="宋体" w:cs="宋体"/>
                <w:b w:val="0"/>
                <w:bCs w:val="0"/>
                <w:color w:val="auto"/>
                <w:szCs w:val="21"/>
                <w:highlight w:val="none"/>
                <w:shd w:val="clear" w:color="auto" w:fill="auto"/>
              </w:rPr>
              <w:t>得</w:t>
            </w:r>
            <w:r>
              <w:rPr>
                <w:rFonts w:hint="eastAsia" w:ascii="宋体" w:hAnsi="宋体" w:eastAsia="宋体" w:cs="宋体"/>
                <w:b w:val="0"/>
                <w:bCs w:val="0"/>
                <w:color w:val="auto"/>
                <w:szCs w:val="21"/>
                <w:highlight w:val="none"/>
                <w:shd w:val="clear" w:color="auto" w:fill="auto"/>
                <w:lang w:val="en-US" w:eastAsia="zh-CN"/>
              </w:rPr>
              <w:t>3</w:t>
            </w:r>
            <w:r>
              <w:rPr>
                <w:rFonts w:hint="eastAsia" w:ascii="宋体" w:hAnsi="宋体" w:eastAsia="宋体" w:cs="宋体"/>
                <w:b w:val="0"/>
                <w:bCs w:val="0"/>
                <w:color w:val="auto"/>
                <w:szCs w:val="21"/>
                <w:highlight w:val="none"/>
                <w:shd w:val="clear" w:color="auto" w:fill="auto"/>
              </w:rPr>
              <w:t>分</w:t>
            </w:r>
            <w:r>
              <w:rPr>
                <w:rFonts w:hint="eastAsia" w:ascii="宋体" w:hAnsi="宋体" w:eastAsia="宋体" w:cs="宋体"/>
                <w:b w:val="0"/>
                <w:bCs w:val="0"/>
                <w:color w:val="auto"/>
                <w:szCs w:val="21"/>
                <w:highlight w:val="none"/>
              </w:rPr>
              <w:t>。</w:t>
            </w:r>
          </w:p>
          <w:p>
            <w:pPr>
              <w:autoSpaceDE w:val="0"/>
              <w:autoSpaceDN w:val="0"/>
              <w:jc w:val="left"/>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Cs w:val="21"/>
                <w:highlight w:val="none"/>
              </w:rPr>
              <w:t>注：</w:t>
            </w:r>
            <w:r>
              <w:rPr>
                <w:rFonts w:hint="eastAsia" w:ascii="宋体" w:hAnsi="宋体" w:eastAsia="宋体" w:cs="宋体"/>
                <w:b w:val="0"/>
                <w:bCs w:val="0"/>
                <w:color w:val="auto"/>
                <w:sz w:val="21"/>
                <w:szCs w:val="21"/>
                <w:highlight w:val="none"/>
              </w:rPr>
              <w:t>（须提供</w:t>
            </w:r>
            <w:r>
              <w:rPr>
                <w:rFonts w:hint="eastAsia" w:ascii="宋体" w:hAnsi="宋体" w:eastAsia="宋体" w:cs="宋体"/>
                <w:b w:val="0"/>
                <w:bCs w:val="0"/>
                <w:color w:val="auto"/>
                <w:sz w:val="21"/>
                <w:szCs w:val="21"/>
                <w:highlight w:val="none"/>
                <w:lang w:val="en-US" w:eastAsia="zh-CN"/>
              </w:rPr>
              <w:t>以上有效期内的</w:t>
            </w:r>
            <w:r>
              <w:rPr>
                <w:rFonts w:hint="eastAsia" w:ascii="宋体" w:hAnsi="宋体" w:eastAsia="宋体" w:cs="宋体"/>
                <w:b w:val="0"/>
                <w:bCs w:val="0"/>
                <w:color w:val="auto"/>
                <w:sz w:val="21"/>
                <w:szCs w:val="21"/>
                <w:highlight w:val="none"/>
              </w:rPr>
              <w:t>证书复印件以及在全国认证认可信息公共服务平台上http://cx.cnca.cn查询结果的截图，证书状态必须为“有效”</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否则不得分。</w:t>
            </w:r>
            <w:r>
              <w:rPr>
                <w:rFonts w:hint="eastAsia" w:ascii="宋体" w:hAnsi="宋体" w:eastAsia="宋体" w:cs="宋体"/>
                <w:b w:val="0"/>
                <w:bCs w:val="0"/>
                <w:color w:val="auto"/>
                <w:sz w:val="21"/>
                <w:szCs w:val="21"/>
                <w:highlight w:val="none"/>
              </w:rPr>
              <w:t>）</w:t>
            </w:r>
          </w:p>
        </w:tc>
        <w:tc>
          <w:tcPr>
            <w:tcW w:w="240" w:type="dxa"/>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vAlign w:val="center"/>
          </w:tcPr>
          <w:p>
            <w:pPr>
              <w:snapToGrid w:val="0"/>
              <w:ind w:left="-2" w:leftChars="-1"/>
              <w:jc w:val="center"/>
              <w:rPr>
                <w:rFonts w:hint="eastAsia" w:ascii="宋体" w:hAnsi="宋体" w:eastAsia="宋体" w:cs="宋体"/>
                <w:color w:val="auto"/>
                <w:szCs w:val="21"/>
                <w:highlight w:val="none"/>
              </w:rPr>
            </w:pPr>
          </w:p>
        </w:tc>
        <w:tc>
          <w:tcPr>
            <w:tcW w:w="1406" w:type="dxa"/>
            <w:vAlign w:val="center"/>
          </w:tcPr>
          <w:p>
            <w:pPr>
              <w:snapToGrid w:val="0"/>
              <w:spacing w:line="240" w:lineRule="auto"/>
              <w:ind w:left="-2" w:leftChars="-1"/>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纳税信用</w:t>
            </w:r>
          </w:p>
        </w:tc>
        <w:tc>
          <w:tcPr>
            <w:tcW w:w="709" w:type="dxa"/>
            <w:vAlign w:val="center"/>
          </w:tcPr>
          <w:p>
            <w:pPr>
              <w:spacing w:line="240" w:lineRule="auto"/>
              <w:ind w:left="-2" w:leftChars="-1"/>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szCs w:val="21"/>
                <w:highlight w:val="none"/>
                <w:lang w:val="en-US" w:eastAsia="zh-CN"/>
              </w:rPr>
              <w:t>3分</w:t>
            </w:r>
          </w:p>
        </w:tc>
        <w:tc>
          <w:tcPr>
            <w:tcW w:w="9797" w:type="dxa"/>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lang w:val="en-US" w:eastAsia="zh-CN" w:bidi="ar-SA"/>
              </w:rPr>
              <w:t>投标人</w:t>
            </w:r>
            <w:r>
              <w:rPr>
                <w:rFonts w:hint="eastAsia" w:ascii="宋体" w:hAnsi="宋体" w:eastAsia="宋体" w:cs="宋体"/>
                <w:color w:val="auto"/>
                <w:szCs w:val="21"/>
                <w:highlight w:val="none"/>
              </w:rPr>
              <w:t>201</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年1月1日至今获得纳税信用等级A级称号</w:t>
            </w:r>
            <w:r>
              <w:rPr>
                <w:rFonts w:hint="eastAsia" w:ascii="宋体" w:hAnsi="宋体" w:eastAsia="宋体" w:cs="宋体"/>
                <w:color w:val="auto"/>
                <w:szCs w:val="21"/>
                <w:highlight w:val="none"/>
                <w:lang w:eastAsia="zh-CN"/>
              </w:rPr>
              <w:t>的</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每有</w:t>
            </w:r>
            <w:r>
              <w:rPr>
                <w:rFonts w:hint="eastAsia" w:ascii="宋体" w:hAnsi="宋体" w:eastAsia="宋体" w:cs="宋体"/>
                <w:color w:val="auto"/>
                <w:szCs w:val="21"/>
                <w:highlight w:val="none"/>
                <w:lang w:val="en-US" w:eastAsia="zh-CN"/>
              </w:rPr>
              <w:t>1次得1分，最多</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w:t>
            </w:r>
          </w:p>
          <w:p>
            <w:pPr>
              <w:pStyle w:val="2"/>
              <w:spacing w:line="240" w:lineRule="auto"/>
              <w:rPr>
                <w:rFonts w:hint="eastAsia" w:ascii="宋体" w:hAnsi="宋体" w:eastAsia="宋体" w:cs="宋体"/>
                <w:b w:val="0"/>
                <w:bCs w:val="0"/>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注：“A级纳税人称号”以“国家税务总局”官网（http://www.chinatax.gov.cn/index.html）查询结果为准，纳税人等级只计算投标人自身（不计算投标人的分公司和子公司）。投标人须提供在上述官网网站的有效查询路径及查询结果网页截图（不符合条件或未提交截图的不计分）。时间以国家税务总局官网公布的获奖年度（评价年度）为准，没有提供或不符合要求的不得分</w:t>
            </w:r>
            <w:r>
              <w:rPr>
                <w:rFonts w:hint="eastAsia" w:ascii="宋体" w:hAnsi="宋体" w:eastAsia="宋体" w:cs="宋体"/>
                <w:color w:val="auto"/>
                <w:szCs w:val="21"/>
                <w:highlight w:val="none"/>
                <w:lang w:eastAsia="zh-CN"/>
              </w:rPr>
              <w:t>。】</w:t>
            </w:r>
          </w:p>
        </w:tc>
        <w:tc>
          <w:tcPr>
            <w:tcW w:w="240" w:type="dxa"/>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vAlign w:val="center"/>
          </w:tcPr>
          <w:p>
            <w:pPr>
              <w:snapToGrid w:val="0"/>
              <w:ind w:left="-2" w:leftChars="-1"/>
              <w:jc w:val="center"/>
              <w:rPr>
                <w:rFonts w:hint="eastAsia" w:ascii="宋体" w:hAnsi="宋体" w:eastAsia="宋体" w:cs="宋体"/>
                <w:color w:val="auto"/>
                <w:szCs w:val="21"/>
                <w:highlight w:val="none"/>
              </w:rPr>
            </w:pPr>
          </w:p>
        </w:tc>
        <w:tc>
          <w:tcPr>
            <w:tcW w:w="1406" w:type="dxa"/>
            <w:vAlign w:val="center"/>
          </w:tcPr>
          <w:p>
            <w:pPr>
              <w:spacing w:line="240" w:lineRule="auto"/>
              <w:ind w:left="42" w:leftChars="20" w:right="42" w:rightChars="20"/>
              <w:jc w:val="center"/>
              <w:rPr>
                <w:rFonts w:hint="eastAsia" w:ascii="宋体" w:hAnsi="宋体" w:eastAsia="宋体" w:cs="宋体"/>
                <w:color w:val="auto"/>
                <w:kern w:val="2"/>
                <w:sz w:val="21"/>
                <w:szCs w:val="21"/>
                <w:highlight w:val="none"/>
                <w:lang w:val="en-US" w:eastAsia="zh-CN" w:bidi="ar-SA"/>
              </w:rPr>
            </w:pPr>
            <w:r>
              <w:rPr>
                <w:rFonts w:hint="eastAsia"/>
                <w:color w:val="auto"/>
                <w:highlight w:val="none"/>
              </w:rPr>
              <w:t>企业荣誉</w:t>
            </w:r>
          </w:p>
        </w:tc>
        <w:tc>
          <w:tcPr>
            <w:tcW w:w="709" w:type="dxa"/>
            <w:vAlign w:val="center"/>
          </w:tcPr>
          <w:p>
            <w:pPr>
              <w:spacing w:line="240" w:lineRule="auto"/>
              <w:jc w:val="center"/>
              <w:rPr>
                <w:rFonts w:hint="default"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position w:val="8"/>
                <w:szCs w:val="21"/>
                <w:highlight w:val="none"/>
                <w:lang w:val="en-US" w:eastAsia="zh-CN"/>
              </w:rPr>
              <w:t>3分</w:t>
            </w:r>
          </w:p>
        </w:tc>
        <w:tc>
          <w:tcPr>
            <w:tcW w:w="9797" w:type="dxa"/>
            <w:vAlign w:val="center"/>
          </w:tcPr>
          <w:p>
            <w:pPr>
              <w:pStyle w:val="14"/>
              <w:numPr>
                <w:ilvl w:val="0"/>
                <w:numId w:val="6"/>
              </w:numPr>
              <w:spacing w:beforeAutospacing="0" w:after="0"/>
              <w:ind w:firstLine="0" w:firstLineChars="0"/>
              <w:rPr>
                <w:rFonts w:hint="eastAsia" w:ascii="宋体" w:hAnsi="宋体"/>
                <w:color w:val="auto"/>
                <w:szCs w:val="21"/>
                <w:highlight w:val="none"/>
                <w:lang w:val="en-US" w:eastAsia="zh-CN"/>
              </w:rPr>
            </w:pPr>
            <w:r>
              <w:rPr>
                <w:rFonts w:hint="eastAsia" w:ascii="宋体" w:hAnsi="宋体"/>
                <w:color w:val="auto"/>
                <w:szCs w:val="21"/>
                <w:highlight w:val="none"/>
              </w:rPr>
              <w:t>投标人</w:t>
            </w:r>
            <w:r>
              <w:rPr>
                <w:rFonts w:hint="eastAsia" w:ascii="宋体" w:hAnsi="宋体"/>
                <w:color w:val="auto"/>
                <w:szCs w:val="21"/>
                <w:highlight w:val="none"/>
                <w:lang w:eastAsia="zh-CN"/>
              </w:rPr>
              <w:t>获得市</w:t>
            </w:r>
            <w:r>
              <w:rPr>
                <w:rFonts w:hint="eastAsia" w:ascii="宋体" w:hAnsi="宋体"/>
                <w:color w:val="auto"/>
                <w:szCs w:val="21"/>
                <w:highlight w:val="none"/>
              </w:rPr>
              <w:t>级建筑奖项或专利</w:t>
            </w:r>
            <w:r>
              <w:rPr>
                <w:rFonts w:hint="eastAsia" w:ascii="宋体" w:hAnsi="宋体"/>
                <w:color w:val="auto"/>
                <w:szCs w:val="21"/>
                <w:highlight w:val="none"/>
                <w:lang w:eastAsia="zh-CN"/>
              </w:rPr>
              <w:t>的，每有</w:t>
            </w:r>
            <w:r>
              <w:rPr>
                <w:rFonts w:hint="eastAsia" w:ascii="宋体" w:hAnsi="宋体"/>
                <w:color w:val="auto"/>
                <w:szCs w:val="21"/>
                <w:highlight w:val="none"/>
                <w:lang w:val="en-US" w:eastAsia="zh-CN"/>
              </w:rPr>
              <w:t>1个</w:t>
            </w:r>
            <w:r>
              <w:rPr>
                <w:rFonts w:hint="eastAsia" w:ascii="宋体" w:hAnsi="宋体"/>
                <w:color w:val="auto"/>
                <w:szCs w:val="21"/>
                <w:highlight w:val="none"/>
              </w:rPr>
              <w:t>得</w:t>
            </w:r>
            <w:r>
              <w:rPr>
                <w:rFonts w:hint="eastAsia" w:ascii="宋体" w:hAnsi="宋体"/>
                <w:color w:val="auto"/>
                <w:szCs w:val="21"/>
                <w:highlight w:val="none"/>
                <w:lang w:val="en-US" w:eastAsia="zh-CN"/>
              </w:rPr>
              <w:t>1</w:t>
            </w:r>
            <w:r>
              <w:rPr>
                <w:rFonts w:hint="eastAsia" w:ascii="宋体" w:hAnsi="宋体"/>
                <w:color w:val="auto"/>
                <w:szCs w:val="21"/>
                <w:highlight w:val="none"/>
              </w:rPr>
              <w:t>分；</w:t>
            </w:r>
            <w:r>
              <w:rPr>
                <w:rFonts w:hint="eastAsia" w:ascii="宋体" w:hAnsi="宋体"/>
                <w:color w:val="auto"/>
                <w:szCs w:val="21"/>
                <w:highlight w:val="none"/>
                <w:lang w:eastAsia="zh-CN"/>
              </w:rPr>
              <w:t>获得</w:t>
            </w:r>
            <w:r>
              <w:rPr>
                <w:rFonts w:hint="eastAsia" w:ascii="宋体" w:hAnsi="宋体"/>
                <w:color w:val="auto"/>
                <w:szCs w:val="21"/>
                <w:highlight w:val="none"/>
              </w:rPr>
              <w:t>省级</w:t>
            </w:r>
            <w:r>
              <w:rPr>
                <w:rFonts w:hint="eastAsia" w:ascii="宋体" w:hAnsi="宋体"/>
                <w:color w:val="auto"/>
                <w:szCs w:val="21"/>
                <w:highlight w:val="none"/>
                <w:lang w:eastAsia="zh-CN"/>
              </w:rPr>
              <w:t>或以上</w:t>
            </w:r>
            <w:r>
              <w:rPr>
                <w:rFonts w:hint="eastAsia" w:ascii="宋体" w:hAnsi="宋体"/>
                <w:color w:val="auto"/>
                <w:szCs w:val="21"/>
                <w:highlight w:val="none"/>
              </w:rPr>
              <w:t>建筑奖项或专利</w:t>
            </w:r>
            <w:r>
              <w:rPr>
                <w:rFonts w:hint="eastAsia" w:ascii="宋体" w:hAnsi="宋体"/>
                <w:color w:val="auto"/>
                <w:szCs w:val="21"/>
                <w:highlight w:val="none"/>
                <w:lang w:eastAsia="zh-CN"/>
              </w:rPr>
              <w:t>的，每有</w:t>
            </w:r>
            <w:r>
              <w:rPr>
                <w:rFonts w:hint="eastAsia" w:ascii="宋体" w:hAnsi="宋体"/>
                <w:color w:val="auto"/>
                <w:szCs w:val="21"/>
                <w:highlight w:val="none"/>
                <w:lang w:val="en-US" w:eastAsia="zh-CN"/>
              </w:rPr>
              <w:t>1个</w:t>
            </w:r>
            <w:r>
              <w:rPr>
                <w:rFonts w:hint="eastAsia" w:ascii="宋体" w:hAnsi="宋体"/>
                <w:color w:val="auto"/>
                <w:szCs w:val="21"/>
                <w:highlight w:val="none"/>
              </w:rPr>
              <w:t>得</w:t>
            </w:r>
            <w:r>
              <w:rPr>
                <w:rFonts w:hint="eastAsia" w:ascii="宋体" w:hAnsi="宋体"/>
                <w:color w:val="auto"/>
                <w:szCs w:val="21"/>
                <w:highlight w:val="none"/>
                <w:lang w:val="en-US" w:eastAsia="zh-CN"/>
              </w:rPr>
              <w:t>2</w:t>
            </w:r>
            <w:r>
              <w:rPr>
                <w:rFonts w:hint="eastAsia" w:ascii="宋体" w:hAnsi="宋体"/>
                <w:color w:val="auto"/>
                <w:szCs w:val="21"/>
                <w:highlight w:val="none"/>
              </w:rPr>
              <w:t>分</w:t>
            </w:r>
            <w:r>
              <w:rPr>
                <w:rFonts w:hint="eastAsia" w:ascii="宋体" w:hAnsi="宋体"/>
                <w:color w:val="auto"/>
                <w:szCs w:val="21"/>
                <w:highlight w:val="none"/>
                <w:lang w:eastAsia="zh-CN"/>
              </w:rPr>
              <w:t>。本小项最多得</w:t>
            </w:r>
            <w:r>
              <w:rPr>
                <w:rFonts w:hint="eastAsia" w:ascii="宋体" w:hAnsi="宋体"/>
                <w:color w:val="auto"/>
                <w:szCs w:val="21"/>
                <w:highlight w:val="none"/>
                <w:lang w:val="en-US" w:eastAsia="zh-CN"/>
              </w:rPr>
              <w:t>2分。</w:t>
            </w:r>
          </w:p>
          <w:p>
            <w:pPr>
              <w:pStyle w:val="14"/>
              <w:numPr>
                <w:ilvl w:val="-1"/>
                <w:numId w:val="0"/>
              </w:numPr>
              <w:spacing w:beforeAutospacing="0" w:after="0"/>
              <w:ind w:firstLine="0" w:firstLineChars="0"/>
              <w:rPr>
                <w:rFonts w:hint="eastAsia"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获得过</w:t>
            </w:r>
            <w:r>
              <w:rPr>
                <w:rFonts w:hint="eastAsia" w:ascii="宋体" w:hAnsi="宋体"/>
                <w:color w:val="auto"/>
                <w:szCs w:val="21"/>
                <w:highlight w:val="none"/>
              </w:rPr>
              <w:t xml:space="preserve"> “重合同守信用”或“守合同重信用”证书的，得</w:t>
            </w:r>
            <w:r>
              <w:rPr>
                <w:rFonts w:hint="eastAsia" w:ascii="宋体" w:hAnsi="宋体"/>
                <w:color w:val="auto"/>
                <w:szCs w:val="21"/>
                <w:highlight w:val="none"/>
                <w:lang w:val="en-US" w:eastAsia="zh-CN"/>
              </w:rPr>
              <w:t>1</w:t>
            </w:r>
            <w:r>
              <w:rPr>
                <w:rFonts w:hint="eastAsia" w:ascii="宋体" w:hAnsi="宋体"/>
                <w:color w:val="auto"/>
                <w:szCs w:val="21"/>
                <w:highlight w:val="none"/>
              </w:rPr>
              <w:t>分。</w:t>
            </w:r>
          </w:p>
          <w:p>
            <w:pPr>
              <w:adjustRightInd w:val="0"/>
              <w:snapToGrid w:val="0"/>
              <w:spacing w:line="240" w:lineRule="auto"/>
              <w:rPr>
                <w:rFonts w:hint="eastAsia" w:ascii="宋体" w:hAnsi="宋体" w:eastAsia="宋体" w:cs="宋体"/>
                <w:color w:val="auto"/>
                <w:kern w:val="2"/>
                <w:sz w:val="21"/>
                <w:szCs w:val="21"/>
                <w:highlight w:val="none"/>
                <w:lang w:val="en-US" w:eastAsia="zh-CN" w:bidi="ar-SA"/>
              </w:rPr>
            </w:pPr>
            <w:r>
              <w:rPr>
                <w:rFonts w:hint="eastAsia" w:ascii="宋体" w:hAnsi="宋体"/>
                <w:color w:val="auto"/>
                <w:szCs w:val="21"/>
                <w:highlight w:val="none"/>
              </w:rPr>
              <w:t>注：须提供相关证书复印件。</w:t>
            </w:r>
          </w:p>
        </w:tc>
        <w:tc>
          <w:tcPr>
            <w:tcW w:w="240" w:type="dxa"/>
            <w:vAlign w:val="center"/>
          </w:tcPr>
          <w:p>
            <w:pPr>
              <w:spacing w:line="220" w:lineRule="exact"/>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vAlign w:val="center"/>
          </w:tcPr>
          <w:p>
            <w:pPr>
              <w:snapToGrid w:val="0"/>
              <w:ind w:left="-2" w:leftChars="-1"/>
              <w:jc w:val="center"/>
              <w:rPr>
                <w:rFonts w:hint="eastAsia" w:ascii="宋体" w:hAnsi="宋体" w:eastAsia="宋体" w:cs="宋体"/>
                <w:color w:val="auto"/>
                <w:szCs w:val="21"/>
                <w:highlight w:val="none"/>
              </w:rPr>
            </w:pPr>
          </w:p>
        </w:tc>
        <w:tc>
          <w:tcPr>
            <w:tcW w:w="1406" w:type="dxa"/>
            <w:vMerge w:val="restart"/>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Cs w:val="21"/>
                <w:highlight w:val="none"/>
              </w:rPr>
              <w:t>拟派本项目</w:t>
            </w:r>
            <w:r>
              <w:rPr>
                <w:rFonts w:hint="eastAsia" w:ascii="宋体" w:hAnsi="宋体" w:eastAsia="宋体" w:cs="宋体"/>
                <w:color w:val="auto"/>
                <w:spacing w:val="-5"/>
                <w:szCs w:val="21"/>
                <w:highlight w:val="none"/>
                <w:lang w:val="en-US" w:eastAsia="zh-CN"/>
              </w:rPr>
              <w:t>团队</w:t>
            </w:r>
            <w:r>
              <w:rPr>
                <w:rFonts w:hint="eastAsia" w:ascii="宋体" w:hAnsi="宋体" w:eastAsia="宋体" w:cs="宋体"/>
                <w:color w:val="auto"/>
                <w:spacing w:val="-5"/>
                <w:szCs w:val="21"/>
                <w:highlight w:val="none"/>
              </w:rPr>
              <w:t>情况</w:t>
            </w:r>
          </w:p>
        </w:tc>
        <w:tc>
          <w:tcPr>
            <w:tcW w:w="709" w:type="dxa"/>
            <w:vAlign w:val="center"/>
          </w:tcPr>
          <w:p>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5分</w:t>
            </w:r>
          </w:p>
        </w:tc>
        <w:tc>
          <w:tcPr>
            <w:tcW w:w="9797" w:type="dxa"/>
            <w:vAlign w:val="center"/>
          </w:tcPr>
          <w:p>
            <w:pPr>
              <w:pStyle w:val="21"/>
              <w:ind w:firstLine="0"/>
              <w:rPr>
                <w:rFonts w:hint="default"/>
                <w:color w:val="auto"/>
                <w:highlight w:val="none"/>
                <w:lang w:val="en-US"/>
              </w:rPr>
            </w:pPr>
            <w:r>
              <w:rPr>
                <w:rFonts w:hint="eastAsia"/>
                <w:color w:val="auto"/>
                <w:highlight w:val="none"/>
              </w:rPr>
              <w:t>项目配备人员分工明确，包含</w:t>
            </w:r>
            <w:r>
              <w:rPr>
                <w:rFonts w:hint="eastAsia"/>
                <w:color w:val="auto"/>
                <w:highlight w:val="none"/>
                <w:lang w:val="en-US" w:eastAsia="zh-CN"/>
              </w:rPr>
              <w:t>项目负责人、技术负责人</w:t>
            </w:r>
            <w:r>
              <w:rPr>
                <w:rFonts w:hint="eastAsia"/>
                <w:color w:val="auto"/>
                <w:highlight w:val="none"/>
              </w:rPr>
              <w:t>、质量员、安全员、资料员，</w:t>
            </w:r>
            <w:r>
              <w:rPr>
                <w:rFonts w:hint="eastAsia"/>
                <w:color w:val="auto"/>
                <w:highlight w:val="none"/>
                <w:lang w:val="en-US" w:eastAsia="zh-CN"/>
              </w:rPr>
              <w:t>配备齐全得5分，每少一个扣1分，最多扣5分。</w:t>
            </w:r>
          </w:p>
          <w:p>
            <w:pPr>
              <w:keepLines/>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本项最高得</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分。</w:t>
            </w:r>
          </w:p>
          <w:p>
            <w:pPr>
              <w:autoSpaceDE w:val="0"/>
              <w:autoSpaceDN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5"/>
                <w:szCs w:val="21"/>
                <w:highlight w:val="none"/>
              </w:rPr>
              <w:t>（注：需提供人员相关证书和毕业证书和投标人近</w:t>
            </w:r>
            <w:r>
              <w:rPr>
                <w:rFonts w:hint="eastAsia" w:ascii="宋体" w:hAnsi="宋体" w:eastAsia="宋体" w:cs="宋体"/>
                <w:color w:val="auto"/>
                <w:spacing w:val="-5"/>
                <w:szCs w:val="21"/>
                <w:highlight w:val="none"/>
                <w:lang w:val="en-US" w:eastAsia="zh-CN"/>
              </w:rPr>
              <w:t>1</w:t>
            </w:r>
            <w:r>
              <w:rPr>
                <w:rFonts w:hint="eastAsia" w:ascii="宋体" w:hAnsi="宋体" w:eastAsia="宋体" w:cs="宋体"/>
                <w:color w:val="auto"/>
                <w:spacing w:val="-5"/>
                <w:szCs w:val="21"/>
                <w:highlight w:val="none"/>
              </w:rPr>
              <w:t>个月（</w:t>
            </w:r>
            <w:r>
              <w:rPr>
                <w:rFonts w:hint="eastAsia" w:ascii="宋体" w:hAnsi="宋体" w:eastAsia="宋体" w:cs="宋体"/>
                <w:color w:val="auto"/>
                <w:spacing w:val="-5"/>
                <w:szCs w:val="21"/>
                <w:highlight w:val="none"/>
                <w:lang w:val="en-US" w:eastAsia="zh-CN"/>
              </w:rPr>
              <w:t>2023年7月</w:t>
            </w:r>
            <w:r>
              <w:rPr>
                <w:rFonts w:hint="eastAsia" w:ascii="宋体" w:hAnsi="宋体" w:eastAsia="宋体" w:cs="宋体"/>
                <w:color w:val="auto"/>
                <w:spacing w:val="-5"/>
                <w:szCs w:val="21"/>
                <w:highlight w:val="none"/>
              </w:rPr>
              <w:t>）连续为其购买社保的加盖社会保险基金管理中心印章的《投保单》或《社会保险参保人员证明》复印件，不符合或不提供不得分。）</w:t>
            </w:r>
          </w:p>
        </w:tc>
        <w:tc>
          <w:tcPr>
            <w:tcW w:w="240" w:type="dxa"/>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jc w:val="center"/>
        </w:trPr>
        <w:tc>
          <w:tcPr>
            <w:tcW w:w="643" w:type="dxa"/>
            <w:vMerge w:val="restart"/>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pStyle w:val="5"/>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ascii="宋体" w:hAnsi="宋体" w:eastAsia="宋体" w:cs="宋体"/>
                <w:b w:val="0"/>
                <w:bCs/>
                <w:color w:val="auto"/>
                <w:szCs w:val="21"/>
                <w:highlight w:val="none"/>
                <w:lang w:val="en-US" w:eastAsia="zh-CN"/>
              </w:rPr>
              <w:t>20分</w:t>
            </w:r>
            <w:r>
              <w:rPr>
                <w:rFonts w:hint="eastAsia" w:ascii="宋体" w:hAnsi="宋体" w:eastAsia="宋体" w:cs="宋体"/>
                <w:b w:val="0"/>
                <w:bCs/>
                <w:color w:val="auto"/>
                <w:szCs w:val="21"/>
                <w:highlight w:val="none"/>
                <w:lang w:eastAsia="zh-CN"/>
              </w:rPr>
              <w:t>）</w:t>
            </w:r>
          </w:p>
          <w:p>
            <w:pPr>
              <w:snapToGrid w:val="0"/>
              <w:ind w:left="-2" w:leftChars="-1"/>
              <w:jc w:val="center"/>
              <w:rPr>
                <w:rFonts w:hint="eastAsia" w:ascii="宋体" w:hAnsi="宋体" w:eastAsia="宋体" w:cs="宋体"/>
                <w:color w:val="auto"/>
                <w:szCs w:val="21"/>
                <w:highlight w:val="none"/>
              </w:rPr>
            </w:pPr>
          </w:p>
        </w:tc>
        <w:tc>
          <w:tcPr>
            <w:tcW w:w="1406" w:type="dxa"/>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5"/>
                <w:szCs w:val="21"/>
                <w:highlight w:val="none"/>
                <w:lang w:val="en-US" w:eastAsia="zh-CN"/>
              </w:rPr>
              <w:t>项目整体实施方案</w:t>
            </w:r>
          </w:p>
        </w:tc>
        <w:tc>
          <w:tcPr>
            <w:tcW w:w="709" w:type="dxa"/>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分</w:t>
            </w:r>
          </w:p>
        </w:tc>
        <w:tc>
          <w:tcPr>
            <w:tcW w:w="9797" w:type="dxa"/>
            <w:vAlign w:val="center"/>
          </w:tcPr>
          <w:p>
            <w:pPr>
              <w:widowControl/>
              <w:spacing w:line="240" w:lineRule="auto"/>
              <w:jc w:val="left"/>
              <w:rPr>
                <w:rFonts w:hint="eastAsia" w:ascii="宋体" w:hAnsi="宋体"/>
                <w:color w:val="auto"/>
                <w:highlight w:val="none"/>
              </w:rPr>
            </w:pPr>
            <w:r>
              <w:rPr>
                <w:rFonts w:hint="eastAsia" w:ascii="宋体" w:hAnsi="宋体" w:cs="宋体"/>
                <w:color w:val="auto"/>
                <w:highlight w:val="none"/>
                <w:lang w:val="en-US" w:eastAsia="zh-CN"/>
              </w:rPr>
              <w:t>1、优：</w:t>
            </w:r>
            <w:r>
              <w:rPr>
                <w:rFonts w:hint="eastAsia" w:ascii="宋体" w:hAnsi="宋体"/>
                <w:color w:val="auto"/>
                <w:highlight w:val="none"/>
              </w:rPr>
              <w:t>整体方案内容完整，涉及项目重点技术、工艺论述全面，安装验收流程非常清晰、实施性强，得</w:t>
            </w:r>
            <w:r>
              <w:rPr>
                <w:rFonts w:hint="eastAsia" w:ascii="宋体" w:hAnsi="宋体" w:eastAsia="宋体" w:cs="宋体"/>
                <w:color w:val="auto"/>
                <w:sz w:val="21"/>
                <w:szCs w:val="21"/>
                <w:highlight w:val="none"/>
                <w:lang w:val="en-US" w:eastAsia="zh-CN"/>
              </w:rPr>
              <w:t>4-5</w:t>
            </w:r>
            <w:r>
              <w:rPr>
                <w:rFonts w:hint="eastAsia" w:ascii="宋体" w:hAnsi="宋体"/>
                <w:color w:val="auto"/>
                <w:highlight w:val="none"/>
              </w:rPr>
              <w:t>分；</w:t>
            </w:r>
          </w:p>
          <w:p>
            <w:pPr>
              <w:widowControl/>
              <w:spacing w:line="240" w:lineRule="auto"/>
              <w:jc w:val="left"/>
              <w:rPr>
                <w:rFonts w:hint="eastAsia" w:ascii="宋体" w:hAnsi="宋体"/>
                <w:color w:val="auto"/>
                <w:highlight w:val="none"/>
              </w:rPr>
            </w:pPr>
            <w:r>
              <w:rPr>
                <w:rFonts w:hint="eastAsia" w:ascii="宋体" w:hAnsi="宋体" w:eastAsia="宋体" w:cs="宋体"/>
                <w:color w:val="auto"/>
                <w:spacing w:val="-5"/>
                <w:szCs w:val="21"/>
                <w:highlight w:val="none"/>
                <w:lang w:val="en-US" w:eastAsia="zh-CN"/>
              </w:rPr>
              <w:t>2、中：</w:t>
            </w:r>
            <w:r>
              <w:rPr>
                <w:rFonts w:hint="eastAsia" w:ascii="宋体" w:hAnsi="宋体"/>
                <w:color w:val="auto"/>
                <w:highlight w:val="none"/>
              </w:rPr>
              <w:t>整体方案内容思路较为完整，涉及项目重点技术、工艺论述比较全面，安装验收流程较清晰、实施性较强，得</w:t>
            </w:r>
            <w:r>
              <w:rPr>
                <w:rFonts w:hint="eastAsia" w:ascii="宋体" w:hAnsi="宋体" w:eastAsia="宋体" w:cs="宋体"/>
                <w:color w:val="auto"/>
                <w:sz w:val="21"/>
                <w:szCs w:val="21"/>
                <w:highlight w:val="none"/>
                <w:lang w:val="en-US" w:eastAsia="zh-CN"/>
              </w:rPr>
              <w:t>2-3</w:t>
            </w:r>
            <w:r>
              <w:rPr>
                <w:rFonts w:hint="eastAsia" w:ascii="宋体" w:hAnsi="宋体"/>
                <w:color w:val="auto"/>
                <w:highlight w:val="none"/>
              </w:rPr>
              <w:t>分；</w:t>
            </w:r>
          </w:p>
          <w:p>
            <w:pPr>
              <w:widowControl/>
              <w:spacing w:line="240" w:lineRule="auto"/>
              <w:jc w:val="left"/>
              <w:rPr>
                <w:rFonts w:hint="eastAsia" w:ascii="宋体" w:hAnsi="宋体"/>
                <w:color w:val="auto"/>
                <w:highlight w:val="none"/>
                <w:lang w:val="en-GB"/>
              </w:rPr>
            </w:pPr>
            <w:r>
              <w:rPr>
                <w:rFonts w:hint="eastAsia" w:ascii="宋体" w:hAnsi="宋体" w:eastAsia="宋体" w:cs="宋体"/>
                <w:color w:val="auto"/>
                <w:spacing w:val="-5"/>
                <w:szCs w:val="21"/>
                <w:highlight w:val="none"/>
                <w:lang w:val="en-US" w:eastAsia="zh-CN"/>
              </w:rPr>
              <w:t>3、差：</w:t>
            </w:r>
            <w:r>
              <w:rPr>
                <w:rFonts w:hint="eastAsia" w:ascii="宋体" w:hAnsi="宋体"/>
                <w:color w:val="auto"/>
                <w:highlight w:val="none"/>
              </w:rPr>
              <w:t>整体方案内容不够完整，涉及项目施工技术、工艺论述不全面，安装验收流程欠清晰、实施性一般，得</w:t>
            </w:r>
            <w:r>
              <w:rPr>
                <w:rFonts w:hint="eastAsia" w:ascii="宋体" w:hAnsi="宋体" w:eastAsia="宋体" w:cs="宋体"/>
                <w:color w:val="auto"/>
                <w:spacing w:val="-5"/>
                <w:szCs w:val="21"/>
                <w:highlight w:val="none"/>
                <w:lang w:val="en-US" w:eastAsia="zh-CN"/>
              </w:rPr>
              <w:t>0-1</w:t>
            </w:r>
            <w:r>
              <w:rPr>
                <w:rFonts w:hint="eastAsia" w:ascii="宋体" w:hAnsi="宋体"/>
                <w:color w:val="auto"/>
                <w:highlight w:val="none"/>
              </w:rPr>
              <w:t>分；</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4、</w:t>
            </w:r>
            <w:r>
              <w:rPr>
                <w:rFonts w:hint="eastAsia" w:ascii="宋体" w:hAnsi="宋体" w:cs="宋体"/>
                <w:color w:val="auto"/>
                <w:szCs w:val="21"/>
                <w:highlight w:val="none"/>
                <w:lang w:val="en-GB"/>
              </w:rPr>
              <w:t>未提供实施方案不得分。</w:t>
            </w:r>
          </w:p>
        </w:tc>
        <w:tc>
          <w:tcPr>
            <w:tcW w:w="240" w:type="dxa"/>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6" w:hRule="atLeast"/>
          <w:jc w:val="center"/>
        </w:trPr>
        <w:tc>
          <w:tcPr>
            <w:tcW w:w="643" w:type="dxa"/>
            <w:vMerge w:val="continue"/>
            <w:vAlign w:val="center"/>
          </w:tcPr>
          <w:p>
            <w:pPr>
              <w:snapToGrid w:val="0"/>
              <w:ind w:left="-2" w:leftChars="-1"/>
              <w:jc w:val="center"/>
              <w:rPr>
                <w:rFonts w:hint="eastAsia" w:ascii="宋体" w:hAnsi="宋体" w:eastAsia="宋体" w:cs="宋体"/>
                <w:color w:val="auto"/>
                <w:szCs w:val="21"/>
                <w:highlight w:val="none"/>
              </w:rPr>
            </w:pPr>
          </w:p>
        </w:tc>
        <w:tc>
          <w:tcPr>
            <w:tcW w:w="1406" w:type="dxa"/>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安全生产管理</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 w:val="21"/>
                <w:szCs w:val="21"/>
                <w:highlight w:val="none"/>
              </w:rPr>
            </w:pPr>
          </w:p>
        </w:tc>
        <w:tc>
          <w:tcPr>
            <w:tcW w:w="709" w:type="dxa"/>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分</w:t>
            </w:r>
          </w:p>
        </w:tc>
        <w:tc>
          <w:tcPr>
            <w:tcW w:w="9797" w:type="dxa"/>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1、优：对本服务项目安全生产工作提出具体管理方案，安全防护制度健全，可行性高，能有效保障本服务项目的安全实施，得</w:t>
            </w:r>
            <w:r>
              <w:rPr>
                <w:rFonts w:hint="eastAsia" w:ascii="宋体" w:hAnsi="宋体" w:eastAsia="宋体" w:cs="宋体"/>
                <w:color w:val="auto"/>
                <w:sz w:val="21"/>
                <w:szCs w:val="21"/>
                <w:highlight w:val="none"/>
                <w:lang w:val="en-US" w:eastAsia="zh-CN"/>
              </w:rPr>
              <w:t>4-5</w:t>
            </w:r>
            <w:r>
              <w:rPr>
                <w:rFonts w:hint="eastAsia" w:ascii="宋体" w:hAnsi="宋体" w:eastAsia="宋体" w:cs="宋体"/>
                <w:color w:val="auto"/>
                <w:spacing w:val="-5"/>
                <w:szCs w:val="21"/>
                <w:highlight w:val="none"/>
                <w:lang w:val="en-US" w:eastAsia="zh-CN"/>
              </w:rPr>
              <w:t>分。</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2、中：对本服务项目安全生产工作提出具体管理方案，安全防护制度可行性较高，基本保障本服务项目的安全实施，得</w:t>
            </w:r>
            <w:r>
              <w:rPr>
                <w:rFonts w:hint="eastAsia" w:ascii="宋体" w:hAnsi="宋体" w:eastAsia="宋体" w:cs="宋体"/>
                <w:color w:val="auto"/>
                <w:sz w:val="21"/>
                <w:szCs w:val="21"/>
                <w:highlight w:val="none"/>
                <w:lang w:val="en-US" w:eastAsia="zh-CN"/>
              </w:rPr>
              <w:t>2-3</w:t>
            </w:r>
            <w:r>
              <w:rPr>
                <w:rFonts w:hint="eastAsia" w:ascii="宋体" w:hAnsi="宋体" w:eastAsia="宋体" w:cs="宋体"/>
                <w:color w:val="auto"/>
                <w:spacing w:val="-5"/>
                <w:szCs w:val="21"/>
                <w:highlight w:val="none"/>
                <w:lang w:val="en-US" w:eastAsia="zh-CN"/>
              </w:rPr>
              <w:t xml:space="preserve">分。 </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 xml:space="preserve">3、差：对本服务项目安全生产工作提出具体管理方案， 安全防护制度可行性较低，得0-1分。 </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 xml:space="preserve">无提供方案则不得分。 </w:t>
            </w:r>
          </w:p>
        </w:tc>
        <w:tc>
          <w:tcPr>
            <w:tcW w:w="240" w:type="dxa"/>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vAlign w:val="center"/>
          </w:tcPr>
          <w:p>
            <w:pPr>
              <w:snapToGrid w:val="0"/>
              <w:ind w:left="-2" w:leftChars="-1"/>
              <w:jc w:val="center"/>
              <w:rPr>
                <w:rFonts w:hint="eastAsia" w:ascii="宋体" w:hAnsi="宋体" w:eastAsia="宋体" w:cs="宋体"/>
                <w:color w:val="auto"/>
                <w:szCs w:val="21"/>
                <w:highlight w:val="none"/>
              </w:rPr>
            </w:pPr>
          </w:p>
        </w:tc>
        <w:tc>
          <w:tcPr>
            <w:tcW w:w="1406" w:type="dxa"/>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质量保障措施</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eastAsia="zh-CN"/>
              </w:rPr>
            </w:pPr>
          </w:p>
        </w:tc>
        <w:tc>
          <w:tcPr>
            <w:tcW w:w="709" w:type="dxa"/>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分</w:t>
            </w:r>
          </w:p>
        </w:tc>
        <w:tc>
          <w:tcPr>
            <w:tcW w:w="9797" w:type="dxa"/>
            <w:vAlign w:val="center"/>
          </w:tcPr>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1、优：项目质量措施保证目标明确、方案详细，可行性强，有明确的质量承诺， 表述清晰、完整、合理，得</w:t>
            </w:r>
            <w:r>
              <w:rPr>
                <w:rFonts w:hint="eastAsia" w:ascii="宋体" w:hAnsi="宋体" w:eastAsia="宋体" w:cs="宋体"/>
                <w:color w:val="auto"/>
                <w:sz w:val="21"/>
                <w:szCs w:val="21"/>
                <w:highlight w:val="none"/>
                <w:lang w:val="en-US" w:eastAsia="zh-CN"/>
              </w:rPr>
              <w:t>4-5</w:t>
            </w:r>
            <w:r>
              <w:rPr>
                <w:rFonts w:hint="eastAsia" w:ascii="宋体" w:hAnsi="宋体" w:eastAsia="宋体" w:cs="宋体"/>
                <w:color w:val="auto"/>
                <w:spacing w:val="-5"/>
                <w:szCs w:val="21"/>
                <w:highlight w:val="none"/>
                <w:lang w:val="en-US" w:eastAsia="zh-CN"/>
              </w:rPr>
              <w:t xml:space="preserve">分； </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2、中：项目质量措施保证目标较明确、方案较 详细、可行较强，有较明确的质量承诺，表述较清晰、较完整、较合理， 得</w:t>
            </w:r>
            <w:r>
              <w:rPr>
                <w:rFonts w:hint="eastAsia" w:ascii="宋体" w:hAnsi="宋体" w:eastAsia="宋体" w:cs="宋体"/>
                <w:color w:val="auto"/>
                <w:sz w:val="21"/>
                <w:szCs w:val="21"/>
                <w:highlight w:val="none"/>
                <w:lang w:val="en-US" w:eastAsia="zh-CN"/>
              </w:rPr>
              <w:t>2-3</w:t>
            </w:r>
            <w:r>
              <w:rPr>
                <w:rFonts w:hint="eastAsia" w:ascii="宋体" w:hAnsi="宋体" w:eastAsia="宋体" w:cs="宋体"/>
                <w:color w:val="auto"/>
                <w:spacing w:val="-5"/>
                <w:szCs w:val="21"/>
                <w:highlight w:val="none"/>
                <w:lang w:val="en-US" w:eastAsia="zh-CN"/>
              </w:rPr>
              <w:t xml:space="preserve">分； </w:t>
            </w:r>
          </w:p>
          <w:p>
            <w:pPr>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 xml:space="preserve">3、差：项目质量措施保证目标不明确、方案简单、可行性较低，质量承诺表述不够清晰、不够合理，得0-1分。 </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无提供方案则不得分。</w:t>
            </w:r>
          </w:p>
        </w:tc>
        <w:tc>
          <w:tcPr>
            <w:tcW w:w="240" w:type="dxa"/>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1" w:hRule="atLeast"/>
          <w:jc w:val="center"/>
        </w:trPr>
        <w:tc>
          <w:tcPr>
            <w:tcW w:w="643" w:type="dxa"/>
            <w:vMerge w:val="continue"/>
            <w:vAlign w:val="center"/>
          </w:tcPr>
          <w:p>
            <w:pPr>
              <w:snapToGrid w:val="0"/>
              <w:ind w:left="-2" w:leftChars="-1"/>
              <w:jc w:val="center"/>
              <w:rPr>
                <w:rFonts w:hint="eastAsia" w:ascii="宋体" w:hAnsi="宋体" w:eastAsia="宋体" w:cs="宋体"/>
                <w:color w:val="auto"/>
                <w:szCs w:val="21"/>
                <w:highlight w:val="none"/>
              </w:rPr>
            </w:pPr>
          </w:p>
        </w:tc>
        <w:tc>
          <w:tcPr>
            <w:tcW w:w="1406" w:type="dxa"/>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eastAsia="zh-CN"/>
              </w:rPr>
            </w:pPr>
            <w:r>
              <w:rPr>
                <w:rFonts w:hint="eastAsia"/>
                <w:color w:val="auto"/>
                <w:highlight w:val="none"/>
              </w:rPr>
              <w:t>售后服务方案</w:t>
            </w:r>
          </w:p>
        </w:tc>
        <w:tc>
          <w:tcPr>
            <w:tcW w:w="709" w:type="dxa"/>
            <w:vAlign w:val="center"/>
          </w:tcPr>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color w:val="auto"/>
                <w:spacing w:val="-5"/>
                <w:szCs w:val="21"/>
                <w:highlight w:val="none"/>
                <w:lang w:val="en-US" w:eastAsia="zh-CN"/>
              </w:rPr>
              <w:t>5分</w:t>
            </w:r>
          </w:p>
        </w:tc>
        <w:tc>
          <w:tcPr>
            <w:tcW w:w="9797" w:type="dxa"/>
            <w:vAlign w:val="center"/>
          </w:tcPr>
          <w:p>
            <w:pPr>
              <w:tabs>
                <w:tab w:val="left" w:pos="422"/>
              </w:tabs>
              <w:spacing w:line="240" w:lineRule="auto"/>
              <w:rPr>
                <w:rFonts w:hint="eastAsia"/>
                <w:color w:val="auto"/>
                <w:highlight w:val="none"/>
              </w:rPr>
            </w:pPr>
            <w:r>
              <w:rPr>
                <w:rFonts w:hint="eastAsia"/>
                <w:color w:val="auto"/>
                <w:highlight w:val="none"/>
              </w:rPr>
              <w:t>根据投标人针对本项目的售后服务人员配置情况、售后服务方案等进行评审。</w:t>
            </w:r>
          </w:p>
          <w:p>
            <w:pPr>
              <w:tabs>
                <w:tab w:val="left" w:pos="422"/>
              </w:tabs>
              <w:spacing w:line="240" w:lineRule="auto"/>
              <w:rPr>
                <w:rFonts w:hint="eastAsia"/>
                <w:color w:val="auto"/>
                <w:highlight w:val="none"/>
              </w:rPr>
            </w:pPr>
            <w:r>
              <w:rPr>
                <w:rFonts w:hint="eastAsia" w:ascii="宋体" w:hAnsi="宋体" w:eastAsia="宋体" w:cs="宋体"/>
                <w:color w:val="auto"/>
                <w:spacing w:val="-5"/>
                <w:szCs w:val="21"/>
                <w:highlight w:val="none"/>
                <w:lang w:val="en-US" w:eastAsia="zh-CN"/>
              </w:rPr>
              <w:t>1、优：</w:t>
            </w:r>
            <w:r>
              <w:rPr>
                <w:rFonts w:hint="eastAsia"/>
                <w:color w:val="auto"/>
                <w:highlight w:val="none"/>
              </w:rPr>
              <w:t>售后服务技术力量</w:t>
            </w:r>
            <w:r>
              <w:rPr>
                <w:rFonts w:hint="eastAsia"/>
                <w:color w:val="auto"/>
                <w:highlight w:val="none"/>
                <w:lang w:eastAsia="zh-CN"/>
              </w:rPr>
              <w:t>较强</w:t>
            </w:r>
            <w:r>
              <w:rPr>
                <w:rFonts w:hint="eastAsia"/>
                <w:color w:val="auto"/>
                <w:highlight w:val="none"/>
              </w:rPr>
              <w:t>，售后服务方案详细、合理，得</w:t>
            </w:r>
            <w:r>
              <w:rPr>
                <w:rFonts w:hint="eastAsia"/>
                <w:color w:val="auto"/>
                <w:highlight w:val="none"/>
                <w:lang w:val="en-US" w:eastAsia="zh-CN"/>
              </w:rPr>
              <w:t>4-5</w:t>
            </w:r>
            <w:r>
              <w:rPr>
                <w:rFonts w:hint="eastAsia"/>
                <w:color w:val="auto"/>
                <w:highlight w:val="none"/>
              </w:rPr>
              <w:t>分；</w:t>
            </w:r>
          </w:p>
          <w:p>
            <w:pPr>
              <w:tabs>
                <w:tab w:val="left" w:pos="422"/>
              </w:tabs>
              <w:spacing w:line="240" w:lineRule="auto"/>
              <w:rPr>
                <w:rFonts w:hint="eastAsia"/>
                <w:color w:val="auto"/>
                <w:highlight w:val="none"/>
              </w:rPr>
            </w:pPr>
            <w:r>
              <w:rPr>
                <w:rFonts w:hint="eastAsia" w:ascii="宋体" w:hAnsi="宋体" w:eastAsia="宋体" w:cs="宋体"/>
                <w:color w:val="auto"/>
                <w:spacing w:val="-5"/>
                <w:szCs w:val="21"/>
                <w:highlight w:val="none"/>
                <w:lang w:val="en-US" w:eastAsia="zh-CN"/>
              </w:rPr>
              <w:t>2、中：</w:t>
            </w:r>
            <w:r>
              <w:rPr>
                <w:rFonts w:hint="eastAsia"/>
                <w:color w:val="auto"/>
                <w:highlight w:val="none"/>
              </w:rPr>
              <w:t>售后服务技术力量</w:t>
            </w:r>
            <w:r>
              <w:rPr>
                <w:rFonts w:hint="eastAsia"/>
                <w:color w:val="auto"/>
                <w:highlight w:val="none"/>
                <w:lang w:eastAsia="zh-CN"/>
              </w:rPr>
              <w:t>一般</w:t>
            </w:r>
            <w:r>
              <w:rPr>
                <w:rFonts w:hint="eastAsia"/>
                <w:color w:val="auto"/>
                <w:highlight w:val="none"/>
              </w:rPr>
              <w:t>，售后服务方案</w:t>
            </w:r>
            <w:r>
              <w:rPr>
                <w:rFonts w:hint="eastAsia"/>
                <w:color w:val="auto"/>
                <w:highlight w:val="none"/>
                <w:lang w:eastAsia="zh-CN"/>
              </w:rPr>
              <w:t>一般</w:t>
            </w:r>
            <w:r>
              <w:rPr>
                <w:rFonts w:hint="eastAsia"/>
                <w:color w:val="auto"/>
                <w:highlight w:val="none"/>
              </w:rPr>
              <w:t>，得</w:t>
            </w:r>
            <w:r>
              <w:rPr>
                <w:rFonts w:hint="eastAsia"/>
                <w:color w:val="auto"/>
                <w:highlight w:val="none"/>
                <w:lang w:val="en-US" w:eastAsia="zh-CN"/>
              </w:rPr>
              <w:t>2-3</w:t>
            </w:r>
            <w:r>
              <w:rPr>
                <w:rFonts w:hint="eastAsia"/>
                <w:color w:val="auto"/>
                <w:highlight w:val="none"/>
              </w:rPr>
              <w:t>分；</w:t>
            </w:r>
          </w:p>
          <w:p>
            <w:pPr>
              <w:tabs>
                <w:tab w:val="left" w:pos="422"/>
              </w:tabs>
              <w:spacing w:line="240" w:lineRule="auto"/>
              <w:rPr>
                <w:rFonts w:hint="eastAsia"/>
                <w:color w:val="auto"/>
                <w:highlight w:val="none"/>
              </w:rPr>
            </w:pPr>
            <w:r>
              <w:rPr>
                <w:rFonts w:hint="eastAsia"/>
                <w:color w:val="auto"/>
                <w:highlight w:val="none"/>
                <w:lang w:val="en-US" w:eastAsia="zh-CN"/>
              </w:rPr>
              <w:t>3、差：</w:t>
            </w:r>
            <w:r>
              <w:rPr>
                <w:rFonts w:hint="eastAsia"/>
                <w:color w:val="auto"/>
                <w:highlight w:val="none"/>
              </w:rPr>
              <w:t>售后服务技术力量差，售后服务方案差，得</w:t>
            </w:r>
            <w:r>
              <w:rPr>
                <w:rFonts w:hint="eastAsia"/>
                <w:color w:val="auto"/>
                <w:highlight w:val="none"/>
                <w:lang w:val="en-US" w:eastAsia="zh-CN"/>
              </w:rPr>
              <w:t>0-1</w:t>
            </w:r>
            <w:r>
              <w:rPr>
                <w:rFonts w:hint="eastAsia"/>
                <w:color w:val="auto"/>
                <w:highlight w:val="none"/>
              </w:rPr>
              <w:t>分。</w:t>
            </w:r>
          </w:p>
          <w:p>
            <w:pPr>
              <w:numPr>
                <w:ilvl w:val="0"/>
                <w:numId w:val="0"/>
              </w:numPr>
              <w:autoSpaceDE w:val="0"/>
              <w:autoSpaceDN w:val="0"/>
              <w:adjustRightInd w:val="0"/>
              <w:snapToGrid w:val="0"/>
              <w:spacing w:line="240" w:lineRule="auto"/>
              <w:ind w:left="0" w:leftChars="0" w:firstLine="0" w:firstLineChars="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val="en-GB"/>
              </w:rPr>
              <w:t>未提供方案不得分。</w:t>
            </w:r>
          </w:p>
        </w:tc>
        <w:tc>
          <w:tcPr>
            <w:tcW w:w="240" w:type="dxa"/>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643" w:type="dxa"/>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经济部分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60分</w:t>
            </w:r>
            <w:r>
              <w:rPr>
                <w:rFonts w:hint="eastAsia" w:ascii="宋体" w:hAnsi="宋体" w:eastAsia="宋体" w:cs="宋体"/>
                <w:color w:val="auto"/>
                <w:szCs w:val="21"/>
                <w:highlight w:val="none"/>
                <w:lang w:eastAsia="zh-CN"/>
              </w:rPr>
              <w:t>）</w:t>
            </w:r>
          </w:p>
        </w:tc>
        <w:tc>
          <w:tcPr>
            <w:tcW w:w="1406" w:type="dxa"/>
            <w:vAlign w:val="center"/>
          </w:tcPr>
          <w:p>
            <w:pPr>
              <w:snapToGrid w:val="0"/>
              <w:ind w:left="-2" w:leftChars="-1"/>
              <w:jc w:val="center"/>
              <w:rPr>
                <w:rFonts w:hint="eastAsia" w:ascii="宋体" w:hAnsi="宋体" w:eastAsia="宋体" w:cs="宋体"/>
                <w:color w:val="auto"/>
                <w:szCs w:val="21"/>
                <w:highlight w:val="none"/>
              </w:rPr>
            </w:pPr>
          </w:p>
          <w:p>
            <w:pPr>
              <w:snapToGrid w:val="0"/>
              <w:ind w:left="-2" w:leftChars="-1"/>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60分</w:t>
            </w:r>
            <w:r>
              <w:rPr>
                <w:rFonts w:hint="eastAsia" w:ascii="宋体" w:hAnsi="宋体" w:eastAsia="宋体" w:cs="宋体"/>
                <w:color w:val="auto"/>
                <w:szCs w:val="21"/>
                <w:highlight w:val="none"/>
                <w:lang w:eastAsia="zh-CN"/>
              </w:rPr>
              <w:t>）</w:t>
            </w:r>
          </w:p>
        </w:tc>
        <w:tc>
          <w:tcPr>
            <w:tcW w:w="709" w:type="dxa"/>
            <w:vAlign w:val="center"/>
          </w:tcPr>
          <w:p>
            <w:pPr>
              <w:spacing w:line="240" w:lineRule="auto"/>
              <w:ind w:left="-2" w:leftChars="-1"/>
              <w:jc w:val="center"/>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60分</w:t>
            </w:r>
          </w:p>
        </w:tc>
        <w:tc>
          <w:tcPr>
            <w:tcW w:w="9797" w:type="dxa"/>
            <w:vAlign w:val="top"/>
          </w:tcPr>
          <w:p>
            <w:pPr>
              <w:pStyle w:val="2"/>
              <w:numPr>
                <w:ilvl w:val="0"/>
                <w:numId w:val="0"/>
              </w:numPr>
              <w:ind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若经过符合性审查，（</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3至5家的，则</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单位的有效</w:t>
            </w:r>
            <w:r>
              <w:rPr>
                <w:rFonts w:hint="eastAsia" w:ascii="宋体" w:hAnsi="宋体" w:eastAsia="宋体" w:cs="宋体"/>
                <w:color w:val="auto"/>
                <w:szCs w:val="21"/>
                <w:highlight w:val="none"/>
                <w:lang w:eastAsia="zh-CN"/>
              </w:rPr>
              <w:t>总</w:t>
            </w:r>
            <w:r>
              <w:rPr>
                <w:rFonts w:hint="eastAsia" w:ascii="宋体" w:hAnsi="宋体" w:eastAsia="宋体" w:cs="宋体"/>
                <w:color w:val="auto"/>
                <w:szCs w:val="21"/>
                <w:highlight w:val="none"/>
              </w:rPr>
              <w:t>报价的</w:t>
            </w:r>
            <w:r>
              <w:rPr>
                <w:rFonts w:hint="eastAsia" w:ascii="宋体" w:hAnsi="宋体" w:eastAsia="宋体" w:cs="宋体"/>
                <w:color w:val="auto"/>
                <w:szCs w:val="21"/>
                <w:highlight w:val="none"/>
                <w:lang w:eastAsia="zh-CN"/>
              </w:rPr>
              <w:t>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6家或以上的，则去掉一家最高报价、一家最低报价后，</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val="en-US" w:eastAsia="zh-CN"/>
              </w:rPr>
              <w:t>剩余</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w:t>
            </w:r>
            <w:r>
              <w:rPr>
                <w:rFonts w:hint="eastAsia" w:ascii="宋体" w:hAnsi="宋体" w:eastAsia="宋体" w:cs="宋体"/>
                <w:color w:val="auto"/>
                <w:szCs w:val="21"/>
                <w:highlight w:val="none"/>
                <w:lang w:eastAsia="zh-CN"/>
              </w:rPr>
              <w:t>有效报价的算术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p>
          <w:p>
            <w:pPr>
              <w:pStyle w:val="2"/>
              <w:numPr>
                <w:ilvl w:val="0"/>
                <w:numId w:val="0"/>
              </w:numPr>
              <w:ind w:firstLine="0" w:firstLineChars="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hAnsi="宋体" w:cs="宋体"/>
                <w:color w:val="auto"/>
                <w:szCs w:val="21"/>
                <w:highlight w:val="none"/>
                <w:lang w:val="en-US" w:eastAsia="zh-CN"/>
              </w:rPr>
              <w:t>6</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rPr>
              <w:t>分，高于基准价的1%扣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分，低于基准价的1%扣</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分，以此类推。最低得分0分。得分保留两位小数。</w:t>
            </w:r>
            <w:r>
              <w:rPr>
                <w:rFonts w:hint="eastAsia" w:ascii="宋体" w:hAnsi="宋体" w:eastAsia="宋体" w:cs="宋体"/>
                <w:color w:val="auto"/>
                <w:szCs w:val="21"/>
                <w:highlight w:val="none"/>
                <w:lang w:eastAsia="zh-CN"/>
              </w:rPr>
              <w:t>计算公式如下：</w:t>
            </w:r>
          </w:p>
          <w:p>
            <w:pPr>
              <w:pStyle w:val="2"/>
              <w:numPr>
                <w:ilvl w:val="0"/>
                <w:numId w:val="0"/>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2、报价等于基准价的，得分=</w:t>
            </w:r>
            <w:r>
              <w:rPr>
                <w:rFonts w:hint="eastAsia" w:hAnsi="宋体" w:cs="宋体"/>
                <w:color w:val="auto"/>
                <w:highlight w:val="none"/>
                <w:lang w:val="en-US" w:eastAsia="zh-CN"/>
              </w:rPr>
              <w:t>6</w:t>
            </w:r>
            <w:r>
              <w:rPr>
                <w:rFonts w:hint="eastAsia" w:ascii="宋体" w:hAnsi="宋体" w:eastAsia="宋体" w:cs="宋体"/>
                <w:color w:val="auto"/>
                <w:highlight w:val="none"/>
                <w:lang w:val="en-US" w:eastAsia="zh-CN"/>
              </w:rPr>
              <w:t>0。</w:t>
            </w:r>
          </w:p>
          <w:p>
            <w:pPr>
              <w:pStyle w:val="2"/>
              <w:numPr>
                <w:ilvl w:val="0"/>
                <w:numId w:val="0"/>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3、报价高于基准价的，得分=</w:t>
            </w:r>
            <w:r>
              <w:rPr>
                <w:rFonts w:hint="eastAsia" w:hAnsi="宋体" w:cs="宋体"/>
                <w:color w:val="auto"/>
                <w:highlight w:val="none"/>
                <w:lang w:val="en-US" w:eastAsia="zh-CN"/>
              </w:rPr>
              <w:t>6</w:t>
            </w:r>
            <w:r>
              <w:rPr>
                <w:rFonts w:hint="eastAsia" w:ascii="宋体" w:hAnsi="宋体" w:eastAsia="宋体" w:cs="宋体"/>
                <w:color w:val="auto"/>
                <w:highlight w:val="none"/>
                <w:lang w:val="en-US" w:eastAsia="zh-CN"/>
              </w:rPr>
              <w:t>0-[（报价-基准价）/基准价]×100×1</w:t>
            </w:r>
          </w:p>
          <w:p>
            <w:pPr>
              <w:pStyle w:val="2"/>
              <w:numPr>
                <w:ilvl w:val="0"/>
                <w:numId w:val="0"/>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3、报价低于基准价的，得分=</w:t>
            </w:r>
            <w:r>
              <w:rPr>
                <w:rFonts w:hint="eastAsia" w:hAnsi="宋体" w:cs="宋体"/>
                <w:color w:val="auto"/>
                <w:highlight w:val="none"/>
                <w:lang w:val="en-US" w:eastAsia="zh-CN"/>
              </w:rPr>
              <w:t>6</w:t>
            </w:r>
            <w:r>
              <w:rPr>
                <w:rFonts w:hint="eastAsia" w:ascii="宋体" w:hAnsi="宋体" w:eastAsia="宋体" w:cs="宋体"/>
                <w:color w:val="auto"/>
                <w:highlight w:val="none"/>
                <w:lang w:val="en-US" w:eastAsia="zh-CN"/>
              </w:rPr>
              <w:t>0-[（基准价-报价）/基准价]×100×0.5</w:t>
            </w:r>
          </w:p>
        </w:tc>
        <w:tc>
          <w:tcPr>
            <w:tcW w:w="240" w:type="dxa"/>
            <w:vAlign w:val="center"/>
          </w:tcPr>
          <w:p>
            <w:pPr>
              <w:spacing w:line="36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09" w:type="dxa"/>
            <w:vAlign w:val="center"/>
          </w:tcPr>
          <w:p>
            <w:pPr>
              <w:spacing w:line="22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r>
              <w:rPr>
                <w:rFonts w:hint="eastAsia" w:ascii="宋体" w:hAnsi="宋体" w:eastAsia="宋体" w:cs="宋体"/>
                <w:color w:val="auto"/>
                <w:szCs w:val="21"/>
                <w:highlight w:val="none"/>
                <w:lang w:eastAsia="zh-CN"/>
              </w:rPr>
              <w:t>分</w:t>
            </w:r>
          </w:p>
        </w:tc>
        <w:tc>
          <w:tcPr>
            <w:tcW w:w="9797" w:type="dxa"/>
            <w:vAlign w:val="center"/>
          </w:tcPr>
          <w:p>
            <w:pPr>
              <w:spacing w:line="220" w:lineRule="exact"/>
              <w:ind w:left="-2" w:leftChars="-1"/>
              <w:rPr>
                <w:rFonts w:hint="eastAsia" w:ascii="宋体" w:hAnsi="宋体" w:eastAsia="宋体" w:cs="宋体"/>
                <w:color w:val="auto"/>
                <w:sz w:val="21"/>
                <w:szCs w:val="21"/>
                <w:highlight w:val="none"/>
              </w:rPr>
            </w:pPr>
          </w:p>
        </w:tc>
        <w:tc>
          <w:tcPr>
            <w:tcW w:w="240" w:type="dxa"/>
            <w:vAlign w:val="center"/>
          </w:tcPr>
          <w:p>
            <w:pPr>
              <w:spacing w:line="360" w:lineRule="exact"/>
              <w:ind w:left="-2" w:leftChars="-1"/>
              <w:rPr>
                <w:rFonts w:hint="eastAsia" w:ascii="宋体" w:hAnsi="宋体" w:eastAsia="宋体" w:cs="宋体"/>
                <w:color w:val="auto"/>
                <w:sz w:val="21"/>
                <w:szCs w:val="21"/>
                <w:highlight w:val="none"/>
              </w:rPr>
            </w:pP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napToGrid w:val="0"/>
        <w:ind w:firstLine="0" w:firstLineChars="0"/>
        <w:rPr>
          <w:rFonts w:hint="eastAsia" w:ascii="宋体" w:hAnsi="宋体" w:cs="宋体"/>
          <w:color w:val="auto"/>
          <w:szCs w:val="18"/>
          <w:highlight w:val="none"/>
          <w:lang w:eastAsia="zh-CN"/>
        </w:rPr>
      </w:pPr>
      <w:r>
        <w:rPr>
          <w:rFonts w:hint="eastAsia" w:ascii="宋体" w:hAnsi="宋体" w:cs="宋体"/>
          <w:color w:val="auto"/>
          <w:szCs w:val="18"/>
          <w:highlight w:val="none"/>
          <w:lang w:val="en-US" w:eastAsia="zh-CN"/>
        </w:rPr>
        <w:t xml:space="preserve">    </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p>
      <w:pPr>
        <w:pStyle w:val="23"/>
        <w:ind w:firstLine="0" w:firstLineChars="0"/>
        <w:rPr>
          <w:rFonts w:hint="eastAsia" w:ascii="宋体" w:hAnsi="宋体" w:eastAsia="宋体" w:cs="宋体"/>
          <w:color w:val="auto"/>
          <w:szCs w:val="21"/>
          <w:highlight w:val="none"/>
          <w:lang w:val="en-US" w:eastAsia="zh-CN"/>
        </w:rPr>
        <w:sectPr>
          <w:pgSz w:w="15840" w:h="12240" w:orient="landscape"/>
          <w:pgMar w:top="1797" w:right="1440" w:bottom="1797" w:left="1440" w:header="720" w:footer="720" w:gutter="0"/>
          <w:cols w:space="425" w:num="1"/>
          <w:docGrid w:linePitch="312" w:charSpace="0"/>
        </w:sectPr>
      </w:pPr>
      <w:r>
        <w:rPr>
          <w:rFonts w:hint="eastAsia" w:ascii="宋体" w:hAnsi="宋体" w:cs="宋体"/>
          <w:color w:val="auto"/>
          <w:szCs w:val="21"/>
          <w:highlight w:val="none"/>
          <w:lang w:val="en-US" w:eastAsia="zh-CN"/>
        </w:rPr>
        <w:t xml:space="preserve">   </w:t>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8"/>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广州南沙国际物流有限公司</w:t>
      </w:r>
      <w:r>
        <w:rPr>
          <w:rFonts w:hint="eastAsia" w:ascii="宋体" w:hAnsi="宋体" w:eastAsia="宋体"/>
          <w:color w:val="auto"/>
          <w:sz w:val="24"/>
          <w:szCs w:val="24"/>
          <w:highlight w:val="none"/>
          <w:u w:val="single"/>
        </w:rPr>
        <w:t xml:space="preserve">、广州南沙建设维护管理有限公司 </w:t>
      </w:r>
    </w:p>
    <w:p>
      <w:pPr>
        <w:pStyle w:val="38"/>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pacing w:val="20"/>
          <w:sz w:val="24"/>
          <w:szCs w:val="24"/>
          <w:highlight w:val="none"/>
          <w:u w:val="single"/>
          <w:lang w:eastAsia="zh-CN"/>
        </w:rPr>
        <w:t>港口新鲜集市（A地块）项目一期集装箱采购及安装</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38"/>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8"/>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8"/>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8"/>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8"/>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lang w:eastAsia="zh-CN"/>
        </w:rPr>
        <w:t>本公司保证本次投标中没有上述单位参与</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8"/>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8"/>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9"/>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8"/>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8"/>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2"/>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path/>
          <v:fill on="f" focussize="0,0"/>
          <v:stroke on="f" weight="0.5pt" joinstyle="miter"/>
          <v:imagedata o:title=""/>
          <o:lock v:ext="edit"/>
          <v:textbox inset="0mm,0mm,0mm,0mm" style="mso-fit-shape-to-text:t;">
            <w:txbxContent>
              <w:p>
                <w:pPr>
                  <w:pStyle w:val="11"/>
                </w:pPr>
                <w:r>
                  <w:fldChar w:fldCharType="begin"/>
                </w:r>
                <w:r>
                  <w:instrText xml:space="preserve"> PAGE  \* MERGEFORMAT </w:instrText>
                </w:r>
                <w:r>
                  <w:fldChar w:fldCharType="separate"/>
                </w:r>
                <w:r>
                  <w:t>15</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1027"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path/>
          <v:fill on="f" focussize="0,0"/>
          <v:stroke on="f" weight="0.5pt" joinstyle="miter"/>
          <v:imagedata o:title=""/>
          <o:lock v:ext="edit"/>
          <v:textbox inset="0mm,0mm,0mm,0mm" style="mso-fit-shape-to-text:t;">
            <w:txbxContent>
              <w:p>
                <w:pPr>
                  <w:pStyle w:val="11"/>
                </w:pPr>
                <w:r>
                  <w:fldChar w:fldCharType="begin"/>
                </w:r>
                <w:r>
                  <w:instrText xml:space="preserve"> PAGE  \* MERGEFORMAT </w:instrText>
                </w:r>
                <w:r>
                  <w:fldChar w:fldCharType="separate"/>
                </w:r>
                <w:r>
                  <w:t>32</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AD8457"/>
    <w:multiLevelType w:val="singleLevel"/>
    <w:tmpl w:val="87AD8457"/>
    <w:lvl w:ilvl="0" w:tentative="0">
      <w:start w:val="1"/>
      <w:numFmt w:val="decimal"/>
      <w:lvlText w:val="%1)"/>
      <w:lvlJc w:val="left"/>
      <w:pPr>
        <w:ind w:left="425" w:hanging="425"/>
      </w:pPr>
      <w:rPr>
        <w:rFonts w:hint="default"/>
      </w:rPr>
    </w:lvl>
  </w:abstractNum>
  <w:abstractNum w:abstractNumId="1">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2">
    <w:nsid w:val="B7474BCF"/>
    <w:multiLevelType w:val="singleLevel"/>
    <w:tmpl w:val="B7474BCF"/>
    <w:lvl w:ilvl="0" w:tentative="0">
      <w:start w:val="1"/>
      <w:numFmt w:val="decimal"/>
      <w:lvlText w:val="%1)"/>
      <w:lvlJc w:val="left"/>
      <w:pPr>
        <w:ind w:left="425" w:hanging="425"/>
      </w:pPr>
      <w:rPr>
        <w:rFonts w:hint="default"/>
      </w:rPr>
    </w:lvl>
  </w:abstractNum>
  <w:abstractNum w:abstractNumId="3">
    <w:nsid w:val="CB8718C6"/>
    <w:multiLevelType w:val="singleLevel"/>
    <w:tmpl w:val="CB8718C6"/>
    <w:lvl w:ilvl="0" w:tentative="0">
      <w:start w:val="3"/>
      <w:numFmt w:val="decimal"/>
      <w:suff w:val="nothing"/>
      <w:lvlText w:val="%1、"/>
      <w:lvlJc w:val="left"/>
    </w:lvl>
  </w:abstractNum>
  <w:abstractNum w:abstractNumId="4">
    <w:nsid w:val="3C3EE093"/>
    <w:multiLevelType w:val="singleLevel"/>
    <w:tmpl w:val="3C3EE093"/>
    <w:lvl w:ilvl="0" w:tentative="0">
      <w:start w:val="1"/>
      <w:numFmt w:val="decimal"/>
      <w:suff w:val="nothing"/>
      <w:lvlText w:val="%1、"/>
      <w:lvlJc w:val="left"/>
    </w:lvl>
  </w:abstractNum>
  <w:abstractNum w:abstractNumId="5">
    <w:nsid w:val="7A7B36A8"/>
    <w:multiLevelType w:val="singleLevel"/>
    <w:tmpl w:val="7A7B36A8"/>
    <w:lvl w:ilvl="0" w:tentative="0">
      <w:start w:val="33"/>
      <w:numFmt w:val="decimal"/>
      <w:suff w:val="nothing"/>
      <w:lvlText w:val="%1．"/>
      <w:lvlJc w:val="left"/>
    </w:lvl>
  </w:abstractNum>
  <w:num w:numId="1">
    <w:abstractNumId w:val="3"/>
  </w:num>
  <w:num w:numId="2">
    <w:abstractNumId w:val="0"/>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2JjMjg4NjNjMGQ5OWQxMjU2NzFkNWEwMzQxMDU5MzI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04110C"/>
    <w:rsid w:val="025A13E2"/>
    <w:rsid w:val="02E9680F"/>
    <w:rsid w:val="02F7533D"/>
    <w:rsid w:val="030457ED"/>
    <w:rsid w:val="03562994"/>
    <w:rsid w:val="0361265C"/>
    <w:rsid w:val="03CB6D70"/>
    <w:rsid w:val="04364A4F"/>
    <w:rsid w:val="04376975"/>
    <w:rsid w:val="04435BE0"/>
    <w:rsid w:val="044C08C6"/>
    <w:rsid w:val="04E40895"/>
    <w:rsid w:val="051B7598"/>
    <w:rsid w:val="052E78DA"/>
    <w:rsid w:val="059A4101"/>
    <w:rsid w:val="079A3CDA"/>
    <w:rsid w:val="07F66A4C"/>
    <w:rsid w:val="083B43B1"/>
    <w:rsid w:val="08757A2C"/>
    <w:rsid w:val="08A9464F"/>
    <w:rsid w:val="08D505E6"/>
    <w:rsid w:val="08E03A6C"/>
    <w:rsid w:val="09062DA7"/>
    <w:rsid w:val="09577D3C"/>
    <w:rsid w:val="0967478B"/>
    <w:rsid w:val="09A667E8"/>
    <w:rsid w:val="0A31358E"/>
    <w:rsid w:val="0A621C44"/>
    <w:rsid w:val="0B372B92"/>
    <w:rsid w:val="0B731858"/>
    <w:rsid w:val="0BFF40FB"/>
    <w:rsid w:val="0C855B7E"/>
    <w:rsid w:val="0C87037B"/>
    <w:rsid w:val="0CDD1DD9"/>
    <w:rsid w:val="0CF74903"/>
    <w:rsid w:val="0E1B10A8"/>
    <w:rsid w:val="0E80564C"/>
    <w:rsid w:val="0E8C2C83"/>
    <w:rsid w:val="0EA03B8A"/>
    <w:rsid w:val="0EAC0C18"/>
    <w:rsid w:val="0EB25F9A"/>
    <w:rsid w:val="0ED8481A"/>
    <w:rsid w:val="0F263AB3"/>
    <w:rsid w:val="0F8D0176"/>
    <w:rsid w:val="0FD73768"/>
    <w:rsid w:val="0FF96C9A"/>
    <w:rsid w:val="10A4638E"/>
    <w:rsid w:val="10AB649B"/>
    <w:rsid w:val="10D83B3D"/>
    <w:rsid w:val="11135DC8"/>
    <w:rsid w:val="11D31BC3"/>
    <w:rsid w:val="11F528ED"/>
    <w:rsid w:val="1265210E"/>
    <w:rsid w:val="12B11938"/>
    <w:rsid w:val="12D70506"/>
    <w:rsid w:val="12E86716"/>
    <w:rsid w:val="12FB03D7"/>
    <w:rsid w:val="13082AF4"/>
    <w:rsid w:val="130F5872"/>
    <w:rsid w:val="134A310C"/>
    <w:rsid w:val="13E640E2"/>
    <w:rsid w:val="13E744B7"/>
    <w:rsid w:val="14082F52"/>
    <w:rsid w:val="14085DAD"/>
    <w:rsid w:val="14233C6D"/>
    <w:rsid w:val="14452035"/>
    <w:rsid w:val="1448567A"/>
    <w:rsid w:val="145B3800"/>
    <w:rsid w:val="14725C9B"/>
    <w:rsid w:val="15B036FB"/>
    <w:rsid w:val="16007AF5"/>
    <w:rsid w:val="17463991"/>
    <w:rsid w:val="179E3273"/>
    <w:rsid w:val="17E977C8"/>
    <w:rsid w:val="182C4B8E"/>
    <w:rsid w:val="1873680D"/>
    <w:rsid w:val="18E67433"/>
    <w:rsid w:val="18F12637"/>
    <w:rsid w:val="19095239"/>
    <w:rsid w:val="19A846E9"/>
    <w:rsid w:val="19BE3F0C"/>
    <w:rsid w:val="19F0171A"/>
    <w:rsid w:val="1A18361C"/>
    <w:rsid w:val="1A5A3C35"/>
    <w:rsid w:val="1A6525DA"/>
    <w:rsid w:val="1AB46DAB"/>
    <w:rsid w:val="1B6C2995"/>
    <w:rsid w:val="1BB630ED"/>
    <w:rsid w:val="1BC44893"/>
    <w:rsid w:val="1BE136FF"/>
    <w:rsid w:val="1C05708F"/>
    <w:rsid w:val="1C307374"/>
    <w:rsid w:val="1C9203A6"/>
    <w:rsid w:val="1E032835"/>
    <w:rsid w:val="1E562810"/>
    <w:rsid w:val="1EB63404"/>
    <w:rsid w:val="1EBD45C4"/>
    <w:rsid w:val="1F1C5732"/>
    <w:rsid w:val="1F584BD1"/>
    <w:rsid w:val="1F7A6193"/>
    <w:rsid w:val="205D447F"/>
    <w:rsid w:val="206E043A"/>
    <w:rsid w:val="20AD4C4C"/>
    <w:rsid w:val="21424D60"/>
    <w:rsid w:val="215321ED"/>
    <w:rsid w:val="224A02E7"/>
    <w:rsid w:val="227411DF"/>
    <w:rsid w:val="22934188"/>
    <w:rsid w:val="23EE6B47"/>
    <w:rsid w:val="24856237"/>
    <w:rsid w:val="25053D8A"/>
    <w:rsid w:val="25687B33"/>
    <w:rsid w:val="25791876"/>
    <w:rsid w:val="26236584"/>
    <w:rsid w:val="26826F29"/>
    <w:rsid w:val="26B94C66"/>
    <w:rsid w:val="26EC20B9"/>
    <w:rsid w:val="26FF6942"/>
    <w:rsid w:val="272101A5"/>
    <w:rsid w:val="272B74FA"/>
    <w:rsid w:val="2751149E"/>
    <w:rsid w:val="2837076A"/>
    <w:rsid w:val="2865301D"/>
    <w:rsid w:val="28C86C87"/>
    <w:rsid w:val="29051210"/>
    <w:rsid w:val="296119D7"/>
    <w:rsid w:val="2987431B"/>
    <w:rsid w:val="2A446D64"/>
    <w:rsid w:val="2A97100B"/>
    <w:rsid w:val="2AFF2542"/>
    <w:rsid w:val="2B401296"/>
    <w:rsid w:val="2B5D2502"/>
    <w:rsid w:val="2B7B3A0B"/>
    <w:rsid w:val="2BAE6875"/>
    <w:rsid w:val="2BEC17AE"/>
    <w:rsid w:val="2C0B6D4E"/>
    <w:rsid w:val="2C1B0D4A"/>
    <w:rsid w:val="2C5357E2"/>
    <w:rsid w:val="2C842E83"/>
    <w:rsid w:val="2CD5279B"/>
    <w:rsid w:val="2D0635AD"/>
    <w:rsid w:val="2D691CC1"/>
    <w:rsid w:val="2D907150"/>
    <w:rsid w:val="2DDB1EBF"/>
    <w:rsid w:val="2DE71DA9"/>
    <w:rsid w:val="2DF963B5"/>
    <w:rsid w:val="2E6C5CB5"/>
    <w:rsid w:val="2EC40C57"/>
    <w:rsid w:val="2EE433BF"/>
    <w:rsid w:val="2EED69CE"/>
    <w:rsid w:val="2F740E9D"/>
    <w:rsid w:val="2F777046"/>
    <w:rsid w:val="2F9B6BBA"/>
    <w:rsid w:val="2FE96F27"/>
    <w:rsid w:val="2FEA73B1"/>
    <w:rsid w:val="30136E93"/>
    <w:rsid w:val="30334755"/>
    <w:rsid w:val="30E46994"/>
    <w:rsid w:val="30EC6390"/>
    <w:rsid w:val="311233CC"/>
    <w:rsid w:val="313A6212"/>
    <w:rsid w:val="31B57180"/>
    <w:rsid w:val="33113670"/>
    <w:rsid w:val="3411535B"/>
    <w:rsid w:val="34935BA4"/>
    <w:rsid w:val="34A264CA"/>
    <w:rsid w:val="34C314BD"/>
    <w:rsid w:val="35830B03"/>
    <w:rsid w:val="366D6646"/>
    <w:rsid w:val="3700775A"/>
    <w:rsid w:val="37A26BD4"/>
    <w:rsid w:val="37A33759"/>
    <w:rsid w:val="37AE7FE3"/>
    <w:rsid w:val="37B20151"/>
    <w:rsid w:val="37C702A9"/>
    <w:rsid w:val="383813C8"/>
    <w:rsid w:val="38417D8A"/>
    <w:rsid w:val="390B4D39"/>
    <w:rsid w:val="39131727"/>
    <w:rsid w:val="392A6A70"/>
    <w:rsid w:val="39731517"/>
    <w:rsid w:val="39F52602"/>
    <w:rsid w:val="39FC703A"/>
    <w:rsid w:val="3AC802EF"/>
    <w:rsid w:val="3B183024"/>
    <w:rsid w:val="3B6D4312"/>
    <w:rsid w:val="3BB718A6"/>
    <w:rsid w:val="3BBA1D8E"/>
    <w:rsid w:val="3BC04127"/>
    <w:rsid w:val="3C88543E"/>
    <w:rsid w:val="3CB7521C"/>
    <w:rsid w:val="3CE76215"/>
    <w:rsid w:val="3CFF0303"/>
    <w:rsid w:val="3D7619F9"/>
    <w:rsid w:val="3D957982"/>
    <w:rsid w:val="3D96007A"/>
    <w:rsid w:val="3D965718"/>
    <w:rsid w:val="3E817133"/>
    <w:rsid w:val="3EDC25BB"/>
    <w:rsid w:val="3F4915A0"/>
    <w:rsid w:val="3F5F332B"/>
    <w:rsid w:val="3F641BC2"/>
    <w:rsid w:val="3F8502F8"/>
    <w:rsid w:val="3FBE56FE"/>
    <w:rsid w:val="3FD704B2"/>
    <w:rsid w:val="403B7AF1"/>
    <w:rsid w:val="405854B3"/>
    <w:rsid w:val="408D1DBF"/>
    <w:rsid w:val="409313F9"/>
    <w:rsid w:val="40B7508E"/>
    <w:rsid w:val="40CA2819"/>
    <w:rsid w:val="41EC3A6C"/>
    <w:rsid w:val="423E6389"/>
    <w:rsid w:val="42A2655E"/>
    <w:rsid w:val="42E94BAC"/>
    <w:rsid w:val="43420D2F"/>
    <w:rsid w:val="436C5E0D"/>
    <w:rsid w:val="43952229"/>
    <w:rsid w:val="43F36E83"/>
    <w:rsid w:val="44631084"/>
    <w:rsid w:val="446A549B"/>
    <w:rsid w:val="44755126"/>
    <w:rsid w:val="44800368"/>
    <w:rsid w:val="44E811C0"/>
    <w:rsid w:val="456D7CF3"/>
    <w:rsid w:val="457C68A6"/>
    <w:rsid w:val="45E74C1B"/>
    <w:rsid w:val="46871AD6"/>
    <w:rsid w:val="47025D0E"/>
    <w:rsid w:val="4735560E"/>
    <w:rsid w:val="47413F22"/>
    <w:rsid w:val="4792678F"/>
    <w:rsid w:val="47E03B89"/>
    <w:rsid w:val="481D5A38"/>
    <w:rsid w:val="482B34F2"/>
    <w:rsid w:val="487975A7"/>
    <w:rsid w:val="48E17BF2"/>
    <w:rsid w:val="48E72086"/>
    <w:rsid w:val="49732ED5"/>
    <w:rsid w:val="499C01CA"/>
    <w:rsid w:val="49EF5898"/>
    <w:rsid w:val="4A1079FD"/>
    <w:rsid w:val="4A1D620C"/>
    <w:rsid w:val="4A225C6E"/>
    <w:rsid w:val="4A2D4613"/>
    <w:rsid w:val="4AB443EC"/>
    <w:rsid w:val="4AED722D"/>
    <w:rsid w:val="4B3D40BA"/>
    <w:rsid w:val="4BC136D0"/>
    <w:rsid w:val="4BF328A0"/>
    <w:rsid w:val="4C2E17B4"/>
    <w:rsid w:val="4C372CAF"/>
    <w:rsid w:val="4C81677F"/>
    <w:rsid w:val="4D195C1E"/>
    <w:rsid w:val="4D904DD7"/>
    <w:rsid w:val="4D9C287D"/>
    <w:rsid w:val="4D9D385D"/>
    <w:rsid w:val="4DC04FA6"/>
    <w:rsid w:val="4DC53F66"/>
    <w:rsid w:val="4E2A0E48"/>
    <w:rsid w:val="4FC91A1A"/>
    <w:rsid w:val="5049448C"/>
    <w:rsid w:val="50DB6247"/>
    <w:rsid w:val="51531E87"/>
    <w:rsid w:val="51552F81"/>
    <w:rsid w:val="51AB2104"/>
    <w:rsid w:val="525A7F6F"/>
    <w:rsid w:val="52760C06"/>
    <w:rsid w:val="52A35200"/>
    <w:rsid w:val="52C2143B"/>
    <w:rsid w:val="530E35F9"/>
    <w:rsid w:val="531A11E6"/>
    <w:rsid w:val="53427976"/>
    <w:rsid w:val="53A07C03"/>
    <w:rsid w:val="53A63423"/>
    <w:rsid w:val="53B638D1"/>
    <w:rsid w:val="54386D63"/>
    <w:rsid w:val="54A36172"/>
    <w:rsid w:val="54BC0EE8"/>
    <w:rsid w:val="55592415"/>
    <w:rsid w:val="55D122F6"/>
    <w:rsid w:val="55D41C4B"/>
    <w:rsid w:val="55F5163D"/>
    <w:rsid w:val="5702252D"/>
    <w:rsid w:val="572444C0"/>
    <w:rsid w:val="576D49E8"/>
    <w:rsid w:val="57B957CF"/>
    <w:rsid w:val="57DA583E"/>
    <w:rsid w:val="594F1692"/>
    <w:rsid w:val="59566C52"/>
    <w:rsid w:val="597674DD"/>
    <w:rsid w:val="59B91A1F"/>
    <w:rsid w:val="5A416E84"/>
    <w:rsid w:val="5AAF5CCA"/>
    <w:rsid w:val="5B6E68B8"/>
    <w:rsid w:val="5B6F6839"/>
    <w:rsid w:val="5B8D6C19"/>
    <w:rsid w:val="5BAA698D"/>
    <w:rsid w:val="5BC65072"/>
    <w:rsid w:val="5BCE61FA"/>
    <w:rsid w:val="5C9B134E"/>
    <w:rsid w:val="5CF77B24"/>
    <w:rsid w:val="5D5E6B65"/>
    <w:rsid w:val="5D891708"/>
    <w:rsid w:val="5DAA1580"/>
    <w:rsid w:val="5DF14932"/>
    <w:rsid w:val="5DFF04E8"/>
    <w:rsid w:val="5E1A6FB5"/>
    <w:rsid w:val="5E7A3CE2"/>
    <w:rsid w:val="5E960581"/>
    <w:rsid w:val="5F355496"/>
    <w:rsid w:val="5F8349F8"/>
    <w:rsid w:val="5F865CD7"/>
    <w:rsid w:val="5F925D77"/>
    <w:rsid w:val="5FDC4484"/>
    <w:rsid w:val="607E5A53"/>
    <w:rsid w:val="60BA0556"/>
    <w:rsid w:val="60C631DD"/>
    <w:rsid w:val="60F61E20"/>
    <w:rsid w:val="612754C0"/>
    <w:rsid w:val="618B1EF3"/>
    <w:rsid w:val="61A7533B"/>
    <w:rsid w:val="621244D5"/>
    <w:rsid w:val="62B2296D"/>
    <w:rsid w:val="62B247EF"/>
    <w:rsid w:val="633E3777"/>
    <w:rsid w:val="636147EE"/>
    <w:rsid w:val="63DB6B9E"/>
    <w:rsid w:val="65B441A4"/>
    <w:rsid w:val="65D8147F"/>
    <w:rsid w:val="66373494"/>
    <w:rsid w:val="663E17E3"/>
    <w:rsid w:val="66591B82"/>
    <w:rsid w:val="66593A91"/>
    <w:rsid w:val="67D46774"/>
    <w:rsid w:val="68550B65"/>
    <w:rsid w:val="6898637C"/>
    <w:rsid w:val="68B16D7B"/>
    <w:rsid w:val="68BA7003"/>
    <w:rsid w:val="691C25EA"/>
    <w:rsid w:val="691C73CA"/>
    <w:rsid w:val="698555C7"/>
    <w:rsid w:val="6B601D2D"/>
    <w:rsid w:val="6BF6265F"/>
    <w:rsid w:val="6C281E78"/>
    <w:rsid w:val="6C307E68"/>
    <w:rsid w:val="6C3A341E"/>
    <w:rsid w:val="6C920572"/>
    <w:rsid w:val="6CC85DA9"/>
    <w:rsid w:val="6DB227E4"/>
    <w:rsid w:val="6DBE1759"/>
    <w:rsid w:val="6DC31ECB"/>
    <w:rsid w:val="6E307289"/>
    <w:rsid w:val="6E656845"/>
    <w:rsid w:val="6F2A4AF9"/>
    <w:rsid w:val="6F471F5D"/>
    <w:rsid w:val="6F563B40"/>
    <w:rsid w:val="6F891280"/>
    <w:rsid w:val="6F8E74DB"/>
    <w:rsid w:val="70727FF1"/>
    <w:rsid w:val="70836CF8"/>
    <w:rsid w:val="70CF07C8"/>
    <w:rsid w:val="710F157A"/>
    <w:rsid w:val="71840FD7"/>
    <w:rsid w:val="718C3480"/>
    <w:rsid w:val="72101E0D"/>
    <w:rsid w:val="721D56A4"/>
    <w:rsid w:val="72913F83"/>
    <w:rsid w:val="72987FCC"/>
    <w:rsid w:val="72BF7C4E"/>
    <w:rsid w:val="72F3401B"/>
    <w:rsid w:val="731416B4"/>
    <w:rsid w:val="731A3639"/>
    <w:rsid w:val="736C262E"/>
    <w:rsid w:val="73712518"/>
    <w:rsid w:val="738A0204"/>
    <w:rsid w:val="738E7AB2"/>
    <w:rsid w:val="73AA787E"/>
    <w:rsid w:val="73EF0074"/>
    <w:rsid w:val="74123DAE"/>
    <w:rsid w:val="742D0BE7"/>
    <w:rsid w:val="744C3764"/>
    <w:rsid w:val="74624F7D"/>
    <w:rsid w:val="74B72A06"/>
    <w:rsid w:val="7546516B"/>
    <w:rsid w:val="75AF555B"/>
    <w:rsid w:val="763204BA"/>
    <w:rsid w:val="767D2F83"/>
    <w:rsid w:val="76F3488A"/>
    <w:rsid w:val="77281C38"/>
    <w:rsid w:val="7741229E"/>
    <w:rsid w:val="781828A1"/>
    <w:rsid w:val="781C3DC0"/>
    <w:rsid w:val="784A356A"/>
    <w:rsid w:val="78780B98"/>
    <w:rsid w:val="788E06C1"/>
    <w:rsid w:val="78D76423"/>
    <w:rsid w:val="78D86E43"/>
    <w:rsid w:val="79566D81"/>
    <w:rsid w:val="79B10E72"/>
    <w:rsid w:val="79E02BD8"/>
    <w:rsid w:val="7A2B55F9"/>
    <w:rsid w:val="7A3458D0"/>
    <w:rsid w:val="7A4B048B"/>
    <w:rsid w:val="7A7C35B8"/>
    <w:rsid w:val="7A96669D"/>
    <w:rsid w:val="7AC70013"/>
    <w:rsid w:val="7B2368A0"/>
    <w:rsid w:val="7B672810"/>
    <w:rsid w:val="7B681B66"/>
    <w:rsid w:val="7C561F60"/>
    <w:rsid w:val="7C6B2EC5"/>
    <w:rsid w:val="7C831CEC"/>
    <w:rsid w:val="7DDF7DDD"/>
    <w:rsid w:val="7E2A3AEF"/>
    <w:rsid w:val="7E300909"/>
    <w:rsid w:val="7E3A59BF"/>
    <w:rsid w:val="7EC125E3"/>
    <w:rsid w:val="7EC84C80"/>
    <w:rsid w:val="7EF55FF4"/>
    <w:rsid w:val="7F0627ED"/>
    <w:rsid w:val="7FE40AB5"/>
    <w:rsid w:val="7FEA4922"/>
    <w:rsid w:val="7FED1307"/>
    <w:rsid w:val="7FED72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35"/>
    <w:qFormat/>
    <w:uiPriority w:val="0"/>
    <w:rPr>
      <w:rFonts w:hint="eastAsia" w:ascii="宋体" w:hAnsi="Courier New" w:eastAsia="宋体" w:cs="Times New Roman"/>
      <w:szCs w:val="21"/>
    </w:rPr>
  </w:style>
  <w:style w:type="paragraph" w:styleId="5">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qFormat/>
    <w:uiPriority w:val="0"/>
    <w:pPr>
      <w:ind w:firstLine="420"/>
    </w:pPr>
    <w:rPr>
      <w:rFonts w:ascii="Times New Roman" w:hAnsi="Times New Roman" w:eastAsia="宋体" w:cs="Times New Roman"/>
      <w:szCs w:val="20"/>
    </w:rPr>
  </w:style>
  <w:style w:type="paragraph" w:styleId="7">
    <w:name w:val="annotation text"/>
    <w:basedOn w:val="1"/>
    <w:semiHidden/>
    <w:unhideWhenUsed/>
    <w:qFormat/>
    <w:uiPriority w:val="0"/>
    <w:pPr>
      <w:jc w:val="left"/>
    </w:pPr>
  </w:style>
  <w:style w:type="paragraph" w:styleId="8">
    <w:name w:val="Body Text"/>
    <w:basedOn w:val="1"/>
    <w:next w:val="9"/>
    <w:qFormat/>
    <w:uiPriority w:val="0"/>
  </w:style>
  <w:style w:type="paragraph" w:styleId="9">
    <w:name w:val="Body Text 2"/>
    <w:basedOn w:val="1"/>
    <w:qFormat/>
    <w:uiPriority w:val="0"/>
    <w:pPr>
      <w:spacing w:line="200" w:lineRule="atLeast"/>
    </w:pPr>
    <w:rPr>
      <w:sz w:val="18"/>
      <w:szCs w:val="20"/>
    </w:rPr>
  </w:style>
  <w:style w:type="paragraph" w:styleId="10">
    <w:name w:val="Balloon Text"/>
    <w:basedOn w:val="1"/>
    <w:link w:val="33"/>
    <w:qFormat/>
    <w:uiPriority w:val="0"/>
    <w:rPr>
      <w:sz w:val="18"/>
      <w:szCs w:val="18"/>
    </w:rPr>
  </w:style>
  <w:style w:type="paragraph" w:styleId="11">
    <w:name w:val="footer"/>
    <w:basedOn w:val="1"/>
    <w:link w:val="32"/>
    <w:qFormat/>
    <w:uiPriority w:val="0"/>
    <w:pPr>
      <w:tabs>
        <w:tab w:val="center" w:pos="4153"/>
        <w:tab w:val="right" w:pos="8306"/>
      </w:tabs>
      <w:snapToGrid w:val="0"/>
      <w:jc w:val="left"/>
    </w:pPr>
    <w:rPr>
      <w:sz w:val="18"/>
      <w:szCs w:val="18"/>
    </w:rPr>
  </w:style>
  <w:style w:type="paragraph" w:styleId="12">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1"/>
    </w:rPr>
  </w:style>
  <w:style w:type="paragraph" w:styleId="14">
    <w:name w:val="Body Text First Indent"/>
    <w:basedOn w:val="8"/>
    <w:link w:val="36"/>
    <w:qFormat/>
    <w:uiPriority w:val="0"/>
    <w:pPr>
      <w:spacing w:beforeAutospacing="1" w:after="120"/>
      <w:ind w:firstLine="420"/>
    </w:pPr>
    <w:rPr>
      <w:rFonts w:ascii="Times New Roman" w:hAnsi="Times New Roman" w:eastAsia="宋体" w:cs="Times New Roman"/>
      <w:szCs w:val="21"/>
    </w:rPr>
  </w:style>
  <w:style w:type="character" w:styleId="17">
    <w:name w:val="page number"/>
    <w:basedOn w:val="16"/>
    <w:qFormat/>
    <w:uiPriority w:val="0"/>
  </w:style>
  <w:style w:type="character" w:styleId="18">
    <w:name w:val="FollowedHyperlink"/>
    <w:basedOn w:val="16"/>
    <w:qFormat/>
    <w:uiPriority w:val="0"/>
    <w:rPr>
      <w:color w:val="0000FF"/>
      <w:u w:val="single"/>
    </w:rPr>
  </w:style>
  <w:style w:type="character" w:styleId="19">
    <w:name w:val="Hyperlink"/>
    <w:basedOn w:val="16"/>
    <w:qFormat/>
    <w:uiPriority w:val="0"/>
    <w:rPr>
      <w:color w:val="0000FF"/>
      <w:u w:val="single"/>
    </w:rPr>
  </w:style>
  <w:style w:type="character" w:styleId="20">
    <w:name w:val="annotation reference"/>
    <w:qFormat/>
    <w:uiPriority w:val="0"/>
    <w:rPr>
      <w:sz w:val="21"/>
      <w:szCs w:val="21"/>
    </w:rPr>
  </w:style>
  <w:style w:type="paragraph" w:customStyle="1" w:styleId="21">
    <w:name w:val="样式 小四 行距: 1.5 倍行距"/>
    <w:basedOn w:val="1"/>
    <w:qFormat/>
    <w:uiPriority w:val="0"/>
    <w:pPr>
      <w:ind w:firstLine="480"/>
    </w:pPr>
    <w:rPr>
      <w:rFonts w:cs="宋体"/>
    </w:rPr>
  </w:style>
  <w:style w:type="paragraph" w:customStyle="1" w:styleId="22">
    <w:name w:val="表格文字"/>
    <w:basedOn w:val="1"/>
    <w:qFormat/>
    <w:uiPriority w:val="0"/>
    <w:pPr>
      <w:spacing w:before="25" w:after="25"/>
      <w:jc w:val="left"/>
    </w:pPr>
    <w:rPr>
      <w:bCs/>
      <w:spacing w:val="10"/>
      <w:kern w:val="0"/>
      <w:sz w:val="24"/>
    </w:rPr>
  </w:style>
  <w:style w:type="paragraph" w:customStyle="1" w:styleId="23">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4">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5">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6">
    <w:name w:val="列出段落1"/>
    <w:basedOn w:val="1"/>
    <w:qFormat/>
    <w:uiPriority w:val="0"/>
    <w:pPr>
      <w:ind w:firstLine="420" w:firstLineChars="200"/>
    </w:pPr>
    <w:rPr>
      <w:rFonts w:ascii="Calibri" w:hAnsi="Calibri" w:eastAsia="宋体" w:cs="Times New Roman"/>
      <w:szCs w:val="21"/>
    </w:rPr>
  </w:style>
  <w:style w:type="paragraph" w:customStyle="1" w:styleId="27">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8">
    <w:name w:val="10"/>
    <w:basedOn w:val="16"/>
    <w:qFormat/>
    <w:uiPriority w:val="0"/>
    <w:rPr>
      <w:rFonts w:hint="default" w:ascii="Times New Roman" w:hAnsi="Times New Roman" w:cs="Times New Roman"/>
    </w:rPr>
  </w:style>
  <w:style w:type="character" w:customStyle="1" w:styleId="29">
    <w:name w:val="15"/>
    <w:basedOn w:val="16"/>
    <w:qFormat/>
    <w:uiPriority w:val="0"/>
    <w:rPr>
      <w:rFonts w:hint="default" w:ascii="Times New Roman" w:hAnsi="Times New Roman" w:cs="Times New Roman"/>
    </w:rPr>
  </w:style>
  <w:style w:type="character" w:customStyle="1" w:styleId="30">
    <w:name w:val="16"/>
    <w:basedOn w:val="16"/>
    <w:qFormat/>
    <w:uiPriority w:val="0"/>
    <w:rPr>
      <w:rFonts w:hint="default" w:ascii="Times New Roman" w:hAnsi="Times New Roman" w:cs="Times New Roman"/>
      <w:color w:val="0000FF"/>
      <w:u w:val="single"/>
    </w:rPr>
  </w:style>
  <w:style w:type="character" w:customStyle="1" w:styleId="31">
    <w:name w:val="页眉 Char"/>
    <w:basedOn w:val="16"/>
    <w:link w:val="12"/>
    <w:qFormat/>
    <w:uiPriority w:val="0"/>
    <w:rPr>
      <w:rFonts w:asciiTheme="minorHAnsi" w:hAnsiTheme="minorHAnsi" w:eastAsiaTheme="minorEastAsia" w:cstheme="minorBidi"/>
      <w:kern w:val="2"/>
      <w:sz w:val="18"/>
      <w:szCs w:val="18"/>
    </w:rPr>
  </w:style>
  <w:style w:type="character" w:customStyle="1" w:styleId="32">
    <w:name w:val="页脚 Char"/>
    <w:basedOn w:val="16"/>
    <w:link w:val="11"/>
    <w:qFormat/>
    <w:uiPriority w:val="0"/>
    <w:rPr>
      <w:rFonts w:asciiTheme="minorHAnsi" w:hAnsiTheme="minorHAnsi" w:eastAsiaTheme="minorEastAsia" w:cstheme="minorBidi"/>
      <w:kern w:val="2"/>
      <w:sz w:val="18"/>
      <w:szCs w:val="18"/>
    </w:rPr>
  </w:style>
  <w:style w:type="character" w:customStyle="1" w:styleId="33">
    <w:name w:val="批注框文本 Char"/>
    <w:basedOn w:val="16"/>
    <w:link w:val="10"/>
    <w:qFormat/>
    <w:uiPriority w:val="0"/>
    <w:rPr>
      <w:rFonts w:asciiTheme="minorHAnsi" w:hAnsiTheme="minorHAnsi" w:eastAsiaTheme="minorEastAsia" w:cstheme="minorBidi"/>
      <w:kern w:val="2"/>
      <w:sz w:val="18"/>
      <w:szCs w:val="18"/>
    </w:rPr>
  </w:style>
  <w:style w:type="paragraph" w:customStyle="1" w:styleId="34">
    <w:name w:val="WPSOffice手动目录 1"/>
    <w:qFormat/>
    <w:uiPriority w:val="0"/>
    <w:rPr>
      <w:rFonts w:ascii="Times New Roman" w:hAnsi="Times New Roman" w:eastAsia="宋体" w:cs="Times New Roman"/>
      <w:lang w:val="en-US" w:eastAsia="zh-CN" w:bidi="ar-SA"/>
    </w:rPr>
  </w:style>
  <w:style w:type="character" w:customStyle="1" w:styleId="35">
    <w:name w:val="纯文本 Char"/>
    <w:link w:val="2"/>
    <w:qFormat/>
    <w:uiPriority w:val="0"/>
    <w:rPr>
      <w:rFonts w:ascii="宋体" w:hAnsi="Courier New"/>
      <w:kern w:val="2"/>
      <w:sz w:val="21"/>
      <w:szCs w:val="21"/>
    </w:rPr>
  </w:style>
  <w:style w:type="character" w:customStyle="1" w:styleId="36">
    <w:name w:val="正文首行缩进 Char"/>
    <w:basedOn w:val="16"/>
    <w:link w:val="14"/>
    <w:qFormat/>
    <w:uiPriority w:val="0"/>
    <w:rPr>
      <w:kern w:val="2"/>
      <w:sz w:val="21"/>
      <w:szCs w:val="21"/>
    </w:rPr>
  </w:style>
  <w:style w:type="paragraph" w:styleId="37">
    <w:name w:val="List Paragraph"/>
    <w:basedOn w:val="1"/>
    <w:unhideWhenUsed/>
    <w:qFormat/>
    <w:uiPriority w:val="99"/>
    <w:pPr>
      <w:ind w:firstLine="420" w:firstLineChars="200"/>
    </w:pPr>
  </w:style>
  <w:style w:type="paragraph" w:customStyle="1" w:styleId="38">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9">
    <w:name w:val="发文落款"/>
    <w:basedOn w:val="38"/>
    <w:qFormat/>
    <w:uiPriority w:val="0"/>
    <w:pPr>
      <w:ind w:left="4094" w:right="607" w:firstLine="0"/>
      <w:jc w:val="center"/>
    </w:pPr>
  </w:style>
  <w:style w:type="character" w:customStyle="1" w:styleId="40">
    <w:name w:val="c Char1"/>
    <w:link w:val="41"/>
    <w:qFormat/>
    <w:uiPriority w:val="0"/>
    <w:rPr>
      <w:rFonts w:eastAsia="仿宋_GB2312" w:cs="宋体"/>
      <w:sz w:val="28"/>
    </w:rPr>
  </w:style>
  <w:style w:type="paragraph" w:customStyle="1" w:styleId="41">
    <w:name w:val="c"/>
    <w:basedOn w:val="1"/>
    <w:link w:val="40"/>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41</Pages>
  <Words>15323</Words>
  <Characters>16155</Characters>
  <Lines>131</Lines>
  <Paragraphs>37</Paragraphs>
  <TotalTime>18</TotalTime>
  <ScaleCrop>false</ScaleCrop>
  <LinksUpToDate>false</LinksUpToDate>
  <CharactersWithSpaces>17152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2020-07-23T07:52:00Z</cp:lastPrinted>
  <dcterms:modified xsi:type="dcterms:W3CDTF">2023-08-11T06:37:23Z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6F8842E353744852BDC4E3C1A0BD38D3</vt:lpwstr>
  </property>
</Properties>
</file>