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auto"/>
          <w:sz w:val="32"/>
          <w:szCs w:val="32"/>
        </w:rPr>
      </w:pPr>
    </w:p>
    <w:p>
      <w:pP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合同编号：</w:t>
      </w:r>
    </w:p>
    <w:p/>
    <w:p>
      <w:pPr>
        <w:pStyle w:val="2"/>
      </w:pPr>
    </w:p>
    <w:p>
      <w:pPr>
        <w:pStyle w:val="2"/>
      </w:pPr>
    </w:p>
    <w:p>
      <w:pPr>
        <w:pStyle w:val="2"/>
        <w:jc w:val="center"/>
        <w:rPr>
          <w:rFonts w:hint="eastAsia" w:ascii="宋体" w:hAnsi="宋体" w:eastAsia="宋体" w:cs="宋体"/>
          <w:i w:val="0"/>
          <w:iCs w:val="0"/>
          <w:caps w:val="0"/>
          <w:color w:val="000000"/>
          <w:spacing w:val="0"/>
          <w:sz w:val="72"/>
          <w:szCs w:val="72"/>
          <w:highlight w:val="none"/>
          <w:u w:val="none"/>
          <w:lang w:val="en-US" w:eastAsia="zh-CN"/>
        </w:rPr>
      </w:pPr>
      <w:r>
        <w:rPr>
          <w:rFonts w:hint="eastAsia" w:ascii="宋体" w:hAnsi="宋体" w:eastAsia="宋体" w:cs="宋体"/>
          <w:i w:val="0"/>
          <w:iCs w:val="0"/>
          <w:caps w:val="0"/>
          <w:color w:val="000000"/>
          <w:spacing w:val="0"/>
          <w:sz w:val="72"/>
          <w:szCs w:val="72"/>
          <w:highlight w:val="none"/>
          <w:u w:val="none"/>
          <w:lang w:val="en-US" w:eastAsia="zh-CN"/>
        </w:rPr>
        <w:t>环 境 影 响 评 价</w:t>
      </w:r>
    </w:p>
    <w:p>
      <w:pPr>
        <w:pStyle w:val="2"/>
        <w:jc w:val="center"/>
        <w:rPr>
          <w:rFonts w:hint="default"/>
          <w:sz w:val="72"/>
          <w:szCs w:val="44"/>
          <w:lang w:val="en-US"/>
        </w:rPr>
      </w:pPr>
      <w:r>
        <w:rPr>
          <w:rFonts w:hint="eastAsia" w:ascii="宋体" w:hAnsi="宋体" w:eastAsia="宋体" w:cs="宋体"/>
          <w:i w:val="0"/>
          <w:iCs w:val="0"/>
          <w:caps w:val="0"/>
          <w:color w:val="000000"/>
          <w:spacing w:val="0"/>
          <w:sz w:val="72"/>
          <w:szCs w:val="72"/>
          <w:highlight w:val="none"/>
          <w:u w:val="none"/>
          <w:lang w:val="en-US" w:eastAsia="zh-CN"/>
        </w:rPr>
        <w:t>咨询服务合同</w:t>
      </w:r>
    </w:p>
    <w:p>
      <w:pPr>
        <w:pStyle w:val="2"/>
      </w:pPr>
    </w:p>
    <w:p>
      <w:pPr>
        <w:pStyle w:val="2"/>
      </w:pPr>
    </w:p>
    <w:p>
      <w:pPr>
        <w:pStyle w:val="2"/>
      </w:pPr>
    </w:p>
    <w:p>
      <w:pPr>
        <w:pStyle w:val="2"/>
      </w:pPr>
    </w:p>
    <w:p>
      <w:pPr>
        <w:pStyle w:val="2"/>
      </w:pPr>
    </w:p>
    <w:p>
      <w:pPr>
        <w:spacing w:before="312" w:beforeLines="100" w:after="156" w:afterLines="50" w:line="360" w:lineRule="auto"/>
        <w:ind w:left="1827" w:hanging="1827" w:hangingChars="650"/>
        <w:rPr>
          <w:rFonts w:hint="default" w:eastAsia="宋体"/>
          <w:color w:val="000000"/>
          <w:sz w:val="28"/>
          <w:u w:val="single"/>
          <w:lang w:val="en-US" w:eastAsia="zh-CN"/>
        </w:rPr>
      </w:pPr>
      <w:r>
        <w:rPr>
          <w:b/>
          <w:color w:val="000000"/>
          <w:sz w:val="28"/>
        </w:rPr>
        <w:t>项 目 名 称：</w:t>
      </w:r>
      <w:r>
        <w:rPr>
          <w:rFonts w:hint="eastAsia"/>
          <w:b w:val="0"/>
          <w:bCs/>
          <w:color w:val="000000"/>
          <w:sz w:val="28"/>
          <w:u w:val="single"/>
          <w:lang w:val="en-US" w:eastAsia="zh-CN"/>
        </w:rPr>
        <w:t xml:space="preserve">  </w:t>
      </w:r>
      <w:r>
        <w:rPr>
          <w:rFonts w:hint="eastAsia" w:ascii="宋体" w:hAnsi="宋体" w:eastAsia="宋体" w:cs="宋体"/>
          <w:bCs/>
          <w:kern w:val="2"/>
          <w:sz w:val="28"/>
          <w:szCs w:val="28"/>
          <w:u w:val="single"/>
          <w:lang w:val="en-US" w:eastAsia="zh-CN" w:bidi="ar-SA"/>
        </w:rPr>
        <w:t xml:space="preserve">海防教育基地项目交通渡口码头工程  </w:t>
      </w:r>
      <w:r>
        <w:rPr>
          <w:rFonts w:hint="eastAsia"/>
          <w:b w:val="0"/>
          <w:bCs/>
          <w:color w:val="000000"/>
          <w:sz w:val="28"/>
          <w:u w:val="single"/>
          <w:lang w:val="en-US" w:eastAsia="zh-CN"/>
        </w:rPr>
        <w:t xml:space="preserve"> </w:t>
      </w:r>
    </w:p>
    <w:p>
      <w:pPr>
        <w:spacing w:before="312" w:beforeLines="100" w:after="312" w:afterLines="100" w:line="360" w:lineRule="auto"/>
        <w:rPr>
          <w:rFonts w:hint="eastAsia"/>
          <w:color w:val="000000"/>
          <w:sz w:val="28"/>
          <w:u w:val="single"/>
        </w:rPr>
      </w:pPr>
      <w:r>
        <w:rPr>
          <w:b/>
          <w:color w:val="000000"/>
          <w:sz w:val="28"/>
        </w:rPr>
        <w:t>委托方（甲方）：</w:t>
      </w:r>
      <w:r>
        <w:rPr>
          <w:rFonts w:hint="eastAsia" w:ascii="宋体" w:hAnsi="宋体" w:eastAsia="宋体" w:cs="宋体"/>
          <w:bCs/>
          <w:kern w:val="2"/>
          <w:sz w:val="28"/>
          <w:szCs w:val="28"/>
          <w:u w:val="single"/>
          <w:lang w:val="en-US" w:eastAsia="zh-CN" w:bidi="ar-SA"/>
        </w:rPr>
        <w:t xml:space="preserve"> 广州南沙科技投资有限公司 </w:t>
      </w:r>
      <w:r>
        <w:rPr>
          <w:rFonts w:hint="eastAsia"/>
          <w:color w:val="000000"/>
          <w:sz w:val="28"/>
          <w:u w:val="single"/>
        </w:rPr>
        <w:t xml:space="preserve">  </w:t>
      </w:r>
    </w:p>
    <w:p>
      <w:pPr>
        <w:spacing w:before="312" w:beforeLines="100" w:after="312" w:afterLines="100" w:line="360" w:lineRule="auto"/>
        <w:rPr>
          <w:rFonts w:hint="eastAsia"/>
          <w:color w:val="000000"/>
          <w:sz w:val="28"/>
          <w:u w:val="single"/>
        </w:rPr>
      </w:pPr>
      <w:r>
        <w:rPr>
          <w:b/>
          <w:color w:val="000000"/>
          <w:sz w:val="28"/>
        </w:rPr>
        <w:t>服务方（乙方）：</w:t>
      </w:r>
      <w:r>
        <w:rPr>
          <w:rFonts w:hint="eastAsia"/>
          <w:color w:val="000000"/>
          <w:sz w:val="28"/>
          <w:u w:val="single"/>
        </w:rPr>
        <w:t xml:space="preserve">                          </w:t>
      </w:r>
    </w:p>
    <w:p>
      <w:pPr>
        <w:spacing w:before="312" w:beforeLines="100" w:after="312" w:afterLines="100" w:line="360" w:lineRule="auto"/>
        <w:rPr>
          <w:rFonts w:hint="eastAsia"/>
          <w:b/>
          <w:color w:val="000000"/>
          <w:sz w:val="28"/>
        </w:rPr>
      </w:pPr>
      <w:r>
        <w:rPr>
          <w:rFonts w:hint="eastAsia"/>
          <w:b/>
          <w:color w:val="000000"/>
          <w:sz w:val="28"/>
        </w:rPr>
        <w:t>签订日期：</w:t>
      </w:r>
      <w:r>
        <w:rPr>
          <w:rFonts w:hint="eastAsia"/>
          <w:color w:val="000000"/>
          <w:sz w:val="28"/>
          <w:u w:val="single"/>
        </w:rPr>
        <w:t xml:space="preserve">                          </w:t>
      </w:r>
    </w:p>
    <w:p>
      <w:pPr>
        <w:spacing w:before="312" w:beforeLines="100" w:after="312" w:afterLines="100" w:line="360" w:lineRule="auto"/>
        <w:rPr>
          <w:b/>
          <w:color w:val="000000"/>
          <w:sz w:val="28"/>
        </w:rPr>
      </w:pPr>
      <w:r>
        <w:rPr>
          <w:rFonts w:hint="eastAsia"/>
          <w:b/>
          <w:color w:val="000000"/>
          <w:sz w:val="28"/>
        </w:rPr>
        <w:t>签订地点：</w:t>
      </w:r>
      <w:r>
        <w:rPr>
          <w:rFonts w:hint="eastAsia"/>
          <w:color w:val="000000"/>
          <w:sz w:val="28"/>
          <w:u w:val="single"/>
        </w:rPr>
        <w:t xml:space="preserve">   </w:t>
      </w:r>
      <w:r>
        <w:rPr>
          <w:rFonts w:hint="eastAsia"/>
          <w:color w:val="000000"/>
          <w:sz w:val="28"/>
          <w:u w:val="single"/>
          <w:lang w:val="en-US" w:eastAsia="zh-CN"/>
        </w:rPr>
        <w:t>广州市南沙区</w:t>
      </w:r>
      <w:r>
        <w:rPr>
          <w:rFonts w:hint="eastAsia"/>
          <w:color w:val="000000"/>
          <w:sz w:val="28"/>
          <w:u w:val="single"/>
        </w:rPr>
        <w:t xml:space="preserve">           </w:t>
      </w:r>
    </w:p>
    <w:p>
      <w:pPr>
        <w:spacing w:line="360" w:lineRule="auto"/>
        <w:rPr>
          <w:rFonts w:eastAsia="仿宋_GB2312"/>
          <w:color w:val="000000"/>
          <w:sz w:val="24"/>
        </w:rPr>
      </w:pPr>
    </w:p>
    <w:p>
      <w:pPr>
        <w:pStyle w:val="2"/>
        <w:rPr>
          <w:rFonts w:eastAsia="仿宋_GB2312"/>
          <w:color w:val="000000"/>
          <w:sz w:val="24"/>
        </w:rPr>
      </w:pPr>
    </w:p>
    <w:p>
      <w:pPr>
        <w:pStyle w:val="2"/>
        <w:rPr>
          <w:rFonts w:eastAsia="仿宋_GB2312"/>
          <w:color w:val="000000"/>
          <w:sz w:val="24"/>
        </w:rPr>
      </w:pPr>
    </w:p>
    <w:p>
      <w:pPr>
        <w:spacing w:before="156" w:beforeLines="50" w:after="156" w:afterLines="50" w:line="360" w:lineRule="auto"/>
        <w:ind w:left="479" w:leftChars="228" w:firstLine="0" w:firstLineChars="0"/>
        <w:rPr>
          <w:color w:val="000000"/>
          <w:sz w:val="24"/>
          <w:highlight w:val="none"/>
        </w:rPr>
      </w:pPr>
      <w:r>
        <w:rPr>
          <w:color w:val="000000"/>
          <w:sz w:val="24"/>
          <w:highlight w:val="none"/>
        </w:rPr>
        <w:t>依据《中华人民共和国民法典》的规定，合同双方就</w:t>
      </w:r>
      <w:r>
        <w:rPr>
          <w:rFonts w:hint="eastAsia"/>
          <w:color w:val="000000"/>
          <w:sz w:val="24"/>
          <w:highlight w:val="none"/>
          <w:u w:val="single"/>
          <w:lang w:val="en-US" w:eastAsia="zh-CN"/>
        </w:rPr>
        <w:t xml:space="preserve"> </w:t>
      </w:r>
      <w:r>
        <w:rPr>
          <w:rFonts w:hint="eastAsia" w:ascii="宋体" w:hAnsi="宋体" w:eastAsia="宋体" w:cs="宋体"/>
          <w:i w:val="0"/>
          <w:iCs w:val="0"/>
          <w:caps w:val="0"/>
          <w:color w:val="000000"/>
          <w:spacing w:val="0"/>
          <w:sz w:val="24"/>
          <w:szCs w:val="24"/>
          <w:highlight w:val="none"/>
          <w:u w:val="single"/>
          <w:lang w:eastAsia="zh-CN"/>
        </w:rPr>
        <w:t>“</w:t>
      </w:r>
      <w:r>
        <w:rPr>
          <w:rFonts w:hint="eastAsia" w:ascii="宋体" w:hAnsi="宋体" w:eastAsia="宋体" w:cs="宋体"/>
          <w:i w:val="0"/>
          <w:iCs w:val="0"/>
          <w:caps w:val="0"/>
          <w:color w:val="000000"/>
          <w:spacing w:val="0"/>
          <w:sz w:val="24"/>
          <w:szCs w:val="24"/>
          <w:highlight w:val="none"/>
          <w:u w:val="single"/>
          <w:lang w:val="en-US" w:eastAsia="zh-CN"/>
        </w:rPr>
        <w:t>海防教育基地项目交通渡口码头工程</w:t>
      </w:r>
      <w:r>
        <w:rPr>
          <w:rFonts w:hint="eastAsia" w:ascii="宋体" w:hAnsi="宋体" w:eastAsia="宋体" w:cs="宋体"/>
          <w:i w:val="0"/>
          <w:iCs w:val="0"/>
          <w:caps w:val="0"/>
          <w:color w:val="000000"/>
          <w:spacing w:val="0"/>
          <w:sz w:val="24"/>
          <w:szCs w:val="24"/>
          <w:highlight w:val="none"/>
          <w:u w:val="single"/>
        </w:rPr>
        <w:t>”</w:t>
      </w:r>
      <w:r>
        <w:rPr>
          <w:rFonts w:hint="eastAsia" w:ascii="宋体" w:hAnsi="宋体" w:eastAsia="宋体" w:cs="宋体"/>
          <w:i w:val="0"/>
          <w:iCs w:val="0"/>
          <w:caps w:val="0"/>
          <w:color w:val="000000"/>
          <w:spacing w:val="0"/>
          <w:sz w:val="24"/>
          <w:szCs w:val="24"/>
          <w:highlight w:val="none"/>
          <w:u w:val="none"/>
          <w:lang w:val="en-US" w:eastAsia="zh-CN"/>
        </w:rPr>
        <w:t>环境影响评价咨询服务</w:t>
      </w:r>
      <w:r>
        <w:rPr>
          <w:rFonts w:hint="eastAsia"/>
          <w:color w:val="000000"/>
          <w:sz w:val="24"/>
          <w:highlight w:val="none"/>
          <w:u w:val="none"/>
          <w:lang w:val="en-US" w:eastAsia="zh-CN"/>
        </w:rPr>
        <w:t xml:space="preserve"> </w:t>
      </w:r>
      <w:r>
        <w:rPr>
          <w:color w:val="000000"/>
          <w:sz w:val="24"/>
          <w:highlight w:val="none"/>
        </w:rPr>
        <w:t>，经协商一致，签订本合同。</w:t>
      </w:r>
    </w:p>
    <w:p>
      <w:pPr>
        <w:tabs>
          <w:tab w:val="left" w:pos="899"/>
        </w:tabs>
        <w:spacing w:before="156" w:beforeLines="50" w:line="360" w:lineRule="auto"/>
        <w:ind w:firstLine="489" w:firstLineChars="203"/>
        <w:rPr>
          <w:color w:val="000000"/>
          <w:sz w:val="24"/>
        </w:rPr>
      </w:pPr>
      <w:r>
        <w:rPr>
          <w:b/>
          <w:color w:val="000000"/>
          <w:sz w:val="24"/>
        </w:rPr>
        <w:t>一、乙方服务内容、方式和要求</w:t>
      </w:r>
    </w:p>
    <w:p>
      <w:pPr>
        <w:numPr>
          <w:ilvl w:val="0"/>
          <w:numId w:val="1"/>
        </w:numPr>
        <w:tabs>
          <w:tab w:val="left" w:pos="899"/>
        </w:tabs>
        <w:spacing w:line="360" w:lineRule="auto"/>
        <w:rPr>
          <w:b/>
          <w:color w:val="000000"/>
          <w:sz w:val="24"/>
        </w:rPr>
      </w:pPr>
      <w:r>
        <w:rPr>
          <w:b/>
          <w:color w:val="000000"/>
          <w:sz w:val="24"/>
        </w:rPr>
        <w:t>服务内容</w:t>
      </w:r>
    </w:p>
    <w:p>
      <w:pPr>
        <w:spacing w:before="156" w:beforeLines="50" w:after="156" w:afterLines="50" w:line="360" w:lineRule="auto"/>
        <w:ind w:firstLine="480" w:firstLineChars="200"/>
        <w:rPr>
          <w:color w:val="000000"/>
          <w:sz w:val="24"/>
          <w:highlight w:val="none"/>
        </w:rPr>
      </w:pPr>
      <w:r>
        <w:rPr>
          <w:sz w:val="24"/>
          <w:highlight w:val="none"/>
        </w:rPr>
        <w:t>根据国家相关法律法规，结合甲方需求，</w:t>
      </w:r>
      <w:r>
        <w:rPr>
          <w:rFonts w:hint="eastAsia"/>
          <w:sz w:val="24"/>
          <w:highlight w:val="none"/>
        </w:rPr>
        <w:t>完成</w:t>
      </w:r>
      <w:r>
        <w:rPr>
          <w:rFonts w:hint="eastAsia"/>
          <w:sz w:val="24"/>
          <w:highlight w:val="none"/>
          <w:u w:val="single"/>
          <w:lang w:val="en-US" w:eastAsia="zh-CN"/>
        </w:rPr>
        <w:t xml:space="preserve"> </w:t>
      </w:r>
      <w:r>
        <w:rPr>
          <w:rFonts w:hint="eastAsia" w:ascii="宋体" w:hAnsi="宋体" w:eastAsia="宋体" w:cs="宋体"/>
          <w:i w:val="0"/>
          <w:iCs w:val="0"/>
          <w:caps w:val="0"/>
          <w:color w:val="000000"/>
          <w:spacing w:val="0"/>
          <w:sz w:val="24"/>
          <w:szCs w:val="24"/>
          <w:highlight w:val="none"/>
          <w:u w:val="single"/>
          <w:lang w:eastAsia="zh-CN"/>
        </w:rPr>
        <w:t>“</w:t>
      </w:r>
      <w:r>
        <w:rPr>
          <w:rFonts w:hint="eastAsia" w:ascii="宋体" w:hAnsi="宋体" w:eastAsia="宋体" w:cs="宋体"/>
          <w:i w:val="0"/>
          <w:iCs w:val="0"/>
          <w:caps w:val="0"/>
          <w:color w:val="000000"/>
          <w:spacing w:val="0"/>
          <w:sz w:val="24"/>
          <w:szCs w:val="24"/>
          <w:highlight w:val="none"/>
          <w:u w:val="single"/>
          <w:lang w:val="en-US" w:eastAsia="zh-CN"/>
        </w:rPr>
        <w:t>海防教育基地项目交通渡口码头工程</w:t>
      </w:r>
      <w:r>
        <w:rPr>
          <w:rFonts w:hint="eastAsia" w:ascii="宋体" w:hAnsi="宋体" w:eastAsia="宋体" w:cs="宋体"/>
          <w:i w:val="0"/>
          <w:iCs w:val="0"/>
          <w:caps w:val="0"/>
          <w:color w:val="000000"/>
          <w:spacing w:val="0"/>
          <w:sz w:val="24"/>
          <w:szCs w:val="24"/>
          <w:highlight w:val="none"/>
          <w:u w:val="single"/>
        </w:rPr>
        <w:t>”</w:t>
      </w:r>
      <w:r>
        <w:rPr>
          <w:rFonts w:hint="eastAsia" w:ascii="宋体" w:hAnsi="宋体" w:eastAsia="宋体" w:cs="宋体"/>
          <w:i w:val="0"/>
          <w:iCs w:val="0"/>
          <w:caps w:val="0"/>
          <w:color w:val="000000"/>
          <w:spacing w:val="0"/>
          <w:sz w:val="24"/>
          <w:szCs w:val="24"/>
          <w:highlight w:val="none"/>
          <w:u w:val="none"/>
          <w:lang w:val="en-US" w:eastAsia="zh-CN"/>
        </w:rPr>
        <w:t>环境影响评价报告书</w:t>
      </w:r>
      <w:r>
        <w:rPr>
          <w:rFonts w:hint="eastAsia"/>
          <w:sz w:val="24"/>
          <w:highlight w:val="none"/>
          <w:u w:val="none"/>
          <w:lang w:val="en-US" w:eastAsia="zh-CN"/>
        </w:rPr>
        <w:t>的</w:t>
      </w:r>
      <w:r>
        <w:rPr>
          <w:rFonts w:hint="eastAsia"/>
          <w:sz w:val="24"/>
          <w:highlight w:val="none"/>
        </w:rPr>
        <w:t>编制</w:t>
      </w:r>
      <w:r>
        <w:rPr>
          <w:rFonts w:hint="eastAsia"/>
          <w:color w:val="000000"/>
          <w:sz w:val="24"/>
          <w:highlight w:val="none"/>
        </w:rPr>
        <w:t>工作，具体为：</w:t>
      </w:r>
      <w:r>
        <w:rPr>
          <w:color w:val="000000"/>
          <w:sz w:val="24"/>
          <w:highlight w:val="none"/>
        </w:rPr>
        <w:t>编制</w:t>
      </w:r>
      <w:r>
        <w:rPr>
          <w:rFonts w:hint="eastAsia"/>
          <w:color w:val="000000"/>
          <w:sz w:val="24"/>
          <w:highlight w:val="none"/>
        </w:rPr>
        <w:t>《</w:t>
      </w:r>
      <w:r>
        <w:rPr>
          <w:rFonts w:hint="eastAsia"/>
          <w:color w:val="000000"/>
          <w:sz w:val="24"/>
          <w:highlight w:val="none"/>
          <w:lang w:val="en-US" w:eastAsia="zh-CN"/>
        </w:rPr>
        <w:t>广州</w:t>
      </w:r>
      <w:r>
        <w:rPr>
          <w:rFonts w:hint="eastAsia" w:ascii="宋体" w:hAnsi="宋体" w:eastAsia="宋体" w:cs="宋体"/>
          <w:i w:val="0"/>
          <w:iCs w:val="0"/>
          <w:caps w:val="0"/>
          <w:color w:val="000000"/>
          <w:spacing w:val="0"/>
          <w:sz w:val="24"/>
          <w:szCs w:val="24"/>
          <w:highlight w:val="none"/>
          <w:u w:val="none"/>
          <w:lang w:val="en-US" w:eastAsia="zh-CN"/>
        </w:rPr>
        <w:t>海防教育基地项目交通渡口码头工程环境影响报告书</w:t>
      </w:r>
      <w:r>
        <w:rPr>
          <w:rFonts w:hint="eastAsia"/>
          <w:color w:val="000000"/>
          <w:sz w:val="24"/>
          <w:highlight w:val="none"/>
        </w:rPr>
        <w:t>》（以下简称《</w:t>
      </w:r>
      <w:r>
        <w:rPr>
          <w:rFonts w:hint="eastAsia"/>
          <w:color w:val="000000"/>
          <w:sz w:val="24"/>
          <w:highlight w:val="none"/>
          <w:lang w:val="en-US" w:eastAsia="zh-CN"/>
        </w:rPr>
        <w:t>环评报告书》</w:t>
      </w:r>
      <w:r>
        <w:rPr>
          <w:rFonts w:hint="eastAsia"/>
          <w:color w:val="000000"/>
          <w:sz w:val="24"/>
          <w:highlight w:val="none"/>
        </w:rPr>
        <w:t>）。</w:t>
      </w:r>
    </w:p>
    <w:p>
      <w:pPr>
        <w:spacing w:before="156" w:beforeLines="50" w:after="156" w:afterLines="50" w:line="360" w:lineRule="auto"/>
        <w:ind w:firstLine="482" w:firstLineChars="200"/>
        <w:rPr>
          <w:color w:val="000000"/>
          <w:sz w:val="24"/>
        </w:rPr>
      </w:pPr>
      <w:r>
        <w:rPr>
          <w:b/>
          <w:color w:val="000000"/>
          <w:sz w:val="24"/>
        </w:rPr>
        <w:t>2、服务方式</w:t>
      </w:r>
    </w:p>
    <w:p>
      <w:pPr>
        <w:spacing w:before="156" w:beforeLines="50" w:after="156" w:afterLines="50" w:line="360" w:lineRule="auto"/>
        <w:ind w:firstLine="480" w:firstLineChars="200"/>
        <w:rPr>
          <w:rFonts w:hint="eastAsia"/>
          <w:color w:val="000000"/>
          <w:sz w:val="24"/>
        </w:rPr>
      </w:pPr>
      <w:r>
        <w:rPr>
          <w:color w:val="000000"/>
          <w:sz w:val="24"/>
        </w:rPr>
        <w:t>提交</w:t>
      </w:r>
      <w:r>
        <w:rPr>
          <w:rFonts w:hint="eastAsia"/>
          <w:color w:val="000000"/>
          <w:sz w:val="24"/>
        </w:rPr>
        <w:t>《</w:t>
      </w:r>
      <w:r>
        <w:rPr>
          <w:rFonts w:hint="eastAsia"/>
          <w:color w:val="000000"/>
          <w:sz w:val="24"/>
          <w:highlight w:val="none"/>
          <w:lang w:val="en-US" w:eastAsia="zh-CN"/>
        </w:rPr>
        <w:t>环评报告书</w:t>
      </w:r>
      <w:r>
        <w:rPr>
          <w:rFonts w:hint="eastAsia"/>
          <w:color w:val="000000"/>
          <w:sz w:val="24"/>
        </w:rPr>
        <w:t>》及相关技术服务成果，协助甲方进行报批工作。</w:t>
      </w:r>
    </w:p>
    <w:p>
      <w:pPr>
        <w:spacing w:line="360" w:lineRule="auto"/>
        <w:ind w:firstLine="482" w:firstLineChars="200"/>
        <w:rPr>
          <w:b/>
          <w:color w:val="000000"/>
          <w:sz w:val="24"/>
        </w:rPr>
      </w:pPr>
      <w:r>
        <w:rPr>
          <w:b/>
          <w:color w:val="000000"/>
          <w:sz w:val="24"/>
        </w:rPr>
        <w:t xml:space="preserve">3、服务要求 </w:t>
      </w:r>
    </w:p>
    <w:p>
      <w:pPr>
        <w:spacing w:before="156" w:beforeLines="50" w:after="156" w:afterLines="50" w:line="360" w:lineRule="auto"/>
        <w:ind w:firstLine="480" w:firstLineChars="200"/>
        <w:rPr>
          <w:color w:val="000000"/>
          <w:sz w:val="24"/>
        </w:rPr>
      </w:pPr>
      <w:r>
        <w:rPr>
          <w:color w:val="000000"/>
          <w:sz w:val="24"/>
        </w:rPr>
        <w:t>根据国家</w:t>
      </w:r>
      <w:r>
        <w:rPr>
          <w:rFonts w:hint="eastAsia"/>
          <w:color w:val="000000"/>
          <w:sz w:val="24"/>
        </w:rPr>
        <w:t>、</w:t>
      </w:r>
      <w:r>
        <w:rPr>
          <w:color w:val="000000"/>
          <w:sz w:val="24"/>
        </w:rPr>
        <w:t>地方颁布的现行最新规范</w:t>
      </w:r>
      <w:r>
        <w:rPr>
          <w:rFonts w:hint="eastAsia"/>
          <w:color w:val="000000"/>
          <w:sz w:val="24"/>
        </w:rPr>
        <w:t>、</w:t>
      </w:r>
      <w:r>
        <w:rPr>
          <w:color w:val="000000"/>
          <w:sz w:val="24"/>
        </w:rPr>
        <w:t>相关法律法规</w:t>
      </w:r>
      <w:r>
        <w:rPr>
          <w:rFonts w:hint="eastAsia"/>
          <w:color w:val="000000"/>
          <w:sz w:val="24"/>
        </w:rPr>
        <w:t>和甲方要求</w:t>
      </w:r>
      <w:r>
        <w:rPr>
          <w:color w:val="000000"/>
          <w:sz w:val="24"/>
        </w:rPr>
        <w:t>，注重项目的实用性和安全性，收集整理项目所在地周边项目规划、环境现状等资料，做好现场调研，成立编制小组，根据相关技术人员专业特长进行任务分工，开展项目技术服务报告的编制。</w:t>
      </w:r>
    </w:p>
    <w:p>
      <w:pPr>
        <w:tabs>
          <w:tab w:val="left" w:pos="899"/>
        </w:tabs>
        <w:spacing w:before="156" w:beforeLines="50" w:line="360" w:lineRule="auto"/>
        <w:ind w:firstLine="489" w:firstLineChars="203"/>
        <w:rPr>
          <w:b/>
          <w:color w:val="000000"/>
          <w:sz w:val="24"/>
        </w:rPr>
      </w:pPr>
      <w:r>
        <w:rPr>
          <w:b/>
          <w:color w:val="000000"/>
          <w:sz w:val="24"/>
        </w:rPr>
        <w:t>二、工作条件和协作事项</w:t>
      </w:r>
    </w:p>
    <w:p>
      <w:pPr>
        <w:spacing w:before="156" w:beforeLines="50" w:after="156" w:afterLines="50" w:line="360" w:lineRule="auto"/>
        <w:ind w:firstLine="480" w:firstLineChars="200"/>
        <w:rPr>
          <w:color w:val="000000"/>
          <w:sz w:val="24"/>
        </w:rPr>
      </w:pPr>
      <w:r>
        <w:rPr>
          <w:color w:val="000000"/>
          <w:sz w:val="24"/>
        </w:rPr>
        <w:t>1、在乙方开展工作期间，甲方提供完成成果需要的相关基础资料和技术要求，并有义务为乙方在成果编制过程中提供必要的方便和协助。</w:t>
      </w:r>
      <w:r>
        <w:rPr>
          <w:rFonts w:hint="eastAsia" w:ascii="宋体" w:hAnsi="宋体" w:cs="宋体"/>
          <w:color w:val="000000"/>
          <w:sz w:val="24"/>
        </w:rPr>
        <w:t>甲方提供的资料清单（包括但不限于）如下：</w:t>
      </w:r>
    </w:p>
    <w:p>
      <w:pPr>
        <w:spacing w:before="156" w:beforeLines="50" w:after="156" w:afterLines="50" w:line="360" w:lineRule="auto"/>
        <w:ind w:firstLine="480" w:firstLineChars="200"/>
        <w:rPr>
          <w:sz w:val="24"/>
        </w:rPr>
      </w:pPr>
      <w:r>
        <w:rPr>
          <w:rFonts w:hint="eastAsia"/>
          <w:sz w:val="24"/>
        </w:rPr>
        <w:t>（</w:t>
      </w:r>
      <w:r>
        <w:rPr>
          <w:sz w:val="24"/>
        </w:rPr>
        <w:t>1</w:t>
      </w:r>
      <w:r>
        <w:rPr>
          <w:rFonts w:hint="eastAsia"/>
          <w:sz w:val="24"/>
        </w:rPr>
        <w:t>）委托书；</w:t>
      </w:r>
    </w:p>
    <w:p>
      <w:pPr>
        <w:spacing w:before="156" w:beforeLines="50" w:after="156" w:afterLines="50" w:line="360" w:lineRule="auto"/>
        <w:ind w:firstLine="480" w:firstLineChars="200"/>
        <w:rPr>
          <w:rFonts w:hint="eastAsia"/>
          <w:sz w:val="24"/>
        </w:rPr>
      </w:pPr>
      <w:r>
        <w:rPr>
          <w:rFonts w:hint="eastAsia"/>
          <w:sz w:val="24"/>
        </w:rPr>
        <w:t>（2）管理部门相关审批文件及资料</w:t>
      </w:r>
    </w:p>
    <w:p>
      <w:pPr>
        <w:spacing w:before="156" w:beforeLines="50" w:after="156" w:afterLines="50" w:line="360" w:lineRule="auto"/>
        <w:ind w:firstLine="480" w:firstLineChars="200"/>
        <w:rPr>
          <w:sz w:val="24"/>
        </w:rPr>
      </w:pPr>
      <w:r>
        <w:rPr>
          <w:rFonts w:hint="eastAsia"/>
          <w:sz w:val="24"/>
        </w:rPr>
        <w:t>（3）项目其他相关资料等。</w:t>
      </w:r>
    </w:p>
    <w:p>
      <w:pPr>
        <w:spacing w:before="156" w:beforeLines="50" w:after="156" w:afterLines="50" w:line="360" w:lineRule="auto"/>
        <w:ind w:firstLine="480" w:firstLineChars="200"/>
        <w:rPr>
          <w:color w:val="000000"/>
          <w:sz w:val="24"/>
        </w:rPr>
      </w:pPr>
      <w:r>
        <w:rPr>
          <w:color w:val="000000"/>
          <w:sz w:val="24"/>
        </w:rPr>
        <w:t>2、乙方在合同约定期限内向甲方提供合同约定的成果报告，并协助甲方</w:t>
      </w:r>
      <w:r>
        <w:rPr>
          <w:rFonts w:hint="eastAsia"/>
          <w:color w:val="000000"/>
          <w:sz w:val="24"/>
        </w:rPr>
        <w:t>进行送审和报批工作。</w:t>
      </w:r>
    </w:p>
    <w:p>
      <w:pPr>
        <w:tabs>
          <w:tab w:val="left" w:pos="899"/>
        </w:tabs>
        <w:spacing w:before="156" w:beforeLines="50" w:line="360" w:lineRule="auto"/>
        <w:ind w:firstLine="489" w:firstLineChars="203"/>
        <w:rPr>
          <w:b/>
          <w:color w:val="000000"/>
          <w:sz w:val="24"/>
        </w:rPr>
      </w:pPr>
      <w:r>
        <w:rPr>
          <w:b/>
          <w:color w:val="000000"/>
          <w:sz w:val="24"/>
        </w:rPr>
        <w:t>三、履行期限、地点和方式</w:t>
      </w:r>
    </w:p>
    <w:p>
      <w:pPr>
        <w:tabs>
          <w:tab w:val="left" w:pos="899"/>
        </w:tabs>
        <w:spacing w:before="156" w:beforeLines="50" w:line="360" w:lineRule="auto"/>
        <w:ind w:firstLine="487" w:firstLineChars="203"/>
        <w:rPr>
          <w:color w:val="000000"/>
          <w:sz w:val="24"/>
          <w:highlight w:val="none"/>
        </w:rPr>
      </w:pPr>
      <w:r>
        <w:rPr>
          <w:color w:val="000000"/>
          <w:sz w:val="24"/>
          <w:highlight w:val="none"/>
        </w:rPr>
        <w:t>1、服务地点：</w:t>
      </w:r>
      <w:r>
        <w:rPr>
          <w:rFonts w:hint="eastAsia"/>
          <w:color w:val="000000"/>
          <w:sz w:val="24"/>
          <w:highlight w:val="none"/>
          <w:lang w:val="en-US" w:eastAsia="zh-CN"/>
        </w:rPr>
        <w:t>广州市南沙区</w:t>
      </w:r>
      <w:r>
        <w:rPr>
          <w:color w:val="000000"/>
          <w:sz w:val="24"/>
          <w:highlight w:val="none"/>
        </w:rPr>
        <w:t>。</w:t>
      </w:r>
    </w:p>
    <w:p>
      <w:pPr>
        <w:spacing w:before="156" w:beforeLines="50" w:after="156" w:afterLines="50" w:line="360" w:lineRule="auto"/>
        <w:ind w:firstLine="480" w:firstLineChars="200"/>
        <w:rPr>
          <w:rFonts w:hint="eastAsia"/>
          <w:color w:val="000000"/>
          <w:sz w:val="24"/>
          <w:highlight w:val="none"/>
        </w:rPr>
      </w:pPr>
      <w:r>
        <w:rPr>
          <w:color w:val="000000"/>
          <w:sz w:val="24"/>
          <w:highlight w:val="none"/>
        </w:rPr>
        <w:t>2、乙方自合同签订且甲方提供了全部所需资料后</w:t>
      </w:r>
      <w:r>
        <w:rPr>
          <w:rFonts w:hint="eastAsia"/>
          <w:color w:val="000000"/>
          <w:sz w:val="24"/>
          <w:highlight w:val="none"/>
          <w:u w:val="single"/>
          <w:lang w:val="en-US" w:eastAsia="zh-CN"/>
        </w:rPr>
        <w:t>8</w:t>
      </w:r>
      <w:r>
        <w:rPr>
          <w:rFonts w:hint="eastAsia"/>
          <w:color w:val="000000"/>
          <w:sz w:val="24"/>
          <w:highlight w:val="none"/>
          <w:u w:val="single"/>
        </w:rPr>
        <w:t>0个工作日</w:t>
      </w:r>
      <w:r>
        <w:rPr>
          <w:color w:val="000000"/>
          <w:sz w:val="24"/>
          <w:highlight w:val="none"/>
        </w:rPr>
        <w:t>内完成并提交</w:t>
      </w:r>
      <w:r>
        <w:rPr>
          <w:rFonts w:hint="eastAsia"/>
          <w:color w:val="000000"/>
          <w:sz w:val="24"/>
          <w:highlight w:val="none"/>
        </w:rPr>
        <w:t>《</w:t>
      </w:r>
      <w:r>
        <w:rPr>
          <w:rFonts w:hint="eastAsia"/>
          <w:color w:val="000000"/>
          <w:sz w:val="24"/>
          <w:highlight w:val="none"/>
          <w:lang w:val="en-US" w:eastAsia="zh-CN"/>
        </w:rPr>
        <w:t>环评报告书</w:t>
      </w:r>
      <w:r>
        <w:rPr>
          <w:rFonts w:hint="eastAsia"/>
          <w:color w:val="000000"/>
          <w:sz w:val="24"/>
          <w:highlight w:val="none"/>
        </w:rPr>
        <w:t>》，如有特殊情况经甲方同意后方可调整提交时间。</w:t>
      </w:r>
    </w:p>
    <w:p>
      <w:pPr>
        <w:spacing w:before="156" w:beforeLines="50" w:line="360" w:lineRule="auto"/>
        <w:ind w:firstLine="471"/>
        <w:rPr>
          <w:b/>
          <w:sz w:val="24"/>
          <w:highlight w:val="none"/>
        </w:rPr>
      </w:pPr>
      <w:r>
        <w:rPr>
          <w:b/>
          <w:sz w:val="24"/>
          <w:highlight w:val="none"/>
        </w:rPr>
        <w:t>四、合同金额及其支付方式</w:t>
      </w:r>
    </w:p>
    <w:p>
      <w:pPr>
        <w:spacing w:before="156" w:beforeLines="50" w:after="156" w:afterLines="50" w:line="360" w:lineRule="auto"/>
        <w:ind w:firstLine="480" w:firstLineChars="200"/>
        <w:rPr>
          <w:sz w:val="24"/>
          <w:highlight w:val="none"/>
        </w:rPr>
      </w:pPr>
      <w:r>
        <w:rPr>
          <w:sz w:val="24"/>
          <w:highlight w:val="none"/>
        </w:rPr>
        <w:t>1、本项目总费用为：</w:t>
      </w:r>
      <w:r>
        <w:rPr>
          <w:b/>
          <w:sz w:val="24"/>
          <w:highlight w:val="none"/>
        </w:rPr>
        <w:t>人民币</w:t>
      </w:r>
      <w:r>
        <w:rPr>
          <w:rFonts w:hint="eastAsia"/>
          <w:b/>
          <w:sz w:val="24"/>
          <w:highlight w:val="none"/>
        </w:rPr>
        <w:t xml:space="preserve"> </w:t>
      </w:r>
      <w:r>
        <w:rPr>
          <w:b/>
          <w:sz w:val="24"/>
          <w:highlight w:val="none"/>
        </w:rPr>
        <w:t xml:space="preserve">      （</w:t>
      </w:r>
      <w:r>
        <w:rPr>
          <w:rFonts w:hint="eastAsia"/>
          <w:b/>
          <w:sz w:val="24"/>
          <w:highlight w:val="none"/>
        </w:rPr>
        <w:t>￥</w:t>
      </w:r>
      <w:r>
        <w:rPr>
          <w:b/>
          <w:sz w:val="24"/>
          <w:highlight w:val="none"/>
        </w:rPr>
        <w:t xml:space="preserve">    </w:t>
      </w:r>
      <w:r>
        <w:rPr>
          <w:rFonts w:hint="eastAsia"/>
          <w:b/>
          <w:sz w:val="24"/>
          <w:highlight w:val="none"/>
        </w:rPr>
        <w:t xml:space="preserve"> </w:t>
      </w:r>
      <w:r>
        <w:rPr>
          <w:b/>
          <w:sz w:val="24"/>
          <w:highlight w:val="none"/>
        </w:rPr>
        <w:t>元）</w:t>
      </w:r>
      <w:r>
        <w:rPr>
          <w:sz w:val="24"/>
          <w:highlight w:val="none"/>
        </w:rPr>
        <w:t>（</w:t>
      </w:r>
      <w:r>
        <w:rPr>
          <w:rFonts w:hint="eastAsia"/>
          <w:sz w:val="24"/>
          <w:highlight w:val="none"/>
        </w:rPr>
        <w:t>含</w:t>
      </w:r>
      <w:r>
        <w:rPr>
          <w:rFonts w:hint="eastAsia"/>
          <w:color w:val="FF0000"/>
          <w:sz w:val="24"/>
          <w:highlight w:val="none"/>
          <w:lang w:val="en-US" w:eastAsia="zh-CN"/>
        </w:rPr>
        <w:t>XX</w:t>
      </w:r>
      <w:r>
        <w:rPr>
          <w:rFonts w:hint="eastAsia"/>
          <w:sz w:val="24"/>
          <w:highlight w:val="none"/>
        </w:rPr>
        <w:t>%税</w:t>
      </w:r>
      <w:r>
        <w:rPr>
          <w:rFonts w:hint="eastAsia"/>
          <w:sz w:val="24"/>
          <w:highlight w:val="none"/>
          <w:lang w:val="en-US" w:eastAsia="zh-CN"/>
        </w:rPr>
        <w:t>金</w:t>
      </w:r>
      <w:r>
        <w:rPr>
          <w:sz w:val="24"/>
          <w:highlight w:val="none"/>
        </w:rPr>
        <w:t xml:space="preserve">）。                </w:t>
      </w:r>
    </w:p>
    <w:p>
      <w:pPr>
        <w:spacing w:before="156" w:beforeLines="50" w:after="156" w:afterLines="50" w:line="360" w:lineRule="auto"/>
        <w:ind w:firstLine="480" w:firstLineChars="200"/>
        <w:rPr>
          <w:sz w:val="24"/>
        </w:rPr>
      </w:pPr>
      <w:r>
        <w:rPr>
          <w:sz w:val="24"/>
          <w:highlight w:val="none"/>
        </w:rPr>
        <w:t>2、</w:t>
      </w:r>
      <w:r>
        <w:rPr>
          <w:rFonts w:hint="eastAsia"/>
          <w:sz w:val="24"/>
          <w:highlight w:val="none"/>
        </w:rPr>
        <w:t>合同</w:t>
      </w:r>
      <w:r>
        <w:rPr>
          <w:sz w:val="24"/>
          <w:highlight w:val="none"/>
        </w:rPr>
        <w:t>总费用为</w:t>
      </w:r>
      <w:r>
        <w:rPr>
          <w:rFonts w:hint="eastAsia"/>
          <w:sz w:val="24"/>
          <w:highlight w:val="none"/>
        </w:rPr>
        <w:t>本</w:t>
      </w:r>
      <w:r>
        <w:rPr>
          <w:sz w:val="24"/>
          <w:highlight w:val="none"/>
        </w:rPr>
        <w:t>项目总包干费用，包含测量、</w:t>
      </w:r>
      <w:r>
        <w:rPr>
          <w:rFonts w:hint="eastAsia"/>
          <w:sz w:val="24"/>
          <w:highlight w:val="none"/>
        </w:rPr>
        <w:t>现场</w:t>
      </w:r>
      <w:r>
        <w:rPr>
          <w:sz w:val="24"/>
          <w:highlight w:val="none"/>
        </w:rPr>
        <w:t>调研、资料收集</w:t>
      </w:r>
      <w:r>
        <w:rPr>
          <w:rFonts w:hint="eastAsia"/>
          <w:sz w:val="24"/>
          <w:highlight w:val="none"/>
        </w:rPr>
        <w:t>、</w:t>
      </w:r>
      <w:r>
        <w:rPr>
          <w:sz w:val="24"/>
          <w:highlight w:val="none"/>
        </w:rPr>
        <w:t>报告编制</w:t>
      </w:r>
      <w:r>
        <w:rPr>
          <w:rFonts w:hint="eastAsia"/>
          <w:sz w:val="24"/>
          <w:highlight w:val="none"/>
        </w:rPr>
        <w:t>、</w:t>
      </w:r>
      <w:r>
        <w:rPr>
          <w:sz w:val="24"/>
          <w:highlight w:val="none"/>
        </w:rPr>
        <w:t>税费</w:t>
      </w:r>
      <w:r>
        <w:rPr>
          <w:rFonts w:hint="eastAsia"/>
          <w:sz w:val="24"/>
          <w:highlight w:val="none"/>
          <w:lang w:eastAsia="zh-CN"/>
        </w:rPr>
        <w:t>、</w:t>
      </w:r>
      <w:r>
        <w:rPr>
          <w:rFonts w:hint="eastAsia"/>
          <w:sz w:val="24"/>
          <w:highlight w:val="none"/>
          <w:lang w:val="en-US" w:eastAsia="zh-CN"/>
        </w:rPr>
        <w:t>乙方人员差旅、食宿</w:t>
      </w:r>
      <w:r>
        <w:rPr>
          <w:sz w:val="24"/>
          <w:highlight w:val="none"/>
        </w:rPr>
        <w:t>等各项</w:t>
      </w:r>
      <w:r>
        <w:rPr>
          <w:rFonts w:hint="eastAsia"/>
          <w:sz w:val="24"/>
          <w:highlight w:val="none"/>
          <w:lang w:val="en-US" w:eastAsia="zh-CN"/>
        </w:rPr>
        <w:t>以完成本合同的一切</w:t>
      </w:r>
      <w:r>
        <w:rPr>
          <w:sz w:val="24"/>
          <w:highlight w:val="none"/>
        </w:rPr>
        <w:t>费用，乙方以该总费用完成本合同所有技</w:t>
      </w:r>
      <w:r>
        <w:rPr>
          <w:sz w:val="24"/>
        </w:rPr>
        <w:t>术服务内容。</w:t>
      </w:r>
    </w:p>
    <w:p>
      <w:pPr>
        <w:spacing w:before="156" w:beforeLines="50" w:after="156" w:afterLines="50" w:line="360" w:lineRule="auto"/>
        <w:ind w:firstLine="480" w:firstLineChars="200"/>
        <w:rPr>
          <w:sz w:val="24"/>
        </w:rPr>
      </w:pPr>
      <w:r>
        <w:rPr>
          <w:sz w:val="24"/>
        </w:rPr>
        <w:t xml:space="preserve">3、支付方式： </w:t>
      </w:r>
    </w:p>
    <w:p>
      <w:pPr>
        <w:spacing w:before="156" w:beforeLines="50" w:after="156" w:afterLines="50" w:line="360" w:lineRule="auto"/>
        <w:ind w:firstLine="480" w:firstLineChars="200"/>
        <w:rPr>
          <w:rFonts w:hint="eastAsia"/>
          <w:sz w:val="24"/>
        </w:rPr>
      </w:pPr>
      <w:r>
        <w:rPr>
          <w:rFonts w:hint="eastAsia"/>
          <w:sz w:val="24"/>
        </w:rPr>
        <w:t>（1）自双方合同签订</w:t>
      </w:r>
      <w:r>
        <w:rPr>
          <w:rFonts w:hint="eastAsia"/>
          <w:sz w:val="24"/>
          <w:lang w:val="en-US" w:eastAsia="zh-CN"/>
        </w:rPr>
        <w:t>且乙方提供合法、有效、足额的增值税普通发票</w:t>
      </w:r>
      <w:r>
        <w:rPr>
          <w:rFonts w:hint="eastAsia"/>
          <w:sz w:val="24"/>
        </w:rPr>
        <w:t>后</w:t>
      </w:r>
      <w:r>
        <w:rPr>
          <w:sz w:val="24"/>
        </w:rPr>
        <w:t>7</w:t>
      </w:r>
      <w:r>
        <w:rPr>
          <w:rFonts w:hint="eastAsia"/>
          <w:sz w:val="24"/>
        </w:rPr>
        <w:t>个工作日内，甲方向乙方支付</w:t>
      </w:r>
      <w:r>
        <w:rPr>
          <w:rFonts w:hint="eastAsia"/>
          <w:sz w:val="24"/>
          <w:lang w:val="en-US" w:eastAsia="zh-CN"/>
        </w:rPr>
        <w:t>3</w:t>
      </w:r>
      <w:r>
        <w:rPr>
          <w:sz w:val="24"/>
        </w:rPr>
        <w:t>0</w:t>
      </w:r>
      <w:r>
        <w:rPr>
          <w:rFonts w:hint="eastAsia"/>
          <w:sz w:val="24"/>
        </w:rPr>
        <w:t>%项目费用作为项目预付款 ；</w:t>
      </w:r>
    </w:p>
    <w:p>
      <w:pPr>
        <w:spacing w:before="156" w:beforeLines="50" w:after="156" w:afterLines="50" w:line="360" w:lineRule="auto"/>
        <w:ind w:firstLine="480" w:firstLineChars="200"/>
        <w:rPr>
          <w:rFonts w:hint="eastAsia"/>
          <w:sz w:val="24"/>
        </w:rPr>
      </w:pPr>
      <w:r>
        <w:rPr>
          <w:rFonts w:hint="eastAsia"/>
          <w:sz w:val="24"/>
        </w:rPr>
        <w:t>（</w:t>
      </w:r>
      <w:r>
        <w:rPr>
          <w:sz w:val="24"/>
        </w:rPr>
        <w:t>2</w:t>
      </w:r>
      <w:r>
        <w:rPr>
          <w:rFonts w:hint="eastAsia"/>
          <w:sz w:val="24"/>
        </w:rPr>
        <w:t>）自乙方提交《</w:t>
      </w:r>
      <w:r>
        <w:rPr>
          <w:rFonts w:hint="eastAsia"/>
          <w:color w:val="000000"/>
          <w:sz w:val="24"/>
          <w:highlight w:val="none"/>
          <w:lang w:val="en-US" w:eastAsia="zh-CN"/>
        </w:rPr>
        <w:t>环评报告书</w:t>
      </w:r>
      <w:r>
        <w:rPr>
          <w:rFonts w:hint="eastAsia"/>
          <w:sz w:val="24"/>
        </w:rPr>
        <w:t>》送审稿</w:t>
      </w:r>
      <w:r>
        <w:rPr>
          <w:rFonts w:hint="eastAsia"/>
          <w:sz w:val="24"/>
          <w:lang w:val="en-US" w:eastAsia="zh-CN"/>
        </w:rPr>
        <w:t>且乙方提供合法、有效、足额的增值税专用发票</w:t>
      </w:r>
      <w:r>
        <w:rPr>
          <w:rFonts w:hint="eastAsia"/>
          <w:sz w:val="24"/>
        </w:rPr>
        <w:t>后1</w:t>
      </w:r>
      <w:r>
        <w:rPr>
          <w:sz w:val="24"/>
        </w:rPr>
        <w:t>0</w:t>
      </w:r>
      <w:r>
        <w:rPr>
          <w:rFonts w:hint="eastAsia"/>
          <w:sz w:val="24"/>
        </w:rPr>
        <w:t>个工作日内，甲方向乙方支付</w:t>
      </w:r>
      <w:r>
        <w:rPr>
          <w:rFonts w:hint="eastAsia"/>
          <w:sz w:val="24"/>
          <w:lang w:val="en-US" w:eastAsia="zh-CN"/>
        </w:rPr>
        <w:t>4</w:t>
      </w:r>
      <w:r>
        <w:rPr>
          <w:sz w:val="24"/>
        </w:rPr>
        <w:t>0</w:t>
      </w:r>
      <w:r>
        <w:rPr>
          <w:rFonts w:hint="eastAsia"/>
          <w:sz w:val="24"/>
        </w:rPr>
        <w:t>%项目费用；</w:t>
      </w:r>
    </w:p>
    <w:p>
      <w:pPr>
        <w:spacing w:before="156" w:beforeLines="50" w:after="156" w:afterLines="50" w:line="360" w:lineRule="auto"/>
        <w:ind w:firstLine="480" w:firstLineChars="200"/>
        <w:rPr>
          <w:rFonts w:hint="eastAsia"/>
          <w:sz w:val="24"/>
        </w:rPr>
      </w:pPr>
      <w:r>
        <w:rPr>
          <w:rFonts w:hint="eastAsia"/>
          <w:sz w:val="24"/>
        </w:rPr>
        <w:t>（3）自乙方提交《</w:t>
      </w:r>
      <w:r>
        <w:rPr>
          <w:rFonts w:hint="eastAsia"/>
          <w:color w:val="000000"/>
          <w:sz w:val="24"/>
          <w:highlight w:val="none"/>
          <w:lang w:val="en-US" w:eastAsia="zh-CN"/>
        </w:rPr>
        <w:t>环评报告书</w:t>
      </w:r>
      <w:bookmarkStart w:id="0" w:name="_GoBack"/>
      <w:bookmarkEnd w:id="0"/>
      <w:r>
        <w:rPr>
          <w:rFonts w:hint="eastAsia"/>
          <w:sz w:val="24"/>
        </w:rPr>
        <w:t>》报批稿，并取得相关主管部门的批复文件</w:t>
      </w:r>
      <w:r>
        <w:rPr>
          <w:rFonts w:hint="eastAsia"/>
          <w:sz w:val="24"/>
          <w:lang w:val="en-US" w:eastAsia="zh-CN"/>
        </w:rPr>
        <w:t>且乙方提供合法、有效、足额的增值税专用发票</w:t>
      </w:r>
      <w:r>
        <w:rPr>
          <w:rFonts w:hint="eastAsia"/>
          <w:sz w:val="24"/>
        </w:rPr>
        <w:t>后后1</w:t>
      </w:r>
      <w:r>
        <w:rPr>
          <w:sz w:val="24"/>
        </w:rPr>
        <w:t>0</w:t>
      </w:r>
      <w:r>
        <w:rPr>
          <w:rFonts w:hint="eastAsia"/>
          <w:sz w:val="24"/>
        </w:rPr>
        <w:t>个工作日内，甲方向乙方支付</w:t>
      </w:r>
      <w:r>
        <w:rPr>
          <w:rFonts w:hint="eastAsia"/>
          <w:sz w:val="24"/>
          <w:lang w:val="en-US" w:eastAsia="zh-CN"/>
        </w:rPr>
        <w:t>3</w:t>
      </w:r>
      <w:r>
        <w:rPr>
          <w:sz w:val="24"/>
        </w:rPr>
        <w:t>0</w:t>
      </w:r>
      <w:r>
        <w:rPr>
          <w:rFonts w:hint="eastAsia"/>
          <w:sz w:val="24"/>
        </w:rPr>
        <w:t>%项目费用；</w:t>
      </w:r>
    </w:p>
    <w:p>
      <w:pPr>
        <w:spacing w:before="156" w:beforeLines="50" w:after="156" w:afterLines="50" w:line="360" w:lineRule="auto"/>
        <w:ind w:firstLine="480" w:firstLineChars="200"/>
        <w:rPr>
          <w:rFonts w:hint="eastAsia"/>
          <w:sz w:val="24"/>
          <w:highlight w:val="none"/>
        </w:rPr>
      </w:pPr>
      <w:r>
        <w:rPr>
          <w:rFonts w:hint="eastAsia"/>
          <w:sz w:val="24"/>
        </w:rPr>
        <w:t>（4）各阶段付款前，乙方应提供与付款额度等额、合法的增值</w:t>
      </w:r>
      <w:r>
        <w:rPr>
          <w:rFonts w:hint="eastAsia"/>
          <w:sz w:val="24"/>
          <w:highlight w:val="none"/>
        </w:rPr>
        <w:t>税</w:t>
      </w:r>
      <w:r>
        <w:rPr>
          <w:rFonts w:hint="eastAsia"/>
          <w:sz w:val="24"/>
          <w:highlight w:val="none"/>
          <w:lang w:val="en-US" w:eastAsia="zh-CN"/>
        </w:rPr>
        <w:t>普通</w:t>
      </w:r>
      <w:r>
        <w:rPr>
          <w:rFonts w:hint="eastAsia"/>
          <w:sz w:val="24"/>
          <w:highlight w:val="none"/>
        </w:rPr>
        <w:t>发票。</w:t>
      </w:r>
    </w:p>
    <w:p>
      <w:pPr>
        <w:spacing w:before="156" w:beforeLines="50" w:line="360" w:lineRule="auto"/>
        <w:ind w:firstLine="471"/>
        <w:rPr>
          <w:b/>
          <w:sz w:val="24"/>
          <w:highlight w:val="none"/>
        </w:rPr>
      </w:pPr>
      <w:r>
        <w:rPr>
          <w:b/>
          <w:sz w:val="24"/>
          <w:highlight w:val="none"/>
        </w:rPr>
        <w:t>五、服务范围的变更</w:t>
      </w:r>
    </w:p>
    <w:p>
      <w:pPr>
        <w:spacing w:before="156" w:beforeLines="50" w:after="156" w:afterLines="50" w:line="360" w:lineRule="auto"/>
        <w:ind w:firstLine="480" w:firstLineChars="200"/>
        <w:rPr>
          <w:color w:val="000000"/>
          <w:sz w:val="24"/>
        </w:rPr>
      </w:pPr>
      <w:r>
        <w:rPr>
          <w:color w:val="000000"/>
          <w:sz w:val="24"/>
        </w:rPr>
        <w:t xml:space="preserve">在本合同签订后，经双方协商并书面确定后甲方可以要求在本合同的服务范围基础上增加服务内容、变更服务内容和删减其中尚未执行的某些部分。如果这些增加、变更和/或删减影响到整个服务范围的费用和/或进度，应在双方友好协商的基础上对费用和/或进度做出相应的合理调整。乙方只有在接到甲方的书面通知后才能执行增加、变更和/或删减服务内容的要求。若这些变更增加了乙方的工作量，则甲方需要适当增加合同经费，增加额度根据所增加的工作量由甲、乙双方协商确定。甲方不同意增加经费的，乙方有权仅在原要求服务范围内工作，由此而产生的一切后果由甲方承担，与乙方无关。   </w:t>
      </w:r>
    </w:p>
    <w:p>
      <w:pPr>
        <w:spacing w:before="156" w:beforeLines="50" w:line="360" w:lineRule="auto"/>
        <w:ind w:firstLine="471"/>
        <w:rPr>
          <w:b/>
          <w:color w:val="000000"/>
          <w:sz w:val="24"/>
        </w:rPr>
      </w:pPr>
      <w:r>
        <w:rPr>
          <w:b/>
          <w:color w:val="000000"/>
          <w:sz w:val="24"/>
        </w:rPr>
        <w:t>六、违约责任</w:t>
      </w:r>
    </w:p>
    <w:p>
      <w:pPr>
        <w:spacing w:before="156" w:beforeLines="50" w:line="360" w:lineRule="auto"/>
        <w:ind w:firstLine="471"/>
        <w:rPr>
          <w:color w:val="000000"/>
          <w:sz w:val="24"/>
        </w:rPr>
      </w:pPr>
      <w:r>
        <w:rPr>
          <w:color w:val="000000"/>
          <w:sz w:val="24"/>
        </w:rPr>
        <w:t>1、在合同签订后、履行中，甲方要求终止或解除合同的，应提前5天书面通知乙方。乙方未开始工作的，甲方无须支付任何费用；</w:t>
      </w:r>
      <w:r>
        <w:rPr>
          <w:rFonts w:hint="eastAsia"/>
          <w:color w:val="000000"/>
          <w:sz w:val="24"/>
          <w:lang w:val="en-US" w:eastAsia="zh-CN"/>
        </w:rPr>
        <w:t>收到解除通知前</w:t>
      </w:r>
      <w:r>
        <w:rPr>
          <w:color w:val="000000"/>
          <w:sz w:val="24"/>
        </w:rPr>
        <w:t>乙方已开始工作的，甲方应根据乙方已进行的实际工作量支付相应报酬。</w:t>
      </w:r>
    </w:p>
    <w:p>
      <w:pPr>
        <w:spacing w:before="156" w:beforeLines="50" w:line="360" w:lineRule="auto"/>
        <w:ind w:firstLine="471"/>
        <w:rPr>
          <w:color w:val="000000"/>
          <w:sz w:val="24"/>
        </w:rPr>
      </w:pPr>
      <w:r>
        <w:rPr>
          <w:color w:val="000000"/>
          <w:sz w:val="24"/>
        </w:rPr>
        <w:t>2、甲方应按本合同规定的金额和时间，向乙方支付技术服务费。若乙方已按照合同约定履行相应义务，甲方逾期付款超过15天以上时，乙方有权暂停履行下阶段工作，并书面通知甲方。恢复工作后，乙方提交成果文件的时间顺延。</w:t>
      </w:r>
    </w:p>
    <w:p>
      <w:pPr>
        <w:spacing w:before="156" w:beforeLines="50" w:line="360" w:lineRule="auto"/>
        <w:ind w:firstLine="471"/>
        <w:rPr>
          <w:color w:val="000000"/>
          <w:sz w:val="24"/>
        </w:rPr>
      </w:pPr>
      <w:r>
        <w:rPr>
          <w:color w:val="000000"/>
          <w:sz w:val="24"/>
        </w:rPr>
        <w:t>3、甲方应依照合同约定向乙方提供基础资料及有关文件，逾期提供的，乙方提交成果文件的时间顺延。</w:t>
      </w:r>
    </w:p>
    <w:p>
      <w:pPr>
        <w:spacing w:before="156" w:beforeLines="50" w:line="360" w:lineRule="auto"/>
        <w:ind w:firstLine="471"/>
        <w:rPr>
          <w:color w:val="000000"/>
          <w:sz w:val="24"/>
        </w:rPr>
      </w:pPr>
      <w:r>
        <w:rPr>
          <w:color w:val="000000"/>
          <w:sz w:val="24"/>
        </w:rPr>
        <w:t>4、因乙方的原因，逾期30天以上仍未能提交成果文件的，甲方有权终止本合同。如因甲方原因导致乙方延期提交各成果文件，乙方不支付违约金，且相关责任由甲方自行承担，与乙方无关。</w:t>
      </w:r>
    </w:p>
    <w:p>
      <w:pPr>
        <w:spacing w:before="156" w:beforeLines="50" w:line="360" w:lineRule="auto"/>
        <w:ind w:firstLine="471"/>
        <w:rPr>
          <w:color w:val="000000"/>
          <w:sz w:val="24"/>
        </w:rPr>
      </w:pPr>
      <w:r>
        <w:rPr>
          <w:color w:val="000000"/>
          <w:sz w:val="24"/>
        </w:rPr>
        <w:t>5、乙方应对其提交的全部技术服务成果的准确性、合规性负责，并负责对工作成果中出现的错误或遗漏进行及时的修改和补充。由于乙方原因造成工作成果质量不合格，乙方应负责完善或无偿返工至能满足项目需求，非乙方原因的情况除外。</w:t>
      </w:r>
    </w:p>
    <w:p>
      <w:pPr>
        <w:spacing w:before="156" w:beforeLines="50" w:line="360" w:lineRule="auto"/>
        <w:ind w:firstLine="471"/>
        <w:rPr>
          <w:rFonts w:hint="eastAsia"/>
          <w:color w:val="000000"/>
          <w:sz w:val="24"/>
        </w:rPr>
      </w:pPr>
      <w:r>
        <w:rPr>
          <w:color w:val="000000"/>
          <w:sz w:val="24"/>
        </w:rPr>
        <w:t>6、</w:t>
      </w:r>
      <w:r>
        <w:rPr>
          <w:rFonts w:hint="eastAsia"/>
          <w:color w:val="000000"/>
          <w:sz w:val="24"/>
        </w:rPr>
        <w:t>在本合同履行期间，因乙方原因造成合同终止或解除的，除已获得甲方审核的服务费用外，甲方不予支付任何额外费用。同时乙方应将已完成的阶段成果移交给甲方。</w:t>
      </w:r>
    </w:p>
    <w:p>
      <w:pPr>
        <w:spacing w:before="156" w:beforeLines="50" w:line="360" w:lineRule="auto"/>
        <w:ind w:firstLine="471"/>
        <w:rPr>
          <w:rFonts w:hint="default" w:eastAsia="宋体"/>
          <w:color w:val="000000"/>
          <w:sz w:val="24"/>
          <w:lang w:val="en-US" w:eastAsia="zh-CN"/>
        </w:rPr>
      </w:pPr>
      <w:r>
        <w:rPr>
          <w:rFonts w:hint="eastAsia"/>
          <w:color w:val="000000"/>
          <w:sz w:val="24"/>
          <w:lang w:val="en-US" w:eastAsia="zh-CN"/>
        </w:rPr>
        <w:t>7.乙方应保证其出具的成果不侵犯第三方知识产权，保证甲方能合法使用，如因知识产权侵权导致甲方损失，应由乙方承担。</w:t>
      </w:r>
    </w:p>
    <w:p>
      <w:pPr>
        <w:spacing w:before="156" w:beforeLines="50" w:line="360" w:lineRule="auto"/>
        <w:ind w:firstLine="471"/>
        <w:rPr>
          <w:b/>
          <w:color w:val="000000"/>
          <w:sz w:val="24"/>
        </w:rPr>
      </w:pPr>
      <w:r>
        <w:rPr>
          <w:b/>
          <w:color w:val="000000"/>
          <w:sz w:val="24"/>
        </w:rPr>
        <w:t>七、争议的解决办法</w:t>
      </w:r>
    </w:p>
    <w:p>
      <w:pPr>
        <w:spacing w:before="156" w:beforeLines="50" w:after="156" w:afterLines="50" w:line="360" w:lineRule="auto"/>
        <w:ind w:firstLine="480" w:firstLineChars="200"/>
        <w:rPr>
          <w:color w:val="000000"/>
          <w:sz w:val="24"/>
        </w:rPr>
      </w:pPr>
      <w:r>
        <w:rPr>
          <w:color w:val="000000"/>
          <w:sz w:val="24"/>
        </w:rPr>
        <w:t>在合同履行过程中发生争议，双方应当协商解决。</w:t>
      </w:r>
    </w:p>
    <w:p>
      <w:pPr>
        <w:spacing w:before="156" w:beforeLines="50" w:after="156" w:afterLines="50" w:line="360" w:lineRule="auto"/>
        <w:ind w:firstLine="480" w:firstLineChars="200"/>
        <w:rPr>
          <w:color w:val="000000"/>
          <w:sz w:val="24"/>
        </w:rPr>
      </w:pPr>
      <w:r>
        <w:rPr>
          <w:color w:val="000000"/>
          <w:sz w:val="24"/>
        </w:rPr>
        <w:t>当事人不愿协商、调解解决或者协商、调解不成的，合同任何一方当事人均有权向项目属地的人民法院提请诉讼。</w:t>
      </w:r>
    </w:p>
    <w:p>
      <w:pPr>
        <w:spacing w:before="156" w:beforeLines="50" w:line="360" w:lineRule="auto"/>
        <w:ind w:firstLine="471"/>
        <w:rPr>
          <w:b/>
          <w:color w:val="000000"/>
          <w:sz w:val="24"/>
        </w:rPr>
      </w:pPr>
      <w:r>
        <w:rPr>
          <w:b/>
          <w:color w:val="000000"/>
          <w:sz w:val="24"/>
        </w:rPr>
        <w:t>八、其它</w:t>
      </w:r>
    </w:p>
    <w:p>
      <w:pPr>
        <w:spacing w:before="156" w:beforeLines="50" w:after="156" w:afterLines="50" w:line="360" w:lineRule="auto"/>
        <w:ind w:firstLine="480" w:firstLineChars="200"/>
        <w:rPr>
          <w:color w:val="000000"/>
          <w:sz w:val="24"/>
        </w:rPr>
      </w:pPr>
      <w:r>
        <w:rPr>
          <w:color w:val="000000"/>
          <w:sz w:val="24"/>
        </w:rPr>
        <w:t>1、合同有效期限未到，但由于特殊原因需要解除合同的，由双方具体协商确定。</w:t>
      </w:r>
    </w:p>
    <w:p>
      <w:pPr>
        <w:spacing w:before="156" w:beforeLines="50" w:after="156" w:afterLines="50" w:line="360" w:lineRule="auto"/>
        <w:ind w:firstLine="480" w:firstLineChars="200"/>
        <w:rPr>
          <w:color w:val="000000"/>
          <w:sz w:val="24"/>
        </w:rPr>
      </w:pPr>
      <w:r>
        <w:rPr>
          <w:color w:val="000000"/>
          <w:sz w:val="24"/>
        </w:rPr>
        <w:t>2、本合同未尽事宜，双方可签订补充协议，有关协议及双方认可的往来电报、传真、会议纪要等，均为本合同组成部分，与本合同具有同等法律效力。</w:t>
      </w:r>
    </w:p>
    <w:p>
      <w:pPr>
        <w:spacing w:before="156" w:beforeLines="50" w:after="156" w:afterLines="50" w:line="360" w:lineRule="auto"/>
        <w:ind w:firstLine="480" w:firstLineChars="200"/>
        <w:rPr>
          <w:color w:val="000000"/>
          <w:sz w:val="24"/>
        </w:rPr>
      </w:pPr>
      <w:r>
        <w:rPr>
          <w:color w:val="000000"/>
          <w:sz w:val="24"/>
        </w:rPr>
        <w:t>3、本合同一式陆份，甲、乙双方各叁份，具同等法律效力，自双方法定代表人或委托代理人签字盖章后生效。</w:t>
      </w:r>
    </w:p>
    <w:p>
      <w:pPr>
        <w:pStyle w:val="2"/>
        <w:ind w:left="0" w:leftChars="0" w:firstLine="0" w:firstLineChars="0"/>
        <w:rPr>
          <w:rFonts w:hint="eastAsia"/>
          <w:color w:val="000000"/>
          <w:sz w:val="24"/>
        </w:rPr>
      </w:pPr>
      <w:r>
        <w:rPr>
          <w:rFonts w:hint="eastAsia"/>
          <w:color w:val="000000"/>
          <w:sz w:val="24"/>
        </w:rPr>
        <w:t>（以下无正文）</w:t>
      </w:r>
    </w:p>
    <w:p>
      <w:pPr>
        <w:pStyle w:val="2"/>
        <w:ind w:left="0" w:leftChars="0" w:firstLine="0" w:firstLineChars="0"/>
        <w:rPr>
          <w:rFonts w:hint="eastAsia"/>
          <w:color w:val="000000"/>
          <w:sz w:val="24"/>
        </w:rPr>
      </w:pPr>
    </w:p>
    <w:tbl>
      <w:tblPr>
        <w:tblStyle w:val="10"/>
        <w:tblpPr w:leftFromText="180" w:rightFromText="180" w:vertAnchor="text" w:horzAnchor="page" w:tblpX="1727" w:tblpY="409"/>
        <w:tblOverlap w:val="never"/>
        <w:tblW w:w="8759" w:type="dxa"/>
        <w:tblInd w:w="0" w:type="dxa"/>
        <w:tblLayout w:type="fixed"/>
        <w:tblCellMar>
          <w:top w:w="0" w:type="dxa"/>
          <w:left w:w="108" w:type="dxa"/>
          <w:bottom w:w="0" w:type="dxa"/>
          <w:right w:w="108" w:type="dxa"/>
        </w:tblCellMar>
      </w:tblPr>
      <w:tblGrid>
        <w:gridCol w:w="4417"/>
        <w:gridCol w:w="4342"/>
      </w:tblGrid>
      <w:tr>
        <w:tblPrEx>
          <w:tblLayout w:type="fixed"/>
          <w:tblCellMar>
            <w:top w:w="0" w:type="dxa"/>
            <w:left w:w="108" w:type="dxa"/>
            <w:bottom w:w="0" w:type="dxa"/>
            <w:right w:w="108" w:type="dxa"/>
          </w:tblCellMar>
        </w:tblPrEx>
        <w:trPr>
          <w:trHeight w:val="1204" w:hRule="atLeast"/>
        </w:trPr>
        <w:tc>
          <w:tcPr>
            <w:tcW w:w="4417"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甲方单位（盖章）：</w:t>
            </w:r>
          </w:p>
          <w:p>
            <w:pPr>
              <w:pStyle w:val="7"/>
              <w:spacing w:beforeAutospacing="0" w:afterAutospacing="0" w:line="360" w:lineRule="auto"/>
              <w:rPr>
                <w:rFonts w:hint="eastAsia" w:ascii="仿宋_GB2312" w:hAnsi="仿宋_GB2312" w:eastAsia="仿宋_GB2312" w:cs="仿宋_GB2312"/>
                <w:sz w:val="28"/>
                <w:szCs w:val="28"/>
              </w:rPr>
            </w:pPr>
            <w:r>
              <w:rPr>
                <w:rFonts w:hint="eastAsia" w:eastAsia="仿宋_GB2312"/>
                <w:sz w:val="24"/>
                <w:lang w:val="en-US" w:eastAsia="zh-CN"/>
              </w:rPr>
              <w:t>广州南沙科技投资有限公司</w:t>
            </w:r>
          </w:p>
        </w:tc>
        <w:tc>
          <w:tcPr>
            <w:tcW w:w="4342"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乙方单位（盖章）：</w:t>
            </w:r>
          </w:p>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Layout w:type="fixed"/>
          <w:tblCellMar>
            <w:top w:w="0" w:type="dxa"/>
            <w:left w:w="108" w:type="dxa"/>
            <w:bottom w:w="0" w:type="dxa"/>
            <w:right w:w="108" w:type="dxa"/>
          </w:tblCellMar>
        </w:tblPrEx>
        <w:trPr>
          <w:trHeight w:val="1261" w:hRule="atLeast"/>
        </w:trPr>
        <w:tc>
          <w:tcPr>
            <w:tcW w:w="4417"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法定或授权代表人（签字）：</w:t>
            </w:r>
          </w:p>
          <w:p>
            <w:pPr>
              <w:pStyle w:val="7"/>
              <w:spacing w:beforeAutospacing="0" w:afterAutospacing="0" w:line="360" w:lineRule="auto"/>
              <w:rPr>
                <w:rFonts w:hint="eastAsia" w:ascii="仿宋_GB2312" w:hAnsi="仿宋_GB2312" w:eastAsia="仿宋_GB2312" w:cs="仿宋_GB2312"/>
                <w:sz w:val="28"/>
                <w:szCs w:val="28"/>
              </w:rPr>
            </w:pPr>
          </w:p>
          <w:p>
            <w:pPr>
              <w:pStyle w:val="7"/>
              <w:spacing w:beforeAutospacing="0" w:afterAutospacing="0" w:line="360" w:lineRule="auto"/>
              <w:rPr>
                <w:rFonts w:hint="eastAsia" w:ascii="仿宋_GB2312" w:hAnsi="仿宋_GB2312" w:eastAsia="仿宋_GB2312" w:cs="仿宋_GB2312"/>
                <w:sz w:val="28"/>
                <w:szCs w:val="28"/>
              </w:rPr>
            </w:pPr>
          </w:p>
        </w:tc>
        <w:tc>
          <w:tcPr>
            <w:tcW w:w="4342"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法定或授权代表人（签字）：</w:t>
            </w:r>
          </w:p>
          <w:p>
            <w:pPr>
              <w:pStyle w:val="7"/>
              <w:spacing w:beforeAutospacing="0" w:afterAutospacing="0" w:line="360" w:lineRule="auto"/>
              <w:rPr>
                <w:rFonts w:hint="eastAsia"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602" w:hRule="atLeast"/>
        </w:trPr>
        <w:tc>
          <w:tcPr>
            <w:tcW w:w="4417"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4342" w:type="dxa"/>
            <w:vAlign w:val="top"/>
          </w:tcPr>
          <w:p>
            <w:pPr>
              <w:pStyle w:val="7"/>
              <w:spacing w:beforeAutospacing="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pStyle w:val="2"/>
        <w:ind w:left="0" w:leftChars="0" w:firstLine="0" w:firstLineChars="0"/>
        <w:rPr>
          <w:rFonts w:hint="eastAsia"/>
          <w:color w:val="000000"/>
          <w:sz w:val="24"/>
        </w:rPr>
      </w:pPr>
    </w:p>
    <w:p>
      <w:pPr>
        <w:pStyle w:val="2"/>
        <w:ind w:left="0" w:leftChars="0" w:firstLine="0" w:firstLineChars="0"/>
        <w:rPr>
          <w:rFonts w:hint="eastAsia"/>
          <w:color w:val="000000"/>
          <w:sz w:val="24"/>
        </w:rPr>
      </w:pPr>
    </w:p>
    <w:p>
      <w:pPr>
        <w:pStyle w:val="2"/>
        <w:ind w:left="0" w:leftChars="0" w:firstLine="0" w:firstLineChars="0"/>
        <w:rPr>
          <w:rFonts w:hint="eastAsia"/>
          <w:color w:val="000000"/>
          <w:sz w:val="24"/>
        </w:rPr>
      </w:pPr>
    </w:p>
    <w:p>
      <w:pPr>
        <w:pStyle w:val="2"/>
        <w:ind w:left="0" w:leftChars="0" w:firstLine="0" w:firstLineChars="0"/>
        <w:rPr>
          <w:rFonts w:hint="eastAsia"/>
          <w:color w:val="000000"/>
          <w:sz w:val="24"/>
        </w:rPr>
      </w:pPr>
    </w:p>
    <w:p>
      <w:pPr>
        <w:pStyle w:val="2"/>
        <w:ind w:left="0" w:leftChars="0" w:firstLine="0" w:firstLineChars="0"/>
      </w:pPr>
    </w:p>
    <w:sectPr>
      <w:pgSz w:w="11906" w:h="16838"/>
      <w:pgMar w:top="1304" w:right="1800" w:bottom="130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5325"/>
    <w:multiLevelType w:val="multilevel"/>
    <w:tmpl w:val="55655325"/>
    <w:lvl w:ilvl="0" w:tentative="0">
      <w:start w:val="1"/>
      <w:numFmt w:val="decimal"/>
      <w:lvlText w:val="%1、"/>
      <w:lvlJc w:val="left"/>
      <w:pPr>
        <w:ind w:left="863" w:hanging="375"/>
      </w:pPr>
      <w:rPr>
        <w:rFonts w:hint="default"/>
      </w:rPr>
    </w:lvl>
    <w:lvl w:ilvl="1" w:tentative="0">
      <w:start w:val="1"/>
      <w:numFmt w:val="lowerLetter"/>
      <w:lvlText w:val="%2)"/>
      <w:lvlJc w:val="left"/>
      <w:pPr>
        <w:ind w:left="1368" w:hanging="440"/>
      </w:pPr>
    </w:lvl>
    <w:lvl w:ilvl="2" w:tentative="0">
      <w:start w:val="1"/>
      <w:numFmt w:val="lowerRoman"/>
      <w:lvlText w:val="%3."/>
      <w:lvlJc w:val="right"/>
      <w:pPr>
        <w:ind w:left="1808" w:hanging="440"/>
      </w:pPr>
    </w:lvl>
    <w:lvl w:ilvl="3" w:tentative="0">
      <w:start w:val="1"/>
      <w:numFmt w:val="decimal"/>
      <w:lvlText w:val="%4."/>
      <w:lvlJc w:val="left"/>
      <w:pPr>
        <w:ind w:left="2248" w:hanging="440"/>
      </w:pPr>
    </w:lvl>
    <w:lvl w:ilvl="4" w:tentative="0">
      <w:start w:val="1"/>
      <w:numFmt w:val="lowerLetter"/>
      <w:lvlText w:val="%5)"/>
      <w:lvlJc w:val="left"/>
      <w:pPr>
        <w:ind w:left="2688" w:hanging="440"/>
      </w:pPr>
    </w:lvl>
    <w:lvl w:ilvl="5" w:tentative="0">
      <w:start w:val="1"/>
      <w:numFmt w:val="lowerRoman"/>
      <w:lvlText w:val="%6."/>
      <w:lvlJc w:val="right"/>
      <w:pPr>
        <w:ind w:left="3128" w:hanging="440"/>
      </w:pPr>
    </w:lvl>
    <w:lvl w:ilvl="6" w:tentative="0">
      <w:start w:val="1"/>
      <w:numFmt w:val="decimal"/>
      <w:lvlText w:val="%7."/>
      <w:lvlJc w:val="left"/>
      <w:pPr>
        <w:ind w:left="3568" w:hanging="440"/>
      </w:pPr>
    </w:lvl>
    <w:lvl w:ilvl="7" w:tentative="0">
      <w:start w:val="1"/>
      <w:numFmt w:val="lowerLetter"/>
      <w:lvlText w:val="%8)"/>
      <w:lvlJc w:val="left"/>
      <w:pPr>
        <w:ind w:left="4008" w:hanging="440"/>
      </w:pPr>
    </w:lvl>
    <w:lvl w:ilvl="8" w:tentative="0">
      <w:start w:val="1"/>
      <w:numFmt w:val="lowerRoman"/>
      <w:lvlText w:val="%9."/>
      <w:lvlJc w:val="right"/>
      <w:pPr>
        <w:ind w:left="444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B09A0"/>
    <w:rsid w:val="2C9E3F12"/>
    <w:rsid w:val="759B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3">
    <w:name w:val="Body Text First Indent"/>
    <w:basedOn w:val="4"/>
    <w:unhideWhenUsed/>
    <w:qFormat/>
    <w:uiPriority w:val="0"/>
    <w:pPr>
      <w:ind w:firstLine="420" w:firstLineChars="1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Autospacing="1" w:afterAutospacing="1"/>
      <w:jc w:val="left"/>
    </w:pPr>
    <w:rPr>
      <w:rFonts w:ascii="宋体" w:hAnsi="宋体" w:cs="宋体"/>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彭宇</cp:lastModifiedBy>
  <dcterms:modified xsi:type="dcterms:W3CDTF">2023-08-21T05:13:02Z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