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黑体" w:eastAsia="黑体" w:cs="黑体"/>
          <w:color w:val="auto"/>
          <w:sz w:val="48"/>
          <w:szCs w:val="48"/>
          <w:highlight w:val="none"/>
        </w:rPr>
      </w:pPr>
    </w:p>
    <w:p>
      <w:pPr>
        <w:jc w:val="center"/>
        <w:rPr>
          <w:rFonts w:hint="eastAsia" w:ascii="黑体" w:hAnsi="黑体" w:eastAsia="黑体" w:cs="黑体"/>
          <w:color w:val="auto"/>
          <w:sz w:val="48"/>
          <w:szCs w:val="48"/>
          <w:highlight w:val="none"/>
          <w:lang w:eastAsia="zh-CN"/>
        </w:rPr>
      </w:pPr>
      <w:r>
        <w:rPr>
          <w:rFonts w:hint="eastAsia" w:ascii="黑体" w:hAnsi="黑体" w:eastAsia="黑体" w:cs="黑体"/>
          <w:color w:val="auto"/>
          <w:sz w:val="48"/>
          <w:szCs w:val="48"/>
          <w:highlight w:val="none"/>
          <w:lang w:eastAsia="zh-CN"/>
        </w:rPr>
        <w:t>“海防教育基地项目交通渡口码头工程”</w:t>
      </w:r>
    </w:p>
    <w:p>
      <w:pPr>
        <w:jc w:val="center"/>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lang w:eastAsia="zh-CN"/>
        </w:rPr>
        <w:t>环境影响评价咨询服务</w:t>
      </w: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lang w:val="en-US" w:eastAsia="zh-CN"/>
        </w:rPr>
        <w:t>邀请</w:t>
      </w:r>
      <w:r>
        <w:rPr>
          <w:rFonts w:hint="eastAsia" w:ascii="楷体" w:hAnsi="楷体" w:eastAsia="楷体" w:cs="楷体"/>
          <w:b/>
          <w:color w:val="auto"/>
          <w:sz w:val="110"/>
          <w:szCs w:val="110"/>
          <w:highlight w:val="none"/>
        </w:rPr>
        <w:t>招标文件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360" w:lineRule="auto"/>
        <w:ind w:right="-101" w:rightChars="-48" w:firstLine="0" w:firstLineChars="0"/>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t>招标人：</w:t>
      </w:r>
      <w:r>
        <w:rPr>
          <w:rFonts w:hint="eastAsia" w:ascii="宋体" w:hAnsi="宋体" w:eastAsia="宋体" w:cs="宋体"/>
          <w:b/>
          <w:i w:val="0"/>
          <w:iCs w:val="0"/>
          <w:caps w:val="0"/>
          <w:color w:val="auto"/>
          <w:spacing w:val="0"/>
          <w:sz w:val="32"/>
          <w:szCs w:val="32"/>
          <w:highlight w:val="none"/>
        </w:rPr>
        <w:t>广州南沙</w:t>
      </w:r>
      <w:r>
        <w:rPr>
          <w:rFonts w:hint="eastAsia" w:ascii="宋体" w:hAnsi="宋体" w:eastAsia="宋体" w:cs="宋体"/>
          <w:b/>
          <w:i w:val="0"/>
          <w:iCs w:val="0"/>
          <w:caps w:val="0"/>
          <w:color w:val="auto"/>
          <w:spacing w:val="0"/>
          <w:sz w:val="32"/>
          <w:szCs w:val="32"/>
          <w:highlight w:val="none"/>
          <w:lang w:val="en-US" w:eastAsia="zh-CN"/>
        </w:rPr>
        <w:t>科技投资</w:t>
      </w:r>
      <w:r>
        <w:rPr>
          <w:rFonts w:hint="eastAsia" w:ascii="宋体" w:hAnsi="宋体" w:eastAsia="宋体" w:cs="宋体"/>
          <w:b/>
          <w:i w:val="0"/>
          <w:iCs w:val="0"/>
          <w:caps w:val="0"/>
          <w:color w:val="auto"/>
          <w:spacing w:val="0"/>
          <w:sz w:val="32"/>
          <w:szCs w:val="32"/>
          <w:highlight w:val="none"/>
        </w:rPr>
        <w:t>有限公司</w:t>
      </w:r>
    </w:p>
    <w:p>
      <w:pPr>
        <w:spacing w:line="360" w:lineRule="auto"/>
        <w:ind w:right="-101" w:rightChars="-48" w:firstLine="0" w:firstLineChars="0"/>
        <w:jc w:val="center"/>
        <w:rPr>
          <w:rFonts w:ascii="宋体" w:hAnsi="宋体" w:eastAsia="宋体" w:cs="宋体"/>
          <w:color w:val="auto"/>
          <w:spacing w:val="28"/>
          <w:position w:val="8"/>
          <w:sz w:val="28"/>
          <w:szCs w:val="28"/>
          <w:highlight w:val="none"/>
        </w:rPr>
      </w:pPr>
      <w:bookmarkStart w:id="0" w:name="OLE_LINK4"/>
      <w:bookmarkEnd w:id="0"/>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w:t>
      </w: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lang w:eastAsia="zh-CN"/>
        </w:rPr>
        <w:t>年</w:t>
      </w: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lang w:eastAsia="zh-CN"/>
        </w:rPr>
        <w:t>月</w:t>
      </w:r>
    </w:p>
    <w:p>
      <w:pPr>
        <w:rPr>
          <w:rFonts w:ascii="黑体" w:hAnsi="宋体" w:eastAsia="黑体" w:cs="黑体"/>
          <w:color w:val="auto"/>
          <w:sz w:val="36"/>
          <w:szCs w:val="36"/>
          <w:highlight w:val="none"/>
        </w:rPr>
      </w:pPr>
      <w:bookmarkStart w:id="1" w:name="_Toc29976"/>
    </w:p>
    <w:p>
      <w:pPr>
        <w:pStyle w:val="2"/>
        <w:sectPr>
          <w:pgSz w:w="11915" w:h="16840"/>
          <w:pgMar w:top="1247" w:right="1135" w:bottom="1247" w:left="1361" w:header="720" w:footer="720" w:gutter="0"/>
          <w:cols w:space="425" w:num="1"/>
          <w:docGrid w:type="lines" w:linePitch="285" w:charSpace="0"/>
        </w:sectPr>
      </w:pPr>
    </w:p>
    <w:p>
      <w:pPr>
        <w:rPr>
          <w:rFonts w:ascii="黑体" w:hAnsi="宋体" w:eastAsia="黑体" w:cs="黑体"/>
          <w:color w:val="auto"/>
          <w:sz w:val="36"/>
          <w:szCs w:val="36"/>
          <w:highlight w:val="none"/>
        </w:rPr>
      </w:pPr>
    </w:p>
    <w:bookmarkEnd w:id="1"/>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spacing w:line="360" w:lineRule="auto"/>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2"/>
            <w:tabs>
              <w:tab w:val="right" w:leader="dot" w:pos="9419"/>
            </w:tabs>
            <w:spacing w:line="360" w:lineRule="auto"/>
            <w:rPr>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TOC \o "1-1" \h \u </w:instrText>
          </w:r>
          <w:r>
            <w:rPr>
              <w:rFonts w:hint="eastAsia" w:asciiTheme="minorEastAsia" w:hAnsiTheme="minorEastAsia" w:eastAsiaTheme="minorEastAsia" w:cstheme="minorEastAsia"/>
              <w:color w:val="auto"/>
              <w:sz w:val="32"/>
              <w:szCs w:val="32"/>
              <w:highlight w:val="none"/>
            </w:rPr>
            <w:fldChar w:fldCharType="separate"/>
          </w:r>
          <w:r>
            <w:rPr>
              <w:color w:val="auto"/>
              <w:highlight w:val="none"/>
            </w:rPr>
            <w:fldChar w:fldCharType="begin"/>
          </w:r>
          <w:r>
            <w:rPr>
              <w:color w:val="auto"/>
              <w:highlight w:val="none"/>
            </w:rPr>
            <w:instrText xml:space="preserve"> HYPERLINK \l "_Toc17710" </w:instrText>
          </w:r>
          <w:r>
            <w:rPr>
              <w:color w:val="auto"/>
              <w:highlight w:val="none"/>
            </w:rPr>
            <w:fldChar w:fldCharType="separate"/>
          </w:r>
          <w:r>
            <w:rPr>
              <w:rFonts w:hint="eastAsia" w:ascii="黑体" w:hAnsi="宋体" w:cs="黑体"/>
              <w:color w:val="auto"/>
              <w:kern w:val="44"/>
              <w:sz w:val="32"/>
              <w:szCs w:val="32"/>
              <w:highlight w:val="none"/>
            </w:rPr>
            <w:t>第1章 投标须知及前附表</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_Toc17710 \h </w:instrText>
          </w:r>
          <w:r>
            <w:rPr>
              <w:color w:val="auto"/>
              <w:sz w:val="32"/>
              <w:szCs w:val="32"/>
              <w:highlight w:val="none"/>
            </w:rPr>
            <w:fldChar w:fldCharType="separate"/>
          </w:r>
          <w:r>
            <w:rPr>
              <w:color w:val="auto"/>
              <w:sz w:val="32"/>
              <w:szCs w:val="32"/>
              <w:highlight w:val="none"/>
            </w:rPr>
            <w:t>11</w:t>
          </w:r>
          <w:r>
            <w:rPr>
              <w:color w:val="auto"/>
              <w:sz w:val="32"/>
              <w:szCs w:val="32"/>
              <w:highlight w:val="none"/>
            </w:rPr>
            <w:fldChar w:fldCharType="end"/>
          </w:r>
          <w:r>
            <w:rPr>
              <w:color w:val="auto"/>
              <w:sz w:val="32"/>
              <w:szCs w:val="32"/>
              <w:highlight w:val="none"/>
            </w:rPr>
            <w:fldChar w:fldCharType="end"/>
          </w:r>
        </w:p>
        <w:p>
          <w:pPr>
            <w:pStyle w:val="12"/>
            <w:tabs>
              <w:tab w:val="right" w:leader="dot" w:pos="9419"/>
            </w:tabs>
            <w:spacing w:line="360" w:lineRule="auto"/>
            <w:rPr>
              <w:rFonts w:hint="eastAsia" w:eastAsia="宋体"/>
              <w:color w:val="auto"/>
              <w:sz w:val="32"/>
              <w:szCs w:val="32"/>
              <w:highlight w:val="none"/>
              <w:lang w:eastAsia="zh-CN"/>
            </w:rPr>
          </w:pPr>
          <w:r>
            <w:rPr>
              <w:color w:val="auto"/>
              <w:highlight w:val="none"/>
            </w:rPr>
            <w:fldChar w:fldCharType="begin"/>
          </w:r>
          <w:r>
            <w:rPr>
              <w:color w:val="auto"/>
              <w:highlight w:val="none"/>
            </w:rPr>
            <w:instrText xml:space="preserve"> HYPERLINK \l "_Toc32057" </w:instrText>
          </w:r>
          <w:r>
            <w:rPr>
              <w:color w:val="auto"/>
              <w:highlight w:val="none"/>
            </w:rPr>
            <w:fldChar w:fldCharType="separate"/>
          </w:r>
          <w:r>
            <w:rPr>
              <w:rFonts w:hint="eastAsia" w:ascii="黑体" w:hAnsi="宋体" w:cs="黑体"/>
              <w:color w:val="auto"/>
              <w:kern w:val="44"/>
              <w:sz w:val="32"/>
              <w:szCs w:val="32"/>
              <w:highlight w:val="none"/>
            </w:rPr>
            <w:t>第2章  投标格式文件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_Toc32057 \h </w:instrText>
          </w:r>
          <w:r>
            <w:rPr>
              <w:color w:val="auto"/>
              <w:sz w:val="32"/>
              <w:szCs w:val="32"/>
              <w:highlight w:val="none"/>
            </w:rPr>
            <w:fldChar w:fldCharType="separate"/>
          </w:r>
          <w:r>
            <w:rPr>
              <w:color w:val="auto"/>
              <w:sz w:val="32"/>
              <w:szCs w:val="32"/>
              <w:highlight w:val="none"/>
            </w:rPr>
            <w:t>13</w:t>
          </w:r>
          <w:r>
            <w:rPr>
              <w:color w:val="auto"/>
              <w:sz w:val="32"/>
              <w:szCs w:val="32"/>
              <w:highlight w:val="none"/>
            </w:rPr>
            <w:fldChar w:fldCharType="end"/>
          </w:r>
          <w:r>
            <w:rPr>
              <w:color w:val="auto"/>
              <w:sz w:val="32"/>
              <w:szCs w:val="32"/>
              <w:highlight w:val="none"/>
            </w:rPr>
            <w:fldChar w:fldCharType="end"/>
          </w:r>
        </w:p>
        <w:p>
          <w:pPr>
            <w:pStyle w:val="12"/>
            <w:tabs>
              <w:tab w:val="right" w:leader="dot" w:pos="9419"/>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"_Toc1265" </w:instrText>
          </w:r>
          <w:r>
            <w:rPr>
              <w:color w:val="auto"/>
              <w:highlight w:val="none"/>
            </w:rPr>
            <w:fldChar w:fldCharType="separate"/>
          </w:r>
          <w:r>
            <w:rPr>
              <w:rFonts w:hint="eastAsia" w:ascii="黑体" w:hAnsi="宋体" w:cs="黑体"/>
              <w:color w:val="auto"/>
              <w:kern w:val="44"/>
              <w:sz w:val="32"/>
              <w:szCs w:val="32"/>
              <w:highlight w:val="none"/>
            </w:rPr>
            <w:t>第3章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_Toc1265 \h </w:instrText>
          </w:r>
          <w:r>
            <w:rPr>
              <w:color w:val="auto"/>
              <w:sz w:val="32"/>
              <w:szCs w:val="32"/>
              <w:highlight w:val="none"/>
            </w:rPr>
            <w:fldChar w:fldCharType="separate"/>
          </w:r>
          <w:r>
            <w:rPr>
              <w:color w:val="auto"/>
              <w:sz w:val="32"/>
              <w:szCs w:val="32"/>
              <w:highlight w:val="none"/>
            </w:rPr>
            <w:t>26</w:t>
          </w:r>
          <w:r>
            <w:rPr>
              <w:color w:val="auto"/>
              <w:sz w:val="32"/>
              <w:szCs w:val="32"/>
              <w:highlight w:val="none"/>
            </w:rPr>
            <w:fldChar w:fldCharType="end"/>
          </w:r>
          <w:r>
            <w:rPr>
              <w:color w:val="auto"/>
              <w:sz w:val="32"/>
              <w:szCs w:val="32"/>
              <w:highlight w:val="none"/>
            </w:rPr>
            <w:fldChar w:fldCharType="end"/>
          </w:r>
        </w:p>
        <w:p>
          <w:pPr>
            <w:pStyle w:val="12"/>
            <w:tabs>
              <w:tab w:val="right" w:leader="dot" w:pos="9419"/>
            </w:tabs>
            <w:spacing w:line="360" w:lineRule="auto"/>
            <w:rPr>
              <w:rFonts w:hint="default" w:eastAsia="宋体"/>
              <w:color w:val="auto"/>
              <w:sz w:val="32"/>
              <w:szCs w:val="32"/>
              <w:highlight w:val="none"/>
              <w:lang w:val="en-US" w:eastAsia="zh-CN"/>
            </w:rPr>
          </w:pPr>
          <w:r>
            <w:rPr>
              <w:color w:val="auto"/>
              <w:highlight w:val="none"/>
            </w:rPr>
            <w:fldChar w:fldCharType="begin"/>
          </w:r>
          <w:r>
            <w:rPr>
              <w:color w:val="auto"/>
              <w:highlight w:val="none"/>
            </w:rPr>
            <w:instrText xml:space="preserve"> HYPERLINK \l "_Toc14580" </w:instrText>
          </w:r>
          <w:r>
            <w:rPr>
              <w:color w:val="auto"/>
              <w:highlight w:val="none"/>
            </w:rPr>
            <w:fldChar w:fldCharType="separate"/>
          </w:r>
          <w:r>
            <w:rPr>
              <w:rFonts w:hint="eastAsia" w:ascii="仿宋" w:hAnsi="仿宋" w:eastAsia="仿宋" w:cs="仿宋"/>
              <w:color w:val="auto"/>
              <w:sz w:val="32"/>
              <w:szCs w:val="32"/>
              <w:highlight w:val="none"/>
            </w:rPr>
            <w:t>附件1：符合性审查表</w:t>
          </w:r>
          <w:r>
            <w:rPr>
              <w:color w:val="auto"/>
              <w:sz w:val="32"/>
              <w:szCs w:val="32"/>
              <w:highlight w:val="none"/>
            </w:rPr>
            <w:tab/>
          </w:r>
          <w:r>
            <w:rPr>
              <w:color w:val="auto"/>
              <w:sz w:val="32"/>
              <w:szCs w:val="32"/>
              <w:highlight w:val="none"/>
            </w:rPr>
            <w:fldChar w:fldCharType="end"/>
          </w:r>
          <w:r>
            <w:rPr>
              <w:rFonts w:hint="eastAsia"/>
              <w:color w:val="auto"/>
              <w:sz w:val="32"/>
              <w:szCs w:val="32"/>
              <w:highlight w:val="none"/>
              <w:lang w:val="en-US" w:eastAsia="zh-CN"/>
            </w:rPr>
            <w:t>34</w:t>
          </w:r>
        </w:p>
        <w:p>
          <w:pPr>
            <w:pStyle w:val="12"/>
            <w:tabs>
              <w:tab w:val="right" w:leader="dot" w:pos="9419"/>
            </w:tabs>
            <w:spacing w:line="360" w:lineRule="auto"/>
            <w:rPr>
              <w:color w:val="auto"/>
              <w:sz w:val="32"/>
              <w:szCs w:val="32"/>
              <w:highlight w:val="none"/>
            </w:rPr>
          </w:pPr>
          <w:r>
            <w:rPr>
              <w:color w:val="auto"/>
              <w:highlight w:val="none"/>
            </w:rPr>
            <w:fldChar w:fldCharType="begin"/>
          </w:r>
          <w:r>
            <w:rPr>
              <w:color w:val="auto"/>
              <w:highlight w:val="none"/>
            </w:rPr>
            <w:instrText xml:space="preserve"> HYPERLINK \l "_Toc27480" </w:instrText>
          </w:r>
          <w:r>
            <w:rPr>
              <w:color w:val="auto"/>
              <w:highlight w:val="none"/>
            </w:rPr>
            <w:fldChar w:fldCharType="separate"/>
          </w:r>
          <w:r>
            <w:rPr>
              <w:rFonts w:hint="eastAsia" w:ascii="仿宋" w:hAnsi="仿宋" w:eastAsia="仿宋" w:cs="仿宋"/>
              <w:color w:val="auto"/>
              <w:sz w:val="32"/>
              <w:szCs w:val="32"/>
              <w:highlight w:val="none"/>
            </w:rPr>
            <w:t>附件2综合评分表（100分）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_Toc27480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color w:val="auto"/>
              <w:sz w:val="32"/>
              <w:szCs w:val="32"/>
              <w:highlight w:val="none"/>
            </w:rPr>
            <w:fldChar w:fldCharType="end"/>
          </w:r>
        </w:p>
        <w:p>
          <w:pPr>
            <w:spacing w:line="360" w:lineRule="auto"/>
            <w:rPr>
              <w:color w:val="auto"/>
              <w:highlight w:val="none"/>
            </w:rPr>
          </w:pPr>
          <w:r>
            <w:rPr>
              <w:rFonts w:hint="eastAsia" w:asciiTheme="minorEastAsia" w:hAnsiTheme="minorEastAsia" w:cstheme="minorEastAsia"/>
              <w:color w:val="auto"/>
              <w:sz w:val="32"/>
              <w:szCs w:val="32"/>
              <w:highlight w:val="none"/>
            </w:rPr>
            <w:fldChar w:fldCharType="end"/>
          </w:r>
        </w:p>
      </w:sdtContent>
    </w:sdt>
    <w:p>
      <w:pPr>
        <w:pStyle w:val="5"/>
        <w:widowControl/>
        <w:spacing w:after="0" w:line="360" w:lineRule="auto"/>
        <w:ind w:firstLine="0"/>
        <w:rPr>
          <w:rFonts w:ascii="宋体" w:hAnsi="宋体" w:cs="宋体"/>
          <w:color w:val="auto"/>
          <w:highlight w:val="none"/>
        </w:rPr>
        <w:sectPr>
          <w:pgSz w:w="11915" w:h="16840"/>
          <w:pgMar w:top="1247" w:right="1135" w:bottom="1247" w:left="1361" w:header="720" w:footer="720" w:gutter="0"/>
          <w:cols w:space="425" w:num="1"/>
          <w:docGrid w:type="lines" w:linePitch="285" w:charSpace="0"/>
        </w:sectPr>
      </w:pPr>
      <w:r>
        <w:rPr>
          <w:rFonts w:hint="eastAsia" w:ascii="宋体" w:hAnsi="宋体" w:cs="宋体"/>
          <w:color w:val="auto"/>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2" w:name="_Toc374128472"/>
      <w:bookmarkStart w:id="3" w:name="_Toc17710"/>
      <w:r>
        <w:rPr>
          <w:rFonts w:hint="eastAsia" w:ascii="黑体" w:hAnsi="宋体" w:cs="黑体"/>
          <w:b/>
          <w:color w:val="auto"/>
          <w:kern w:val="44"/>
          <w:sz w:val="44"/>
          <w:szCs w:val="44"/>
          <w:highlight w:val="none"/>
        </w:rPr>
        <w:t>第1章 投标须知及前附表</w:t>
      </w:r>
      <w:bookmarkEnd w:id="2"/>
      <w:bookmarkEnd w:id="3"/>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8"/>
        <w:tblW w:w="9709" w:type="dxa"/>
        <w:jc w:val="center"/>
        <w:tblInd w:w="0" w:type="dxa"/>
        <w:tblLayout w:type="fixed"/>
        <w:tblCellMar>
          <w:top w:w="0" w:type="dxa"/>
          <w:left w:w="108" w:type="dxa"/>
          <w:bottom w:w="0" w:type="dxa"/>
          <w:right w:w="108" w:type="dxa"/>
        </w:tblCellMar>
      </w:tblPr>
      <w:tblGrid>
        <w:gridCol w:w="720"/>
        <w:gridCol w:w="990"/>
        <w:gridCol w:w="1706"/>
        <w:gridCol w:w="6293"/>
      </w:tblGrid>
      <w:tr>
        <w:tblPrEx>
          <w:tblLayout w:type="fixed"/>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Layout w:type="fixed"/>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“海防教育基地项目交通渡口码头工程”环境影响评价咨询服务</w:t>
            </w:r>
          </w:p>
        </w:tc>
      </w:tr>
      <w:tr>
        <w:tblPrEx>
          <w:tblLayout w:type="fixed"/>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hint="default" w:ascii="宋体" w:hAnsi="宋体" w:eastAsia="宋体" w:cs="宋体"/>
                <w:color w:val="auto"/>
                <w:highlight w:val="none"/>
                <w:lang w:val="en-US" w:eastAsia="zh-CN"/>
              </w:rPr>
            </w:pPr>
            <w:r>
              <w:rPr>
                <w:rFonts w:hint="eastAsia" w:ascii="宋体" w:hAnsi="宋体" w:eastAsia="宋体" w:cs="宋体"/>
                <w:sz w:val="21"/>
                <w:szCs w:val="21"/>
              </w:rPr>
              <w:t>广州市南沙区</w:t>
            </w:r>
            <w:r>
              <w:rPr>
                <w:rFonts w:hint="eastAsia" w:ascii="宋体" w:hAnsi="宋体" w:cs="宋体"/>
                <w:sz w:val="21"/>
                <w:szCs w:val="21"/>
                <w:lang w:val="en-US" w:eastAsia="zh-CN"/>
              </w:rPr>
              <w:t>上、下横档岛及天后宫</w:t>
            </w:r>
          </w:p>
        </w:tc>
      </w:tr>
      <w:tr>
        <w:tblPrEx>
          <w:tblLayout w:type="fixed"/>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hint="eastAsia" w:ascii="宋体" w:hAnsi="宋体" w:eastAsia="宋体" w:cs="宋体"/>
                <w:color w:val="auto"/>
                <w:highlight w:val="none"/>
              </w:rPr>
            </w:pPr>
            <w:r>
              <w:rPr>
                <w:rFonts w:hint="eastAsia" w:ascii="宋体" w:hAnsi="宋体" w:cs="宋体"/>
                <w:i w:val="0"/>
                <w:iCs w:val="0"/>
                <w:caps w:val="0"/>
                <w:spacing w:val="0"/>
                <w:sz w:val="21"/>
                <w:szCs w:val="21"/>
                <w:lang w:val="en-US" w:eastAsia="zh-CN"/>
              </w:rPr>
              <w:t>上、下横档岛及天后宫</w:t>
            </w:r>
            <w:r>
              <w:rPr>
                <w:rFonts w:hint="eastAsia" w:ascii="宋体" w:hAnsi="宋体" w:eastAsia="宋体" w:cs="宋体"/>
                <w:i w:val="0"/>
                <w:iCs w:val="0"/>
                <w:caps w:val="0"/>
                <w:color w:val="auto"/>
                <w:spacing w:val="0"/>
                <w:sz w:val="21"/>
                <w:szCs w:val="21"/>
                <w:highlight w:val="none"/>
              </w:rPr>
              <w:t>分别建设1个交通渡口码头，泊位长度均为53m，均采用浮码头形式，各设一条趸船，采用靠船桩簇和锚链系统固定，码头设置活动钢桥与后方平台连接，天后宫及下横档岛码头除活动钢引桥外，活动引桥至岸段设固定引桥接岸。</w:t>
            </w:r>
          </w:p>
        </w:tc>
      </w:tr>
      <w:tr>
        <w:tblPrEx>
          <w:tblLayout w:type="fixed"/>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项目预算</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hint="eastAsia" w:ascii="宋体" w:hAnsi="宋体" w:cs="宋体"/>
                <w:color w:val="auto"/>
                <w:highlight w:val="none"/>
              </w:rPr>
            </w:pPr>
            <w:r>
              <w:rPr>
                <w:rFonts w:hint="eastAsia" w:ascii="宋体" w:hAnsi="宋体" w:cs="宋体"/>
                <w:color w:val="auto"/>
                <w:highlight w:val="none"/>
              </w:rPr>
              <w:t>总投资约</w:t>
            </w:r>
            <w:r>
              <w:rPr>
                <w:rFonts w:hint="eastAsia" w:ascii="宋体" w:hAnsi="宋体" w:cs="宋体"/>
                <w:color w:val="auto"/>
                <w:highlight w:val="none"/>
                <w:lang w:val="en-US" w:eastAsia="zh-CN"/>
              </w:rPr>
              <w:t>5000</w:t>
            </w:r>
            <w:r>
              <w:rPr>
                <w:rFonts w:hint="eastAsia" w:ascii="宋体" w:hAnsi="宋体" w:cs="宋体"/>
                <w:color w:val="auto"/>
                <w:highlight w:val="none"/>
              </w:rPr>
              <w:t>万元</w:t>
            </w:r>
          </w:p>
        </w:tc>
      </w:tr>
      <w:tr>
        <w:tblPrEx>
          <w:tblLayout w:type="fixed"/>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合格</w:t>
            </w:r>
          </w:p>
        </w:tc>
      </w:tr>
      <w:tr>
        <w:tblPrEx>
          <w:tblLayout w:type="fixed"/>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0"/>
                <w:numId w:val="1"/>
              </w:numPr>
              <w:spacing w:line="360" w:lineRule="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根据国家的相关海洋环境影响评价法律法规，结合工程介绍等材料，编制《广州市海防教育基地项目交通渡口码头工程项目环境影响报告书》</w:t>
            </w:r>
            <w:r>
              <w:rPr>
                <w:rFonts w:hint="eastAsia" w:ascii="宋体" w:hAnsi="宋体" w:eastAsia="宋体" w:cs="宋体"/>
                <w:i w:val="0"/>
                <w:iCs w:val="0"/>
                <w:caps w:val="0"/>
                <w:color w:val="000000"/>
                <w:spacing w:val="0"/>
                <w:sz w:val="21"/>
                <w:szCs w:val="21"/>
                <w:highlight w:val="none"/>
                <w:lang w:eastAsia="zh-CN"/>
              </w:rPr>
              <w:t>。</w:t>
            </w:r>
          </w:p>
          <w:p>
            <w:pPr>
              <w:spacing w:line="360" w:lineRule="auto"/>
              <w:rPr>
                <w:rFonts w:hint="eastAsia" w:eastAsiaTheme="minorEastAsia"/>
                <w:kern w:val="2"/>
                <w:sz w:val="21"/>
                <w:szCs w:val="24"/>
                <w:lang w:val="en-US" w:eastAsia="zh-CN"/>
              </w:rPr>
            </w:pPr>
            <w:r>
              <w:rPr>
                <w:rFonts w:hint="eastAsia" w:ascii="宋体" w:hAnsi="宋体" w:eastAsia="宋体" w:cs="宋体"/>
                <w:i w:val="0"/>
                <w:caps w:val="0"/>
                <w:color w:val="auto"/>
                <w:spacing w:val="0"/>
                <w:sz w:val="21"/>
                <w:szCs w:val="21"/>
                <w:highlight w:val="none"/>
                <w:shd w:val="clear"/>
                <w:lang w:val="en-US" w:eastAsia="zh-CN"/>
              </w:rPr>
              <w:t>2、</w:t>
            </w:r>
            <w:r>
              <w:rPr>
                <w:rFonts w:hint="eastAsia" w:ascii="宋体" w:hAnsi="宋体" w:eastAsia="宋体" w:cs="宋体"/>
                <w:i w:val="0"/>
                <w:caps w:val="0"/>
                <w:color w:val="111111"/>
                <w:spacing w:val="0"/>
                <w:sz w:val="21"/>
                <w:szCs w:val="21"/>
                <w:highlight w:val="none"/>
                <w:shd w:val="clear" w:fill="auto"/>
              </w:rPr>
              <w:t>协助</w:t>
            </w:r>
            <w:r>
              <w:rPr>
                <w:rFonts w:hint="eastAsia" w:ascii="宋体" w:hAnsi="宋体" w:eastAsia="宋体" w:cs="宋体"/>
                <w:i w:val="0"/>
                <w:caps w:val="0"/>
                <w:color w:val="auto"/>
                <w:spacing w:val="0"/>
                <w:sz w:val="21"/>
                <w:szCs w:val="21"/>
                <w:highlight w:val="none"/>
                <w:shd w:val="clear"/>
                <w:lang w:val="en-US" w:eastAsia="zh-CN"/>
              </w:rPr>
              <w:t>甲方</w:t>
            </w:r>
            <w:r>
              <w:rPr>
                <w:rFonts w:hint="eastAsia" w:ascii="宋体" w:hAnsi="宋体" w:eastAsia="宋体" w:cs="宋体"/>
                <w:i w:val="0"/>
                <w:caps w:val="0"/>
                <w:color w:val="111111"/>
                <w:spacing w:val="0"/>
                <w:sz w:val="21"/>
                <w:szCs w:val="21"/>
                <w:highlight w:val="none"/>
                <w:shd w:val="clear" w:fill="auto"/>
              </w:rPr>
              <w:t>开展项目环境影响评价专家评审和报批等工作。</w:t>
            </w:r>
          </w:p>
        </w:tc>
      </w:tr>
      <w:tr>
        <w:tblPrEx>
          <w:tblLayout w:type="fixed"/>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自招标人发出中标通知书后，</w:t>
            </w:r>
            <w:r>
              <w:rPr>
                <w:rFonts w:hint="eastAsia" w:ascii="宋体" w:hAnsi="宋体" w:eastAsia="宋体" w:cs="宋体"/>
                <w:color w:val="auto"/>
                <w:sz w:val="21"/>
                <w:szCs w:val="21"/>
                <w:highlight w:val="none"/>
                <w:u w:val="single"/>
                <w:lang w:val="en-US" w:eastAsia="zh-CN"/>
              </w:rPr>
              <w:t>80</w:t>
            </w:r>
            <w:r>
              <w:rPr>
                <w:rFonts w:ascii="宋体" w:hAnsi="宋体" w:eastAsia="宋体" w:cs="宋体"/>
                <w:color w:val="auto"/>
                <w:sz w:val="21"/>
                <w:szCs w:val="21"/>
                <w:highlight w:val="none"/>
                <w:u w:val="single"/>
              </w:rPr>
              <w:t>个日历天</w:t>
            </w:r>
            <w:r>
              <w:rPr>
                <w:rFonts w:ascii="宋体" w:hAnsi="宋体" w:eastAsia="宋体" w:cs="宋体"/>
                <w:color w:val="auto"/>
                <w:sz w:val="21"/>
                <w:szCs w:val="21"/>
                <w:highlight w:val="none"/>
              </w:rPr>
              <w:t>内完成合同范围内全部</w:t>
            </w:r>
            <w:r>
              <w:rPr>
                <w:rFonts w:hint="eastAsia" w:ascii="宋体" w:hAnsi="宋体" w:eastAsia="宋体" w:cs="宋体"/>
                <w:color w:val="auto"/>
                <w:sz w:val="21"/>
                <w:szCs w:val="21"/>
                <w:highlight w:val="none"/>
                <w:lang w:val="en-US" w:eastAsia="zh-CN"/>
              </w:rPr>
              <w:t>服务工作。</w:t>
            </w:r>
          </w:p>
        </w:tc>
      </w:tr>
      <w:tr>
        <w:tblPrEx>
          <w:tblLayout w:type="fixed"/>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rPr>
            </w:pPr>
            <w:r>
              <w:rPr>
                <w:rFonts w:hint="eastAsia" w:ascii="宋体" w:hAnsi="宋体" w:cs="宋体"/>
                <w:color w:val="auto"/>
                <w:highlight w:val="none"/>
              </w:rPr>
              <w:t>自筹资金</w:t>
            </w:r>
          </w:p>
        </w:tc>
      </w:tr>
      <w:tr>
        <w:tblPrEx>
          <w:tblLayout w:type="fixed"/>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widowControl w:val="0"/>
              <w:numPr>
                <w:ilvl w:val="-1"/>
                <w:numId w:val="0"/>
              </w:numPr>
              <w:spacing w:after="0" w:line="360" w:lineRule="auto"/>
              <w:ind w:firstLine="0"/>
              <w:rPr>
                <w:rFonts w:hint="eastAsia" w:ascii="宋体" w:hAnsi="宋体" w:eastAsia="宋体" w:cs="宋体"/>
                <w:b w:val="0"/>
                <w:i w:val="0"/>
                <w:color w:val="auto"/>
                <w:kern w:val="2"/>
                <w:sz w:val="21"/>
                <w:szCs w:val="21"/>
                <w:highlight w:val="none"/>
                <w:u w:val="none"/>
                <w:lang w:val="en-US" w:eastAsia="zh-CN" w:bidi="ar"/>
              </w:rPr>
            </w:pPr>
            <w:r>
              <w:rPr>
                <w:rFonts w:hint="eastAsia" w:ascii="宋体" w:hAnsi="宋体" w:eastAsia="宋体" w:cs="宋体"/>
                <w:b w:val="0"/>
                <w:i w:val="0"/>
                <w:color w:val="auto"/>
                <w:kern w:val="2"/>
                <w:sz w:val="21"/>
                <w:szCs w:val="21"/>
                <w:highlight w:val="none"/>
                <w:u w:val="none"/>
                <w:lang w:val="en-US" w:eastAsia="zh-CN" w:bidi="ar"/>
              </w:rPr>
              <w:t>1、具有独立订立合同的权利。</w:t>
            </w:r>
          </w:p>
          <w:p>
            <w:pPr>
              <w:widowControl w:val="0"/>
              <w:numPr>
                <w:ilvl w:val="-1"/>
                <w:numId w:val="0"/>
              </w:numPr>
              <w:spacing w:after="0" w:line="360" w:lineRule="auto"/>
              <w:ind w:firstLine="0"/>
              <w:rPr>
                <w:rFonts w:hint="eastAsia" w:ascii="宋体" w:hAnsi="宋体" w:eastAsia="宋体" w:cs="宋体"/>
                <w:b w:val="0"/>
                <w:i w:val="0"/>
                <w:color w:val="auto"/>
                <w:kern w:val="2"/>
                <w:sz w:val="21"/>
                <w:szCs w:val="21"/>
                <w:highlight w:val="none"/>
                <w:u w:val="none"/>
                <w:lang w:val="en-US" w:eastAsia="zh-CN" w:bidi="ar"/>
              </w:rPr>
            </w:pPr>
            <w:r>
              <w:rPr>
                <w:rFonts w:hint="eastAsia" w:ascii="宋体" w:hAnsi="宋体" w:eastAsia="宋体" w:cs="宋体"/>
                <w:b w:val="0"/>
                <w:i w:val="0"/>
                <w:color w:val="auto"/>
                <w:kern w:val="2"/>
                <w:sz w:val="21"/>
                <w:szCs w:val="21"/>
                <w:highlight w:val="none"/>
                <w:u w:val="none"/>
                <w:lang w:val="en-US" w:eastAsia="zh-CN" w:bidi="ar"/>
              </w:rPr>
              <w:t>2、投标人有在环境影响评价信用平台进行备案。</w:t>
            </w:r>
          </w:p>
          <w:p>
            <w:pPr>
              <w:widowControl w:val="0"/>
              <w:numPr>
                <w:ilvl w:val="-1"/>
                <w:numId w:val="0"/>
              </w:numPr>
              <w:spacing w:after="0" w:line="360" w:lineRule="auto"/>
              <w:ind w:firstLine="0"/>
              <w:rPr>
                <w:rFonts w:hint="eastAsia" w:ascii="宋体" w:hAnsi="宋体" w:eastAsia="宋体" w:cs="宋体"/>
                <w:b w:val="0"/>
                <w:i w:val="0"/>
                <w:color w:val="auto"/>
                <w:kern w:val="2"/>
                <w:sz w:val="21"/>
                <w:szCs w:val="21"/>
                <w:highlight w:val="none"/>
                <w:u w:val="none"/>
                <w:lang w:val="en-US" w:eastAsia="zh-CN" w:bidi="ar"/>
              </w:rPr>
            </w:pPr>
            <w:r>
              <w:rPr>
                <w:rFonts w:hint="eastAsia" w:ascii="宋体" w:hAnsi="宋体" w:eastAsia="宋体" w:cs="宋体"/>
                <w:b w:val="0"/>
                <w:i w:val="0"/>
                <w:color w:val="auto"/>
                <w:kern w:val="2"/>
                <w:sz w:val="21"/>
                <w:szCs w:val="21"/>
                <w:highlight w:val="none"/>
                <w:u w:val="none"/>
                <w:lang w:val="en-US" w:eastAsia="zh-CN" w:bidi="ar"/>
              </w:rPr>
              <w:t>3、投标人未被列入“信用中国”网站(www.creditchina.gov.cn)“失信被执行人或重大税收违法失信主体”记录名单；不处于中国政府采购网(www.ccgp.gov.cn)“政府采购严重违法失信行为记录名单”中的禁止参加政府采购活动期间。</w:t>
            </w:r>
          </w:p>
          <w:p>
            <w:pPr>
              <w:widowControl w:val="0"/>
              <w:numPr>
                <w:ilvl w:val="-1"/>
                <w:numId w:val="0"/>
              </w:numPr>
              <w:spacing w:after="0" w:line="360" w:lineRule="auto"/>
              <w:ind w:firstLine="0"/>
              <w:rPr>
                <w:rFonts w:ascii="宋体" w:hAnsi="宋体" w:cs="宋体"/>
                <w:color w:val="auto"/>
                <w:highlight w:val="none"/>
              </w:rPr>
            </w:pPr>
            <w:r>
              <w:rPr>
                <w:rFonts w:hint="eastAsia" w:ascii="宋体" w:hAnsi="宋体" w:eastAsia="宋体" w:cs="宋体"/>
                <w:b w:val="0"/>
                <w:i w:val="0"/>
                <w:color w:val="auto"/>
                <w:kern w:val="2"/>
                <w:sz w:val="21"/>
                <w:szCs w:val="21"/>
                <w:highlight w:val="none"/>
                <w:u w:val="none"/>
                <w:lang w:val="en-US" w:eastAsia="zh-CN" w:bidi="ar"/>
              </w:rPr>
              <w:t>4、近三年承担过海洋环境影响评价报告编制项目至少2项（含2项）。</w:t>
            </w:r>
          </w:p>
        </w:tc>
      </w:tr>
      <w:tr>
        <w:tblPrEx>
          <w:tblLayout w:type="fixed"/>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spacing w:after="0" w:line="360" w:lineRule="auto"/>
              <w:ind w:firstLine="0"/>
              <w:jc w:val="left"/>
              <w:rPr>
                <w:rFonts w:ascii="宋体" w:hAnsi="宋体" w:cs="宋体"/>
                <w:color w:val="auto"/>
                <w:highlight w:val="none"/>
              </w:rPr>
            </w:pPr>
            <w:r>
              <w:rPr>
                <w:rFonts w:hint="eastAsia" w:ascii="宋体" w:hAnsi="宋体" w:eastAsia="宋体" w:cs="宋体"/>
                <w:color w:val="auto"/>
                <w:szCs w:val="21"/>
                <w:highlight w:val="none"/>
                <w:u w:val="none"/>
                <w:lang w:bidi="ar"/>
              </w:rPr>
              <w:t>服务人员的专业配套要求（据实配备）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400" w:lineRule="exact"/>
              <w:contextualSpacing/>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1、投标人有在职的环评工程师。</w:t>
            </w:r>
          </w:p>
          <w:p>
            <w:pPr>
              <w:spacing w:line="400" w:lineRule="exact"/>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2、投标人有在职的海洋专业工程师。</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beforeAutospacing="0" w:after="0"/>
              <w:ind w:firstLine="0"/>
              <w:jc w:val="center"/>
              <w:rPr>
                <w:rFonts w:ascii="宋体" w:hAnsi="宋体" w:cs="宋体"/>
                <w:color w:val="auto"/>
                <w:highlight w:val="none"/>
              </w:rPr>
            </w:pPr>
            <w:r>
              <w:rPr>
                <w:rFonts w:hint="eastAsia" w:ascii="宋体" w:hAnsi="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beforeAutospacing="0" w:after="0"/>
              <w:ind w:left="-59" w:leftChars="-28" w:right="-59" w:rightChars="-28" w:firstLine="0"/>
              <w:jc w:val="center"/>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rPr>
            </w:pPr>
            <w:r>
              <w:rPr>
                <w:rFonts w:hint="eastAsia" w:ascii="宋体" w:hAnsi="宋体" w:cs="宋体"/>
                <w:color w:val="auto"/>
                <w:highlight w:val="none"/>
              </w:rPr>
              <w:t>资格后审</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由投标人自行考察。</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Layout w:type="fixed"/>
          <w:tblCellMar>
            <w:top w:w="0" w:type="dxa"/>
            <w:left w:w="108" w:type="dxa"/>
            <w:bottom w:w="0" w:type="dxa"/>
            <w:right w:w="108" w:type="dxa"/>
          </w:tblCellMar>
        </w:tblPrEx>
        <w:trPr>
          <w:trHeight w:val="659"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2"/>
              <w:spacing w:line="360" w:lineRule="auto"/>
              <w:ind w:firstLine="0"/>
              <w:rPr>
                <w:rFonts w:hint="default" w:ascii="宋体" w:hAnsi="宋体" w:cs="宋体" w:eastAsiaTheme="minorEastAsia"/>
                <w:color w:val="auto"/>
                <w:kern w:val="2"/>
                <w:sz w:val="21"/>
                <w:szCs w:val="21"/>
                <w:highlight w:val="none"/>
              </w:rPr>
            </w:pPr>
            <w:r>
              <w:rPr>
                <w:rFonts w:hint="default" w:ascii="宋体" w:hAnsi="宋体" w:cs="宋体" w:eastAsiaTheme="minorEastAsia"/>
                <w:color w:val="auto"/>
                <w:kern w:val="2"/>
                <w:sz w:val="21"/>
                <w:szCs w:val="21"/>
                <w:highlight w:val="none"/>
              </w:rPr>
              <w:t>本次</w:t>
            </w:r>
            <w:r>
              <w:rPr>
                <w:rFonts w:hint="eastAsia" w:ascii="宋体" w:hAnsi="宋体" w:cs="宋体" w:eastAsiaTheme="minorEastAsia"/>
                <w:color w:val="auto"/>
                <w:kern w:val="2"/>
                <w:sz w:val="21"/>
                <w:szCs w:val="21"/>
                <w:highlight w:val="none"/>
                <w:lang w:val="en-US" w:eastAsia="zh-CN"/>
              </w:rPr>
              <w:t>咨询</w:t>
            </w:r>
            <w:r>
              <w:rPr>
                <w:rFonts w:hint="default" w:ascii="宋体" w:hAnsi="宋体" w:cs="宋体" w:eastAsiaTheme="minorEastAsia"/>
                <w:color w:val="auto"/>
                <w:kern w:val="2"/>
                <w:sz w:val="21"/>
                <w:szCs w:val="21"/>
                <w:highlight w:val="none"/>
              </w:rPr>
              <w:t>服务招标最高投标限价为</w:t>
            </w:r>
            <w:r>
              <w:rPr>
                <w:rFonts w:hint="eastAsia" w:ascii="宋体" w:hAnsi="宋体" w:eastAsia="宋体" w:cs="宋体"/>
                <w:b w:val="0"/>
                <w:bCs w:val="0"/>
                <w:color w:val="auto"/>
                <w:kern w:val="2"/>
                <w:sz w:val="21"/>
                <w:szCs w:val="21"/>
                <w:highlight w:val="none"/>
                <w:lang w:val="en-US" w:eastAsia="zh-CN"/>
              </w:rPr>
              <w:t>36.86万</w:t>
            </w:r>
            <w:r>
              <w:rPr>
                <w:rFonts w:hint="default" w:ascii="宋体" w:hAnsi="宋体" w:cs="宋体" w:eastAsiaTheme="minorEastAsia"/>
                <w:color w:val="auto"/>
                <w:kern w:val="2"/>
                <w:sz w:val="21"/>
                <w:szCs w:val="21"/>
                <w:highlight w:val="none"/>
              </w:rPr>
              <w:t>元。</w:t>
            </w:r>
          </w:p>
          <w:p>
            <w:pPr>
              <w:pStyle w:val="2"/>
              <w:widowControl/>
              <w:spacing w:before="0" w:line="360" w:lineRule="auto"/>
              <w:ind w:right="0" w:rightChars="0" w:firstLine="0"/>
              <w:jc w:val="left"/>
              <w:rPr>
                <w:rFonts w:ascii="宋体" w:hAnsi="宋体" w:cs="宋体" w:eastAsiaTheme="minorEastAsia"/>
                <w:color w:val="auto"/>
                <w:kern w:val="2"/>
                <w:sz w:val="21"/>
                <w:szCs w:val="21"/>
                <w:highlight w:val="none"/>
              </w:rPr>
            </w:pPr>
            <w:r>
              <w:rPr>
                <w:rFonts w:hint="default" w:ascii="宋体" w:hAnsi="宋体" w:cs="宋体" w:eastAsiaTheme="minorEastAsia"/>
                <w:color w:val="auto"/>
                <w:kern w:val="2"/>
                <w:sz w:val="21"/>
                <w:szCs w:val="21"/>
                <w:highlight w:val="none"/>
              </w:rPr>
              <w:t>本次</w:t>
            </w:r>
            <w:r>
              <w:rPr>
                <w:rFonts w:hint="eastAsia" w:ascii="宋体" w:hAnsi="宋体" w:cs="宋体" w:eastAsiaTheme="minorEastAsia"/>
                <w:color w:val="auto"/>
                <w:kern w:val="2"/>
                <w:sz w:val="21"/>
                <w:szCs w:val="21"/>
                <w:highlight w:val="none"/>
                <w:lang w:val="en-US" w:eastAsia="zh-CN"/>
              </w:rPr>
              <w:t>环评</w:t>
            </w:r>
            <w:r>
              <w:rPr>
                <w:rFonts w:hint="default" w:ascii="宋体" w:hAnsi="宋体" w:cs="宋体" w:eastAsiaTheme="minorEastAsia"/>
                <w:color w:val="auto"/>
                <w:kern w:val="2"/>
                <w:sz w:val="21"/>
                <w:szCs w:val="21"/>
                <w:highlight w:val="none"/>
                <w:lang w:eastAsia="zh-CN"/>
              </w:rPr>
              <w:t>服务</w:t>
            </w:r>
            <w:r>
              <w:rPr>
                <w:rFonts w:hint="default" w:ascii="宋体" w:hAnsi="宋体" w:cs="宋体" w:eastAsiaTheme="minorEastAsia"/>
                <w:color w:val="auto"/>
                <w:kern w:val="2"/>
                <w:sz w:val="21"/>
                <w:szCs w:val="21"/>
                <w:highlight w:val="none"/>
              </w:rPr>
              <w:t>费包含完成该</w:t>
            </w:r>
            <w:r>
              <w:rPr>
                <w:rFonts w:hint="eastAsia" w:ascii="宋体" w:hAnsi="宋体" w:cs="宋体" w:eastAsiaTheme="minorEastAsia"/>
                <w:color w:val="auto"/>
                <w:kern w:val="2"/>
                <w:sz w:val="21"/>
                <w:szCs w:val="21"/>
                <w:highlight w:val="none"/>
                <w:lang w:val="en-US" w:eastAsia="zh-CN"/>
              </w:rPr>
              <w:t>服务</w:t>
            </w:r>
            <w:r>
              <w:rPr>
                <w:rFonts w:hint="default" w:ascii="宋体" w:hAnsi="宋体" w:cs="宋体" w:eastAsiaTheme="minorEastAsia"/>
                <w:color w:val="auto"/>
                <w:kern w:val="2"/>
                <w:sz w:val="21"/>
                <w:szCs w:val="21"/>
                <w:highlight w:val="none"/>
              </w:rPr>
              <w:t>项目的成本、利润、税金、资料文印费、</w:t>
            </w:r>
            <w:r>
              <w:rPr>
                <w:rFonts w:hint="default" w:ascii="宋体" w:hAnsi="宋体" w:cs="宋体" w:eastAsiaTheme="minorEastAsia"/>
                <w:color w:val="auto"/>
                <w:kern w:val="2"/>
                <w:sz w:val="21"/>
                <w:szCs w:val="21"/>
                <w:highlight w:val="none"/>
                <w:lang w:val="en-US" w:eastAsia="zh-CN"/>
              </w:rPr>
              <w:t>分包费</w:t>
            </w:r>
            <w:r>
              <w:rPr>
                <w:rFonts w:hint="default" w:ascii="宋体" w:hAnsi="宋体" w:cs="宋体" w:eastAsiaTheme="minorEastAsia"/>
                <w:color w:val="auto"/>
                <w:kern w:val="2"/>
                <w:sz w:val="21"/>
                <w:szCs w:val="21"/>
                <w:highlight w:val="none"/>
              </w:rPr>
              <w:t>、专家评审费等一切费用，投标人应考虑上述情况进行投标报价。</w:t>
            </w:r>
            <w:r>
              <w:rPr>
                <w:rFonts w:hint="default" w:ascii="宋体" w:hAnsi="宋体" w:cs="宋体" w:eastAsiaTheme="minorEastAsia"/>
                <w:color w:val="auto"/>
                <w:kern w:val="2"/>
                <w:sz w:val="21"/>
                <w:szCs w:val="21"/>
                <w:highlight w:val="none"/>
                <w:lang w:val="en-US" w:eastAsia="zh-CN"/>
              </w:rPr>
              <w:t>投标报价超过最高投标限价的为废标。</w:t>
            </w:r>
          </w:p>
        </w:tc>
      </w:tr>
      <w:tr>
        <w:tblPrEx>
          <w:tblLayout w:type="fixed"/>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ascii="宋体" w:hAnsi="宋体" w:cs="宋体"/>
                <w:color w:val="auto"/>
                <w:highlight w:val="none"/>
              </w:rPr>
            </w:pPr>
            <w:r>
              <w:rPr>
                <w:rFonts w:hint="eastAsia" w:ascii="宋体" w:hAnsi="宋体" w:cs="宋体"/>
                <w:color w:val="auto"/>
                <w:highlight w:val="none"/>
              </w:rPr>
              <w:t>90日历天（从投标截止之日算起）。</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5"/>
              <w:widowControl/>
              <w:spacing w:after="0" w:line="320" w:lineRule="exact"/>
              <w:ind w:firstLine="0"/>
              <w:rPr>
                <w:rFonts w:hint="default" w:ascii="宋体" w:hAnsi="宋体" w:eastAsia="宋体" w:cs="宋体"/>
                <w:color w:val="auto"/>
                <w:highlight w:val="none"/>
                <w:lang w:val="en-US" w:eastAsia="zh-CN"/>
              </w:rPr>
            </w:pPr>
            <w:r>
              <w:rPr>
                <w:rFonts w:hint="eastAsia" w:ascii="宋体" w:hAnsi="宋体" w:cs="宋体"/>
                <w:color w:val="auto"/>
                <w:highlight w:val="none"/>
              </w:rPr>
              <w:t>投标文件：1份正本（含电子文件一套），4份副本。</w:t>
            </w:r>
            <w:r>
              <w:rPr>
                <w:rFonts w:hint="eastAsia" w:ascii="宋体" w:hAnsi="宋体" w:cs="宋体"/>
                <w:color w:val="auto"/>
                <w:highlight w:val="none"/>
                <w:lang w:val="en-US" w:eastAsia="zh-CN"/>
              </w:rPr>
              <w:t>均为密封状态。</w:t>
            </w:r>
          </w:p>
        </w:tc>
      </w:tr>
      <w:tr>
        <w:tblPrEx>
          <w:tblLayout w:type="fixed"/>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7</w:t>
            </w:r>
            <w:r>
              <w:rPr>
                <w:rFonts w:hint="eastAsia" w:ascii="宋体" w:hAnsi="宋体" w:cs="宋体"/>
                <w:color w:val="auto"/>
                <w:highlight w:val="none"/>
              </w:rPr>
              <w:t>.1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lang w:val="en-US" w:eastAsia="zh-CN"/>
              </w:rPr>
              <w:t>陈小姐</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提交地点：广州南沙区金融大厦</w:t>
            </w:r>
            <w:r>
              <w:rPr>
                <w:rFonts w:hint="eastAsia" w:ascii="宋体" w:hAnsi="宋体" w:eastAsia="宋体" w:cs="宋体"/>
                <w:color w:val="auto"/>
                <w:szCs w:val="21"/>
                <w:highlight w:val="none"/>
                <w:lang w:val="en-US" w:eastAsia="zh-CN"/>
              </w:rPr>
              <w:t>11楼风控合规部</w:t>
            </w:r>
          </w:p>
          <w:p>
            <w:pPr>
              <w:spacing w:line="3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投标时间：202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分至202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00分</w:t>
            </w:r>
            <w:r>
              <w:rPr>
                <w:rFonts w:hint="eastAsia" w:ascii="宋体" w:hAnsi="宋体" w:eastAsia="宋体" w:cs="宋体"/>
                <w:color w:val="auto"/>
                <w:szCs w:val="21"/>
                <w:highlight w:val="none"/>
              </w:rPr>
              <w:t>前</w:t>
            </w:r>
            <w:r>
              <w:rPr>
                <w:rFonts w:hint="eastAsia" w:ascii="宋体" w:hAnsi="宋体" w:eastAsia="宋体" w:cs="宋体"/>
                <w:color w:val="auto"/>
                <w:szCs w:val="21"/>
                <w:highlight w:val="none"/>
                <w:lang w:eastAsia="zh-CN"/>
              </w:rPr>
              <w:t>。</w:t>
            </w:r>
          </w:p>
          <w:p>
            <w:pPr>
              <w:pStyle w:val="5"/>
              <w:widowControl/>
              <w:spacing w:after="0" w:line="320" w:lineRule="exact"/>
              <w:ind w:firstLine="0"/>
              <w:rPr>
                <w:rFonts w:ascii="宋体" w:hAnsi="宋体" w:cs="宋体"/>
                <w:b/>
                <w:color w:val="auto"/>
                <w:highlight w:val="none"/>
              </w:rPr>
            </w:pPr>
            <w:r>
              <w:rPr>
                <w:rFonts w:hint="eastAsia" w:ascii="宋体" w:hAnsi="宋体" w:cs="宋体"/>
                <w:color w:val="auto"/>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Layout w:type="fixed"/>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val="en-US" w:eastAsia="zh-CN"/>
              </w:rPr>
              <w:t>18</w:t>
            </w:r>
            <w:r>
              <w:rPr>
                <w:rFonts w:hint="eastAsia" w:ascii="宋体" w:hAnsi="宋体" w:cs="宋体"/>
                <w:color w:val="auto"/>
                <w:highlight w:val="none"/>
              </w:rPr>
              <w:t>.1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开标时间：202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00分</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地点：广州南沙区金融大厦1807室</w:t>
            </w:r>
          </w:p>
          <w:p>
            <w:pPr>
              <w:spacing w:line="320" w:lineRule="exact"/>
              <w:rPr>
                <w:rFonts w:ascii="宋体" w:hAnsi="宋体" w:eastAsia="宋体" w:cs="宋体"/>
                <w:b/>
                <w:color w:val="auto"/>
                <w:szCs w:val="21"/>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5"/>
              <w:widowControl/>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5"/>
              <w:widowControl/>
              <w:spacing w:after="0" w:line="440" w:lineRule="exact"/>
              <w:ind w:firstLine="0"/>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19</w:t>
            </w:r>
            <w:r>
              <w:rPr>
                <w:rFonts w:hint="eastAsia" w:ascii="宋体" w:hAnsi="宋体" w:cs="宋体"/>
                <w:color w:val="auto"/>
                <w:highlight w:val="none"/>
              </w:rPr>
              <w:t>.</w:t>
            </w:r>
            <w:r>
              <w:rPr>
                <w:rFonts w:hint="eastAsia" w:ascii="宋体" w:hAnsi="宋体" w:cs="宋体"/>
                <w:color w:val="auto"/>
                <w:highlight w:val="none"/>
                <w:lang w:val="en-US" w:eastAsia="zh-CN"/>
              </w:rPr>
              <w:t>1</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t xml:space="preserve"> </w:t>
      </w:r>
    </w:p>
    <w:p>
      <w:pP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i w:val="0"/>
          <w:iCs w:val="0"/>
          <w:caps w:val="0"/>
          <w:color w:val="000000"/>
          <w:spacing w:val="0"/>
          <w:sz w:val="24"/>
          <w:szCs w:val="24"/>
          <w:highlight w:val="none"/>
          <w:u w:val="single"/>
        </w:rPr>
        <w:t>广州南沙</w:t>
      </w:r>
      <w:r>
        <w:rPr>
          <w:rFonts w:hint="eastAsia" w:ascii="宋体" w:hAnsi="宋体" w:eastAsia="宋体" w:cs="宋体"/>
          <w:i w:val="0"/>
          <w:iCs w:val="0"/>
          <w:caps w:val="0"/>
          <w:color w:val="000000"/>
          <w:spacing w:val="0"/>
          <w:sz w:val="24"/>
          <w:szCs w:val="24"/>
          <w:highlight w:val="none"/>
          <w:u w:val="single"/>
          <w:lang w:val="en-US" w:eastAsia="zh-CN"/>
        </w:rPr>
        <w:t>科技投资</w:t>
      </w:r>
      <w:r>
        <w:rPr>
          <w:rFonts w:hint="eastAsia" w:ascii="宋体" w:hAnsi="宋体" w:eastAsia="宋体" w:cs="宋体"/>
          <w:i w:val="0"/>
          <w:iCs w:val="0"/>
          <w:caps w:val="0"/>
          <w:color w:val="000000"/>
          <w:spacing w:val="0"/>
          <w:sz w:val="24"/>
          <w:szCs w:val="24"/>
          <w:highlight w:val="none"/>
          <w:u w:val="single"/>
        </w:rPr>
        <w:t>有限公司</w:t>
      </w:r>
      <w:r>
        <w:rPr>
          <w:rFonts w:hint="eastAsia" w:ascii="宋体" w:hAnsi="宋体" w:eastAsia="宋体" w:cs="宋体"/>
          <w:color w:val="auto"/>
          <w:sz w:val="24"/>
          <w:highlight w:val="none"/>
          <w:u w:val="singl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“投标文件”指投标人根据本招标文件向招标人提交的全部文件。</w:t>
      </w:r>
    </w:p>
    <w:p>
      <w:pPr>
        <w:pStyle w:val="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2.1本招标项目按照《中华人民共和国招标投标法》等有关法律、行政法规和部门规章，采取邀请招标的办法，选择有经验、有实力、社会信誉好的设计咨询单位承担设计服务，确保本</w:t>
      </w:r>
      <w:r>
        <w:rPr>
          <w:rFonts w:hint="eastAsia" w:ascii="宋体" w:hAnsi="宋体" w:cs="宋体"/>
          <w:color w:val="auto"/>
          <w:highlight w:val="none"/>
        </w:rPr>
        <w:t>项目</w:t>
      </w:r>
      <w:r>
        <w:rPr>
          <w:rFonts w:hint="eastAsia" w:ascii="宋体" w:hAnsi="宋体" w:eastAsia="宋体" w:cs="宋体"/>
          <w:color w:val="auto"/>
          <w:sz w:val="24"/>
          <w:highlight w:val="none"/>
        </w:rPr>
        <w:t>能按期、优质、经济地完成。</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2.2项目概况：</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2.2.1项目名称：见投标须知前附表第1项。</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eastAsia="zh-CN"/>
        </w:rPr>
        <w:t>项目预算</w:t>
      </w:r>
      <w:r>
        <w:rPr>
          <w:rFonts w:hint="eastAsia" w:ascii="宋体" w:hAnsi="宋体" w:eastAsia="宋体" w:cs="宋体"/>
          <w:color w:val="auto"/>
          <w:sz w:val="24"/>
          <w:highlight w:val="none"/>
        </w:rPr>
        <w:t>：见投标须知前附表第4项。</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eastAsia="zh-CN"/>
        </w:rPr>
        <w:t>质量</w:t>
      </w:r>
      <w:r>
        <w:rPr>
          <w:rFonts w:hint="eastAsia" w:ascii="宋体" w:hAnsi="宋体" w:eastAsia="宋体" w:cs="宋体"/>
          <w:color w:val="auto"/>
          <w:sz w:val="24"/>
          <w:highlight w:val="none"/>
        </w:rPr>
        <w:t>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招标范围及服务期</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招标范围：见投标须知前附表第6项。</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设计服务</w:t>
      </w:r>
      <w:r>
        <w:rPr>
          <w:rFonts w:hint="eastAsia" w:ascii="宋体" w:hAnsi="宋体" w:eastAsia="宋体" w:cs="宋体"/>
          <w:color w:val="auto"/>
          <w:sz w:val="24"/>
          <w:highlight w:val="none"/>
          <w:lang w:eastAsia="zh-CN"/>
        </w:rPr>
        <w:t>任务期限</w:t>
      </w:r>
      <w:r>
        <w:rPr>
          <w:rFonts w:hint="eastAsia" w:ascii="宋体" w:hAnsi="宋体" w:eastAsia="宋体" w:cs="宋体"/>
          <w:color w:val="auto"/>
          <w:sz w:val="24"/>
          <w:highlight w:val="none"/>
        </w:rPr>
        <w:t>要求：见投标须知前附表第7项。</w:t>
      </w:r>
    </w:p>
    <w:p>
      <w:pPr>
        <w:spacing w:line="500" w:lineRule="exact"/>
        <w:ind w:left="-1" w:firstLine="480" w:firstLineChars="200"/>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服务人员的专业</w:t>
      </w:r>
      <w:r>
        <w:rPr>
          <w:rFonts w:hint="eastAsia" w:ascii="宋体" w:hAnsi="宋体" w:eastAsia="宋体" w:cs="宋体"/>
          <w:color w:val="auto"/>
          <w:sz w:val="24"/>
          <w:highlight w:val="none"/>
        </w:rPr>
        <w:t>要求：见投标须知前附表第</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5"/>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3）服务合同（另附）</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4）评标办法</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5）附件</w:t>
      </w:r>
    </w:p>
    <w:p>
      <w:pPr>
        <w:pStyle w:val="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w:t>
      </w:r>
      <w:bookmarkStart w:id="48" w:name="_GoBack"/>
      <w:bookmarkEnd w:id="48"/>
      <w:r>
        <w:rPr>
          <w:rFonts w:hint="eastAsia" w:ascii="宋体" w:hAnsi="宋体" w:cs="宋体"/>
          <w:color w:val="auto"/>
          <w:sz w:val="24"/>
          <w:szCs w:val="24"/>
          <w:highlight w:val="none"/>
        </w:rPr>
        <w:t>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5"/>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除项目规范另有规定外，投标文件使用的度量衡单位，均采用中华人民共和国法定计量单位。</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11.4企业法定代表人证明书及法定代表人授权委托证明书（按招标文件第2章格式填写，或使用从工商管理部门购买的版本填写），法人身份证复印件、被授权人身份证复印件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11.5公司法人营业执照及设计资质证书复印件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11.6项目负责人职称证复印件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11.7人员到位承诺书（按招标文件第2章格式填写）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11.9企业自20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年1月1日至今企业承担的同类项目（按招标文件第2章格式填写）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11.10参与本项目的人员一览表及证明文件（按招标文件第2章格式填写）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11.11项目负责人</w:t>
      </w:r>
      <w:r>
        <w:rPr>
          <w:rFonts w:hint="eastAsia" w:ascii="宋体" w:hAnsi="宋体" w:eastAsia="宋体" w:cs="宋体"/>
          <w:color w:val="auto"/>
          <w:sz w:val="24"/>
          <w:highlight w:val="none"/>
          <w:lang w:eastAsia="zh-CN"/>
        </w:rPr>
        <w:t>简介</w:t>
      </w:r>
      <w:r>
        <w:rPr>
          <w:rFonts w:hint="eastAsia" w:ascii="宋体" w:hAnsi="宋体" w:eastAsia="宋体" w:cs="宋体"/>
          <w:color w:val="auto"/>
          <w:sz w:val="24"/>
          <w:highlight w:val="none"/>
        </w:rPr>
        <w:t>（按招标文件第2章格式填写）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11.12报价表</w:t>
      </w:r>
    </w:p>
    <w:p>
      <w:pPr>
        <w:pStyle w:val="8"/>
        <w:ind w:firstLine="480" w:firstLineChars="200"/>
        <w:rPr>
          <w:rFonts w:hAnsi="宋体" w:cs="宋体"/>
          <w:color w:val="auto"/>
          <w:sz w:val="24"/>
          <w:highlight w:val="none"/>
        </w:rPr>
      </w:pPr>
      <w:r>
        <w:rPr>
          <w:rFonts w:hAnsi="宋体" w:cs="宋体"/>
          <w:color w:val="auto"/>
          <w:sz w:val="24"/>
          <w:highlight w:val="none"/>
        </w:rPr>
        <w:t xml:space="preserve">11.13 </w:t>
      </w:r>
      <w:r>
        <w:rPr>
          <w:rFonts w:hint="eastAsia" w:hAnsi="宋体" w:cs="宋体"/>
          <w:color w:val="auto"/>
          <w:sz w:val="24"/>
          <w:highlight w:val="none"/>
          <w:lang w:eastAsia="zh-CN"/>
        </w:rPr>
        <w:t>技术标文件（独立成册）</w:t>
      </w:r>
    </w:p>
    <w:p>
      <w:pPr>
        <w:pStyle w:val="8"/>
        <w:ind w:firstLine="480" w:firstLineChars="200"/>
        <w:rPr>
          <w:rFonts w:hint="eastAsia" w:hAnsi="宋体" w:eastAsia="宋体" w:cs="宋体"/>
          <w:color w:val="auto"/>
          <w:sz w:val="24"/>
          <w:highlight w:val="none"/>
          <w:lang w:eastAsia="zh-CN"/>
        </w:rPr>
      </w:pPr>
      <w:r>
        <w:rPr>
          <w:rFonts w:hAnsi="宋体" w:cs="宋体"/>
          <w:color w:val="auto"/>
          <w:sz w:val="24"/>
          <w:highlight w:val="none"/>
        </w:rPr>
        <w:t>11.1</w:t>
      </w:r>
      <w:r>
        <w:rPr>
          <w:rFonts w:hint="eastAsia" w:hAnsi="宋体" w:cs="宋体"/>
          <w:color w:val="auto"/>
          <w:sz w:val="24"/>
          <w:highlight w:val="none"/>
          <w:lang w:val="en-US" w:eastAsia="zh-CN"/>
        </w:rPr>
        <w:t>4</w:t>
      </w:r>
      <w:r>
        <w:rPr>
          <w:rFonts w:hAnsi="宋体" w:cs="宋体"/>
          <w:color w:val="auto"/>
          <w:sz w:val="24"/>
          <w:highlight w:val="none"/>
        </w:rPr>
        <w:t xml:space="preserve"> 投标文件电子版（刻录光盘或提供U盘）</w:t>
      </w:r>
    </w:p>
    <w:p>
      <w:pPr>
        <w:pStyle w:val="8"/>
        <w:ind w:firstLine="480" w:firstLineChars="200"/>
        <w:rPr>
          <w:rFonts w:hint="default" w:hAnsi="宋体" w:cs="宋体"/>
          <w:color w:val="auto"/>
          <w:sz w:val="24"/>
          <w:highlight w:val="none"/>
        </w:rPr>
      </w:pPr>
      <w:r>
        <w:rPr>
          <w:rFonts w:hAnsi="宋体" w:cs="宋体"/>
          <w:color w:val="auto"/>
          <w:sz w:val="24"/>
          <w:highlight w:val="none"/>
        </w:rPr>
        <w:t>11.1</w:t>
      </w:r>
      <w:r>
        <w:rPr>
          <w:rFonts w:hint="eastAsia" w:hAnsi="宋体" w:cs="宋体"/>
          <w:color w:val="auto"/>
          <w:sz w:val="24"/>
          <w:highlight w:val="none"/>
          <w:lang w:val="en-US" w:eastAsia="zh-CN"/>
        </w:rPr>
        <w:t>5</w:t>
      </w:r>
      <w:r>
        <w:rPr>
          <w:rFonts w:hAnsi="宋体" w:cs="宋体"/>
          <w:color w:val="auto"/>
          <w:sz w:val="24"/>
          <w:highlight w:val="none"/>
        </w:rPr>
        <w:t xml:space="preserve"> 投标人认为需要提交的其他资料</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投标人提交的投标文件应当使用招标文件所提供的投标格式文件的格式（表格可以按同样格式扩展）。</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本次投标报价采用投标须知前附表第14项所规定的方式。</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款和合同条款所列招标项目服务范围的全部内容为计算投标报价基础。</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13.3投标报价方式：投标单位自行报价（总投标价不得超过最高投标限价，否则按废标处理）。（小数点后保留二位小数，第三位小数四舍五入）</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本次投标报价采用的币种为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16</w:t>
      </w:r>
      <w:r>
        <w:rPr>
          <w:rFonts w:hint="eastAsia" w:ascii="宋体" w:hAnsi="宋体" w:cs="宋体"/>
          <w:b/>
          <w:color w:val="auto"/>
          <w:sz w:val="24"/>
          <w:szCs w:val="24"/>
          <w:highlight w:val="none"/>
        </w:rPr>
        <w:t>．投标文件的份数和签署</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 投标人应按投标须知前附表第1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项规定的份数提交投标文件。</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 投标文件的正本和副本均需打印或使用不褪色的蓝、黑墨水笔书写，副本可以是正本盖章签字后的复印件，字迹应清晰易于辨认，并应在投标文件封面的右上角清楚地注明“正本”或“副本”。正本和副本如有不一致之处，以正本为准。</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.4 除投标人对错误处须修改外，全套投标文件应无涂改或行间插字和增删。如有修改，修改处应盖校对章或法定代表人签字（或盖私章）或委托代理人签字（或盖私章），并加盖单位公章。</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5投标文件的规格：统一A4印刷本，纸质封面，可双面或单面打印。封面标明招标项目名称、投标人、投标时间，右上角打上正本（或副本）。使用书式装订，装订时书订不外露；不能使用塑料面或塑料胶条装订。</w:t>
      </w:r>
    </w:p>
    <w:p>
      <w:pPr>
        <w:pStyle w:val="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.1投标文件的包封要求：商务标</w:t>
      </w:r>
      <w:r>
        <w:rPr>
          <w:rFonts w:hint="eastAsia" w:ascii="宋体" w:hAnsi="宋体" w:eastAsia="宋体" w:cs="宋体"/>
          <w:color w:val="auto"/>
          <w:sz w:val="24"/>
          <w:highlight w:val="none"/>
          <w:lang w:eastAsia="zh-CN"/>
        </w:rPr>
        <w:t>、技术标</w:t>
      </w:r>
      <w:r>
        <w:rPr>
          <w:rFonts w:hint="eastAsia" w:ascii="宋体" w:hAnsi="宋体" w:eastAsia="宋体" w:cs="宋体"/>
          <w:color w:val="auto"/>
          <w:sz w:val="24"/>
          <w:highlight w:val="none"/>
        </w:rPr>
        <w:t>一正四副及电子文件一起包封。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.3.1招标人的名称和地址：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广州南沙科技投资有限公司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南沙区海滨路171号17-19楼</w:t>
      </w:r>
      <w:r>
        <w:rPr>
          <w:rFonts w:hint="eastAsia" w:ascii="宋体" w:hAnsi="宋体" w:eastAsia="宋体" w:cs="宋体"/>
          <w:color w:val="auto"/>
          <w:sz w:val="24"/>
          <w:highlight w:val="none"/>
          <w:u w:val="single"/>
        </w:rPr>
        <w:t xml:space="preserve"> </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.3.2</w:t>
      </w:r>
      <w:r>
        <w:rPr>
          <w:rFonts w:hint="eastAsia" w:ascii="宋体" w:hAnsi="宋体" w:eastAsia="宋体" w:cs="宋体"/>
          <w:color w:val="auto"/>
          <w:sz w:val="24"/>
          <w:szCs w:val="24"/>
          <w:highlight w:val="none"/>
          <w:lang w:eastAsia="zh-CN"/>
        </w:rPr>
        <w:t>“海防教育基地项目交通渡口码头工程”环境影响评价咨询服务</w:t>
      </w:r>
      <w:r>
        <w:rPr>
          <w:rFonts w:hint="eastAsia" w:ascii="宋体" w:hAnsi="宋体" w:eastAsia="宋体" w:cs="宋体"/>
          <w:color w:val="auto"/>
          <w:sz w:val="24"/>
          <w:highlight w:val="none"/>
          <w:u w:val="none"/>
        </w:rPr>
        <w:t xml:space="preserve">   </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00分</w:t>
      </w:r>
      <w:r>
        <w:rPr>
          <w:rFonts w:hint="eastAsia" w:ascii="宋体" w:hAnsi="宋体" w:eastAsia="宋体" w:cs="宋体"/>
          <w:color w:val="auto"/>
          <w:sz w:val="24"/>
          <w:highlight w:val="none"/>
        </w:rPr>
        <w:t>前不得开封（填入</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附表第1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.5如果包封上没有按上述规定密封并加写标志，招标人将不承担投标文件错放或提前开封的责任，由此造成的提前开封的投标文件，招标人予以拒绝，并退还给投标人。</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 投标人应按投标须知前附表第1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.2投标文件提交人在提交投标文件时应出示法定代表人证明书（原件）、法定代表人授权委托证明书（原件）及本人身份证（原件）提交投标文件。</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.1投标人应按前附表第1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项所述的地点、日期和时间将投标文件提交给招标人。</w:t>
      </w:r>
    </w:p>
    <w:p>
      <w:pPr>
        <w:pStyle w:val="5"/>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招标人在本须知第1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条规定的投标截止时间以后收到的投标文件，将被拒绝并退回给投标人。</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 招标人按投标须知前附表第</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.7招标人将上述符合要求的投标文件，送至评标小组进行评审的。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 在投标文件的评审和比较、中标候选人推荐以及授予合同的过程中，投标人向招标人和评标小组施加影响的任何行为，都将会导致其投标被拒绝。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 中标人确定后，招标人不对未中标人就评标过程以及未能中标原因作出任何解释。未中标人不得向评标小组组成人员或其他有关人员索问评标过程的情况和材料。</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 为有助于投标文件的审查、评价和比较，评标小组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如果投标文件实质上不响应招标文件的各项要求，评标小组将予以拒绝，并且不允许投标人通过修改或撤销其不符合要求的差异或保留，使之成为具有响应性的投标。</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 评标小组将按照本须知规定，仅对在实质上响应招标文件要求的投标文件进行评审和比较。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 在评审过程中，评标小组可以以书面形式要求投标人就投标文件中含义不明确的内容进行书面说明并提供相关材料。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 评标小组依据</w:t>
      </w:r>
      <w:r>
        <w:rPr>
          <w:rFonts w:hint="eastAsia" w:ascii="宋体" w:hAnsi="宋体" w:eastAsia="宋体" w:cs="宋体"/>
          <w:color w:val="auto"/>
          <w:sz w:val="24"/>
          <w:highlight w:val="none"/>
          <w:lang w:val="en-US" w:eastAsia="zh-CN"/>
        </w:rPr>
        <w:t>本招标文件</w:t>
      </w:r>
      <w:r>
        <w:rPr>
          <w:rFonts w:hint="eastAsia" w:ascii="宋体" w:hAnsi="宋体" w:eastAsia="宋体" w:cs="宋体"/>
          <w:color w:val="auto"/>
          <w:sz w:val="24"/>
          <w:highlight w:val="none"/>
        </w:rPr>
        <w:t>规定的评标标准和方法，详见本招标文件《评标办法》，对投标文件进行评审和比较，向招标人提出书面评标报告，并推荐经评审</w:t>
      </w:r>
      <w:r>
        <w:rPr>
          <w:rFonts w:hint="eastAsia" w:ascii="宋体" w:hAnsi="宋体" w:eastAsia="宋体" w:cs="宋体"/>
          <w:color w:val="auto"/>
          <w:sz w:val="24"/>
          <w:highlight w:val="none"/>
          <w:lang w:val="en-US" w:eastAsia="zh-CN"/>
        </w:rPr>
        <w:t>综合得分</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高</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eastAsia="zh-CN"/>
        </w:rPr>
        <w:t>低</w:t>
      </w:r>
      <w:r>
        <w:rPr>
          <w:rFonts w:hint="eastAsia" w:ascii="宋体" w:hAnsi="宋体" w:eastAsia="宋体" w:cs="宋体"/>
          <w:color w:val="auto"/>
          <w:sz w:val="24"/>
          <w:highlight w:val="none"/>
        </w:rPr>
        <w:t>排序的前一～三名为第一、第二和第三中标候选人。招标人根据评标小组提出的书面评标报告和推荐的中标候选人中，按排序依法确定中标人。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．评标小组依据有关法律、法规和招标文件的规定对投标文件进行评审，经评定的有效投标人不足三名时，招标人应当依法重新组织招标。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 本招标(项目)的设计</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合同将授予</w:t>
      </w:r>
      <w:r>
        <w:rPr>
          <w:rFonts w:hint="eastAsia" w:ascii="宋体" w:hAnsi="宋体" w:eastAsia="宋体" w:cs="宋体"/>
          <w:color w:val="auto"/>
          <w:sz w:val="24"/>
          <w:highlight w:val="none"/>
          <w:lang w:val="en-US" w:eastAsia="zh-CN"/>
        </w:rPr>
        <w:t>招标人</w:t>
      </w:r>
      <w:r>
        <w:rPr>
          <w:rFonts w:hint="eastAsia" w:ascii="宋体" w:hAnsi="宋体" w:eastAsia="宋体" w:cs="宋体"/>
          <w:color w:val="auto"/>
          <w:sz w:val="24"/>
          <w:highlight w:val="none"/>
        </w:rPr>
        <w:t>所确定的中标人。</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lang w:val="en-US" w:eastAsia="zh-CN"/>
        </w:rPr>
        <w:t>27</w:t>
      </w:r>
      <w:r>
        <w:rPr>
          <w:rFonts w:hint="eastAsia" w:ascii="宋体" w:hAnsi="宋体" w:cs="宋体"/>
          <w:b/>
          <w:color w:val="auto"/>
          <w:sz w:val="24"/>
          <w:highlight w:val="none"/>
        </w:rPr>
        <w:t>．招标人保留接受或拒绝任何某一投标或所有投标的权力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 招标人不承诺将合同授予报价最低的投标人。招标人在发出中标通知书前，有权依据评标小组的评标报告拒绝不合格的投标。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.2招标人保留接受或拒绝任何某一投标或所有投标的权力。尽管有本须知第2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lang w:val="en-US" w:eastAsia="zh-CN"/>
        </w:rPr>
        <w:t>28</w:t>
      </w:r>
      <w:r>
        <w:rPr>
          <w:rFonts w:hint="eastAsia" w:ascii="宋体" w:hAnsi="宋体" w:cs="宋体"/>
          <w:b/>
          <w:color w:val="auto"/>
          <w:sz w:val="24"/>
          <w:highlight w:val="none"/>
        </w:rPr>
        <w:t>．中标通知书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.2中标人必须在收到中标通知书后24小时之内以书面形式回复招标人，确认收到。</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lang w:val="en-US" w:eastAsia="zh-CN"/>
        </w:rPr>
        <w:t>29</w:t>
      </w:r>
      <w:r>
        <w:rPr>
          <w:rFonts w:hint="eastAsia" w:ascii="宋体" w:hAnsi="宋体" w:cs="宋体"/>
          <w:b/>
          <w:color w:val="auto"/>
          <w:sz w:val="24"/>
          <w:highlight w:val="none"/>
        </w:rPr>
        <w:t>．合同协议书的签订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2中标人放弃中标资格的，无正当理由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.3中标人在投标过程使用的投标人名称、银行名称和账号至项目完成竣工结算不得变更，否则，招标人有权停止设计服务款项的拨付及至解除合同，由此造成的一切责任由中标人承担。</w:t>
      </w:r>
    </w:p>
    <w:p>
      <w:pPr>
        <w:pStyle w:val="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.1在合同双方全权代表在合同协议书上签字，并分别加盖双方单位的公章，合同正式生效。</w:t>
      </w:r>
    </w:p>
    <w:p>
      <w:pPr>
        <w:pStyle w:val="3"/>
        <w:widowControl/>
        <w:spacing w:before="0" w:after="0" w:line="360" w:lineRule="auto"/>
        <w:jc w:val="center"/>
        <w:rPr>
          <w:rFonts w:ascii="黑体" w:hAnsi="宋体" w:cs="黑体"/>
          <w:b/>
          <w:color w:val="auto"/>
          <w:kern w:val="44"/>
          <w:sz w:val="44"/>
          <w:szCs w:val="44"/>
          <w:highlight w:val="none"/>
        </w:rPr>
      </w:pPr>
      <w:bookmarkStart w:id="4" w:name="_Toc374128473"/>
      <w:bookmarkEnd w:id="4"/>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bookmarkStart w:id="5" w:name="_Toc32057"/>
      <w:r>
        <w:rPr>
          <w:rFonts w:hint="eastAsia" w:ascii="黑体" w:hAnsi="宋体" w:cs="黑体"/>
          <w:b/>
          <w:color w:val="auto"/>
          <w:kern w:val="44"/>
          <w:sz w:val="44"/>
          <w:szCs w:val="44"/>
          <w:highlight w:val="none"/>
        </w:rPr>
        <w:t>第2章  投标格式文件</w:t>
      </w:r>
      <w:bookmarkEnd w:id="5"/>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rPr>
          <w:rFonts w:ascii="宋体" w:hAnsi="宋体" w:eastAsia="宋体" w:cs="宋体"/>
          <w:color w:val="auto"/>
          <w:sz w:val="24"/>
          <w:highlight w:val="none"/>
        </w:rPr>
      </w:pPr>
    </w:p>
    <w:p>
      <w:pPr>
        <w:snapToGrid w:val="0"/>
        <w:spacing w:line="360" w:lineRule="auto"/>
        <w:rPr>
          <w:rFonts w:ascii="宋体" w:hAnsi="宋体" w:eastAsia="宋体" w:cs="Times New Roman"/>
          <w:color w:val="auto"/>
          <w:spacing w:val="20"/>
          <w:sz w:val="24"/>
          <w:highlight w:val="none"/>
          <w:u w:val="single"/>
        </w:rPr>
      </w:pPr>
      <w:r>
        <w:rPr>
          <w:rFonts w:hint="eastAsia" w:ascii="宋体" w:hAnsi="宋体" w:eastAsia="宋体" w:cs="Times New Roman"/>
          <w:color w:val="auto"/>
          <w:spacing w:val="20"/>
          <w:sz w:val="24"/>
          <w:highlight w:val="none"/>
          <w:u w:val="single"/>
          <w:lang w:eastAsia="zh-CN"/>
        </w:rPr>
        <w:t>广州南沙</w:t>
      </w:r>
      <w:r>
        <w:rPr>
          <w:rFonts w:hint="eastAsia" w:ascii="宋体" w:hAnsi="宋体" w:eastAsia="宋体" w:cs="Times New Roman"/>
          <w:i w:val="0"/>
          <w:iCs w:val="0"/>
          <w:caps w:val="0"/>
          <w:color w:val="000000"/>
          <w:spacing w:val="20"/>
          <w:sz w:val="24"/>
          <w:szCs w:val="24"/>
          <w:highlight w:val="none"/>
          <w:u w:val="single"/>
          <w:lang w:val="en-US" w:eastAsia="zh-CN"/>
        </w:rPr>
        <w:t>科技投资</w:t>
      </w:r>
      <w:r>
        <w:rPr>
          <w:rFonts w:hint="eastAsia" w:ascii="宋体" w:hAnsi="宋体" w:eastAsia="宋体" w:cs="Times New Roman"/>
          <w:i w:val="0"/>
          <w:iCs w:val="0"/>
          <w:caps w:val="0"/>
          <w:color w:val="000000"/>
          <w:spacing w:val="20"/>
          <w:sz w:val="24"/>
          <w:szCs w:val="24"/>
          <w:highlight w:val="none"/>
          <w:u w:val="single"/>
        </w:rPr>
        <w:t>有限公司</w:t>
      </w:r>
      <w:r>
        <w:rPr>
          <w:rFonts w:hint="eastAsia" w:ascii="宋体" w:hAnsi="宋体" w:eastAsia="宋体" w:cs="Times New Roman"/>
          <w:color w:val="auto"/>
          <w:spacing w:val="20"/>
          <w:sz w:val="24"/>
          <w:highlight w:val="none"/>
          <w:u w:val="single"/>
        </w:rPr>
        <w:t>：</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我方决定参加贵方的</w:t>
      </w:r>
      <w:r>
        <w:rPr>
          <w:rFonts w:hint="eastAsia" w:ascii="宋体" w:hAnsi="宋体" w:eastAsia="宋体" w:cs="宋体"/>
          <w:color w:val="auto"/>
          <w:sz w:val="24"/>
          <w:szCs w:val="24"/>
          <w:highlight w:val="none"/>
          <w:lang w:eastAsia="zh-CN"/>
        </w:rPr>
        <w:t>“海防教育基地项目交通渡口码头工程”</w:t>
      </w:r>
      <w:r>
        <w:rPr>
          <w:rFonts w:hint="eastAsia" w:ascii="宋体" w:hAnsi="宋体" w:eastAsia="宋体" w:cs="宋体"/>
          <w:color w:val="auto"/>
          <w:sz w:val="24"/>
          <w:szCs w:val="24"/>
          <w:highlight w:val="none"/>
          <w:u w:val="single"/>
          <w:lang w:eastAsia="zh-CN"/>
        </w:rPr>
        <w:t>环境影响评价咨询服务</w:t>
      </w:r>
      <w:r>
        <w:rPr>
          <w:rFonts w:hint="eastAsia" w:ascii="宋体" w:hAnsi="宋体" w:eastAsia="宋体" w:cs="Times New Roman"/>
          <w:color w:val="auto"/>
          <w:spacing w:val="20"/>
          <w:sz w:val="24"/>
          <w:highlight w:val="none"/>
        </w:rPr>
        <w:t>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1、我方经分析研究了贵方提供的招标文件中的项目介绍、投标人须知、合同条件以及本次招标答疑或澄清文件后，我公司愿意以投标报价表中承诺报价，完成贵方设计任务，并提供增值税</w:t>
      </w:r>
      <w:r>
        <w:rPr>
          <w:rFonts w:hint="eastAsia" w:ascii="宋体" w:hAnsi="宋体" w:eastAsia="宋体" w:cs="Times New Roman"/>
          <w:color w:val="auto"/>
          <w:spacing w:val="20"/>
          <w:sz w:val="24"/>
          <w:highlight w:val="none"/>
          <w:lang w:val="en-US" w:eastAsia="zh-CN"/>
        </w:rPr>
        <w:t>普通</w:t>
      </w:r>
      <w:r>
        <w:rPr>
          <w:rFonts w:hint="eastAsia" w:ascii="宋体" w:hAnsi="宋体" w:eastAsia="宋体" w:cs="Times New Roman"/>
          <w:color w:val="auto"/>
          <w:spacing w:val="20"/>
          <w:sz w:val="24"/>
          <w:highlight w:val="none"/>
        </w:rPr>
        <w:t>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%，并按合同条件的要求，承担并完成设计服务任务。</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4、在正式签订设计服务合同之前，本投标书连同贵方的中标通知书应成为约束贵、我双方的合同文件。</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pStyle w:val="2"/>
        <w:ind w:left="0" w:leftChars="0" w:firstLine="560" w:firstLineChars="200"/>
        <w:rPr>
          <w:rFonts w:hint="eastAsia" w:ascii="宋体" w:hAnsi="宋体" w:eastAsia="宋体" w:cs="Times New Roman"/>
          <w:color w:val="auto"/>
          <w:spacing w:val="20"/>
          <w:kern w:val="2"/>
          <w:sz w:val="24"/>
          <w:szCs w:val="24"/>
          <w:highlight w:val="none"/>
          <w:lang w:val="en-US" w:eastAsia="zh-CN"/>
        </w:rPr>
      </w:pPr>
      <w:r>
        <w:rPr>
          <w:rFonts w:hint="eastAsia" w:ascii="宋体" w:hAnsi="宋体" w:eastAsia="宋体" w:cs="Times New Roman"/>
          <w:color w:val="auto"/>
          <w:spacing w:val="20"/>
          <w:kern w:val="2"/>
          <w:sz w:val="24"/>
          <w:szCs w:val="24"/>
          <w:highlight w:val="none"/>
          <w:lang w:val="en-US" w:eastAsia="zh-CN"/>
        </w:rPr>
        <w:t>7、我方承诺不与其他投标人存在以下关联关系：</w:t>
      </w:r>
    </w:p>
    <w:p>
      <w:pPr>
        <w:pStyle w:val="2"/>
        <w:ind w:left="0" w:leftChars="0" w:firstLine="560" w:firstLineChars="200"/>
        <w:rPr>
          <w:rFonts w:hint="eastAsia" w:ascii="宋体" w:hAnsi="宋体" w:eastAsia="宋体" w:cs="Times New Roman"/>
          <w:color w:val="auto"/>
          <w:spacing w:val="20"/>
          <w:kern w:val="2"/>
          <w:sz w:val="24"/>
          <w:szCs w:val="24"/>
          <w:highlight w:val="none"/>
          <w:lang w:eastAsia="zh-CN"/>
        </w:rPr>
      </w:pPr>
      <w:r>
        <w:rPr>
          <w:rFonts w:hint="eastAsia" w:ascii="宋体" w:hAnsi="宋体" w:eastAsia="宋体" w:cs="Times New Roman"/>
          <w:color w:val="auto"/>
          <w:spacing w:val="20"/>
          <w:kern w:val="2"/>
          <w:sz w:val="24"/>
          <w:szCs w:val="24"/>
          <w:highlight w:val="none"/>
          <w:lang w:val="en-US" w:eastAsia="zh-CN"/>
        </w:rPr>
        <w:t>（1）我方</w:t>
      </w:r>
      <w:r>
        <w:rPr>
          <w:rFonts w:hint="eastAsia" w:ascii="宋体" w:hAnsi="宋体" w:eastAsia="宋体" w:cs="Times New Roman"/>
          <w:color w:val="auto"/>
          <w:spacing w:val="20"/>
          <w:kern w:val="2"/>
          <w:sz w:val="24"/>
          <w:szCs w:val="24"/>
          <w:highlight w:val="none"/>
        </w:rPr>
        <w:t>法定代表人、董事、监事及高级管理人员</w:t>
      </w:r>
      <w:r>
        <w:rPr>
          <w:rFonts w:hint="eastAsia" w:ascii="宋体" w:hAnsi="宋体" w:eastAsia="宋体" w:cs="Times New Roman"/>
          <w:color w:val="auto"/>
          <w:spacing w:val="20"/>
          <w:kern w:val="2"/>
          <w:sz w:val="24"/>
          <w:szCs w:val="24"/>
          <w:highlight w:val="none"/>
          <w:lang w:val="en-US" w:eastAsia="zh-CN"/>
        </w:rPr>
        <w:t>与其他投标人的</w:t>
      </w:r>
      <w:r>
        <w:rPr>
          <w:rFonts w:hint="eastAsia" w:ascii="宋体" w:hAnsi="宋体" w:eastAsia="宋体" w:cs="Times New Roman"/>
          <w:color w:val="auto"/>
          <w:spacing w:val="20"/>
          <w:kern w:val="2"/>
          <w:sz w:val="24"/>
          <w:szCs w:val="24"/>
          <w:highlight w:val="none"/>
        </w:rPr>
        <w:t>法定代表人、董事、监事及高级管理人员</w:t>
      </w:r>
      <w:r>
        <w:rPr>
          <w:rFonts w:hint="eastAsia" w:ascii="宋体" w:hAnsi="宋体" w:eastAsia="宋体" w:cs="Times New Roman"/>
          <w:color w:val="auto"/>
          <w:spacing w:val="20"/>
          <w:kern w:val="2"/>
          <w:sz w:val="24"/>
          <w:szCs w:val="24"/>
          <w:highlight w:val="none"/>
          <w:lang w:val="en-US" w:eastAsia="zh-CN"/>
        </w:rPr>
        <w:t>是</w:t>
      </w:r>
      <w:r>
        <w:rPr>
          <w:rFonts w:hint="eastAsia" w:ascii="宋体" w:hAnsi="宋体" w:eastAsia="宋体" w:cs="Times New Roman"/>
          <w:color w:val="auto"/>
          <w:spacing w:val="20"/>
          <w:kern w:val="2"/>
          <w:sz w:val="24"/>
          <w:szCs w:val="24"/>
          <w:highlight w:val="none"/>
        </w:rPr>
        <w:t>同一个人，或在其他投标人担任法定代表人、董事、监事及高级管理人员</w:t>
      </w:r>
      <w:r>
        <w:rPr>
          <w:rFonts w:hint="eastAsia" w:ascii="宋体" w:hAnsi="宋体" w:eastAsia="宋体" w:cs="Times New Roman"/>
          <w:color w:val="auto"/>
          <w:spacing w:val="20"/>
          <w:kern w:val="2"/>
          <w:sz w:val="24"/>
          <w:szCs w:val="24"/>
          <w:highlight w:val="none"/>
          <w:lang w:eastAsia="zh-CN"/>
        </w:rPr>
        <w:t>；</w:t>
      </w:r>
    </w:p>
    <w:p>
      <w:pPr>
        <w:pStyle w:val="2"/>
        <w:ind w:left="0" w:leftChars="0" w:firstLine="560" w:firstLineChars="200"/>
        <w:rPr>
          <w:rFonts w:hint="eastAsia" w:ascii="宋体" w:hAnsi="宋体" w:eastAsia="宋体" w:cs="Times New Roman"/>
          <w:color w:val="auto"/>
          <w:spacing w:val="20"/>
          <w:kern w:val="2"/>
          <w:sz w:val="24"/>
          <w:szCs w:val="24"/>
          <w:highlight w:val="none"/>
          <w:lang w:eastAsia="zh-CN"/>
        </w:rPr>
      </w:pPr>
      <w:r>
        <w:rPr>
          <w:rFonts w:hint="eastAsia" w:ascii="宋体" w:hAnsi="宋体" w:eastAsia="宋体" w:cs="Times New Roman"/>
          <w:color w:val="auto"/>
          <w:spacing w:val="20"/>
          <w:kern w:val="2"/>
          <w:sz w:val="24"/>
          <w:szCs w:val="24"/>
          <w:highlight w:val="none"/>
          <w:lang w:eastAsia="zh-CN"/>
        </w:rPr>
        <w:t>（</w:t>
      </w:r>
      <w:r>
        <w:rPr>
          <w:rFonts w:hint="eastAsia" w:ascii="宋体" w:hAnsi="宋体" w:eastAsia="宋体" w:cs="Times New Roman"/>
          <w:color w:val="auto"/>
          <w:spacing w:val="20"/>
          <w:kern w:val="2"/>
          <w:sz w:val="24"/>
          <w:szCs w:val="24"/>
          <w:highlight w:val="none"/>
          <w:lang w:val="en-US" w:eastAsia="zh-CN"/>
        </w:rPr>
        <w:t>2</w:t>
      </w:r>
      <w:r>
        <w:rPr>
          <w:rFonts w:hint="eastAsia" w:ascii="宋体" w:hAnsi="宋体" w:eastAsia="宋体" w:cs="Times New Roman"/>
          <w:color w:val="auto"/>
          <w:spacing w:val="20"/>
          <w:kern w:val="2"/>
          <w:sz w:val="24"/>
          <w:szCs w:val="24"/>
          <w:highlight w:val="none"/>
          <w:lang w:eastAsia="zh-CN"/>
        </w:rPr>
        <w:t>）</w:t>
      </w:r>
      <w:r>
        <w:rPr>
          <w:rFonts w:hint="eastAsia" w:ascii="宋体" w:hAnsi="宋体" w:eastAsia="宋体" w:cs="Times New Roman"/>
          <w:color w:val="auto"/>
          <w:spacing w:val="20"/>
          <w:kern w:val="2"/>
          <w:sz w:val="24"/>
          <w:szCs w:val="24"/>
          <w:highlight w:val="none"/>
          <w:lang w:val="en-US" w:eastAsia="zh-CN"/>
        </w:rPr>
        <w:t>我方</w:t>
      </w:r>
      <w:r>
        <w:rPr>
          <w:rFonts w:hint="eastAsia" w:ascii="宋体" w:hAnsi="宋体" w:eastAsia="宋体" w:cs="Times New Roman"/>
          <w:color w:val="auto"/>
          <w:spacing w:val="20"/>
          <w:kern w:val="2"/>
          <w:sz w:val="24"/>
          <w:szCs w:val="24"/>
          <w:highlight w:val="none"/>
        </w:rPr>
        <w:t>法定代表人、董事、监事及高级管理人员持有其他投标人股比超过33.34%的</w:t>
      </w:r>
      <w:r>
        <w:rPr>
          <w:rFonts w:hint="eastAsia" w:ascii="宋体" w:hAnsi="宋体" w:eastAsia="宋体" w:cs="Times New Roman"/>
          <w:color w:val="auto"/>
          <w:spacing w:val="20"/>
          <w:kern w:val="2"/>
          <w:sz w:val="24"/>
          <w:szCs w:val="24"/>
          <w:highlight w:val="none"/>
          <w:lang w:eastAsia="zh-CN"/>
        </w:rPr>
        <w:t>；</w:t>
      </w:r>
    </w:p>
    <w:p>
      <w:pPr>
        <w:pStyle w:val="2"/>
        <w:ind w:left="0" w:leftChars="0" w:firstLine="560" w:firstLineChars="200"/>
        <w:rPr>
          <w:rFonts w:hint="eastAsia" w:ascii="宋体" w:hAnsi="宋体" w:eastAsia="宋体" w:cs="Times New Roman"/>
          <w:color w:val="auto"/>
          <w:spacing w:val="20"/>
          <w:kern w:val="2"/>
          <w:sz w:val="24"/>
          <w:szCs w:val="24"/>
          <w:highlight w:val="none"/>
        </w:rPr>
      </w:pPr>
      <w:r>
        <w:rPr>
          <w:rFonts w:hint="eastAsia" w:ascii="宋体" w:hAnsi="宋体" w:eastAsia="宋体" w:cs="Times New Roman"/>
          <w:color w:val="auto"/>
          <w:spacing w:val="20"/>
          <w:kern w:val="2"/>
          <w:sz w:val="24"/>
          <w:szCs w:val="24"/>
          <w:highlight w:val="none"/>
          <w:lang w:eastAsia="zh-CN"/>
        </w:rPr>
        <w:t>（</w:t>
      </w:r>
      <w:r>
        <w:rPr>
          <w:rFonts w:hint="eastAsia" w:ascii="宋体" w:hAnsi="宋体" w:eastAsia="宋体" w:cs="Times New Roman"/>
          <w:color w:val="auto"/>
          <w:spacing w:val="20"/>
          <w:kern w:val="2"/>
          <w:sz w:val="24"/>
          <w:szCs w:val="24"/>
          <w:highlight w:val="none"/>
          <w:lang w:val="en-US" w:eastAsia="zh-CN"/>
        </w:rPr>
        <w:t>3</w:t>
      </w:r>
      <w:r>
        <w:rPr>
          <w:rFonts w:hint="eastAsia" w:ascii="宋体" w:hAnsi="宋体" w:eastAsia="宋体" w:cs="Times New Roman"/>
          <w:color w:val="auto"/>
          <w:spacing w:val="20"/>
          <w:kern w:val="2"/>
          <w:sz w:val="24"/>
          <w:szCs w:val="24"/>
          <w:highlight w:val="none"/>
          <w:lang w:eastAsia="zh-CN"/>
        </w:rPr>
        <w:t>）</w:t>
      </w:r>
      <w:r>
        <w:rPr>
          <w:rFonts w:hint="eastAsia" w:ascii="宋体" w:hAnsi="宋体" w:eastAsia="宋体" w:cs="Times New Roman"/>
          <w:color w:val="auto"/>
          <w:spacing w:val="20"/>
          <w:kern w:val="2"/>
          <w:sz w:val="24"/>
          <w:szCs w:val="24"/>
          <w:highlight w:val="none"/>
          <w:lang w:val="en-US" w:eastAsia="zh-CN"/>
        </w:rPr>
        <w:t>我方与其他投标人存在共同股东</w:t>
      </w:r>
      <w:r>
        <w:rPr>
          <w:rFonts w:hint="eastAsia" w:ascii="宋体" w:hAnsi="宋体" w:eastAsia="宋体" w:cs="Times New Roman"/>
          <w:color w:val="auto"/>
          <w:spacing w:val="20"/>
          <w:kern w:val="2"/>
          <w:sz w:val="24"/>
          <w:szCs w:val="24"/>
          <w:highlight w:val="none"/>
        </w:rPr>
        <w:t>。</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Times New Roman"/>
          <w:color w:val="auto"/>
          <w:spacing w:val="20"/>
          <w:sz w:val="24"/>
          <w:highlight w:val="none"/>
          <w:u w:val="single"/>
          <w:lang w:eastAsia="zh-CN"/>
        </w:rPr>
        <w:t>广州南沙</w:t>
      </w:r>
      <w:r>
        <w:rPr>
          <w:rFonts w:hint="eastAsia" w:ascii="宋体" w:hAnsi="宋体" w:eastAsia="宋体" w:cs="Times New Roman"/>
          <w:i w:val="0"/>
          <w:iCs w:val="0"/>
          <w:caps w:val="0"/>
          <w:color w:val="auto"/>
          <w:spacing w:val="20"/>
          <w:sz w:val="24"/>
          <w:szCs w:val="24"/>
          <w:highlight w:val="none"/>
          <w:u w:val="single"/>
          <w:lang w:val="en-US" w:eastAsia="zh-CN"/>
        </w:rPr>
        <w:t>科技投资</w:t>
      </w:r>
      <w:r>
        <w:rPr>
          <w:rFonts w:hint="eastAsia" w:ascii="宋体" w:hAnsi="宋体" w:eastAsia="宋体" w:cs="Times New Roman"/>
          <w:i w:val="0"/>
          <w:iCs w:val="0"/>
          <w:caps w:val="0"/>
          <w:color w:val="auto"/>
          <w:spacing w:val="20"/>
          <w:sz w:val="24"/>
          <w:szCs w:val="24"/>
          <w:highlight w:val="none"/>
          <w:u w:val="single"/>
        </w:rPr>
        <w:t>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如果我方投标文件中存在计算或表达错误的，我方理解并接受评标小组按照招标文件规定的原则进行修正，这种修正对我方具有约束力，且不需要我方确认。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1680" w:firstLineChars="70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1680" w:firstLineChars="600"/>
        <w:rPr>
          <w:rFonts w:ascii="宋体" w:hAnsi="宋体" w:eastAsia="宋体" w:cs="宋体"/>
          <w:color w:val="auto"/>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pPr>
        <w:snapToGrid w:val="0"/>
        <w:spacing w:line="440" w:lineRule="exact"/>
        <w:ind w:right="26" w:firstLine="1680" w:firstLineChars="70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1680" w:firstLineChars="70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1680" w:firstLineChars="70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0"/>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6" w:name="_Toc223342668"/>
      <w:bookmarkEnd w:id="6"/>
      <w:bookmarkStart w:id="7" w:name="_Toc216145749"/>
      <w:bookmarkEnd w:id="7"/>
      <w:r>
        <w:rPr>
          <w:rFonts w:hint="eastAsia" w:ascii="宋体" w:hAnsi="宋体" w:eastAsia="宋体" w:cs="黑体"/>
          <w:color w:val="auto"/>
          <w:sz w:val="28"/>
          <w:szCs w:val="28"/>
          <w:highlight w:val="none"/>
        </w:rPr>
        <w:t>格式三：</w:t>
      </w:r>
    </w:p>
    <w:p>
      <w:pPr>
        <w:pStyle w:val="22"/>
        <w:widowControl/>
        <w:ind w:firstLine="0" w:firstLineChars="0"/>
        <w:jc w:val="center"/>
        <w:outlineLvl w:val="2"/>
        <w:rPr>
          <w:color w:val="auto"/>
          <w:kern w:val="44"/>
          <w:highlight w:val="none"/>
        </w:rPr>
      </w:pPr>
      <w:bookmarkStart w:id="8" w:name="_Toc172416501"/>
      <w:bookmarkEnd w:id="8"/>
      <w:r>
        <w:rPr>
          <w:rFonts w:hint="eastAsia" w:ascii="宋体" w:hAnsi="宋体" w:cs="宋体"/>
          <w:b/>
          <w:color w:val="auto"/>
          <w:sz w:val="30"/>
          <w:szCs w:val="30"/>
          <w:highlight w:val="none"/>
        </w:rPr>
        <w:t>法定代表人证明书</w:t>
      </w:r>
    </w:p>
    <w:p>
      <w:pPr>
        <w:pStyle w:val="22"/>
        <w:widowControl/>
        <w:ind w:firstLine="496"/>
        <w:jc w:val="right"/>
        <w:rPr>
          <w:b/>
          <w:color w:val="auto"/>
          <w:highlight w:val="none"/>
        </w:rPr>
      </w:pPr>
      <w:r>
        <w:rPr>
          <w:color w:val="auto"/>
          <w:highlight w:val="none"/>
        </w:rPr>
        <w:t xml:space="preserve">                                      </w:t>
      </w:r>
    </w:p>
    <w:p>
      <w:pPr>
        <w:pStyle w:val="22"/>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2"/>
        <w:widowControl/>
        <w:ind w:firstLine="618"/>
        <w:rPr>
          <w:b/>
          <w:color w:val="auto"/>
          <w:sz w:val="30"/>
          <w:szCs w:val="30"/>
          <w:highlight w:val="none"/>
        </w:rPr>
      </w:pPr>
      <w:r>
        <w:rPr>
          <w:b/>
          <w:color w:val="auto"/>
          <w:sz w:val="30"/>
          <w:szCs w:val="30"/>
          <w:highlight w:val="none"/>
        </w:rPr>
        <w:t xml:space="preserve"> </w:t>
      </w:r>
    </w:p>
    <w:p>
      <w:pPr>
        <w:pStyle w:val="22"/>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2"/>
        <w:widowControl/>
        <w:ind w:firstLine="496"/>
        <w:jc w:val="right"/>
        <w:rPr>
          <w:color w:val="auto"/>
          <w:highlight w:val="none"/>
        </w:rPr>
      </w:pPr>
      <w:r>
        <w:rPr>
          <w:color w:val="auto"/>
          <w:highlight w:val="none"/>
        </w:rPr>
        <w:t xml:space="preserve">         </w:t>
      </w:r>
    </w:p>
    <w:p>
      <w:pPr>
        <w:pStyle w:val="22"/>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0"/>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9" w:name="_Toc216145759"/>
      <w:bookmarkEnd w:id="9"/>
      <w:bookmarkStart w:id="10"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20"/>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0"/>
      <w:r>
        <w:rPr>
          <w:rFonts w:hint="eastAsia" w:ascii="宋体" w:hAnsi="宋体" w:eastAsia="宋体" w:cs="宋体"/>
          <w:color w:val="auto"/>
          <w:sz w:val="28"/>
          <w:szCs w:val="28"/>
          <w:highlight w:val="none"/>
        </w:rPr>
        <w:t xml:space="preserve"> </w:t>
      </w:r>
    </w:p>
    <w:p>
      <w:pPr>
        <w:pStyle w:val="22"/>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招标人名称：</w:t>
      </w:r>
      <w:r>
        <w:rPr>
          <w:rFonts w:hint="eastAsia" w:ascii="宋体" w:hAnsi="宋体" w:eastAsia="宋体" w:cs="Times New Roman"/>
          <w:color w:val="auto"/>
          <w:spacing w:val="20"/>
          <w:sz w:val="24"/>
          <w:highlight w:val="none"/>
          <w:u w:val="single"/>
          <w:lang w:eastAsia="zh-CN"/>
        </w:rPr>
        <w:t>广州南沙</w:t>
      </w:r>
      <w:r>
        <w:rPr>
          <w:rFonts w:hint="eastAsia" w:ascii="宋体" w:hAnsi="宋体" w:eastAsia="宋体" w:cs="Times New Roman"/>
          <w:i w:val="0"/>
          <w:iCs w:val="0"/>
          <w:caps w:val="0"/>
          <w:color w:val="auto"/>
          <w:spacing w:val="20"/>
          <w:sz w:val="24"/>
          <w:szCs w:val="24"/>
          <w:highlight w:val="none"/>
          <w:u w:val="single"/>
          <w:lang w:val="en-US" w:eastAsia="zh-CN"/>
        </w:rPr>
        <w:t>科技投资</w:t>
      </w:r>
      <w:r>
        <w:rPr>
          <w:rFonts w:hint="eastAsia" w:ascii="宋体" w:hAnsi="宋体" w:eastAsia="宋体" w:cs="Times New Roman"/>
          <w:i w:val="0"/>
          <w:iCs w:val="0"/>
          <w:caps w:val="0"/>
          <w:color w:val="auto"/>
          <w:spacing w:val="20"/>
          <w:sz w:val="24"/>
          <w:szCs w:val="24"/>
          <w:highlight w:val="none"/>
          <w:u w:val="single"/>
        </w:rPr>
        <w:t>有限公司</w:t>
      </w:r>
    </w:p>
    <w:p>
      <w:pPr>
        <w:spacing w:line="560" w:lineRule="exac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投标项目名称：</w:t>
      </w:r>
      <w:r>
        <w:rPr>
          <w:rFonts w:hint="eastAsia" w:ascii="宋体" w:hAnsi="宋体" w:eastAsia="宋体" w:cs="宋体"/>
          <w:color w:val="auto"/>
          <w:sz w:val="24"/>
          <w:szCs w:val="24"/>
          <w:highlight w:val="none"/>
          <w:lang w:eastAsia="zh-CN"/>
        </w:rPr>
        <w:t>“海防教育基地项目交通渡口码头工程”</w:t>
      </w:r>
      <w:r>
        <w:rPr>
          <w:rFonts w:hint="eastAsia" w:ascii="宋体" w:hAnsi="宋体" w:eastAsia="宋体" w:cs="宋体"/>
          <w:color w:val="auto"/>
          <w:sz w:val="24"/>
          <w:szCs w:val="24"/>
          <w:highlight w:val="none"/>
          <w:u w:val="single"/>
          <w:lang w:eastAsia="zh-CN"/>
        </w:rPr>
        <w:t>环境影响评价咨询服务</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w:t>
      </w:r>
      <w:r>
        <w:rPr>
          <w:rFonts w:hint="eastAsia" w:ascii="宋体" w:hAnsi="宋体" w:eastAsia="宋体" w:cs="宋体"/>
          <w:color w:val="auto"/>
          <w:sz w:val="24"/>
          <w:highlight w:val="none"/>
          <w:lang w:eastAsia="zh-CN"/>
        </w:rPr>
        <w:t>实际</w:t>
      </w:r>
      <w:r>
        <w:rPr>
          <w:rFonts w:hint="eastAsia" w:ascii="宋体" w:hAnsi="宋体" w:eastAsia="宋体" w:cs="宋体"/>
          <w:color w:val="auto"/>
          <w:sz w:val="24"/>
          <w:highlight w:val="none"/>
        </w:rPr>
        <w:t>人员</w:t>
      </w:r>
      <w:r>
        <w:rPr>
          <w:rFonts w:hint="eastAsia" w:ascii="宋体" w:hAnsi="宋体" w:eastAsia="宋体" w:cs="宋体"/>
          <w:color w:val="auto"/>
          <w:sz w:val="24"/>
          <w:highlight w:val="none"/>
          <w:lang w:val="en-US" w:eastAsia="zh-CN"/>
        </w:rPr>
        <w:t>均按投标文件人员名单配备</w:t>
      </w:r>
      <w:r>
        <w:rPr>
          <w:rFonts w:hint="eastAsia" w:ascii="宋体" w:hAnsi="宋体" w:eastAsia="宋体" w:cs="宋体"/>
          <w:color w:val="auto"/>
          <w:sz w:val="24"/>
          <w:highlight w:val="none"/>
        </w:rPr>
        <w:t>。</w:t>
      </w:r>
    </w:p>
    <w:p>
      <w:pPr>
        <w:snapToGrid w:val="0"/>
        <w:spacing w:after="120"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1" w:name="_Toc415728297"/>
      <w:bookmarkEnd w:id="11"/>
      <w:bookmarkStart w:id="12" w:name="_Toc196036941"/>
      <w:bookmarkEnd w:id="12"/>
      <w:bookmarkStart w:id="13" w:name="_Toc196130013"/>
      <w:bookmarkEnd w:id="13"/>
      <w:bookmarkStart w:id="14" w:name="_Toc326909213"/>
      <w:bookmarkEnd w:id="14"/>
      <w:bookmarkStart w:id="15" w:name="_Toc199647675"/>
      <w:bookmarkEnd w:id="15"/>
      <w:bookmarkStart w:id="16" w:name="_Toc415833503"/>
      <w:bookmarkEnd w:id="16"/>
      <w:bookmarkStart w:id="17" w:name="_Toc196130110"/>
      <w:bookmarkEnd w:id="17"/>
      <w:bookmarkStart w:id="18" w:name="_Toc196037097"/>
      <w:bookmarkEnd w:id="18"/>
      <w:bookmarkStart w:id="19" w:name="_Toc41822703"/>
      <w:bookmarkEnd w:id="19"/>
      <w:bookmarkStart w:id="20" w:name="_Toc197235848"/>
      <w:bookmarkEnd w:id="20"/>
      <w:bookmarkStart w:id="21" w:name="_Toc459403394"/>
      <w:bookmarkEnd w:id="21"/>
      <w:bookmarkStart w:id="22" w:name="_Toc462911098"/>
      <w:r>
        <w:rPr>
          <w:rFonts w:hint="eastAsia" w:ascii="宋体" w:hAnsi="宋体" w:eastAsia="宋体" w:cs="黑体"/>
          <w:b/>
          <w:color w:val="auto"/>
          <w:spacing w:val="4"/>
          <w:kern w:val="0"/>
          <w:sz w:val="28"/>
          <w:szCs w:val="28"/>
          <w:highlight w:val="none"/>
        </w:rPr>
        <w:t>格式五</w:t>
      </w:r>
      <w:bookmarkEnd w:id="22"/>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3" w:name="_Toc41822704"/>
      <w:bookmarkEnd w:id="23"/>
      <w:r>
        <w:rPr>
          <w:rFonts w:hint="eastAsia" w:ascii="仿宋" w:hAnsi="仿宋" w:eastAsia="仿宋" w:cs="仿宋"/>
          <w:b/>
          <w:bCs/>
          <w:color w:val="auto"/>
          <w:sz w:val="36"/>
          <w:szCs w:val="36"/>
          <w:highlight w:val="none"/>
        </w:rPr>
        <w:t>投标人综合概况</w:t>
      </w:r>
    </w:p>
    <w:tbl>
      <w:tblPr>
        <w:tblStyle w:val="18"/>
        <w:tblW w:w="93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67"/>
        <w:gridCol w:w="1553"/>
        <w:gridCol w:w="677"/>
        <w:gridCol w:w="2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资质证号、范围和等级</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32" w:type="dxa"/>
            <w:gridSpan w:val="8"/>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5" w:hRule="atLeast"/>
          <w:jc w:val="center"/>
        </w:trPr>
        <w:tc>
          <w:tcPr>
            <w:tcW w:w="9332" w:type="dxa"/>
            <w:gridSpan w:val="8"/>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6" w:hRule="atLeast"/>
          <w:jc w:val="center"/>
        </w:trPr>
        <w:tc>
          <w:tcPr>
            <w:tcW w:w="9332" w:type="dxa"/>
            <w:gridSpan w:val="8"/>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宋体" w:hAnsi="宋体" w:eastAsia="宋体" w:cs="黑体"/>
          <w:b/>
          <w:color w:val="auto"/>
          <w:spacing w:val="4"/>
          <w:kern w:val="0"/>
          <w:sz w:val="28"/>
          <w:szCs w:val="28"/>
          <w:highlight w:val="none"/>
        </w:rPr>
      </w:pPr>
      <w:bookmarkStart w:id="24" w:name="_Toc196130111"/>
      <w:bookmarkEnd w:id="24"/>
      <w:bookmarkStart w:id="25" w:name="_Toc326909214"/>
      <w:bookmarkEnd w:id="25"/>
      <w:bookmarkStart w:id="26" w:name="_Toc196036942"/>
      <w:bookmarkEnd w:id="26"/>
      <w:bookmarkStart w:id="27" w:name="_Toc197235849"/>
      <w:bookmarkEnd w:id="27"/>
      <w:bookmarkStart w:id="28" w:name="_Toc196130014"/>
      <w:bookmarkEnd w:id="28"/>
      <w:bookmarkStart w:id="29" w:name="_Toc415833504"/>
      <w:bookmarkEnd w:id="29"/>
      <w:bookmarkStart w:id="30" w:name="_Toc199647676"/>
      <w:bookmarkEnd w:id="30"/>
      <w:bookmarkStart w:id="31" w:name="_Toc415728298"/>
      <w:bookmarkEnd w:id="31"/>
      <w:bookmarkStart w:id="32" w:name="_Toc459403395"/>
      <w:bookmarkEnd w:id="32"/>
      <w:bookmarkStart w:id="33" w:name="_Toc196037098"/>
      <w:bookmarkEnd w:id="33"/>
      <w:bookmarkStart w:id="34" w:name="_Toc462911099"/>
    </w:p>
    <w:p>
      <w:pPr>
        <w:pStyle w:val="2"/>
        <w:rPr>
          <w:rFonts w:ascii="宋体" w:hAnsi="宋体" w:eastAsia="宋体" w:cs="黑体"/>
          <w:b/>
          <w:color w:val="auto"/>
          <w:spacing w:val="4"/>
          <w:sz w:val="28"/>
          <w:szCs w:val="28"/>
          <w:highlight w:val="none"/>
        </w:rPr>
      </w:pPr>
    </w:p>
    <w:p>
      <w:pPr>
        <w:pStyle w:val="2"/>
        <w:rPr>
          <w:rFonts w:ascii="宋体" w:hAnsi="宋体" w:eastAsia="宋体" w:cs="黑体"/>
          <w:b/>
          <w:color w:val="auto"/>
          <w:spacing w:val="4"/>
          <w:sz w:val="28"/>
          <w:szCs w:val="28"/>
          <w:highlight w:val="none"/>
        </w:rPr>
      </w:pPr>
    </w:p>
    <w:p>
      <w:pPr>
        <w:pStyle w:val="2"/>
        <w:rPr>
          <w:rFonts w:ascii="宋体" w:hAnsi="宋体" w:eastAsia="宋体" w:cs="黑体"/>
          <w:b/>
          <w:color w:val="auto"/>
          <w:spacing w:val="4"/>
          <w:sz w:val="28"/>
          <w:szCs w:val="28"/>
          <w:highlight w:val="none"/>
        </w:rPr>
      </w:pPr>
    </w:p>
    <w:p>
      <w:pPr>
        <w:pStyle w:val="2"/>
        <w:rPr>
          <w:rFonts w:ascii="宋体" w:hAnsi="宋体" w:eastAsia="宋体" w:cs="黑体"/>
          <w:b/>
          <w:color w:val="auto"/>
          <w:spacing w:val="4"/>
          <w:sz w:val="28"/>
          <w:szCs w:val="28"/>
          <w:highlight w:val="none"/>
        </w:rPr>
      </w:pPr>
    </w:p>
    <w:p>
      <w:pPr>
        <w:pStyle w:val="2"/>
        <w:rPr>
          <w:rFonts w:ascii="宋体" w:hAnsi="宋体" w:eastAsia="宋体" w:cs="黑体"/>
          <w:b/>
          <w:color w:val="auto"/>
          <w:spacing w:val="4"/>
          <w:sz w:val="28"/>
          <w:szCs w:val="28"/>
          <w:highlight w:val="none"/>
        </w:rPr>
      </w:pPr>
    </w:p>
    <w:p>
      <w:pPr>
        <w:pStyle w:val="2"/>
        <w:rPr>
          <w:rFonts w:ascii="宋体" w:hAnsi="宋体" w:eastAsia="宋体" w:cs="黑体"/>
          <w:b/>
          <w:color w:val="auto"/>
          <w:spacing w:val="4"/>
          <w:sz w:val="28"/>
          <w:szCs w:val="28"/>
          <w:highlight w:val="none"/>
        </w:rPr>
      </w:pPr>
    </w:p>
    <w:p>
      <w:pPr>
        <w:outlineLvl w:val="1"/>
        <w:rPr>
          <w:rFonts w:ascii="仿宋" w:hAnsi="仿宋" w:eastAsia="仿宋" w:cs="仿宋"/>
          <w:color w:val="auto"/>
          <w:kern w:val="24"/>
          <w:sz w:val="28"/>
          <w:szCs w:val="28"/>
          <w:highlight w:val="none"/>
        </w:rPr>
      </w:pPr>
      <w:r>
        <w:rPr>
          <w:rFonts w:hint="eastAsia" w:ascii="宋体" w:hAnsi="宋体" w:eastAsia="宋体" w:cs="黑体"/>
          <w:b/>
          <w:color w:val="auto"/>
          <w:spacing w:val="4"/>
          <w:kern w:val="0"/>
          <w:sz w:val="28"/>
          <w:szCs w:val="28"/>
          <w:highlight w:val="none"/>
        </w:rPr>
        <w:t>格式六</w:t>
      </w:r>
      <w:bookmarkEnd w:id="34"/>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w:t>
      </w:r>
      <w:r>
        <w:rPr>
          <w:rFonts w:hint="eastAsia" w:ascii="仿宋" w:hAnsi="仿宋" w:eastAsia="仿宋" w:cs="仿宋"/>
          <w:color w:val="auto"/>
          <w:kern w:val="24"/>
          <w:sz w:val="24"/>
          <w:highlight w:val="none"/>
          <w:lang w:val="en-US" w:eastAsia="zh-CN"/>
        </w:rPr>
        <w:t>20</w:t>
      </w:r>
      <w:r>
        <w:rPr>
          <w:rFonts w:hint="eastAsia" w:ascii="仿宋" w:hAnsi="仿宋" w:eastAsia="仿宋" w:cs="仿宋"/>
          <w:color w:val="auto"/>
          <w:kern w:val="24"/>
          <w:sz w:val="24"/>
          <w:highlight w:val="none"/>
        </w:rPr>
        <w:t>年1月1日至今企业承担的同类项目</w:t>
      </w:r>
    </w:p>
    <w:p>
      <w:pPr>
        <w:spacing w:before="85" w:beforeLines="30" w:line="360" w:lineRule="auto"/>
        <w:jc w:val="center"/>
        <w:outlineLvl w:val="2"/>
        <w:rPr>
          <w:rFonts w:ascii="仿宋" w:hAnsi="仿宋" w:eastAsia="仿宋" w:cs="仿宋"/>
          <w:color w:val="auto"/>
          <w:kern w:val="24"/>
          <w:sz w:val="28"/>
          <w:szCs w:val="28"/>
          <w:highlight w:val="none"/>
        </w:rPr>
      </w:pPr>
      <w:bookmarkStart w:id="35" w:name="_Toc197235850"/>
      <w:bookmarkEnd w:id="35"/>
      <w:bookmarkStart w:id="36" w:name="_Toc199647677"/>
      <w:bookmarkEnd w:id="36"/>
      <w:bookmarkStart w:id="37" w:name="_Toc196130112"/>
      <w:bookmarkEnd w:id="37"/>
      <w:bookmarkStart w:id="38" w:name="_Toc196036943"/>
      <w:bookmarkEnd w:id="38"/>
      <w:bookmarkStart w:id="39" w:name="_Toc196130015"/>
      <w:bookmarkEnd w:id="39"/>
      <w:bookmarkStart w:id="40" w:name="_Toc41822705"/>
      <w:bookmarkEnd w:id="40"/>
      <w:bookmarkStart w:id="41" w:name="_Toc196037099"/>
      <w:bookmarkEnd w:id="41"/>
      <w:bookmarkStart w:id="42" w:name="_Toc326909215"/>
      <w:r>
        <w:rPr>
          <w:rFonts w:hint="eastAsia" w:ascii="仿宋" w:hAnsi="仿宋" w:eastAsia="仿宋" w:cs="仿宋"/>
          <w:b/>
          <w:bCs/>
          <w:color w:val="auto"/>
          <w:kern w:val="24"/>
          <w:sz w:val="36"/>
          <w:szCs w:val="36"/>
          <w:highlight w:val="none"/>
        </w:rPr>
        <w:t>业绩一览表</w:t>
      </w:r>
      <w:bookmarkEnd w:id="42"/>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8"/>
        <w:tblW w:w="7926" w:type="dxa"/>
        <w:jc w:val="center"/>
        <w:tblInd w:w="0" w:type="dxa"/>
        <w:tblLayout w:type="fixed"/>
        <w:tblCellMar>
          <w:top w:w="0" w:type="dxa"/>
          <w:left w:w="108" w:type="dxa"/>
          <w:bottom w:w="0" w:type="dxa"/>
          <w:right w:w="108" w:type="dxa"/>
        </w:tblCellMar>
      </w:tblPr>
      <w:tblGrid>
        <w:gridCol w:w="724"/>
        <w:gridCol w:w="2002"/>
        <w:gridCol w:w="2567"/>
        <w:gridCol w:w="1303"/>
        <w:gridCol w:w="1330"/>
      </w:tblGrid>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建筑面积</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完成时间</w:t>
            </w: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注：1、投标人提供的同类项目业绩证明资料附于该表后面。业绩证明资料须提供：（1）合同；相关证明资料必须能反映出评标所需指标，否则相应子项不予计分；时间以合同文件签订时间为准。</w:t>
      </w:r>
    </w:p>
    <w:p>
      <w:pPr>
        <w:spacing w:line="360" w:lineRule="auto"/>
        <w:ind w:firstLine="779" w:firstLineChars="371"/>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ascii="仿宋" w:hAnsi="仿宋" w:eastAsia="仿宋" w:cs="仿宋"/>
          <w:color w:val="auto"/>
          <w:sz w:val="24"/>
          <w:highlight w:val="none"/>
        </w:rPr>
      </w:pP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8"/>
        <w:tblW w:w="8768" w:type="dxa"/>
        <w:jc w:val="center"/>
        <w:tblInd w:w="0" w:type="dxa"/>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注：1、“拟承担工作”栏，应注明主要设计咨询人员（须注明项目负责人、各专业负责人）等。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2、项目负责人应按格式八表格及备注的规定附相关证明文件，本表后不需重复附相关证件。</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3、其他人员应附上个人注册执业资格证（如有）、身份证、职称证等文件（复印件，加盖单位公章）。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hint="eastAsia" w:ascii="仿宋" w:hAnsi="仿宋" w:eastAsia="仿宋" w:cs="宋体"/>
          <w:b/>
          <w:color w:val="auto"/>
          <w:sz w:val="36"/>
          <w:szCs w:val="36"/>
          <w:highlight w:val="none"/>
          <w:lang w:eastAsia="zh-CN"/>
        </w:rPr>
      </w:pPr>
      <w:r>
        <w:rPr>
          <w:rFonts w:hint="eastAsia" w:ascii="仿宋" w:hAnsi="仿宋" w:eastAsia="仿宋" w:cs="宋体"/>
          <w:b/>
          <w:color w:val="auto"/>
          <w:sz w:val="36"/>
          <w:szCs w:val="36"/>
          <w:highlight w:val="none"/>
        </w:rPr>
        <w:t>项目负责人</w:t>
      </w:r>
      <w:r>
        <w:rPr>
          <w:rFonts w:hint="eastAsia" w:ascii="仿宋" w:hAnsi="仿宋" w:eastAsia="仿宋" w:cs="宋体"/>
          <w:b/>
          <w:color w:val="auto"/>
          <w:sz w:val="36"/>
          <w:szCs w:val="36"/>
          <w:highlight w:val="none"/>
          <w:lang w:eastAsia="zh-CN"/>
        </w:rPr>
        <w:t>简介</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2、须附执业证书及资格证书（如有）、身份证、职称证书等证明材料（复印件，加盖单位公章）。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2"/>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NumType w:start="1"/>
          <w:cols w:space="425" w:num="1"/>
          <w:docGrid w:type="lines" w:linePitch="285" w:charSpace="0"/>
        </w:sectPr>
      </w:pPr>
    </w:p>
    <w:p>
      <w:pPr>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8"/>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2711" w:type="dxa"/>
            <w:vMerge w:val="restart"/>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投标报价（元）</w:t>
            </w:r>
          </w:p>
        </w:tc>
        <w:tc>
          <w:tcPr>
            <w:tcW w:w="6699" w:type="dxa"/>
            <w:vAlign w:val="center"/>
          </w:tcPr>
          <w:p>
            <w:pPr>
              <w:autoSpaceDE w:val="0"/>
              <w:autoSpaceDN w:val="0"/>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2711" w:type="dxa"/>
            <w:vMerge w:val="continue"/>
            <w:vAlign w:val="center"/>
          </w:tcPr>
          <w:p>
            <w:pPr>
              <w:autoSpaceDE w:val="0"/>
              <w:autoSpaceDN w:val="0"/>
              <w:adjustRightInd w:val="0"/>
              <w:snapToGrid w:val="0"/>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jc w:val="left"/>
              <w:rPr>
                <w:rFonts w:ascii="宋体" w:hAnsi="宋体" w:cs="宋体"/>
                <w:bCs/>
                <w:color w:val="auto"/>
                <w:szCs w:val="21"/>
                <w:highlight w:val="none"/>
              </w:rPr>
            </w:pPr>
            <w:r>
              <w:rPr>
                <w:rFonts w:hint="eastAsia" w:ascii="宋体" w:hAnsi="宋体" w:cs="宋体"/>
                <w:bCs/>
                <w:color w:val="auto"/>
                <w:szCs w:val="21"/>
                <w:highlight w:val="none"/>
              </w:rPr>
              <w:t>小写：</w:t>
            </w:r>
          </w:p>
        </w:tc>
      </w:tr>
      <w:tr>
        <w:tblPrEx>
          <w:tblLayout w:type="fixed"/>
          <w:tblCellMar>
            <w:top w:w="0" w:type="dxa"/>
            <w:left w:w="108" w:type="dxa"/>
            <w:bottom w:w="0" w:type="dxa"/>
            <w:right w:w="108" w:type="dxa"/>
          </w:tblCellMar>
        </w:tblPrEx>
        <w:trPr>
          <w:trHeight w:val="1555"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2711" w:type="dxa"/>
            <w:vAlign w:val="center"/>
          </w:tcPr>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jc w:val="center"/>
              <w:rPr>
                <w:rFonts w:ascii="宋体" w:hAnsi="宋体" w:cs="宋体"/>
                <w:bCs/>
                <w:color w:val="auto"/>
                <w:szCs w:val="21"/>
                <w:highlight w:val="none"/>
                <w:lang w:val="zh-CN"/>
              </w:rPr>
            </w:pPr>
          </w:p>
        </w:tc>
      </w:tr>
    </w:tbl>
    <w:p>
      <w:pPr>
        <w:pStyle w:val="8"/>
        <w:spacing w:line="360" w:lineRule="auto"/>
        <w:ind w:firstLine="210" w:firstLineChars="100"/>
        <w:rPr>
          <w:rFonts w:hint="default" w:hAnsi="宋体" w:cs="宋体"/>
          <w:bCs/>
          <w:color w:val="auto"/>
          <w:highlight w:val="none"/>
        </w:rPr>
      </w:pPr>
      <w:r>
        <w:rPr>
          <w:rFonts w:hAnsi="宋体" w:cs="宋体"/>
          <w:bCs/>
          <w:color w:val="auto"/>
          <w:highlight w:val="none"/>
        </w:rPr>
        <w:t>注：</w:t>
      </w:r>
    </w:p>
    <w:p>
      <w:pPr>
        <w:pStyle w:val="8"/>
        <w:spacing w:line="360" w:lineRule="auto"/>
        <w:rPr>
          <w:rFonts w:hint="default" w:hAnsi="宋体" w:cs="宋体"/>
          <w:bCs/>
          <w:color w:val="auto"/>
          <w:highlight w:val="none"/>
        </w:rPr>
      </w:pPr>
      <w:r>
        <w:rPr>
          <w:rFonts w:hAnsi="宋体" w:cs="宋体"/>
          <w:bCs/>
          <w:color w:val="auto"/>
          <w:highlight w:val="none"/>
        </w:rPr>
        <w:t>（1）投标报价的大写金额和小写金额不一致的，以大写金额为准，投标报价精确到小数点后两位。</w:t>
      </w:r>
    </w:p>
    <w:p>
      <w:pPr>
        <w:spacing w:line="360" w:lineRule="auto"/>
        <w:rPr>
          <w:rFonts w:hint="eastAsia" w:ascii="宋体" w:hAnsi="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投标报价不得超过最高投标限价</w:t>
      </w:r>
      <w:r>
        <w:rPr>
          <w:rFonts w:hint="eastAsia" w:ascii="宋体" w:hAnsi="宋体" w:cs="宋体"/>
          <w:bCs/>
          <w:color w:val="auto"/>
          <w:szCs w:val="21"/>
          <w:highlight w:val="none"/>
        </w:rPr>
        <w:t>，否则按废标处理。</w:t>
      </w:r>
    </w:p>
    <w:p>
      <w:pPr>
        <w:spacing w:line="360" w:lineRule="auto"/>
        <w:rPr>
          <w:rFonts w:hAnsi="宋体"/>
          <w:b/>
          <w:color w:val="auto"/>
          <w:highlight w:val="none"/>
        </w:rPr>
      </w:pPr>
      <w:r>
        <w:rPr>
          <w:rFonts w:hAnsi="宋体"/>
          <w:b/>
          <w:color w:val="auto"/>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格式1：</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rPr>
        <w:t>商务文件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hint="eastAsia" w:ascii="宋体" w:hAnsi="宋体"/>
          <w:b/>
          <w:color w:val="auto"/>
          <w:sz w:val="24"/>
          <w:highlight w:val="none"/>
          <w:lang w:val="en-US" w:eastAsia="zh-CN"/>
        </w:rPr>
        <w:t>2</w:t>
      </w:r>
      <w:r>
        <w:rPr>
          <w:rFonts w:hint="eastAsia" w:ascii="宋体" w:hAnsi="宋体"/>
          <w:b/>
          <w:color w:val="auto"/>
          <w:sz w:val="24"/>
          <w:highlight w:val="none"/>
        </w:rPr>
        <w:t>：</w:t>
      </w:r>
    </w:p>
    <w:p>
      <w:pPr>
        <w:pStyle w:val="8"/>
        <w:rPr>
          <w:rFonts w:hint="default"/>
          <w:color w:val="auto"/>
          <w:highlight w:val="none"/>
        </w:rPr>
      </w:pPr>
    </w:p>
    <w:p>
      <w:pPr>
        <w:jc w:val="left"/>
        <w:rPr>
          <w:b/>
          <w:color w:val="auto"/>
          <w:sz w:val="24"/>
          <w:highlight w:val="none"/>
        </w:rPr>
      </w:pPr>
      <w:r>
        <w:rPr>
          <w:rFonts w:hint="eastAsia" w:ascii="宋体" w:hAnsi="宋体" w:eastAsia="宋体" w:cs="宋体"/>
          <w:color w:val="auto"/>
          <w:sz w:val="24"/>
          <w:highlight w:val="none"/>
        </w:rPr>
        <w:t xml:space="preserve"> </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lang w:eastAsia="zh-CN"/>
        </w:rPr>
        <w:t>技术</w:t>
      </w:r>
      <w:r>
        <w:rPr>
          <w:rFonts w:hint="eastAsia" w:eastAsia="黑体"/>
          <w:color w:val="auto"/>
          <w:sz w:val="52"/>
          <w:szCs w:val="52"/>
          <w:highlight w:val="none"/>
        </w:rPr>
        <w:t>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spacing w:line="240" w:lineRule="auto"/>
        <w:rPr>
          <w:rFonts w:hint="eastAsia" w:ascii="宋体" w:hAnsi="宋体" w:eastAsia="宋体" w:cs="宋体"/>
          <w:color w:val="auto"/>
          <w:sz w:val="24"/>
          <w:highlight w:val="none"/>
        </w:rPr>
      </w:pPr>
      <w:r>
        <w:rPr>
          <w:b/>
          <w:color w:val="auto"/>
          <w:sz w:val="24"/>
          <w:highlight w:val="none"/>
        </w:rPr>
        <w:br w:type="page"/>
      </w:r>
    </w:p>
    <w:p>
      <w:pPr>
        <w:pStyle w:val="2"/>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43" w:name="_Toc374128477"/>
      <w:bookmarkEnd w:id="43"/>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bookmarkStart w:id="44" w:name="_Toc1265"/>
      <w:r>
        <w:rPr>
          <w:rFonts w:hint="eastAsia" w:ascii="黑体" w:hAnsi="宋体" w:cs="黑体"/>
          <w:b/>
          <w:color w:val="auto"/>
          <w:kern w:val="44"/>
          <w:sz w:val="44"/>
          <w:szCs w:val="44"/>
          <w:highlight w:val="none"/>
        </w:rPr>
        <w:t>第3章 评标办法</w:t>
      </w:r>
      <w:bookmarkEnd w:id="44"/>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rPr>
          <w:rFonts w:ascii="Times New Roman" w:hAnsi="Times New Roman" w:eastAsia="宋体" w:cs="Times New Roman"/>
          <w:color w:val="auto"/>
          <w:szCs w:val="21"/>
          <w:highlight w:val="none"/>
        </w:rPr>
        <w:sectPr>
          <w:pgSz w:w="11915" w:h="16840"/>
          <w:pgMar w:top="1247" w:right="1135" w:bottom="1247" w:left="1361" w:header="720" w:footer="720" w:gutter="0"/>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w:t>
      </w:r>
      <w:r>
        <w:rPr>
          <w:rFonts w:hint="eastAsia" w:ascii="仿宋" w:hAnsi="仿宋" w:eastAsia="仿宋" w:cs="仿宋"/>
          <w:color w:val="auto"/>
          <w:sz w:val="28"/>
          <w:szCs w:val="28"/>
          <w:highlight w:val="none"/>
          <w:lang w:eastAsia="zh-CN"/>
        </w:rPr>
        <w:t>方式</w:t>
      </w:r>
      <w:r>
        <w:rPr>
          <w:rFonts w:hint="eastAsia" w:ascii="仿宋" w:hAnsi="仿宋" w:eastAsia="仿宋" w:cs="仿宋"/>
          <w:color w:val="auto"/>
          <w:sz w:val="28"/>
          <w:szCs w:val="28"/>
          <w:highlight w:val="none"/>
        </w:rPr>
        <w:t>选择单位，为保证招标“公开、公平、公正”，根据国家有关工程建设招标投标的法律、法规和方针、政策，制定本评标细则，实行评标的规范化、标准化、科学化。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2.1《中华人民共和国民法典》；</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2.4七部委第12号令《评标小组和评标方法暂行规定》；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2"/>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招标人依法组建评标小组。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8"/>
        <w:widowControl/>
        <w:spacing w:line="500" w:lineRule="exact"/>
        <w:ind w:firstLine="562" w:firstLineChars="200"/>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5.1评标小组</w:t>
      </w:r>
    </w:p>
    <w:p>
      <w:pPr>
        <w:pStyle w:val="8"/>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评标小组由招标人依法组建的5名专家组成。</w:t>
      </w:r>
    </w:p>
    <w:p>
      <w:pPr>
        <w:pStyle w:val="8"/>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评标小组推举产生1名评标组长，主持评审工作，评标组长与其他成员有同等表决权。</w:t>
      </w:r>
    </w:p>
    <w:p>
      <w:pPr>
        <w:pStyle w:val="8"/>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评标小组根据招标文件规定的评标标准和方法，对投标文件进行评审和比较，招标文件中没有规定的标准和方法不得作为评标的依据。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在符合招标文件规定的前提下，评标小组主要对投标文件进行评议。</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小组负责裁决。裁决前，评标小组应认真阅读招标文件的规定。投标文件中全部符合附件1《符合性审查表》中任一种情形的，为有效标书，否则其投标文件将被否决。若本项目通过符合性审查的投标人不足3名时，应重新招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小组成员应当对投标文件发表专业、客观、公正的意见，意见不一致的应作进一步核实和讨论。评标小组成员对任何一个投标文件的质疑，应当在讨论或现场讲解时提出，表决结果公布后才提出的质疑，不可作为改变表决结果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如果少数投标人超越招标文件要求提交了模型、演示动画、特殊规格展示图纸或发生其他特殊情况，评标小组对超越招标文件要求的内容不进行评审，只评审该投标文件符合要求的内容。</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（3）对投标文件进行符合性审查，并对通过符合性审查的投标文件进行综合评分。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（4）汇总投标人的综合得分，推荐中标候选人并编写评标报告。</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小组专家首先按附件1《符合性审查表》对各投标文件进行评审，只有通过符合性审查的投标文件方可进入下一阶段的评审。如果有符合性审查不通过提议，则评标小组成员共同表决，按照少数服从多数的原则决定是否通过符合性审查。</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 评标小组专家计算各投标人的综合得分.</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(c) 评标小组编写、签署评标报告，向招标人推荐综合得分最高的前三名中标候选方案（中标候选人）并标明排列顺序，评标报告由评标小组全体成员签名，对评标结论持有异议的评标小组成员可以书面方式阐述其不同意见和理由。</w:t>
      </w:r>
    </w:p>
    <w:p>
      <w:pPr>
        <w:spacing w:line="50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招标人在评标小组推荐的候选方案中确定中标方案。但是，招标人认为评标小组推荐的候选方案不能最大限度满足招标文件规定的要求的，依法重新招标。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□（a）招标人委托评标小组直接确定中标人；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评标小组推荐的排名第一的中标候选人为中标人。如排名第一的中标候选人放弃中标或因招标人拒绝投标人的情形或因不可抗力提出不能履行合同，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8"/>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若本项目经评审有效的投标人不足3名时，本次招标失败，招标人应当依法重新组织招标。</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8"/>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8"/>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由招标人或其推选的代表检查投标文件的密封情况，也可以由招标人委托的公证机构检查并公证；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小组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招标人将上述符合要求的投标文件，送至评标小组进行评审。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本次招标评标分“符合性审查”、“综合评分”两部分进行评审。收标后，全部评标过程将按以下阶段和步骤进行：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评标小组依据有关法律、法规和招标文件的规定对投标文件进行评审，若本项目经评审有效的投标人不足3名时，本次招标失败，招标人应当依法重新组织招标。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3）第三步：评标小组完成评标报告，向招标人推荐中标候选人。</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根据附件1“符合性审查表”进行评审。投标文件全部列于附件1《符合性审查表》中情形的，为通过符合性审查。否则其投标文件将被否决。如评标小组成员的评审意见不一致时，以评标小组过半数成员的意见作为评标小组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评标小组对所有投标作否决处理的，招标人应当重新招标。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 xml:space="preserve">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 xml:space="preserve">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.1按投标人总得分高低进行先后排序，取评分最高者为第一中标候选人，次高者为第二中标候选人，依次类推。</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.2如果有两个或两个以上的投标人总得分评分相同，则服务报价得分较高的投标人排名优先；如果总得分、服务报价得分均相同的投标文件，则由评标小组采用摇珠方式，确定中标候选人顺序。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确定中标人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招标人依据评标报告审定本项目的中标人。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招标人将参照以下原则进行本项目中标人的替换：</w:t>
      </w:r>
    </w:p>
    <w:p>
      <w:pPr>
        <w:numPr>
          <w:ilvl w:val="0"/>
          <w:numId w:val="3"/>
        </w:numPr>
        <w:snapToGrid w:val="0"/>
        <w:spacing w:line="360" w:lineRule="auto"/>
        <w:ind w:left="0" w:firstLine="4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若中标人在实际工作中服务质量存在问题，未能表现出符合要求的设计水平，经招标人研究确定，可解除与中标人的合同关系，并按照中标候选人顺序依次选取新的中标人。</w:t>
      </w:r>
    </w:p>
    <w:p>
      <w:pPr>
        <w:numPr>
          <w:ilvl w:val="0"/>
          <w:numId w:val="3"/>
        </w:numPr>
        <w:snapToGrid w:val="0"/>
        <w:spacing w:line="360" w:lineRule="auto"/>
        <w:ind w:left="0" w:firstLine="4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当中标人以正式的书面函件形式申请放弃中标资格时，招标人可取消其中标人资格，解除与中标人的合同关系，并按照中标候选人顺序依次选取新的中标人。</w:t>
      </w:r>
    </w:p>
    <w:p>
      <w:pPr>
        <w:pStyle w:val="8"/>
        <w:rPr>
          <w:rFonts w:hint="default" w:ascii="仿宋" w:hAnsi="仿宋" w:eastAsia="仿宋" w:cs="仿宋"/>
          <w:color w:val="auto"/>
          <w:sz w:val="28"/>
          <w:szCs w:val="28"/>
          <w:highlight w:val="none"/>
        </w:rPr>
      </w:pPr>
    </w:p>
    <w:p>
      <w:pPr>
        <w:pStyle w:val="8"/>
        <w:rPr>
          <w:rFonts w:hint="default" w:ascii="仿宋" w:hAnsi="仿宋" w:eastAsia="仿宋" w:cs="仿宋"/>
          <w:color w:val="auto"/>
          <w:sz w:val="28"/>
          <w:szCs w:val="28"/>
          <w:highlight w:val="none"/>
        </w:rPr>
      </w:pPr>
    </w:p>
    <w:p>
      <w:pPr>
        <w:snapToGrid w:val="0"/>
        <w:spacing w:line="360" w:lineRule="auto"/>
        <w:rPr>
          <w:rFonts w:ascii="仿宋" w:hAnsi="仿宋" w:eastAsia="仿宋" w:cs="仿宋"/>
          <w:color w:val="auto"/>
          <w:sz w:val="2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第4章 附件</w:t>
      </w:r>
    </w:p>
    <w:p>
      <w:pPr>
        <w:pStyle w:val="19"/>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符合性审查表</w:t>
      </w:r>
    </w:p>
    <w:p>
      <w:pPr>
        <w:pStyle w:val="19"/>
        <w:widowControl/>
        <w:ind w:firstLine="562"/>
        <w:rPr>
          <w:rFonts w:hint="default" w:ascii="仿宋" w:hAnsi="仿宋" w:eastAsia="仿宋" w:cs="仿宋"/>
          <w:b/>
          <w:color w:val="auto"/>
          <w:sz w:val="28"/>
          <w:szCs w:val="28"/>
          <w:highlight w:val="none"/>
          <w:u w:val="single"/>
        </w:rPr>
      </w:pPr>
      <w:bookmarkStart w:id="45" w:name="OLE_LINK3"/>
      <w:bookmarkEnd w:id="45"/>
      <w:r>
        <w:rPr>
          <w:rFonts w:ascii="仿宋" w:hAnsi="仿宋" w:eastAsia="仿宋" w:cs="仿宋"/>
          <w:b/>
          <w:color w:val="auto"/>
          <w:sz w:val="28"/>
          <w:szCs w:val="28"/>
          <w:highlight w:val="none"/>
          <w:u w:val="single"/>
        </w:rPr>
        <w:t>附件2 综合评分表</w:t>
      </w:r>
    </w:p>
    <w:p>
      <w:pPr>
        <w:pStyle w:val="19"/>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附件3 投标申请人声明</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46" w:name="_Toc14580"/>
      <w:r>
        <w:rPr>
          <w:rFonts w:hint="eastAsia" w:ascii="仿宋" w:hAnsi="仿宋" w:eastAsia="仿宋" w:cs="仿宋"/>
          <w:color w:val="auto"/>
          <w:sz w:val="28"/>
          <w:szCs w:val="28"/>
          <w:highlight w:val="none"/>
        </w:rPr>
        <w:t>附件1：符合性审查表</w:t>
      </w:r>
      <w:bookmarkEnd w:id="46"/>
      <w:r>
        <w:rPr>
          <w:rFonts w:hint="eastAsia" w:ascii="仿宋" w:hAnsi="仿宋" w:eastAsia="仿宋" w:cs="仿宋"/>
          <w:color w:val="auto"/>
          <w:sz w:val="28"/>
          <w:szCs w:val="28"/>
          <w:highlight w:val="none"/>
        </w:rPr>
        <w:t xml:space="preserve">  </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符合性审查表</w:t>
      </w:r>
    </w:p>
    <w:tbl>
      <w:tblPr>
        <w:tblStyle w:val="18"/>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Layout w:type="fixed"/>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893"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投标文件封面加盖投标人的法定印章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8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项目负责人资质符合要求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default" w:ascii="仿宋" w:hAnsi="仿宋" w:eastAsia="仿宋" w:cs="仿宋"/>
                <w:color w:val="auto"/>
                <w:highlight w:val="none"/>
                <w:lang w:val="en-US" w:eastAsia="zh-CN"/>
              </w:rPr>
            </w:pPr>
            <w:r>
              <w:rPr>
                <w:rFonts w:hint="eastAsia" w:ascii="仿宋" w:hAnsi="仿宋" w:eastAsia="仿宋" w:cs="仿宋"/>
                <w:color w:val="auto"/>
                <w:sz w:val="21"/>
                <w:szCs w:val="21"/>
                <w:highlight w:val="none"/>
                <w:lang w:val="en-US" w:eastAsia="zh-CN"/>
              </w:rPr>
              <w:t>投标报价不超过最高投标限价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ascii="仿宋" w:hAnsi="仿宋" w:eastAsia="仿宋" w:cs="Courier New"/>
          <w:color w:val="auto"/>
          <w:sz w:val="28"/>
          <w:szCs w:val="28"/>
          <w:highlight w:val="none"/>
        </w:rPr>
      </w:pPr>
    </w:p>
    <w:p>
      <w:pPr>
        <w:snapToGrid w:val="0"/>
        <w:ind w:left="74"/>
        <w:outlineLvl w:val="0"/>
        <w:rPr>
          <w:rFonts w:ascii="仿宋" w:hAnsi="仿宋" w:eastAsia="仿宋" w:cs="仿宋"/>
          <w:b/>
          <w:color w:val="auto"/>
          <w:sz w:val="24"/>
          <w:highlight w:val="none"/>
        </w:rPr>
        <w:sectPr>
          <w:footerReference r:id="rId4" w:type="default"/>
          <w:pgSz w:w="12240" w:h="15840"/>
          <w:pgMar w:top="1440" w:right="1797" w:bottom="1440" w:left="1797" w:header="720" w:footer="720" w:gutter="0"/>
          <w:cols w:space="425" w:num="1"/>
          <w:docGrid w:linePitch="312" w:charSpace="0"/>
        </w:sectPr>
      </w:pPr>
    </w:p>
    <w:p>
      <w:pPr>
        <w:snapToGrid w:val="0"/>
        <w:ind w:left="74"/>
        <w:outlineLvl w:val="0"/>
        <w:rPr>
          <w:rFonts w:ascii="仿宋" w:hAnsi="仿宋" w:eastAsia="仿宋" w:cs="仿宋"/>
          <w:color w:val="auto"/>
          <w:sz w:val="24"/>
          <w:highlight w:val="none"/>
        </w:rPr>
      </w:pPr>
      <w:bookmarkStart w:id="47" w:name="_Toc27480"/>
      <w:r>
        <w:rPr>
          <w:rFonts w:hint="eastAsia" w:ascii="仿宋" w:hAnsi="仿宋" w:eastAsia="仿宋" w:cs="仿宋"/>
          <w:b/>
          <w:color w:val="auto"/>
          <w:sz w:val="24"/>
          <w:highlight w:val="none"/>
        </w:rPr>
        <w:t>附件2综合评分表</w:t>
      </w:r>
      <w:r>
        <w:rPr>
          <w:rFonts w:hint="eastAsia" w:ascii="仿宋" w:hAnsi="仿宋" w:eastAsia="仿宋" w:cs="仿宋"/>
          <w:color w:val="auto"/>
          <w:sz w:val="24"/>
          <w:highlight w:val="none"/>
        </w:rPr>
        <w:t>（100分）</w:t>
      </w:r>
      <w:bookmarkEnd w:id="47"/>
    </w:p>
    <w:tbl>
      <w:tblPr>
        <w:tblStyle w:val="18"/>
        <w:tblW w:w="8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189"/>
        <w:gridCol w:w="663"/>
        <w:gridCol w:w="5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jc w:val="center"/>
        </w:trPr>
        <w:tc>
          <w:tcPr>
            <w:tcW w:w="1111" w:type="dxa"/>
            <w:vAlign w:val="center"/>
          </w:tcPr>
          <w:p>
            <w:pPr>
              <w:spacing w:line="400" w:lineRule="exact"/>
              <w:jc w:val="center"/>
              <w:rPr>
                <w:rFonts w:ascii="宋体"/>
                <w:color w:val="auto"/>
                <w:szCs w:val="21"/>
                <w:highlight w:val="none"/>
              </w:rPr>
            </w:pPr>
            <w:r>
              <w:rPr>
                <w:rFonts w:hint="eastAsia" w:ascii="宋体"/>
                <w:color w:val="auto"/>
                <w:szCs w:val="21"/>
                <w:highlight w:val="none"/>
              </w:rPr>
              <w:t>评审内容</w:t>
            </w:r>
          </w:p>
        </w:tc>
        <w:tc>
          <w:tcPr>
            <w:tcW w:w="1189" w:type="dxa"/>
            <w:vAlign w:val="center"/>
          </w:tcPr>
          <w:p>
            <w:pPr>
              <w:spacing w:line="400" w:lineRule="exact"/>
              <w:jc w:val="center"/>
              <w:rPr>
                <w:rFonts w:ascii="宋体"/>
                <w:color w:val="auto"/>
                <w:szCs w:val="21"/>
                <w:highlight w:val="none"/>
              </w:rPr>
            </w:pPr>
            <w:r>
              <w:rPr>
                <w:rFonts w:hint="eastAsia" w:ascii="宋体"/>
                <w:color w:val="auto"/>
                <w:szCs w:val="21"/>
                <w:highlight w:val="none"/>
              </w:rPr>
              <w:t>评分因素</w:t>
            </w:r>
          </w:p>
        </w:tc>
        <w:tc>
          <w:tcPr>
            <w:tcW w:w="663" w:type="dxa"/>
            <w:vAlign w:val="center"/>
          </w:tcPr>
          <w:p>
            <w:pPr>
              <w:spacing w:line="400" w:lineRule="exact"/>
              <w:jc w:val="center"/>
              <w:rPr>
                <w:rFonts w:ascii="宋体"/>
                <w:color w:val="auto"/>
                <w:szCs w:val="21"/>
                <w:highlight w:val="none"/>
              </w:rPr>
            </w:pPr>
            <w:r>
              <w:rPr>
                <w:rFonts w:hint="eastAsia" w:ascii="宋体"/>
                <w:color w:val="auto"/>
                <w:szCs w:val="21"/>
                <w:highlight w:val="none"/>
              </w:rPr>
              <w:t>得分</w:t>
            </w:r>
          </w:p>
        </w:tc>
        <w:tc>
          <w:tcPr>
            <w:tcW w:w="5428" w:type="dxa"/>
            <w:vAlign w:val="center"/>
          </w:tcPr>
          <w:p>
            <w:pPr>
              <w:spacing w:line="400" w:lineRule="exact"/>
              <w:jc w:val="center"/>
              <w:rPr>
                <w:rFonts w:ascii="宋体"/>
                <w:color w:val="auto"/>
                <w:szCs w:val="21"/>
                <w:highlight w:val="none"/>
              </w:rPr>
            </w:pPr>
            <w:r>
              <w:rPr>
                <w:rFonts w:hint="eastAsia" w:ascii="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vMerge w:val="restart"/>
            <w:vAlign w:val="center"/>
          </w:tcPr>
          <w:p>
            <w:pPr>
              <w:spacing w:line="400" w:lineRule="exact"/>
              <w:jc w:val="center"/>
              <w:rPr>
                <w:rFonts w:ascii="宋体"/>
                <w:color w:val="auto"/>
                <w:szCs w:val="21"/>
                <w:highlight w:val="none"/>
              </w:rPr>
            </w:pPr>
            <w:r>
              <w:rPr>
                <w:rFonts w:hint="eastAsia" w:ascii="宋体"/>
                <w:color w:val="auto"/>
                <w:szCs w:val="21"/>
                <w:highlight w:val="none"/>
              </w:rPr>
              <w:t>商务部分</w:t>
            </w:r>
          </w:p>
          <w:p>
            <w:pPr>
              <w:rPr>
                <w:color w:val="auto"/>
                <w:highlight w:val="none"/>
              </w:rPr>
            </w:pPr>
            <w:r>
              <w:rPr>
                <w:rFonts w:hint="eastAsia" w:ascii="宋体"/>
                <w:color w:val="auto"/>
                <w:szCs w:val="21"/>
                <w:highlight w:val="none"/>
              </w:rPr>
              <w:t>（</w:t>
            </w:r>
            <w:r>
              <w:rPr>
                <w:rFonts w:hint="eastAsia" w:ascii="宋体"/>
                <w:color w:val="auto"/>
                <w:szCs w:val="21"/>
                <w:highlight w:val="none"/>
                <w:lang w:val="en-US" w:eastAsia="zh-CN"/>
              </w:rPr>
              <w:t>30</w:t>
            </w:r>
            <w:r>
              <w:rPr>
                <w:rFonts w:hint="eastAsia" w:ascii="宋体"/>
                <w:color w:val="auto"/>
                <w:szCs w:val="21"/>
                <w:highlight w:val="none"/>
              </w:rPr>
              <w:t>分）</w:t>
            </w:r>
          </w:p>
        </w:tc>
        <w:tc>
          <w:tcPr>
            <w:tcW w:w="1189" w:type="dxa"/>
            <w:vAlign w:val="center"/>
          </w:tcPr>
          <w:p>
            <w:pPr>
              <w:keepNext w:val="0"/>
              <w:keepLines w:val="0"/>
              <w:widowControl/>
              <w:suppressLineNumbers w:val="0"/>
              <w:jc w:val="center"/>
              <w:textAlignment w:val="center"/>
              <w:rPr>
                <w:rFonts w:ascii="宋体"/>
                <w:color w:val="auto"/>
                <w:szCs w:val="21"/>
                <w:highlight w:val="none"/>
              </w:rPr>
            </w:pPr>
            <w:r>
              <w:rPr>
                <w:rFonts w:hint="eastAsia" w:ascii="宋体" w:hAnsi="宋体" w:eastAsia="宋体" w:cs="宋体"/>
                <w:i w:val="0"/>
                <w:color w:val="000000"/>
                <w:kern w:val="0"/>
                <w:sz w:val="22"/>
                <w:szCs w:val="22"/>
                <w:u w:val="none"/>
                <w:lang w:val="en-US" w:eastAsia="zh-CN" w:bidi="ar"/>
              </w:rPr>
              <w:t>企业业绩</w:t>
            </w:r>
          </w:p>
        </w:tc>
        <w:tc>
          <w:tcPr>
            <w:tcW w:w="663" w:type="dxa"/>
            <w:vAlign w:val="center"/>
          </w:tcPr>
          <w:p>
            <w:pPr>
              <w:keepNext w:val="0"/>
              <w:keepLines w:val="0"/>
              <w:widowControl/>
              <w:suppressLineNumbers w:val="0"/>
              <w:jc w:val="center"/>
              <w:textAlignment w:val="center"/>
              <w:rPr>
                <w:rFonts w:ascii="宋体" w:eastAsia="宋体"/>
                <w:color w:val="auto"/>
                <w:szCs w:val="21"/>
                <w:highlight w:val="none"/>
              </w:rPr>
            </w:pPr>
            <w:r>
              <w:rPr>
                <w:rFonts w:hint="eastAsia" w:ascii="宋体" w:hAnsi="宋体" w:eastAsia="宋体" w:cs="宋体"/>
                <w:i w:val="0"/>
                <w:color w:val="000000"/>
                <w:kern w:val="0"/>
                <w:sz w:val="22"/>
                <w:szCs w:val="22"/>
                <w:u w:val="none"/>
                <w:lang w:val="en-US" w:eastAsia="zh-CN" w:bidi="ar"/>
              </w:rPr>
              <w:t>10</w:t>
            </w:r>
          </w:p>
        </w:tc>
        <w:tc>
          <w:tcPr>
            <w:tcW w:w="5428" w:type="dxa"/>
            <w:vAlign w:val="center"/>
          </w:tcPr>
          <w:p>
            <w:pPr>
              <w:keepNext w:val="0"/>
              <w:keepLines w:val="0"/>
              <w:widowControl/>
              <w:suppressLineNumbers w:val="0"/>
              <w:jc w:val="left"/>
              <w:textAlignment w:val="center"/>
              <w:rPr>
                <w:rStyle w:val="62"/>
                <w:lang w:val="en-US" w:eastAsia="zh-CN" w:bidi="ar"/>
              </w:rPr>
            </w:pPr>
            <w:r>
              <w:rPr>
                <w:rFonts w:hint="eastAsia" w:ascii="宋体" w:hAnsi="宋体" w:eastAsia="宋体" w:cs="宋体"/>
                <w:i w:val="0"/>
                <w:color w:val="000000"/>
                <w:kern w:val="0"/>
                <w:sz w:val="21"/>
                <w:szCs w:val="21"/>
                <w:u w:val="none"/>
                <w:lang w:val="en-US" w:eastAsia="zh-CN" w:bidi="ar"/>
              </w:rPr>
              <w:t>根据投标人自</w:t>
            </w:r>
            <w:r>
              <w:rPr>
                <w:rStyle w:val="61"/>
                <w:rFonts w:eastAsia="宋体"/>
                <w:lang w:val="en-US" w:eastAsia="zh-CN" w:bidi="ar"/>
              </w:rPr>
              <w:t>2020</w:t>
            </w:r>
            <w:r>
              <w:rPr>
                <w:rStyle w:val="62"/>
                <w:lang w:val="en-US" w:eastAsia="zh-CN" w:bidi="ar"/>
              </w:rPr>
              <w:t>年</w:t>
            </w:r>
            <w:r>
              <w:rPr>
                <w:rStyle w:val="61"/>
                <w:rFonts w:eastAsia="宋体"/>
                <w:lang w:val="en-US" w:eastAsia="zh-CN" w:bidi="ar"/>
              </w:rPr>
              <w:t>1</w:t>
            </w:r>
            <w:r>
              <w:rPr>
                <w:rStyle w:val="62"/>
                <w:lang w:val="en-US" w:eastAsia="zh-CN" w:bidi="ar"/>
              </w:rPr>
              <w:t>月</w:t>
            </w:r>
            <w:r>
              <w:rPr>
                <w:rStyle w:val="61"/>
                <w:rFonts w:eastAsia="宋体"/>
                <w:lang w:val="en-US" w:eastAsia="zh-CN" w:bidi="ar"/>
              </w:rPr>
              <w:t>1</w:t>
            </w:r>
            <w:r>
              <w:rPr>
                <w:rStyle w:val="62"/>
                <w:lang w:val="en-US" w:eastAsia="zh-CN" w:bidi="ar"/>
              </w:rPr>
              <w:t>日至今（以合同签订时间为准）承担过的同类项目的情况进行评审。每提供</w:t>
            </w:r>
            <w:r>
              <w:rPr>
                <w:rStyle w:val="61"/>
                <w:rFonts w:eastAsia="宋体"/>
                <w:lang w:val="en-US" w:eastAsia="zh-CN" w:bidi="ar"/>
              </w:rPr>
              <w:t>1</w:t>
            </w:r>
            <w:r>
              <w:rPr>
                <w:rStyle w:val="62"/>
                <w:lang w:val="en-US" w:eastAsia="zh-CN" w:bidi="ar"/>
              </w:rPr>
              <w:t>项同类业绩的2分，本项最高得分为</w:t>
            </w:r>
            <w:r>
              <w:rPr>
                <w:rStyle w:val="61"/>
                <w:rFonts w:eastAsia="宋体"/>
                <w:lang w:val="en-US" w:eastAsia="zh-CN" w:bidi="ar"/>
              </w:rPr>
              <w:t>10</w:t>
            </w:r>
            <w:r>
              <w:rPr>
                <w:rStyle w:val="62"/>
                <w:lang w:val="en-US" w:eastAsia="zh-CN" w:bidi="ar"/>
              </w:rPr>
              <w:t xml:space="preserve">分。  </w:t>
            </w:r>
          </w:p>
          <w:p>
            <w:pPr>
              <w:keepNext w:val="0"/>
              <w:keepLines w:val="0"/>
              <w:widowControl/>
              <w:suppressLineNumbers w:val="0"/>
              <w:jc w:val="left"/>
              <w:textAlignment w:val="center"/>
              <w:rPr>
                <w:rFonts w:eastAsia="仿宋_GB2312"/>
                <w:color w:val="auto"/>
                <w:highlight w:val="none"/>
              </w:rPr>
            </w:pPr>
            <w:r>
              <w:rPr>
                <w:rStyle w:val="62"/>
                <w:lang w:val="en-US" w:eastAsia="zh-CN" w:bidi="ar"/>
              </w:rPr>
              <w:t>注：提供同类项目业绩合同关键页（需包含项目名称，合同签订时间、双方落款盖章页等）复印件并加盖</w:t>
            </w:r>
            <w:r>
              <w:rPr>
                <w:rStyle w:val="62"/>
                <w:rFonts w:hint="eastAsia"/>
                <w:lang w:val="en-US" w:eastAsia="zh-CN" w:bidi="ar"/>
              </w:rPr>
              <w:t>投标人</w:t>
            </w:r>
            <w:r>
              <w:rPr>
                <w:rStyle w:val="62"/>
                <w:lang w:val="en-US" w:eastAsia="zh-CN" w:bidi="ar"/>
              </w:rPr>
              <w:t>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vMerge w:val="continue"/>
            <w:vAlign w:val="center"/>
          </w:tcPr>
          <w:p>
            <w:pPr>
              <w:rPr>
                <w:rFonts w:hint="eastAsia" w:ascii="宋体"/>
                <w:color w:val="auto"/>
                <w:szCs w:val="21"/>
                <w:highlight w:val="none"/>
              </w:rPr>
            </w:pPr>
          </w:p>
        </w:tc>
        <w:tc>
          <w:tcPr>
            <w:tcW w:w="1189" w:type="dxa"/>
            <w:vAlign w:val="center"/>
          </w:tcPr>
          <w:p>
            <w:pPr>
              <w:keepNext w:val="0"/>
              <w:keepLines w:val="0"/>
              <w:widowControl/>
              <w:suppressLineNumbers w:val="0"/>
              <w:jc w:val="center"/>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i w:val="0"/>
                <w:color w:val="000000"/>
                <w:kern w:val="0"/>
                <w:sz w:val="22"/>
                <w:szCs w:val="22"/>
                <w:u w:val="none"/>
                <w:lang w:val="en-US" w:eastAsia="zh-CN" w:bidi="ar"/>
              </w:rPr>
              <w:t>服务评价</w:t>
            </w:r>
          </w:p>
        </w:tc>
        <w:tc>
          <w:tcPr>
            <w:tcW w:w="663" w:type="dxa"/>
            <w:vAlign w:val="center"/>
          </w:tcPr>
          <w:p>
            <w:pPr>
              <w:keepNext w:val="0"/>
              <w:keepLines w:val="0"/>
              <w:widowControl/>
              <w:suppressLineNumbers w:val="0"/>
              <w:jc w:val="center"/>
              <w:textAlignment w:val="center"/>
              <w:rPr>
                <w:rFonts w:hint="default" w:ascii="宋体"/>
                <w:color w:val="auto"/>
                <w:szCs w:val="21"/>
                <w:highlight w:val="none"/>
                <w:lang w:val="en-US" w:eastAsia="zh-CN"/>
              </w:rPr>
            </w:pPr>
            <w:r>
              <w:rPr>
                <w:rFonts w:hint="eastAsia" w:ascii="宋体" w:hAnsi="宋体" w:eastAsia="宋体" w:cs="宋体"/>
                <w:i w:val="0"/>
                <w:color w:val="000000"/>
                <w:kern w:val="0"/>
                <w:sz w:val="22"/>
                <w:szCs w:val="22"/>
                <w:u w:val="none"/>
                <w:lang w:val="en-US" w:eastAsia="zh-CN" w:bidi="ar"/>
              </w:rPr>
              <w:t>5</w:t>
            </w:r>
          </w:p>
        </w:tc>
        <w:tc>
          <w:tcPr>
            <w:tcW w:w="5428" w:type="dxa"/>
            <w:vAlign w:val="center"/>
          </w:tcPr>
          <w:p>
            <w:pPr>
              <w:keepNext w:val="0"/>
              <w:keepLines w:val="0"/>
              <w:widowControl/>
              <w:suppressLineNumbers w:val="0"/>
              <w:jc w:val="left"/>
              <w:textAlignment w:val="center"/>
              <w:rPr>
                <w:rStyle w:val="62"/>
                <w:lang w:val="en-US" w:eastAsia="zh-CN" w:bidi="ar"/>
              </w:rPr>
            </w:pPr>
            <w:r>
              <w:rPr>
                <w:rStyle w:val="62"/>
                <w:rFonts w:hint="eastAsia"/>
                <w:lang w:val="en-US" w:eastAsia="zh-CN" w:bidi="ar"/>
              </w:rPr>
              <w:t>投标人</w:t>
            </w:r>
            <w:r>
              <w:rPr>
                <w:rFonts w:hint="eastAsia" w:ascii="宋体" w:hAnsi="宋体" w:eastAsia="宋体" w:cs="宋体"/>
                <w:i w:val="0"/>
                <w:color w:val="000000"/>
                <w:kern w:val="0"/>
                <w:sz w:val="21"/>
                <w:szCs w:val="21"/>
                <w:u w:val="none"/>
                <w:lang w:val="en-US" w:eastAsia="zh-CN" w:bidi="ar"/>
              </w:rPr>
              <w:t>自</w:t>
            </w:r>
            <w:r>
              <w:rPr>
                <w:rStyle w:val="61"/>
                <w:rFonts w:eastAsia="宋体"/>
                <w:lang w:val="en-US" w:eastAsia="zh-CN" w:bidi="ar"/>
              </w:rPr>
              <w:t>2020</w:t>
            </w:r>
            <w:r>
              <w:rPr>
                <w:rStyle w:val="62"/>
                <w:lang w:val="en-US" w:eastAsia="zh-CN" w:bidi="ar"/>
              </w:rPr>
              <w:t>年</w:t>
            </w:r>
            <w:r>
              <w:rPr>
                <w:rStyle w:val="61"/>
                <w:rFonts w:eastAsia="宋体"/>
                <w:lang w:val="en-US" w:eastAsia="zh-CN" w:bidi="ar"/>
              </w:rPr>
              <w:t>1</w:t>
            </w:r>
            <w:r>
              <w:rPr>
                <w:rStyle w:val="62"/>
                <w:lang w:val="en-US" w:eastAsia="zh-CN" w:bidi="ar"/>
              </w:rPr>
              <w:t>月</w:t>
            </w:r>
            <w:r>
              <w:rPr>
                <w:rStyle w:val="61"/>
                <w:rFonts w:eastAsia="宋体"/>
                <w:lang w:val="en-US" w:eastAsia="zh-CN" w:bidi="ar"/>
              </w:rPr>
              <w:t>1</w:t>
            </w:r>
            <w:r>
              <w:rPr>
                <w:rStyle w:val="62"/>
                <w:lang w:val="en-US" w:eastAsia="zh-CN" w:bidi="ar"/>
              </w:rPr>
              <w:t>日起（须为上一项</w:t>
            </w:r>
            <w:r>
              <w:rPr>
                <w:rStyle w:val="61"/>
                <w:rFonts w:eastAsia="宋体"/>
                <w:lang w:val="en-US" w:eastAsia="zh-CN" w:bidi="ar"/>
              </w:rPr>
              <w:t>“</w:t>
            </w:r>
            <w:r>
              <w:rPr>
                <w:rStyle w:val="62"/>
                <w:lang w:val="en-US" w:eastAsia="zh-CN" w:bidi="ar"/>
              </w:rPr>
              <w:t>项目经验</w:t>
            </w:r>
            <w:r>
              <w:rPr>
                <w:rStyle w:val="61"/>
                <w:rFonts w:eastAsia="宋体"/>
                <w:lang w:val="en-US" w:eastAsia="zh-CN" w:bidi="ar"/>
              </w:rPr>
              <w:t>”</w:t>
            </w:r>
            <w:r>
              <w:rPr>
                <w:rStyle w:val="62"/>
                <w:lang w:val="en-US" w:eastAsia="zh-CN" w:bidi="ar"/>
              </w:rPr>
              <w:t>中有效计分的业绩）获得项目客户（合同甲方或甲方项目主管部门盖章）评价为正面评价（优秀、优良、良好、满意或相当于类似评价）。每提供一份得</w:t>
            </w:r>
            <w:r>
              <w:rPr>
                <w:rStyle w:val="61"/>
                <w:rFonts w:eastAsia="宋体"/>
                <w:lang w:val="en-US" w:eastAsia="zh-CN" w:bidi="ar"/>
              </w:rPr>
              <w:t>1</w:t>
            </w:r>
            <w:r>
              <w:rPr>
                <w:rStyle w:val="62"/>
                <w:lang w:val="en-US" w:eastAsia="zh-CN" w:bidi="ar"/>
              </w:rPr>
              <w:t>分，本项最高得</w:t>
            </w:r>
            <w:r>
              <w:rPr>
                <w:rStyle w:val="61"/>
                <w:rFonts w:eastAsia="宋体"/>
                <w:lang w:val="en-US" w:eastAsia="zh-CN" w:bidi="ar"/>
              </w:rPr>
              <w:t>5</w:t>
            </w:r>
            <w:r>
              <w:rPr>
                <w:rStyle w:val="62"/>
                <w:lang w:val="en-US" w:eastAsia="zh-CN" w:bidi="ar"/>
              </w:rPr>
              <w:t>分。</w:t>
            </w:r>
          </w:p>
          <w:p>
            <w:pPr>
              <w:keepNext w:val="0"/>
              <w:keepLines w:val="0"/>
              <w:widowControl/>
              <w:suppressLineNumbers w:val="0"/>
              <w:jc w:val="left"/>
              <w:textAlignment w:val="center"/>
              <w:rPr>
                <w:rFonts w:hint="eastAsia"/>
                <w:color w:val="auto"/>
                <w:highlight w:val="none"/>
              </w:rPr>
            </w:pPr>
            <w:r>
              <w:rPr>
                <w:rStyle w:val="62"/>
                <w:lang w:val="en-US" w:eastAsia="zh-CN" w:bidi="ar"/>
              </w:rPr>
              <w:t>注：提供合同甲方或合同甲方的主管部门盖章的评价文件复印件并加盖</w:t>
            </w:r>
            <w:r>
              <w:rPr>
                <w:rStyle w:val="62"/>
                <w:rFonts w:hint="eastAsia"/>
                <w:lang w:val="en-US" w:eastAsia="zh-CN" w:bidi="ar"/>
              </w:rPr>
              <w:t>投标人</w:t>
            </w:r>
            <w:r>
              <w:rPr>
                <w:rStyle w:val="62"/>
                <w:lang w:val="en-US" w:eastAsia="zh-CN" w:bidi="ar"/>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1111" w:type="dxa"/>
            <w:vMerge w:val="continue"/>
            <w:vAlign w:val="center"/>
          </w:tcPr>
          <w:p>
            <w:pPr>
              <w:rPr>
                <w:color w:val="auto"/>
                <w:highlight w:val="none"/>
              </w:rPr>
            </w:pPr>
          </w:p>
        </w:tc>
        <w:tc>
          <w:tcPr>
            <w:tcW w:w="1189" w:type="dxa"/>
            <w:vAlign w:val="center"/>
          </w:tcPr>
          <w:p>
            <w:pPr>
              <w:keepNext w:val="0"/>
              <w:keepLines w:val="0"/>
              <w:widowControl/>
              <w:suppressLineNumbers w:val="0"/>
              <w:jc w:val="center"/>
              <w:textAlignment w:val="center"/>
              <w:rPr>
                <w:rFonts w:ascii="宋体"/>
                <w:color w:val="auto"/>
                <w:szCs w:val="21"/>
                <w:highlight w:val="none"/>
              </w:rPr>
            </w:pPr>
            <w:r>
              <w:rPr>
                <w:rFonts w:hint="eastAsia" w:ascii="宋体" w:hAnsi="宋体" w:eastAsia="宋体" w:cs="宋体"/>
                <w:i w:val="0"/>
                <w:color w:val="000000"/>
                <w:kern w:val="0"/>
                <w:sz w:val="22"/>
                <w:szCs w:val="22"/>
                <w:u w:val="none"/>
                <w:lang w:val="en-US" w:eastAsia="zh-CN" w:bidi="ar"/>
              </w:rPr>
              <w:t>项目负责人</w:t>
            </w:r>
          </w:p>
        </w:tc>
        <w:tc>
          <w:tcPr>
            <w:tcW w:w="663" w:type="dxa"/>
            <w:vAlign w:val="center"/>
          </w:tcPr>
          <w:p>
            <w:pPr>
              <w:keepNext w:val="0"/>
              <w:keepLines w:val="0"/>
              <w:widowControl/>
              <w:suppressLineNumbers w:val="0"/>
              <w:jc w:val="center"/>
              <w:textAlignment w:val="center"/>
              <w:rPr>
                <w:rFonts w:hint="default" w:ascii="宋体" w:eastAsiaTheme="minorEastAsia"/>
                <w:color w:val="auto"/>
                <w:szCs w:val="21"/>
                <w:highlight w:val="none"/>
                <w:lang w:val="en-US" w:eastAsia="zh-CN"/>
              </w:rPr>
            </w:pPr>
            <w:r>
              <w:rPr>
                <w:rFonts w:hint="eastAsia" w:ascii="宋体" w:hAnsi="宋体" w:eastAsia="宋体" w:cs="宋体"/>
                <w:i w:val="0"/>
                <w:color w:val="000000"/>
                <w:kern w:val="0"/>
                <w:sz w:val="22"/>
                <w:szCs w:val="22"/>
                <w:u w:val="none"/>
                <w:lang w:val="en-US" w:eastAsia="zh-CN" w:bidi="ar"/>
              </w:rPr>
              <w:t>5</w:t>
            </w:r>
          </w:p>
        </w:tc>
        <w:tc>
          <w:tcPr>
            <w:tcW w:w="5428" w:type="dxa"/>
            <w:vAlign w:val="center"/>
          </w:tcPr>
          <w:p>
            <w:pPr>
              <w:keepNext w:val="0"/>
              <w:keepLines w:val="0"/>
              <w:widowControl/>
              <w:suppressLineNumbers w:val="0"/>
              <w:jc w:val="left"/>
              <w:textAlignment w:val="center"/>
              <w:rPr>
                <w:rFonts w:eastAsia="仿宋_GB2312"/>
                <w:color w:val="auto"/>
                <w:highlight w:val="none"/>
              </w:rPr>
            </w:pPr>
            <w:r>
              <w:rPr>
                <w:rFonts w:hint="eastAsia" w:ascii="宋体" w:hAnsi="宋体" w:eastAsia="宋体" w:cs="宋体"/>
                <w:i w:val="0"/>
                <w:color w:val="000000"/>
                <w:kern w:val="0"/>
                <w:sz w:val="22"/>
                <w:szCs w:val="22"/>
                <w:u w:val="none"/>
                <w:lang w:val="en-US" w:eastAsia="zh-CN" w:bidi="ar"/>
              </w:rPr>
              <w:t>1. 根据投标人拟投入本项目的负责人资质情况进行评审： ①拟委派的项目负责人具有环境影响评价工程师资格的得2.5分； ②拟委派的项目负责人具有环境类、海洋类、测绘类副高级（或以上）技术职称的得2.5分；拟委派的项目负责人具有环境类、海洋类、测绘类中级技术职称的得1分。 本小项最高分得5分。 注：响应文件中提供相应技术职称证书复印件或环境影响评价工程师资格证书复印件，并提供在开标前6个月内任意1个月为项目负责人购买的社会保险证明材料复印件，并加</w:t>
            </w:r>
            <w:r>
              <w:rPr>
                <w:rStyle w:val="62"/>
                <w:rFonts w:hint="eastAsia"/>
                <w:lang w:val="en-US" w:eastAsia="zh-CN" w:bidi="ar"/>
              </w:rPr>
              <w:t>投标人</w:t>
            </w:r>
            <w:r>
              <w:rPr>
                <w:rFonts w:hint="eastAsia" w:ascii="宋体" w:hAnsi="宋体" w:eastAsia="宋体" w:cs="宋体"/>
                <w:i w:val="0"/>
                <w:color w:val="000000"/>
                <w:kern w:val="0"/>
                <w:sz w:val="22"/>
                <w:szCs w:val="22"/>
                <w:u w:val="none"/>
                <w:lang w:val="en-US" w:eastAsia="zh-CN" w:bidi="ar"/>
              </w:rPr>
              <w:t xml:space="preserve">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11" w:type="dxa"/>
            <w:vMerge w:val="continue"/>
            <w:vAlign w:val="center"/>
          </w:tcPr>
          <w:p>
            <w:pPr>
              <w:rPr>
                <w:color w:val="auto"/>
                <w:highlight w:val="none"/>
              </w:rPr>
            </w:pPr>
          </w:p>
        </w:tc>
        <w:tc>
          <w:tcPr>
            <w:tcW w:w="1189" w:type="dxa"/>
            <w:vAlign w:val="center"/>
          </w:tcPr>
          <w:p>
            <w:pPr>
              <w:keepNext w:val="0"/>
              <w:keepLines w:val="0"/>
              <w:widowControl/>
              <w:suppressLineNumbers w:val="0"/>
              <w:jc w:val="center"/>
              <w:textAlignment w:val="center"/>
              <w:rPr>
                <w:rFonts w:hint="eastAsia" w:ascii="宋体" w:hAnsi="宋体" w:eastAsiaTheme="minorEastAsia"/>
                <w:color w:val="auto"/>
                <w:szCs w:val="21"/>
                <w:highlight w:val="none"/>
                <w:lang w:eastAsia="zh-CN"/>
              </w:rPr>
            </w:pPr>
            <w:r>
              <w:rPr>
                <w:rFonts w:hint="eastAsia" w:ascii="宋体" w:hAnsi="宋体" w:eastAsia="宋体" w:cs="宋体"/>
                <w:i w:val="0"/>
                <w:color w:val="000000"/>
                <w:kern w:val="0"/>
                <w:sz w:val="22"/>
                <w:szCs w:val="22"/>
                <w:u w:val="none"/>
                <w:lang w:val="en-US" w:eastAsia="zh-CN" w:bidi="ar"/>
              </w:rPr>
              <w:t>团队成员（项目负责人除外）</w:t>
            </w:r>
          </w:p>
        </w:tc>
        <w:tc>
          <w:tcPr>
            <w:tcW w:w="663" w:type="dxa"/>
            <w:vAlign w:val="center"/>
          </w:tcPr>
          <w:p>
            <w:pPr>
              <w:keepNext w:val="0"/>
              <w:keepLines w:val="0"/>
              <w:widowControl/>
              <w:suppressLineNumbers w:val="0"/>
              <w:jc w:val="center"/>
              <w:textAlignment w:val="center"/>
              <w:rPr>
                <w:rFonts w:hint="default" w:ascii="宋体" w:eastAsiaTheme="minorEastAsia"/>
                <w:color w:val="auto"/>
                <w:szCs w:val="21"/>
                <w:highlight w:val="none"/>
                <w:lang w:val="en-US" w:eastAsia="zh-CN"/>
              </w:rPr>
            </w:pPr>
            <w:r>
              <w:rPr>
                <w:rFonts w:hint="eastAsia" w:ascii="宋体" w:hAnsi="宋体" w:eastAsia="宋体" w:cs="宋体"/>
                <w:i w:val="0"/>
                <w:color w:val="000000"/>
                <w:kern w:val="0"/>
                <w:sz w:val="22"/>
                <w:szCs w:val="22"/>
                <w:u w:val="none"/>
                <w:lang w:val="en-US" w:eastAsia="zh-CN" w:bidi="ar"/>
              </w:rPr>
              <w:t>8</w:t>
            </w:r>
          </w:p>
        </w:tc>
        <w:tc>
          <w:tcPr>
            <w:tcW w:w="5428" w:type="dxa"/>
            <w:vAlign w:val="center"/>
          </w:tcPr>
          <w:p>
            <w:pPr>
              <w:keepNext w:val="0"/>
              <w:keepLines w:val="0"/>
              <w:widowControl/>
              <w:suppressLineNumbers w:val="0"/>
              <w:jc w:val="left"/>
              <w:textAlignment w:val="center"/>
              <w:rPr>
                <w:rFonts w:ascii="宋体"/>
                <w:b/>
                <w:color w:val="auto"/>
                <w:szCs w:val="21"/>
                <w:highlight w:val="none"/>
                <w:u w:val="single"/>
              </w:rPr>
            </w:pPr>
            <w:r>
              <w:rPr>
                <w:rFonts w:hint="eastAsia" w:ascii="宋体" w:hAnsi="宋体" w:eastAsia="宋体" w:cs="宋体"/>
                <w:i w:val="0"/>
                <w:color w:val="000000"/>
                <w:kern w:val="0"/>
                <w:sz w:val="21"/>
                <w:szCs w:val="21"/>
                <w:u w:val="none"/>
                <w:lang w:val="en-US" w:eastAsia="zh-CN" w:bidi="ar"/>
              </w:rPr>
              <w:t>根据投标人拟投入本项目主要技术人员（不含项目负责人，技术人员数量不限）资质情况进行评审：</w:t>
            </w:r>
            <w:r>
              <w:rPr>
                <w:rStyle w:val="61"/>
                <w:rFonts w:eastAsia="宋体"/>
                <w:lang w:val="en-US" w:eastAsia="zh-CN" w:bidi="ar"/>
              </w:rPr>
              <w:t>1.</w:t>
            </w:r>
            <w:r>
              <w:rPr>
                <w:rStyle w:val="62"/>
                <w:lang w:val="en-US" w:eastAsia="zh-CN" w:bidi="ar"/>
              </w:rPr>
              <w:t xml:space="preserve">每具备一名环境类、海洋类、测绘类副高级（或以上）技术职称的得2分，不具备不得分。 </w:t>
            </w:r>
            <w:r>
              <w:rPr>
                <w:rStyle w:val="61"/>
                <w:rFonts w:eastAsia="宋体"/>
                <w:lang w:val="en-US" w:eastAsia="zh-CN" w:bidi="ar"/>
              </w:rPr>
              <w:t>2.</w:t>
            </w:r>
            <w:r>
              <w:rPr>
                <w:rStyle w:val="62"/>
                <w:lang w:val="en-US" w:eastAsia="zh-CN" w:bidi="ar"/>
              </w:rPr>
              <w:t xml:space="preserve">每具备一名环境类、海洋类、测绘类中级（或以上）工程师的得1.5分，不具备不得分。 </w:t>
            </w:r>
            <w:r>
              <w:rPr>
                <w:rStyle w:val="61"/>
                <w:rFonts w:eastAsia="宋体"/>
                <w:lang w:val="en-US" w:eastAsia="zh-CN" w:bidi="ar"/>
              </w:rPr>
              <w:t xml:space="preserve">3. </w:t>
            </w:r>
            <w:r>
              <w:rPr>
                <w:rStyle w:val="62"/>
                <w:lang w:val="en-US" w:eastAsia="zh-CN" w:bidi="ar"/>
              </w:rPr>
              <w:t>每具备一名环境类、海洋类、测绘类助理工程师的得</w:t>
            </w:r>
            <w:r>
              <w:rPr>
                <w:rStyle w:val="61"/>
                <w:rFonts w:eastAsia="宋体"/>
                <w:lang w:val="en-US" w:eastAsia="zh-CN" w:bidi="ar"/>
              </w:rPr>
              <w:t>1</w:t>
            </w:r>
            <w:r>
              <w:rPr>
                <w:rStyle w:val="62"/>
                <w:lang w:val="en-US" w:eastAsia="zh-CN" w:bidi="ar"/>
              </w:rPr>
              <w:t>分，不具备不得分。本小项最高得8分。 注：同一人同时具有多个证书的，只按分值最高一项证书计分，不重复计分。 提供相应职业资格证书、技术职称证书等证明材料复印件，以及在投标单位投标截止日之前</w:t>
            </w:r>
            <w:r>
              <w:rPr>
                <w:rStyle w:val="61"/>
                <w:rFonts w:eastAsia="宋体"/>
                <w:lang w:val="en-US" w:eastAsia="zh-CN" w:bidi="ar"/>
              </w:rPr>
              <w:t>6</w:t>
            </w:r>
            <w:r>
              <w:rPr>
                <w:rStyle w:val="62"/>
                <w:lang w:val="en-US" w:eastAsia="zh-CN" w:bidi="ar"/>
              </w:rPr>
              <w:t>个月以内任意</w:t>
            </w:r>
            <w:r>
              <w:rPr>
                <w:rStyle w:val="61"/>
                <w:rFonts w:eastAsia="宋体"/>
                <w:lang w:val="en-US" w:eastAsia="zh-CN" w:bidi="ar"/>
              </w:rPr>
              <w:t>1</w:t>
            </w:r>
            <w:r>
              <w:rPr>
                <w:rStyle w:val="62"/>
                <w:lang w:val="en-US" w:eastAsia="zh-CN" w:bidi="ar"/>
              </w:rPr>
              <w:t>个月的社会保险缴纳证明材料。以上证明文件均提供复印件加盖</w:t>
            </w:r>
            <w:r>
              <w:rPr>
                <w:rStyle w:val="62"/>
                <w:rFonts w:hint="eastAsia"/>
                <w:lang w:val="en-US" w:eastAsia="zh-CN" w:bidi="ar"/>
              </w:rPr>
              <w:t>投标单位</w:t>
            </w:r>
            <w:r>
              <w:rPr>
                <w:rStyle w:val="62"/>
                <w:lang w:val="en-US" w:eastAsia="zh-CN" w:bidi="ar"/>
              </w:rPr>
              <w:t>公章。未按要求提供有效证明材料或提供不清晰导致评委无法识别的不计得分。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111" w:type="dxa"/>
            <w:vMerge w:val="continue"/>
            <w:vAlign w:val="center"/>
          </w:tcPr>
          <w:p>
            <w:pPr>
              <w:rPr>
                <w:color w:val="auto"/>
                <w:highlight w:val="none"/>
              </w:rPr>
            </w:pPr>
          </w:p>
        </w:tc>
        <w:tc>
          <w:tcPr>
            <w:tcW w:w="1189" w:type="dxa"/>
            <w:vAlign w:val="center"/>
          </w:tcPr>
          <w:p>
            <w:pPr>
              <w:keepNext w:val="0"/>
              <w:keepLines w:val="0"/>
              <w:widowControl/>
              <w:suppressLineNumbers w:val="0"/>
              <w:jc w:val="center"/>
              <w:textAlignment w:val="center"/>
              <w:rPr>
                <w:rFonts w:ascii="宋体" w:hAnsi="宋体"/>
                <w:color w:val="auto"/>
                <w:szCs w:val="21"/>
                <w:highlight w:val="none"/>
              </w:rPr>
            </w:pPr>
            <w:r>
              <w:rPr>
                <w:rFonts w:hint="eastAsia" w:ascii="宋体" w:hAnsi="宋体" w:eastAsia="宋体" w:cs="宋体"/>
                <w:i w:val="0"/>
                <w:color w:val="000000"/>
                <w:kern w:val="0"/>
                <w:sz w:val="22"/>
                <w:szCs w:val="22"/>
                <w:u w:val="none"/>
                <w:lang w:val="en-US" w:eastAsia="zh-CN" w:bidi="ar"/>
              </w:rPr>
              <w:t>企业实力</w:t>
            </w:r>
          </w:p>
        </w:tc>
        <w:tc>
          <w:tcPr>
            <w:tcW w:w="663" w:type="dxa"/>
            <w:vAlign w:val="center"/>
          </w:tcPr>
          <w:p>
            <w:pPr>
              <w:keepNext w:val="0"/>
              <w:keepLines w:val="0"/>
              <w:widowControl/>
              <w:suppressLineNumbers w:val="0"/>
              <w:jc w:val="center"/>
              <w:textAlignment w:val="center"/>
              <w:rPr>
                <w:rFonts w:hint="eastAsia" w:ascii="宋体" w:eastAsiaTheme="minorEastAsia"/>
                <w:color w:val="auto"/>
                <w:szCs w:val="21"/>
                <w:highlight w:val="none"/>
                <w:lang w:eastAsia="zh-CN"/>
              </w:rPr>
            </w:pPr>
            <w:r>
              <w:rPr>
                <w:rFonts w:hint="eastAsia" w:ascii="宋体" w:hAnsi="宋体" w:eastAsia="宋体" w:cs="宋体"/>
                <w:i w:val="0"/>
                <w:color w:val="000000"/>
                <w:kern w:val="0"/>
                <w:sz w:val="22"/>
                <w:szCs w:val="22"/>
                <w:u w:val="none"/>
                <w:lang w:val="en-US" w:eastAsia="zh-CN" w:bidi="ar"/>
              </w:rPr>
              <w:t>2</w:t>
            </w:r>
          </w:p>
        </w:tc>
        <w:tc>
          <w:tcPr>
            <w:tcW w:w="5428" w:type="dxa"/>
            <w:vAlign w:val="center"/>
          </w:tcPr>
          <w:p>
            <w:pPr>
              <w:keepNext w:val="0"/>
              <w:keepLines w:val="0"/>
              <w:widowControl/>
              <w:suppressLineNumbers w:val="0"/>
              <w:jc w:val="left"/>
              <w:textAlignment w:val="center"/>
              <w:rPr>
                <w:rFonts w:ascii="宋体" w:hAnsi="宋体" w:eastAsia="宋体" w:cs="宋体"/>
                <w:color w:val="auto"/>
                <w:szCs w:val="21"/>
                <w:highlight w:val="none"/>
                <w:lang w:bidi="ar"/>
              </w:rPr>
            </w:pPr>
            <w:r>
              <w:rPr>
                <w:rFonts w:hint="eastAsia" w:ascii="宋体" w:hAnsi="宋体" w:eastAsia="宋体" w:cs="宋体"/>
                <w:i w:val="0"/>
                <w:color w:val="000000"/>
                <w:kern w:val="0"/>
                <w:sz w:val="22"/>
                <w:szCs w:val="22"/>
                <w:u w:val="none"/>
                <w:lang w:val="en-US" w:eastAsia="zh-CN" w:bidi="ar"/>
              </w:rPr>
              <w:t>具有ISO的国际质量管理体系认证得2分，最高得2分。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注：须提供认证证书复印件加盖公章，并同时提供网上查询打印页（网址以http://cx.cnca.cn/网站公布为准）,如网上无法查询或与公开信息不一致的，投标人必须提供发证机构出具的证明函，不提供不得分，已失效或撤销或暂停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111" w:type="dxa"/>
            <w:vMerge w:val="restart"/>
            <w:vAlign w:val="center"/>
          </w:tcPr>
          <w:p>
            <w:pPr>
              <w:rPr>
                <w:rFonts w:hint="eastAsia" w:eastAsiaTheme="minorEastAsia"/>
                <w:color w:val="auto"/>
                <w:highlight w:val="none"/>
                <w:lang w:eastAsia="zh-CN"/>
              </w:rPr>
            </w:pPr>
            <w:r>
              <w:rPr>
                <w:rFonts w:hint="eastAsia"/>
                <w:color w:val="auto"/>
                <w:highlight w:val="none"/>
                <w:lang w:eastAsia="zh-CN"/>
              </w:rPr>
              <w:t>技术部分（</w:t>
            </w:r>
            <w:r>
              <w:rPr>
                <w:rFonts w:hint="eastAsia"/>
                <w:color w:val="auto"/>
                <w:highlight w:val="none"/>
                <w:lang w:val="en-US" w:eastAsia="zh-CN"/>
              </w:rPr>
              <w:t>50分</w:t>
            </w:r>
            <w:r>
              <w:rPr>
                <w:rFonts w:hint="eastAsia"/>
                <w:color w:val="auto"/>
                <w:highlight w:val="none"/>
                <w:lang w:eastAsia="zh-CN"/>
              </w:rPr>
              <w:t>）</w:t>
            </w:r>
          </w:p>
        </w:tc>
        <w:tc>
          <w:tcPr>
            <w:tcW w:w="1189" w:type="dxa"/>
            <w:vAlign w:val="center"/>
          </w:tcPr>
          <w:p>
            <w:pPr>
              <w:keepNext w:val="0"/>
              <w:keepLines w:val="0"/>
              <w:widowControl/>
              <w:suppressLineNumbers w:val="0"/>
              <w:jc w:val="center"/>
              <w:textAlignment w:val="center"/>
              <w:rPr>
                <w:rFonts w:hint="eastAsia" w:ascii="宋体" w:hAnsiTheme="minorHAnsi" w:eastAsiaTheme="minorEastAsia" w:cstheme="minorBidi"/>
                <w:bCs/>
                <w:color w:val="auto"/>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项目理解</w:t>
            </w:r>
          </w:p>
        </w:tc>
        <w:tc>
          <w:tcPr>
            <w:tcW w:w="663" w:type="dxa"/>
            <w:vAlign w:val="center"/>
          </w:tcPr>
          <w:p>
            <w:pPr>
              <w:keepNext w:val="0"/>
              <w:keepLines w:val="0"/>
              <w:widowControl/>
              <w:suppressLineNumbers w:val="0"/>
              <w:jc w:val="center"/>
              <w:textAlignment w:val="center"/>
              <w:rPr>
                <w:rFonts w:hint="default" w:ascii="宋体" w:eastAsia="宋体" w:hAnsiTheme="minorHAnsi" w:cstheme="minorBidi"/>
                <w:color w:val="auto"/>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5428" w:type="dxa"/>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针对本项目对项目概况、重点难点的理解程度情况进行比较和评价：</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Style w:val="14"/>
                <w:rFonts w:hint="eastAsia" w:ascii="宋体" w:hAnsi="宋体" w:eastAsia="宋体" w:cs="宋体"/>
                <w:color w:val="000000"/>
                <w:kern w:val="0"/>
                <w:lang w:val="en-US" w:eastAsia="zh-CN" w:bidi="ar"/>
              </w:rPr>
              <w:t>1.</w:t>
            </w:r>
            <w:r>
              <w:rPr>
                <w:rFonts w:hint="eastAsia" w:ascii="宋体" w:hAnsi="宋体" w:eastAsia="宋体" w:cs="宋体"/>
                <w:i w:val="0"/>
                <w:color w:val="000000"/>
                <w:kern w:val="0"/>
                <w:sz w:val="21"/>
                <w:szCs w:val="21"/>
                <w:u w:val="none"/>
                <w:lang w:val="en-US" w:eastAsia="zh-CN" w:bidi="ar"/>
              </w:rPr>
              <w:t>熟悉项目各项工作内容和要求，对该项目重点难点把握准确，分析深刻透彻，得</w:t>
            </w:r>
            <w:r>
              <w:rPr>
                <w:rStyle w:val="14"/>
                <w:rFonts w:hint="eastAsia" w:ascii="宋体" w:hAnsi="宋体" w:eastAsia="宋体" w:cs="宋体"/>
                <w:color w:val="000000"/>
                <w:kern w:val="0"/>
                <w:lang w:val="en-US" w:eastAsia="zh-CN" w:bidi="ar"/>
              </w:rPr>
              <w:t>10</w:t>
            </w:r>
            <w:r>
              <w:rPr>
                <w:rFonts w:hint="eastAsia"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Style w:val="14"/>
                <w:rFonts w:hint="eastAsia" w:ascii="宋体" w:hAnsi="宋体" w:eastAsia="宋体" w:cs="宋体"/>
                <w:color w:val="000000"/>
                <w:kern w:val="0"/>
                <w:lang w:val="en-US" w:eastAsia="zh-CN" w:bidi="ar"/>
              </w:rPr>
              <w:t>2.</w:t>
            </w:r>
            <w:r>
              <w:rPr>
                <w:rFonts w:hint="eastAsia" w:ascii="宋体" w:hAnsi="宋体" w:eastAsia="宋体" w:cs="宋体"/>
                <w:i w:val="0"/>
                <w:color w:val="000000"/>
                <w:kern w:val="0"/>
                <w:sz w:val="21"/>
                <w:szCs w:val="21"/>
                <w:u w:val="none"/>
                <w:lang w:val="en-US" w:eastAsia="zh-CN" w:bidi="ar"/>
              </w:rPr>
              <w:t>较为熟悉项目各项工作内容和要求，对该项目重点难点把握较准确，分析较深刻透彻，得</w:t>
            </w:r>
            <w:r>
              <w:rPr>
                <w:rStyle w:val="14"/>
                <w:rFonts w:hint="eastAsia" w:ascii="宋体" w:hAnsi="宋体" w:eastAsia="宋体" w:cs="宋体"/>
                <w:color w:val="000000"/>
                <w:kern w:val="0"/>
                <w:lang w:val="en-US" w:eastAsia="zh-CN" w:bidi="ar"/>
              </w:rPr>
              <w:t>7</w:t>
            </w:r>
            <w:r>
              <w:rPr>
                <w:rFonts w:hint="eastAsia"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Style w:val="14"/>
                <w:rFonts w:hint="eastAsia" w:ascii="宋体" w:hAnsi="宋体" w:eastAsia="宋体" w:cs="宋体"/>
                <w:color w:val="000000"/>
                <w:kern w:val="0"/>
                <w:lang w:val="en-US" w:eastAsia="zh-CN" w:bidi="ar"/>
              </w:rPr>
              <w:t>3.</w:t>
            </w:r>
            <w:r>
              <w:rPr>
                <w:rFonts w:hint="eastAsia" w:ascii="宋体" w:hAnsi="宋体" w:eastAsia="宋体" w:cs="宋体"/>
                <w:i w:val="0"/>
                <w:color w:val="000000"/>
                <w:kern w:val="0"/>
                <w:sz w:val="21"/>
                <w:szCs w:val="21"/>
                <w:u w:val="none"/>
                <w:lang w:val="en-US" w:eastAsia="zh-CN" w:bidi="ar"/>
              </w:rPr>
              <w:t>对项目各项工作内容和要求熟悉，对该项目重点难点把握分析准确，但不全面，内容稍有欠缺，得</w:t>
            </w:r>
            <w:r>
              <w:rPr>
                <w:rStyle w:val="14"/>
                <w:rFonts w:hint="eastAsia" w:ascii="宋体" w:hAnsi="宋体" w:eastAsia="宋体" w:cs="宋体"/>
                <w:color w:val="000000"/>
                <w:kern w:val="0"/>
                <w:lang w:val="en-US" w:eastAsia="zh-CN" w:bidi="ar"/>
              </w:rPr>
              <w:t>4</w:t>
            </w:r>
            <w:r>
              <w:rPr>
                <w:rFonts w:hint="eastAsia"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Style w:val="14"/>
                <w:rFonts w:hint="eastAsia" w:ascii="宋体" w:hAnsi="宋体" w:eastAsia="宋体" w:cs="宋体"/>
                <w:color w:val="000000"/>
                <w:kern w:val="0"/>
                <w:lang w:val="en-US" w:eastAsia="zh-CN" w:bidi="ar"/>
              </w:rPr>
              <w:t>4.</w:t>
            </w:r>
            <w:r>
              <w:rPr>
                <w:rFonts w:hint="eastAsia" w:ascii="宋体" w:hAnsi="宋体" w:eastAsia="宋体" w:cs="宋体"/>
                <w:i w:val="0"/>
                <w:color w:val="000000"/>
                <w:kern w:val="0"/>
                <w:sz w:val="21"/>
                <w:szCs w:val="21"/>
                <w:u w:val="none"/>
                <w:lang w:val="en-US" w:eastAsia="zh-CN" w:bidi="ar"/>
              </w:rPr>
              <w:t>对本项目概况、重点难点的理解只是简单描述的，得</w:t>
            </w:r>
            <w:r>
              <w:rPr>
                <w:rStyle w:val="14"/>
                <w:rFonts w:hint="eastAsia" w:ascii="宋体" w:hAnsi="宋体" w:eastAsia="宋体" w:cs="宋体"/>
                <w:color w:val="000000"/>
                <w:kern w:val="0"/>
                <w:lang w:val="en-US" w:eastAsia="zh-CN" w:bidi="ar"/>
              </w:rPr>
              <w:t>1</w:t>
            </w:r>
            <w:r>
              <w:rPr>
                <w:rFonts w:hint="eastAsia"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top"/>
              <w:rPr>
                <w:rFonts w:hint="eastAsia" w:ascii="宋体" w:hAnsiTheme="minorHAnsi" w:eastAsiaTheme="minorEastAsia" w:cstheme="minorBidi"/>
                <w:color w:val="auto"/>
                <w:kern w:val="2"/>
                <w:sz w:val="21"/>
                <w:szCs w:val="21"/>
                <w:highlight w:val="none"/>
                <w:lang w:val="en-US" w:eastAsia="zh-CN" w:bidi="ar-SA"/>
              </w:rPr>
            </w:pPr>
            <w:r>
              <w:rPr>
                <w:rStyle w:val="14"/>
                <w:rFonts w:hint="eastAsia" w:ascii="宋体" w:hAnsi="宋体" w:eastAsia="宋体" w:cs="宋体"/>
                <w:color w:val="000000"/>
                <w:kern w:val="0"/>
                <w:lang w:val="en-US" w:eastAsia="zh-CN" w:bidi="ar"/>
              </w:rPr>
              <w:t>5.</w:t>
            </w:r>
            <w:r>
              <w:rPr>
                <w:rFonts w:hint="eastAsia" w:ascii="宋体" w:hAnsi="宋体" w:eastAsia="宋体" w:cs="宋体"/>
                <w:i w:val="0"/>
                <w:color w:val="000000"/>
                <w:kern w:val="0"/>
                <w:sz w:val="21"/>
                <w:szCs w:val="21"/>
                <w:u w:val="none"/>
                <w:lang w:val="en-US" w:eastAsia="zh-CN"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1111" w:type="dxa"/>
            <w:vMerge w:val="continue"/>
            <w:vAlign w:val="center"/>
          </w:tcPr>
          <w:p>
            <w:pPr>
              <w:rPr>
                <w:rFonts w:hint="eastAsia"/>
                <w:color w:val="auto"/>
                <w:highlight w:val="none"/>
                <w:lang w:eastAsia="zh-CN"/>
              </w:rPr>
            </w:pPr>
          </w:p>
        </w:tc>
        <w:tc>
          <w:tcPr>
            <w:tcW w:w="1189" w:type="dxa"/>
            <w:vAlign w:val="center"/>
          </w:tcPr>
          <w:p>
            <w:pPr>
              <w:keepNext w:val="0"/>
              <w:keepLines w:val="0"/>
              <w:widowControl/>
              <w:suppressLineNumbers w:val="0"/>
              <w:jc w:val="center"/>
              <w:textAlignment w:val="center"/>
              <w:rPr>
                <w:rFonts w:hint="default" w:ascii="宋体" w:hAnsi="宋体" w:cs="宋体" w:eastAsiaTheme="minorEastAsia"/>
                <w:color w:val="auto"/>
                <w:szCs w:val="21"/>
                <w:highlight w:val="none"/>
                <w:lang w:val="en-US" w:eastAsia="zh-CN"/>
              </w:rPr>
            </w:pPr>
            <w:r>
              <w:rPr>
                <w:rFonts w:hint="eastAsia" w:ascii="宋体" w:hAnsi="宋体" w:eastAsia="宋体" w:cs="宋体"/>
                <w:i w:val="0"/>
                <w:color w:val="000000"/>
                <w:kern w:val="0"/>
                <w:sz w:val="21"/>
                <w:szCs w:val="21"/>
                <w:u w:val="none"/>
                <w:lang w:val="en-US" w:eastAsia="zh-CN" w:bidi="ar"/>
              </w:rPr>
              <w:t>技术服务方案</w:t>
            </w:r>
            <w:r>
              <w:rPr>
                <w:rStyle w:val="63"/>
                <w:rFonts w:eastAsia="宋体"/>
                <w:lang w:val="en-US" w:eastAsia="zh-CN" w:bidi="ar"/>
              </w:rPr>
              <w:t xml:space="preserve"> </w:t>
            </w:r>
          </w:p>
        </w:tc>
        <w:tc>
          <w:tcPr>
            <w:tcW w:w="663" w:type="dxa"/>
            <w:vAlign w:val="center"/>
          </w:tcPr>
          <w:p>
            <w:pPr>
              <w:keepNext w:val="0"/>
              <w:keepLines w:val="0"/>
              <w:widowControl/>
              <w:suppressLineNumbers w:val="0"/>
              <w:jc w:val="center"/>
              <w:textAlignment w:val="center"/>
              <w:rPr>
                <w:rFonts w:hint="default" w:ascii="宋体"/>
                <w:bCs/>
                <w:color w:val="auto"/>
                <w:szCs w:val="21"/>
                <w:highlight w:val="none"/>
                <w:lang w:val="en-US" w:eastAsia="zh-CN"/>
              </w:rPr>
            </w:pPr>
            <w:r>
              <w:rPr>
                <w:rFonts w:hint="eastAsia" w:ascii="宋体" w:hAnsi="宋体" w:eastAsia="宋体" w:cs="宋体"/>
                <w:i w:val="0"/>
                <w:color w:val="000000"/>
                <w:kern w:val="0"/>
                <w:sz w:val="21"/>
                <w:szCs w:val="21"/>
                <w:u w:val="none"/>
                <w:lang w:val="en-US" w:eastAsia="zh-CN" w:bidi="ar"/>
              </w:rPr>
              <w:t>15</w:t>
            </w:r>
          </w:p>
        </w:tc>
        <w:tc>
          <w:tcPr>
            <w:tcW w:w="5428" w:type="dxa"/>
            <w:vAlign w:val="top"/>
          </w:tcPr>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针对本项目的项目特点、项目内容等，提供详细的针对本项目需求的服务技术方案进行比较和评价（包含但不限于</w:t>
            </w:r>
            <w:r>
              <w:rPr>
                <w:rStyle w:val="14"/>
                <w:rFonts w:hint="eastAsia" w:ascii="宋体" w:hAnsi="宋体" w:eastAsia="宋体" w:cs="宋体"/>
                <w:color w:val="000000"/>
                <w:kern w:val="0"/>
                <w:lang w:val="en-US" w:eastAsia="zh-CN" w:bidi="ar"/>
              </w:rPr>
              <w:t>①</w:t>
            </w:r>
            <w:r>
              <w:rPr>
                <w:rFonts w:hint="eastAsia" w:ascii="宋体" w:hAnsi="宋体" w:eastAsia="宋体" w:cs="宋体"/>
                <w:i w:val="0"/>
                <w:color w:val="000000"/>
                <w:kern w:val="0"/>
                <w:sz w:val="21"/>
                <w:szCs w:val="21"/>
                <w:u w:val="none"/>
                <w:lang w:val="en-US" w:eastAsia="zh-CN" w:bidi="ar"/>
              </w:rPr>
              <w:t>工作思路和方法；</w:t>
            </w:r>
            <w:r>
              <w:rPr>
                <w:rStyle w:val="14"/>
                <w:rFonts w:hint="eastAsia" w:ascii="宋体" w:hAnsi="宋体" w:eastAsia="宋体" w:cs="宋体"/>
                <w:color w:val="000000"/>
                <w:kern w:val="0"/>
                <w:lang w:val="en-US" w:eastAsia="zh-CN" w:bidi="ar"/>
              </w:rPr>
              <w:t>②</w:t>
            </w:r>
            <w:r>
              <w:rPr>
                <w:rFonts w:hint="eastAsia" w:ascii="宋体" w:hAnsi="宋体" w:eastAsia="宋体" w:cs="宋体"/>
                <w:i w:val="0"/>
                <w:color w:val="000000"/>
                <w:kern w:val="0"/>
                <w:sz w:val="21"/>
                <w:szCs w:val="21"/>
                <w:u w:val="none"/>
                <w:lang w:val="en-US" w:eastAsia="zh-CN" w:bidi="ar"/>
              </w:rPr>
              <w:t>技术服务方案；</w:t>
            </w:r>
            <w:r>
              <w:rPr>
                <w:rStyle w:val="14"/>
                <w:rFonts w:hint="eastAsia" w:ascii="宋体" w:hAnsi="宋体" w:eastAsia="宋体" w:cs="宋体"/>
                <w:color w:val="000000"/>
                <w:kern w:val="0"/>
                <w:lang w:val="en-US" w:eastAsia="zh-CN" w:bidi="ar"/>
              </w:rPr>
              <w:t>③</w:t>
            </w:r>
            <w:r>
              <w:rPr>
                <w:rFonts w:hint="eastAsia" w:ascii="宋体" w:hAnsi="宋体" w:eastAsia="宋体" w:cs="宋体"/>
                <w:i w:val="0"/>
                <w:color w:val="000000"/>
                <w:kern w:val="0"/>
                <w:sz w:val="21"/>
                <w:szCs w:val="21"/>
                <w:u w:val="none"/>
                <w:lang w:val="en-US" w:eastAsia="zh-CN" w:bidi="ar"/>
              </w:rPr>
              <w:t>保障措施）：</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Style w:val="14"/>
                <w:rFonts w:hint="eastAsia" w:ascii="宋体" w:hAnsi="宋体" w:eastAsia="宋体" w:cs="宋体"/>
                <w:color w:val="000000"/>
                <w:kern w:val="0"/>
                <w:lang w:val="en-US" w:eastAsia="zh-CN" w:bidi="ar"/>
              </w:rPr>
              <w:t>1.</w:t>
            </w:r>
            <w:r>
              <w:rPr>
                <w:rFonts w:hint="eastAsia" w:ascii="宋体" w:hAnsi="宋体" w:eastAsia="宋体" w:cs="宋体"/>
                <w:i w:val="0"/>
                <w:color w:val="000000"/>
                <w:kern w:val="0"/>
                <w:sz w:val="21"/>
                <w:szCs w:val="21"/>
                <w:u w:val="none"/>
                <w:lang w:val="en-US" w:eastAsia="zh-CN" w:bidi="ar"/>
              </w:rPr>
              <w:t>涵盖上述所有内容且方案内容全面具体、具有针对性，切实可行的，得</w:t>
            </w:r>
            <w:r>
              <w:rPr>
                <w:rStyle w:val="14"/>
                <w:rFonts w:hint="eastAsia" w:ascii="宋体" w:hAnsi="宋体" w:eastAsia="宋体" w:cs="宋体"/>
                <w:color w:val="000000"/>
                <w:kern w:val="0"/>
                <w:lang w:val="en-US" w:eastAsia="zh-CN" w:bidi="ar"/>
              </w:rPr>
              <w:t>15</w:t>
            </w:r>
            <w:r>
              <w:rPr>
                <w:rFonts w:hint="eastAsia"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Style w:val="14"/>
                <w:rFonts w:hint="eastAsia" w:ascii="宋体" w:hAnsi="宋体" w:eastAsia="宋体" w:cs="宋体"/>
                <w:color w:val="000000"/>
                <w:kern w:val="0"/>
                <w:lang w:val="en-US" w:eastAsia="zh-CN" w:bidi="ar"/>
              </w:rPr>
              <w:t>2.</w:t>
            </w:r>
            <w:r>
              <w:rPr>
                <w:rFonts w:hint="eastAsia" w:ascii="宋体" w:hAnsi="宋体" w:eastAsia="宋体" w:cs="宋体"/>
                <w:i w:val="0"/>
                <w:color w:val="000000"/>
                <w:kern w:val="0"/>
                <w:sz w:val="21"/>
                <w:szCs w:val="21"/>
                <w:u w:val="none"/>
                <w:lang w:val="en-US" w:eastAsia="zh-CN" w:bidi="ar"/>
              </w:rPr>
              <w:t>涵盖上述所有内容且方案内容全面但不具体的，具有一定的可执行性的，得</w:t>
            </w:r>
            <w:r>
              <w:rPr>
                <w:rStyle w:val="14"/>
                <w:rFonts w:hint="eastAsia" w:ascii="宋体" w:hAnsi="宋体" w:eastAsia="宋体" w:cs="宋体"/>
                <w:color w:val="000000"/>
                <w:kern w:val="0"/>
                <w:lang w:val="en-US" w:eastAsia="zh-CN" w:bidi="ar"/>
              </w:rPr>
              <w:t>10</w:t>
            </w:r>
            <w:r>
              <w:rPr>
                <w:rFonts w:hint="eastAsia"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Style w:val="14"/>
                <w:rFonts w:hint="eastAsia" w:ascii="宋体" w:hAnsi="宋体" w:eastAsia="宋体" w:cs="宋体"/>
                <w:color w:val="000000"/>
                <w:kern w:val="0"/>
                <w:lang w:val="en-US" w:eastAsia="zh-CN" w:bidi="ar"/>
              </w:rPr>
              <w:t>3.</w:t>
            </w:r>
            <w:r>
              <w:rPr>
                <w:rFonts w:hint="eastAsia" w:ascii="宋体" w:hAnsi="宋体" w:eastAsia="宋体" w:cs="宋体"/>
                <w:i w:val="0"/>
                <w:color w:val="000000"/>
                <w:kern w:val="0"/>
                <w:sz w:val="21"/>
                <w:szCs w:val="21"/>
                <w:u w:val="none"/>
                <w:lang w:val="en-US" w:eastAsia="zh-CN" w:bidi="ar"/>
              </w:rPr>
              <w:t>涵盖上述所有内容但方案内容全面但不清晰，得</w:t>
            </w:r>
            <w:r>
              <w:rPr>
                <w:rStyle w:val="14"/>
                <w:rFonts w:hint="eastAsia" w:ascii="宋体" w:hAnsi="宋体" w:eastAsia="宋体" w:cs="宋体"/>
                <w:color w:val="000000"/>
                <w:kern w:val="0"/>
                <w:lang w:val="en-US" w:eastAsia="zh-CN" w:bidi="ar"/>
              </w:rPr>
              <w:t>5</w:t>
            </w:r>
            <w:r>
              <w:rPr>
                <w:rFonts w:hint="eastAsia"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top"/>
              <w:rPr>
                <w:rFonts w:hint="eastAsia" w:ascii="宋体" w:hAnsi="宋体" w:eastAsia="宋体" w:cs="宋体"/>
                <w:i w:val="0"/>
                <w:color w:val="000000"/>
                <w:kern w:val="0"/>
                <w:sz w:val="21"/>
                <w:szCs w:val="21"/>
                <w:u w:val="none"/>
                <w:lang w:val="en-US" w:eastAsia="zh-CN" w:bidi="ar"/>
              </w:rPr>
            </w:pPr>
            <w:r>
              <w:rPr>
                <w:rStyle w:val="14"/>
                <w:rFonts w:hint="eastAsia" w:ascii="宋体" w:hAnsi="宋体" w:eastAsia="宋体" w:cs="宋体"/>
                <w:color w:val="000000"/>
                <w:kern w:val="0"/>
                <w:lang w:val="en-US" w:eastAsia="zh-CN" w:bidi="ar"/>
              </w:rPr>
              <w:t>4.</w:t>
            </w:r>
            <w:r>
              <w:rPr>
                <w:rFonts w:hint="eastAsia" w:ascii="宋体" w:hAnsi="宋体" w:eastAsia="宋体" w:cs="宋体"/>
                <w:i w:val="0"/>
                <w:color w:val="000000"/>
                <w:kern w:val="0"/>
                <w:sz w:val="21"/>
                <w:szCs w:val="21"/>
                <w:u w:val="none"/>
                <w:lang w:val="en-US" w:eastAsia="zh-CN" w:bidi="ar"/>
              </w:rPr>
              <w:t>涵盖上述所有内容但方案内容不全面的，得</w:t>
            </w:r>
            <w:r>
              <w:rPr>
                <w:rStyle w:val="14"/>
                <w:rFonts w:hint="eastAsia" w:ascii="宋体" w:hAnsi="宋体" w:eastAsia="宋体" w:cs="宋体"/>
                <w:color w:val="000000"/>
                <w:kern w:val="0"/>
                <w:lang w:val="en-US" w:eastAsia="zh-CN" w:bidi="ar"/>
              </w:rPr>
              <w:t>1</w:t>
            </w:r>
            <w:r>
              <w:rPr>
                <w:rFonts w:hint="eastAsia" w:ascii="宋体" w:hAnsi="宋体" w:eastAsia="宋体" w:cs="宋体"/>
                <w:i w:val="0"/>
                <w:color w:val="000000"/>
                <w:kern w:val="0"/>
                <w:sz w:val="21"/>
                <w:szCs w:val="21"/>
                <w:u w:val="none"/>
                <w:lang w:val="en-US" w:eastAsia="zh-CN" w:bidi="ar"/>
              </w:rPr>
              <w:t>分；</w:t>
            </w:r>
          </w:p>
          <w:p>
            <w:pPr>
              <w:keepNext w:val="0"/>
              <w:keepLines w:val="0"/>
              <w:widowControl/>
              <w:suppressLineNumbers w:val="0"/>
              <w:jc w:val="left"/>
              <w:textAlignment w:val="top"/>
              <w:rPr>
                <w:rFonts w:hint="default"/>
                <w:lang w:val="en-US" w:eastAsia="zh-CN"/>
              </w:rPr>
            </w:pPr>
            <w:r>
              <w:rPr>
                <w:rStyle w:val="14"/>
                <w:rFonts w:hint="eastAsia" w:ascii="宋体" w:hAnsi="宋体" w:eastAsia="宋体" w:cs="宋体"/>
                <w:color w:val="000000"/>
                <w:kern w:val="0"/>
                <w:lang w:val="en-US" w:eastAsia="zh-CN" w:bidi="ar"/>
              </w:rPr>
              <w:t>5.</w:t>
            </w:r>
            <w:r>
              <w:rPr>
                <w:rFonts w:hint="eastAsia" w:ascii="宋体" w:hAnsi="宋体" w:eastAsia="宋体" w:cs="宋体"/>
                <w:i w:val="0"/>
                <w:color w:val="000000"/>
                <w:kern w:val="0"/>
                <w:sz w:val="21"/>
                <w:szCs w:val="21"/>
                <w:u w:val="none"/>
                <w:lang w:val="en-US" w:eastAsia="zh-CN"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1111" w:type="dxa"/>
            <w:vMerge w:val="continue"/>
            <w:vAlign w:val="center"/>
          </w:tcPr>
          <w:p>
            <w:pPr>
              <w:rPr>
                <w:rFonts w:hint="eastAsia"/>
                <w:color w:val="auto"/>
                <w:highlight w:val="none"/>
                <w:lang w:eastAsia="zh-CN"/>
              </w:rPr>
            </w:pPr>
          </w:p>
        </w:tc>
        <w:tc>
          <w:tcPr>
            <w:tcW w:w="1189" w:type="dxa"/>
            <w:vAlign w:val="center"/>
          </w:tcPr>
          <w:p>
            <w:pPr>
              <w:keepNext w:val="0"/>
              <w:keepLines w:val="0"/>
              <w:widowControl/>
              <w:suppressLineNumbers w:val="0"/>
              <w:jc w:val="center"/>
              <w:textAlignment w:val="center"/>
              <w:rPr>
                <w:rFonts w:hint="default" w:ascii="宋体" w:hAnsi="宋体" w:cs="宋体"/>
                <w:color w:val="auto"/>
                <w:szCs w:val="21"/>
                <w:highlight w:val="none"/>
                <w:lang w:val="en-US" w:eastAsia="zh-CN"/>
              </w:rPr>
            </w:pPr>
            <w:r>
              <w:rPr>
                <w:rFonts w:hint="eastAsia" w:ascii="宋体" w:hAnsi="宋体" w:eastAsia="宋体" w:cs="宋体"/>
                <w:i w:val="0"/>
                <w:color w:val="000000"/>
                <w:kern w:val="0"/>
                <w:sz w:val="21"/>
                <w:szCs w:val="21"/>
                <w:u w:val="none"/>
                <w:lang w:val="en-US" w:eastAsia="zh-CN" w:bidi="ar"/>
              </w:rPr>
              <w:t>项目实施进度计划</w:t>
            </w:r>
          </w:p>
        </w:tc>
        <w:tc>
          <w:tcPr>
            <w:tcW w:w="663" w:type="dxa"/>
            <w:vAlign w:val="center"/>
          </w:tcPr>
          <w:p>
            <w:pPr>
              <w:keepNext w:val="0"/>
              <w:keepLines w:val="0"/>
              <w:widowControl/>
              <w:suppressLineNumbers w:val="0"/>
              <w:jc w:val="center"/>
              <w:textAlignment w:val="center"/>
              <w:rPr>
                <w:rFonts w:hint="default" w:ascii="宋体"/>
                <w:bCs/>
                <w:color w:val="auto"/>
                <w:szCs w:val="21"/>
                <w:highlight w:val="none"/>
                <w:lang w:val="en-US" w:eastAsia="zh-CN"/>
              </w:rPr>
            </w:pPr>
            <w:r>
              <w:rPr>
                <w:rFonts w:hint="eastAsia" w:ascii="宋体" w:hAnsi="宋体" w:eastAsia="宋体" w:cs="宋体"/>
                <w:i w:val="0"/>
                <w:color w:val="000000"/>
                <w:kern w:val="0"/>
                <w:sz w:val="21"/>
                <w:szCs w:val="21"/>
                <w:u w:val="none"/>
                <w:lang w:val="en-US" w:eastAsia="zh-CN" w:bidi="ar"/>
              </w:rPr>
              <w:t>10</w:t>
            </w:r>
          </w:p>
        </w:tc>
        <w:tc>
          <w:tcPr>
            <w:tcW w:w="5428" w:type="dxa"/>
            <w:vAlign w:val="top"/>
          </w:tcPr>
          <w:p>
            <w:pPr>
              <w:keepNext w:val="0"/>
              <w:keepLines w:val="0"/>
              <w:widowControl/>
              <w:suppressLineNumbers w:val="0"/>
              <w:jc w:val="left"/>
              <w:textAlignment w:val="top"/>
              <w:rPr>
                <w:rFonts w:hint="eastAsia" w:ascii="宋体" w:hAnsi="宋体" w:cs="宋体"/>
                <w:color w:val="auto"/>
                <w:szCs w:val="21"/>
                <w:highlight w:val="none"/>
              </w:rPr>
            </w:pPr>
            <w:r>
              <w:rPr>
                <w:rFonts w:hint="eastAsia" w:ascii="宋体" w:hAnsi="宋体" w:eastAsia="宋体" w:cs="宋体"/>
                <w:i w:val="0"/>
                <w:color w:val="000000"/>
                <w:kern w:val="0"/>
                <w:sz w:val="21"/>
                <w:szCs w:val="21"/>
                <w:u w:val="none"/>
                <w:lang w:val="en-US" w:eastAsia="zh-CN" w:bidi="ar"/>
              </w:rPr>
              <w:t>针对本项目的项目特点、项目内容等，提供详细的针对本项目需求的项目实施进度计划包括但不限于以下内容：</w:t>
            </w:r>
            <w:r>
              <w:rPr>
                <w:rStyle w:val="14"/>
                <w:rFonts w:hint="eastAsia" w:ascii="宋体" w:hAnsi="宋体" w:eastAsia="宋体" w:cs="宋体"/>
                <w:color w:val="000000"/>
                <w:kern w:val="0"/>
                <w:lang w:val="en-US" w:eastAsia="zh-CN" w:bidi="ar"/>
              </w:rPr>
              <w:t>①</w:t>
            </w:r>
            <w:r>
              <w:rPr>
                <w:rFonts w:hint="eastAsia" w:ascii="宋体" w:hAnsi="宋体" w:eastAsia="宋体" w:cs="宋体"/>
                <w:i w:val="0"/>
                <w:color w:val="000000"/>
                <w:kern w:val="0"/>
                <w:sz w:val="21"/>
                <w:szCs w:val="21"/>
                <w:u w:val="none"/>
                <w:lang w:val="en-US" w:eastAsia="zh-CN" w:bidi="ar"/>
              </w:rPr>
              <w:t>工作计划；</w:t>
            </w:r>
            <w:r>
              <w:rPr>
                <w:rStyle w:val="14"/>
                <w:rFonts w:hint="eastAsia" w:ascii="宋体" w:hAnsi="宋体" w:eastAsia="宋体" w:cs="宋体"/>
                <w:color w:val="000000"/>
                <w:kern w:val="0"/>
                <w:lang w:val="en-US" w:eastAsia="zh-CN" w:bidi="ar"/>
              </w:rPr>
              <w:t>②</w:t>
            </w:r>
            <w:r>
              <w:rPr>
                <w:rFonts w:hint="eastAsia" w:ascii="宋体" w:hAnsi="宋体" w:eastAsia="宋体" w:cs="宋体"/>
                <w:i w:val="0"/>
                <w:color w:val="000000"/>
                <w:kern w:val="0"/>
                <w:sz w:val="21"/>
                <w:szCs w:val="21"/>
                <w:u w:val="none"/>
                <w:lang w:val="en-US" w:eastAsia="zh-CN" w:bidi="ar"/>
              </w:rPr>
              <w:t>进度保障措施；</w:t>
            </w:r>
            <w:r>
              <w:rPr>
                <w:rStyle w:val="14"/>
                <w:rFonts w:hint="eastAsia" w:ascii="宋体" w:hAnsi="宋体" w:eastAsia="宋体" w:cs="宋体"/>
                <w:color w:val="000000"/>
                <w:kern w:val="0"/>
                <w:lang w:val="en-US" w:eastAsia="zh-CN" w:bidi="ar"/>
              </w:rPr>
              <w:t>③</w:t>
            </w:r>
            <w:r>
              <w:rPr>
                <w:rFonts w:hint="eastAsia" w:ascii="宋体" w:hAnsi="宋体" w:eastAsia="宋体" w:cs="宋体"/>
                <w:i w:val="0"/>
                <w:color w:val="000000"/>
                <w:kern w:val="0"/>
                <w:sz w:val="21"/>
                <w:szCs w:val="21"/>
                <w:u w:val="none"/>
                <w:lang w:val="en-US" w:eastAsia="zh-CN" w:bidi="ar"/>
              </w:rPr>
              <w:t xml:space="preserve">验收安排计划； </w:t>
            </w:r>
            <w:r>
              <w:rPr>
                <w:rFonts w:hint="eastAsia" w:ascii="宋体" w:hAnsi="宋体" w:eastAsia="宋体" w:cs="宋体"/>
                <w:i w:val="0"/>
                <w:color w:val="000000"/>
                <w:kern w:val="0"/>
                <w:sz w:val="21"/>
                <w:szCs w:val="21"/>
                <w:u w:val="none"/>
                <w:lang w:val="en-US" w:eastAsia="zh-CN" w:bidi="ar"/>
              </w:rPr>
              <w:br w:type="textWrapping"/>
            </w:r>
            <w:r>
              <w:rPr>
                <w:rStyle w:val="14"/>
                <w:rFonts w:hint="eastAsia" w:ascii="宋体" w:hAnsi="宋体" w:eastAsia="宋体" w:cs="宋体"/>
                <w:color w:val="000000"/>
                <w:kern w:val="0"/>
                <w:lang w:val="en-US" w:eastAsia="zh-CN" w:bidi="ar"/>
              </w:rPr>
              <w:t>1.</w:t>
            </w:r>
            <w:r>
              <w:rPr>
                <w:rFonts w:hint="eastAsia" w:ascii="宋体" w:hAnsi="宋体" w:eastAsia="宋体" w:cs="宋体"/>
                <w:i w:val="0"/>
                <w:color w:val="000000"/>
                <w:kern w:val="0"/>
                <w:sz w:val="21"/>
                <w:szCs w:val="21"/>
                <w:u w:val="none"/>
                <w:lang w:val="en-US" w:eastAsia="zh-CN" w:bidi="ar"/>
              </w:rPr>
              <w:t>涵盖上述所有内容且工作安排进度计划安排科学合理，进度保障措施科学全面、完善可行，验收安排计划科学具体，得</w:t>
            </w:r>
            <w:r>
              <w:rPr>
                <w:rStyle w:val="14"/>
                <w:rFonts w:hint="eastAsia" w:ascii="宋体" w:hAnsi="宋体" w:eastAsia="宋体" w:cs="宋体"/>
                <w:color w:val="000000"/>
                <w:kern w:val="0"/>
                <w:lang w:val="en-US" w:eastAsia="zh-CN" w:bidi="ar"/>
              </w:rPr>
              <w:t>10</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Style w:val="14"/>
                <w:rFonts w:hint="eastAsia" w:ascii="宋体" w:hAnsi="宋体" w:eastAsia="宋体" w:cs="宋体"/>
                <w:color w:val="000000"/>
                <w:kern w:val="0"/>
                <w:lang w:val="en-US" w:eastAsia="zh-CN" w:bidi="ar"/>
              </w:rPr>
              <w:t>2.</w:t>
            </w:r>
            <w:r>
              <w:rPr>
                <w:rFonts w:hint="eastAsia" w:ascii="宋体" w:hAnsi="宋体" w:eastAsia="宋体" w:cs="宋体"/>
                <w:i w:val="0"/>
                <w:color w:val="000000"/>
                <w:kern w:val="0"/>
                <w:sz w:val="21"/>
                <w:szCs w:val="21"/>
                <w:u w:val="none"/>
                <w:lang w:val="en-US" w:eastAsia="zh-CN" w:bidi="ar"/>
              </w:rPr>
              <w:t>涵盖上述所有内容且工作安排进度计划基本合理，进度保障措施科学但不全面、可行但不完善，验收安排计划科学但不具体，得</w:t>
            </w:r>
            <w:r>
              <w:rPr>
                <w:rStyle w:val="14"/>
                <w:rFonts w:hint="eastAsia" w:ascii="宋体" w:hAnsi="宋体" w:eastAsia="宋体" w:cs="宋体"/>
                <w:color w:val="000000"/>
                <w:kern w:val="0"/>
                <w:lang w:val="en-US" w:eastAsia="zh-CN" w:bidi="ar"/>
              </w:rPr>
              <w:t>7</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Style w:val="14"/>
                <w:rFonts w:hint="eastAsia" w:ascii="宋体" w:hAnsi="宋体" w:eastAsia="宋体" w:cs="宋体"/>
                <w:color w:val="000000"/>
                <w:kern w:val="0"/>
                <w:lang w:val="en-US" w:eastAsia="zh-CN" w:bidi="ar"/>
              </w:rPr>
              <w:t>3.</w:t>
            </w:r>
            <w:r>
              <w:rPr>
                <w:rFonts w:hint="eastAsia" w:ascii="宋体" w:hAnsi="宋体" w:eastAsia="宋体" w:cs="宋体"/>
                <w:i w:val="0"/>
                <w:color w:val="000000"/>
                <w:kern w:val="0"/>
                <w:sz w:val="21"/>
                <w:szCs w:val="21"/>
                <w:u w:val="none"/>
                <w:lang w:val="en-US" w:eastAsia="zh-CN" w:bidi="ar"/>
              </w:rPr>
              <w:t>涵盖上述所有内容且工作安排进度计划合理但不完善，进度保障措施科学但可行性较差，验收安排计划合理但不具体，得</w:t>
            </w:r>
            <w:r>
              <w:rPr>
                <w:rStyle w:val="14"/>
                <w:rFonts w:hint="eastAsia" w:ascii="宋体" w:hAnsi="宋体" w:eastAsia="宋体" w:cs="宋体"/>
                <w:color w:val="000000"/>
                <w:kern w:val="0"/>
                <w:lang w:val="en-US" w:eastAsia="zh-CN" w:bidi="ar"/>
              </w:rPr>
              <w:t>4</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Style w:val="14"/>
                <w:rFonts w:hint="eastAsia" w:ascii="宋体" w:hAnsi="宋体" w:eastAsia="宋体" w:cs="宋体"/>
                <w:color w:val="000000"/>
                <w:kern w:val="0"/>
                <w:lang w:val="en-US" w:eastAsia="zh-CN" w:bidi="ar"/>
              </w:rPr>
              <w:t>4.</w:t>
            </w:r>
            <w:r>
              <w:rPr>
                <w:rFonts w:hint="eastAsia" w:ascii="宋体" w:hAnsi="宋体" w:eastAsia="宋体" w:cs="宋体"/>
                <w:i w:val="0"/>
                <w:color w:val="000000"/>
                <w:kern w:val="0"/>
                <w:sz w:val="21"/>
                <w:szCs w:val="21"/>
                <w:u w:val="none"/>
                <w:lang w:val="en-US" w:eastAsia="zh-CN" w:bidi="ar"/>
              </w:rPr>
              <w:t>涵盖上述所有内容且工作安排进度计划不合理的，得</w:t>
            </w:r>
            <w:r>
              <w:rPr>
                <w:rStyle w:val="14"/>
                <w:rFonts w:hint="eastAsia" w:ascii="宋体" w:hAnsi="宋体" w:eastAsia="宋体" w:cs="宋体"/>
                <w:color w:val="000000"/>
                <w:kern w:val="0"/>
                <w:lang w:val="en-US" w:eastAsia="zh-CN" w:bidi="ar"/>
              </w:rPr>
              <w:t>1</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Style w:val="14"/>
                <w:rFonts w:hint="eastAsia" w:ascii="宋体" w:hAnsi="宋体" w:eastAsia="宋体" w:cs="宋体"/>
                <w:color w:val="000000"/>
                <w:kern w:val="0"/>
                <w:lang w:val="en-US" w:eastAsia="zh-CN" w:bidi="ar"/>
              </w:rPr>
              <w:t>5.</w:t>
            </w:r>
            <w:r>
              <w:rPr>
                <w:rFonts w:hint="eastAsia" w:ascii="宋体" w:hAnsi="宋体" w:eastAsia="宋体" w:cs="宋体"/>
                <w:i w:val="0"/>
                <w:color w:val="000000"/>
                <w:kern w:val="0"/>
                <w:sz w:val="21"/>
                <w:szCs w:val="21"/>
                <w:u w:val="none"/>
                <w:lang w:val="en-US" w:eastAsia="zh-CN"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111" w:type="dxa"/>
            <w:vMerge w:val="continue"/>
            <w:vAlign w:val="center"/>
          </w:tcPr>
          <w:p>
            <w:pPr>
              <w:rPr>
                <w:color w:val="auto"/>
                <w:highlight w:val="none"/>
              </w:rPr>
            </w:pPr>
          </w:p>
        </w:tc>
        <w:tc>
          <w:tcPr>
            <w:tcW w:w="1189" w:type="dxa"/>
            <w:vAlign w:val="center"/>
          </w:tcPr>
          <w:p>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i w:val="0"/>
                <w:color w:val="000000"/>
                <w:kern w:val="0"/>
                <w:sz w:val="21"/>
                <w:szCs w:val="21"/>
                <w:u w:val="none"/>
                <w:lang w:val="en-US" w:eastAsia="zh-CN" w:bidi="ar"/>
              </w:rPr>
              <w:t>质量保证方案</w:t>
            </w:r>
          </w:p>
        </w:tc>
        <w:tc>
          <w:tcPr>
            <w:tcW w:w="663" w:type="dxa"/>
            <w:vAlign w:val="center"/>
          </w:tcPr>
          <w:p>
            <w:pPr>
              <w:keepNext w:val="0"/>
              <w:keepLines w:val="0"/>
              <w:widowControl/>
              <w:suppressLineNumbers w:val="0"/>
              <w:jc w:val="center"/>
              <w:textAlignment w:val="center"/>
              <w:rPr>
                <w:rFonts w:hint="default" w:ascii="宋体"/>
                <w:color w:val="auto"/>
                <w:szCs w:val="21"/>
                <w:highlight w:val="none"/>
                <w:lang w:val="en-US"/>
              </w:rPr>
            </w:pPr>
            <w:r>
              <w:rPr>
                <w:rFonts w:hint="eastAsia" w:ascii="宋体" w:hAnsi="宋体" w:eastAsia="宋体" w:cs="宋体"/>
                <w:i w:val="0"/>
                <w:color w:val="000000"/>
                <w:kern w:val="0"/>
                <w:sz w:val="21"/>
                <w:szCs w:val="21"/>
                <w:u w:val="none"/>
                <w:lang w:val="en-US" w:eastAsia="zh-CN" w:bidi="ar"/>
              </w:rPr>
              <w:t>10</w:t>
            </w:r>
          </w:p>
        </w:tc>
        <w:tc>
          <w:tcPr>
            <w:tcW w:w="5428" w:type="dxa"/>
            <w:vAlign w:val="center"/>
          </w:tcPr>
          <w:p>
            <w:pPr>
              <w:keepNext w:val="0"/>
              <w:keepLines w:val="0"/>
              <w:widowControl/>
              <w:suppressLineNumbers w:val="0"/>
              <w:jc w:val="left"/>
              <w:textAlignment w:val="center"/>
              <w:rPr>
                <w:rFonts w:hint="eastAsia" w:ascii="宋体" w:hAnsi="宋体" w:eastAsia="宋体" w:cs="宋体"/>
                <w:color w:val="auto"/>
                <w:szCs w:val="21"/>
                <w:highlight w:val="none"/>
                <w:lang w:bidi="ar"/>
              </w:rPr>
            </w:pPr>
            <w:r>
              <w:rPr>
                <w:rFonts w:hint="eastAsia" w:ascii="宋体" w:hAnsi="宋体" w:eastAsia="宋体" w:cs="宋体"/>
                <w:i w:val="0"/>
                <w:color w:val="000000"/>
                <w:kern w:val="0"/>
                <w:sz w:val="21"/>
                <w:szCs w:val="21"/>
                <w:u w:val="none"/>
                <w:lang w:val="en-US" w:eastAsia="zh-CN" w:bidi="ar"/>
              </w:rPr>
              <w:t>针对本项目的质量保证提供方案：</w:t>
            </w:r>
            <w:r>
              <w:rPr>
                <w:rFonts w:hint="eastAsia" w:ascii="宋体" w:hAnsi="宋体" w:eastAsia="宋体" w:cs="宋体"/>
                <w:i w:val="0"/>
                <w:color w:val="000000"/>
                <w:kern w:val="0"/>
                <w:sz w:val="21"/>
                <w:szCs w:val="21"/>
                <w:u w:val="none"/>
                <w:lang w:val="en-US" w:eastAsia="zh-CN" w:bidi="ar"/>
              </w:rPr>
              <w:br w:type="textWrapping"/>
            </w:r>
            <w:r>
              <w:rPr>
                <w:rStyle w:val="64"/>
                <w:rFonts w:eastAsia="宋体"/>
                <w:lang w:val="en-US" w:eastAsia="zh-CN" w:bidi="ar"/>
              </w:rPr>
              <w:t>1.</w:t>
            </w:r>
            <w:r>
              <w:rPr>
                <w:rFonts w:hint="eastAsia" w:ascii="宋体" w:hAnsi="宋体" w:eastAsia="宋体" w:cs="宋体"/>
                <w:i w:val="0"/>
                <w:color w:val="000000"/>
                <w:kern w:val="0"/>
                <w:sz w:val="21"/>
                <w:szCs w:val="21"/>
                <w:u w:val="none"/>
                <w:lang w:val="en-US" w:eastAsia="zh-CN" w:bidi="ar"/>
              </w:rPr>
              <w:t>质量保证方案详细、完善，实施办法可行性高，完全满足且优于采购文件要求的，得</w:t>
            </w:r>
            <w:r>
              <w:rPr>
                <w:rStyle w:val="64"/>
                <w:rFonts w:eastAsia="宋体"/>
                <w:lang w:val="en-US" w:eastAsia="zh-CN" w:bidi="ar"/>
              </w:rPr>
              <w:t>10</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Style w:val="64"/>
                <w:rFonts w:eastAsia="宋体"/>
                <w:lang w:val="en-US" w:eastAsia="zh-CN" w:bidi="ar"/>
              </w:rPr>
              <w:t>2.</w:t>
            </w:r>
            <w:r>
              <w:rPr>
                <w:rFonts w:hint="eastAsia" w:ascii="宋体" w:hAnsi="宋体" w:eastAsia="宋体" w:cs="宋体"/>
                <w:i w:val="0"/>
                <w:color w:val="000000"/>
                <w:kern w:val="0"/>
                <w:sz w:val="21"/>
                <w:szCs w:val="21"/>
                <w:u w:val="none"/>
                <w:lang w:val="en-US" w:eastAsia="zh-CN" w:bidi="ar"/>
              </w:rPr>
              <w:t>质量保证方案较详细、较完善，实施办法可行性较高，完全满足采购文件要求的，得</w:t>
            </w:r>
            <w:r>
              <w:rPr>
                <w:rStyle w:val="64"/>
                <w:rFonts w:eastAsia="宋体"/>
                <w:lang w:val="en-US" w:eastAsia="zh-CN" w:bidi="ar"/>
              </w:rPr>
              <w:t>7</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Style w:val="64"/>
                <w:rFonts w:eastAsia="宋体"/>
                <w:lang w:val="en-US" w:eastAsia="zh-CN" w:bidi="ar"/>
              </w:rPr>
              <w:t>3.</w:t>
            </w:r>
            <w:r>
              <w:rPr>
                <w:rFonts w:hint="eastAsia" w:ascii="宋体" w:hAnsi="宋体" w:eastAsia="宋体" w:cs="宋体"/>
                <w:i w:val="0"/>
                <w:color w:val="000000"/>
                <w:kern w:val="0"/>
                <w:sz w:val="21"/>
                <w:szCs w:val="21"/>
                <w:u w:val="none"/>
                <w:lang w:val="en-US" w:eastAsia="zh-CN" w:bidi="ar"/>
              </w:rPr>
              <w:t>质量保证方案基本可行，实施办法基本可行，基本满足采购文件要求的，得</w:t>
            </w:r>
            <w:r>
              <w:rPr>
                <w:rStyle w:val="64"/>
                <w:rFonts w:eastAsia="宋体"/>
                <w:lang w:val="en-US" w:eastAsia="zh-CN" w:bidi="ar"/>
              </w:rPr>
              <w:t>4</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Style w:val="64"/>
                <w:rFonts w:eastAsia="宋体"/>
                <w:lang w:val="en-US" w:eastAsia="zh-CN" w:bidi="ar"/>
              </w:rPr>
              <w:t>4.</w:t>
            </w:r>
            <w:r>
              <w:rPr>
                <w:rFonts w:hint="eastAsia" w:ascii="宋体" w:hAnsi="宋体" w:eastAsia="宋体" w:cs="宋体"/>
                <w:i w:val="0"/>
                <w:color w:val="000000"/>
                <w:kern w:val="0"/>
                <w:sz w:val="21"/>
                <w:szCs w:val="21"/>
                <w:u w:val="none"/>
                <w:lang w:val="en-US" w:eastAsia="zh-CN" w:bidi="ar"/>
              </w:rPr>
              <w:t>涵盖上述所有内容但方案内容不全面的，得</w:t>
            </w:r>
            <w:r>
              <w:rPr>
                <w:rStyle w:val="64"/>
                <w:rFonts w:eastAsia="宋体"/>
                <w:lang w:val="en-US" w:eastAsia="zh-CN" w:bidi="ar"/>
              </w:rPr>
              <w:t>1</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Style w:val="64"/>
                <w:rFonts w:eastAsia="宋体"/>
                <w:lang w:val="en-US" w:eastAsia="zh-CN" w:bidi="ar"/>
              </w:rPr>
              <w:t>5.</w:t>
            </w:r>
            <w:r>
              <w:rPr>
                <w:rFonts w:hint="eastAsia" w:ascii="宋体" w:hAnsi="宋体" w:eastAsia="宋体" w:cs="宋体"/>
                <w:i w:val="0"/>
                <w:color w:val="000000"/>
                <w:kern w:val="0"/>
                <w:sz w:val="21"/>
                <w:szCs w:val="21"/>
                <w:u w:val="none"/>
                <w:lang w:val="en-US" w:eastAsia="zh-CN"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111" w:type="dxa"/>
            <w:vMerge w:val="continue"/>
            <w:vAlign w:val="center"/>
          </w:tcPr>
          <w:p>
            <w:pPr>
              <w:rPr>
                <w:color w:val="auto"/>
                <w:highlight w:val="none"/>
              </w:rPr>
            </w:pPr>
          </w:p>
        </w:tc>
        <w:tc>
          <w:tcPr>
            <w:tcW w:w="1189" w:type="dxa"/>
            <w:vAlign w:val="center"/>
          </w:tcPr>
          <w:p>
            <w:pPr>
              <w:keepNext w:val="0"/>
              <w:keepLines w:val="0"/>
              <w:widowControl/>
              <w:suppressLineNumbers w:val="0"/>
              <w:jc w:val="center"/>
              <w:textAlignment w:val="center"/>
              <w:rPr>
                <w:rFonts w:hint="eastAsia" w:ascii="宋体" w:hAnsi="宋体"/>
                <w:color w:val="auto"/>
                <w:szCs w:val="21"/>
                <w:highlight w:val="none"/>
              </w:rPr>
            </w:pPr>
            <w:r>
              <w:rPr>
                <w:rFonts w:hint="eastAsia" w:ascii="宋体" w:hAnsi="宋体" w:eastAsia="宋体" w:cs="宋体"/>
                <w:i w:val="0"/>
                <w:color w:val="000000"/>
                <w:kern w:val="0"/>
                <w:sz w:val="21"/>
                <w:szCs w:val="21"/>
                <w:u w:val="none"/>
                <w:lang w:val="en-US" w:eastAsia="zh-CN" w:bidi="ar"/>
              </w:rPr>
              <w:t>后续服务计划</w:t>
            </w:r>
          </w:p>
        </w:tc>
        <w:tc>
          <w:tcPr>
            <w:tcW w:w="663" w:type="dxa"/>
            <w:vAlign w:val="center"/>
          </w:tcPr>
          <w:p>
            <w:pPr>
              <w:keepNext w:val="0"/>
              <w:keepLines w:val="0"/>
              <w:widowControl/>
              <w:suppressLineNumbers w:val="0"/>
              <w:jc w:val="center"/>
              <w:textAlignment w:val="center"/>
              <w:rPr>
                <w:rFonts w:hint="eastAsia" w:ascii="宋体"/>
                <w:color w:val="auto"/>
                <w:szCs w:val="21"/>
                <w:highlight w:val="none"/>
              </w:rPr>
            </w:pPr>
            <w:r>
              <w:rPr>
                <w:rFonts w:hint="eastAsia" w:ascii="宋体" w:hAnsi="宋体" w:eastAsia="宋体" w:cs="宋体"/>
                <w:i w:val="0"/>
                <w:color w:val="000000"/>
                <w:kern w:val="0"/>
                <w:sz w:val="21"/>
                <w:szCs w:val="21"/>
                <w:u w:val="none"/>
                <w:lang w:val="en-US" w:eastAsia="zh-CN" w:bidi="ar"/>
              </w:rPr>
              <w:t>5</w:t>
            </w:r>
          </w:p>
        </w:tc>
        <w:tc>
          <w:tcPr>
            <w:tcW w:w="5428" w:type="dxa"/>
            <w:vAlign w:val="center"/>
          </w:tcPr>
          <w:p>
            <w:pPr>
              <w:keepNext w:val="0"/>
              <w:keepLines w:val="0"/>
              <w:widowControl/>
              <w:suppressLineNumbers w:val="0"/>
              <w:jc w:val="left"/>
              <w:textAlignment w:val="center"/>
              <w:rPr>
                <w:rFonts w:hint="eastAsia" w:ascii="宋体" w:hAnsi="宋体" w:eastAsia="宋体" w:cs="宋体"/>
                <w:color w:val="auto"/>
                <w:szCs w:val="21"/>
                <w:highlight w:val="none"/>
                <w:lang w:bidi="ar"/>
              </w:rPr>
            </w:pPr>
            <w:r>
              <w:rPr>
                <w:rFonts w:hint="eastAsia" w:ascii="宋体" w:hAnsi="宋体" w:eastAsia="宋体" w:cs="宋体"/>
                <w:i w:val="0"/>
                <w:color w:val="000000"/>
                <w:kern w:val="0"/>
                <w:sz w:val="21"/>
                <w:szCs w:val="21"/>
                <w:u w:val="none"/>
                <w:lang w:val="en-US" w:eastAsia="zh-CN" w:bidi="ar"/>
              </w:rPr>
              <w:t>投标单位提供后续服务方案，方案内容包括但不限于：服务承诺、响应时间等进行评审：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1.服务承诺方案完善具体详尽清晰、响应时间满足采购需求，得</w:t>
            </w:r>
            <w:r>
              <w:rPr>
                <w:rStyle w:val="64"/>
                <w:rFonts w:eastAsia="宋体"/>
                <w:lang w:val="en-US" w:eastAsia="zh-CN" w:bidi="ar"/>
              </w:rPr>
              <w:t>5</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2.服务承诺方案较完善、响应时间满足采购需求，得</w:t>
            </w:r>
            <w:r>
              <w:rPr>
                <w:rStyle w:val="64"/>
                <w:rFonts w:eastAsia="宋体"/>
                <w:lang w:val="en-US" w:eastAsia="zh-CN" w:bidi="ar"/>
              </w:rPr>
              <w:t>3</w:t>
            </w:r>
            <w:r>
              <w:rPr>
                <w:rFonts w:hint="eastAsia" w:ascii="宋体" w:hAnsi="宋体" w:eastAsia="宋体" w:cs="宋体"/>
                <w:i w:val="0"/>
                <w:color w:val="000000"/>
                <w:kern w:val="0"/>
                <w:sz w:val="21"/>
                <w:szCs w:val="21"/>
                <w:u w:val="none"/>
                <w:lang w:val="en-US" w:eastAsia="zh-CN" w:bidi="ar"/>
              </w:rPr>
              <w:t xml:space="preserve">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3.服务承诺方案只是简单描述、响应时间满足采购需求，得</w:t>
            </w:r>
            <w:r>
              <w:rPr>
                <w:rStyle w:val="64"/>
                <w:rFonts w:eastAsia="宋体"/>
                <w:lang w:val="en-US" w:eastAsia="zh-CN" w:bidi="ar"/>
              </w:rPr>
              <w:t>1</w:t>
            </w:r>
            <w:r>
              <w:rPr>
                <w:rFonts w:hint="eastAsia" w:ascii="宋体" w:hAnsi="宋体" w:eastAsia="宋体" w:cs="宋体"/>
                <w:i w:val="0"/>
                <w:color w:val="000000"/>
                <w:kern w:val="0"/>
                <w:sz w:val="21"/>
                <w:szCs w:val="21"/>
                <w:u w:val="none"/>
                <w:lang w:val="en-US" w:eastAsia="zh-CN" w:bidi="ar"/>
              </w:rPr>
              <w:t xml:space="preserve">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4.响应时间不满足采购需求或不提供不得分。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1" w:type="dxa"/>
            <w:vAlign w:val="center"/>
          </w:tcPr>
          <w:p>
            <w:pPr>
              <w:spacing w:line="400" w:lineRule="exact"/>
              <w:jc w:val="center"/>
              <w:rPr>
                <w:rFonts w:ascii="宋体"/>
                <w:color w:val="auto"/>
                <w:szCs w:val="21"/>
                <w:highlight w:val="none"/>
              </w:rPr>
            </w:pPr>
            <w:r>
              <w:rPr>
                <w:rFonts w:hint="eastAsia" w:ascii="宋体"/>
                <w:color w:val="auto"/>
                <w:szCs w:val="21"/>
                <w:highlight w:val="none"/>
              </w:rPr>
              <w:t>价格部分</w:t>
            </w:r>
          </w:p>
          <w:p>
            <w:pPr>
              <w:spacing w:line="400" w:lineRule="exact"/>
              <w:jc w:val="center"/>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20</w:t>
            </w:r>
            <w:r>
              <w:rPr>
                <w:rFonts w:hint="eastAsia" w:ascii="宋体"/>
                <w:color w:val="auto"/>
                <w:szCs w:val="21"/>
                <w:highlight w:val="none"/>
              </w:rPr>
              <w:t>分）</w:t>
            </w:r>
          </w:p>
        </w:tc>
        <w:tc>
          <w:tcPr>
            <w:tcW w:w="1189" w:type="dxa"/>
            <w:vAlign w:val="center"/>
          </w:tcPr>
          <w:p>
            <w:pPr>
              <w:spacing w:line="400" w:lineRule="exact"/>
              <w:jc w:val="center"/>
              <w:rPr>
                <w:rFonts w:ascii="宋体"/>
                <w:color w:val="auto"/>
                <w:szCs w:val="21"/>
                <w:highlight w:val="none"/>
              </w:rPr>
            </w:pPr>
            <w:r>
              <w:rPr>
                <w:rFonts w:hint="eastAsia" w:ascii="宋体"/>
                <w:color w:val="auto"/>
                <w:szCs w:val="21"/>
                <w:highlight w:val="none"/>
              </w:rPr>
              <w:t>投标报价</w:t>
            </w:r>
          </w:p>
        </w:tc>
        <w:tc>
          <w:tcPr>
            <w:tcW w:w="663" w:type="dxa"/>
            <w:vAlign w:val="center"/>
          </w:tcPr>
          <w:p>
            <w:pPr>
              <w:spacing w:line="400"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20</w:t>
            </w:r>
          </w:p>
        </w:tc>
        <w:tc>
          <w:tcPr>
            <w:tcW w:w="5428" w:type="dxa"/>
          </w:tcPr>
          <w:p>
            <w:pPr>
              <w:rPr>
                <w:rFonts w:ascii="宋体" w:hAnsi="宋体" w:eastAsia="宋体" w:cs="宋体"/>
                <w:color w:val="auto"/>
                <w:szCs w:val="21"/>
                <w:highlight w:val="none"/>
              </w:rPr>
            </w:pPr>
            <w:r>
              <w:rPr>
                <w:rFonts w:hint="eastAsia" w:ascii="宋体" w:hAnsi="宋体" w:eastAsia="宋体" w:cs="宋体"/>
                <w:color w:val="auto"/>
                <w:szCs w:val="21"/>
                <w:highlight w:val="none"/>
              </w:rPr>
              <w:t>报价得分：M＝N-100 ×</w:t>
            </w:r>
            <w:r>
              <w:rPr>
                <w:rFonts w:hint="eastAsia" w:ascii="宋体" w:hAnsi="宋体" w:eastAsia="宋体" w:cs="宋体"/>
                <w:color w:val="auto"/>
                <w:position w:val="-30"/>
                <w:szCs w:val="21"/>
                <w:highlight w:val="none"/>
              </w:rPr>
              <w:object>
                <v:shape id="_x0000_i1025" o:spt="75" type="#_x0000_t75" style="height:32.6pt;width:45.9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宋体" w:hAnsi="宋体" w:eastAsia="宋体" w:cs="宋体"/>
                <w:color w:val="auto"/>
                <w:szCs w:val="21"/>
                <w:highlight w:val="none"/>
              </w:rPr>
              <w:t>×F</w:t>
            </w:r>
          </w:p>
          <w:p>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其中 N（分）：投标报价权重分值，为</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rPr>
              <w:t>分；</w:t>
            </w:r>
          </w:p>
          <w:p>
            <w:pPr>
              <w:spacing w:line="300" w:lineRule="exact"/>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P（元）：投标文件通过初步评审的有效投标报价；</w:t>
            </w:r>
          </w:p>
          <w:p>
            <w:pPr>
              <w:spacing w:line="300" w:lineRule="exact"/>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Q（元）：评标基准价；</w:t>
            </w:r>
          </w:p>
          <w:p>
            <w:pPr>
              <w:spacing w:line="300" w:lineRule="exact"/>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rPr>
              <w:t>F：偏离扣分分值，当P≥Q，F=</w:t>
            </w:r>
            <w:r>
              <w:rPr>
                <w:rFonts w:hint="eastAsia" w:ascii="宋体" w:hAnsi="宋体" w:cs="宋体"/>
                <w:color w:val="auto"/>
                <w:szCs w:val="21"/>
                <w:highlight w:val="none"/>
              </w:rPr>
              <w:t>0.4</w:t>
            </w:r>
            <w:r>
              <w:rPr>
                <w:rFonts w:hint="eastAsia" w:ascii="宋体" w:hAnsi="宋体" w:eastAsia="宋体" w:cs="宋体"/>
                <w:color w:val="auto"/>
                <w:szCs w:val="21"/>
                <w:highlight w:val="none"/>
              </w:rPr>
              <w:t>；当P＜Q，F=</w:t>
            </w:r>
            <w:r>
              <w:rPr>
                <w:rFonts w:hint="eastAsia" w:ascii="宋体" w:hAnsi="宋体" w:cs="宋体"/>
                <w:color w:val="auto"/>
                <w:szCs w:val="21"/>
                <w:highlight w:val="none"/>
              </w:rPr>
              <w:t>0.2</w:t>
            </w:r>
            <w:r>
              <w:rPr>
                <w:rFonts w:hint="eastAsia" w:ascii="宋体" w:hAnsi="宋体" w:eastAsia="宋体" w:cs="宋体"/>
                <w:color w:val="auto"/>
                <w:szCs w:val="21"/>
                <w:highlight w:val="none"/>
              </w:rPr>
              <w:t>。</w:t>
            </w:r>
          </w:p>
          <w:p>
            <w:pPr>
              <w:rPr>
                <w:rFonts w:ascii="宋体" w:eastAsia="宋体"/>
                <w:color w:val="auto"/>
                <w:szCs w:val="21"/>
                <w:highlight w:val="none"/>
              </w:rPr>
            </w:pPr>
            <w:r>
              <w:rPr>
                <w:rFonts w:hint="eastAsia" w:ascii="宋体" w:hAnsi="宋体" w:eastAsia="宋体" w:cs="宋体"/>
                <w:b/>
                <w:color w:val="auto"/>
                <w:szCs w:val="21"/>
                <w:highlight w:val="none"/>
              </w:rPr>
              <w:t>注：</w:t>
            </w:r>
            <w:r>
              <w:rPr>
                <w:rFonts w:hint="eastAsia" w:ascii="宋体" w:hAnsi="宋体" w:cs="微软雅黑"/>
                <w:b/>
                <w:color w:val="auto"/>
                <w:position w:val="-1"/>
                <w:szCs w:val="21"/>
                <w:highlight w:val="none"/>
              </w:rPr>
              <w:t>①以所有通过初步评审的投标文件的有效报价作为依据，（当有效报价大于或等于5家时，去掉一个最高报价和一个最低报价后进行算术平均；当有效报价不超过5家时，则对全部有效报价进行算术平均），并以此算术平均值为评标基准价确定其他投标人的投标报价得分。②计算值按四舍五入法保留两位有效小数，本项最低得分为0分。③除计算错误外，评标基准价不因招投标当事人质疑、投诉、复议以及其它任何情形而改变。</w:t>
            </w:r>
          </w:p>
        </w:tc>
      </w:tr>
    </w:tbl>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320" w:lineRule="exact"/>
        <w:ind w:firstLine="420" w:firstLineChars="200"/>
        <w:jc w:val="left"/>
        <w:rPr>
          <w:rFonts w:ascii="宋体" w:hAnsi="宋体" w:cs="宋体"/>
          <w:color w:val="auto"/>
          <w:szCs w:val="18"/>
          <w:highlight w:val="none"/>
        </w:rPr>
      </w:pPr>
      <w:r>
        <w:rPr>
          <w:rFonts w:hint="eastAsia" w:ascii="宋体" w:hAnsi="宋体" w:cs="宋体"/>
          <w:color w:val="auto"/>
          <w:szCs w:val="18"/>
          <w:highlight w:val="none"/>
          <w:lang w:val="en-US" w:eastAsia="zh-CN"/>
        </w:rPr>
        <w:t>1</w:t>
      </w:r>
      <w:r>
        <w:rPr>
          <w:rFonts w:hint="eastAsia" w:ascii="宋体" w:hAnsi="宋体" w:cs="宋体"/>
          <w:color w:val="auto"/>
          <w:szCs w:val="18"/>
          <w:highlight w:val="none"/>
        </w:rPr>
        <w:t>、</w:t>
      </w:r>
      <w:r>
        <w:rPr>
          <w:rFonts w:ascii="宋体" w:hAnsi="宋体" w:cs="宋体"/>
          <w:color w:val="auto"/>
          <w:szCs w:val="18"/>
          <w:highlight w:val="none"/>
        </w:rPr>
        <w:t>所提供的投入人员必须为投标单位人员，以提供投标人为其购买的</w:t>
      </w:r>
      <w:r>
        <w:rPr>
          <w:rFonts w:hint="eastAsia" w:ascii="宋体" w:hAnsi="宋体" w:cs="宋体"/>
          <w:color w:val="auto"/>
          <w:szCs w:val="18"/>
          <w:highlight w:val="none"/>
        </w:rPr>
        <w:t>投标截止日前一个月（202</w:t>
      </w:r>
      <w:r>
        <w:rPr>
          <w:rFonts w:hint="eastAsia" w:ascii="宋体" w:hAnsi="宋体" w:cs="宋体"/>
          <w:color w:val="auto"/>
          <w:szCs w:val="18"/>
          <w:highlight w:val="none"/>
          <w:lang w:val="en-US" w:eastAsia="zh-CN"/>
        </w:rPr>
        <w:t>3</w:t>
      </w:r>
      <w:r>
        <w:rPr>
          <w:rFonts w:hint="eastAsia" w:ascii="宋体" w:hAnsi="宋体" w:cs="宋体"/>
          <w:color w:val="auto"/>
          <w:szCs w:val="18"/>
          <w:highlight w:val="none"/>
        </w:rPr>
        <w:t>年</w:t>
      </w:r>
      <w:r>
        <w:rPr>
          <w:rFonts w:hint="eastAsia" w:ascii="宋体" w:hAnsi="宋体" w:cs="宋体"/>
          <w:color w:val="auto"/>
          <w:szCs w:val="18"/>
          <w:highlight w:val="none"/>
          <w:lang w:val="en-US" w:eastAsia="zh-CN"/>
        </w:rPr>
        <w:t>6</w:t>
      </w:r>
      <w:r>
        <w:rPr>
          <w:rFonts w:hint="eastAsia" w:ascii="宋体" w:hAnsi="宋体" w:cs="宋体"/>
          <w:color w:val="auto"/>
          <w:szCs w:val="18"/>
          <w:highlight w:val="none"/>
        </w:rPr>
        <w:t>月）的</w:t>
      </w:r>
      <w:r>
        <w:rPr>
          <w:rFonts w:ascii="宋体" w:hAnsi="宋体" w:cs="宋体"/>
          <w:color w:val="auto"/>
          <w:szCs w:val="18"/>
          <w:highlight w:val="none"/>
        </w:rPr>
        <w:t>社保证明为准。</w:t>
      </w:r>
      <w:r>
        <w:rPr>
          <w:rFonts w:hint="eastAsia" w:ascii="宋体" w:hAnsi="宋体" w:cs="宋体"/>
          <w:color w:val="auto"/>
          <w:szCs w:val="18"/>
          <w:highlight w:val="none"/>
        </w:rPr>
        <w:t>项目负责人、各专业负责人注册关系必须在本单位，以上注册及职称均需提供相应证明材料。</w:t>
      </w:r>
    </w:p>
    <w:p>
      <w:pPr>
        <w:snapToGrid w:val="0"/>
        <w:ind w:left="74" w:firstLine="420" w:firstLineChars="200"/>
        <w:rPr>
          <w:rFonts w:ascii="仿宋" w:hAnsi="仿宋" w:eastAsia="仿宋" w:cs="仿宋"/>
          <w:color w:val="auto"/>
          <w:szCs w:val="21"/>
          <w:highlight w:val="none"/>
        </w:rPr>
      </w:pPr>
      <w:r>
        <w:rPr>
          <w:rFonts w:hint="eastAsia" w:ascii="宋体" w:hAnsi="宋体" w:cs="宋体"/>
          <w:color w:val="auto"/>
          <w:szCs w:val="18"/>
          <w:highlight w:val="none"/>
          <w:lang w:val="en-US" w:eastAsia="zh-CN"/>
        </w:rPr>
        <w:t>3</w:t>
      </w:r>
      <w:r>
        <w:rPr>
          <w:rFonts w:hint="eastAsia" w:ascii="宋体" w:hAnsi="宋体" w:cs="宋体"/>
          <w:color w:val="auto"/>
          <w:szCs w:val="18"/>
          <w:highlight w:val="none"/>
        </w:rPr>
        <w:t>、本表中所有要求提供的证明资料复印件均需加盖投标人公章。未提供证明资料或提供的证明材料不齐全、不符合要求的，不得分。</w:t>
      </w:r>
    </w:p>
    <w:p>
      <w:pPr>
        <w:snapToGrid w:val="0"/>
        <w:ind w:left="74"/>
        <w:rPr>
          <w:rFonts w:ascii="仿宋" w:hAnsi="仿宋" w:eastAsia="仿宋" w:cs="仿宋"/>
          <w:color w:val="auto"/>
          <w:szCs w:val="21"/>
          <w:highlight w:val="none"/>
        </w:rPr>
      </w:pPr>
    </w:p>
    <w:p>
      <w:pPr>
        <w:rPr>
          <w:color w:val="auto"/>
          <w:highlight w:val="none"/>
        </w:rPr>
      </w:pPr>
      <w:r>
        <w:rPr>
          <w:rFonts w:hint="eastAsia"/>
          <w:color w:val="auto"/>
          <w:highlight w:val="none"/>
        </w:rPr>
        <w:br w:type="page"/>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附件3：</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33"/>
        <w:snapToGrid w:val="0"/>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w:t>
      </w:r>
      <w:r>
        <w:rPr>
          <w:rFonts w:hint="eastAsia" w:ascii="宋体" w:hAnsi="宋体" w:eastAsia="宋体" w:cs="Times New Roman"/>
          <w:i w:val="0"/>
          <w:iCs w:val="0"/>
          <w:caps w:val="0"/>
          <w:color w:val="000000"/>
          <w:spacing w:val="0"/>
          <w:sz w:val="24"/>
          <w:szCs w:val="24"/>
          <w:highlight w:val="none"/>
          <w:u w:val="single"/>
        </w:rPr>
        <w:t>广州南沙</w:t>
      </w:r>
      <w:r>
        <w:rPr>
          <w:rFonts w:hint="eastAsia" w:ascii="宋体" w:hAnsi="宋体" w:eastAsia="宋体" w:cs="Times New Roman"/>
          <w:i w:val="0"/>
          <w:iCs w:val="0"/>
          <w:caps w:val="0"/>
          <w:color w:val="000000"/>
          <w:spacing w:val="0"/>
          <w:sz w:val="24"/>
          <w:szCs w:val="24"/>
          <w:highlight w:val="none"/>
          <w:u w:val="single"/>
          <w:lang w:val="en-US" w:eastAsia="zh-CN"/>
        </w:rPr>
        <w:t>科技投资</w:t>
      </w:r>
      <w:r>
        <w:rPr>
          <w:rFonts w:hint="eastAsia" w:ascii="宋体" w:hAnsi="宋体" w:eastAsia="宋体" w:cs="Times New Roman"/>
          <w:i w:val="0"/>
          <w:iCs w:val="0"/>
          <w:caps w:val="0"/>
          <w:color w:val="000000"/>
          <w:spacing w:val="0"/>
          <w:sz w:val="24"/>
          <w:szCs w:val="24"/>
          <w:highlight w:val="none"/>
          <w:u w:val="single"/>
        </w:rPr>
        <w:t>有限公司</w:t>
      </w:r>
      <w:r>
        <w:rPr>
          <w:rFonts w:hint="eastAsia" w:ascii="宋体" w:hAnsi="宋体" w:eastAsia="宋体"/>
          <w:color w:val="auto"/>
          <w:sz w:val="24"/>
          <w:szCs w:val="24"/>
          <w:highlight w:val="none"/>
          <w:u w:val="single"/>
        </w:rPr>
        <w:t xml:space="preserve"> </w:t>
      </w:r>
    </w:p>
    <w:p>
      <w:pPr>
        <w:pStyle w:val="3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eastAsia="zh-CN"/>
        </w:rPr>
        <w:t>“</w:t>
      </w:r>
      <w:r>
        <w:rPr>
          <w:rFonts w:hint="eastAsia" w:ascii="宋体" w:hAnsi="宋体" w:eastAsia="宋体" w:cs="Times New Roman"/>
          <w:color w:val="auto"/>
          <w:sz w:val="24"/>
          <w:szCs w:val="24"/>
          <w:highlight w:val="none"/>
          <w:u w:val="single"/>
          <w:lang w:eastAsia="zh-CN"/>
        </w:rPr>
        <w:t>海防教育基地项目交通渡口码头工程”环境影响评价咨询服务</w:t>
      </w:r>
      <w:r>
        <w:rPr>
          <w:rFonts w:hint="eastAsia" w:ascii="宋体" w:hAnsi="宋体" w:eastAsia="宋体"/>
          <w:color w:val="auto"/>
          <w:sz w:val="24"/>
          <w:szCs w:val="24"/>
          <w:highlight w:val="none"/>
        </w:rPr>
        <w:t>投标工作，做出郑重声明：</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四、本公司及其有隶属关系的机构没有参加本项目的招标文件编写、监理工作；本公司与承担本招标项目监理业务的单位没有隶属关系或其他利害关系。</w:t>
      </w:r>
    </w:p>
    <w:p>
      <w:pPr>
        <w:pStyle w:val="33"/>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3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34"/>
        <w:snapToGrid w:val="0"/>
        <w:ind w:left="0" w:right="0" w:firstLine="2160" w:firstLineChars="9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声明企业：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(企业公章)</w:t>
      </w:r>
    </w:p>
    <w:p>
      <w:pPr>
        <w:pStyle w:val="33"/>
        <w:snapToGrid w:val="0"/>
        <w:ind w:firstLine="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                  </w:t>
      </w:r>
    </w:p>
    <w:p>
      <w:pPr>
        <w:pStyle w:val="33"/>
        <w:snapToGrid w:val="0"/>
        <w:ind w:firstLine="4080" w:firstLineChars="1700"/>
        <w:jc w:val="right"/>
        <w:rPr>
          <w:color w:val="auto"/>
          <w:sz w:val="24"/>
          <w:szCs w:val="24"/>
          <w:highlight w:val="none"/>
        </w:rPr>
      </w:pPr>
      <w:r>
        <w:rPr>
          <w:rFonts w:hint="eastAsia" w:ascii="宋体" w:hAnsi="宋体" w:eastAsia="宋体"/>
          <w:color w:val="auto"/>
          <w:sz w:val="24"/>
          <w:szCs w:val="24"/>
          <w:highlight w:val="none"/>
        </w:rPr>
        <w:t>年   月   日</w:t>
      </w:r>
    </w:p>
    <w:p>
      <w:pPr>
        <w:pStyle w:val="33"/>
        <w:snapToGrid w:val="0"/>
        <w:ind w:firstLine="4080" w:firstLineChars="1700"/>
        <w:jc w:val="right"/>
        <w:rPr>
          <w:color w:val="auto"/>
          <w:sz w:val="24"/>
          <w:szCs w:val="24"/>
          <w:highlight w:val="none"/>
        </w:rPr>
      </w:pPr>
    </w:p>
    <w:p>
      <w:pPr>
        <w:snapToGrid w:val="0"/>
        <w:spacing w:line="360" w:lineRule="auto"/>
        <w:jc w:val="left"/>
        <w:rPr>
          <w:rFonts w:ascii="宋体" w:hAnsi="宋体"/>
          <w:color w:val="auto"/>
          <w:sz w:val="24"/>
          <w:highlight w:val="none"/>
        </w:rPr>
      </w:pPr>
    </w:p>
    <w:p>
      <w:pPr>
        <w:pStyle w:val="8"/>
        <w:rPr>
          <w:rFonts w:hint="default"/>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FF935245"/>
    <w:multiLevelType w:val="singleLevel"/>
    <w:tmpl w:val="FF935245"/>
    <w:lvl w:ilvl="0" w:tentative="0">
      <w:start w:val="1"/>
      <w:numFmt w:val="decimal"/>
      <w:suff w:val="nothing"/>
      <w:lvlText w:val="%1、"/>
      <w:lvlJc w:val="left"/>
    </w:lvl>
  </w:abstractNum>
  <w:abstractNum w:abstractNumId="2">
    <w:nsid w:val="61B5240C"/>
    <w:multiLevelType w:val="singleLevel"/>
    <w:tmpl w:val="61B5240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2Q1YjEzZGE5OWZlN2UzYjIyMTRjOGU3MmE5NTAifQ=="/>
  </w:docVars>
  <w:rsids>
    <w:rsidRoot w:val="3B6D4312"/>
    <w:rsid w:val="0002289A"/>
    <w:rsid w:val="0002557B"/>
    <w:rsid w:val="0005254F"/>
    <w:rsid w:val="000744F3"/>
    <w:rsid w:val="00085D0C"/>
    <w:rsid w:val="00090FF3"/>
    <w:rsid w:val="000B7B0A"/>
    <w:rsid w:val="000E0EC3"/>
    <w:rsid w:val="000F63F4"/>
    <w:rsid w:val="001062CA"/>
    <w:rsid w:val="00134FF9"/>
    <w:rsid w:val="001544AB"/>
    <w:rsid w:val="00164413"/>
    <w:rsid w:val="001921E8"/>
    <w:rsid w:val="001D1F1F"/>
    <w:rsid w:val="001E1021"/>
    <w:rsid w:val="001F66EC"/>
    <w:rsid w:val="002D7B13"/>
    <w:rsid w:val="003B47E8"/>
    <w:rsid w:val="003D0F57"/>
    <w:rsid w:val="0040578E"/>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C717F"/>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21734"/>
    <w:rsid w:val="00B96CE0"/>
    <w:rsid w:val="00BB3D24"/>
    <w:rsid w:val="00CA24DF"/>
    <w:rsid w:val="00D06D88"/>
    <w:rsid w:val="00D0796B"/>
    <w:rsid w:val="00D50CF1"/>
    <w:rsid w:val="00D650B3"/>
    <w:rsid w:val="00D85D6D"/>
    <w:rsid w:val="00DD64C1"/>
    <w:rsid w:val="00DE3299"/>
    <w:rsid w:val="00E14E87"/>
    <w:rsid w:val="00E52FD7"/>
    <w:rsid w:val="00E85F0E"/>
    <w:rsid w:val="00EC3FB8"/>
    <w:rsid w:val="00EE23EE"/>
    <w:rsid w:val="00F15754"/>
    <w:rsid w:val="00F5751A"/>
    <w:rsid w:val="00F72550"/>
    <w:rsid w:val="00FF33A0"/>
    <w:rsid w:val="00FF76D9"/>
    <w:rsid w:val="01443353"/>
    <w:rsid w:val="01583855"/>
    <w:rsid w:val="026F6986"/>
    <w:rsid w:val="02F7533D"/>
    <w:rsid w:val="03562994"/>
    <w:rsid w:val="035A0EDE"/>
    <w:rsid w:val="03CB6D70"/>
    <w:rsid w:val="03D5206B"/>
    <w:rsid w:val="04364A4F"/>
    <w:rsid w:val="043A0F20"/>
    <w:rsid w:val="04754D24"/>
    <w:rsid w:val="04A60B94"/>
    <w:rsid w:val="04CE3D21"/>
    <w:rsid w:val="04E40895"/>
    <w:rsid w:val="050B0AD1"/>
    <w:rsid w:val="051B7598"/>
    <w:rsid w:val="05577B55"/>
    <w:rsid w:val="064E336B"/>
    <w:rsid w:val="06EA58D8"/>
    <w:rsid w:val="07167BB0"/>
    <w:rsid w:val="080F2686"/>
    <w:rsid w:val="083B43B1"/>
    <w:rsid w:val="08757A2C"/>
    <w:rsid w:val="08A86F0A"/>
    <w:rsid w:val="08BE0C1E"/>
    <w:rsid w:val="09A667E8"/>
    <w:rsid w:val="09C053E7"/>
    <w:rsid w:val="0A170558"/>
    <w:rsid w:val="0B093D1A"/>
    <w:rsid w:val="0B372B92"/>
    <w:rsid w:val="0B3B76F5"/>
    <w:rsid w:val="0B6E5C7D"/>
    <w:rsid w:val="0BC152C7"/>
    <w:rsid w:val="0C450D6C"/>
    <w:rsid w:val="0C7B405B"/>
    <w:rsid w:val="0C855B7E"/>
    <w:rsid w:val="0C87037B"/>
    <w:rsid w:val="0CEF0CD8"/>
    <w:rsid w:val="0CF34345"/>
    <w:rsid w:val="0D4F2C69"/>
    <w:rsid w:val="0D8D48BA"/>
    <w:rsid w:val="0E1B10A8"/>
    <w:rsid w:val="0E5E4367"/>
    <w:rsid w:val="0E80564C"/>
    <w:rsid w:val="0EA03B8A"/>
    <w:rsid w:val="0EAC0C18"/>
    <w:rsid w:val="0EB25F9A"/>
    <w:rsid w:val="0EDB6CB4"/>
    <w:rsid w:val="0EFB4DD0"/>
    <w:rsid w:val="0F0E1360"/>
    <w:rsid w:val="0F8D0176"/>
    <w:rsid w:val="115626A3"/>
    <w:rsid w:val="12D06EB6"/>
    <w:rsid w:val="12E86716"/>
    <w:rsid w:val="131568C0"/>
    <w:rsid w:val="13824654"/>
    <w:rsid w:val="14082F52"/>
    <w:rsid w:val="14085DAD"/>
    <w:rsid w:val="14233C6D"/>
    <w:rsid w:val="14452035"/>
    <w:rsid w:val="145B3800"/>
    <w:rsid w:val="147E4E1C"/>
    <w:rsid w:val="16007AF5"/>
    <w:rsid w:val="162E3530"/>
    <w:rsid w:val="163A203A"/>
    <w:rsid w:val="177F2113"/>
    <w:rsid w:val="17BF20B0"/>
    <w:rsid w:val="17E977C8"/>
    <w:rsid w:val="1873680D"/>
    <w:rsid w:val="18AF3306"/>
    <w:rsid w:val="18F12637"/>
    <w:rsid w:val="18FE6DAF"/>
    <w:rsid w:val="1922150A"/>
    <w:rsid w:val="19880595"/>
    <w:rsid w:val="198C1D89"/>
    <w:rsid w:val="1AB46DAB"/>
    <w:rsid w:val="1B6C2995"/>
    <w:rsid w:val="1BC44893"/>
    <w:rsid w:val="1BC65F54"/>
    <w:rsid w:val="1BDF2274"/>
    <w:rsid w:val="1C05708F"/>
    <w:rsid w:val="1C307374"/>
    <w:rsid w:val="1C9203A6"/>
    <w:rsid w:val="1E8832A2"/>
    <w:rsid w:val="1EE2244B"/>
    <w:rsid w:val="1EFA5645"/>
    <w:rsid w:val="1F1C5732"/>
    <w:rsid w:val="1FC2316E"/>
    <w:rsid w:val="1FF32F87"/>
    <w:rsid w:val="20336A96"/>
    <w:rsid w:val="21424D60"/>
    <w:rsid w:val="21FD2FF1"/>
    <w:rsid w:val="220D3E3F"/>
    <w:rsid w:val="224A02E7"/>
    <w:rsid w:val="227411DF"/>
    <w:rsid w:val="22803312"/>
    <w:rsid w:val="22B0546B"/>
    <w:rsid w:val="238E7B64"/>
    <w:rsid w:val="24856237"/>
    <w:rsid w:val="24FE116D"/>
    <w:rsid w:val="25053D8A"/>
    <w:rsid w:val="25791876"/>
    <w:rsid w:val="25E20F82"/>
    <w:rsid w:val="25F45843"/>
    <w:rsid w:val="26795443"/>
    <w:rsid w:val="26B94C66"/>
    <w:rsid w:val="26FF6942"/>
    <w:rsid w:val="272B74FA"/>
    <w:rsid w:val="2840244E"/>
    <w:rsid w:val="2865301D"/>
    <w:rsid w:val="28732366"/>
    <w:rsid w:val="28C86C87"/>
    <w:rsid w:val="28FB65E3"/>
    <w:rsid w:val="296119D7"/>
    <w:rsid w:val="297D19A3"/>
    <w:rsid w:val="2A0E0B36"/>
    <w:rsid w:val="2A97100B"/>
    <w:rsid w:val="2A9C3F94"/>
    <w:rsid w:val="2B401296"/>
    <w:rsid w:val="2B9F277C"/>
    <w:rsid w:val="2C204567"/>
    <w:rsid w:val="2CB5592B"/>
    <w:rsid w:val="2D0635AD"/>
    <w:rsid w:val="2D0E0BB5"/>
    <w:rsid w:val="2D2307FE"/>
    <w:rsid w:val="2DAD1F37"/>
    <w:rsid w:val="2DCC5B6B"/>
    <w:rsid w:val="2DDB1EBF"/>
    <w:rsid w:val="2DF963B5"/>
    <w:rsid w:val="2E6961DD"/>
    <w:rsid w:val="2EA67F31"/>
    <w:rsid w:val="2EC40C57"/>
    <w:rsid w:val="2EE433BF"/>
    <w:rsid w:val="2FD162F0"/>
    <w:rsid w:val="30334755"/>
    <w:rsid w:val="307870C9"/>
    <w:rsid w:val="309A6C96"/>
    <w:rsid w:val="311233CC"/>
    <w:rsid w:val="312F2611"/>
    <w:rsid w:val="318850D4"/>
    <w:rsid w:val="31C3610C"/>
    <w:rsid w:val="31E83DC4"/>
    <w:rsid w:val="32696CB3"/>
    <w:rsid w:val="332E1E50"/>
    <w:rsid w:val="3388543E"/>
    <w:rsid w:val="34036C94"/>
    <w:rsid w:val="340B78F6"/>
    <w:rsid w:val="34160775"/>
    <w:rsid w:val="34375C94"/>
    <w:rsid w:val="34935BA4"/>
    <w:rsid w:val="34A264CA"/>
    <w:rsid w:val="34E46AC5"/>
    <w:rsid w:val="35153B70"/>
    <w:rsid w:val="35A05A75"/>
    <w:rsid w:val="36BA638E"/>
    <w:rsid w:val="36F76710"/>
    <w:rsid w:val="3703456E"/>
    <w:rsid w:val="37A26BD4"/>
    <w:rsid w:val="386E2C1B"/>
    <w:rsid w:val="39FC703A"/>
    <w:rsid w:val="3A4968CA"/>
    <w:rsid w:val="3AB072C1"/>
    <w:rsid w:val="3B352BB2"/>
    <w:rsid w:val="3B57188A"/>
    <w:rsid w:val="3B6D4312"/>
    <w:rsid w:val="3B7D5E2D"/>
    <w:rsid w:val="3BB466CB"/>
    <w:rsid w:val="3BB9179A"/>
    <w:rsid w:val="3C536A33"/>
    <w:rsid w:val="3CB7521C"/>
    <w:rsid w:val="3CE76215"/>
    <w:rsid w:val="3CFF0303"/>
    <w:rsid w:val="3D7619F9"/>
    <w:rsid w:val="3D96007A"/>
    <w:rsid w:val="3DDC3898"/>
    <w:rsid w:val="3E512B11"/>
    <w:rsid w:val="3E9F1660"/>
    <w:rsid w:val="3ECB4852"/>
    <w:rsid w:val="3F5F332B"/>
    <w:rsid w:val="3F8502F8"/>
    <w:rsid w:val="3FD704B2"/>
    <w:rsid w:val="3FE0447A"/>
    <w:rsid w:val="405854B3"/>
    <w:rsid w:val="409313F9"/>
    <w:rsid w:val="40B437EF"/>
    <w:rsid w:val="40CA2819"/>
    <w:rsid w:val="40CC6241"/>
    <w:rsid w:val="40DE71F5"/>
    <w:rsid w:val="40E43D1E"/>
    <w:rsid w:val="40F706D6"/>
    <w:rsid w:val="417254F7"/>
    <w:rsid w:val="418C72E5"/>
    <w:rsid w:val="41AE6491"/>
    <w:rsid w:val="41CE268F"/>
    <w:rsid w:val="41EC3A6C"/>
    <w:rsid w:val="42A2655E"/>
    <w:rsid w:val="42E71D47"/>
    <w:rsid w:val="436C5E0D"/>
    <w:rsid w:val="440F6ACF"/>
    <w:rsid w:val="44227249"/>
    <w:rsid w:val="44631084"/>
    <w:rsid w:val="446A549B"/>
    <w:rsid w:val="44800368"/>
    <w:rsid w:val="45C40D74"/>
    <w:rsid w:val="46871AD6"/>
    <w:rsid w:val="469519CD"/>
    <w:rsid w:val="46AE0CE1"/>
    <w:rsid w:val="46E31443"/>
    <w:rsid w:val="4735560E"/>
    <w:rsid w:val="47413F22"/>
    <w:rsid w:val="474927B8"/>
    <w:rsid w:val="47D55FFA"/>
    <w:rsid w:val="481D5A38"/>
    <w:rsid w:val="486D24D6"/>
    <w:rsid w:val="487975A7"/>
    <w:rsid w:val="48AC66CC"/>
    <w:rsid w:val="48B502A2"/>
    <w:rsid w:val="48E72086"/>
    <w:rsid w:val="494D5092"/>
    <w:rsid w:val="49732ED5"/>
    <w:rsid w:val="499321A6"/>
    <w:rsid w:val="4A1079FD"/>
    <w:rsid w:val="4A1D620C"/>
    <w:rsid w:val="4AE21D6F"/>
    <w:rsid w:val="4AEE0F2F"/>
    <w:rsid w:val="4B6449DF"/>
    <w:rsid w:val="4BC136D0"/>
    <w:rsid w:val="4C2E17B4"/>
    <w:rsid w:val="4CEE06A1"/>
    <w:rsid w:val="4D904DD7"/>
    <w:rsid w:val="4D9C287D"/>
    <w:rsid w:val="4DC53F66"/>
    <w:rsid w:val="4E4F4497"/>
    <w:rsid w:val="504F0E3F"/>
    <w:rsid w:val="50932EAD"/>
    <w:rsid w:val="50BE4C01"/>
    <w:rsid w:val="51035D74"/>
    <w:rsid w:val="51051E45"/>
    <w:rsid w:val="51552F81"/>
    <w:rsid w:val="5174053C"/>
    <w:rsid w:val="51AB2104"/>
    <w:rsid w:val="51E67581"/>
    <w:rsid w:val="525C5CD6"/>
    <w:rsid w:val="52796647"/>
    <w:rsid w:val="52840C61"/>
    <w:rsid w:val="53427976"/>
    <w:rsid w:val="53A63423"/>
    <w:rsid w:val="53CE29C2"/>
    <w:rsid w:val="54386D63"/>
    <w:rsid w:val="54A36172"/>
    <w:rsid w:val="54B0714A"/>
    <w:rsid w:val="54BC0EE8"/>
    <w:rsid w:val="553F17CD"/>
    <w:rsid w:val="55833339"/>
    <w:rsid w:val="55D41C4B"/>
    <w:rsid w:val="562E1696"/>
    <w:rsid w:val="594F1692"/>
    <w:rsid w:val="59566C52"/>
    <w:rsid w:val="5AAF5CCA"/>
    <w:rsid w:val="5AD32383"/>
    <w:rsid w:val="5AD75A27"/>
    <w:rsid w:val="5B6E68B8"/>
    <w:rsid w:val="5B8D6C19"/>
    <w:rsid w:val="5BCE61FA"/>
    <w:rsid w:val="5C9B134E"/>
    <w:rsid w:val="5CE91666"/>
    <w:rsid w:val="5D580334"/>
    <w:rsid w:val="5DAA1580"/>
    <w:rsid w:val="5DF9688E"/>
    <w:rsid w:val="5E1A6FB5"/>
    <w:rsid w:val="5E3329AB"/>
    <w:rsid w:val="5E7A3CE2"/>
    <w:rsid w:val="5F355496"/>
    <w:rsid w:val="5F84662B"/>
    <w:rsid w:val="5F857532"/>
    <w:rsid w:val="60083F26"/>
    <w:rsid w:val="603C0CB4"/>
    <w:rsid w:val="608C09EB"/>
    <w:rsid w:val="60995CE1"/>
    <w:rsid w:val="613C2115"/>
    <w:rsid w:val="614D13CA"/>
    <w:rsid w:val="61746D1A"/>
    <w:rsid w:val="61A7533B"/>
    <w:rsid w:val="62B2296D"/>
    <w:rsid w:val="62BD60DC"/>
    <w:rsid w:val="62C266BA"/>
    <w:rsid w:val="636147EE"/>
    <w:rsid w:val="63677EFB"/>
    <w:rsid w:val="63DB6B9E"/>
    <w:rsid w:val="63F47577"/>
    <w:rsid w:val="64C73242"/>
    <w:rsid w:val="65B441A4"/>
    <w:rsid w:val="66373494"/>
    <w:rsid w:val="66591B82"/>
    <w:rsid w:val="66790C75"/>
    <w:rsid w:val="66BA2932"/>
    <w:rsid w:val="66E66212"/>
    <w:rsid w:val="67110541"/>
    <w:rsid w:val="674F15EA"/>
    <w:rsid w:val="67865CFD"/>
    <w:rsid w:val="67A63985"/>
    <w:rsid w:val="684E77D6"/>
    <w:rsid w:val="686731DA"/>
    <w:rsid w:val="6898637C"/>
    <w:rsid w:val="68B16D7B"/>
    <w:rsid w:val="68BA7003"/>
    <w:rsid w:val="68C057C9"/>
    <w:rsid w:val="6A364F93"/>
    <w:rsid w:val="6BE11926"/>
    <w:rsid w:val="6C450EF0"/>
    <w:rsid w:val="6C920572"/>
    <w:rsid w:val="6CFC5A53"/>
    <w:rsid w:val="6D7E6398"/>
    <w:rsid w:val="6D827B87"/>
    <w:rsid w:val="6DC31ECB"/>
    <w:rsid w:val="6E41361A"/>
    <w:rsid w:val="6E656845"/>
    <w:rsid w:val="6EA64B45"/>
    <w:rsid w:val="6F471F5D"/>
    <w:rsid w:val="705D4A5A"/>
    <w:rsid w:val="7072470C"/>
    <w:rsid w:val="70AB3A18"/>
    <w:rsid w:val="70D170FB"/>
    <w:rsid w:val="70D42DED"/>
    <w:rsid w:val="710F157A"/>
    <w:rsid w:val="718C3480"/>
    <w:rsid w:val="726F354B"/>
    <w:rsid w:val="72B9765A"/>
    <w:rsid w:val="72F3401B"/>
    <w:rsid w:val="731416B4"/>
    <w:rsid w:val="73712518"/>
    <w:rsid w:val="738E7AB2"/>
    <w:rsid w:val="73A54F01"/>
    <w:rsid w:val="73DF2037"/>
    <w:rsid w:val="73F47C56"/>
    <w:rsid w:val="74624F7D"/>
    <w:rsid w:val="74652E24"/>
    <w:rsid w:val="7546516B"/>
    <w:rsid w:val="758F20BE"/>
    <w:rsid w:val="75AF555B"/>
    <w:rsid w:val="765B7357"/>
    <w:rsid w:val="76DD73DE"/>
    <w:rsid w:val="76F3488A"/>
    <w:rsid w:val="77281C38"/>
    <w:rsid w:val="77DC6BAC"/>
    <w:rsid w:val="78144651"/>
    <w:rsid w:val="781828A1"/>
    <w:rsid w:val="78780B98"/>
    <w:rsid w:val="788E06C1"/>
    <w:rsid w:val="78D76423"/>
    <w:rsid w:val="78FF6FF6"/>
    <w:rsid w:val="79382508"/>
    <w:rsid w:val="795409C4"/>
    <w:rsid w:val="79704591"/>
    <w:rsid w:val="79923F6A"/>
    <w:rsid w:val="79E02BD8"/>
    <w:rsid w:val="7A3458D0"/>
    <w:rsid w:val="7A4B048B"/>
    <w:rsid w:val="7A635363"/>
    <w:rsid w:val="7A96669D"/>
    <w:rsid w:val="7B305DB2"/>
    <w:rsid w:val="7B4F6DFC"/>
    <w:rsid w:val="7B667A30"/>
    <w:rsid w:val="7B672810"/>
    <w:rsid w:val="7B681B66"/>
    <w:rsid w:val="7BCD518A"/>
    <w:rsid w:val="7C6B2EC5"/>
    <w:rsid w:val="7CB753E4"/>
    <w:rsid w:val="7E1D1CCD"/>
    <w:rsid w:val="7E300909"/>
    <w:rsid w:val="7EA1645A"/>
    <w:rsid w:val="7EC84C80"/>
    <w:rsid w:val="7ECD263E"/>
    <w:rsid w:val="7ED83F50"/>
    <w:rsid w:val="7EF55FF4"/>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5">
    <w:name w:val="Body Text First Indent"/>
    <w:basedOn w:val="6"/>
    <w:link w:val="31"/>
    <w:qFormat/>
    <w:uiPriority w:val="0"/>
    <w:pPr>
      <w:spacing w:beforeAutospacing="1" w:after="120"/>
      <w:ind w:firstLine="420"/>
    </w:pPr>
    <w:rPr>
      <w:rFonts w:ascii="Times New Roman" w:hAnsi="Times New Roman" w:eastAsia="宋体" w:cs="Times New Roman"/>
      <w:szCs w:val="21"/>
    </w:rPr>
  </w:style>
  <w:style w:type="paragraph" w:styleId="6">
    <w:name w:val="Body Text"/>
    <w:basedOn w:val="1"/>
    <w:next w:val="1"/>
    <w:qFormat/>
    <w:uiPriority w:val="0"/>
  </w:style>
  <w:style w:type="paragraph" w:styleId="7">
    <w:name w:val="annotation text"/>
    <w:basedOn w:val="1"/>
    <w:semiHidden/>
    <w:unhideWhenUsed/>
    <w:qFormat/>
    <w:uiPriority w:val="0"/>
    <w:pPr>
      <w:jc w:val="left"/>
    </w:pPr>
  </w:style>
  <w:style w:type="paragraph" w:styleId="8">
    <w:name w:val="Plain Text"/>
    <w:basedOn w:val="1"/>
    <w:link w:val="30"/>
    <w:qFormat/>
    <w:uiPriority w:val="0"/>
    <w:rPr>
      <w:rFonts w:hint="eastAsia" w:ascii="宋体" w:hAnsi="Courier New" w:eastAsia="宋体" w:cs="Times New Roman"/>
      <w:szCs w:val="21"/>
    </w:rPr>
  </w:style>
  <w:style w:type="paragraph" w:styleId="9">
    <w:name w:val="Balloon Text"/>
    <w:basedOn w:val="1"/>
    <w:link w:val="28"/>
    <w:qFormat/>
    <w:uiPriority w:val="0"/>
    <w:rPr>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eastAsia="宋体" w:cs="Times New Roman"/>
      <w:szCs w:val="21"/>
    </w:rPr>
  </w:style>
  <w:style w:type="paragraph" w:styleId="13">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5">
    <w:name w:val="page number"/>
    <w:basedOn w:val="14"/>
    <w:qFormat/>
    <w:uiPriority w:val="0"/>
  </w:style>
  <w:style w:type="character" w:styleId="16">
    <w:name w:val="FollowedHyperlink"/>
    <w:basedOn w:val="14"/>
    <w:qFormat/>
    <w:uiPriority w:val="0"/>
    <w:rPr>
      <w:color w:val="0000FF"/>
      <w:u w:val="single"/>
    </w:rPr>
  </w:style>
  <w:style w:type="character" w:styleId="17">
    <w:name w:val="Hyperlink"/>
    <w:basedOn w:val="14"/>
    <w:qFormat/>
    <w:uiPriority w:val="0"/>
    <w:rPr>
      <w:color w:val="0000FF"/>
      <w:u w:val="single"/>
    </w:rPr>
  </w:style>
  <w:style w:type="paragraph" w:customStyle="1" w:styleId="19">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0">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1">
    <w:name w:val="列出段落1"/>
    <w:basedOn w:val="1"/>
    <w:qFormat/>
    <w:uiPriority w:val="0"/>
    <w:pPr>
      <w:ind w:firstLine="420" w:firstLineChars="200"/>
    </w:pPr>
    <w:rPr>
      <w:rFonts w:ascii="Calibri" w:hAnsi="Calibri" w:eastAsia="宋体" w:cs="Times New Roman"/>
      <w:szCs w:val="21"/>
    </w:rPr>
  </w:style>
  <w:style w:type="paragraph" w:customStyle="1" w:styleId="22">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3">
    <w:name w:val="10"/>
    <w:basedOn w:val="14"/>
    <w:qFormat/>
    <w:uiPriority w:val="0"/>
    <w:rPr>
      <w:rFonts w:hint="default" w:ascii="Times New Roman" w:hAnsi="Times New Roman" w:cs="Times New Roman"/>
    </w:rPr>
  </w:style>
  <w:style w:type="character" w:customStyle="1" w:styleId="24">
    <w:name w:val="15"/>
    <w:basedOn w:val="14"/>
    <w:qFormat/>
    <w:uiPriority w:val="0"/>
    <w:rPr>
      <w:rFonts w:hint="default" w:ascii="Times New Roman" w:hAnsi="Times New Roman" w:cs="Times New Roman"/>
    </w:rPr>
  </w:style>
  <w:style w:type="character" w:customStyle="1" w:styleId="25">
    <w:name w:val="16"/>
    <w:basedOn w:val="14"/>
    <w:qFormat/>
    <w:uiPriority w:val="0"/>
    <w:rPr>
      <w:rFonts w:hint="default" w:ascii="Times New Roman" w:hAnsi="Times New Roman" w:cs="Times New Roman"/>
      <w:color w:val="0000FF"/>
      <w:u w:val="single"/>
    </w:rPr>
  </w:style>
  <w:style w:type="character" w:customStyle="1" w:styleId="26">
    <w:name w:val="页眉 Char"/>
    <w:basedOn w:val="14"/>
    <w:link w:val="11"/>
    <w:qFormat/>
    <w:uiPriority w:val="0"/>
    <w:rPr>
      <w:rFonts w:asciiTheme="minorHAnsi" w:hAnsiTheme="minorHAnsi" w:eastAsiaTheme="minorEastAsia" w:cstheme="minorBidi"/>
      <w:kern w:val="2"/>
      <w:sz w:val="18"/>
      <w:szCs w:val="18"/>
    </w:rPr>
  </w:style>
  <w:style w:type="character" w:customStyle="1" w:styleId="27">
    <w:name w:val="页脚 Char"/>
    <w:basedOn w:val="14"/>
    <w:link w:val="10"/>
    <w:qFormat/>
    <w:uiPriority w:val="0"/>
    <w:rPr>
      <w:rFonts w:asciiTheme="minorHAnsi" w:hAnsiTheme="minorHAnsi" w:eastAsiaTheme="minorEastAsia" w:cstheme="minorBidi"/>
      <w:kern w:val="2"/>
      <w:sz w:val="18"/>
      <w:szCs w:val="18"/>
    </w:rPr>
  </w:style>
  <w:style w:type="character" w:customStyle="1" w:styleId="28">
    <w:name w:val="批注框文本 Char"/>
    <w:basedOn w:val="14"/>
    <w:link w:val="9"/>
    <w:qFormat/>
    <w:uiPriority w:val="0"/>
    <w:rPr>
      <w:rFonts w:asciiTheme="minorHAnsi" w:hAnsiTheme="minorHAnsi" w:eastAsiaTheme="minorEastAsia" w:cstheme="minorBidi"/>
      <w:kern w:val="2"/>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纯文本 Char"/>
    <w:link w:val="8"/>
    <w:qFormat/>
    <w:uiPriority w:val="0"/>
    <w:rPr>
      <w:rFonts w:ascii="宋体" w:hAnsi="Courier New"/>
      <w:kern w:val="2"/>
      <w:sz w:val="21"/>
      <w:szCs w:val="21"/>
    </w:rPr>
  </w:style>
  <w:style w:type="character" w:customStyle="1" w:styleId="31">
    <w:name w:val="正文首行缩进 Char"/>
    <w:basedOn w:val="14"/>
    <w:link w:val="5"/>
    <w:qFormat/>
    <w:uiPriority w:val="0"/>
    <w:rPr>
      <w:kern w:val="2"/>
      <w:sz w:val="21"/>
      <w:szCs w:val="21"/>
    </w:rPr>
  </w:style>
  <w:style w:type="paragraph" w:styleId="32">
    <w:name w:val="List Paragraph"/>
    <w:basedOn w:val="1"/>
    <w:unhideWhenUsed/>
    <w:qFormat/>
    <w:uiPriority w:val="99"/>
    <w:pPr>
      <w:ind w:firstLine="420" w:firstLineChars="200"/>
    </w:pPr>
  </w:style>
  <w:style w:type="paragraph" w:customStyle="1" w:styleId="33">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4">
    <w:name w:val="发文落款"/>
    <w:basedOn w:val="33"/>
    <w:qFormat/>
    <w:uiPriority w:val="0"/>
    <w:pPr>
      <w:ind w:left="4094" w:right="607" w:firstLine="0"/>
      <w:jc w:val="center"/>
    </w:pPr>
  </w:style>
  <w:style w:type="paragraph" w:customStyle="1" w:styleId="35">
    <w:name w:val="样式 小四 行距: 1.5 倍行距"/>
    <w:basedOn w:val="1"/>
    <w:qFormat/>
    <w:uiPriority w:val="0"/>
    <w:pPr>
      <w:ind w:firstLine="480"/>
    </w:pPr>
    <w:rPr>
      <w:rFonts w:cs="宋体"/>
    </w:rPr>
  </w:style>
  <w:style w:type="paragraph" w:customStyle="1" w:styleId="36">
    <w:name w:val="列出段落"/>
    <w:basedOn w:val="1"/>
    <w:qFormat/>
    <w:uiPriority w:val="0"/>
    <w:pPr>
      <w:widowControl w:val="0"/>
      <w:ind w:firstLine="420" w:firstLineChars="200"/>
      <w:jc w:val="both"/>
    </w:pPr>
    <w:rPr>
      <w:rFonts w:ascii="宋体" w:hAnsi="宋体"/>
      <w:kern w:val="2"/>
      <w:sz w:val="21"/>
      <w:szCs w:val="21"/>
      <w:lang w:eastAsia="zh-CN"/>
    </w:rPr>
  </w:style>
  <w:style w:type="character" w:customStyle="1" w:styleId="37">
    <w:name w:val="iconline2"/>
    <w:basedOn w:val="14"/>
    <w:qFormat/>
    <w:uiPriority w:val="0"/>
  </w:style>
  <w:style w:type="character" w:customStyle="1" w:styleId="38">
    <w:name w:val="iconline21"/>
    <w:basedOn w:val="14"/>
    <w:qFormat/>
    <w:uiPriority w:val="0"/>
  </w:style>
  <w:style w:type="character" w:customStyle="1" w:styleId="39">
    <w:name w:val="icontext3"/>
    <w:basedOn w:val="14"/>
    <w:qFormat/>
    <w:uiPriority w:val="0"/>
  </w:style>
  <w:style w:type="character" w:customStyle="1" w:styleId="40">
    <w:name w:val="tmpztreemove_arrow"/>
    <w:basedOn w:val="14"/>
    <w:qFormat/>
    <w:uiPriority w:val="0"/>
  </w:style>
  <w:style w:type="character" w:customStyle="1" w:styleId="41">
    <w:name w:val="pagechatarealistclose_box"/>
    <w:basedOn w:val="14"/>
    <w:qFormat/>
    <w:uiPriority w:val="0"/>
  </w:style>
  <w:style w:type="character" w:customStyle="1" w:styleId="42">
    <w:name w:val="pagechatarealistclose_box1"/>
    <w:basedOn w:val="14"/>
    <w:qFormat/>
    <w:uiPriority w:val="0"/>
  </w:style>
  <w:style w:type="character" w:customStyle="1" w:styleId="43">
    <w:name w:val="cy"/>
    <w:basedOn w:val="14"/>
    <w:qFormat/>
    <w:uiPriority w:val="0"/>
  </w:style>
  <w:style w:type="character" w:customStyle="1" w:styleId="44">
    <w:name w:val="cdropright"/>
    <w:basedOn w:val="14"/>
    <w:qFormat/>
    <w:uiPriority w:val="0"/>
  </w:style>
  <w:style w:type="character" w:customStyle="1" w:styleId="45">
    <w:name w:val="w32"/>
    <w:basedOn w:val="14"/>
    <w:qFormat/>
    <w:uiPriority w:val="0"/>
  </w:style>
  <w:style w:type="character" w:customStyle="1" w:styleId="46">
    <w:name w:val="after"/>
    <w:basedOn w:val="14"/>
    <w:qFormat/>
    <w:uiPriority w:val="0"/>
    <w:rPr>
      <w:sz w:val="0"/>
      <w:szCs w:val="0"/>
    </w:rPr>
  </w:style>
  <w:style w:type="character" w:customStyle="1" w:styleId="47">
    <w:name w:val="button4"/>
    <w:basedOn w:val="14"/>
    <w:qFormat/>
    <w:uiPriority w:val="0"/>
  </w:style>
  <w:style w:type="character" w:customStyle="1" w:styleId="48">
    <w:name w:val="drapbtn"/>
    <w:basedOn w:val="14"/>
    <w:qFormat/>
    <w:uiPriority w:val="0"/>
  </w:style>
  <w:style w:type="character" w:customStyle="1" w:styleId="49">
    <w:name w:val="ico1654"/>
    <w:basedOn w:val="14"/>
    <w:qFormat/>
    <w:uiPriority w:val="0"/>
  </w:style>
  <w:style w:type="character" w:customStyle="1" w:styleId="50">
    <w:name w:val="ico1655"/>
    <w:basedOn w:val="14"/>
    <w:qFormat/>
    <w:uiPriority w:val="0"/>
  </w:style>
  <w:style w:type="character" w:customStyle="1" w:styleId="51">
    <w:name w:val="icontext1"/>
    <w:basedOn w:val="14"/>
    <w:qFormat/>
    <w:uiPriority w:val="0"/>
  </w:style>
  <w:style w:type="character" w:customStyle="1" w:styleId="52">
    <w:name w:val="icontext11"/>
    <w:basedOn w:val="14"/>
    <w:qFormat/>
    <w:uiPriority w:val="0"/>
  </w:style>
  <w:style w:type="character" w:customStyle="1" w:styleId="53">
    <w:name w:val="icontext12"/>
    <w:basedOn w:val="14"/>
    <w:qFormat/>
    <w:uiPriority w:val="0"/>
  </w:style>
  <w:style w:type="character" w:customStyle="1" w:styleId="54">
    <w:name w:val="icontext2"/>
    <w:basedOn w:val="14"/>
    <w:qFormat/>
    <w:uiPriority w:val="0"/>
  </w:style>
  <w:style w:type="character" w:customStyle="1" w:styleId="55">
    <w:name w:val="associateddata"/>
    <w:basedOn w:val="14"/>
    <w:qFormat/>
    <w:uiPriority w:val="0"/>
    <w:rPr>
      <w:shd w:val="clear" w:fill="50A6F9"/>
    </w:rPr>
  </w:style>
  <w:style w:type="character" w:customStyle="1" w:styleId="56">
    <w:name w:val="hilite6"/>
    <w:basedOn w:val="14"/>
    <w:uiPriority w:val="0"/>
    <w:rPr>
      <w:color w:val="FFFFFF"/>
      <w:shd w:val="clear" w:fill="666666"/>
    </w:rPr>
  </w:style>
  <w:style w:type="character" w:customStyle="1" w:styleId="57">
    <w:name w:val="cdropleft"/>
    <w:basedOn w:val="14"/>
    <w:uiPriority w:val="0"/>
  </w:style>
  <w:style w:type="character" w:customStyle="1" w:styleId="58">
    <w:name w:val="active5"/>
    <w:basedOn w:val="14"/>
    <w:qFormat/>
    <w:uiPriority w:val="0"/>
    <w:rPr>
      <w:color w:val="00FF00"/>
      <w:shd w:val="clear" w:fill="111111"/>
    </w:rPr>
  </w:style>
  <w:style w:type="character" w:customStyle="1" w:styleId="59">
    <w:name w:val="layui-layer-tabnow"/>
    <w:basedOn w:val="14"/>
    <w:qFormat/>
    <w:uiPriority w:val="0"/>
    <w:rPr>
      <w:bdr w:val="single" w:color="CCCCCC" w:sz="6" w:space="0"/>
      <w:shd w:val="clear" w:fill="FFFFFF"/>
    </w:rPr>
  </w:style>
  <w:style w:type="character" w:customStyle="1" w:styleId="60">
    <w:name w:val="first-child"/>
    <w:basedOn w:val="14"/>
    <w:qFormat/>
    <w:uiPriority w:val="0"/>
  </w:style>
  <w:style w:type="character" w:customStyle="1" w:styleId="61">
    <w:name w:val="font51"/>
    <w:basedOn w:val="14"/>
    <w:qFormat/>
    <w:uiPriority w:val="0"/>
    <w:rPr>
      <w:rFonts w:ascii="Calibri" w:hAnsi="Calibri" w:cs="Calibri"/>
      <w:color w:val="000000"/>
      <w:sz w:val="21"/>
      <w:szCs w:val="21"/>
      <w:u w:val="none"/>
    </w:rPr>
  </w:style>
  <w:style w:type="character" w:customStyle="1" w:styleId="62">
    <w:name w:val="font11"/>
    <w:basedOn w:val="14"/>
    <w:qFormat/>
    <w:uiPriority w:val="0"/>
    <w:rPr>
      <w:rFonts w:hint="eastAsia" w:ascii="宋体" w:hAnsi="宋体" w:eastAsia="宋体" w:cs="宋体"/>
      <w:color w:val="000000"/>
      <w:sz w:val="21"/>
      <w:szCs w:val="21"/>
      <w:u w:val="none"/>
    </w:rPr>
  </w:style>
  <w:style w:type="character" w:customStyle="1" w:styleId="63">
    <w:name w:val="font01"/>
    <w:basedOn w:val="14"/>
    <w:qFormat/>
    <w:uiPriority w:val="0"/>
    <w:rPr>
      <w:rFonts w:ascii="Calibri" w:hAnsi="Calibri" w:cs="Calibri"/>
      <w:color w:val="000000"/>
      <w:sz w:val="21"/>
      <w:szCs w:val="21"/>
      <w:u w:val="none"/>
    </w:rPr>
  </w:style>
  <w:style w:type="character" w:customStyle="1" w:styleId="64">
    <w:name w:val="font41"/>
    <w:basedOn w:val="14"/>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EE305-43BA-46E1-85F4-564A5F93B7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15045</Words>
  <Characters>15793</Characters>
  <Lines>139</Lines>
  <Paragraphs>39</Paragraphs>
  <TotalTime>21</TotalTime>
  <ScaleCrop>false</ScaleCrop>
  <LinksUpToDate>false</LinksUpToDate>
  <CharactersWithSpaces>16622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2022-07-22T06:29:00Z</dcterms:created>
  <dc:creator>李晓晨</dc:creator>
  <cp:lastModifiedBy>彭宇</cp:lastModifiedBy>
  <cp:lastPrinted>2023-04-10T01:56:00Z</cp:lastPrinted>
  <dcterms:modified xsi:type="dcterms:W3CDTF">2023-08-21T06:22:23Z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93B49DEBCFF2414B97A5048591BA95A5</vt:lpwstr>
  </property>
</Properties>
</file>