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exact"/>
        <w:rPr>
          <w:rFonts w:ascii="宋体" w:hAnsi="宋体" w:eastAsia="宋体" w:cs="宋体"/>
          <w:color w:val="auto"/>
          <w:szCs w:val="21"/>
          <w:highlight w:val="none"/>
        </w:rPr>
      </w:pPr>
    </w:p>
    <w:p>
      <w:pPr>
        <w:pStyle w:val="22"/>
        <w:rPr>
          <w:highlight w:val="none"/>
        </w:rPr>
      </w:pPr>
    </w:p>
    <w:p>
      <w:pPr>
        <w:jc w:val="center"/>
        <w:rPr>
          <w:rFonts w:hint="eastAsia" w:ascii="宋体" w:hAnsi="宋体" w:eastAsia="宋体" w:cs="宋体"/>
          <w:b/>
          <w:color w:val="auto"/>
          <w:sz w:val="44"/>
          <w:szCs w:val="44"/>
          <w:highlight w:val="none"/>
          <w:lang w:val="en-US" w:eastAsia="zh-CN"/>
        </w:rPr>
      </w:pPr>
      <w:r>
        <w:rPr>
          <w:rFonts w:hint="eastAsia" w:ascii="宋体" w:hAnsi="宋体" w:eastAsia="宋体" w:cs="宋体"/>
          <w:b/>
          <w:bCs w:val="0"/>
          <w:color w:val="auto"/>
          <w:sz w:val="44"/>
          <w:szCs w:val="44"/>
          <w:highlight w:val="none"/>
          <w:lang w:val="en-US" w:eastAsia="zh-CN"/>
        </w:rPr>
        <w:t>湿地一期景区木结构整体刷漆维护保养</w:t>
      </w:r>
      <w:r>
        <w:rPr>
          <w:rFonts w:hint="eastAsia" w:ascii="宋体" w:hAnsi="宋体" w:eastAsia="宋体" w:cs="宋体"/>
          <w:b/>
          <w:color w:val="auto"/>
          <w:sz w:val="44"/>
          <w:szCs w:val="44"/>
          <w:highlight w:val="none"/>
          <w:lang w:val="en-US" w:eastAsia="zh-CN"/>
        </w:rPr>
        <w:t>项目</w:t>
      </w:r>
    </w:p>
    <w:p>
      <w:pPr>
        <w:jc w:val="center"/>
        <w:rPr>
          <w:rFonts w:hint="eastAsia" w:ascii="宋体" w:hAnsi="宋体" w:eastAsia="宋体" w:cs="宋体"/>
          <w:b/>
          <w:color w:val="auto"/>
          <w:sz w:val="44"/>
          <w:szCs w:val="44"/>
          <w:highlight w:val="none"/>
          <w:lang w:eastAsia="zh-CN"/>
        </w:rPr>
      </w:pPr>
      <w:r>
        <w:rPr>
          <w:rFonts w:hint="eastAsia" w:ascii="宋体" w:hAnsi="宋体" w:eastAsia="宋体" w:cs="宋体"/>
          <w:b/>
          <w:bCs w:val="0"/>
          <w:color w:val="auto"/>
          <w:sz w:val="44"/>
          <w:szCs w:val="44"/>
          <w:highlight w:val="none"/>
          <w:lang w:val="en-US" w:eastAsia="zh-CN"/>
        </w:rPr>
        <w:t>（第二次）</w:t>
      </w:r>
    </w:p>
    <w:p>
      <w:pPr>
        <w:rPr>
          <w:rFonts w:ascii="宋体" w:hAnsi="宋体" w:eastAsia="宋体" w:cs="宋体"/>
          <w:color w:val="auto"/>
          <w:sz w:val="72"/>
          <w:szCs w:val="72"/>
          <w:highlight w:val="none"/>
        </w:rPr>
      </w:pPr>
    </w:p>
    <w:p>
      <w:pPr>
        <w:rPr>
          <w:rFonts w:ascii="宋体" w:hAnsi="宋体" w:eastAsia="宋体" w:cs="宋体"/>
          <w:color w:val="auto"/>
          <w:sz w:val="72"/>
          <w:szCs w:val="72"/>
          <w:highlight w:val="none"/>
        </w:rPr>
      </w:pPr>
      <w:r>
        <w:rPr>
          <w:rFonts w:hint="eastAsia" w:ascii="宋体" w:hAnsi="宋体" w:eastAsia="宋体" w:cs="宋体"/>
          <w:color w:val="auto"/>
          <w:sz w:val="72"/>
          <w:szCs w:val="72"/>
          <w:highlight w:val="none"/>
        </w:rPr>
        <w:t xml:space="preserve"> </w:t>
      </w:r>
    </w:p>
    <w:p>
      <w:pPr>
        <w:jc w:val="center"/>
        <w:rPr>
          <w:rFonts w:ascii="楷体" w:hAnsi="楷体" w:eastAsia="楷体" w:cs="楷体"/>
          <w:b/>
          <w:color w:val="auto"/>
          <w:sz w:val="110"/>
          <w:szCs w:val="110"/>
          <w:highlight w:val="none"/>
        </w:rPr>
      </w:pPr>
      <w:r>
        <w:rPr>
          <w:rFonts w:hint="eastAsia" w:ascii="楷体" w:hAnsi="楷体" w:eastAsia="楷体" w:cs="楷体"/>
          <w:b/>
          <w:color w:val="auto"/>
          <w:sz w:val="110"/>
          <w:szCs w:val="110"/>
          <w:highlight w:val="none"/>
        </w:rPr>
        <w:t>招 标 文 件</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ind w:firstLine="1285" w:firstLineChars="400"/>
        <w:jc w:val="both"/>
        <w:rPr>
          <w:rFonts w:ascii="宋体" w:hAnsi="宋体" w:eastAsia="宋体" w:cs="宋体"/>
          <w:color w:val="auto"/>
          <w:sz w:val="32"/>
          <w:szCs w:val="32"/>
          <w:highlight w:val="none"/>
        </w:rPr>
      </w:pPr>
      <w:bookmarkStart w:id="0" w:name="_Toc29976"/>
      <w:r>
        <w:rPr>
          <w:rFonts w:hint="eastAsia" w:ascii="宋体" w:hAnsi="宋体" w:eastAsia="宋体" w:cs="宋体"/>
          <w:b/>
          <w:color w:val="auto"/>
          <w:sz w:val="32"/>
          <w:szCs w:val="32"/>
          <w:highlight w:val="none"/>
        </w:rPr>
        <w:t>招标人：</w:t>
      </w:r>
      <w:r>
        <w:rPr>
          <w:rFonts w:hint="eastAsia" w:ascii="宋体" w:hAnsi="宋体" w:eastAsia="宋体" w:cs="宋体"/>
          <w:b/>
          <w:color w:val="auto"/>
          <w:sz w:val="32"/>
          <w:szCs w:val="32"/>
          <w:highlight w:val="none"/>
          <w:lang w:eastAsia="zh-CN"/>
        </w:rPr>
        <w:t>广州南沙</w:t>
      </w:r>
      <w:r>
        <w:rPr>
          <w:rFonts w:hint="eastAsia" w:ascii="宋体" w:hAnsi="宋体" w:eastAsia="宋体" w:cs="宋体"/>
          <w:b/>
          <w:color w:val="auto"/>
          <w:sz w:val="32"/>
          <w:szCs w:val="32"/>
          <w:highlight w:val="none"/>
          <w:lang w:val="en-US" w:eastAsia="zh-CN"/>
        </w:rPr>
        <w:t>湿地</w:t>
      </w:r>
      <w:r>
        <w:rPr>
          <w:rFonts w:hint="eastAsia" w:ascii="宋体" w:hAnsi="宋体" w:eastAsia="宋体" w:cs="宋体"/>
          <w:b/>
          <w:color w:val="auto"/>
          <w:sz w:val="32"/>
          <w:szCs w:val="32"/>
          <w:highlight w:val="none"/>
          <w:lang w:eastAsia="zh-CN"/>
        </w:rPr>
        <w:t>旅游发展有限公司</w:t>
      </w:r>
    </w:p>
    <w:p>
      <w:pPr>
        <w:spacing w:line="520" w:lineRule="exact"/>
        <w:ind w:right="-101" w:rightChars="-48" w:firstLine="1285" w:firstLineChars="400"/>
        <w:rPr>
          <w:rFonts w:ascii="宋体" w:hAnsi="宋体" w:eastAsia="宋体" w:cs="宋体"/>
          <w:color w:val="auto"/>
          <w:spacing w:val="28"/>
          <w:position w:val="8"/>
          <w:sz w:val="28"/>
          <w:szCs w:val="28"/>
          <w:highlight w:val="none"/>
        </w:rPr>
      </w:pPr>
      <w:bookmarkStart w:id="1" w:name="OLE_LINK4"/>
      <w:bookmarkEnd w:id="1"/>
      <w:r>
        <w:rPr>
          <w:rFonts w:hint="eastAsia" w:ascii="宋体" w:hAnsi="宋体" w:eastAsia="宋体" w:cs="宋体"/>
          <w:b/>
          <w:color w:val="auto"/>
          <w:sz w:val="32"/>
          <w:szCs w:val="32"/>
          <w:highlight w:val="none"/>
        </w:rPr>
        <w:t>日</w:t>
      </w:r>
      <w:r>
        <w:rPr>
          <w:rFonts w:hint="eastAsia" w:ascii="宋体" w:hAnsi="宋体" w:eastAsia="宋体" w:cs="宋体"/>
          <w:b/>
          <w:color w:val="auto"/>
          <w:sz w:val="32"/>
          <w:szCs w:val="32"/>
          <w:highlight w:val="none"/>
          <w:lang w:val="en-US" w:eastAsia="zh-CN"/>
        </w:rPr>
        <w:t xml:space="preserve">  </w:t>
      </w:r>
      <w:r>
        <w:rPr>
          <w:rFonts w:hint="eastAsia" w:ascii="宋体" w:hAnsi="宋体" w:eastAsia="宋体" w:cs="宋体"/>
          <w:b/>
          <w:color w:val="auto"/>
          <w:sz w:val="32"/>
          <w:szCs w:val="32"/>
          <w:highlight w:val="none"/>
        </w:rPr>
        <w:t>期：202</w:t>
      </w:r>
      <w:r>
        <w:rPr>
          <w:rFonts w:hint="eastAsia" w:ascii="宋体" w:hAnsi="宋体" w:eastAsia="宋体" w:cs="宋体"/>
          <w:b/>
          <w:color w:val="auto"/>
          <w:sz w:val="32"/>
          <w:szCs w:val="32"/>
          <w:highlight w:val="none"/>
          <w:lang w:val="en-US" w:eastAsia="zh-CN"/>
        </w:rPr>
        <w:t>3</w:t>
      </w:r>
      <w:r>
        <w:rPr>
          <w:rFonts w:hint="eastAsia" w:ascii="宋体" w:hAnsi="宋体" w:eastAsia="宋体" w:cs="宋体"/>
          <w:b/>
          <w:color w:val="auto"/>
          <w:sz w:val="32"/>
          <w:szCs w:val="32"/>
          <w:highlight w:val="none"/>
        </w:rPr>
        <w:t>年</w:t>
      </w:r>
      <w:r>
        <w:rPr>
          <w:rFonts w:hint="eastAsia" w:ascii="宋体" w:hAnsi="宋体" w:eastAsia="宋体" w:cs="宋体"/>
          <w:b/>
          <w:color w:val="auto"/>
          <w:sz w:val="32"/>
          <w:szCs w:val="32"/>
          <w:highlight w:val="none"/>
          <w:lang w:val="en-US" w:eastAsia="zh-CN"/>
        </w:rPr>
        <w:t>8月</w:t>
      </w:r>
    </w:p>
    <w:p>
      <w:pPr>
        <w:rPr>
          <w:rFonts w:ascii="黑体" w:hAnsi="宋体" w:eastAsia="黑体" w:cs="黑体"/>
          <w:color w:val="auto"/>
          <w:sz w:val="36"/>
          <w:szCs w:val="36"/>
          <w:highlight w:val="none"/>
        </w:rPr>
        <w:sectPr>
          <w:pgSz w:w="11906" w:h="16840"/>
          <w:pgMar w:top="1247" w:right="1135" w:bottom="1247" w:left="1361" w:header="720" w:footer="720" w:gutter="0"/>
          <w:cols w:space="425" w:num="1"/>
          <w:docGrid w:type="lines" w:linePitch="285" w:charSpace="0"/>
        </w:sectPr>
      </w:pPr>
    </w:p>
    <w:p>
      <w:pPr>
        <w:rPr>
          <w:rFonts w:hint="eastAsia" w:ascii="宋体" w:hAnsi="宋体" w:eastAsia="宋体" w:cs="宋体"/>
          <w:color w:val="auto"/>
          <w:sz w:val="24"/>
          <w:szCs w:val="24"/>
          <w:highlight w:val="none"/>
        </w:rPr>
      </w:pPr>
    </w:p>
    <w:bookmarkEnd w:id="0"/>
    <w:sdt>
      <w:sdtPr>
        <w:rPr>
          <w:rFonts w:hint="eastAsia" w:ascii="宋体" w:hAnsi="宋体" w:eastAsia="宋体" w:cs="宋体"/>
          <w:color w:val="auto"/>
          <w:sz w:val="24"/>
          <w:highlight w:val="none"/>
        </w:rPr>
        <w:id w:val="147481204"/>
        <w:docPartObj>
          <w:docPartGallery w:val="Table of Contents"/>
          <w:docPartUnique/>
        </w:docPartObj>
      </w:sdtPr>
      <w:sdtEndPr>
        <w:rPr>
          <w:rFonts w:hint="eastAsia" w:ascii="宋体" w:hAnsi="宋体" w:eastAsia="宋体" w:cs="宋体"/>
          <w:color w:val="auto"/>
          <w:sz w:val="24"/>
          <w:highlight w:val="none"/>
        </w:rPr>
      </w:sdtEndPr>
      <w:sdtContent>
        <w:p>
          <w:pPr>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36"/>
              <w:szCs w:val="36"/>
              <w:highlight w:val="none"/>
            </w:rPr>
            <w:t>目 录</w:t>
          </w:r>
        </w:p>
        <w:p>
          <w:pPr>
            <w:pStyle w:val="15"/>
            <w:tabs>
              <w:tab w:val="right" w:leader="dot" w:pos="9410"/>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TOC \o "1-1" \h \u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_Toc9159 </w:instrText>
          </w:r>
          <w:r>
            <w:rPr>
              <w:rFonts w:hint="eastAsia" w:ascii="宋体" w:hAnsi="宋体" w:eastAsia="宋体" w:cs="宋体"/>
              <w:sz w:val="24"/>
              <w:szCs w:val="24"/>
              <w:highlight w:val="none"/>
            </w:rPr>
            <w:fldChar w:fldCharType="separate"/>
          </w:r>
          <w:r>
            <w:rPr>
              <w:rFonts w:hint="eastAsia" w:ascii="宋体" w:hAnsi="宋体" w:eastAsia="宋体" w:cs="宋体"/>
              <w:kern w:val="44"/>
              <w:sz w:val="24"/>
              <w:szCs w:val="24"/>
              <w:highlight w:val="none"/>
            </w:rPr>
            <w:t>第1章 投标须知及前附表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_Toc9159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pPr>
            <w:pStyle w:val="15"/>
            <w:tabs>
              <w:tab w:val="right" w:leader="dot" w:pos="9410"/>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_Toc8457 </w:instrText>
          </w:r>
          <w:r>
            <w:rPr>
              <w:rFonts w:hint="eastAsia" w:ascii="宋体" w:hAnsi="宋体" w:eastAsia="宋体" w:cs="宋体"/>
              <w:sz w:val="24"/>
              <w:szCs w:val="24"/>
              <w:highlight w:val="none"/>
            </w:rPr>
            <w:fldChar w:fldCharType="separate"/>
          </w:r>
          <w:r>
            <w:rPr>
              <w:rFonts w:hint="eastAsia" w:ascii="宋体" w:hAnsi="宋体" w:eastAsia="宋体" w:cs="宋体"/>
              <w:kern w:val="44"/>
              <w:sz w:val="24"/>
              <w:szCs w:val="24"/>
              <w:highlight w:val="none"/>
            </w:rPr>
            <w:t>第2章 项目需求书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_Toc8457 \h </w:instrText>
          </w:r>
          <w:r>
            <w:rPr>
              <w:rFonts w:hint="eastAsia" w:ascii="宋体" w:hAnsi="宋体" w:eastAsia="宋体" w:cs="宋体"/>
              <w:sz w:val="24"/>
              <w:szCs w:val="24"/>
            </w:rPr>
            <w:fldChar w:fldCharType="separate"/>
          </w:r>
          <w:r>
            <w:rPr>
              <w:rFonts w:hint="eastAsia" w:ascii="宋体" w:hAnsi="宋体" w:eastAsia="宋体" w:cs="宋体"/>
              <w:sz w:val="24"/>
              <w:szCs w:val="24"/>
            </w:rPr>
            <w:t>12</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pPr>
            <w:pStyle w:val="15"/>
            <w:tabs>
              <w:tab w:val="right" w:leader="dot" w:pos="9410"/>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_Toc19076 </w:instrText>
          </w:r>
          <w:r>
            <w:rPr>
              <w:rFonts w:hint="eastAsia" w:ascii="宋体" w:hAnsi="宋体" w:eastAsia="宋体" w:cs="宋体"/>
              <w:sz w:val="24"/>
              <w:szCs w:val="24"/>
              <w:highlight w:val="none"/>
            </w:rPr>
            <w:fldChar w:fldCharType="separate"/>
          </w:r>
          <w:r>
            <w:rPr>
              <w:rFonts w:hint="eastAsia" w:ascii="宋体" w:hAnsi="宋体" w:eastAsia="宋体" w:cs="宋体"/>
              <w:kern w:val="44"/>
              <w:sz w:val="24"/>
              <w:szCs w:val="24"/>
              <w:highlight w:val="none"/>
            </w:rPr>
            <w:t>第3章 投标格式文件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_Toc19076 \h </w:instrText>
          </w:r>
          <w:r>
            <w:rPr>
              <w:rFonts w:hint="eastAsia" w:ascii="宋体" w:hAnsi="宋体" w:eastAsia="宋体" w:cs="宋体"/>
              <w:sz w:val="24"/>
              <w:szCs w:val="24"/>
            </w:rPr>
            <w:fldChar w:fldCharType="separate"/>
          </w:r>
          <w:r>
            <w:rPr>
              <w:rFonts w:hint="eastAsia" w:ascii="宋体" w:hAnsi="宋体" w:eastAsia="宋体" w:cs="宋体"/>
              <w:sz w:val="24"/>
              <w:szCs w:val="24"/>
            </w:rPr>
            <w:t>13</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pPr>
            <w:pStyle w:val="15"/>
            <w:tabs>
              <w:tab w:val="right" w:leader="dot" w:pos="9410"/>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_Toc17859 </w:instrText>
          </w:r>
          <w:r>
            <w:rPr>
              <w:rFonts w:hint="eastAsia" w:ascii="宋体" w:hAnsi="宋体" w:eastAsia="宋体" w:cs="宋体"/>
              <w:sz w:val="24"/>
              <w:szCs w:val="24"/>
              <w:highlight w:val="none"/>
            </w:rPr>
            <w:fldChar w:fldCharType="separate"/>
          </w:r>
          <w:r>
            <w:rPr>
              <w:rFonts w:hint="eastAsia" w:ascii="宋体" w:hAnsi="宋体" w:eastAsia="宋体" w:cs="宋体"/>
              <w:kern w:val="44"/>
              <w:sz w:val="24"/>
              <w:szCs w:val="24"/>
              <w:highlight w:val="none"/>
            </w:rPr>
            <w:t>第4章 评标办法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_Toc17859 \h </w:instrText>
          </w:r>
          <w:r>
            <w:rPr>
              <w:rFonts w:hint="eastAsia" w:ascii="宋体" w:hAnsi="宋体" w:eastAsia="宋体" w:cs="宋体"/>
              <w:sz w:val="24"/>
              <w:szCs w:val="24"/>
            </w:rPr>
            <w:fldChar w:fldCharType="separate"/>
          </w:r>
          <w:r>
            <w:rPr>
              <w:rFonts w:hint="eastAsia" w:ascii="宋体" w:hAnsi="宋体" w:eastAsia="宋体" w:cs="宋体"/>
              <w:sz w:val="24"/>
              <w:szCs w:val="24"/>
            </w:rPr>
            <w:t>24</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pPr>
            <w:pStyle w:val="15"/>
            <w:tabs>
              <w:tab w:val="right" w:leader="dot" w:pos="9410"/>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_Toc6823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lang w:val="en-US" w:eastAsia="zh-CN"/>
            </w:rPr>
            <w:t>第5章</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附件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_Toc6823 \h </w:instrText>
          </w:r>
          <w:r>
            <w:rPr>
              <w:rFonts w:hint="eastAsia" w:ascii="宋体" w:hAnsi="宋体" w:eastAsia="宋体" w:cs="宋体"/>
              <w:sz w:val="24"/>
              <w:szCs w:val="24"/>
            </w:rPr>
            <w:fldChar w:fldCharType="separate"/>
          </w:r>
          <w:r>
            <w:rPr>
              <w:rFonts w:hint="eastAsia" w:ascii="宋体" w:hAnsi="宋体" w:eastAsia="宋体" w:cs="宋体"/>
              <w:sz w:val="24"/>
              <w:szCs w:val="24"/>
            </w:rPr>
            <w:t>32</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pPr>
            <w:pStyle w:val="15"/>
            <w:tabs>
              <w:tab w:val="right" w:leader="dot" w:pos="9410"/>
            </w:tabs>
            <w:rPr>
              <w:rFonts w:hint="eastAsia" w:ascii="宋体" w:hAnsi="宋体" w:eastAsia="宋体" w:cs="宋体"/>
              <w:sz w:val="24"/>
              <w:szCs w:val="24"/>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fldChar w:fldCharType="end"/>
          </w:r>
        </w:p>
      </w:sdtContent>
    </w:sdt>
    <w:p>
      <w:pPr>
        <w:pStyle w:val="4"/>
        <w:widowControl/>
        <w:spacing w:beforeAutospacing="0" w:after="0"/>
        <w:ind w:firstLine="0"/>
        <w:rPr>
          <w:rFonts w:hint="eastAsia" w:ascii="宋体" w:hAnsi="宋体" w:eastAsia="宋体" w:cs="宋体"/>
          <w:color w:val="auto"/>
          <w:sz w:val="24"/>
          <w:szCs w:val="24"/>
          <w:highlight w:val="none"/>
        </w:rPr>
        <w:sectPr>
          <w:pgSz w:w="11906" w:h="16840"/>
          <w:pgMar w:top="1247" w:right="1135" w:bottom="1247" w:left="1361" w:header="720" w:footer="720" w:gutter="0"/>
          <w:cols w:space="425" w:num="1"/>
          <w:docGrid w:type="lines" w:linePitch="285" w:charSpace="0"/>
        </w:sectPr>
      </w:pPr>
      <w:r>
        <w:rPr>
          <w:rFonts w:hint="eastAsia" w:ascii="宋体" w:hAnsi="宋体" w:eastAsia="宋体" w:cs="宋体"/>
          <w:color w:val="auto"/>
          <w:sz w:val="24"/>
          <w:szCs w:val="24"/>
          <w:highlight w:val="none"/>
        </w:rPr>
        <w:t xml:space="preserve"> </w:t>
      </w:r>
    </w:p>
    <w:p>
      <w:pPr>
        <w:pStyle w:val="3"/>
        <w:widowControl/>
        <w:spacing w:before="0" w:after="0" w:line="360" w:lineRule="auto"/>
        <w:jc w:val="center"/>
        <w:rPr>
          <w:rFonts w:ascii="黑体" w:hAnsi="宋体" w:cs="黑体"/>
          <w:b/>
          <w:color w:val="auto"/>
          <w:kern w:val="44"/>
          <w:sz w:val="44"/>
          <w:szCs w:val="44"/>
          <w:highlight w:val="none"/>
        </w:rPr>
      </w:pPr>
      <w:bookmarkStart w:id="2" w:name="_Toc20698"/>
      <w:bookmarkStart w:id="3" w:name="_Toc8549"/>
      <w:bookmarkStart w:id="4" w:name="_Toc27659"/>
      <w:bookmarkStart w:id="5" w:name="_Toc13388"/>
      <w:bookmarkStart w:id="6" w:name="_Toc13302"/>
      <w:bookmarkStart w:id="7" w:name="_Toc374128472"/>
      <w:bookmarkStart w:id="8" w:name="_Toc23838"/>
      <w:bookmarkStart w:id="9" w:name="_Toc9159"/>
      <w:r>
        <w:rPr>
          <w:rFonts w:hint="eastAsia" w:ascii="黑体" w:hAnsi="宋体" w:cs="黑体"/>
          <w:b/>
          <w:color w:val="auto"/>
          <w:kern w:val="44"/>
          <w:sz w:val="44"/>
          <w:szCs w:val="44"/>
          <w:highlight w:val="none"/>
        </w:rPr>
        <w:t>第1章 投标须知及前附表</w:t>
      </w:r>
      <w:bookmarkEnd w:id="2"/>
      <w:bookmarkEnd w:id="3"/>
      <w:bookmarkEnd w:id="4"/>
      <w:bookmarkEnd w:id="5"/>
      <w:bookmarkEnd w:id="6"/>
      <w:bookmarkEnd w:id="7"/>
      <w:bookmarkEnd w:id="8"/>
      <w:bookmarkEnd w:id="9"/>
    </w:p>
    <w:p>
      <w:pPr>
        <w:spacing w:afterLines="50"/>
        <w:jc w:val="center"/>
        <w:outlineLvl w:val="1"/>
        <w:rPr>
          <w:rFonts w:ascii="黑体" w:hAnsi="宋体" w:eastAsia="黑体" w:cs="黑体"/>
          <w:color w:val="auto"/>
          <w:sz w:val="30"/>
          <w:szCs w:val="30"/>
          <w:highlight w:val="none"/>
        </w:rPr>
      </w:pPr>
      <w:r>
        <w:rPr>
          <w:rFonts w:hint="eastAsia" w:ascii="黑体" w:hAnsi="宋体" w:eastAsia="黑体" w:cs="黑体"/>
          <w:color w:val="auto"/>
          <w:sz w:val="30"/>
          <w:szCs w:val="30"/>
          <w:highlight w:val="none"/>
        </w:rPr>
        <w:t>一、投标须知前附表</w:t>
      </w:r>
    </w:p>
    <w:tbl>
      <w:tblPr>
        <w:tblStyle w:val="17"/>
        <w:tblW w:w="9709" w:type="dxa"/>
        <w:jc w:val="center"/>
        <w:tblLayout w:type="fixed"/>
        <w:tblCellMar>
          <w:top w:w="0" w:type="dxa"/>
          <w:left w:w="108" w:type="dxa"/>
          <w:bottom w:w="0" w:type="dxa"/>
          <w:right w:w="108" w:type="dxa"/>
        </w:tblCellMar>
      </w:tblPr>
      <w:tblGrid>
        <w:gridCol w:w="720"/>
        <w:gridCol w:w="990"/>
        <w:gridCol w:w="1706"/>
        <w:gridCol w:w="6293"/>
      </w:tblGrid>
      <w:tr>
        <w:tblPrEx>
          <w:tblCellMar>
            <w:top w:w="0" w:type="dxa"/>
            <w:left w:w="108" w:type="dxa"/>
            <w:bottom w:w="0" w:type="dxa"/>
            <w:right w:w="108" w:type="dxa"/>
          </w:tblCellMar>
        </w:tblPrEx>
        <w:trPr>
          <w:trHeight w:val="623" w:hRule="atLeast"/>
          <w:jc w:val="center"/>
        </w:trPr>
        <w:tc>
          <w:tcPr>
            <w:tcW w:w="720" w:type="dxa"/>
            <w:tcBorders>
              <w:top w:val="double" w:color="auto" w:sz="2"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项目</w:t>
            </w:r>
          </w:p>
        </w:tc>
        <w:tc>
          <w:tcPr>
            <w:tcW w:w="990" w:type="dxa"/>
            <w:tcBorders>
              <w:top w:val="double" w:color="auto" w:sz="2"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条款号</w:t>
            </w:r>
          </w:p>
        </w:tc>
        <w:tc>
          <w:tcPr>
            <w:tcW w:w="1706" w:type="dxa"/>
            <w:tcBorders>
              <w:top w:val="double" w:color="auto" w:sz="2"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内容</w:t>
            </w:r>
          </w:p>
        </w:tc>
        <w:tc>
          <w:tcPr>
            <w:tcW w:w="6293" w:type="dxa"/>
            <w:tcBorders>
              <w:top w:val="double" w:color="auto" w:sz="2" w:space="0"/>
              <w:left w:val="single" w:color="auto" w:sz="4" w:space="0"/>
              <w:bottom w:val="single" w:color="auto" w:sz="4" w:space="0"/>
              <w:right w:val="double" w:color="auto" w:sz="2" w:space="0"/>
            </w:tcBorders>
            <w:shd w:val="clear" w:color="auto" w:fill="auto"/>
            <w:vAlign w:val="center"/>
          </w:tcPr>
          <w:p>
            <w:pPr>
              <w:pStyle w:val="4"/>
              <w:widowControl/>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说明与要求</w:t>
            </w:r>
          </w:p>
        </w:tc>
      </w:tr>
      <w:tr>
        <w:tblPrEx>
          <w:tblCellMar>
            <w:top w:w="0" w:type="dxa"/>
            <w:left w:w="108" w:type="dxa"/>
            <w:bottom w:w="0" w:type="dxa"/>
            <w:right w:w="108" w:type="dxa"/>
          </w:tblCellMar>
        </w:tblPrEx>
        <w:trPr>
          <w:trHeight w:val="5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2.2.1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项目名称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jc w:val="both"/>
              <w:rPr>
                <w:rFonts w:hint="eastAsia" w:ascii="宋体" w:hAnsi="宋体" w:eastAsia="宋体" w:cs="宋体"/>
                <w:color w:val="auto"/>
                <w:szCs w:val="21"/>
                <w:highlight w:val="none"/>
                <w:u w:val="none"/>
                <w:lang w:eastAsia="zh-CN"/>
              </w:rPr>
            </w:pPr>
            <w:r>
              <w:rPr>
                <w:rFonts w:hint="eastAsia" w:ascii="宋体" w:hAnsi="宋体" w:eastAsia="宋体" w:cs="宋体"/>
                <w:b w:val="0"/>
                <w:bCs w:val="0"/>
                <w:color w:val="auto"/>
                <w:sz w:val="21"/>
                <w:szCs w:val="21"/>
                <w:highlight w:val="none"/>
                <w:lang w:val="en-US" w:eastAsia="zh-CN"/>
              </w:rPr>
              <w:t>湿地一期景区木结构整体刷漆维护保养项目（第二次）</w:t>
            </w:r>
          </w:p>
        </w:tc>
      </w:tr>
      <w:tr>
        <w:tblPrEx>
          <w:tblCellMar>
            <w:top w:w="0" w:type="dxa"/>
            <w:left w:w="108" w:type="dxa"/>
            <w:bottom w:w="0" w:type="dxa"/>
            <w:right w:w="108" w:type="dxa"/>
          </w:tblCellMar>
        </w:tblPrEx>
        <w:trPr>
          <w:trHeight w:val="462" w:hRule="atLeast"/>
          <w:jc w:val="center"/>
        </w:trPr>
        <w:tc>
          <w:tcPr>
            <w:tcW w:w="720" w:type="dxa"/>
            <w:vMerge w:val="restart"/>
            <w:tcBorders>
              <w:top w:val="single" w:color="auto" w:sz="4" w:space="0"/>
              <w:left w:val="double" w:color="auto" w:sz="2"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建设地点</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after="0" w:line="320" w:lineRule="exact"/>
              <w:ind w:firstLine="0"/>
              <w:jc w:val="left"/>
              <w:rPr>
                <w:rFonts w:hint="eastAsia" w:ascii="宋体" w:hAnsi="宋体" w:eastAsia="宋体" w:cs="宋体"/>
                <w:color w:val="auto"/>
                <w:highlight w:val="none"/>
                <w:u w:val="none"/>
                <w:lang w:eastAsia="zh-CN"/>
              </w:rPr>
            </w:pPr>
            <w:r>
              <w:rPr>
                <w:rFonts w:hint="eastAsia" w:ascii="宋体" w:hAnsi="宋体" w:eastAsia="宋体" w:cs="宋体"/>
                <w:color w:val="auto"/>
                <w:kern w:val="2"/>
                <w:position w:val="0"/>
                <w:sz w:val="21"/>
                <w:szCs w:val="21"/>
                <w:highlight w:val="none"/>
              </w:rPr>
              <w:t>广州市南沙区湿地景区内</w:t>
            </w:r>
          </w:p>
        </w:tc>
      </w:tr>
      <w:tr>
        <w:tblPrEx>
          <w:tblCellMar>
            <w:top w:w="0" w:type="dxa"/>
            <w:left w:w="108" w:type="dxa"/>
            <w:bottom w:w="0" w:type="dxa"/>
            <w:right w:w="108" w:type="dxa"/>
          </w:tblCellMar>
        </w:tblPrEx>
        <w:trPr>
          <w:trHeight w:val="562" w:hRule="atLeast"/>
          <w:jc w:val="center"/>
        </w:trPr>
        <w:tc>
          <w:tcPr>
            <w:tcW w:w="720" w:type="dxa"/>
            <w:vMerge w:val="continue"/>
            <w:tcBorders>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cs="宋体"/>
                <w:color w:val="auto"/>
                <w:highlight w:val="none"/>
                <w:lang w:val="en-US" w:eastAsia="zh-CN"/>
              </w:rPr>
            </w:pP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2.2.3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hint="eastAsia" w:ascii="宋体" w:hAnsi="宋体" w:eastAsia="宋体" w:cs="宋体"/>
                <w:color w:val="auto"/>
                <w:kern w:val="2"/>
                <w:sz w:val="21"/>
                <w:szCs w:val="21"/>
                <w:highlight w:val="none"/>
                <w:u w:val="none"/>
                <w:lang w:val="en-US" w:eastAsia="zh-CN" w:bidi="ar-SA"/>
              </w:rPr>
            </w:pPr>
            <w:r>
              <w:rPr>
                <w:rFonts w:hint="eastAsia" w:ascii="宋体" w:hAnsi="宋体" w:cs="宋体"/>
                <w:color w:val="auto"/>
                <w:highlight w:val="none"/>
                <w:u w:val="none"/>
                <w:lang w:eastAsia="zh-CN"/>
              </w:rPr>
              <w:t>建设规模</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after="0" w:line="320" w:lineRule="exact"/>
              <w:ind w:firstLine="0" w:firstLineChars="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snapToGrid/>
                <w:color w:val="auto"/>
                <w:kern w:val="2"/>
                <w:sz w:val="21"/>
                <w:szCs w:val="21"/>
                <w:highlight w:val="none"/>
                <w:lang w:val="en-US" w:eastAsia="zh-CN" w:bidi="ar-SA"/>
              </w:rPr>
              <w:t>为延缓木材的老化，</w:t>
            </w:r>
            <w:r>
              <w:rPr>
                <w:rFonts w:hint="eastAsia" w:ascii="宋体" w:hAnsi="宋体" w:eastAsia="宋体" w:cs="宋体"/>
                <w:snapToGrid/>
                <w:color w:val="auto"/>
                <w:spacing w:val="0"/>
                <w:kern w:val="2"/>
                <w:sz w:val="21"/>
                <w:szCs w:val="21"/>
                <w:highlight w:val="none"/>
                <w:lang w:val="en-US" w:eastAsia="zh-CN" w:bidi="ar-SA"/>
              </w:rPr>
              <w:t>避免日后木结构维修维护的成本增大，拟完善景区基础设施，对湿地一期景区木结构整体刷漆维护保养处理，总投资约44.50万元。</w:t>
            </w:r>
          </w:p>
        </w:tc>
      </w:tr>
      <w:tr>
        <w:tblPrEx>
          <w:tblCellMar>
            <w:top w:w="0" w:type="dxa"/>
            <w:left w:w="108" w:type="dxa"/>
            <w:bottom w:w="0" w:type="dxa"/>
            <w:right w:w="108" w:type="dxa"/>
          </w:tblCellMar>
        </w:tblPrEx>
        <w:trPr>
          <w:trHeight w:val="9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cs="宋体"/>
                <w:color w:val="auto"/>
                <w:highlight w:val="none"/>
              </w:rPr>
              <w:t>2.2.</w:t>
            </w:r>
            <w:r>
              <w:rPr>
                <w:rFonts w:hint="eastAsia" w:ascii="宋体" w:hAnsi="宋体" w:cs="宋体"/>
                <w:color w:val="auto"/>
                <w:highlight w:val="none"/>
                <w:lang w:val="en-US" w:eastAsia="zh-CN"/>
              </w:rPr>
              <w:t>4</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承包方式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after="0" w:line="320" w:lineRule="exact"/>
              <w:ind w:firstLine="0"/>
              <w:rPr>
                <w:rFonts w:hint="eastAsia" w:ascii="宋体" w:hAnsi="宋体" w:eastAsia="宋体" w:cs="宋体"/>
                <w:color w:val="FF0000"/>
                <w:highlight w:val="none"/>
                <w:u w:val="none"/>
                <w:lang w:eastAsia="zh-CN"/>
              </w:rPr>
            </w:pPr>
            <w:r>
              <w:rPr>
                <w:rFonts w:hint="eastAsia" w:ascii="宋体" w:hAnsi="宋体" w:eastAsia="宋体" w:cs="宋体"/>
                <w:bCs w:val="0"/>
                <w:color w:val="auto"/>
                <w:sz w:val="21"/>
                <w:szCs w:val="21"/>
                <w:highlight w:val="none"/>
                <w:u w:val="none"/>
                <w:lang w:eastAsia="zh-CN"/>
              </w:rPr>
              <w:t>固定综合单价包干，工程量按实结算，绿色施工安全防护措施费总价包干</w:t>
            </w:r>
            <w:r>
              <w:rPr>
                <w:rFonts w:hint="eastAsia" w:ascii="宋体" w:hAnsi="宋体" w:cs="宋体"/>
                <w:bCs w:val="0"/>
                <w:color w:val="auto"/>
                <w:sz w:val="21"/>
                <w:szCs w:val="21"/>
                <w:highlight w:val="none"/>
                <w:u w:val="none"/>
                <w:lang w:eastAsia="zh-CN"/>
              </w:rPr>
              <w:t>。</w:t>
            </w:r>
          </w:p>
        </w:tc>
      </w:tr>
      <w:tr>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cs="宋体"/>
                <w:color w:val="auto"/>
                <w:highlight w:val="none"/>
              </w:rPr>
              <w:t>2.2.</w:t>
            </w:r>
            <w:r>
              <w:rPr>
                <w:rFonts w:hint="eastAsia" w:ascii="宋体" w:hAnsi="宋体" w:cs="宋体"/>
                <w:color w:val="auto"/>
                <w:highlight w:val="none"/>
                <w:lang w:val="en-US" w:eastAsia="zh-CN"/>
              </w:rPr>
              <w:t>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项目总投资</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after="0" w:line="320" w:lineRule="exact"/>
              <w:ind w:firstLine="0"/>
              <w:rPr>
                <w:rFonts w:hint="eastAsia" w:ascii="宋体" w:hAnsi="宋体" w:eastAsia="宋体" w:cs="宋体"/>
                <w:color w:val="auto"/>
                <w:highlight w:val="none"/>
                <w:u w:val="none"/>
                <w:lang w:eastAsia="zh-CN"/>
              </w:rPr>
            </w:pPr>
            <w:r>
              <w:rPr>
                <w:rFonts w:hint="eastAsia" w:ascii="宋体" w:hAnsi="宋体" w:eastAsia="宋体" w:cs="宋体"/>
                <w:color w:val="auto"/>
                <w:sz w:val="21"/>
                <w:szCs w:val="21"/>
                <w:highlight w:val="none"/>
                <w:u w:val="none"/>
                <w:shd w:val="clear"/>
                <w:lang w:eastAsia="zh-CN"/>
              </w:rPr>
              <w:t>总投资约</w:t>
            </w:r>
            <w:r>
              <w:rPr>
                <w:rFonts w:hint="eastAsia" w:ascii="宋体" w:hAnsi="宋体" w:cs="宋体"/>
                <w:color w:val="auto"/>
                <w:sz w:val="21"/>
                <w:szCs w:val="21"/>
                <w:highlight w:val="none"/>
                <w:u w:val="none"/>
                <w:lang w:val="en-US" w:eastAsia="zh-CN"/>
              </w:rPr>
              <w:t>44.50</w:t>
            </w:r>
            <w:r>
              <w:rPr>
                <w:rFonts w:hint="eastAsia" w:ascii="宋体" w:hAnsi="宋体" w:eastAsia="宋体" w:cs="宋体"/>
                <w:color w:val="auto"/>
                <w:sz w:val="21"/>
                <w:szCs w:val="21"/>
                <w:highlight w:val="none"/>
                <w:u w:val="none"/>
              </w:rPr>
              <w:t>万元</w:t>
            </w:r>
            <w:r>
              <w:rPr>
                <w:rFonts w:hint="eastAsia" w:ascii="宋体" w:hAnsi="宋体" w:eastAsia="宋体" w:cs="宋体"/>
                <w:color w:val="auto"/>
                <w:sz w:val="21"/>
                <w:szCs w:val="21"/>
                <w:highlight w:val="none"/>
                <w:u w:val="none"/>
                <w:lang w:eastAsia="zh-CN"/>
              </w:rPr>
              <w:t>。</w:t>
            </w:r>
          </w:p>
        </w:tc>
      </w:tr>
      <w:tr>
        <w:tblPrEx>
          <w:tblCellMar>
            <w:top w:w="0" w:type="dxa"/>
            <w:left w:w="108" w:type="dxa"/>
            <w:bottom w:w="0" w:type="dxa"/>
            <w:right w:w="108" w:type="dxa"/>
          </w:tblCellMar>
        </w:tblPrEx>
        <w:trPr>
          <w:trHeight w:val="9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cs="宋体"/>
                <w:color w:val="auto"/>
                <w:highlight w:val="none"/>
              </w:rPr>
              <w:t>2.2.</w:t>
            </w:r>
            <w:r>
              <w:rPr>
                <w:rFonts w:hint="eastAsia" w:ascii="宋体" w:hAnsi="宋体" w:cs="宋体"/>
                <w:color w:val="auto"/>
                <w:highlight w:val="none"/>
                <w:lang w:val="en-US" w:eastAsia="zh-CN"/>
              </w:rPr>
              <w:t>6</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质量目标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jc w:val="both"/>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合格</w:t>
            </w:r>
          </w:p>
        </w:tc>
      </w:tr>
      <w:tr>
        <w:tblPrEx>
          <w:tblCellMar>
            <w:top w:w="0" w:type="dxa"/>
            <w:left w:w="108" w:type="dxa"/>
            <w:bottom w:w="0" w:type="dxa"/>
            <w:right w:w="108" w:type="dxa"/>
          </w:tblCellMar>
        </w:tblPrEx>
        <w:trPr>
          <w:trHeight w:val="33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2.3.1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招标范围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after="0" w:line="320" w:lineRule="exact"/>
              <w:ind w:firstLine="0"/>
              <w:rPr>
                <w:rFonts w:hint="eastAsia" w:ascii="宋体" w:hAnsi="宋体" w:eastAsia="宋体" w:cs="宋体"/>
                <w:color w:val="auto"/>
                <w:kern w:val="2"/>
                <w:sz w:val="21"/>
                <w:szCs w:val="21"/>
                <w:highlight w:val="none"/>
                <w:u w:val="none"/>
              </w:rPr>
            </w:pPr>
            <w:r>
              <w:rPr>
                <w:rFonts w:hint="eastAsia" w:ascii="宋体" w:hAnsi="宋体" w:eastAsia="宋体" w:cs="宋体"/>
                <w:color w:val="auto"/>
                <w:kern w:val="2"/>
                <w:sz w:val="21"/>
                <w:szCs w:val="21"/>
                <w:highlight w:val="none"/>
                <w:lang w:val="en-US" w:eastAsia="zh-CN" w:bidi="ar-SA"/>
              </w:rPr>
              <w:t>对湿地一期景区木结构整体刷漆维护保养处理，其中油漆面积约9805.85平</w:t>
            </w:r>
            <w:r>
              <w:rPr>
                <w:rFonts w:hint="eastAsia" w:ascii="宋体" w:hAnsi="宋体" w:cs="宋体"/>
                <w:color w:val="auto"/>
                <w:kern w:val="2"/>
                <w:sz w:val="21"/>
                <w:szCs w:val="21"/>
                <w:highlight w:val="none"/>
                <w:lang w:val="en-US" w:eastAsia="zh-CN" w:bidi="ar-SA"/>
              </w:rPr>
              <w:t>方</w:t>
            </w:r>
            <w:r>
              <w:rPr>
                <w:rFonts w:hint="eastAsia" w:ascii="宋体" w:hAnsi="宋体" w:eastAsia="宋体" w:cs="宋体"/>
                <w:color w:val="auto"/>
                <w:kern w:val="2"/>
                <w:sz w:val="21"/>
                <w:szCs w:val="21"/>
                <w:highlight w:val="none"/>
                <w:lang w:val="en-US" w:eastAsia="zh-CN" w:bidi="ar-SA"/>
              </w:rPr>
              <w:t>米，包括现有木地板、木屋面、木墙面按室外油漆标准重新刷漆，施工单体包括：园区入口、九曲莲花桥、候船室（游船码头）、游船码头卫生间、科普长廊、水闸电机房（榕荫大道）、主道路（榕荫大道）、海景园卫生间、海景咖啡厅、海景塔、海景园观景台、步行区码头、步行区长廊、步行区卫生间、步行区拱桥、东堤2号凉亭、其它等单体位置油漆及部分地板和栏杆更换。</w:t>
            </w:r>
            <w:r>
              <w:rPr>
                <w:rFonts w:hint="eastAsia" w:ascii="宋体" w:hAnsi="宋体" w:eastAsia="宋体" w:cs="宋体"/>
                <w:color w:val="auto"/>
                <w:kern w:val="2"/>
                <w:sz w:val="21"/>
                <w:szCs w:val="21"/>
                <w:highlight w:val="none"/>
                <w:lang w:eastAsia="zh-CN"/>
              </w:rPr>
              <w:t>具体</w:t>
            </w:r>
            <w:r>
              <w:rPr>
                <w:rFonts w:hint="eastAsia" w:ascii="宋体" w:hAnsi="宋体" w:eastAsia="宋体" w:cs="宋体"/>
                <w:color w:val="auto"/>
                <w:kern w:val="2"/>
                <w:sz w:val="21"/>
                <w:szCs w:val="21"/>
                <w:highlight w:val="none"/>
                <w:lang w:val="en-US" w:eastAsia="zh-CN"/>
              </w:rPr>
              <w:t>以</w:t>
            </w:r>
            <w:r>
              <w:rPr>
                <w:rFonts w:hint="eastAsia" w:ascii="宋体" w:hAnsi="宋体" w:eastAsia="宋体" w:cs="宋体"/>
                <w:color w:val="auto"/>
                <w:kern w:val="2"/>
                <w:sz w:val="21"/>
                <w:szCs w:val="21"/>
                <w:highlight w:val="none"/>
                <w:lang w:eastAsia="zh-CN"/>
              </w:rPr>
              <w:t>工程量清单</w:t>
            </w:r>
            <w:r>
              <w:rPr>
                <w:rFonts w:hint="eastAsia" w:ascii="宋体" w:hAnsi="宋体" w:eastAsia="宋体" w:cs="宋体"/>
                <w:color w:val="auto"/>
                <w:kern w:val="2"/>
                <w:sz w:val="21"/>
                <w:szCs w:val="21"/>
                <w:highlight w:val="none"/>
                <w:lang w:val="en-US" w:eastAsia="zh-CN"/>
              </w:rPr>
              <w:t>为准</w:t>
            </w:r>
            <w:r>
              <w:rPr>
                <w:rFonts w:hint="eastAsia" w:ascii="宋体" w:hAnsi="宋体" w:eastAsia="宋体" w:cs="宋体"/>
                <w:color w:val="auto"/>
                <w:kern w:val="2"/>
                <w:sz w:val="21"/>
                <w:szCs w:val="21"/>
                <w:highlight w:val="none"/>
                <w:lang w:eastAsia="zh-CN"/>
              </w:rPr>
              <w:t>。</w:t>
            </w:r>
          </w:p>
        </w:tc>
      </w:tr>
      <w:tr>
        <w:tblPrEx>
          <w:tblCellMar>
            <w:top w:w="0" w:type="dxa"/>
            <w:left w:w="108" w:type="dxa"/>
            <w:bottom w:w="0" w:type="dxa"/>
            <w:right w:w="108" w:type="dxa"/>
          </w:tblCellMar>
        </w:tblPrEx>
        <w:trPr>
          <w:trHeight w:val="9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cs="宋体"/>
                <w:color w:val="auto"/>
                <w:highlight w:val="none"/>
              </w:rPr>
            </w:pPr>
            <w:r>
              <w:rPr>
                <w:rFonts w:hint="eastAsia" w:ascii="宋体" w:hAnsi="宋体" w:cs="宋体"/>
                <w:color w:val="auto"/>
                <w:highlight w:val="none"/>
              </w:rPr>
              <w:t>2.3.2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cs="宋体"/>
                <w:color w:val="auto"/>
                <w:highlight w:val="none"/>
                <w:lang w:val="en-US" w:eastAsia="zh-CN"/>
              </w:rPr>
              <w:t>工期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line="440" w:lineRule="exact"/>
              <w:ind w:firstLine="0"/>
              <w:jc w:val="both"/>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bCs w:val="0"/>
                <w:snapToGrid/>
                <w:color w:val="auto"/>
                <w:kern w:val="2"/>
                <w:sz w:val="21"/>
                <w:szCs w:val="21"/>
                <w:highlight w:val="none"/>
              </w:rPr>
              <w:t>本项目</w:t>
            </w:r>
            <w:r>
              <w:rPr>
                <w:rFonts w:hint="eastAsia" w:ascii="宋体" w:hAnsi="宋体" w:eastAsia="宋体" w:cs="宋体"/>
                <w:bCs w:val="0"/>
                <w:snapToGrid/>
                <w:color w:val="auto"/>
                <w:kern w:val="2"/>
                <w:sz w:val="21"/>
                <w:szCs w:val="21"/>
                <w:highlight w:val="none"/>
                <w:lang w:val="en-US" w:eastAsia="zh-CN"/>
              </w:rPr>
              <w:t>暂定</w:t>
            </w:r>
            <w:r>
              <w:rPr>
                <w:rFonts w:hint="eastAsia" w:ascii="宋体" w:hAnsi="宋体" w:eastAsia="宋体" w:cs="宋体"/>
                <w:bCs w:val="0"/>
                <w:snapToGrid/>
                <w:color w:val="auto"/>
                <w:kern w:val="2"/>
                <w:sz w:val="21"/>
                <w:szCs w:val="21"/>
                <w:highlight w:val="none"/>
              </w:rPr>
              <w:t>工期</w:t>
            </w:r>
            <w:r>
              <w:rPr>
                <w:rFonts w:hint="eastAsia" w:ascii="宋体" w:hAnsi="宋体" w:eastAsia="宋体" w:cs="宋体"/>
                <w:bCs w:val="0"/>
                <w:snapToGrid/>
                <w:color w:val="auto"/>
                <w:kern w:val="2"/>
                <w:sz w:val="21"/>
                <w:szCs w:val="21"/>
                <w:highlight w:val="none"/>
                <w:lang w:val="en-US" w:eastAsia="zh-CN"/>
              </w:rPr>
              <w:t>为60天，</w:t>
            </w:r>
            <w:r>
              <w:rPr>
                <w:rFonts w:hint="eastAsia" w:ascii="宋体" w:hAnsi="宋体" w:eastAsia="宋体" w:cs="宋体"/>
                <w:bCs w:val="0"/>
                <w:snapToGrid/>
                <w:color w:val="auto"/>
                <w:kern w:val="2"/>
                <w:sz w:val="21"/>
                <w:szCs w:val="21"/>
                <w:highlight w:val="none"/>
              </w:rPr>
              <w:t>自发包人书面</w:t>
            </w:r>
            <w:r>
              <w:rPr>
                <w:rFonts w:hint="eastAsia" w:ascii="宋体" w:hAnsi="宋体" w:eastAsia="宋体" w:cs="宋体"/>
                <w:bCs w:val="0"/>
                <w:snapToGrid/>
                <w:color w:val="auto"/>
                <w:kern w:val="2"/>
                <w:sz w:val="21"/>
                <w:szCs w:val="21"/>
                <w:highlight w:val="none"/>
                <w:lang w:eastAsia="zh-CN"/>
              </w:rPr>
              <w:t>开工</w:t>
            </w:r>
            <w:r>
              <w:rPr>
                <w:rFonts w:hint="eastAsia" w:ascii="宋体" w:hAnsi="宋体" w:eastAsia="宋体" w:cs="宋体"/>
                <w:bCs w:val="0"/>
                <w:snapToGrid/>
                <w:color w:val="auto"/>
                <w:kern w:val="2"/>
                <w:sz w:val="21"/>
                <w:szCs w:val="21"/>
                <w:highlight w:val="none"/>
              </w:rPr>
              <w:t>通知之日起至验收之日止</w:t>
            </w:r>
            <w:r>
              <w:rPr>
                <w:rFonts w:hint="eastAsia" w:ascii="宋体" w:hAnsi="宋体" w:eastAsia="宋体" w:cs="宋体"/>
                <w:bCs w:val="0"/>
                <w:snapToGrid/>
                <w:color w:val="auto"/>
                <w:kern w:val="2"/>
                <w:sz w:val="21"/>
                <w:szCs w:val="21"/>
                <w:highlight w:val="none"/>
                <w:lang w:eastAsia="zh-CN"/>
              </w:rPr>
              <w:t>（</w:t>
            </w:r>
            <w:r>
              <w:rPr>
                <w:rFonts w:hint="eastAsia" w:ascii="宋体" w:hAnsi="宋体" w:eastAsia="宋体" w:cs="宋体"/>
                <w:bCs w:val="0"/>
                <w:snapToGrid/>
                <w:color w:val="auto"/>
                <w:kern w:val="2"/>
                <w:sz w:val="21"/>
                <w:szCs w:val="21"/>
                <w:highlight w:val="none"/>
                <w:lang w:val="en-US" w:eastAsia="zh-CN"/>
              </w:rPr>
              <w:t>具体按合同约定</w:t>
            </w:r>
            <w:r>
              <w:rPr>
                <w:rFonts w:hint="eastAsia" w:ascii="宋体" w:hAnsi="宋体" w:eastAsia="宋体" w:cs="宋体"/>
                <w:bCs w:val="0"/>
                <w:snapToGrid/>
                <w:color w:val="auto"/>
                <w:kern w:val="2"/>
                <w:sz w:val="21"/>
                <w:szCs w:val="21"/>
                <w:highlight w:val="none"/>
                <w:lang w:eastAsia="zh-CN"/>
              </w:rPr>
              <w:t>）</w:t>
            </w:r>
            <w:r>
              <w:rPr>
                <w:rFonts w:hint="eastAsia" w:ascii="宋体" w:hAnsi="宋体" w:eastAsia="宋体" w:cs="宋体"/>
                <w:bCs w:val="0"/>
                <w:snapToGrid/>
                <w:color w:val="auto"/>
                <w:kern w:val="2"/>
                <w:sz w:val="21"/>
                <w:szCs w:val="21"/>
                <w:highlight w:val="none"/>
              </w:rPr>
              <w:t>。</w:t>
            </w:r>
          </w:p>
        </w:tc>
      </w:tr>
      <w:tr>
        <w:tblPrEx>
          <w:tblCellMar>
            <w:top w:w="0" w:type="dxa"/>
            <w:left w:w="108" w:type="dxa"/>
            <w:bottom w:w="0" w:type="dxa"/>
            <w:right w:w="108" w:type="dxa"/>
          </w:tblCellMar>
        </w:tblPrEx>
        <w:trPr>
          <w:trHeight w:val="44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资金来源</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自筹资金</w:t>
            </w:r>
          </w:p>
        </w:tc>
      </w:tr>
      <w:tr>
        <w:tblPrEx>
          <w:tblCellMar>
            <w:top w:w="0" w:type="dxa"/>
            <w:left w:w="108" w:type="dxa"/>
            <w:bottom w:w="0" w:type="dxa"/>
            <w:right w:w="108" w:type="dxa"/>
          </w:tblCellMar>
        </w:tblPrEx>
        <w:trPr>
          <w:trHeight w:val="81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投标人资质要求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bCs w:val="0"/>
                <w:i w:val="0"/>
                <w:iCs w:val="0"/>
                <w:caps w:val="0"/>
                <w:color w:val="auto"/>
                <w:spacing w:val="0"/>
                <w:sz w:val="21"/>
                <w:szCs w:val="21"/>
                <w:highlight w:val="none"/>
                <w:shd w:val="clear"/>
              </w:rPr>
              <w:t>投标人</w:t>
            </w:r>
            <w:r>
              <w:rPr>
                <w:rFonts w:hint="eastAsia" w:ascii="宋体" w:hAnsi="宋体" w:eastAsia="宋体" w:cs="宋体"/>
                <w:bCs w:val="0"/>
                <w:i w:val="0"/>
                <w:iCs w:val="0"/>
                <w:caps w:val="0"/>
                <w:color w:val="auto"/>
                <w:spacing w:val="0"/>
                <w:sz w:val="21"/>
                <w:szCs w:val="21"/>
                <w:highlight w:val="none"/>
                <w:shd w:val="clear"/>
                <w:lang w:val="en-US" w:eastAsia="zh-CN"/>
              </w:rPr>
              <w:t>须</w:t>
            </w:r>
            <w:r>
              <w:rPr>
                <w:rFonts w:hint="eastAsia" w:ascii="宋体" w:hAnsi="宋体" w:eastAsia="宋体" w:cs="宋体"/>
                <w:bCs w:val="0"/>
                <w:i w:val="0"/>
                <w:iCs w:val="0"/>
                <w:caps w:val="0"/>
                <w:color w:val="auto"/>
                <w:spacing w:val="0"/>
                <w:sz w:val="21"/>
                <w:szCs w:val="21"/>
                <w:highlight w:val="none"/>
                <w:shd w:val="clear"/>
              </w:rPr>
              <w:t>具备建设行政主管部门颁发的市政公用工程施工总承包</w:t>
            </w:r>
            <w:r>
              <w:rPr>
                <w:rFonts w:hint="eastAsia" w:ascii="宋体" w:hAnsi="宋体" w:eastAsia="宋体" w:cs="宋体"/>
                <w:bCs w:val="0"/>
                <w:i w:val="0"/>
                <w:iCs w:val="0"/>
                <w:caps w:val="0"/>
                <w:color w:val="auto"/>
                <w:spacing w:val="0"/>
                <w:sz w:val="21"/>
                <w:szCs w:val="21"/>
                <w:highlight w:val="none"/>
                <w:shd w:val="clear"/>
                <w:lang w:val="en-US" w:eastAsia="zh-CN"/>
              </w:rPr>
              <w:t>三</w:t>
            </w:r>
            <w:r>
              <w:rPr>
                <w:rFonts w:hint="eastAsia" w:ascii="宋体" w:hAnsi="宋体" w:eastAsia="宋体" w:cs="宋体"/>
                <w:bCs w:val="0"/>
                <w:i w:val="0"/>
                <w:iCs w:val="0"/>
                <w:caps w:val="0"/>
                <w:color w:val="auto"/>
                <w:spacing w:val="0"/>
                <w:sz w:val="21"/>
                <w:szCs w:val="21"/>
                <w:highlight w:val="none"/>
                <w:shd w:val="clear"/>
              </w:rPr>
              <w:t>级</w:t>
            </w:r>
            <w:r>
              <w:rPr>
                <w:rFonts w:hint="eastAsia" w:ascii="宋体" w:hAnsi="宋体" w:eastAsia="宋体" w:cs="宋体"/>
                <w:bCs w:val="0"/>
                <w:i w:val="0"/>
                <w:iCs w:val="0"/>
                <w:caps w:val="0"/>
                <w:color w:val="auto"/>
                <w:spacing w:val="0"/>
                <w:sz w:val="21"/>
                <w:szCs w:val="21"/>
                <w:highlight w:val="none"/>
                <w:shd w:val="clear"/>
                <w:lang w:val="en-US" w:eastAsia="zh-CN"/>
              </w:rPr>
              <w:t>或</w:t>
            </w:r>
            <w:r>
              <w:rPr>
                <w:rFonts w:hint="eastAsia" w:ascii="宋体" w:hAnsi="宋体" w:eastAsia="宋体" w:cs="宋体"/>
                <w:bCs w:val="0"/>
                <w:i w:val="0"/>
                <w:iCs w:val="0"/>
                <w:caps w:val="0"/>
                <w:color w:val="auto"/>
                <w:spacing w:val="0"/>
                <w:sz w:val="21"/>
                <w:szCs w:val="21"/>
                <w:highlight w:val="none"/>
                <w:shd w:val="clear"/>
              </w:rPr>
              <w:t>以上资质，持有有效的安全生产许可证</w:t>
            </w:r>
            <w:r>
              <w:rPr>
                <w:rFonts w:hint="eastAsia" w:ascii="宋体" w:hAnsi="宋体" w:eastAsia="宋体" w:cs="宋体"/>
                <w:bCs w:val="0"/>
                <w:i w:val="0"/>
                <w:iCs w:val="0"/>
                <w:caps w:val="0"/>
                <w:color w:val="auto"/>
                <w:spacing w:val="0"/>
                <w:sz w:val="21"/>
                <w:szCs w:val="21"/>
                <w:highlight w:val="none"/>
                <w:shd w:val="clear"/>
                <w:lang w:eastAsia="zh-CN"/>
              </w:rPr>
              <w:t>。</w:t>
            </w:r>
          </w:p>
        </w:tc>
      </w:tr>
      <w:tr>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default" w:ascii="宋体" w:hAnsi="宋体" w:eastAsia="宋体" w:cs="宋体"/>
                <w:color w:val="auto"/>
                <w:highlight w:val="none"/>
                <w:lang w:val="en-US" w:eastAsia="zh-CN"/>
              </w:rPr>
            </w:pPr>
            <w:r>
              <w:rPr>
                <w:rFonts w:hint="default" w:ascii="宋体" w:hAnsi="宋体" w:cs="宋体"/>
                <w:color w:val="auto"/>
                <w:highlight w:val="none"/>
                <w:lang w:val="en-US"/>
              </w:rPr>
              <w:t>2.3.3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cs="宋体"/>
                <w:color w:val="auto"/>
                <w:highlight w:val="none"/>
                <w:lang w:eastAsia="zh-CN"/>
              </w:rPr>
              <w:t>投标要求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不接受联合体投标。</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highlight w:val="none"/>
                <w:lang w:val="en-US"/>
              </w:rPr>
              <w:t>2.3.</w:t>
            </w:r>
            <w:r>
              <w:rPr>
                <w:rFonts w:hint="default" w:ascii="宋体" w:hAnsi="宋体" w:cs="宋体"/>
                <w:color w:val="auto"/>
                <w:highlight w:val="none"/>
                <w:lang w:val="en-US" w:eastAsia="zh-CN"/>
              </w:rPr>
              <w:t>4</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服务人员的专业配套要求</w:t>
            </w:r>
          </w:p>
          <w:p>
            <w:pPr>
              <w:pStyle w:val="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（据实配备）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widowControl w:val="0"/>
              <w:numPr>
                <w:ilvl w:val="-1"/>
                <w:numId w:val="0"/>
              </w:numPr>
              <w:spacing w:line="360" w:lineRule="auto"/>
              <w:ind w:firstLine="0" w:firstLineChars="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u w:val="none"/>
              </w:rPr>
              <w:t>投标</w:t>
            </w:r>
            <w:r>
              <w:rPr>
                <w:rFonts w:hint="eastAsia" w:ascii="宋体" w:hAnsi="宋体" w:eastAsia="宋体" w:cs="宋体"/>
                <w:color w:val="auto"/>
                <w:sz w:val="21"/>
                <w:szCs w:val="21"/>
                <w:highlight w:val="none"/>
                <w:u w:val="none"/>
                <w:lang w:eastAsia="zh-CN"/>
              </w:rPr>
              <w:t>人</w:t>
            </w:r>
            <w:r>
              <w:rPr>
                <w:rFonts w:hint="eastAsia" w:ascii="宋体" w:hAnsi="宋体" w:eastAsia="宋体" w:cs="宋体"/>
                <w:color w:val="auto"/>
                <w:sz w:val="21"/>
                <w:szCs w:val="21"/>
                <w:highlight w:val="none"/>
                <w:u w:val="none"/>
              </w:rPr>
              <w:t>委派的项目负责人</w:t>
            </w:r>
            <w:r>
              <w:rPr>
                <w:rFonts w:hint="eastAsia" w:ascii="宋体" w:hAnsi="宋体" w:eastAsia="宋体" w:cs="宋体"/>
                <w:color w:val="auto"/>
                <w:sz w:val="21"/>
                <w:szCs w:val="21"/>
                <w:highlight w:val="none"/>
                <w:u w:val="none"/>
                <w:lang w:eastAsia="zh-CN"/>
              </w:rPr>
              <w:t>为：</w:t>
            </w:r>
            <w:r>
              <w:rPr>
                <w:rFonts w:hint="eastAsia" w:ascii="宋体" w:hAnsi="宋体" w:eastAsia="宋体" w:cs="宋体"/>
                <w:color w:val="auto"/>
                <w:sz w:val="21"/>
                <w:szCs w:val="21"/>
                <w:highlight w:val="none"/>
                <w:u w:val="none"/>
              </w:rPr>
              <w:t>市政公用工程专业</w:t>
            </w:r>
            <w:r>
              <w:rPr>
                <w:rFonts w:hint="eastAsia" w:ascii="宋体" w:hAnsi="宋体" w:eastAsia="宋体" w:cs="宋体"/>
                <w:color w:val="auto"/>
                <w:sz w:val="21"/>
                <w:szCs w:val="21"/>
                <w:highlight w:val="none"/>
                <w:u w:val="none"/>
                <w:lang w:val="en-US" w:eastAsia="zh-CN"/>
              </w:rPr>
              <w:t>二</w:t>
            </w:r>
            <w:r>
              <w:rPr>
                <w:rFonts w:hint="eastAsia" w:ascii="宋体" w:hAnsi="宋体" w:eastAsia="宋体" w:cs="宋体"/>
                <w:color w:val="auto"/>
                <w:sz w:val="21"/>
                <w:szCs w:val="21"/>
                <w:highlight w:val="none"/>
                <w:u w:val="none"/>
              </w:rPr>
              <w:t>级或以上级别</w:t>
            </w:r>
            <w:r>
              <w:rPr>
                <w:rFonts w:hint="eastAsia" w:ascii="宋体" w:hAnsi="宋体" w:eastAsia="宋体" w:cs="宋体"/>
                <w:color w:val="auto"/>
                <w:sz w:val="21"/>
                <w:szCs w:val="21"/>
                <w:highlight w:val="none"/>
              </w:rPr>
              <w:t>的注册建造师</w:t>
            </w:r>
            <w:r>
              <w:rPr>
                <w:rFonts w:hint="eastAsia" w:ascii="宋体" w:hAnsi="宋体" w:eastAsia="宋体" w:cs="宋体"/>
                <w:color w:val="auto"/>
                <w:sz w:val="21"/>
                <w:szCs w:val="21"/>
                <w:highlight w:val="none"/>
                <w:lang w:eastAsia="zh-CN"/>
              </w:rPr>
              <w:t>。</w:t>
            </w:r>
            <w:r>
              <w:rPr>
                <w:rFonts w:hint="eastAsia" w:ascii="宋体" w:hAnsi="宋体" w:eastAsia="宋体" w:cs="宋体"/>
                <w:b w:val="0"/>
                <w:bCs w:val="0"/>
                <w:color w:val="auto"/>
                <w:sz w:val="21"/>
                <w:szCs w:val="21"/>
                <w:highlight w:val="none"/>
              </w:rPr>
              <w:t>项目负责人</w:t>
            </w:r>
            <w:r>
              <w:rPr>
                <w:rFonts w:hint="eastAsia" w:ascii="宋体" w:hAnsi="宋体" w:eastAsia="宋体" w:cs="宋体"/>
                <w:color w:val="auto"/>
                <w:sz w:val="21"/>
                <w:szCs w:val="21"/>
                <w:highlight w:val="none"/>
                <w:u w:val="none"/>
              </w:rPr>
              <w:t>持有安全培训考核合格证（B类）或建筑施工企业项目负责人安全生产考核合格证书</w:t>
            </w:r>
            <w:r>
              <w:rPr>
                <w:rFonts w:hint="eastAsia" w:ascii="宋体" w:hAnsi="宋体" w:eastAsia="宋体" w:cs="宋体"/>
                <w:b w:val="0"/>
                <w:bCs w:val="0"/>
                <w:color w:val="auto"/>
                <w:sz w:val="21"/>
                <w:szCs w:val="21"/>
                <w:highlight w:val="none"/>
              </w:rPr>
              <w:t>。</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lang w:val="en-US" w:eastAsia="zh-CN"/>
              </w:rPr>
              <w:t>11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beforeAutospacing="0" w:after="0" w:line="440" w:lineRule="exact"/>
              <w:ind w:firstLine="0"/>
              <w:jc w:val="center"/>
              <w:rPr>
                <w:rFonts w:ascii="宋体" w:hAnsi="宋体" w:cs="宋体"/>
                <w:color w:val="auto"/>
                <w:highlight w:val="none"/>
              </w:rPr>
            </w:pP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beforeAutospacing="0" w:after="0" w:line="440" w:lineRule="exact"/>
              <w:ind w:left="0" w:leftChars="0" w:right="0" w:rightChars="0" w:firstLine="0"/>
              <w:jc w:val="center"/>
              <w:rPr>
                <w:rFonts w:ascii="宋体" w:hAnsi="宋体" w:cs="宋体"/>
                <w:color w:val="auto"/>
                <w:highlight w:val="none"/>
              </w:rPr>
            </w:pPr>
            <w:r>
              <w:rPr>
                <w:rFonts w:hint="eastAsia" w:ascii="宋体" w:hAnsi="宋体" w:cs="宋体"/>
                <w:color w:val="auto"/>
                <w:highlight w:val="none"/>
              </w:rPr>
              <w:t>资格审查方式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after="0" w:line="440" w:lineRule="exact"/>
              <w:ind w:firstLine="0"/>
              <w:jc w:val="both"/>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资格后审</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val="en-US" w:eastAsia="zh-CN"/>
              </w:rPr>
              <w:t>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line="440" w:lineRule="exact"/>
              <w:ind w:firstLine="210" w:firstLineChars="100"/>
              <w:jc w:val="both"/>
              <w:rPr>
                <w:rFonts w:hint="eastAsia" w:ascii="宋体" w:hAnsi="宋体" w:eastAsia="宋体" w:cs="宋体"/>
                <w:color w:val="auto"/>
                <w:highlight w:val="none"/>
              </w:rPr>
            </w:pPr>
            <w:r>
              <w:rPr>
                <w:rFonts w:hint="eastAsia" w:ascii="宋体" w:hAnsi="宋体" w:eastAsia="宋体" w:cs="宋体"/>
                <w:color w:val="auto"/>
                <w:szCs w:val="21"/>
                <w:highlight w:val="none"/>
              </w:rPr>
              <w:t>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line="440" w:lineRule="exact"/>
              <w:ind w:firstLine="0" w:firstLineChars="0"/>
              <w:jc w:val="center"/>
              <w:rPr>
                <w:rFonts w:hint="eastAsia" w:ascii="宋体" w:hAnsi="宋体" w:eastAsia="宋体" w:cs="宋体"/>
                <w:color w:val="auto"/>
                <w:highlight w:val="none"/>
              </w:rPr>
            </w:pPr>
            <w:r>
              <w:rPr>
                <w:rFonts w:hint="eastAsia" w:ascii="宋体" w:hAnsi="宋体" w:eastAsia="宋体" w:cs="宋体"/>
                <w:color w:val="auto"/>
                <w:szCs w:val="21"/>
                <w:highlight w:val="none"/>
              </w:rPr>
              <w:t>踏勘现场</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after="0" w:line="440" w:lineRule="exact"/>
              <w:ind w:firstLine="0" w:firstLineChars="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由投标人自行考察。</w:t>
            </w:r>
          </w:p>
        </w:tc>
      </w:tr>
      <w:tr>
        <w:tblPrEx>
          <w:tblCellMar>
            <w:top w:w="0" w:type="dxa"/>
            <w:left w:w="108" w:type="dxa"/>
            <w:bottom w:w="0" w:type="dxa"/>
            <w:right w:w="108" w:type="dxa"/>
          </w:tblCellMar>
        </w:tblPrEx>
        <w:trPr>
          <w:trHeight w:val="75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8.1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before="0" w:beforeAutospacing="0" w:after="0" w:line="440" w:lineRule="exact"/>
              <w:ind w:left="0" w:leftChars="0" w:right="0" w:rightChars="0" w:firstLine="0"/>
              <w:jc w:val="center"/>
              <w:rPr>
                <w:rFonts w:hint="eastAsia" w:ascii="宋体" w:hAnsi="宋体" w:eastAsia="宋体" w:cs="宋体"/>
                <w:color w:val="auto"/>
                <w:highlight w:val="none"/>
                <w:lang w:val="en-US" w:eastAsia="zh-CN"/>
              </w:rPr>
            </w:pPr>
            <w:r>
              <w:rPr>
                <w:rFonts w:hint="eastAsia" w:ascii="宋体" w:hAnsi="宋体" w:eastAsia="宋体" w:cs="宋体"/>
                <w:color w:val="auto"/>
                <w:szCs w:val="21"/>
                <w:highlight w:val="none"/>
              </w:rPr>
              <w:t>招标答疑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spacing w:line="440" w:lineRule="exact"/>
              <w:ind w:firstLine="0"/>
              <w:jc w:val="both"/>
              <w:rPr>
                <w:rFonts w:hint="eastAsia" w:ascii="宋体" w:hAnsi="宋体" w:eastAsia="宋体" w:cs="宋体"/>
                <w:color w:val="auto"/>
                <w:sz w:val="21"/>
                <w:szCs w:val="21"/>
                <w:highlight w:val="none"/>
                <w:u w:val="none"/>
              </w:rPr>
            </w:pPr>
            <w:r>
              <w:rPr>
                <w:rFonts w:hint="eastAsia" w:ascii="宋体" w:hAnsi="宋体" w:eastAsia="宋体" w:cs="宋体"/>
                <w:color w:val="auto"/>
                <w:kern w:val="2"/>
                <w:sz w:val="21"/>
                <w:szCs w:val="21"/>
                <w:highlight w:val="none"/>
                <w:u w:val="none"/>
                <w:lang w:val="en-US" w:eastAsia="zh-CN" w:bidi="ar-SA"/>
              </w:rPr>
              <w:t>/</w:t>
            </w:r>
          </w:p>
        </w:tc>
      </w:tr>
      <w:tr>
        <w:tblPrEx>
          <w:tblCellMar>
            <w:top w:w="0" w:type="dxa"/>
            <w:left w:w="108" w:type="dxa"/>
            <w:bottom w:w="0" w:type="dxa"/>
            <w:right w:w="108" w:type="dxa"/>
          </w:tblCellMar>
        </w:tblPrEx>
        <w:trPr>
          <w:trHeight w:val="75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eastAsia="zh-CN"/>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before="100" w:beforeAutospacing="0" w:after="0" w:line="440" w:lineRule="exact"/>
              <w:ind w:left="-59" w:leftChars="-28" w:right="-44" w:rightChars="-21" w:firstLine="0"/>
              <w:jc w:val="center"/>
              <w:rPr>
                <w:rFonts w:ascii="宋体" w:hAnsi="宋体" w:cs="宋体"/>
                <w:color w:val="auto"/>
                <w:highlight w:val="none"/>
              </w:rPr>
            </w:pPr>
            <w:r>
              <w:rPr>
                <w:rFonts w:hint="eastAsia" w:ascii="宋体" w:hAnsi="宋体" w:eastAsia="宋体" w:cs="宋体"/>
                <w:color w:val="auto"/>
                <w:highlight w:val="none"/>
                <w:lang w:val="en-US" w:eastAsia="zh-CN"/>
              </w:rPr>
              <w:t>招标控制价及</w:t>
            </w:r>
            <w:r>
              <w:rPr>
                <w:rFonts w:hint="eastAsia" w:ascii="宋体" w:hAnsi="宋体" w:eastAsia="宋体" w:cs="宋体"/>
                <w:color w:val="auto"/>
                <w:highlight w:val="none"/>
                <w:lang w:eastAsia="zh-CN"/>
              </w:rPr>
              <w:t>报价</w:t>
            </w:r>
            <w:r>
              <w:rPr>
                <w:rFonts w:hint="eastAsia" w:ascii="宋体" w:hAnsi="宋体" w:eastAsia="宋体" w:cs="宋体"/>
                <w:color w:val="auto"/>
                <w:highlight w:val="none"/>
              </w:rPr>
              <w:t>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line="360" w:lineRule="auto"/>
              <w:ind w:firstLine="0" w:firstLineChars="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u w:val="none"/>
              </w:rPr>
              <w:t>招标控制价为</w:t>
            </w:r>
            <w:r>
              <w:rPr>
                <w:rFonts w:hint="eastAsia" w:ascii="宋体" w:hAnsi="宋体" w:eastAsia="宋体" w:cs="宋体"/>
                <w:color w:val="auto"/>
                <w:sz w:val="21"/>
                <w:szCs w:val="21"/>
                <w:highlight w:val="none"/>
                <w:u w:val="none"/>
                <w:lang w:val="en-US" w:eastAsia="zh-CN"/>
              </w:rPr>
              <w:t>¥</w:t>
            </w:r>
            <w:r>
              <w:rPr>
                <w:rFonts w:hint="eastAsia" w:ascii="宋体" w:hAnsi="宋体" w:eastAsia="宋体" w:cs="宋体"/>
                <w:color w:val="auto"/>
                <w:kern w:val="2"/>
                <w:position w:val="0"/>
                <w:sz w:val="21"/>
                <w:szCs w:val="21"/>
                <w:highlight w:val="none"/>
                <w:u w:val="single"/>
                <w:lang w:val="en-US" w:eastAsia="zh-CN"/>
              </w:rPr>
              <w:t>436291.05</w:t>
            </w:r>
            <w:r>
              <w:rPr>
                <w:rFonts w:hint="eastAsia" w:ascii="宋体" w:hAnsi="宋体" w:eastAsia="宋体" w:cs="宋体"/>
                <w:color w:val="auto"/>
                <w:sz w:val="21"/>
                <w:szCs w:val="21"/>
                <w:highlight w:val="none"/>
                <w:u w:val="none"/>
              </w:rPr>
              <w:t>元</w:t>
            </w:r>
            <w:r>
              <w:rPr>
                <w:rFonts w:hint="eastAsia" w:ascii="宋体" w:hAnsi="宋体" w:eastAsia="宋体" w:cs="宋体"/>
                <w:color w:val="auto"/>
                <w:sz w:val="21"/>
                <w:szCs w:val="21"/>
                <w:highlight w:val="none"/>
                <w:u w:val="none"/>
                <w:lang w:eastAsia="zh-CN"/>
              </w:rPr>
              <w:t>（大写：人民币</w:t>
            </w:r>
            <w:r>
              <w:rPr>
                <w:rFonts w:hint="eastAsia" w:ascii="宋体" w:hAnsi="宋体" w:eastAsia="宋体" w:cs="宋体"/>
                <w:color w:val="auto"/>
                <w:sz w:val="21"/>
                <w:szCs w:val="21"/>
                <w:highlight w:val="none"/>
                <w:lang w:val="en-US" w:eastAsia="zh-CN"/>
              </w:rPr>
              <w:t>肆拾叁万陆仟贰佰玖拾壹元伍分</w:t>
            </w:r>
            <w:r>
              <w:rPr>
                <w:rFonts w:hint="eastAsia" w:ascii="宋体" w:hAnsi="宋体" w:eastAsia="宋体" w:cs="宋体"/>
                <w:color w:val="auto"/>
                <w:sz w:val="21"/>
                <w:szCs w:val="21"/>
                <w:highlight w:val="none"/>
                <w:u w:val="none"/>
                <w:lang w:eastAsia="zh-CN"/>
              </w:rPr>
              <w:t>），其中，</w:t>
            </w:r>
            <w:r>
              <w:rPr>
                <w:rFonts w:hint="eastAsia" w:ascii="宋体" w:hAnsi="宋体" w:eastAsia="宋体" w:cs="宋体"/>
                <w:bCs w:val="0"/>
                <w:color w:val="auto"/>
                <w:sz w:val="21"/>
                <w:szCs w:val="21"/>
                <w:highlight w:val="none"/>
                <w:u w:val="none"/>
                <w:lang w:eastAsia="zh-CN"/>
              </w:rPr>
              <w:t>绿色施工安全防护措施费为</w:t>
            </w:r>
            <w:r>
              <w:rPr>
                <w:rFonts w:hint="eastAsia" w:ascii="宋体" w:hAnsi="宋体" w:eastAsia="宋体" w:cs="宋体"/>
                <w:color w:val="auto"/>
                <w:sz w:val="21"/>
                <w:szCs w:val="21"/>
                <w:highlight w:val="none"/>
                <w:u w:val="single"/>
                <w:lang w:val="en-US" w:eastAsia="zh-CN"/>
              </w:rPr>
              <w:t>¥</w:t>
            </w:r>
            <w:r>
              <w:rPr>
                <w:rFonts w:hint="eastAsia" w:ascii="宋体" w:hAnsi="宋体" w:eastAsia="宋体" w:cs="宋体"/>
                <w:color w:val="auto"/>
                <w:kern w:val="2"/>
                <w:position w:val="0"/>
                <w:sz w:val="21"/>
                <w:szCs w:val="21"/>
                <w:highlight w:val="none"/>
                <w:u w:val="single"/>
                <w:lang w:val="en-US" w:eastAsia="zh-CN" w:bidi="ar-SA"/>
              </w:rPr>
              <w:t>24923.21</w:t>
            </w:r>
            <w:r>
              <w:rPr>
                <w:rFonts w:hint="eastAsia" w:ascii="宋体" w:hAnsi="宋体" w:eastAsia="宋体" w:cs="宋体"/>
                <w:bCs w:val="0"/>
                <w:color w:val="auto"/>
                <w:sz w:val="21"/>
                <w:szCs w:val="21"/>
                <w:highlight w:val="none"/>
                <w:u w:val="none"/>
                <w:lang w:val="en-US" w:eastAsia="zh-CN"/>
              </w:rPr>
              <w:t>元（固定值）</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kern w:val="2"/>
                <w:sz w:val="21"/>
                <w:szCs w:val="21"/>
                <w:highlight w:val="none"/>
                <w:u w:val="none"/>
                <w:lang w:val="en-US" w:eastAsia="zh-CN" w:bidi="ar-SA"/>
              </w:rPr>
              <w:t>投标单位自行报价，投标总报价不能超过招标控制价，否则按</w:t>
            </w:r>
            <w:r>
              <w:rPr>
                <w:rFonts w:hint="eastAsia" w:hAnsi="宋体" w:cs="宋体"/>
                <w:color w:val="auto"/>
                <w:kern w:val="2"/>
                <w:sz w:val="21"/>
                <w:szCs w:val="21"/>
                <w:highlight w:val="none"/>
                <w:u w:val="none"/>
                <w:lang w:val="en-US" w:eastAsia="zh-CN" w:bidi="ar-SA"/>
              </w:rPr>
              <w:t>无效投标</w:t>
            </w:r>
            <w:r>
              <w:rPr>
                <w:rFonts w:hint="eastAsia" w:ascii="宋体" w:hAnsi="宋体" w:eastAsia="宋体" w:cs="宋体"/>
                <w:color w:val="auto"/>
                <w:kern w:val="2"/>
                <w:sz w:val="21"/>
                <w:szCs w:val="21"/>
                <w:highlight w:val="none"/>
                <w:u w:val="none"/>
                <w:lang w:val="en-US" w:eastAsia="zh-CN" w:bidi="ar-SA"/>
              </w:rPr>
              <w:t>处理）。（小数点后保留二位小数，第三位小数四舍五入）</w:t>
            </w:r>
          </w:p>
        </w:tc>
      </w:tr>
      <w:tr>
        <w:tblPrEx>
          <w:tblCellMar>
            <w:top w:w="0" w:type="dxa"/>
            <w:left w:w="108" w:type="dxa"/>
            <w:bottom w:w="0" w:type="dxa"/>
            <w:right w:w="108" w:type="dxa"/>
          </w:tblCellMar>
        </w:tblPrEx>
        <w:trPr>
          <w:trHeight w:val="58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val="en-US" w:eastAsia="zh-CN"/>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投标有效期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90日历天（从投标截止之日算起）。</w:t>
            </w:r>
          </w:p>
        </w:tc>
      </w:tr>
      <w:tr>
        <w:tblPrEx>
          <w:tblCellMar>
            <w:top w:w="0" w:type="dxa"/>
            <w:left w:w="108" w:type="dxa"/>
            <w:bottom w:w="0" w:type="dxa"/>
            <w:right w:w="108" w:type="dxa"/>
          </w:tblCellMar>
        </w:tblPrEx>
        <w:trPr>
          <w:trHeight w:val="7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val="en-US" w:eastAsia="zh-CN"/>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16.1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spacing w:val="-4"/>
                <w:highlight w:val="none"/>
              </w:rPr>
            </w:pPr>
            <w:r>
              <w:rPr>
                <w:rFonts w:hint="eastAsia" w:ascii="宋体" w:hAnsi="宋体" w:cs="宋体"/>
                <w:color w:val="auto"/>
                <w:spacing w:val="-4"/>
                <w:highlight w:val="none"/>
              </w:rPr>
              <w:t>投标保证金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numPr>
                <w:ilvl w:val="-1"/>
                <w:numId w:val="0"/>
              </w:numPr>
              <w:adjustRightInd w:val="0"/>
              <w:snapToGrid w:val="0"/>
              <w:spacing w:line="360" w:lineRule="auto"/>
              <w:rPr>
                <w:highlight w:val="none"/>
              </w:rPr>
            </w:pPr>
            <w:r>
              <w:rPr>
                <w:rFonts w:hint="eastAsia"/>
                <w:highlight w:val="none"/>
              </w:rPr>
              <w:t>1、金额：人民币</w:t>
            </w:r>
            <w:r>
              <w:rPr>
                <w:rFonts w:hint="eastAsia"/>
                <w:highlight w:val="none"/>
                <w:lang w:val="en-US" w:eastAsia="zh-CN"/>
              </w:rPr>
              <w:t>伍仟</w:t>
            </w:r>
            <w:r>
              <w:rPr>
                <w:rFonts w:hint="eastAsia"/>
                <w:highlight w:val="none"/>
              </w:rPr>
              <w:t>元。</w:t>
            </w:r>
          </w:p>
          <w:p>
            <w:pPr>
              <w:numPr>
                <w:ilvl w:val="-1"/>
                <w:numId w:val="0"/>
              </w:numPr>
              <w:adjustRightInd w:val="0"/>
              <w:snapToGrid w:val="0"/>
              <w:spacing w:line="360" w:lineRule="auto"/>
              <w:rPr>
                <w:rFonts w:hint="eastAsia"/>
                <w:highlight w:val="none"/>
                <w:lang w:eastAsia="zh-CN"/>
              </w:rPr>
            </w:pPr>
            <w:r>
              <w:rPr>
                <w:rFonts w:hint="eastAsia"/>
                <w:highlight w:val="none"/>
              </w:rPr>
              <w:t>2、缴纳方式：</w:t>
            </w:r>
            <w:r>
              <w:rPr>
                <w:rFonts w:hint="eastAsia"/>
                <w:highlight w:val="none"/>
                <w:lang w:eastAsia="zh-CN"/>
              </w:rPr>
              <w:t>银行转账。</w:t>
            </w:r>
          </w:p>
          <w:p>
            <w:pPr>
              <w:numPr>
                <w:ilvl w:val="-1"/>
                <w:numId w:val="0"/>
              </w:numPr>
              <w:adjustRightInd w:val="0"/>
              <w:spacing w:line="360" w:lineRule="auto"/>
              <w:rPr>
                <w:rFonts w:hint="eastAsia"/>
                <w:highlight w:val="none"/>
                <w:lang w:eastAsia="zh-CN"/>
              </w:rPr>
            </w:pPr>
            <w:r>
              <w:rPr>
                <w:rFonts w:hint="eastAsia"/>
                <w:highlight w:val="none"/>
              </w:rPr>
              <w:t>账户名称：</w:t>
            </w:r>
            <w:r>
              <w:rPr>
                <w:highlight w:val="none"/>
              </w:rPr>
              <w:t>广州南沙</w:t>
            </w:r>
            <w:r>
              <w:rPr>
                <w:rFonts w:hint="eastAsia"/>
                <w:highlight w:val="none"/>
                <w:lang w:val="en-US" w:eastAsia="zh-CN"/>
              </w:rPr>
              <w:t>湿地旅游发展</w:t>
            </w:r>
            <w:r>
              <w:rPr>
                <w:highlight w:val="none"/>
              </w:rPr>
              <w:t>有限公司</w:t>
            </w:r>
          </w:p>
          <w:p>
            <w:pPr>
              <w:numPr>
                <w:ilvl w:val="-1"/>
                <w:numId w:val="0"/>
              </w:numPr>
              <w:adjustRightInd w:val="0"/>
              <w:spacing w:line="360" w:lineRule="auto"/>
              <w:rPr>
                <w:rFonts w:hint="default"/>
                <w:highlight w:val="none"/>
                <w:lang w:eastAsia="zh-CN"/>
              </w:rPr>
            </w:pPr>
            <w:r>
              <w:rPr>
                <w:rFonts w:hint="eastAsia"/>
                <w:highlight w:val="none"/>
              </w:rPr>
              <w:t>开户银行：广州农村商业银行十四冲支行</w:t>
            </w:r>
            <w:r>
              <w:rPr>
                <w:rFonts w:hint="default"/>
                <w:highlight w:val="none"/>
                <w:lang w:val="en-US" w:eastAsia="zh-CN"/>
              </w:rPr>
              <w:t xml:space="preserve">  </w:t>
            </w:r>
          </w:p>
          <w:p>
            <w:pPr>
              <w:numPr>
                <w:ilvl w:val="-1"/>
                <w:numId w:val="0"/>
              </w:numPr>
              <w:adjustRightInd w:val="0"/>
              <w:spacing w:line="360" w:lineRule="auto"/>
              <w:rPr>
                <w:rFonts w:hint="default"/>
                <w:highlight w:val="none"/>
                <w:lang w:val="en-US" w:eastAsia="zh-CN"/>
              </w:rPr>
            </w:pPr>
            <w:r>
              <w:rPr>
                <w:rFonts w:hint="eastAsia"/>
                <w:highlight w:val="none"/>
              </w:rPr>
              <w:t>账号</w:t>
            </w:r>
            <w:r>
              <w:rPr>
                <w:rFonts w:hint="default"/>
                <w:highlight w:val="none"/>
              </w:rPr>
              <w:t>：</w:t>
            </w:r>
            <w:r>
              <w:rPr>
                <w:rFonts w:hint="eastAsia"/>
                <w:highlight w:val="none"/>
              </w:rPr>
              <w:t>05621949000000074</w:t>
            </w:r>
          </w:p>
          <w:p>
            <w:pPr>
              <w:numPr>
                <w:ilvl w:val="0"/>
                <w:numId w:val="1"/>
              </w:numPr>
              <w:adjustRightInd w:val="0"/>
              <w:snapToGrid w:val="0"/>
              <w:spacing w:line="360" w:lineRule="auto"/>
              <w:rPr>
                <w:rFonts w:hint="eastAsia"/>
                <w:highlight w:val="none"/>
                <w:lang w:val="en-US" w:eastAsia="zh-CN"/>
              </w:rPr>
            </w:pPr>
            <w:r>
              <w:rPr>
                <w:rFonts w:hint="eastAsia"/>
                <w:highlight w:val="none"/>
              </w:rPr>
              <w:t>缴纳时间：投标单位须在202</w:t>
            </w:r>
            <w:r>
              <w:rPr>
                <w:rFonts w:hint="eastAsia"/>
                <w:highlight w:val="none"/>
                <w:lang w:val="en-US" w:eastAsia="zh-CN"/>
              </w:rPr>
              <w:t>3</w:t>
            </w:r>
            <w:r>
              <w:rPr>
                <w:rFonts w:hint="eastAsia"/>
                <w:highlight w:val="none"/>
              </w:rPr>
              <w:t>年</w:t>
            </w:r>
            <w:r>
              <w:rPr>
                <w:rFonts w:hint="eastAsia"/>
                <w:highlight w:val="none"/>
                <w:lang w:val="en-US" w:eastAsia="zh-CN"/>
              </w:rPr>
              <w:t>8月25</w:t>
            </w:r>
            <w:r>
              <w:rPr>
                <w:rFonts w:hint="eastAsia"/>
                <w:highlight w:val="none"/>
              </w:rPr>
              <w:t>日</w:t>
            </w:r>
            <w:r>
              <w:rPr>
                <w:rFonts w:hint="eastAsia"/>
                <w:highlight w:val="none"/>
                <w:lang w:eastAsia="zh-CN"/>
              </w:rPr>
              <w:t>（星期</w:t>
            </w:r>
            <w:r>
              <w:rPr>
                <w:rFonts w:hint="eastAsia"/>
                <w:highlight w:val="none"/>
                <w:lang w:val="en-US" w:eastAsia="zh-CN"/>
              </w:rPr>
              <w:t>五</w:t>
            </w:r>
            <w:r>
              <w:rPr>
                <w:rFonts w:hint="eastAsia"/>
                <w:highlight w:val="none"/>
                <w:lang w:eastAsia="zh-CN"/>
              </w:rPr>
              <w:t>）</w:t>
            </w:r>
            <w:r>
              <w:rPr>
                <w:rFonts w:hint="eastAsia"/>
                <w:highlight w:val="none"/>
                <w:lang w:val="en-US" w:eastAsia="zh-CN"/>
              </w:rPr>
              <w:t>16</w:t>
            </w:r>
            <w:r>
              <w:rPr>
                <w:rFonts w:hint="eastAsia"/>
                <w:highlight w:val="none"/>
              </w:rPr>
              <w:t>时</w:t>
            </w:r>
            <w:r>
              <w:rPr>
                <w:rFonts w:hint="eastAsia"/>
                <w:highlight w:val="none"/>
                <w:lang w:val="en-US" w:eastAsia="zh-CN"/>
              </w:rPr>
              <w:t>00</w:t>
            </w:r>
            <w:r>
              <w:rPr>
                <w:rFonts w:hint="eastAsia"/>
                <w:highlight w:val="none"/>
              </w:rPr>
              <w:t>分</w:t>
            </w:r>
            <w:r>
              <w:rPr>
                <w:rFonts w:hint="eastAsia"/>
                <w:highlight w:val="none"/>
                <w:lang w:eastAsia="zh-CN"/>
              </w:rPr>
              <w:t>前</w:t>
            </w:r>
            <w:r>
              <w:rPr>
                <w:rFonts w:hint="eastAsia"/>
                <w:highlight w:val="none"/>
              </w:rPr>
              <w:t>以投标人转出【以招标单位查询的信息为准，汇款时备注：</w:t>
            </w:r>
            <w:r>
              <w:rPr>
                <w:rFonts w:hint="eastAsia"/>
                <w:highlight w:val="none"/>
                <w:lang w:val="en-US" w:eastAsia="zh-CN"/>
              </w:rPr>
              <w:t>湿地一期景区木结构整体刷漆维护保养项目</w:t>
            </w:r>
            <w:r>
              <w:rPr>
                <w:rFonts w:hint="eastAsia" w:ascii="宋体" w:hAnsi="宋体" w:eastAsia="宋体" w:cs="宋体"/>
                <w:b w:val="0"/>
                <w:bCs w:val="0"/>
                <w:color w:val="auto"/>
                <w:sz w:val="21"/>
                <w:szCs w:val="21"/>
                <w:highlight w:val="none"/>
                <w:lang w:val="en-US" w:eastAsia="zh-CN"/>
              </w:rPr>
              <w:t>（第二次）</w:t>
            </w:r>
            <w:r>
              <w:rPr>
                <w:rFonts w:hint="eastAsia"/>
                <w:highlight w:val="none"/>
              </w:rPr>
              <w:t>投标保证金】</w:t>
            </w:r>
          </w:p>
          <w:p>
            <w:pPr>
              <w:numPr>
                <w:ilvl w:val="0"/>
                <w:numId w:val="1"/>
              </w:numPr>
              <w:adjustRightInd w:val="0"/>
              <w:snapToGrid w:val="0"/>
              <w:spacing w:line="360" w:lineRule="auto"/>
              <w:rPr>
                <w:rFonts w:hint="eastAsia"/>
                <w:highlight w:val="none"/>
              </w:rPr>
            </w:pPr>
            <w:r>
              <w:rPr>
                <w:rFonts w:hint="eastAsia"/>
                <w:highlight w:val="none"/>
              </w:rPr>
              <w:t>未按规定缴纳投标保证金的正式投标人将被视为自动放弃本工程的投标资格。</w:t>
            </w:r>
          </w:p>
          <w:p>
            <w:pPr>
              <w:pStyle w:val="2"/>
              <w:numPr>
                <w:ilvl w:val="0"/>
                <w:numId w:val="1"/>
              </w:numPr>
              <w:spacing w:line="360" w:lineRule="auto"/>
              <w:rPr>
                <w:rFonts w:hint="eastAsia"/>
                <w:highlight w:val="none"/>
                <w:lang w:val="en-US" w:eastAsia="zh-CN"/>
              </w:rPr>
            </w:pPr>
            <w:r>
              <w:rPr>
                <w:rFonts w:hint="eastAsia" w:asciiTheme="minorHAnsi" w:hAnsiTheme="minorHAnsi" w:eastAsiaTheme="minorEastAsia" w:cstheme="minorBidi"/>
                <w:b w:val="0"/>
                <w:sz w:val="21"/>
                <w:szCs w:val="24"/>
                <w:highlight w:val="none"/>
                <w:lang w:val="en-US" w:eastAsia="zh-CN"/>
              </w:rPr>
              <w:t>招标人在中标通知书发出后5个工作日内无息退还未中标投标人的投标保证金，在合同签订后5个工作日内无息退还中标投标人的投标保证金。所有投标人的投标保证金以转账的方式予以退还。</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val="en-US" w:eastAsia="zh-CN"/>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17.1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before="0" w:beforeAutospacing="0" w:after="0" w:line="440" w:lineRule="exact"/>
              <w:ind w:left="0" w:leftChars="0" w:right="0" w:rightChars="0" w:firstLine="0"/>
              <w:jc w:val="center"/>
              <w:rPr>
                <w:rFonts w:hint="eastAsia" w:ascii="宋体" w:hAnsi="宋体" w:cs="宋体"/>
                <w:color w:val="auto"/>
                <w:highlight w:val="none"/>
              </w:rPr>
            </w:pPr>
            <w:r>
              <w:rPr>
                <w:rFonts w:hint="eastAsia" w:ascii="宋体" w:hAnsi="宋体" w:cs="宋体"/>
                <w:color w:val="auto"/>
                <w:highlight w:val="none"/>
              </w:rPr>
              <w:t>投标文件份数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after="0" w:line="44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投标文件：1份正本（含电子文件一套），4份副本。</w:t>
            </w:r>
          </w:p>
        </w:tc>
      </w:tr>
      <w:tr>
        <w:tblPrEx>
          <w:tblCellMar>
            <w:top w:w="0" w:type="dxa"/>
            <w:left w:w="108" w:type="dxa"/>
            <w:bottom w:w="0" w:type="dxa"/>
            <w:right w:w="108" w:type="dxa"/>
          </w:tblCellMar>
        </w:tblPrEx>
        <w:trPr>
          <w:trHeight w:val="89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val="en-US" w:eastAsia="zh-CN"/>
              </w:rPr>
              <w:t>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19.1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before="100" w:beforeAutospacing="0" w:after="0" w:line="440" w:lineRule="exact"/>
              <w:ind w:left="-19" w:leftChars="-9" w:right="-17" w:rightChars="-8" w:firstLine="0"/>
              <w:jc w:val="center"/>
              <w:rPr>
                <w:rFonts w:ascii="宋体" w:hAnsi="宋体" w:cs="宋体"/>
                <w:color w:val="auto"/>
                <w:highlight w:val="none"/>
              </w:rPr>
            </w:pPr>
            <w:r>
              <w:rPr>
                <w:rFonts w:hint="eastAsia" w:ascii="宋体" w:hAnsi="宋体" w:cs="宋体"/>
                <w:color w:val="auto"/>
                <w:highlight w:val="none"/>
              </w:rPr>
              <w:t>投标文件</w:t>
            </w:r>
          </w:p>
          <w:p>
            <w:pPr>
              <w:pStyle w:val="4"/>
              <w:widowControl/>
              <w:spacing w:before="100" w:beforeAutospacing="0" w:after="0" w:line="440" w:lineRule="exact"/>
              <w:ind w:left="-19" w:leftChars="-9" w:right="-17" w:rightChars="-8" w:firstLine="0"/>
              <w:jc w:val="center"/>
              <w:rPr>
                <w:rFonts w:ascii="宋体" w:hAnsi="宋体" w:cs="宋体"/>
                <w:color w:val="auto"/>
                <w:highlight w:val="none"/>
              </w:rPr>
            </w:pPr>
            <w:r>
              <w:rPr>
                <w:rFonts w:hint="eastAsia" w:ascii="宋体" w:hAnsi="宋体" w:cs="宋体"/>
                <w:color w:val="auto"/>
                <w:highlight w:val="none"/>
              </w:rPr>
              <w:t>提交地点及</w:t>
            </w:r>
          </w:p>
          <w:p>
            <w:pPr>
              <w:pStyle w:val="4"/>
              <w:widowControl/>
              <w:spacing w:before="100" w:beforeAutospacing="0" w:after="0" w:line="440" w:lineRule="exact"/>
              <w:ind w:left="-19" w:leftChars="-9" w:right="-17" w:rightChars="-8" w:firstLine="0"/>
              <w:jc w:val="center"/>
              <w:rPr>
                <w:rFonts w:ascii="宋体" w:hAnsi="宋体" w:cs="宋体"/>
                <w:color w:val="auto"/>
                <w:highlight w:val="none"/>
              </w:rPr>
            </w:pPr>
            <w:r>
              <w:rPr>
                <w:rFonts w:hint="eastAsia" w:ascii="宋体" w:hAnsi="宋体" w:cs="宋体"/>
                <w:color w:val="auto"/>
                <w:highlight w:val="none"/>
              </w:rPr>
              <w:t>截止时间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收件人：林小姐，</w:t>
            </w:r>
            <w:r>
              <w:rPr>
                <w:rFonts w:hint="eastAsia" w:ascii="宋体" w:hAnsi="宋体" w:eastAsia="宋体" w:cs="宋体"/>
                <w:color w:val="auto"/>
                <w:kern w:val="2"/>
                <w:sz w:val="21"/>
                <w:szCs w:val="21"/>
                <w:highlight w:val="none"/>
                <w:u w:val="none"/>
              </w:rPr>
              <w:t>020-</w:t>
            </w:r>
            <w:r>
              <w:rPr>
                <w:rFonts w:hint="eastAsia" w:ascii="宋体" w:hAnsi="宋体" w:eastAsia="宋体" w:cs="宋体"/>
                <w:color w:val="auto"/>
                <w:kern w:val="2"/>
                <w:sz w:val="21"/>
                <w:szCs w:val="21"/>
                <w:highlight w:val="none"/>
                <w:u w:val="none"/>
                <w:lang w:val="en-US" w:eastAsia="zh-CN"/>
              </w:rPr>
              <w:t>31151828</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提交地点：</w:t>
            </w:r>
            <w:r>
              <w:rPr>
                <w:rFonts w:hint="eastAsia" w:ascii="宋体" w:hAnsi="宋体" w:eastAsia="宋体" w:cs="宋体"/>
                <w:color w:val="auto"/>
                <w:kern w:val="2"/>
                <w:sz w:val="21"/>
                <w:szCs w:val="21"/>
                <w:highlight w:val="none"/>
                <w:u w:val="none"/>
                <w:shd w:val="clear" w:color="auto" w:fill="auto"/>
                <w:lang w:bidi="ar-SA"/>
              </w:rPr>
              <w:t>广州市南沙区南沙街天后路88号南沙天后宫景区办公室2楼</w:t>
            </w:r>
            <w:r>
              <w:rPr>
                <w:rFonts w:hint="eastAsia" w:ascii="宋体" w:hAnsi="宋体" w:eastAsia="宋体" w:cs="宋体"/>
                <w:color w:val="auto"/>
                <w:kern w:val="2"/>
                <w:sz w:val="21"/>
                <w:szCs w:val="21"/>
                <w:highlight w:val="none"/>
                <w:u w:val="none"/>
                <w:shd w:val="clear" w:color="auto" w:fill="auto"/>
                <w:lang w:val="en-US" w:eastAsia="zh-CN" w:bidi="ar-SA"/>
              </w:rPr>
              <w:t>206评标室</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投标时间：</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3</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8月28</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一</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14</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00</w:t>
            </w:r>
            <w:r>
              <w:rPr>
                <w:rFonts w:hint="eastAsia" w:ascii="宋体" w:hAnsi="宋体" w:eastAsia="宋体" w:cs="宋体"/>
                <w:color w:val="auto"/>
                <w:sz w:val="21"/>
                <w:szCs w:val="21"/>
                <w:highlight w:val="none"/>
                <w:u w:val="none"/>
              </w:rPr>
              <w:t>分</w:t>
            </w:r>
            <w:r>
              <w:rPr>
                <w:rFonts w:hint="eastAsia" w:ascii="宋体" w:hAnsi="宋体" w:eastAsia="宋体" w:cs="宋体"/>
                <w:color w:val="auto"/>
                <w:sz w:val="21"/>
                <w:szCs w:val="21"/>
                <w:highlight w:val="none"/>
                <w:u w:val="none"/>
                <w:lang w:eastAsia="zh-CN"/>
              </w:rPr>
              <w:t>至</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3</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8月28</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一</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14</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30</w:t>
            </w:r>
            <w:r>
              <w:rPr>
                <w:rFonts w:hint="eastAsia" w:ascii="宋体" w:hAnsi="宋体" w:eastAsia="宋体" w:cs="宋体"/>
                <w:color w:val="auto"/>
                <w:sz w:val="21"/>
                <w:szCs w:val="21"/>
                <w:highlight w:val="none"/>
                <w:u w:val="none"/>
              </w:rPr>
              <w:t>分前</w:t>
            </w:r>
            <w:r>
              <w:rPr>
                <w:rFonts w:hint="eastAsia" w:ascii="宋体" w:hAnsi="宋体" w:eastAsia="宋体" w:cs="宋体"/>
                <w:color w:val="auto"/>
                <w:kern w:val="2"/>
                <w:sz w:val="21"/>
                <w:szCs w:val="21"/>
                <w:highlight w:val="none"/>
                <w:u w:val="none"/>
                <w:lang w:val="en-US" w:eastAsia="zh-CN" w:bidi="ar-SA"/>
              </w:rPr>
              <w:t>。</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法定代表人应凭本人身份证和法定代表人证明书原件提交投标文件，委托代理人应凭本人身份证、法定代表人证明书原件和法定代表人授权委托证明书原件提交投标文件。否则其投标文件不被招标人接收。</w:t>
            </w:r>
          </w:p>
        </w:tc>
      </w:tr>
      <w:tr>
        <w:tblPrEx>
          <w:tblCellMar>
            <w:top w:w="0" w:type="dxa"/>
            <w:left w:w="108" w:type="dxa"/>
            <w:bottom w:w="0" w:type="dxa"/>
            <w:right w:w="108" w:type="dxa"/>
          </w:tblCellMar>
        </w:tblPrEx>
        <w:trPr>
          <w:trHeight w:val="154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lang w:val="en-US" w:eastAsia="zh-CN"/>
              </w:rPr>
              <w:t>19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开标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开标时间：</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3</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8月28</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一</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14</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30</w:t>
            </w:r>
            <w:r>
              <w:rPr>
                <w:rFonts w:hint="eastAsia" w:ascii="宋体" w:hAnsi="宋体" w:eastAsia="宋体" w:cs="宋体"/>
                <w:color w:val="auto"/>
                <w:sz w:val="21"/>
                <w:szCs w:val="21"/>
                <w:highlight w:val="none"/>
                <w:u w:val="none"/>
              </w:rPr>
              <w:t>分</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地点：</w:t>
            </w:r>
            <w:r>
              <w:rPr>
                <w:rFonts w:hint="eastAsia" w:ascii="宋体" w:hAnsi="宋体" w:eastAsia="宋体" w:cs="宋体"/>
                <w:color w:val="auto"/>
                <w:kern w:val="2"/>
                <w:sz w:val="21"/>
                <w:szCs w:val="21"/>
                <w:highlight w:val="none"/>
                <w:u w:val="none"/>
                <w:shd w:val="clear"/>
                <w:lang w:bidi="ar-SA"/>
              </w:rPr>
              <w:t>广州市南沙区南沙街天后路88号南沙天后宫景区办公室2楼</w:t>
            </w:r>
            <w:r>
              <w:rPr>
                <w:rFonts w:hint="eastAsia" w:ascii="宋体" w:hAnsi="宋体" w:eastAsia="宋体" w:cs="宋体"/>
                <w:color w:val="auto"/>
                <w:kern w:val="2"/>
                <w:sz w:val="21"/>
                <w:szCs w:val="21"/>
                <w:highlight w:val="none"/>
                <w:u w:val="none"/>
                <w:shd w:val="clear"/>
                <w:lang w:val="en-US" w:eastAsia="zh-CN" w:bidi="ar-SA"/>
              </w:rPr>
              <w:t>206评标室</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请各投标人的法定代表人或其有效授权委托人务必准时出席，并须带本人身份证以供招标人审查，否则作弃权处理。</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double" w:color="auto" w:sz="2" w:space="0"/>
              <w:right w:val="single" w:color="auto" w:sz="4" w:space="0"/>
            </w:tcBorders>
            <w:shd w:val="clear" w:color="auto" w:fill="auto"/>
            <w:vAlign w:val="center"/>
          </w:tcPr>
          <w:p>
            <w:pPr>
              <w:pStyle w:val="4"/>
              <w:widowControl/>
              <w:spacing w:after="0" w:line="440" w:lineRule="exact"/>
              <w:ind w:firstLine="0"/>
              <w:jc w:val="center"/>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20</w:t>
            </w:r>
          </w:p>
        </w:tc>
        <w:tc>
          <w:tcPr>
            <w:tcW w:w="990" w:type="dxa"/>
            <w:tcBorders>
              <w:top w:val="single" w:color="auto" w:sz="4" w:space="0"/>
              <w:left w:val="single" w:color="auto" w:sz="4" w:space="0"/>
              <w:bottom w:val="double" w:color="auto" w:sz="2"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27.3</w:t>
            </w:r>
          </w:p>
        </w:tc>
        <w:tc>
          <w:tcPr>
            <w:tcW w:w="1706" w:type="dxa"/>
            <w:tcBorders>
              <w:top w:val="single" w:color="auto" w:sz="4" w:space="0"/>
              <w:left w:val="single" w:color="auto" w:sz="4" w:space="0"/>
              <w:bottom w:val="double" w:color="auto" w:sz="2"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评标方法</w:t>
            </w:r>
          </w:p>
        </w:tc>
        <w:tc>
          <w:tcPr>
            <w:tcW w:w="6293" w:type="dxa"/>
            <w:tcBorders>
              <w:top w:val="single" w:color="auto" w:sz="4" w:space="0"/>
              <w:left w:val="single" w:color="auto" w:sz="4" w:space="0"/>
              <w:bottom w:val="double" w:color="auto" w:sz="2" w:space="0"/>
              <w:right w:val="double" w:color="auto" w:sz="2" w:space="0"/>
            </w:tcBorders>
            <w:shd w:val="clear" w:color="auto" w:fill="auto"/>
            <w:vAlign w:val="center"/>
          </w:tcPr>
          <w:p>
            <w:pPr>
              <w:spacing w:line="320" w:lineRule="exact"/>
              <w:rPr>
                <w:rFonts w:ascii="宋体" w:hAnsi="宋体" w:eastAsia="宋体" w:cs="宋体"/>
                <w:color w:val="auto"/>
                <w:highlight w:val="none"/>
                <w:u w:val="none"/>
              </w:rPr>
            </w:pPr>
            <w:r>
              <w:rPr>
                <w:rFonts w:hint="eastAsia" w:ascii="宋体" w:hAnsi="宋体" w:eastAsia="宋体" w:cs="宋体"/>
                <w:color w:val="auto"/>
                <w:szCs w:val="21"/>
                <w:highlight w:val="none"/>
                <w:u w:val="none"/>
              </w:rPr>
              <w:t>综合</w:t>
            </w:r>
            <w:r>
              <w:rPr>
                <w:rFonts w:hint="eastAsia" w:ascii="宋体" w:hAnsi="宋体" w:eastAsia="宋体" w:cs="宋体"/>
                <w:color w:val="auto"/>
                <w:szCs w:val="21"/>
                <w:highlight w:val="none"/>
                <w:u w:val="none"/>
                <w:lang w:val="en-US" w:eastAsia="zh-CN"/>
              </w:rPr>
              <w:t>评审</w:t>
            </w:r>
            <w:r>
              <w:rPr>
                <w:rFonts w:hint="eastAsia" w:ascii="宋体" w:hAnsi="宋体" w:eastAsia="宋体" w:cs="宋体"/>
                <w:color w:val="auto"/>
                <w:szCs w:val="21"/>
                <w:highlight w:val="none"/>
                <w:u w:val="none"/>
              </w:rPr>
              <w:t>法</w:t>
            </w:r>
          </w:p>
        </w:tc>
      </w:tr>
    </w:tbl>
    <w:p>
      <w:pPr>
        <w:pStyle w:val="6"/>
        <w:rPr>
          <w:rFonts w:hint="eastAsia" w:ascii="宋体" w:hAnsi="宋体" w:eastAsia="宋体" w:cs="宋体"/>
          <w:b/>
          <w:color w:val="auto"/>
          <w:sz w:val="36"/>
          <w:szCs w:val="36"/>
          <w:highlight w:val="none"/>
        </w:rPr>
      </w:pPr>
    </w:p>
    <w:p>
      <w:pPr>
        <w:spacing w:line="240" w:lineRule="auto"/>
        <w:jc w:val="center"/>
        <w:outlineLvl w:val="9"/>
        <w:rPr>
          <w:rFonts w:ascii="宋体" w:hAnsi="宋体" w:eastAsia="宋体" w:cs="宋体"/>
          <w:b/>
          <w:color w:val="auto"/>
          <w:sz w:val="36"/>
          <w:szCs w:val="36"/>
          <w:highlight w:val="none"/>
        </w:rPr>
      </w:pPr>
      <w:r>
        <w:rPr>
          <w:rFonts w:hint="eastAsia" w:ascii="宋体" w:hAnsi="宋体" w:eastAsia="宋体" w:cs="宋体"/>
          <w:b/>
          <w:color w:val="auto"/>
          <w:sz w:val="36"/>
          <w:szCs w:val="36"/>
          <w:highlight w:val="none"/>
        </w:rPr>
        <w:t>二、投标须知</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一</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总则</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1．定义</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本招标文件使用的下列词语具有如下规定的意义：</w:t>
      </w:r>
    </w:p>
    <w:p>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1.1 “招标人”（即委托人）指</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u w:val="single"/>
          <w:lang w:eastAsia="zh-CN"/>
        </w:rPr>
        <w:t>广州南沙</w:t>
      </w:r>
      <w:r>
        <w:rPr>
          <w:rFonts w:hint="eastAsia" w:ascii="宋体" w:hAnsi="宋体" w:eastAsia="宋体" w:cs="宋体"/>
          <w:color w:val="auto"/>
          <w:sz w:val="24"/>
          <w:highlight w:val="none"/>
          <w:u w:val="single"/>
          <w:lang w:val="en-US" w:eastAsia="zh-CN"/>
        </w:rPr>
        <w:t>湿地</w:t>
      </w:r>
      <w:r>
        <w:rPr>
          <w:rFonts w:hint="eastAsia" w:ascii="宋体" w:hAnsi="宋体" w:eastAsia="宋体" w:cs="宋体"/>
          <w:color w:val="auto"/>
          <w:sz w:val="24"/>
          <w:highlight w:val="none"/>
          <w:u w:val="single"/>
          <w:lang w:eastAsia="zh-CN"/>
        </w:rPr>
        <w:t>旅游发展有限公司</w:t>
      </w:r>
      <w:r>
        <w:rPr>
          <w:rFonts w:hint="eastAsia" w:ascii="宋体" w:hAnsi="宋体" w:eastAsia="宋体" w:cs="宋体"/>
          <w:color w:val="auto"/>
          <w:sz w:val="24"/>
          <w:highlight w:val="none"/>
          <w:u w:val="single"/>
        </w:rPr>
        <w:t>。</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1.2 “项目建设管理单位”指</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1.3 “投标人”指向招标人提交投标文件的当事人。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1.4 “承包商”指被招标人接受并与其签订承包合同的当事人；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1.5 “招标代理”指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shd w:val="clear" w:color="auto" w:fill="FFFF00"/>
        </w:rPr>
      </w:pPr>
      <w:r>
        <w:rPr>
          <w:rFonts w:hint="eastAsia" w:ascii="宋体" w:hAnsi="宋体" w:eastAsia="宋体" w:cs="宋体"/>
          <w:color w:val="auto"/>
          <w:sz w:val="24"/>
          <w:highlight w:val="none"/>
        </w:rPr>
        <w:t>1.6 “设计人”指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1.7 “招标文件”指由招标</w:t>
      </w:r>
      <w:r>
        <w:rPr>
          <w:rFonts w:hint="eastAsia" w:ascii="宋体" w:hAnsi="宋体" w:eastAsia="宋体" w:cs="宋体"/>
          <w:color w:val="auto"/>
          <w:sz w:val="24"/>
          <w:highlight w:val="none"/>
          <w:lang w:val="en-US" w:eastAsia="zh-CN"/>
        </w:rPr>
        <w:t>人</w:t>
      </w:r>
      <w:r>
        <w:rPr>
          <w:rFonts w:hint="eastAsia" w:ascii="宋体" w:hAnsi="宋体" w:eastAsia="宋体" w:cs="宋体"/>
          <w:color w:val="auto"/>
          <w:sz w:val="24"/>
          <w:highlight w:val="none"/>
        </w:rPr>
        <w:t>发出的本文件（包括全部章节、附件）及澄清补充文件。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 “投标文件”指投标人根据本招标文件向招标人提交的全部文件。</w:t>
      </w:r>
    </w:p>
    <w:p>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1.9 “书面函件”指打字或印刷的函件，包括电传、电报和传真。</w:t>
      </w:r>
    </w:p>
    <w:p>
      <w:pPr>
        <w:spacing w:line="360" w:lineRule="auto"/>
        <w:ind w:firstLine="482" w:firstLineChars="200"/>
        <w:outlineLvl w:val="3"/>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w:t>
      </w:r>
      <w:r>
        <w:rPr>
          <w:rFonts w:hint="eastAsia" w:ascii="宋体" w:hAnsi="宋体" w:eastAsia="宋体" w:cs="宋体"/>
          <w:b/>
          <w:color w:val="auto"/>
          <w:sz w:val="24"/>
          <w:highlight w:val="none"/>
          <w:lang w:val="en-US" w:eastAsia="zh-CN"/>
        </w:rPr>
        <w:t xml:space="preserve">. </w:t>
      </w:r>
      <w:r>
        <w:rPr>
          <w:rFonts w:hint="eastAsia" w:ascii="宋体" w:hAnsi="宋体" w:eastAsia="宋体" w:cs="宋体"/>
          <w:b/>
          <w:color w:val="auto"/>
          <w:sz w:val="24"/>
          <w:highlight w:val="none"/>
        </w:rPr>
        <w:t>招标说明</w:t>
      </w:r>
    </w:p>
    <w:p>
      <w:pPr>
        <w:spacing w:line="360" w:lineRule="auto"/>
        <w:ind w:left="0" w:firstLine="480" w:firstLineChars="200"/>
        <w:outlineLvl w:val="3"/>
        <w:rPr>
          <w:rFonts w:hint="eastAsia" w:ascii="宋体" w:hAnsi="宋体" w:eastAsia="宋体" w:cs="宋体"/>
          <w:color w:val="auto"/>
          <w:sz w:val="24"/>
          <w:highlight w:val="none"/>
        </w:rPr>
      </w:pPr>
      <w:r>
        <w:rPr>
          <w:rFonts w:hint="eastAsia" w:ascii="宋体" w:hAnsi="宋体" w:eastAsia="宋体" w:cs="宋体"/>
          <w:color w:val="auto"/>
          <w:sz w:val="24"/>
          <w:highlight w:val="none"/>
        </w:rPr>
        <w:t>2.1本招标项目按照《中华人民共和国招标投标法》等有关法律、行政法规和部门规章，采取邀请招标的办法，选择有经验、有实力、社会信誉好的单位承担，确保本项目能按期、优质、经济地完成。</w:t>
      </w:r>
    </w:p>
    <w:p>
      <w:pPr>
        <w:spacing w:line="360" w:lineRule="auto"/>
        <w:ind w:left="0" w:firstLine="480" w:firstLineChars="200"/>
        <w:outlineLvl w:val="3"/>
        <w:rPr>
          <w:rFonts w:hint="eastAsia" w:ascii="宋体" w:hAnsi="宋体" w:eastAsia="宋体" w:cs="宋体"/>
          <w:color w:val="auto"/>
          <w:sz w:val="24"/>
          <w:highlight w:val="none"/>
        </w:rPr>
      </w:pPr>
      <w:r>
        <w:rPr>
          <w:rFonts w:hint="eastAsia" w:ascii="宋体" w:hAnsi="宋体" w:eastAsia="宋体" w:cs="宋体"/>
          <w:color w:val="auto"/>
          <w:sz w:val="24"/>
          <w:highlight w:val="none"/>
        </w:rPr>
        <w:t>2.2项目概况：</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w:t>
      </w:r>
      <w:r>
        <w:rPr>
          <w:rFonts w:hint="eastAsia" w:ascii="宋体" w:hAnsi="宋体" w:cs="宋体"/>
          <w:color w:val="auto"/>
          <w:sz w:val="24"/>
          <w:highlight w:val="none"/>
        </w:rPr>
        <w:t>项目</w:t>
      </w:r>
      <w:r>
        <w:rPr>
          <w:rFonts w:hint="eastAsia" w:ascii="宋体" w:hAnsi="宋体" w:eastAsia="宋体" w:cs="宋体"/>
          <w:color w:val="auto"/>
          <w:sz w:val="24"/>
          <w:highlight w:val="none"/>
        </w:rPr>
        <w:t>名称：见投标须知前附表第1项。</w:t>
      </w:r>
    </w:p>
    <w:p>
      <w:pPr>
        <w:spacing w:line="360" w:lineRule="auto"/>
        <w:ind w:left="-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2.2.2建设地点：见投标须知前附表第2项。</w:t>
      </w:r>
    </w:p>
    <w:p>
      <w:pPr>
        <w:spacing w:line="360" w:lineRule="auto"/>
        <w:ind w:left="-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建设</w:t>
      </w:r>
      <w:r>
        <w:rPr>
          <w:rFonts w:hint="eastAsia" w:ascii="宋体" w:hAnsi="宋体" w:eastAsia="宋体" w:cs="宋体"/>
          <w:color w:val="auto"/>
          <w:sz w:val="24"/>
          <w:highlight w:val="none"/>
          <w:lang w:val="en-US" w:eastAsia="zh-CN"/>
        </w:rPr>
        <w:t>规模</w:t>
      </w:r>
      <w:r>
        <w:rPr>
          <w:rFonts w:hint="eastAsia" w:ascii="宋体" w:hAnsi="宋体" w:eastAsia="宋体" w:cs="宋体"/>
          <w:color w:val="auto"/>
          <w:sz w:val="24"/>
          <w:highlight w:val="none"/>
        </w:rPr>
        <w:t>：见投标须知前附表第2项。</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4承包方式</w:t>
      </w:r>
      <w:r>
        <w:rPr>
          <w:rFonts w:hint="eastAsia" w:ascii="宋体" w:hAnsi="宋体" w:eastAsia="宋体" w:cs="宋体"/>
          <w:color w:val="auto"/>
          <w:sz w:val="24"/>
          <w:highlight w:val="none"/>
        </w:rPr>
        <w:t>：见投标须知前附表第3项。</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lang w:eastAsia="zh-CN"/>
        </w:rPr>
        <w:t>项目总投资</w:t>
      </w:r>
      <w:r>
        <w:rPr>
          <w:rFonts w:hint="eastAsia" w:ascii="宋体" w:hAnsi="宋体" w:eastAsia="宋体" w:cs="宋体"/>
          <w:color w:val="auto"/>
          <w:sz w:val="24"/>
          <w:highlight w:val="none"/>
        </w:rPr>
        <w:t>：见投标须知前附表第4项。</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6质量</w:t>
      </w:r>
      <w:r>
        <w:rPr>
          <w:rFonts w:hint="eastAsia" w:ascii="宋体" w:hAnsi="宋体" w:eastAsia="宋体" w:cs="宋体"/>
          <w:color w:val="auto"/>
          <w:sz w:val="24"/>
          <w:highlight w:val="none"/>
        </w:rPr>
        <w:t>目标：见投标须知前附表第5项。</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2.3招标范围及服务期及专业配套要求</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2.3.1 本招标项目的招标范围：见投标须知前附表第6项。</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2.3.2 本招标项目的服务期要求：见投标须知前附表第7项。</w:t>
      </w:r>
    </w:p>
    <w:p>
      <w:pPr>
        <w:spacing w:line="360" w:lineRule="auto"/>
        <w:ind w:left="-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2.3.3</w:t>
      </w:r>
      <w:r>
        <w:rPr>
          <w:rFonts w:hint="eastAsia" w:ascii="宋体" w:hAnsi="宋体" w:eastAsia="宋体" w:cs="宋体"/>
          <w:color w:val="auto"/>
          <w:sz w:val="24"/>
          <w:highlight w:val="none"/>
          <w:lang w:eastAsia="zh-CN"/>
        </w:rPr>
        <w:t>投标</w:t>
      </w:r>
      <w:r>
        <w:rPr>
          <w:rFonts w:hint="eastAsia" w:ascii="宋体" w:hAnsi="宋体" w:eastAsia="宋体" w:cs="宋体"/>
          <w:color w:val="auto"/>
          <w:sz w:val="24"/>
          <w:highlight w:val="none"/>
        </w:rPr>
        <w:t>要求：见投标须知前附表第10项。</w:t>
      </w:r>
    </w:p>
    <w:p>
      <w:pPr>
        <w:spacing w:line="360" w:lineRule="auto"/>
        <w:ind w:left="-1" w:firstLine="480" w:firstLineChars="200"/>
        <w:rPr>
          <w:highlight w:val="none"/>
        </w:rPr>
      </w:pPr>
      <w:r>
        <w:rPr>
          <w:rFonts w:hint="eastAsia" w:ascii="宋体" w:hAnsi="宋体" w:eastAsia="宋体" w:cs="宋体"/>
          <w:color w:val="auto"/>
          <w:sz w:val="24"/>
          <w:highlight w:val="none"/>
          <w:lang w:val="en-US" w:eastAsia="zh-CN"/>
        </w:rPr>
        <w:t>2.3.4</w:t>
      </w:r>
      <w:r>
        <w:rPr>
          <w:rFonts w:hint="eastAsia" w:ascii="宋体" w:hAnsi="宋体" w:eastAsia="宋体" w:cs="宋体"/>
          <w:color w:val="auto"/>
          <w:sz w:val="24"/>
          <w:highlight w:val="none"/>
        </w:rPr>
        <w:t>服务人员的专业配套要求</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见投标须知前附表第</w:t>
      </w:r>
      <w:r>
        <w:rPr>
          <w:rFonts w:hint="eastAsia" w:ascii="宋体" w:hAnsi="宋体" w:eastAsia="宋体" w:cs="宋体"/>
          <w:color w:val="auto"/>
          <w:sz w:val="24"/>
          <w:highlight w:val="none"/>
          <w:lang w:val="en-US" w:eastAsia="zh-CN"/>
        </w:rPr>
        <w:t>11</w:t>
      </w:r>
      <w:r>
        <w:rPr>
          <w:rFonts w:hint="eastAsia" w:ascii="宋体" w:hAnsi="宋体" w:eastAsia="宋体" w:cs="宋体"/>
          <w:color w:val="auto"/>
          <w:sz w:val="24"/>
          <w:highlight w:val="none"/>
        </w:rPr>
        <w:t>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3．资金来源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本招标项目资金来源见投标须知前附表第8项。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4．合格投标人的条件</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详见投标须知前附表第9项。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5．踏勘现场</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5.1投标人应对各个项目现场及周围环境自行踏勘，投标人应充分重视和仔细地进行这种考察，以便投标人获取那些须投标人自己负责的有关编制投标文件和签署合同所涉及现场所有的资料。一旦中标，这种考察即被认为其结果已在中标文件中得到充分反映。考察现场的费用由投标人自己承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5.2招标人向投标人提供的有关现场的数据和资料，是招标人现有的能被投标人利用的资料，招标人对投标人做出的任何推论、理解和结论均不负责任。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5.3经招标人允许，投标人可为踏勘目的进入招标人的项目现场，投标人及其代表必须承担那些进入现场后，由于他们的行为所造成的人身伤害（不管是否致命）、财产损失或损坏，以及其他任何原因造成的损失、损坏或费用。招标人在投标人及其代表考察过程中不负任何责任。但投标人不得因此使招标人承担有关的责任和蒙受损失。投标人应承担踏勘现场的责任和风险。</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6．投标费用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6.1不论投标结果如何，投标人应承担购买招标文件等相关资料及其投标文件编制与递交所涉及的一切费用。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6.2投标人应承担其参加本招标活动自身所发生的其他一切费用，招标人对上述费用均不负任何责任。</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二</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招标文件</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7.招标文件的组成</w:t>
      </w:r>
    </w:p>
    <w:p>
      <w:pPr>
        <w:pStyle w:val="4"/>
        <w:widowControl/>
        <w:spacing w:beforeAutospacing="0" w:after="0" w:line="360" w:lineRule="auto"/>
        <w:ind w:firstLine="480" w:firstLineChars="200"/>
        <w:rPr>
          <w:rFonts w:ascii="宋体" w:hAnsi="宋体" w:cs="宋体"/>
          <w:b/>
          <w:color w:val="auto"/>
          <w:sz w:val="24"/>
          <w:szCs w:val="24"/>
          <w:highlight w:val="none"/>
        </w:rPr>
      </w:pPr>
      <w:r>
        <w:rPr>
          <w:rFonts w:hint="eastAsia" w:ascii="宋体" w:hAnsi="宋体" w:cs="宋体"/>
          <w:color w:val="auto"/>
          <w:sz w:val="24"/>
          <w:szCs w:val="24"/>
          <w:highlight w:val="none"/>
        </w:rPr>
        <w:t>7.1本招标文件包括下列文件，以及所有按本须知第8条发出的招标答疑会会议纪要和按本须知第9条发出的澄清或修改：</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1）投标须知及前附表</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2）</w:t>
      </w:r>
      <w:r>
        <w:rPr>
          <w:rFonts w:hint="eastAsia" w:ascii="黑体" w:hAnsi="宋体" w:eastAsia="黑体" w:cs="黑体"/>
          <w:color w:val="auto"/>
          <w:sz w:val="24"/>
          <w:highlight w:val="none"/>
        </w:rPr>
        <w:t>项目需求书</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3）投标文件格式</w:t>
      </w:r>
    </w:p>
    <w:p>
      <w:pPr>
        <w:spacing w:line="360" w:lineRule="auto"/>
        <w:ind w:firstLine="480" w:firstLineChars="200"/>
        <w:rPr>
          <w:rFonts w:hint="eastAsia" w:ascii="黑体" w:hAnsi="华文楷体" w:eastAsia="黑体" w:cs="黑体"/>
          <w:color w:val="auto"/>
          <w:sz w:val="24"/>
          <w:highlight w:val="none"/>
          <w:lang w:eastAsia="zh-CN"/>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4）合同</w:t>
      </w:r>
      <w:r>
        <w:rPr>
          <w:rFonts w:hint="eastAsia" w:ascii="黑体" w:hAnsi="华文楷体" w:eastAsia="黑体" w:cs="黑体"/>
          <w:color w:val="auto"/>
          <w:sz w:val="24"/>
          <w:highlight w:val="none"/>
          <w:lang w:eastAsia="zh-CN"/>
        </w:rPr>
        <w:t>（</w:t>
      </w:r>
      <w:r>
        <w:rPr>
          <w:rFonts w:hint="eastAsia" w:ascii="黑体" w:hAnsi="华文楷体" w:eastAsia="黑体" w:cs="黑体"/>
          <w:color w:val="auto"/>
          <w:sz w:val="24"/>
          <w:highlight w:val="none"/>
          <w:lang w:val="en-US" w:eastAsia="zh-CN"/>
        </w:rPr>
        <w:t>另附</w:t>
      </w:r>
      <w:r>
        <w:rPr>
          <w:rFonts w:hint="eastAsia" w:ascii="黑体" w:hAnsi="华文楷体" w:eastAsia="黑体" w:cs="黑体"/>
          <w:color w:val="auto"/>
          <w:sz w:val="24"/>
          <w:highlight w:val="none"/>
          <w:lang w:eastAsia="zh-CN"/>
        </w:rPr>
        <w:t>）</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5）评标办法</w:t>
      </w:r>
    </w:p>
    <w:p>
      <w:pPr>
        <w:spacing w:line="360" w:lineRule="auto"/>
        <w:ind w:firstLine="480" w:firstLineChars="200"/>
        <w:rPr>
          <w:rFonts w:ascii="宋体" w:hAnsi="宋体" w:eastAsia="宋体" w:cs="宋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6）附件</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7.2除7.1内容外，招标人在提交投标文件截止时间</w:t>
      </w:r>
      <w:r>
        <w:rPr>
          <w:rFonts w:hint="eastAsia" w:ascii="宋体" w:hAnsi="宋体" w:cs="宋体"/>
          <w:b/>
          <w:color w:val="auto"/>
          <w:sz w:val="24"/>
          <w:szCs w:val="24"/>
          <w:highlight w:val="none"/>
          <w:u w:val="single"/>
        </w:rPr>
        <w:t>3</w:t>
      </w:r>
      <w:r>
        <w:rPr>
          <w:rFonts w:hint="eastAsia" w:ascii="宋体" w:hAnsi="宋体" w:cs="宋体"/>
          <w:color w:val="auto"/>
          <w:sz w:val="24"/>
          <w:szCs w:val="24"/>
          <w:highlight w:val="none"/>
        </w:rPr>
        <w:t>天前，以书面形式发出的对招标文件的澄清或修改内容，均为招标文件的组成部分，对招标人和投标人起约束作用。</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7.3</w:t>
      </w:r>
      <w:r>
        <w:rPr>
          <w:rFonts w:hint="eastAsia" w:ascii="宋体" w:hAnsi="宋体" w:cs="宋体"/>
          <w:color w:val="auto"/>
          <w:sz w:val="24"/>
          <w:szCs w:val="24"/>
          <w:highlight w:val="none"/>
          <w:lang w:val="en-US" w:eastAsia="zh-CN"/>
        </w:rPr>
        <w:t>招标文件</w:t>
      </w:r>
      <w:r>
        <w:rPr>
          <w:rFonts w:hint="eastAsia" w:ascii="宋体" w:hAnsi="宋体" w:cs="宋体"/>
          <w:color w:val="auto"/>
          <w:sz w:val="24"/>
          <w:szCs w:val="24"/>
          <w:highlight w:val="none"/>
        </w:rPr>
        <w:t>在广州南沙资产经营集团有限公司网站（http://www.gnao.com.cn）</w:t>
      </w:r>
      <w:r>
        <w:rPr>
          <w:rFonts w:hint="eastAsia" w:ascii="宋体" w:hAnsi="宋体" w:cs="宋体"/>
          <w:color w:val="auto"/>
          <w:sz w:val="24"/>
          <w:szCs w:val="24"/>
          <w:highlight w:val="none"/>
          <w:u w:val="none"/>
          <w:lang w:val="en-US" w:eastAsia="zh-CN"/>
        </w:rPr>
        <w:t xml:space="preserve">             </w:t>
      </w:r>
      <w:r>
        <w:rPr>
          <w:rFonts w:hint="eastAsia" w:ascii="宋体" w:hAnsi="宋体" w:cs="宋体"/>
          <w:color w:val="auto"/>
          <w:sz w:val="24"/>
          <w:szCs w:val="24"/>
          <w:highlight w:val="none"/>
        </w:rPr>
        <w:t>上公开发布，由投标人自行下载。如招标人需发布补充公告的，以最后发布的补充的招标内容为准。投标人同时应认真审阅招标文件中所有的事项、格式、条款和规范要求等，若投标人的投标文件没有按招标文件要求提交全部资料，或投标文件实质上没有响应招标文件的要求，招标人将有权予以拒绝，并且不允许投标人通过修改或撤消其不符合要求的差异或保留使之成为具有响应性的投标文件。</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8．招标答疑</w:t>
      </w:r>
    </w:p>
    <w:p>
      <w:pPr>
        <w:widowControl/>
        <w:spacing w:beforeAutospacing="0" w:after="0" w:line="360" w:lineRule="auto"/>
        <w:ind w:firstLine="480" w:firstLineChars="200"/>
        <w:jc w:val="both"/>
        <w:rPr>
          <w:rFonts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8.1投标人若对招标文件中有疑问，可以书面形式提交或传真给招标人或招标代理人，提交或传真地点见投标须知前附表第13项要求。招标人或招标代理人将于投标须知前附表第13项指定的地点和时间对疑问进行答复。</w:t>
      </w:r>
    </w:p>
    <w:p>
      <w:pPr>
        <w:widowControl/>
        <w:spacing w:beforeAutospacing="0" w:after="0" w:line="360" w:lineRule="auto"/>
        <w:ind w:firstLine="480" w:firstLineChars="200"/>
        <w:jc w:val="both"/>
        <w:rPr>
          <w:rFonts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8.2招标答疑会会议纪要将在提交投标文件截止时间3日前以书面形式答复给所有投标人，投标人收到答疑纪要后24小时内以书面形式确认收到。如投标人届时无书面确认，招标人将在合适的第三方见证下再次发出招标答疑会会议纪要，并以发出时间作为送达时间。</w:t>
      </w:r>
    </w:p>
    <w:p>
      <w:pPr>
        <w:widowControl/>
        <w:spacing w:beforeAutospacing="0" w:after="0" w:line="360" w:lineRule="auto"/>
        <w:ind w:firstLine="480" w:firstLineChars="200"/>
        <w:jc w:val="both"/>
        <w:rPr>
          <w:rFonts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8.3答疑会会议纪要为招标文件的一部分。</w:t>
      </w:r>
    </w:p>
    <w:p>
      <w:pPr>
        <w:spacing w:line="360" w:lineRule="auto"/>
        <w:ind w:firstLine="480" w:firstLineChars="200"/>
        <w:outlineLvl w:val="3"/>
        <w:rPr>
          <w:rFonts w:hint="eastAsia" w:ascii="宋体" w:hAnsi="宋体" w:cs="宋体"/>
          <w:b/>
          <w:color w:val="auto"/>
          <w:sz w:val="24"/>
          <w:highlight w:val="none"/>
        </w:rPr>
      </w:pPr>
      <w:r>
        <w:rPr>
          <w:rFonts w:hint="eastAsia" w:ascii="宋体" w:hAnsi="宋体" w:eastAsia="宋体" w:cs="宋体"/>
          <w:color w:val="auto"/>
          <w:kern w:val="2"/>
          <w:sz w:val="24"/>
          <w:szCs w:val="24"/>
          <w:highlight w:val="none"/>
          <w:lang w:val="en-US" w:eastAsia="zh-CN" w:bidi="ar-SA"/>
        </w:rPr>
        <w:t>8.4若招标答疑会会议纪要与招标文件有矛盾，以答疑会议纪要最后发出的书面文件为准。</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9.招标文件的澄清与修改</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9.1招标文件发出后,在提交投标文件截止时间</w:t>
      </w:r>
      <w:r>
        <w:rPr>
          <w:rFonts w:hint="eastAsia" w:ascii="宋体" w:hAnsi="宋体" w:cs="宋体"/>
          <w:b/>
          <w:color w:val="auto"/>
          <w:sz w:val="24"/>
          <w:szCs w:val="24"/>
          <w:highlight w:val="none"/>
          <w:u w:val="single"/>
        </w:rPr>
        <w:t>3</w:t>
      </w:r>
      <w:r>
        <w:rPr>
          <w:rFonts w:hint="eastAsia" w:ascii="宋体" w:hAnsi="宋体" w:cs="宋体"/>
          <w:color w:val="auto"/>
          <w:sz w:val="24"/>
          <w:szCs w:val="24"/>
          <w:highlight w:val="none"/>
        </w:rPr>
        <w:t>日前，招标人可对招标文件进行必要的澄清或修改。</w:t>
      </w:r>
    </w:p>
    <w:p>
      <w:pPr>
        <w:pStyle w:val="4"/>
        <w:widowControl/>
        <w:spacing w:beforeAutospacing="0" w:after="0"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9.2招标文件的修改将以书面形式发送给所有投标人，投标人应于收到该修改文件后24小时内，以书面形式给予确认，招标文件的修改内容作为招标文件的组成部分，具有约束作用。</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9.3招标文件的澄清、修改、补充等内容均以书面形式明确的内容为准。当招标文件的澄清、修改、补充等在同一内容的表述不一致时，以最后发出的书面文件为准。</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9.4为使投标人在编制投标文件时有充分的时间对招标文件的澄清、修改、补充等内容考虑进去，招标人将酌情延长提交投标文件的截止时间，具体时间将在招标文件的修改、补充通知中予以明确。若通知中没有明确延长时间，即表示投标时间不延长。</w:t>
      </w:r>
    </w:p>
    <w:p>
      <w:pPr>
        <w:pStyle w:val="4"/>
        <w:widowControl/>
        <w:spacing w:beforeAutospacing="0" w:after="0" w:line="360" w:lineRule="auto"/>
        <w:ind w:firstLine="482" w:firstLineChars="200"/>
        <w:outlineLvl w:val="2"/>
        <w:rPr>
          <w:rFonts w:ascii="宋体" w:hAnsi="宋体" w:cs="宋体"/>
          <w:b/>
          <w:color w:val="auto"/>
          <w:sz w:val="24"/>
          <w:szCs w:val="24"/>
          <w:highlight w:val="none"/>
        </w:rPr>
      </w:pPr>
      <w:r>
        <w:rPr>
          <w:rFonts w:hint="eastAsia" w:ascii="宋体" w:hAnsi="宋体" w:cs="宋体"/>
          <w:b/>
          <w:color w:val="auto"/>
          <w:sz w:val="24"/>
          <w:szCs w:val="24"/>
          <w:highlight w:val="none"/>
        </w:rPr>
        <w:t>三</w:t>
      </w:r>
      <w:r>
        <w:rPr>
          <w:rFonts w:hint="eastAsia" w:ascii="宋体" w:hAnsi="宋体" w:cs="宋体"/>
          <w:b/>
          <w:color w:val="auto"/>
          <w:sz w:val="24"/>
          <w:szCs w:val="24"/>
          <w:highlight w:val="none"/>
          <w:lang w:eastAsia="zh-CN"/>
        </w:rPr>
        <w:t>、</w:t>
      </w:r>
      <w:r>
        <w:rPr>
          <w:rFonts w:hint="eastAsia" w:ascii="宋体" w:hAnsi="宋体" w:cs="宋体"/>
          <w:b/>
          <w:color w:val="auto"/>
          <w:sz w:val="24"/>
          <w:szCs w:val="24"/>
          <w:highlight w:val="none"/>
        </w:rPr>
        <w:t>投标文件的编制</w:t>
      </w:r>
    </w:p>
    <w:p>
      <w:pPr>
        <w:pStyle w:val="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10．投标文件的语言及度量衡单位</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10.1 投标文件和与投标有关的所有文件均应使用</w:t>
      </w:r>
      <w:r>
        <w:rPr>
          <w:rFonts w:hint="eastAsia" w:ascii="宋体" w:hAnsi="宋体" w:cs="宋体"/>
          <w:color w:val="auto"/>
          <w:sz w:val="24"/>
          <w:szCs w:val="24"/>
          <w:highlight w:val="none"/>
          <w:u w:val="single"/>
        </w:rPr>
        <w:t>中文</w:t>
      </w:r>
      <w:r>
        <w:rPr>
          <w:rFonts w:hint="eastAsia" w:ascii="宋体" w:hAnsi="宋体" w:cs="宋体"/>
          <w:color w:val="auto"/>
          <w:sz w:val="24"/>
          <w:szCs w:val="24"/>
          <w:highlight w:val="none"/>
        </w:rPr>
        <w:t>。</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10.2 除项目规范另有规定外，投标文件使用的度量衡单位，均采用中华人民共和国法定计量单位。</w:t>
      </w:r>
    </w:p>
    <w:p>
      <w:pPr>
        <w:pStyle w:val="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11．投标文件的组成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11.1投标文件目录。</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11.2投标函（按招标文件第3章格式填写）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11.3服务承诺书（按招标文件第3章格式填写）。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11.4企业法定代表人证明书及法定代表人授权委托证明书（按招标文件第3章格式填写，或使用从工商管理部门购买的版本填写）。</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11.5公司法人营业执照及资质证书复印件。</w:t>
      </w:r>
    </w:p>
    <w:p>
      <w:pPr>
        <w:widowControl/>
        <w:spacing w:line="360" w:lineRule="auto"/>
        <w:ind w:firstLine="480" w:firstLineChars="200"/>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6</w:t>
      </w:r>
      <w:r>
        <w:rPr>
          <w:rFonts w:hint="eastAsia" w:ascii="宋体" w:hAnsi="宋体" w:eastAsia="宋体" w:cs="宋体"/>
          <w:color w:val="auto"/>
          <w:sz w:val="24"/>
          <w:highlight w:val="none"/>
        </w:rPr>
        <w:t>人员到位承诺书（按招标文件第3章格式填写）</w:t>
      </w:r>
      <w:r>
        <w:rPr>
          <w:rFonts w:hint="eastAsia" w:ascii="宋体" w:hAnsi="宋体" w:eastAsia="宋体" w:cs="宋体"/>
          <w:color w:val="auto"/>
          <w:sz w:val="24"/>
          <w:highlight w:val="none"/>
          <w:lang w:eastAsia="zh-CN"/>
        </w:rPr>
        <w:t>。</w:t>
      </w:r>
    </w:p>
    <w:p>
      <w:pPr>
        <w:widowControl/>
        <w:spacing w:line="360" w:lineRule="auto"/>
        <w:ind w:firstLine="480" w:firstLineChars="200"/>
        <w:jc w:val="lef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 xml:space="preserve">7 </w:t>
      </w:r>
      <w:r>
        <w:rPr>
          <w:rFonts w:hint="eastAsia" w:ascii="宋体" w:hAnsi="宋体" w:eastAsia="宋体" w:cs="宋体"/>
          <w:color w:val="auto"/>
          <w:sz w:val="24"/>
          <w:highlight w:val="none"/>
        </w:rPr>
        <w:t>投标人综合概况（按招标文件第3章格式填写）</w:t>
      </w:r>
      <w:r>
        <w:rPr>
          <w:rFonts w:hint="eastAsia" w:ascii="宋体" w:hAnsi="宋体" w:eastAsia="宋体" w:cs="宋体"/>
          <w:color w:val="auto"/>
          <w:sz w:val="24"/>
          <w:highlight w:val="none"/>
          <w:lang w:eastAsia="zh-CN"/>
        </w:rPr>
        <w:t>。</w:t>
      </w:r>
    </w:p>
    <w:p>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8</w:t>
      </w:r>
      <w:r>
        <w:rPr>
          <w:rFonts w:hint="eastAsia" w:ascii="宋体" w:hAnsi="宋体" w:eastAsia="宋体" w:cs="宋体"/>
          <w:b w:val="0"/>
          <w:bCs w:val="0"/>
          <w:color w:val="auto"/>
          <w:kern w:val="2"/>
          <w:sz w:val="24"/>
          <w:highlight w:val="none"/>
          <w:lang w:val="en-US" w:eastAsia="zh-CN" w:bidi="ar-SA"/>
        </w:rPr>
        <w:t>投标人业绩一览表</w:t>
      </w:r>
      <w:r>
        <w:rPr>
          <w:rFonts w:hint="eastAsia" w:ascii="宋体" w:hAnsi="宋体" w:eastAsia="宋体" w:cs="宋体"/>
          <w:color w:val="auto"/>
          <w:sz w:val="24"/>
          <w:highlight w:val="none"/>
        </w:rPr>
        <w:t>及证明文件（按招标文件第3章格式填写）</w:t>
      </w:r>
      <w:r>
        <w:rPr>
          <w:rFonts w:hint="eastAsia" w:ascii="宋体" w:hAnsi="宋体" w:eastAsia="宋体" w:cs="宋体"/>
          <w:color w:val="auto"/>
          <w:sz w:val="24"/>
          <w:highlight w:val="none"/>
          <w:lang w:eastAsia="zh-CN"/>
        </w:rPr>
        <w:t>。</w:t>
      </w:r>
    </w:p>
    <w:p>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 xml:space="preserve">9 </w:t>
      </w:r>
      <w:r>
        <w:rPr>
          <w:rFonts w:hint="eastAsia" w:ascii="宋体" w:hAnsi="宋体" w:eastAsia="宋体" w:cs="宋体"/>
          <w:color w:val="auto"/>
          <w:sz w:val="24"/>
          <w:highlight w:val="none"/>
        </w:rPr>
        <w:t>参与本项目的人员一览表及证明文件（按招标文件第3章格式填写）</w:t>
      </w:r>
      <w:r>
        <w:rPr>
          <w:rFonts w:hint="eastAsia" w:ascii="宋体" w:hAnsi="宋体" w:eastAsia="宋体" w:cs="宋体"/>
          <w:color w:val="auto"/>
          <w:sz w:val="24"/>
          <w:highlight w:val="none"/>
          <w:lang w:eastAsia="zh-CN"/>
        </w:rPr>
        <w:t>。</w:t>
      </w:r>
    </w:p>
    <w:p>
      <w:pPr>
        <w:widowControl/>
        <w:spacing w:line="360" w:lineRule="auto"/>
        <w:ind w:firstLine="480" w:firstLineChars="200"/>
        <w:jc w:val="left"/>
        <w:rPr>
          <w:rFonts w:ascii="宋体" w:hAnsi="宋体" w:eastAsia="宋体" w:cs="宋体"/>
          <w:color w:val="auto"/>
          <w:sz w:val="24"/>
          <w:highlight w:val="none"/>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10</w:t>
      </w:r>
      <w:r>
        <w:rPr>
          <w:rFonts w:hint="eastAsia" w:ascii="宋体" w:hAnsi="宋体" w:eastAsia="宋体" w:cs="宋体"/>
          <w:color w:val="auto"/>
          <w:sz w:val="24"/>
          <w:highlight w:val="none"/>
        </w:rPr>
        <w:t>报价表</w:t>
      </w:r>
      <w:r>
        <w:rPr>
          <w:rFonts w:hint="eastAsia" w:ascii="宋体" w:hAnsi="宋体" w:eastAsia="宋体" w:cs="宋体"/>
          <w:color w:val="auto"/>
          <w:sz w:val="24"/>
          <w:highlight w:val="none"/>
          <w:lang w:eastAsia="zh-CN"/>
        </w:rPr>
        <w:t>（含报价清单）</w:t>
      </w:r>
      <w:r>
        <w:rPr>
          <w:rFonts w:hint="eastAsia" w:ascii="宋体" w:hAnsi="宋体" w:eastAsia="宋体" w:cs="宋体"/>
          <w:color w:val="auto"/>
          <w:sz w:val="24"/>
          <w:highlight w:val="none"/>
        </w:rPr>
        <w:t>。</w:t>
      </w:r>
    </w:p>
    <w:p>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11</w:t>
      </w:r>
      <w:r>
        <w:rPr>
          <w:rFonts w:hint="eastAsia" w:ascii="宋体" w:hAnsi="宋体" w:eastAsia="宋体" w:cs="宋体"/>
          <w:color w:val="auto"/>
          <w:sz w:val="24"/>
          <w:highlight w:val="none"/>
        </w:rPr>
        <w:t>技术标文件（独立成册）。</w:t>
      </w:r>
    </w:p>
    <w:p>
      <w:pPr>
        <w:widowControl/>
        <w:spacing w:line="360" w:lineRule="auto"/>
        <w:ind w:firstLine="480" w:firstLineChars="200"/>
        <w:jc w:val="lef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12</w:t>
      </w:r>
      <w:r>
        <w:rPr>
          <w:rFonts w:hint="eastAsia" w:ascii="宋体" w:hAnsi="宋体" w:eastAsia="宋体" w:cs="宋体"/>
          <w:color w:val="auto"/>
          <w:sz w:val="24"/>
          <w:highlight w:val="none"/>
        </w:rPr>
        <w:t>投标文件电子版（</w:t>
      </w:r>
      <w:r>
        <w:rPr>
          <w:rFonts w:hint="eastAsia" w:ascii="宋体" w:hAnsi="宋体" w:eastAsia="宋体" w:cs="宋体"/>
          <w:color w:val="auto"/>
          <w:sz w:val="24"/>
          <w:highlight w:val="none"/>
          <w:lang w:eastAsia="zh-CN"/>
        </w:rPr>
        <w:t>需</w:t>
      </w:r>
      <w:r>
        <w:rPr>
          <w:rFonts w:hint="eastAsia" w:ascii="宋体" w:hAnsi="宋体" w:eastAsia="宋体" w:cs="宋体"/>
          <w:color w:val="auto"/>
          <w:sz w:val="24"/>
          <w:highlight w:val="none"/>
          <w:lang w:val="en-US" w:eastAsia="zh-CN"/>
        </w:rPr>
        <w:t>有公司印章，</w:t>
      </w:r>
      <w:r>
        <w:rPr>
          <w:rFonts w:hint="eastAsia" w:ascii="宋体" w:hAnsi="宋体" w:eastAsia="宋体" w:cs="宋体"/>
          <w:color w:val="auto"/>
          <w:sz w:val="24"/>
          <w:highlight w:val="none"/>
          <w:lang w:eastAsia="zh-CN"/>
        </w:rPr>
        <w:t>提供</w:t>
      </w:r>
      <w:r>
        <w:rPr>
          <w:rFonts w:hint="eastAsia" w:ascii="宋体" w:hAnsi="宋体" w:eastAsia="宋体" w:cs="宋体"/>
          <w:color w:val="auto"/>
          <w:sz w:val="24"/>
          <w:highlight w:val="none"/>
          <w:lang w:val="en-US" w:eastAsia="zh-CN"/>
        </w:rPr>
        <w:t>U盘</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w:t>
      </w:r>
    </w:p>
    <w:p>
      <w:pPr>
        <w:widowControl/>
        <w:spacing w:line="360" w:lineRule="auto"/>
        <w:ind w:firstLine="480" w:firstLineChars="200"/>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11.13投标申请人声明。</w:t>
      </w:r>
    </w:p>
    <w:p>
      <w:pPr>
        <w:widowControl/>
        <w:spacing w:line="360" w:lineRule="auto"/>
        <w:ind w:firstLine="480" w:firstLineChars="200"/>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11.14非联合体投标声明（格式自拟）。</w:t>
      </w:r>
    </w:p>
    <w:p>
      <w:pPr>
        <w:widowControl/>
        <w:spacing w:line="360" w:lineRule="auto"/>
        <w:ind w:firstLine="480" w:firstLineChars="200"/>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11.15投标人认为需要提供的其他文件。</w:t>
      </w:r>
    </w:p>
    <w:p>
      <w:pPr>
        <w:pStyle w:val="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12．投标文件格式</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12.1 投标文件包括本须知第11条中规定的内容，投标人提交的投标文件应当使用招标文件所提供的投标格式文件的格式（表格可以按同样格式扩展）。</w:t>
      </w:r>
    </w:p>
    <w:p>
      <w:pPr>
        <w:pStyle w:val="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13．投标报价</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13.1 本次投标报价采用投标须知前附表第14项所规定的方式。</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13.2 投标人的投标报价，应是完成本须知第2.3款和合同条款所列招标项目服务范围的全部内容为计算投标报价基础。</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13.3投标报价方式：投标单位自行报价</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投标报价不</w:t>
      </w:r>
      <w:r>
        <w:rPr>
          <w:rFonts w:hint="eastAsia" w:ascii="宋体" w:hAnsi="宋体" w:cs="宋体"/>
          <w:color w:val="auto"/>
          <w:sz w:val="24"/>
          <w:szCs w:val="24"/>
          <w:highlight w:val="none"/>
          <w:lang w:eastAsia="zh-CN"/>
        </w:rPr>
        <w:t>能</w:t>
      </w:r>
      <w:r>
        <w:rPr>
          <w:rFonts w:hint="eastAsia" w:ascii="宋体" w:hAnsi="宋体" w:cs="宋体"/>
          <w:color w:val="auto"/>
          <w:sz w:val="24"/>
          <w:szCs w:val="24"/>
          <w:highlight w:val="none"/>
        </w:rPr>
        <w:t>超过</w:t>
      </w:r>
      <w:r>
        <w:rPr>
          <w:rFonts w:hint="eastAsia" w:ascii="宋体" w:hAnsi="宋体" w:cs="宋体"/>
          <w:color w:val="auto"/>
          <w:sz w:val="24"/>
          <w:szCs w:val="24"/>
          <w:highlight w:val="none"/>
          <w:lang w:eastAsia="zh-CN"/>
        </w:rPr>
        <w:t>招标控制价，否则按</w:t>
      </w:r>
      <w:r>
        <w:rPr>
          <w:rFonts w:hint="eastAsia" w:ascii="宋体" w:hAnsi="宋体" w:cs="宋体"/>
          <w:color w:val="auto"/>
          <w:kern w:val="2"/>
          <w:sz w:val="24"/>
          <w:szCs w:val="24"/>
          <w:highlight w:val="none"/>
          <w:u w:val="none"/>
          <w:lang w:val="en-US" w:eastAsia="zh-CN" w:bidi="ar-SA"/>
        </w:rPr>
        <w:t>无效投标</w:t>
      </w:r>
      <w:r>
        <w:rPr>
          <w:rFonts w:hint="eastAsia" w:ascii="宋体" w:hAnsi="宋体" w:eastAsia="宋体" w:cs="宋体"/>
          <w:color w:val="auto"/>
          <w:sz w:val="24"/>
          <w:szCs w:val="24"/>
          <w:highlight w:val="none"/>
          <w:lang w:eastAsia="zh-CN"/>
        </w:rPr>
        <w:t>处</w:t>
      </w:r>
      <w:r>
        <w:rPr>
          <w:rFonts w:hint="eastAsia" w:ascii="宋体" w:hAnsi="宋体" w:cs="宋体"/>
          <w:color w:val="auto"/>
          <w:sz w:val="24"/>
          <w:szCs w:val="24"/>
          <w:highlight w:val="none"/>
          <w:lang w:eastAsia="zh-CN"/>
        </w:rPr>
        <w:t>理</w:t>
      </w:r>
      <w:r>
        <w:rPr>
          <w:rFonts w:hint="eastAsia" w:ascii="宋体" w:hAnsi="宋体" w:cs="宋体"/>
          <w:color w:val="auto"/>
          <w:sz w:val="24"/>
          <w:szCs w:val="24"/>
          <w:highlight w:val="none"/>
        </w:rPr>
        <w:t>。（小数点后保留二位小数，第三位小数四舍五入）</w:t>
      </w:r>
    </w:p>
    <w:p>
      <w:pPr>
        <w:pStyle w:val="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14．投标货币</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14.1 本次投标报价采用的币种为</w:t>
      </w:r>
      <w:r>
        <w:rPr>
          <w:rFonts w:hint="eastAsia" w:ascii="宋体" w:hAnsi="宋体" w:cs="宋体"/>
          <w:b/>
          <w:color w:val="auto"/>
          <w:sz w:val="24"/>
          <w:szCs w:val="24"/>
          <w:highlight w:val="none"/>
        </w:rPr>
        <w:t>人民币</w:t>
      </w:r>
      <w:r>
        <w:rPr>
          <w:rFonts w:hint="eastAsia" w:ascii="宋体" w:hAnsi="宋体" w:cs="宋体"/>
          <w:color w:val="auto"/>
          <w:sz w:val="24"/>
          <w:szCs w:val="24"/>
          <w:highlight w:val="none"/>
        </w:rPr>
        <w:t>。</w:t>
      </w:r>
    </w:p>
    <w:p>
      <w:pPr>
        <w:pStyle w:val="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15．投标有效期</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15.1 投标有效期见投标须知前附表第15项所规定的期限，在此期限内，凡符合本招标文件要求的投标文件均保持有效。</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15.2 在特殊情况下，招标人在原定投标有效期内，可以根据需要以书面形式向投标人提出延长投标有效期的要求，对此要求投标人须以书面形式予以答复。投标人可以拒绝招标人这种要求。同意延长投标有效期的投标人既不能要求也不允许修改其投标文件。</w:t>
      </w:r>
    </w:p>
    <w:p>
      <w:pPr>
        <w:pStyle w:val="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16．投标保证金</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本项目要求递交投标保证金</w:t>
      </w:r>
      <w:r>
        <w:rPr>
          <w:rFonts w:hint="eastAsia" w:ascii="宋体" w:hAnsi="宋体" w:cs="宋体"/>
          <w:color w:val="auto"/>
          <w:sz w:val="24"/>
          <w:szCs w:val="24"/>
          <w:highlight w:val="none"/>
          <w:lang w:eastAsia="zh-CN"/>
        </w:rPr>
        <w:t>，详见</w:t>
      </w:r>
      <w:r>
        <w:rPr>
          <w:rFonts w:hint="eastAsia" w:ascii="宋体" w:hAnsi="宋体" w:cs="宋体"/>
          <w:color w:val="auto"/>
          <w:sz w:val="24"/>
          <w:szCs w:val="24"/>
          <w:highlight w:val="none"/>
        </w:rPr>
        <w:t>投标须知前附表</w:t>
      </w:r>
      <w:r>
        <w:rPr>
          <w:rFonts w:hint="eastAsia" w:ascii="宋体" w:hAnsi="宋体" w:cs="宋体"/>
          <w:color w:val="auto"/>
          <w:sz w:val="24"/>
          <w:szCs w:val="24"/>
          <w:highlight w:val="none"/>
          <w:lang w:eastAsia="zh-CN"/>
        </w:rPr>
        <w:t>要求</w:t>
      </w:r>
      <w:r>
        <w:rPr>
          <w:rFonts w:hint="eastAsia" w:ascii="宋体" w:hAnsi="宋体" w:cs="宋体"/>
          <w:color w:val="auto"/>
          <w:sz w:val="24"/>
          <w:szCs w:val="24"/>
          <w:highlight w:val="none"/>
        </w:rPr>
        <w:t>。</w:t>
      </w:r>
    </w:p>
    <w:p>
      <w:pPr>
        <w:pStyle w:val="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17．投标文件的份数和签署</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17.1 投标人应按投标须知前附表第17项规定的份数提交投标文件。</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17.2 投标文件的正本和副本均需打印或使用不褪色的蓝、黑墨水笔书写，副本可以是正本的复印件，字迹应清晰易于辨认，并应在投标文件封面的右上角清楚地注明“正本”或“副本”。正本和副本如有不一致之处，以正本为准。</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17.3 投标文件封面必须有法定代表人或其委托代理人签字（或盖章）并加盖投标单位公章。由委托代理人签字（或盖章）的投标文件中须同时提交法定代表人签署授权委托书。投标文件中递交的法定代表人证明书、授权委托证明书格式、签字、盖章及内容均应符合要求，否则证明书无效。</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17.4 除投标人对错误处须修改外，全套投标文件应无涂改或行间插字和增删。如有修改，修改处应盖校对章或法定代表人签字（或盖私章）或委托代理人签字（或盖私章），并加盖单位公章。</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17.5投标文件的规格：统一A4印刷本，纸质封面，可双面或单面打印。封面标明招标项目名称、投标人、投标时间，右上角打上正本（或副本）。使用书式装订，装订时书订不外露；不能使用塑料面或塑料胶条装订。</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17.6投标文件的页码：必须按每本逐页从1开始，按照流水号编号（包括附图、证件、图片等），页号编在右下角，若双面打印的页号编在左下角（空白页面不编号）。</w:t>
      </w:r>
    </w:p>
    <w:p>
      <w:pPr>
        <w:spacing w:line="360" w:lineRule="auto"/>
        <w:ind w:firstLine="482" w:firstLineChars="200"/>
        <w:outlineLvl w:val="2"/>
        <w:rPr>
          <w:rFonts w:ascii="宋体" w:hAnsi="宋体" w:cs="宋体"/>
          <w:b/>
          <w:color w:val="auto"/>
          <w:sz w:val="24"/>
          <w:highlight w:val="none"/>
        </w:rPr>
      </w:pPr>
      <w:r>
        <w:rPr>
          <w:rFonts w:hint="eastAsia" w:ascii="宋体" w:hAnsi="宋体" w:cs="宋体"/>
          <w:b/>
          <w:color w:val="auto"/>
          <w:sz w:val="24"/>
          <w:highlight w:val="none"/>
        </w:rPr>
        <w:t>四</w:t>
      </w:r>
      <w:r>
        <w:rPr>
          <w:rFonts w:hint="eastAsia" w:ascii="宋体" w:hAnsi="宋体" w:cs="宋体"/>
          <w:b/>
          <w:color w:val="auto"/>
          <w:sz w:val="24"/>
          <w:highlight w:val="none"/>
          <w:lang w:eastAsia="zh-CN"/>
        </w:rPr>
        <w:t>、</w:t>
      </w:r>
      <w:r>
        <w:rPr>
          <w:rFonts w:hint="eastAsia" w:ascii="宋体" w:hAnsi="宋体" w:cs="宋体"/>
          <w:b/>
          <w:color w:val="auto"/>
          <w:sz w:val="24"/>
          <w:highlight w:val="none"/>
        </w:rPr>
        <w:t>投标文件的提交</w:t>
      </w:r>
    </w:p>
    <w:p>
      <w:pPr>
        <w:pStyle w:val="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18．投标文件的包封、密封和标记</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18.1 投标文件的包封要求：商务标正本（1本）、副本（4本）一起包封；技术标正本（1本）、副本（4本）一起包封。</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18.2投标文件的密封要求：投标人应确保密闭封装、并加盖骑缝公章。</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18.3投标文件的标记要求：每个包封上应具有以下标记：</w:t>
      </w:r>
    </w:p>
    <w:p>
      <w:pPr>
        <w:snapToGrid w:val="0"/>
        <w:spacing w:line="360" w:lineRule="auto"/>
        <w:ind w:left="1" w:hanging="1"/>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18.3.1招标人的名称和地址：</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p>
    <w:p>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18.3.2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18.3.3</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前不得开封（填入前附表第1</w:t>
      </w:r>
      <w:r>
        <w:rPr>
          <w:rFonts w:hint="eastAsia" w:ascii="宋体" w:hAnsi="宋体" w:eastAsia="宋体" w:cs="宋体"/>
          <w:color w:val="auto"/>
          <w:sz w:val="24"/>
          <w:highlight w:val="none"/>
          <w:lang w:val="en-US" w:eastAsia="zh-CN"/>
        </w:rPr>
        <w:t>9</w:t>
      </w:r>
      <w:r>
        <w:rPr>
          <w:rFonts w:hint="eastAsia" w:ascii="宋体" w:hAnsi="宋体" w:eastAsia="宋体" w:cs="宋体"/>
          <w:color w:val="auto"/>
          <w:sz w:val="24"/>
          <w:highlight w:val="none"/>
        </w:rPr>
        <w:t>项所述日期及时间）</w:t>
      </w:r>
    </w:p>
    <w:p>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18.4在包封上应写明投标人的名称与地址，以便投标被宣布迟到时，能原封退回。</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18.5如果包封上没有按上述规定密封并加写标志，招标人将不承担投标文件错放或提前开封的责任，由此造成的提前开封的投标文件，招标人予以拒绝，并退还给投标人。</w:t>
      </w:r>
    </w:p>
    <w:p>
      <w:pPr>
        <w:pStyle w:val="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19．投标</w:t>
      </w:r>
      <w:r>
        <w:rPr>
          <w:rFonts w:hint="eastAsia" w:ascii="宋体" w:hAnsi="宋体" w:cs="宋体"/>
          <w:b/>
          <w:color w:val="auto"/>
          <w:sz w:val="24"/>
          <w:szCs w:val="24"/>
          <w:highlight w:val="none"/>
        </w:rPr>
        <w:t>文件</w:t>
      </w:r>
      <w:r>
        <w:rPr>
          <w:rFonts w:hint="eastAsia" w:ascii="宋体" w:hAnsi="宋体" w:cs="宋体"/>
          <w:b/>
          <w:color w:val="auto"/>
          <w:sz w:val="24"/>
          <w:highlight w:val="none"/>
        </w:rPr>
        <w:t>的提交</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19.1 投标人应按投标须知前附表第1</w:t>
      </w:r>
      <w:r>
        <w:rPr>
          <w:rFonts w:hint="eastAsia" w:ascii="宋体" w:hAnsi="宋体" w:eastAsia="宋体" w:cs="宋体"/>
          <w:color w:val="auto"/>
          <w:sz w:val="24"/>
          <w:highlight w:val="none"/>
          <w:lang w:val="en-US" w:eastAsia="zh-CN"/>
        </w:rPr>
        <w:t>8</w:t>
      </w:r>
      <w:r>
        <w:rPr>
          <w:rFonts w:hint="eastAsia" w:ascii="宋体" w:hAnsi="宋体" w:eastAsia="宋体" w:cs="宋体"/>
          <w:color w:val="auto"/>
          <w:sz w:val="24"/>
          <w:highlight w:val="none"/>
        </w:rPr>
        <w:t>项所规定的地点，于截止时间前提交投标文件，并办理好送达签认手续。</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19.2投标文件提交人在提交投标文件时应出示法定代表人证明书（原件）、法定代表人授权委托证明书（原件）及本人身份证（原件）提交投标文件。</w:t>
      </w:r>
    </w:p>
    <w:p>
      <w:pPr>
        <w:pStyle w:val="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20．投标文件提交的截止时间</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20.1投标人应按前附表第18项所述的地点、日期和时间将投标文件提交给招标人。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20.2招标人可按本须知第9条规定以修改补充通知的方式，酌情延长提交投标文件的截止时间。在此情况下，投标人的所有权利和义务以及投标人受制约的截止时间，均以延长后新的投标截止时间为准。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20.3 到投标截止时间止，招标人收到的投标文件少于3家的，招标人将依法重新组织招标。</w:t>
      </w:r>
    </w:p>
    <w:p>
      <w:pPr>
        <w:pStyle w:val="4"/>
        <w:widowControl/>
        <w:spacing w:beforeAutospacing="0" w:after="0" w:line="360" w:lineRule="auto"/>
        <w:ind w:firstLine="482" w:firstLineChars="200"/>
        <w:outlineLvl w:val="3"/>
        <w:rPr>
          <w:rFonts w:ascii="宋体" w:hAnsi="宋体" w:cs="宋体"/>
          <w:color w:val="auto"/>
          <w:sz w:val="24"/>
          <w:highlight w:val="none"/>
        </w:rPr>
      </w:pPr>
      <w:r>
        <w:rPr>
          <w:rFonts w:hint="eastAsia" w:ascii="宋体" w:hAnsi="宋体" w:cs="宋体"/>
          <w:b/>
          <w:color w:val="auto"/>
          <w:sz w:val="24"/>
          <w:highlight w:val="none"/>
        </w:rPr>
        <w:t>21．迟交的投标文件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21.1 招标人在本须知第19条规定的投标截止时间以后收到的投标文件，将被拒绝并退回给投标人。</w:t>
      </w:r>
    </w:p>
    <w:p>
      <w:pPr>
        <w:pStyle w:val="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22．投标文件的补充、修改与撤回</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 投标人在提交投标文件以后，在规定的投标截止时间之前，可以以书面形式补充修改或撤回已提交的投标文件，并以书面形式通知招标人。补充、修改的内容为投标文件的组成部分。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 投标人对投标文件的补充、修改，应按本须知第18条有关规定密封、标记和提交，并在投标文件密封袋上清楚标明“补充、修改”或“撤回”字样。</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 在投标截止时间之后，投标人不得补充、修改投标文件。</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22.4根据本须知第16条的规定，在投标截止期与招标人在招标文件中规定的有效期终止日之间的这段时期内，投标人不能撤回投标文件，否则其投标保证金将被没收。</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五</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开标</w:t>
      </w:r>
    </w:p>
    <w:p>
      <w:pPr>
        <w:pStyle w:val="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24．开标</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24.1 招标人按投标须知前附表第19项所规定的时间和地点公开开标，并邀请所有投标人参加。请各投标人的法定代表人或其有效授权委托代理人届时务必带本人身份证出席开标会，否则作弃权处理。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24.2 按规定提交合格的撤回通知的投标文件不予开封，并退回给投标人；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24.3 招标人在招标文件要求提交投标文件的截止时间前收到的投标文件，开标时都当众予以拆封、宣读。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24.4开标程序：</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1）开标由招标人主持；</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2）宣读投标人名称，由投标人或其推选的代表检查投标文件的密封情况，投标人出示本人身份证原件（身份证件应与投标文件中的法定代表人或其委托人一致，无身份证原件的作弃权处理）；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3）经确认无误后，由有关工作人员公布下列内容：</w:t>
      </w:r>
      <w:r>
        <w:rPr>
          <w:rFonts w:hint="eastAsia" w:ascii="宋体" w:hAnsi="宋体" w:eastAsia="宋体" w:cs="宋体"/>
          <w:color w:val="auto"/>
          <w:sz w:val="24"/>
          <w:szCs w:val="24"/>
          <w:highlight w:val="none"/>
        </w:rPr>
        <w:t>a、投标人名称；b、标书密封情况；c、有无法定代表人证明书及授权委托证明书；d、投标总报价</w:t>
      </w:r>
      <w:r>
        <w:rPr>
          <w:rFonts w:hint="eastAsia" w:ascii="宋体" w:hAnsi="宋体" w:eastAsia="宋体" w:cs="宋体"/>
          <w:color w:val="auto"/>
          <w:sz w:val="24"/>
          <w:highlight w:val="none"/>
        </w:rPr>
        <w:t>等主要内容。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24.5 招标人对开标过程进行记录，并存档备查，投标人在开标记录上签字，以确认对所宣读的内容没有任何异议。</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24.6 投标文件有下列情形之一的，招标人不予受理：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24.6.1逾期送达的或者未送达指定地点的；</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24.6.2未按招标文件要求密封的。</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24.7招标人将上述符合要求的投标文件，送至</w:t>
      </w:r>
      <w:r>
        <w:rPr>
          <w:rFonts w:hint="eastAsia" w:ascii="宋体" w:hAnsi="宋体" w:eastAsia="宋体" w:cs="宋体"/>
          <w:b/>
          <w:color w:val="auto"/>
          <w:sz w:val="24"/>
          <w:highlight w:val="none"/>
          <w:lang w:eastAsia="zh-CN"/>
        </w:rPr>
        <w:t>评标小组</w:t>
      </w:r>
      <w:r>
        <w:rPr>
          <w:rFonts w:hint="eastAsia" w:ascii="宋体" w:hAnsi="宋体" w:eastAsia="宋体" w:cs="宋体"/>
          <w:b/>
          <w:color w:val="auto"/>
          <w:sz w:val="24"/>
          <w:highlight w:val="none"/>
        </w:rPr>
        <w:t>进行评审的。</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六</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评标</w:t>
      </w:r>
    </w:p>
    <w:p>
      <w:pPr>
        <w:pStyle w:val="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25．评标过程的保密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25.1 开标后，直至授予中标人合同为止，凡属于对投标文件的审查、澄清、评价和比较有关的资料以及中标候选人的推荐情况，与评标有关的其他任何情况均严格保密。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25.2 在投标文件的评审和比较、中标候选人推荐以及授予合同的过程中，投标人向招标人和</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施加影响的任何行为，都将会导致其投标被拒绝。</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25.3 中标人确定后，招标人不对未中标人就评标过程以及未能中标原因作出任何解释。未中标人不得向</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组成人员或其他有关人员索问评标过程的情况和材料。</w:t>
      </w:r>
    </w:p>
    <w:p>
      <w:pPr>
        <w:pStyle w:val="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26．投标文件的澄清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26.1 为有助于投标文件的审查、评价和比较，</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可以以书面形式要求投标人对投标文件含义不明确的内容作必要的澄清或说明，投标人应书面形式进行澄清或说明，但不得超出投标文件的范围或改变投标文件的实质性内容。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26.2 如果投标文件实质上不响应招标文件的各项要求，</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将予以拒绝，并且不允许投标人通过修改或撤销其不符合要求的差异或保留，使之成为具有响应性的投标。</w:t>
      </w:r>
    </w:p>
    <w:p>
      <w:pPr>
        <w:pStyle w:val="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27．投标文件的评审、比较和否决</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27.1 </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将按照本须知第26条规定，仅对在实质上响应招标文件要求的投标文件进行评审和比较。</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27.2 在评审过程中，</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可以以书面形式要求投标人就投标文件中含义不明确的内容进行书面说明并提供相关材料。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27.3 </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依据投标须知前附表第20项规定的评标标准和方法，详见本招标文件《评标办法》，对投标文件进行评审和比较，向招标人提出书面评标报告，并推荐经评审</w:t>
      </w:r>
      <w:r>
        <w:rPr>
          <w:rFonts w:hint="eastAsia" w:ascii="宋体" w:hAnsi="宋体" w:eastAsia="宋体" w:cs="宋体"/>
          <w:color w:val="auto"/>
          <w:sz w:val="24"/>
          <w:highlight w:val="none"/>
          <w:lang w:eastAsia="zh-CN"/>
        </w:rPr>
        <w:t>综合得分</w:t>
      </w:r>
      <w:r>
        <w:rPr>
          <w:rFonts w:hint="eastAsia" w:ascii="宋体" w:hAnsi="宋体" w:eastAsia="宋体" w:cs="宋体"/>
          <w:color w:val="auto"/>
          <w:sz w:val="24"/>
          <w:highlight w:val="none"/>
        </w:rPr>
        <w:t>由</w:t>
      </w:r>
      <w:r>
        <w:rPr>
          <w:rFonts w:hint="eastAsia" w:ascii="宋体" w:hAnsi="宋体" w:eastAsia="宋体" w:cs="宋体"/>
          <w:color w:val="auto"/>
          <w:sz w:val="24"/>
          <w:highlight w:val="none"/>
          <w:lang w:eastAsia="zh-CN"/>
        </w:rPr>
        <w:t>高</w:t>
      </w:r>
      <w:r>
        <w:rPr>
          <w:rFonts w:hint="eastAsia" w:ascii="宋体" w:hAnsi="宋体" w:eastAsia="宋体" w:cs="宋体"/>
          <w:color w:val="auto"/>
          <w:sz w:val="24"/>
          <w:highlight w:val="none"/>
        </w:rPr>
        <w:t>至</w:t>
      </w:r>
      <w:r>
        <w:rPr>
          <w:rFonts w:hint="eastAsia" w:ascii="宋体" w:hAnsi="宋体" w:eastAsia="宋体" w:cs="宋体"/>
          <w:color w:val="auto"/>
          <w:sz w:val="24"/>
          <w:highlight w:val="none"/>
          <w:lang w:eastAsia="zh-CN"/>
        </w:rPr>
        <w:t>低</w:t>
      </w:r>
      <w:r>
        <w:rPr>
          <w:rFonts w:hint="eastAsia" w:ascii="宋体" w:hAnsi="宋体" w:eastAsia="宋体" w:cs="宋体"/>
          <w:color w:val="auto"/>
          <w:sz w:val="24"/>
          <w:highlight w:val="none"/>
        </w:rPr>
        <w:t>排序的前一～三名为第一、第二和第三中标候选人。招标人根据</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提出的书面评标报告和推荐的中标候选人中，按排序依法确定中标人。</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28．</w:t>
      </w:r>
      <w:r>
        <w:rPr>
          <w:rFonts w:hint="eastAsia" w:ascii="宋体" w:hAnsi="宋体" w:eastAsia="宋体" w:cs="宋体"/>
          <w:b/>
          <w:color w:val="auto"/>
          <w:sz w:val="24"/>
          <w:highlight w:val="none"/>
          <w:lang w:eastAsia="zh-CN"/>
        </w:rPr>
        <w:t>评标小组</w:t>
      </w:r>
      <w:r>
        <w:rPr>
          <w:rFonts w:hint="eastAsia" w:ascii="宋体" w:hAnsi="宋体" w:eastAsia="宋体" w:cs="宋体"/>
          <w:b/>
          <w:color w:val="auto"/>
          <w:sz w:val="24"/>
          <w:highlight w:val="none"/>
        </w:rPr>
        <w:t>依据有关法律、法规和招标文件的规定对投标文件进行评审，经评定的有效投标人不足三名时，招标人应当依法重新组织招标。</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七</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合同的授予</w:t>
      </w:r>
    </w:p>
    <w:p>
      <w:pPr>
        <w:pStyle w:val="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29．合同授予标准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29.1 本招标(项目)的合同将授予按本须知第27.3款所确定的中标人。</w:t>
      </w:r>
    </w:p>
    <w:p>
      <w:pPr>
        <w:pStyle w:val="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30．招标人保留接受或拒绝任何某一投标或所有投标的权力</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30.1 招标人不承诺将合同授予报价最低的投标人。招标人在发出中标通知书前，有权依据</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的评标报告拒绝不合格的投标。</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30.2招标人保留接受或拒绝任何某一投标或所有投标的权力。尽管有本须知第27.3款的规定，但是招标人在授予合同前任何时候有权接受或拒绝任何投标书，宣布招标程序无效并拒绝所有投标书，而且对由此引起的对投标人的影响不承担任何责任，也无须将这样做的理由通知受影响的投标人。</w:t>
      </w:r>
    </w:p>
    <w:p>
      <w:pPr>
        <w:pStyle w:val="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31．中标通知书</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31.1中标通知书经招标人确认，并由招标人颁发。</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31.2中标人必须在收到中标通知书后24小时之内以书面形式回复招标人，确认收到。</w:t>
      </w:r>
    </w:p>
    <w:p>
      <w:pPr>
        <w:pStyle w:val="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32．合同协议书的签订</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32.1 招标人与中标人将于中标通知书发出之日起30日内，按照招标文件和中标人的投标文件商定合同和签订合同，招标人和中标人不得再行订立背离合同实质性内容的其他协议。</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32.2中标人放弃中标资格的，无正当理由不按投标须知第32.1款的规定不与招标人签订合同的，在签订合同时向招标人提出附加条件或者更改合同实质性内容的，招标人可取消其中标资格，并没收其投标保证金；给招标人的损失超过投标保证金数额的，中标人应当对超过部分予以赔偿；没有提交投标保证金的，应当对招标人的损失承担赔偿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32.3中标人在投标过程使用的投标人名称、银行名称和账号至项目完成竣工结算不得变更，否则，招标人有权停止款项的拨付及至解除合同，由此造成的一切责任由中标人承担。</w:t>
      </w:r>
    </w:p>
    <w:p>
      <w:pPr>
        <w:pStyle w:val="4"/>
        <w:widowControl/>
        <w:numPr>
          <w:ilvl w:val="0"/>
          <w:numId w:val="2"/>
        </w:numPr>
        <w:spacing w:beforeAutospacing="0" w:after="0" w:line="360" w:lineRule="auto"/>
        <w:ind w:firstLine="482" w:firstLineChars="200"/>
        <w:outlineLvl w:val="3"/>
        <w:rPr>
          <w:rFonts w:hint="eastAsia" w:ascii="宋体" w:hAnsi="宋体" w:cs="宋体"/>
          <w:b/>
          <w:color w:val="auto"/>
          <w:sz w:val="24"/>
          <w:highlight w:val="none"/>
        </w:rPr>
      </w:pPr>
      <w:r>
        <w:rPr>
          <w:rFonts w:hint="eastAsia" w:ascii="宋体" w:hAnsi="宋体" w:cs="宋体"/>
          <w:b/>
          <w:color w:val="auto"/>
          <w:sz w:val="24"/>
          <w:highlight w:val="none"/>
        </w:rPr>
        <w:t>合同生效</w:t>
      </w:r>
    </w:p>
    <w:p>
      <w:pPr>
        <w:pStyle w:val="4"/>
        <w:widowControl/>
        <w:numPr>
          <w:ilvl w:val="0"/>
          <w:numId w:val="0"/>
        </w:numPr>
        <w:spacing w:beforeAutospacing="0" w:after="0" w:line="360" w:lineRule="auto"/>
        <w:ind w:firstLine="480" w:firstLineChars="200"/>
        <w:outlineLvl w:val="3"/>
        <w:rPr>
          <w:rFonts w:ascii="黑体" w:hAnsi="宋体" w:cs="黑体"/>
          <w:b/>
          <w:color w:val="auto"/>
          <w:kern w:val="44"/>
          <w:sz w:val="44"/>
          <w:szCs w:val="44"/>
          <w:highlight w:val="none"/>
        </w:rPr>
      </w:pPr>
      <w:r>
        <w:rPr>
          <w:rFonts w:hint="eastAsia" w:ascii="宋体" w:hAnsi="宋体" w:eastAsia="宋体" w:cs="宋体"/>
          <w:color w:val="auto"/>
          <w:sz w:val="24"/>
          <w:highlight w:val="none"/>
        </w:rPr>
        <w:t>33.1在合同双方全权代表在合同协议书上签字，并分别加盖双方单位的公章，合同正式生效。</w:t>
      </w:r>
      <w:bookmarkStart w:id="10" w:name="_Toc1632"/>
      <w:bookmarkStart w:id="11" w:name="_Toc27492"/>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rPr>
          <w:rFonts w:ascii="黑体" w:hAnsi="宋体" w:cs="黑体"/>
          <w:b/>
          <w:color w:val="auto"/>
          <w:kern w:val="44"/>
          <w:sz w:val="44"/>
          <w:szCs w:val="44"/>
          <w:highlight w:val="none"/>
        </w:rPr>
      </w:pPr>
      <w:r>
        <w:rPr>
          <w:rFonts w:ascii="黑体" w:hAnsi="宋体" w:cs="黑体"/>
          <w:b/>
          <w:color w:val="auto"/>
          <w:kern w:val="44"/>
          <w:sz w:val="44"/>
          <w:szCs w:val="44"/>
          <w:highlight w:val="none"/>
        </w:rPr>
        <w:br w:type="page"/>
      </w:r>
    </w:p>
    <w:p>
      <w:pPr>
        <w:pStyle w:val="3"/>
        <w:widowControl/>
        <w:spacing w:before="0" w:after="0" w:line="360" w:lineRule="auto"/>
        <w:jc w:val="center"/>
        <w:rPr>
          <w:rFonts w:ascii="黑体" w:hAnsi="宋体" w:cs="黑体"/>
          <w:b/>
          <w:color w:val="auto"/>
          <w:kern w:val="44"/>
          <w:sz w:val="44"/>
          <w:szCs w:val="44"/>
          <w:highlight w:val="none"/>
        </w:rPr>
      </w:pPr>
      <w:bookmarkStart w:id="12" w:name="_Toc22411"/>
      <w:bookmarkStart w:id="13" w:name="_Toc28984"/>
      <w:bookmarkStart w:id="14" w:name="_Toc10474"/>
      <w:bookmarkStart w:id="15" w:name="_Toc8409"/>
      <w:bookmarkStart w:id="16" w:name="_Toc8457"/>
      <w:bookmarkStart w:id="17" w:name="_Toc7252"/>
      <w:r>
        <w:rPr>
          <w:rFonts w:hint="eastAsia" w:ascii="方正小标宋简体" w:hAnsi="方正小标宋简体" w:eastAsia="方正小标宋简体" w:cs="方正小标宋简体"/>
          <w:b/>
          <w:color w:val="auto"/>
          <w:kern w:val="44"/>
          <w:sz w:val="36"/>
          <w:szCs w:val="36"/>
          <w:highlight w:val="none"/>
        </w:rPr>
        <w:t>第2章 项目需求书</w:t>
      </w:r>
      <w:bookmarkEnd w:id="10"/>
      <w:bookmarkEnd w:id="12"/>
      <w:bookmarkEnd w:id="13"/>
      <w:bookmarkEnd w:id="14"/>
      <w:bookmarkEnd w:id="15"/>
      <w:bookmarkEnd w:id="16"/>
      <w:bookmarkEnd w:id="17"/>
    </w:p>
    <w:p>
      <w:pPr>
        <w:rPr>
          <w:rFonts w:ascii="宋体" w:hAnsi="宋体" w:eastAsia="宋体" w:cs="宋体"/>
          <w:b/>
          <w:color w:val="auto"/>
          <w:sz w:val="30"/>
          <w:szCs w:val="30"/>
          <w:highlight w:val="none"/>
        </w:rPr>
      </w:pPr>
    </w:p>
    <w:p>
      <w:pPr>
        <w:pStyle w:val="10"/>
        <w:spacing w:line="560" w:lineRule="exact"/>
        <w:rPr>
          <w:rFonts w:hint="eastAsia" w:ascii="宋体" w:hAnsi="宋体" w:eastAsia="宋体" w:cs="Times New Roman"/>
          <w:b/>
          <w:kern w:val="0"/>
          <w:sz w:val="28"/>
          <w:szCs w:val="20"/>
          <w:highlight w:val="none"/>
          <w:u w:val="none"/>
          <w:lang w:val="en-US" w:eastAsia="zh-CN"/>
        </w:rPr>
      </w:pPr>
      <w:bookmarkStart w:id="18" w:name="_Toc23673"/>
      <w:r>
        <w:rPr>
          <w:rFonts w:hint="eastAsia" w:ascii="宋体" w:hAnsi="宋体" w:eastAsia="宋体" w:cs="Times New Roman"/>
          <w:b/>
          <w:color w:val="000000"/>
          <w:kern w:val="0"/>
          <w:sz w:val="28"/>
          <w:szCs w:val="20"/>
          <w:highlight w:val="none"/>
          <w:u w:val="none"/>
        </w:rPr>
        <w:t>一、</w:t>
      </w:r>
      <w:r>
        <w:rPr>
          <w:rFonts w:hint="eastAsia" w:ascii="宋体" w:hAnsi="宋体" w:eastAsia="宋体" w:cs="Times New Roman"/>
          <w:b/>
          <w:kern w:val="0"/>
          <w:sz w:val="28"/>
          <w:szCs w:val="20"/>
          <w:highlight w:val="none"/>
          <w:u w:val="none"/>
        </w:rPr>
        <w:t>项目</w:t>
      </w:r>
      <w:r>
        <w:rPr>
          <w:rFonts w:hint="eastAsia" w:ascii="宋体" w:hAnsi="宋体" w:eastAsia="宋体" w:cs="Times New Roman"/>
          <w:b/>
          <w:kern w:val="0"/>
          <w:sz w:val="28"/>
          <w:szCs w:val="20"/>
          <w:highlight w:val="none"/>
          <w:u w:val="none"/>
          <w:lang w:val="en-US" w:eastAsia="zh-CN"/>
        </w:rPr>
        <w:t>概况</w:t>
      </w:r>
      <w:bookmarkEnd w:id="18"/>
    </w:p>
    <w:p>
      <w:pPr>
        <w:spacing w:line="560" w:lineRule="exact"/>
        <w:ind w:firstLine="560" w:firstLineChars="200"/>
        <w:rPr>
          <w:rFonts w:hint="eastAsia" w:ascii="宋体" w:hAnsi="宋体" w:eastAsia="宋体" w:cs="宋体"/>
          <w:color w:val="auto"/>
          <w:kern w:val="2"/>
          <w:sz w:val="28"/>
          <w:szCs w:val="28"/>
          <w:highlight w:val="none"/>
        </w:rPr>
      </w:pPr>
      <w:r>
        <w:rPr>
          <w:rFonts w:hint="eastAsia" w:ascii="宋体" w:hAnsi="宋体" w:eastAsia="宋体" w:cs="宋体"/>
          <w:snapToGrid/>
          <w:color w:val="auto"/>
          <w:kern w:val="2"/>
          <w:sz w:val="28"/>
          <w:szCs w:val="28"/>
          <w:highlight w:val="none"/>
          <w:lang w:val="en-US" w:eastAsia="zh-CN" w:bidi="ar-SA"/>
        </w:rPr>
        <w:t>为延缓木材的老化，</w:t>
      </w:r>
      <w:r>
        <w:rPr>
          <w:rFonts w:hint="eastAsia" w:ascii="宋体" w:hAnsi="宋体" w:eastAsia="宋体" w:cs="宋体"/>
          <w:snapToGrid/>
          <w:color w:val="auto"/>
          <w:spacing w:val="0"/>
          <w:kern w:val="2"/>
          <w:sz w:val="28"/>
          <w:szCs w:val="28"/>
          <w:highlight w:val="none"/>
          <w:lang w:val="en-US" w:eastAsia="zh-CN" w:bidi="ar-SA"/>
        </w:rPr>
        <w:t>避免日后木结构维修维护的成本增大，拟完善景区基础设施，对湿地一期景区木结构整体刷漆维护保养处理，总投资约44.50万元。</w:t>
      </w:r>
    </w:p>
    <w:p>
      <w:pPr>
        <w:pStyle w:val="6"/>
        <w:spacing w:line="560" w:lineRule="exact"/>
        <w:rPr>
          <w:rFonts w:hint="eastAsia"/>
          <w:highlight w:val="none"/>
          <w:lang w:val="en-US" w:eastAsia="zh-CN"/>
        </w:rPr>
      </w:pPr>
    </w:p>
    <w:p>
      <w:pPr>
        <w:pStyle w:val="7"/>
        <w:spacing w:line="560" w:lineRule="exact"/>
        <w:rPr>
          <w:rFonts w:hint="eastAsia" w:ascii="宋体" w:hAnsi="宋体" w:eastAsia="宋体" w:cs="宋体"/>
          <w:b/>
          <w:color w:val="000000"/>
          <w:kern w:val="0"/>
          <w:sz w:val="28"/>
          <w:szCs w:val="20"/>
          <w:highlight w:val="none"/>
        </w:rPr>
      </w:pPr>
      <w:r>
        <w:rPr>
          <w:rFonts w:hint="eastAsia" w:ascii="宋体" w:hAnsi="宋体" w:eastAsia="宋体" w:cs="宋体"/>
          <w:b/>
          <w:color w:val="000000"/>
          <w:kern w:val="0"/>
          <w:sz w:val="28"/>
          <w:szCs w:val="20"/>
          <w:highlight w:val="none"/>
          <w:lang w:eastAsia="zh-CN"/>
        </w:rPr>
        <w:t>二、招标范围</w:t>
      </w:r>
    </w:p>
    <w:p>
      <w:pPr>
        <w:pStyle w:val="10"/>
        <w:spacing w:line="560" w:lineRule="exact"/>
        <w:ind w:firstLine="560" w:firstLineChars="200"/>
        <w:rPr>
          <w:rFonts w:hint="eastAsia" w:ascii="宋体" w:hAnsi="宋体" w:eastAsia="宋体" w:cs="Times New Roman"/>
          <w:color w:val="000000"/>
          <w:kern w:val="0"/>
          <w:sz w:val="24"/>
          <w:szCs w:val="24"/>
          <w:highlight w:val="none"/>
          <w:u w:val="none"/>
        </w:rPr>
      </w:pPr>
      <w:r>
        <w:rPr>
          <w:rFonts w:hint="eastAsia" w:ascii="宋体" w:hAnsi="宋体" w:eastAsia="宋体" w:cs="宋体"/>
          <w:color w:val="auto"/>
          <w:kern w:val="2"/>
          <w:sz w:val="28"/>
          <w:szCs w:val="28"/>
          <w:highlight w:val="none"/>
          <w:lang w:val="en-US" w:eastAsia="zh-CN" w:bidi="ar-SA"/>
        </w:rPr>
        <w:t>对湿地一期景区木结构整体刷漆维护保养处理</w:t>
      </w:r>
      <w:r>
        <w:rPr>
          <w:rFonts w:hint="eastAsia" w:ascii="宋体" w:hAnsi="宋体" w:eastAsia="宋体" w:cs="宋体"/>
          <w:color w:val="auto"/>
          <w:kern w:val="2"/>
          <w:position w:val="0"/>
          <w:sz w:val="28"/>
          <w:szCs w:val="28"/>
          <w:highlight w:val="none"/>
          <w:lang w:val="en-US" w:eastAsia="zh-CN" w:bidi="ar-SA"/>
        </w:rPr>
        <w:t>，其中油漆面积约9805.85平</w:t>
      </w:r>
      <w:r>
        <w:rPr>
          <w:rFonts w:hint="eastAsia" w:ascii="宋体" w:hAnsi="宋体" w:cs="宋体"/>
          <w:color w:val="auto"/>
          <w:kern w:val="2"/>
          <w:position w:val="0"/>
          <w:sz w:val="28"/>
          <w:szCs w:val="28"/>
          <w:highlight w:val="none"/>
          <w:lang w:val="en-US" w:eastAsia="zh-CN" w:bidi="ar-SA"/>
        </w:rPr>
        <w:t>方</w:t>
      </w:r>
      <w:r>
        <w:rPr>
          <w:rFonts w:hint="eastAsia" w:ascii="宋体" w:hAnsi="宋体" w:eastAsia="宋体" w:cs="宋体"/>
          <w:color w:val="auto"/>
          <w:kern w:val="2"/>
          <w:position w:val="0"/>
          <w:sz w:val="28"/>
          <w:szCs w:val="28"/>
          <w:highlight w:val="none"/>
          <w:lang w:val="en-US" w:eastAsia="zh-CN" w:bidi="ar-SA"/>
        </w:rPr>
        <w:t>米，包括现有木地板、木屋面、木墙面按室外油漆标准重新刷漆，施工单体包括：园区入口、九曲莲花桥、候船室（游船码头）、游船码头卫生间、科普长廊、水闸电机房（榕荫大道）、主道路（榕荫大道）、海景园卫生间、海景咖啡厅、海景塔、海景园观景台、步行区码头、步行区长廊、步行区卫生间、步行区拱桥、东堤2号凉亭、其它等单体位置油漆及部分地板和栏杆更换。</w:t>
      </w:r>
      <w:r>
        <w:rPr>
          <w:rFonts w:hint="eastAsia" w:ascii="宋体" w:hAnsi="宋体" w:eastAsia="宋体" w:cs="宋体"/>
          <w:color w:val="auto"/>
          <w:kern w:val="2"/>
          <w:sz w:val="28"/>
          <w:szCs w:val="28"/>
          <w:highlight w:val="none"/>
          <w:lang w:eastAsia="zh-CN"/>
        </w:rPr>
        <w:t>具体</w:t>
      </w:r>
      <w:r>
        <w:rPr>
          <w:rFonts w:hint="eastAsia" w:ascii="宋体" w:hAnsi="宋体" w:eastAsia="宋体" w:cs="宋体"/>
          <w:color w:val="auto"/>
          <w:kern w:val="2"/>
          <w:sz w:val="28"/>
          <w:szCs w:val="28"/>
          <w:highlight w:val="none"/>
          <w:lang w:val="en-US" w:eastAsia="zh-CN"/>
        </w:rPr>
        <w:t>以</w:t>
      </w:r>
      <w:r>
        <w:rPr>
          <w:rFonts w:hint="eastAsia" w:ascii="宋体" w:hAnsi="宋体" w:eastAsia="宋体" w:cs="宋体"/>
          <w:color w:val="auto"/>
          <w:kern w:val="2"/>
          <w:sz w:val="28"/>
          <w:szCs w:val="28"/>
          <w:highlight w:val="none"/>
          <w:lang w:eastAsia="zh-CN"/>
        </w:rPr>
        <w:t>工程量清单</w:t>
      </w:r>
      <w:r>
        <w:rPr>
          <w:rFonts w:hint="eastAsia" w:ascii="宋体" w:hAnsi="宋体" w:eastAsia="宋体" w:cs="宋体"/>
          <w:color w:val="auto"/>
          <w:kern w:val="2"/>
          <w:sz w:val="28"/>
          <w:szCs w:val="28"/>
          <w:highlight w:val="none"/>
          <w:lang w:val="en-US" w:eastAsia="zh-CN"/>
        </w:rPr>
        <w:t>为准</w:t>
      </w:r>
      <w:r>
        <w:rPr>
          <w:rFonts w:hint="eastAsia" w:ascii="宋体" w:hAnsi="宋体" w:eastAsia="宋体" w:cs="宋体"/>
          <w:color w:val="auto"/>
          <w:kern w:val="2"/>
          <w:sz w:val="28"/>
          <w:szCs w:val="28"/>
          <w:highlight w:val="none"/>
          <w:lang w:eastAsia="zh-CN"/>
        </w:rPr>
        <w:t>。</w:t>
      </w:r>
    </w:p>
    <w:p>
      <w:pPr>
        <w:pStyle w:val="10"/>
        <w:spacing w:line="560" w:lineRule="exact"/>
        <w:ind w:firstLine="480" w:firstLineChars="200"/>
        <w:rPr>
          <w:rFonts w:hint="eastAsia" w:ascii="宋体" w:hAnsi="宋体" w:eastAsia="宋体" w:cs="宋体"/>
          <w:color w:val="000000"/>
          <w:kern w:val="0"/>
          <w:highlight w:val="none"/>
        </w:rPr>
      </w:pPr>
    </w:p>
    <w:p>
      <w:pPr>
        <w:pStyle w:val="2"/>
        <w:spacing w:line="560" w:lineRule="exact"/>
        <w:rPr>
          <w:rFonts w:hint="eastAsia" w:ascii="仿宋_GB2312" w:hAnsi="仿宋_GB2312" w:eastAsia="仿宋_GB2312" w:cs="仿宋_GB2312"/>
          <w:color w:val="auto"/>
          <w:sz w:val="32"/>
          <w:szCs w:val="32"/>
          <w:highlight w:val="none"/>
        </w:rPr>
      </w:pPr>
    </w:p>
    <w:p>
      <w:pPr>
        <w:spacing w:line="560" w:lineRule="exact"/>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br w:type="page"/>
      </w: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bookmarkStart w:id="19" w:name="_Toc5931"/>
      <w:bookmarkStart w:id="20" w:name="_Toc10090"/>
      <w:bookmarkStart w:id="21" w:name="_Toc19076"/>
      <w:bookmarkStart w:id="22" w:name="_Toc28153"/>
      <w:bookmarkStart w:id="23" w:name="_Toc27735"/>
      <w:bookmarkStart w:id="24" w:name="_Toc2266"/>
      <w:r>
        <w:rPr>
          <w:rFonts w:hint="eastAsia" w:ascii="黑体" w:hAnsi="宋体" w:cs="黑体"/>
          <w:b/>
          <w:color w:val="auto"/>
          <w:kern w:val="44"/>
          <w:sz w:val="44"/>
          <w:szCs w:val="44"/>
          <w:highlight w:val="none"/>
        </w:rPr>
        <w:t>第3章  投标格式文件</w:t>
      </w:r>
      <w:bookmarkEnd w:id="11"/>
      <w:bookmarkEnd w:id="19"/>
      <w:bookmarkEnd w:id="20"/>
      <w:bookmarkEnd w:id="21"/>
      <w:bookmarkEnd w:id="22"/>
      <w:bookmarkEnd w:id="23"/>
      <w:bookmarkEnd w:id="24"/>
    </w:p>
    <w:p>
      <w:pPr>
        <w:snapToGrid w:val="0"/>
        <w:rPr>
          <w:rFonts w:ascii="黑体" w:hAnsi="宋体" w:eastAsia="黑体" w:cs="黑体"/>
          <w:b/>
          <w:color w:val="auto"/>
          <w:kern w:val="44"/>
          <w:sz w:val="44"/>
          <w:szCs w:val="44"/>
          <w:highlight w:val="none"/>
        </w:rPr>
      </w:pPr>
      <w:r>
        <w:rPr>
          <w:rFonts w:hint="eastAsia" w:ascii="黑体" w:hAnsi="宋体" w:eastAsia="黑体" w:cs="黑体"/>
          <w:b/>
          <w:color w:val="auto"/>
          <w:kern w:val="44"/>
          <w:sz w:val="44"/>
          <w:szCs w:val="44"/>
          <w:highlight w:val="none"/>
        </w:rPr>
        <w:t xml:space="preserve"> </w:t>
      </w:r>
    </w:p>
    <w:p>
      <w:pPr>
        <w:snapToGrid w:val="0"/>
        <w:outlineLvl w:val="1"/>
        <w:rPr>
          <w:rFonts w:ascii="宋体" w:hAnsi="宋体" w:eastAsia="宋体" w:cs="宋体"/>
          <w:b/>
          <w:color w:val="auto"/>
          <w:sz w:val="28"/>
          <w:szCs w:val="28"/>
          <w:highlight w:val="none"/>
        </w:rPr>
      </w:pPr>
      <w:r>
        <w:rPr>
          <w:rFonts w:hint="eastAsia" w:ascii="宋体" w:hAnsi="宋体" w:eastAsia="宋体" w:cs="黑体"/>
          <w:b/>
          <w:color w:val="auto"/>
          <w:spacing w:val="20"/>
          <w:sz w:val="28"/>
          <w:szCs w:val="28"/>
          <w:highlight w:val="none"/>
          <w:u w:val="single"/>
        </w:rPr>
        <w:br w:type="page"/>
      </w:r>
      <w:r>
        <w:rPr>
          <w:rFonts w:hint="eastAsia" w:ascii="宋体" w:hAnsi="宋体" w:eastAsia="宋体" w:cs="黑体"/>
          <w:b/>
          <w:color w:val="auto"/>
          <w:spacing w:val="20"/>
          <w:sz w:val="28"/>
          <w:szCs w:val="28"/>
          <w:highlight w:val="none"/>
        </w:rPr>
        <w:t>格式一：</w:t>
      </w:r>
    </w:p>
    <w:p>
      <w:pPr>
        <w:spacing w:line="360" w:lineRule="auto"/>
        <w:jc w:val="center"/>
        <w:outlineLvl w:val="2"/>
        <w:rPr>
          <w:rFonts w:ascii="宋体" w:hAnsi="宋体" w:eastAsia="宋体" w:cs="宋体"/>
          <w:b/>
          <w:color w:val="auto"/>
          <w:sz w:val="36"/>
          <w:szCs w:val="36"/>
          <w:highlight w:val="none"/>
        </w:rPr>
      </w:pPr>
      <w:r>
        <w:rPr>
          <w:rFonts w:hint="eastAsia" w:ascii="宋体" w:hAnsi="宋体" w:eastAsia="宋体" w:cs="宋体"/>
          <w:b/>
          <w:color w:val="auto"/>
          <w:spacing w:val="34"/>
          <w:sz w:val="36"/>
          <w:szCs w:val="36"/>
          <w:highlight w:val="none"/>
        </w:rPr>
        <w:t>投标函</w:t>
      </w:r>
    </w:p>
    <w:p>
      <w:pPr>
        <w:rPr>
          <w:rFonts w:ascii="宋体" w:hAnsi="宋体" w:eastAsia="宋体" w:cs="宋体"/>
          <w:color w:val="auto"/>
          <w:sz w:val="24"/>
          <w:highlight w:val="none"/>
        </w:rPr>
      </w:pPr>
    </w:p>
    <w:p>
      <w:pPr>
        <w:snapToGrid w:val="0"/>
        <w:spacing w:line="360" w:lineRule="auto"/>
        <w:rPr>
          <w:rFonts w:ascii="宋体" w:hAnsi="宋体" w:eastAsia="宋体" w:cs="Times New Roman"/>
          <w:color w:val="auto"/>
          <w:spacing w:val="20"/>
          <w:sz w:val="24"/>
          <w:highlight w:val="none"/>
          <w:u w:val="single"/>
        </w:rPr>
      </w:pPr>
      <w:r>
        <w:rPr>
          <w:rFonts w:hint="eastAsia" w:ascii="宋体" w:hAnsi="宋体" w:eastAsia="宋体" w:cs="Times New Roman"/>
          <w:color w:val="auto"/>
          <w:spacing w:val="20"/>
          <w:sz w:val="24"/>
          <w:highlight w:val="none"/>
          <w:u w:val="single"/>
          <w:lang w:eastAsia="zh-CN"/>
        </w:rPr>
        <w:t>广州南沙</w:t>
      </w:r>
      <w:r>
        <w:rPr>
          <w:rFonts w:hint="eastAsia" w:ascii="宋体" w:hAnsi="宋体" w:eastAsia="宋体" w:cs="Times New Roman"/>
          <w:color w:val="auto"/>
          <w:spacing w:val="20"/>
          <w:sz w:val="24"/>
          <w:highlight w:val="none"/>
          <w:u w:val="single"/>
          <w:lang w:val="en-US" w:eastAsia="zh-CN"/>
        </w:rPr>
        <w:t>湿地</w:t>
      </w:r>
      <w:r>
        <w:rPr>
          <w:rFonts w:hint="eastAsia" w:ascii="宋体" w:hAnsi="宋体" w:eastAsia="宋体" w:cs="Times New Roman"/>
          <w:color w:val="auto"/>
          <w:spacing w:val="20"/>
          <w:sz w:val="24"/>
          <w:highlight w:val="none"/>
          <w:u w:val="single"/>
          <w:lang w:eastAsia="zh-CN"/>
        </w:rPr>
        <w:t>旅游发展有限公司</w:t>
      </w:r>
      <w:r>
        <w:rPr>
          <w:rFonts w:hint="eastAsia" w:ascii="宋体" w:hAnsi="宋体" w:eastAsia="宋体" w:cs="Times New Roman"/>
          <w:color w:val="auto"/>
          <w:spacing w:val="20"/>
          <w:sz w:val="24"/>
          <w:highlight w:val="none"/>
          <w:u w:val="single"/>
        </w:rPr>
        <w:t>：</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我方决定参加</w:t>
      </w:r>
      <w:r>
        <w:rPr>
          <w:rFonts w:hint="eastAsia" w:ascii="宋体" w:hAnsi="宋体" w:eastAsia="宋体" w:cs="Times New Roman"/>
          <w:color w:val="auto"/>
          <w:spacing w:val="20"/>
          <w:sz w:val="24"/>
          <w:highlight w:val="none"/>
          <w:u w:val="none"/>
        </w:rPr>
        <w:t>贵方的</w:t>
      </w:r>
      <w:r>
        <w:rPr>
          <w:rFonts w:hint="eastAsia" w:ascii="宋体" w:hAnsi="宋体" w:eastAsia="宋体" w:cs="宋体"/>
          <w:b w:val="0"/>
          <w:bCs w:val="0"/>
          <w:color w:val="auto"/>
          <w:sz w:val="24"/>
          <w:szCs w:val="24"/>
          <w:highlight w:val="none"/>
          <w:u w:val="single"/>
          <w:lang w:val="en-US" w:eastAsia="zh-CN"/>
        </w:rPr>
        <w:t>湿地一期景区木结构整体刷漆维护保养</w:t>
      </w:r>
      <w:r>
        <w:rPr>
          <w:rFonts w:hint="eastAsia" w:ascii="宋体" w:hAnsi="宋体" w:eastAsia="宋体" w:cs="宋体"/>
          <w:bCs w:val="0"/>
          <w:color w:val="auto"/>
          <w:sz w:val="24"/>
          <w:szCs w:val="24"/>
          <w:highlight w:val="none"/>
          <w:u w:val="single"/>
          <w:lang w:eastAsia="zh-CN"/>
        </w:rPr>
        <w:t>项目</w:t>
      </w:r>
      <w:r>
        <w:rPr>
          <w:rFonts w:hint="eastAsia" w:ascii="宋体" w:hAnsi="宋体" w:eastAsia="宋体" w:cs="宋体"/>
          <w:b w:val="0"/>
          <w:bCs w:val="0"/>
          <w:color w:val="auto"/>
          <w:sz w:val="24"/>
          <w:szCs w:val="24"/>
          <w:highlight w:val="none"/>
          <w:u w:val="single"/>
          <w:lang w:val="en-US" w:eastAsia="zh-CN"/>
        </w:rPr>
        <w:t>（第二次）</w:t>
      </w:r>
      <w:r>
        <w:rPr>
          <w:rFonts w:hint="eastAsia" w:ascii="宋体" w:hAnsi="宋体" w:eastAsia="宋体" w:cs="宋体"/>
          <w:color w:val="auto"/>
          <w:spacing w:val="0"/>
          <w:sz w:val="24"/>
          <w:highlight w:val="none"/>
          <w:u w:val="single"/>
          <w:lang w:val="en-US" w:eastAsia="zh-CN"/>
        </w:rPr>
        <w:t>承</w:t>
      </w:r>
      <w:r>
        <w:rPr>
          <w:rFonts w:hint="eastAsia" w:ascii="宋体" w:hAnsi="宋体" w:eastAsia="宋体" w:cs="Times New Roman"/>
          <w:color w:val="auto"/>
          <w:spacing w:val="20"/>
          <w:sz w:val="24"/>
          <w:highlight w:val="none"/>
          <w:u w:val="single"/>
          <w:lang w:val="en-US" w:eastAsia="zh-CN"/>
        </w:rPr>
        <w:t>包</w:t>
      </w:r>
      <w:r>
        <w:rPr>
          <w:rFonts w:hint="eastAsia" w:ascii="宋体" w:hAnsi="宋体" w:eastAsia="宋体" w:cs="Times New Roman"/>
          <w:color w:val="auto"/>
          <w:spacing w:val="20"/>
          <w:sz w:val="24"/>
          <w:highlight w:val="none"/>
        </w:rPr>
        <w:t>单位选定的竞标，并完全接受贵方发出的招标文件及澄清文件中的所有内容。为此，我方作出如下承诺：</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1、我方经分析研究了贵方提供的招标文件中的项目介绍、投标人须知、合同条件以及本次招标答疑或澄清文件后，我公司愿意以投标报价表中承诺报价，完成贵方</w:t>
      </w:r>
      <w:r>
        <w:rPr>
          <w:rFonts w:hint="eastAsia" w:ascii="宋体" w:hAnsi="宋体" w:eastAsia="宋体" w:cs="宋体"/>
          <w:b w:val="0"/>
          <w:bCs w:val="0"/>
          <w:color w:val="auto"/>
          <w:sz w:val="24"/>
          <w:szCs w:val="24"/>
          <w:highlight w:val="none"/>
          <w:u w:val="single"/>
          <w:lang w:val="en-US" w:eastAsia="zh-CN"/>
        </w:rPr>
        <w:t>湿地一期景区木结构整体刷漆维护保养</w:t>
      </w:r>
      <w:r>
        <w:rPr>
          <w:rFonts w:hint="eastAsia" w:ascii="宋体" w:hAnsi="宋体" w:eastAsia="宋体" w:cs="Times New Roman"/>
          <w:color w:val="auto"/>
          <w:spacing w:val="20"/>
          <w:sz w:val="24"/>
          <w:highlight w:val="none"/>
        </w:rPr>
        <w:t>任务，并提供增值税专业发票税率为</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%，并按合同条件的要求，承担并完成任务。</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2、完全理解和接受全部招标文件（包括修改文件、参考资料和有关附件）的一切规定和要求。</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3、我方同意在规定的投标截止之日起</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日历天内遵守本投标。在该期限满期之前，本投标书对我单位始终具有约束力，并可随时被接受。</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4、在正式签订</w:t>
      </w:r>
      <w:r>
        <w:rPr>
          <w:rFonts w:hint="eastAsia" w:ascii="宋体" w:hAnsi="宋体" w:eastAsia="宋体" w:cs="Times New Roman"/>
          <w:color w:val="auto"/>
          <w:spacing w:val="20"/>
          <w:sz w:val="24"/>
          <w:highlight w:val="none"/>
          <w:lang w:val="en-US" w:eastAsia="zh-CN"/>
        </w:rPr>
        <w:t>合同</w:t>
      </w:r>
      <w:r>
        <w:rPr>
          <w:rFonts w:hint="eastAsia" w:ascii="宋体" w:hAnsi="宋体" w:eastAsia="宋体" w:cs="Times New Roman"/>
          <w:color w:val="auto"/>
          <w:spacing w:val="20"/>
          <w:sz w:val="24"/>
          <w:highlight w:val="none"/>
        </w:rPr>
        <w:t>之前，本投标</w:t>
      </w:r>
      <w:r>
        <w:rPr>
          <w:rFonts w:hint="eastAsia" w:ascii="宋体" w:hAnsi="宋体" w:eastAsia="宋体" w:cs="Times New Roman"/>
          <w:color w:val="auto"/>
          <w:spacing w:val="20"/>
          <w:sz w:val="24"/>
          <w:highlight w:val="none"/>
          <w:lang w:val="en-US" w:eastAsia="zh-CN"/>
        </w:rPr>
        <w:t>书</w:t>
      </w:r>
      <w:r>
        <w:rPr>
          <w:rFonts w:hint="eastAsia" w:ascii="宋体" w:hAnsi="宋体" w:eastAsia="宋体" w:cs="Times New Roman"/>
          <w:color w:val="auto"/>
          <w:spacing w:val="20"/>
          <w:sz w:val="24"/>
          <w:highlight w:val="none"/>
        </w:rPr>
        <w:t>连同贵方的中标通知书应成为约束贵、我双方的合同文件。</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5、在整个招、投标过程中及招、投标结束后，未经招标人书面同意，我方保证不向任何第三方泄露本次招、投标的任何信息、资料及内容。</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6、投标文件中所有关于投标人资格的文件、证明、陈述均是真实的、准确的。若有违背，我方承担由此而产生的一切后果。</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投标人：（盖章）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3"/>
          <w:sz w:val="24"/>
          <w:highlight w:val="none"/>
          <w:u w:val="single"/>
        </w:rPr>
      </w:pPr>
      <w:r>
        <w:rPr>
          <w:rFonts w:hint="eastAsia" w:ascii="宋体" w:hAnsi="宋体" w:eastAsia="宋体" w:cs="Times New Roman"/>
          <w:color w:val="auto"/>
          <w:spacing w:val="20"/>
          <w:sz w:val="24"/>
          <w:highlight w:val="none"/>
        </w:rPr>
        <w:t>法定代表人或被授权人（代理人）(签字或签章):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地    址：</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电    话：</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b/>
          <w:color w:val="auto"/>
          <w:spacing w:val="20"/>
          <w:sz w:val="24"/>
          <w:highlight w:val="none"/>
        </w:rPr>
      </w:pPr>
      <w:r>
        <w:rPr>
          <w:rFonts w:hint="eastAsia" w:ascii="宋体" w:hAnsi="宋体" w:eastAsia="宋体" w:cs="Times New Roman"/>
          <w:color w:val="auto"/>
          <w:spacing w:val="20"/>
          <w:sz w:val="24"/>
          <w:highlight w:val="none"/>
        </w:rPr>
        <w:t>日    期：</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b/>
          <w:color w:val="auto"/>
          <w:spacing w:val="20"/>
          <w:sz w:val="24"/>
          <w:highlight w:val="none"/>
        </w:rPr>
        <w:tab/>
      </w:r>
    </w:p>
    <w:p>
      <w:pPr>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pPr>
        <w:snapToGrid w:val="0"/>
        <w:spacing w:line="360" w:lineRule="auto"/>
        <w:outlineLvl w:val="1"/>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格式二：</w:t>
      </w:r>
    </w:p>
    <w:p>
      <w:pPr>
        <w:snapToGrid w:val="0"/>
        <w:spacing w:line="480" w:lineRule="auto"/>
        <w:jc w:val="center"/>
        <w:outlineLvl w:val="2"/>
        <w:rPr>
          <w:b/>
          <w:color w:val="auto"/>
          <w:sz w:val="28"/>
          <w:szCs w:val="28"/>
          <w:highlight w:val="none"/>
        </w:rPr>
      </w:pPr>
      <w:r>
        <w:rPr>
          <w:rFonts w:hint="eastAsia" w:ascii="宋体" w:hAnsi="宋体" w:eastAsia="宋体" w:cs="宋体"/>
          <w:b/>
          <w:color w:val="auto"/>
          <w:sz w:val="36"/>
          <w:szCs w:val="36"/>
          <w:highlight w:val="none"/>
        </w:rPr>
        <w:t>服务承诺书（格式）</w:t>
      </w:r>
    </w:p>
    <w:p>
      <w:pPr>
        <w:snapToGrid w:val="0"/>
        <w:spacing w:line="480" w:lineRule="auto"/>
        <w:rPr>
          <w:rFonts w:ascii="宋体" w:hAnsi="宋体" w:eastAsia="宋体" w:cs="宋体"/>
          <w:color w:val="auto"/>
          <w:sz w:val="24"/>
          <w:highlight w:val="none"/>
          <w:u w:val="single"/>
        </w:rPr>
      </w:pPr>
      <w:r>
        <w:rPr>
          <w:rFonts w:hint="eastAsia" w:ascii="宋体" w:hAnsi="宋体" w:eastAsia="宋体" w:cs="宋体"/>
          <w:color w:val="auto"/>
          <w:sz w:val="24"/>
          <w:highlight w:val="none"/>
        </w:rPr>
        <w:t>致：</w:t>
      </w:r>
      <w:r>
        <w:rPr>
          <w:rFonts w:hint="eastAsia" w:ascii="宋体" w:hAnsi="宋体" w:eastAsia="宋体" w:cs="Times New Roman"/>
          <w:color w:val="auto"/>
          <w:spacing w:val="20"/>
          <w:sz w:val="24"/>
          <w:highlight w:val="none"/>
          <w:u w:val="single"/>
          <w:lang w:eastAsia="zh-CN"/>
        </w:rPr>
        <w:t>广州南沙</w:t>
      </w:r>
      <w:r>
        <w:rPr>
          <w:rFonts w:hint="eastAsia" w:ascii="宋体" w:hAnsi="宋体" w:eastAsia="宋体" w:cs="Times New Roman"/>
          <w:color w:val="auto"/>
          <w:spacing w:val="20"/>
          <w:sz w:val="24"/>
          <w:highlight w:val="none"/>
          <w:u w:val="single"/>
          <w:lang w:val="en-US" w:eastAsia="zh-CN"/>
        </w:rPr>
        <w:t>湿地</w:t>
      </w:r>
      <w:r>
        <w:rPr>
          <w:rFonts w:hint="eastAsia" w:ascii="宋体" w:hAnsi="宋体" w:eastAsia="宋体" w:cs="Times New Roman"/>
          <w:color w:val="auto"/>
          <w:spacing w:val="20"/>
          <w:sz w:val="24"/>
          <w:highlight w:val="none"/>
          <w:u w:val="single"/>
          <w:lang w:eastAsia="zh-CN"/>
        </w:rPr>
        <w:t>旅游发展有限公司</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一旦我方中标，我方愿意做出如下承诺：</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我方同意投标文件自投标人须知规定的投标截止日期开始对我方有约束力，并自投标人须知的投标有效截止日期前一直对我方有约束力且随时可能按此投标文件中标。</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如果我方投标文件中存在计算或表达错误的，我方理解并接受</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按照招标文件规定的原则进行修正，这种修正对我方具有约束力，且不需要我方确认。</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在签署合同协议书之前，你方的中标通知书和本投标承诺书将构成约束我们双方的契约。</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ind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投 标 人： (盖公章)</w:t>
      </w:r>
      <w:r>
        <w:rPr>
          <w:rFonts w:hint="eastAsia" w:ascii="宋体" w:hAnsi="宋体" w:eastAsia="宋体" w:cs="宋体"/>
          <w:color w:val="auto"/>
          <w:sz w:val="24"/>
          <w:highlight w:val="none"/>
          <w:u w:val="single"/>
        </w:rPr>
        <w:t xml:space="preserve">              </w:t>
      </w:r>
    </w:p>
    <w:p>
      <w:pPr>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授权代表： (签  字)</w:t>
      </w:r>
      <w:r>
        <w:rPr>
          <w:rFonts w:hint="eastAsia" w:ascii="宋体" w:hAnsi="宋体" w:eastAsia="宋体" w:cs="宋体"/>
          <w:color w:val="auto"/>
          <w:sz w:val="24"/>
          <w:highlight w:val="none"/>
          <w:u w:val="single"/>
        </w:rPr>
        <w:t xml:space="preserve">              </w:t>
      </w:r>
    </w:p>
    <w:p>
      <w:pPr>
        <w:snapToGrid w:val="0"/>
        <w:spacing w:line="440" w:lineRule="exact"/>
        <w:ind w:right="26" w:firstLine="3240" w:firstLineChars="1350"/>
        <w:rPr>
          <w:rFonts w:ascii="宋体" w:hAnsi="宋体" w:eastAsia="宋体" w:cs="宋体"/>
          <w:color w:val="auto"/>
          <w:sz w:val="24"/>
          <w:highlight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p>
    <w:p>
      <w:pPr>
        <w:spacing w:line="360" w:lineRule="auto"/>
        <w:ind w:firstLine="3240" w:firstLineChars="1350"/>
        <w:rPr>
          <w:rFonts w:ascii="宋体" w:hAnsi="宋体" w:eastAsia="宋体" w:cs="宋体"/>
          <w:b/>
          <w:color w:val="auto"/>
          <w:spacing w:val="20"/>
          <w:sz w:val="28"/>
          <w:szCs w:val="28"/>
          <w:highlight w:val="none"/>
        </w:rPr>
      </w:pP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pStyle w:val="26"/>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br w:type="page"/>
      </w:r>
      <w:bookmarkStart w:id="25" w:name="_Toc216145749"/>
      <w:bookmarkEnd w:id="25"/>
      <w:bookmarkStart w:id="26" w:name="_Toc223342668"/>
      <w:bookmarkEnd w:id="26"/>
      <w:r>
        <w:rPr>
          <w:rFonts w:hint="eastAsia" w:ascii="宋体" w:hAnsi="宋体" w:eastAsia="宋体" w:cs="黑体"/>
          <w:color w:val="auto"/>
          <w:sz w:val="28"/>
          <w:szCs w:val="28"/>
          <w:highlight w:val="none"/>
        </w:rPr>
        <w:t>格式三：</w:t>
      </w:r>
    </w:p>
    <w:p>
      <w:pPr>
        <w:pStyle w:val="28"/>
        <w:widowControl/>
        <w:ind w:firstLine="0" w:firstLineChars="0"/>
        <w:jc w:val="center"/>
        <w:outlineLvl w:val="2"/>
        <w:rPr>
          <w:color w:val="auto"/>
          <w:kern w:val="44"/>
          <w:highlight w:val="none"/>
        </w:rPr>
      </w:pPr>
      <w:bookmarkStart w:id="27" w:name="_Toc172416501"/>
      <w:bookmarkEnd w:id="27"/>
      <w:r>
        <w:rPr>
          <w:rFonts w:hint="eastAsia" w:ascii="宋体" w:hAnsi="宋体" w:cs="宋体"/>
          <w:b/>
          <w:color w:val="auto"/>
          <w:sz w:val="30"/>
          <w:szCs w:val="30"/>
          <w:highlight w:val="none"/>
        </w:rPr>
        <w:t>法定代表人证明书</w:t>
      </w:r>
    </w:p>
    <w:p>
      <w:pPr>
        <w:pStyle w:val="28"/>
        <w:widowControl/>
        <w:ind w:firstLine="496"/>
        <w:jc w:val="right"/>
        <w:rPr>
          <w:b/>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pPr>
        <w:pStyle w:val="28"/>
        <w:widowControl/>
        <w:ind w:firstLine="0" w:firstLineChars="0"/>
        <w:rPr>
          <w:color w:val="auto"/>
          <w:sz w:val="30"/>
          <w:szCs w:val="30"/>
          <w:highlight w:val="none"/>
        </w:rPr>
      </w:pPr>
      <w:r>
        <w:rPr>
          <w:color w:val="auto"/>
          <w:highlight w:val="none"/>
        </w:rPr>
        <w:drawing>
          <wp:inline distT="0" distB="0" distL="114300" distR="114300">
            <wp:extent cx="5543550" cy="279082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r:link="rId8" cstate="print"/>
                    <a:stretch>
                      <a:fillRect/>
                    </a:stretch>
                  </pic:blipFill>
                  <pic:spPr>
                    <a:xfrm>
                      <a:off x="0" y="0"/>
                      <a:ext cx="5543550" cy="2790825"/>
                    </a:xfrm>
                    <a:prstGeom prst="rect">
                      <a:avLst/>
                    </a:prstGeom>
                    <a:noFill/>
                    <a:ln w="9525">
                      <a:noFill/>
                    </a:ln>
                  </pic:spPr>
                </pic:pic>
              </a:graphicData>
            </a:graphic>
          </wp:inline>
        </w:drawing>
      </w:r>
    </w:p>
    <w:p>
      <w:pPr>
        <w:pStyle w:val="28"/>
        <w:widowControl/>
        <w:ind w:firstLine="618"/>
        <w:rPr>
          <w:b/>
          <w:color w:val="auto"/>
          <w:sz w:val="30"/>
          <w:szCs w:val="30"/>
          <w:highlight w:val="none"/>
        </w:rPr>
      </w:pPr>
      <w:r>
        <w:rPr>
          <w:b/>
          <w:color w:val="auto"/>
          <w:sz w:val="30"/>
          <w:szCs w:val="30"/>
          <w:highlight w:val="none"/>
        </w:rPr>
        <w:t xml:space="preserve"> </w:t>
      </w:r>
    </w:p>
    <w:p>
      <w:pPr>
        <w:pStyle w:val="28"/>
        <w:widowControl/>
        <w:ind w:firstLine="0" w:firstLineChars="0"/>
        <w:jc w:val="center"/>
        <w:outlineLvl w:val="2"/>
        <w:rPr>
          <w:b/>
          <w:color w:val="auto"/>
          <w:sz w:val="30"/>
          <w:szCs w:val="30"/>
          <w:highlight w:val="none"/>
        </w:rPr>
      </w:pPr>
      <w:r>
        <w:rPr>
          <w:rFonts w:hint="eastAsia" w:ascii="宋体" w:hAnsi="宋体" w:cs="宋体"/>
          <w:b/>
          <w:color w:val="auto"/>
          <w:sz w:val="30"/>
          <w:szCs w:val="30"/>
          <w:highlight w:val="none"/>
        </w:rPr>
        <w:t>授权委托证明书</w:t>
      </w:r>
    </w:p>
    <w:p>
      <w:pPr>
        <w:pStyle w:val="28"/>
        <w:widowControl/>
        <w:ind w:firstLine="496"/>
        <w:jc w:val="right"/>
        <w:rPr>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pPr>
        <w:pStyle w:val="28"/>
        <w:widowControl/>
        <w:ind w:firstLine="0" w:firstLineChars="0"/>
        <w:rPr>
          <w:b/>
          <w:color w:val="auto"/>
          <w:highlight w:val="none"/>
        </w:rPr>
      </w:pPr>
      <w:r>
        <w:rPr>
          <w:color w:val="auto"/>
          <w:highlight w:val="none"/>
        </w:rPr>
        <w:drawing>
          <wp:inline distT="0" distB="0" distL="114300" distR="114300">
            <wp:extent cx="5543550" cy="283845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9" r:link="rId10" cstate="print"/>
                    <a:stretch>
                      <a:fillRect/>
                    </a:stretch>
                  </pic:blipFill>
                  <pic:spPr>
                    <a:xfrm>
                      <a:off x="0" y="0"/>
                      <a:ext cx="5543550" cy="2838450"/>
                    </a:xfrm>
                    <a:prstGeom prst="rect">
                      <a:avLst/>
                    </a:prstGeom>
                    <a:noFill/>
                    <a:ln w="9525">
                      <a:noFill/>
                    </a:ln>
                  </pic:spPr>
                </pic:pic>
              </a:graphicData>
            </a:graphic>
          </wp:inline>
        </w:drawing>
      </w:r>
    </w:p>
    <w:p>
      <w:pPr>
        <w:pStyle w:val="26"/>
        <w:widowControl/>
        <w:spacing w:before="142"/>
        <w:jc w:val="both"/>
        <w:outlineLvl w:val="9"/>
        <w:rPr>
          <w:rFonts w:ascii="黑体" w:hAnsi="宋体" w:cs="宋体"/>
          <w:b w:val="0"/>
          <w:color w:val="auto"/>
          <w:highlight w:val="none"/>
        </w:rPr>
      </w:pPr>
      <w:r>
        <w:rPr>
          <w:rFonts w:hint="eastAsia" w:ascii="黑体" w:hAnsi="宋体" w:cs="宋体"/>
          <w:b w:val="0"/>
          <w:color w:val="auto"/>
          <w:highlight w:val="none"/>
        </w:rPr>
        <w:t>备注：也可使用从工商管理部门购买的格式填写</w:t>
      </w:r>
      <w:bookmarkStart w:id="28" w:name="_Toc216145759"/>
      <w:bookmarkEnd w:id="28"/>
      <w:bookmarkStart w:id="29" w:name="_Toc223342677"/>
    </w:p>
    <w:p>
      <w:pPr>
        <w:rPr>
          <w:rFonts w:ascii="宋体" w:hAnsi="宋体" w:eastAsia="宋体" w:cs="黑体"/>
          <w:color w:val="auto"/>
          <w:sz w:val="28"/>
          <w:szCs w:val="28"/>
          <w:highlight w:val="none"/>
        </w:rPr>
      </w:pPr>
      <w:r>
        <w:rPr>
          <w:rFonts w:hint="eastAsia" w:ascii="宋体" w:hAnsi="宋体" w:eastAsia="宋体" w:cs="黑体"/>
          <w:color w:val="auto"/>
          <w:sz w:val="28"/>
          <w:szCs w:val="28"/>
          <w:highlight w:val="none"/>
        </w:rPr>
        <w:br w:type="page"/>
      </w:r>
    </w:p>
    <w:p>
      <w:pPr>
        <w:pStyle w:val="26"/>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t>格式四：</w:t>
      </w:r>
      <w:bookmarkEnd w:id="29"/>
      <w:r>
        <w:rPr>
          <w:rFonts w:hint="eastAsia" w:ascii="宋体" w:hAnsi="宋体" w:eastAsia="宋体" w:cs="宋体"/>
          <w:color w:val="auto"/>
          <w:sz w:val="28"/>
          <w:szCs w:val="28"/>
          <w:highlight w:val="none"/>
        </w:rPr>
        <w:t xml:space="preserve"> </w:t>
      </w:r>
    </w:p>
    <w:p>
      <w:pPr>
        <w:snapToGrid w:val="0"/>
        <w:spacing w:after="120" w:line="440" w:lineRule="exact"/>
        <w:outlineLvl w:val="9"/>
        <w:rPr>
          <w:rFonts w:ascii="宋体" w:hAnsi="宋体" w:eastAsia="宋体" w:cs="宋体"/>
          <w:b/>
          <w:color w:val="auto"/>
          <w:sz w:val="28"/>
          <w:szCs w:val="28"/>
          <w:highlight w:val="none"/>
        </w:rPr>
      </w:pPr>
    </w:p>
    <w:p>
      <w:pPr>
        <w:snapToGrid w:val="0"/>
        <w:spacing w:after="120" w:line="440" w:lineRule="exact"/>
        <w:jc w:val="center"/>
        <w:outlineLvl w:val="2"/>
        <w:rPr>
          <w:rFonts w:ascii="宋体" w:hAnsi="宋体" w:eastAsia="宋体" w:cs="宋体"/>
          <w:b/>
          <w:color w:val="auto"/>
          <w:sz w:val="32"/>
          <w:szCs w:val="32"/>
          <w:highlight w:val="none"/>
        </w:rPr>
      </w:pPr>
      <w:bookmarkStart w:id="30" w:name="_Toc41822704"/>
      <w:bookmarkEnd w:id="30"/>
      <w:r>
        <w:rPr>
          <w:rFonts w:hint="eastAsia" w:ascii="宋体" w:hAnsi="宋体" w:eastAsia="宋体" w:cs="宋体"/>
          <w:b/>
          <w:color w:val="auto"/>
          <w:sz w:val="32"/>
          <w:szCs w:val="32"/>
          <w:highlight w:val="none"/>
        </w:rPr>
        <w:t>人员到位承诺书</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jc w:val="left"/>
        <w:rPr>
          <w:rFonts w:ascii="宋体" w:hAnsi="宋体" w:eastAsia="宋体" w:cs="宋体"/>
          <w:color w:val="auto"/>
          <w:sz w:val="24"/>
          <w:highlight w:val="none"/>
          <w:u w:val="single"/>
        </w:rPr>
      </w:pPr>
      <w:r>
        <w:rPr>
          <w:rFonts w:hint="eastAsia" w:ascii="宋体" w:hAnsi="宋体" w:eastAsia="宋体" w:cs="宋体"/>
          <w:color w:val="auto"/>
          <w:sz w:val="24"/>
          <w:highlight w:val="none"/>
        </w:rPr>
        <w:t>招标人名称：</w:t>
      </w:r>
      <w:r>
        <w:rPr>
          <w:rFonts w:hint="eastAsia" w:ascii="宋体" w:hAnsi="宋体" w:eastAsia="宋体" w:cs="宋体"/>
          <w:color w:val="auto"/>
          <w:sz w:val="24"/>
          <w:highlight w:val="none"/>
          <w:u w:val="single"/>
          <w:lang w:eastAsia="zh-CN"/>
        </w:rPr>
        <w:t>广州南沙</w:t>
      </w:r>
      <w:r>
        <w:rPr>
          <w:rFonts w:hint="eastAsia" w:ascii="宋体" w:hAnsi="宋体" w:eastAsia="宋体" w:cs="宋体"/>
          <w:color w:val="auto"/>
          <w:sz w:val="24"/>
          <w:highlight w:val="none"/>
          <w:u w:val="single"/>
          <w:lang w:val="en-US" w:eastAsia="zh-CN"/>
        </w:rPr>
        <w:t>湿地</w:t>
      </w:r>
      <w:r>
        <w:rPr>
          <w:rFonts w:hint="eastAsia" w:ascii="宋体" w:hAnsi="宋体" w:eastAsia="宋体" w:cs="宋体"/>
          <w:color w:val="auto"/>
          <w:sz w:val="24"/>
          <w:highlight w:val="none"/>
          <w:u w:val="single"/>
          <w:lang w:eastAsia="zh-CN"/>
        </w:rPr>
        <w:t>旅游发展有限公司</w:t>
      </w:r>
    </w:p>
    <w:p>
      <w:pPr>
        <w:spacing w:line="560" w:lineRule="exact"/>
        <w:jc w:val="left"/>
        <w:rPr>
          <w:rFonts w:hint="default" w:ascii="宋体" w:hAnsi="宋体" w:eastAsia="宋体" w:cs="宋体"/>
          <w:color w:val="auto"/>
          <w:sz w:val="24"/>
          <w:highlight w:val="none"/>
          <w:u w:val="single"/>
          <w:lang w:val="en-US"/>
        </w:rPr>
      </w:pPr>
      <w:r>
        <w:rPr>
          <w:rFonts w:hint="eastAsia" w:ascii="宋体" w:hAnsi="宋体" w:eastAsia="宋体" w:cs="宋体"/>
          <w:color w:val="auto"/>
          <w:sz w:val="24"/>
          <w:highlight w:val="none"/>
        </w:rPr>
        <w:t>投标项目名称</w:t>
      </w:r>
      <w:r>
        <w:rPr>
          <w:rFonts w:hint="eastAsia" w:ascii="宋体" w:hAnsi="宋体" w:eastAsia="宋体" w:cs="宋体"/>
          <w:color w:val="auto"/>
          <w:sz w:val="24"/>
          <w:highlight w:val="none"/>
          <w:u w:val="none"/>
        </w:rPr>
        <w:t>：</w:t>
      </w:r>
      <w:r>
        <w:rPr>
          <w:rFonts w:hint="eastAsia" w:ascii="宋体" w:hAnsi="宋体" w:eastAsia="宋体" w:cs="宋体"/>
          <w:b w:val="0"/>
          <w:bCs w:val="0"/>
          <w:color w:val="auto"/>
          <w:sz w:val="24"/>
          <w:szCs w:val="24"/>
          <w:highlight w:val="none"/>
          <w:u w:val="single"/>
          <w:lang w:val="en-US" w:eastAsia="zh-CN"/>
        </w:rPr>
        <w:t>湿地一期景区木结构整体刷漆维护保养</w:t>
      </w:r>
      <w:r>
        <w:rPr>
          <w:rFonts w:hint="eastAsia" w:ascii="宋体" w:hAnsi="宋体" w:eastAsia="宋体" w:cs="宋体"/>
          <w:bCs w:val="0"/>
          <w:color w:val="auto"/>
          <w:sz w:val="24"/>
          <w:szCs w:val="24"/>
          <w:highlight w:val="none"/>
          <w:u w:val="single"/>
          <w:lang w:eastAsia="zh-CN"/>
        </w:rPr>
        <w:t>项目</w:t>
      </w:r>
      <w:r>
        <w:rPr>
          <w:rFonts w:hint="eastAsia" w:ascii="宋体" w:hAnsi="宋体" w:eastAsia="宋体" w:cs="宋体"/>
          <w:b w:val="0"/>
          <w:bCs w:val="0"/>
          <w:color w:val="auto"/>
          <w:sz w:val="24"/>
          <w:szCs w:val="24"/>
          <w:highlight w:val="none"/>
          <w:u w:val="single"/>
          <w:lang w:val="en-US" w:eastAsia="zh-CN"/>
        </w:rPr>
        <w:t>（第二次）</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我方如果中标，承诺</w:t>
      </w:r>
      <w:r>
        <w:rPr>
          <w:rFonts w:hint="eastAsia" w:ascii="宋体" w:hAnsi="宋体" w:eastAsia="宋体" w:cs="宋体"/>
          <w:color w:val="auto"/>
          <w:sz w:val="24"/>
          <w:highlight w:val="none"/>
          <w:lang w:eastAsia="zh-CN"/>
        </w:rPr>
        <w:t>实际</w:t>
      </w:r>
      <w:r>
        <w:rPr>
          <w:rFonts w:hint="eastAsia" w:ascii="宋体" w:hAnsi="宋体" w:eastAsia="宋体" w:cs="宋体"/>
          <w:color w:val="auto"/>
          <w:sz w:val="24"/>
          <w:highlight w:val="none"/>
        </w:rPr>
        <w:t>人员</w:t>
      </w:r>
      <w:r>
        <w:rPr>
          <w:rFonts w:hint="eastAsia" w:ascii="宋体" w:hAnsi="宋体" w:eastAsia="宋体" w:cs="宋体"/>
          <w:color w:val="auto"/>
          <w:sz w:val="24"/>
          <w:highlight w:val="none"/>
          <w:lang w:val="en-US" w:eastAsia="zh-CN"/>
        </w:rPr>
        <w:t>均按投标文件人员名单配备</w:t>
      </w:r>
      <w:r>
        <w:rPr>
          <w:rFonts w:hint="eastAsia" w:ascii="宋体" w:hAnsi="宋体" w:eastAsia="宋体" w:cs="宋体"/>
          <w:color w:val="auto"/>
          <w:sz w:val="24"/>
          <w:highlight w:val="none"/>
        </w:rPr>
        <w:t>。</w:t>
      </w:r>
    </w:p>
    <w:p>
      <w:pPr>
        <w:snapToGrid w:val="0"/>
        <w:spacing w:after="120" w:line="440" w:lineRule="exact"/>
        <w:rPr>
          <w:rFonts w:ascii="宋体" w:hAnsi="宋体" w:eastAsia="宋体" w:cs="宋体"/>
          <w:b/>
          <w:color w:val="auto"/>
          <w:sz w:val="24"/>
          <w:highlight w:val="none"/>
        </w:rPr>
      </w:pPr>
      <w:r>
        <w:rPr>
          <w:rFonts w:hint="eastAsia" w:ascii="宋体" w:hAnsi="宋体" w:eastAsia="宋体" w:cs="宋体"/>
          <w:b/>
          <w:color w:val="auto"/>
          <w:sz w:val="24"/>
          <w:highlight w:val="non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投标单位名称（盖法人公章）：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ind w:firstLine="240" w:firstLineChars="100"/>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法定代表人或受委托人（签字或盖章）：</w:t>
      </w:r>
      <w:r>
        <w:rPr>
          <w:rFonts w:hint="eastAsia" w:ascii="宋体" w:hAnsi="宋体" w:eastAsia="宋体" w:cs="宋体"/>
          <w:color w:val="auto"/>
          <w:sz w:val="24"/>
          <w:highlight w:val="none"/>
          <w:u w:val="singl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月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日</w:t>
      </w: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pStyle w:val="26"/>
        <w:widowControl/>
        <w:spacing w:before="142" w:line="360" w:lineRule="auto"/>
        <w:jc w:val="both"/>
        <w:outlineLvl w:val="2"/>
        <w:rPr>
          <w:rFonts w:hint="eastAsia" w:ascii="宋体" w:hAnsi="宋体" w:eastAsia="宋体" w:cs="黑体"/>
          <w:b/>
          <w:bCs w:val="0"/>
          <w:color w:val="auto"/>
          <w:sz w:val="28"/>
          <w:szCs w:val="28"/>
          <w:highlight w:val="none"/>
        </w:rPr>
      </w:pPr>
      <w:r>
        <w:rPr>
          <w:rFonts w:hint="eastAsia" w:ascii="宋体" w:hAnsi="宋体" w:eastAsia="宋体" w:cs="黑体"/>
          <w:color w:val="auto"/>
          <w:sz w:val="28"/>
          <w:szCs w:val="28"/>
          <w:highlight w:val="none"/>
        </w:rPr>
        <w:t>格式</w:t>
      </w:r>
      <w:r>
        <w:rPr>
          <w:rFonts w:hint="eastAsia" w:ascii="宋体" w:hAnsi="宋体" w:eastAsia="宋体" w:cs="黑体"/>
          <w:color w:val="auto"/>
          <w:sz w:val="28"/>
          <w:szCs w:val="28"/>
          <w:highlight w:val="none"/>
          <w:lang w:val="en-US" w:eastAsia="zh-CN"/>
        </w:rPr>
        <w:t>五</w:t>
      </w:r>
      <w:r>
        <w:rPr>
          <w:rFonts w:hint="eastAsia" w:ascii="宋体" w:hAnsi="宋体" w:eastAsia="宋体" w:cs="黑体"/>
          <w:color w:val="auto"/>
          <w:sz w:val="28"/>
          <w:szCs w:val="28"/>
          <w:highlight w:val="none"/>
        </w:rPr>
        <w:t>：</w:t>
      </w: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投标人综合概况</w:t>
      </w:r>
    </w:p>
    <w:tbl>
      <w:tblPr>
        <w:tblStyle w:val="17"/>
        <w:tblW w:w="93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93"/>
        <w:gridCol w:w="870"/>
        <w:gridCol w:w="59"/>
        <w:gridCol w:w="2312"/>
        <w:gridCol w:w="318"/>
        <w:gridCol w:w="1302"/>
        <w:gridCol w:w="677"/>
        <w:gridCol w:w="223"/>
        <w:gridCol w:w="187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单位名称</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组织机构代码</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注册地址</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注册登记号</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单位性质</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pacing w:val="30"/>
                <w:sz w:val="24"/>
                <w:highlight w:val="none"/>
              </w:rPr>
            </w:pPr>
            <w:r>
              <w:rPr>
                <w:rFonts w:hint="eastAsia" w:ascii="仿宋" w:hAnsi="仿宋" w:eastAsia="仿宋" w:cs="仿宋"/>
                <w:color w:val="auto"/>
                <w:sz w:val="24"/>
                <w:highlight w:val="none"/>
              </w:rPr>
              <w:t>税务登记证号</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经营范围</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pacing w:val="34"/>
                <w:sz w:val="24"/>
                <w:highlight w:val="none"/>
              </w:rPr>
              <w:t>注册资本</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分支机构地址</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营业期限</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 月-  年 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资质证号、范围和等级</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ISO认证号、范围</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restart"/>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其他资质证号、范围和等级</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pPr>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pPr>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员工数量</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共</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人，其中，高级职称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人，中级职称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联络人</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手机号码</w:t>
            </w:r>
          </w:p>
        </w:tc>
        <w:tc>
          <w:tcPr>
            <w:tcW w:w="2778" w:type="dxa"/>
            <w:gridSpan w:val="3"/>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传真</w:t>
            </w:r>
          </w:p>
        </w:tc>
        <w:tc>
          <w:tcPr>
            <w:tcW w:w="2778" w:type="dxa"/>
            <w:gridSpan w:val="3"/>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32" w:type="dxa"/>
            <w:gridSpan w:val="9"/>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法 定 代 表 人 基 本 情 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  名</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身份证号码</w:t>
            </w:r>
          </w:p>
        </w:tc>
        <w:tc>
          <w:tcPr>
            <w:tcW w:w="4398" w:type="dxa"/>
            <w:gridSpan w:val="5"/>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务</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称</w:t>
            </w: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90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学 历</w:t>
            </w:r>
          </w:p>
        </w:tc>
        <w:tc>
          <w:tcPr>
            <w:tcW w:w="1878"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335" w:hRule="atLeast"/>
          <w:jc w:val="center"/>
        </w:trPr>
        <w:tc>
          <w:tcPr>
            <w:tcW w:w="9332" w:type="dxa"/>
            <w:gridSpan w:val="9"/>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投标单位简介（请简要说明单位情况，包括成立时间、业务范围、专业构成、规模）：</w:t>
            </w:r>
          </w:p>
          <w:p>
            <w:pPr>
              <w:spacing w:line="360" w:lineRule="auto"/>
              <w:ind w:firstLine="6960" w:firstLineChars="2900"/>
              <w:rPr>
                <w:rFonts w:ascii="仿宋" w:hAnsi="仿宋" w:eastAsia="仿宋" w:cs="仿宋"/>
                <w:color w:val="auto"/>
                <w:sz w:val="24"/>
                <w:highlight w:val="none"/>
              </w:rPr>
            </w:pPr>
            <w:r>
              <w:rPr>
                <w:rFonts w:hint="eastAsia" w:ascii="仿宋" w:hAnsi="仿宋" w:eastAsia="仿宋" w:cs="仿宋"/>
                <w:color w:val="auto"/>
                <w:sz w:val="24"/>
                <w:highlight w:val="none"/>
              </w:rPr>
              <w:t>（单位盖章）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255" w:hRule="atLeast"/>
          <w:jc w:val="center"/>
        </w:trPr>
        <w:tc>
          <w:tcPr>
            <w:tcW w:w="9332" w:type="dxa"/>
            <w:gridSpan w:val="9"/>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投标单位完成本项目所独有的有利条件及相关的专业特长：</w:t>
            </w:r>
          </w:p>
        </w:tc>
      </w:tr>
    </w:tbl>
    <w:p>
      <w:pPr>
        <w:rPr>
          <w:rFonts w:ascii="仿宋" w:hAnsi="仿宋" w:eastAsia="仿宋" w:cs="仿宋"/>
          <w:color w:val="auto"/>
          <w:highlight w:val="none"/>
        </w:rPr>
      </w:pPr>
      <w:r>
        <w:rPr>
          <w:rFonts w:hint="eastAsia" w:ascii="仿宋" w:hAnsi="仿宋" w:eastAsia="仿宋" w:cs="仿宋"/>
          <w:color w:val="auto"/>
          <w:szCs w:val="21"/>
          <w:highlight w:val="none"/>
        </w:rPr>
        <w:t>注：企业资质、营业执照需要附上复印件。</w:t>
      </w:r>
    </w:p>
    <w:p>
      <w:pPr>
        <w:rPr>
          <w:rFonts w:ascii="仿宋" w:hAnsi="仿宋" w:eastAsia="仿宋" w:cs="仿宋"/>
          <w:color w:val="auto"/>
          <w:highlight w:val="none"/>
        </w:rPr>
      </w:pPr>
      <w:r>
        <w:rPr>
          <w:rFonts w:hint="eastAsia" w:ascii="仿宋" w:hAnsi="仿宋" w:eastAsia="仿宋" w:cs="仿宋"/>
          <w:color w:val="auto"/>
          <w:szCs w:val="21"/>
          <w:highlight w:val="none"/>
        </w:rPr>
        <w:t xml:space="preserve">  </w:t>
      </w:r>
    </w:p>
    <w:p>
      <w:pPr>
        <w:outlineLvl w:val="1"/>
        <w:rPr>
          <w:rFonts w:ascii="宋体" w:hAnsi="宋体" w:eastAsia="宋体" w:cs="黑体"/>
          <w:b/>
          <w:color w:val="auto"/>
          <w:spacing w:val="4"/>
          <w:kern w:val="0"/>
          <w:sz w:val="28"/>
          <w:szCs w:val="28"/>
          <w:highlight w:val="none"/>
        </w:rPr>
      </w:pPr>
      <w:bookmarkStart w:id="31" w:name="_Toc415728298"/>
      <w:bookmarkEnd w:id="31"/>
      <w:bookmarkStart w:id="32" w:name="_Toc196130014"/>
      <w:bookmarkEnd w:id="32"/>
      <w:bookmarkStart w:id="33" w:name="_Toc196036942"/>
      <w:bookmarkEnd w:id="33"/>
      <w:bookmarkStart w:id="34" w:name="_Toc459403395"/>
      <w:bookmarkEnd w:id="34"/>
      <w:bookmarkStart w:id="35" w:name="_Toc415833504"/>
      <w:bookmarkEnd w:id="35"/>
      <w:bookmarkStart w:id="36" w:name="_Toc196130111"/>
      <w:bookmarkEnd w:id="36"/>
      <w:bookmarkStart w:id="37" w:name="_Toc196037098"/>
      <w:bookmarkEnd w:id="37"/>
      <w:bookmarkStart w:id="38" w:name="_Toc199647676"/>
      <w:bookmarkEnd w:id="38"/>
      <w:bookmarkStart w:id="39" w:name="_Toc326909214"/>
      <w:bookmarkEnd w:id="39"/>
      <w:bookmarkStart w:id="40" w:name="_Toc197235849"/>
      <w:bookmarkEnd w:id="40"/>
      <w:bookmarkStart w:id="41" w:name="_Toc462911099"/>
    </w:p>
    <w:bookmarkEnd w:id="41"/>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ascii="仿宋" w:hAnsi="仿宋" w:eastAsia="宋体" w:cs="宋体"/>
          <w:color w:val="auto"/>
          <w:sz w:val="28"/>
          <w:szCs w:val="28"/>
          <w:highlight w:val="none"/>
        </w:rPr>
      </w:pP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val="en-US" w:eastAsia="zh-CN"/>
        </w:rPr>
        <w:t>六</w:t>
      </w:r>
      <w:r>
        <w:rPr>
          <w:rFonts w:hint="eastAsia" w:ascii="仿宋" w:hAnsi="仿宋" w:eastAsia="仿宋" w:cs="宋体"/>
          <w:color w:val="auto"/>
          <w:sz w:val="28"/>
          <w:szCs w:val="28"/>
          <w:highlight w:val="none"/>
        </w:rPr>
        <w:t>：</w:t>
      </w:r>
    </w:p>
    <w:p>
      <w:pPr>
        <w:keepNext/>
        <w:keepLines/>
        <w:widowControl w:val="0"/>
        <w:adjustRightInd w:val="0"/>
        <w:spacing w:before="62" w:beforeLines="20" w:after="62" w:afterLines="20" w:line="360" w:lineRule="auto"/>
        <w:jc w:val="both"/>
        <w:textAlignment w:val="baseline"/>
        <w:outlineLvl w:val="1"/>
        <w:rPr>
          <w:rFonts w:ascii="宋体" w:hAnsi="宋体" w:eastAsia="宋体" w:cs="Times New Roman"/>
          <w:b/>
          <w:kern w:val="0"/>
          <w:sz w:val="30"/>
          <w:szCs w:val="20"/>
          <w:highlight w:val="none"/>
          <w:lang w:val="en-US" w:eastAsia="zh-CN" w:bidi="ar-SA"/>
        </w:rPr>
      </w:pPr>
    </w:p>
    <w:p>
      <w:pPr>
        <w:keepNext/>
        <w:keepLines/>
        <w:widowControl w:val="0"/>
        <w:adjustRightInd w:val="0"/>
        <w:spacing w:before="40" w:beforeLines="0" w:after="40" w:afterLines="0" w:line="360" w:lineRule="auto"/>
        <w:ind w:firstLine="3871" w:firstLineChars="1377"/>
        <w:jc w:val="both"/>
        <w:textAlignment w:val="baseline"/>
        <w:outlineLvl w:val="2"/>
        <w:rPr>
          <w:rFonts w:hint="eastAsia" w:ascii="宋体" w:hAnsi="宋体" w:eastAsia="宋体" w:cs="Times New Roman"/>
          <w:b/>
          <w:bCs/>
          <w:kern w:val="2"/>
          <w:sz w:val="28"/>
          <w:szCs w:val="28"/>
          <w:highlight w:val="none"/>
          <w:lang w:val="en-US" w:eastAsia="zh-CN" w:bidi="ar-SA"/>
        </w:rPr>
      </w:pPr>
      <w:bookmarkStart w:id="42" w:name="_Toc197235850"/>
      <w:bookmarkEnd w:id="42"/>
      <w:bookmarkStart w:id="43" w:name="_Toc196130112"/>
      <w:bookmarkEnd w:id="43"/>
      <w:bookmarkStart w:id="44" w:name="_Toc196130015"/>
      <w:bookmarkEnd w:id="44"/>
      <w:bookmarkStart w:id="45" w:name="_Toc199647677"/>
      <w:bookmarkEnd w:id="45"/>
      <w:bookmarkStart w:id="46" w:name="_Toc196037099"/>
      <w:bookmarkEnd w:id="46"/>
      <w:bookmarkStart w:id="47" w:name="_Toc41822705"/>
      <w:bookmarkEnd w:id="47"/>
      <w:bookmarkStart w:id="48" w:name="_Toc196036943"/>
      <w:bookmarkEnd w:id="48"/>
      <w:r>
        <w:rPr>
          <w:rFonts w:hint="eastAsia" w:ascii="宋体" w:hAnsi="宋体" w:eastAsia="宋体" w:cs="Times New Roman"/>
          <w:b/>
          <w:bCs/>
          <w:kern w:val="2"/>
          <w:sz w:val="28"/>
          <w:szCs w:val="28"/>
          <w:highlight w:val="none"/>
          <w:lang w:val="en-US" w:eastAsia="zh-CN" w:bidi="ar-SA"/>
        </w:rPr>
        <w:t>投标人业绩一览表</w:t>
      </w:r>
    </w:p>
    <w:p>
      <w:pPr>
        <w:keepNext/>
        <w:keepLines/>
        <w:widowControl w:val="0"/>
        <w:adjustRightInd w:val="0"/>
        <w:spacing w:before="40" w:beforeLines="0" w:after="40" w:afterLines="0" w:line="360" w:lineRule="auto"/>
        <w:ind w:right="-260" w:rightChars="-124" w:firstLine="0" w:firstLineChars="0"/>
        <w:jc w:val="both"/>
        <w:textAlignment w:val="baseline"/>
        <w:outlineLvl w:val="2"/>
        <w:rPr>
          <w:rFonts w:hint="eastAsia" w:ascii="宋体" w:hAnsi="宋体" w:eastAsia="宋体" w:cs="Times New Roman"/>
          <w:b/>
          <w:bCs/>
          <w:kern w:val="2"/>
          <w:sz w:val="24"/>
          <w:highlight w:val="none"/>
          <w:u w:val="none"/>
          <w:lang w:val="en-US" w:eastAsia="zh-CN" w:bidi="ar-SA"/>
        </w:rPr>
      </w:pPr>
      <w:r>
        <w:rPr>
          <w:rFonts w:hint="eastAsia" w:ascii="宋体" w:hAnsi="宋体" w:eastAsia="宋体" w:cs="Times New Roman"/>
          <w:b/>
          <w:bCs/>
          <w:kern w:val="2"/>
          <w:sz w:val="24"/>
          <w:highlight w:val="none"/>
          <w:u w:val="none"/>
          <w:lang w:val="en-US" w:eastAsia="zh-CN" w:bidi="ar-SA"/>
        </w:rPr>
        <w:t xml:space="preserve">项目名称：                  </w:t>
      </w:r>
    </w:p>
    <w:tbl>
      <w:tblPr>
        <w:tblStyle w:val="17"/>
        <w:tblW w:w="94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1"/>
        <w:gridCol w:w="1707"/>
        <w:gridCol w:w="1707"/>
        <w:gridCol w:w="1707"/>
        <w:gridCol w:w="1707"/>
        <w:gridCol w:w="1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911" w:type="dxa"/>
            <w:noWrap w:val="0"/>
            <w:vAlign w:val="center"/>
          </w:tcPr>
          <w:p>
            <w:pPr>
              <w:ind w:firstLine="0" w:firstLineChars="0"/>
              <w:jc w:val="left"/>
              <w:rPr>
                <w:rFonts w:hint="eastAsia" w:ascii="宋体" w:hAnsi="宋体" w:eastAsia="宋体" w:cs="Times New Roman"/>
                <w:bCs/>
                <w:kern w:val="2"/>
                <w:sz w:val="24"/>
                <w:szCs w:val="20"/>
                <w:highlight w:val="none"/>
              </w:rPr>
            </w:pPr>
            <w:r>
              <w:rPr>
                <w:rFonts w:hint="eastAsia" w:ascii="宋体" w:hAnsi="宋体" w:eastAsia="宋体" w:cs="Times New Roman"/>
                <w:kern w:val="0"/>
                <w:sz w:val="24"/>
                <w:szCs w:val="20"/>
                <w:highlight w:val="none"/>
              </w:rPr>
              <w:t>序号</w:t>
            </w:r>
          </w:p>
        </w:tc>
        <w:tc>
          <w:tcPr>
            <w:tcW w:w="1707" w:type="dxa"/>
            <w:noWrap w:val="0"/>
            <w:vAlign w:val="center"/>
          </w:tcPr>
          <w:p>
            <w:pPr>
              <w:ind w:firstLine="240" w:firstLineChars="100"/>
              <w:jc w:val="left"/>
              <w:rPr>
                <w:rFonts w:hint="eastAsia" w:ascii="宋体" w:hAnsi="宋体" w:eastAsia="宋体" w:cs="Times New Roman"/>
                <w:bCs/>
                <w:kern w:val="2"/>
                <w:sz w:val="24"/>
                <w:szCs w:val="20"/>
                <w:highlight w:val="none"/>
              </w:rPr>
            </w:pPr>
            <w:r>
              <w:rPr>
                <w:rFonts w:hint="eastAsia" w:ascii="宋体" w:hAnsi="宋体" w:eastAsia="宋体" w:cs="Times New Roman"/>
                <w:kern w:val="0"/>
                <w:sz w:val="24"/>
                <w:szCs w:val="20"/>
                <w:highlight w:val="none"/>
              </w:rPr>
              <w:t>项目名称</w:t>
            </w:r>
          </w:p>
        </w:tc>
        <w:tc>
          <w:tcPr>
            <w:tcW w:w="1707" w:type="dxa"/>
            <w:noWrap w:val="0"/>
            <w:vAlign w:val="center"/>
          </w:tcPr>
          <w:p>
            <w:pPr>
              <w:ind w:firstLine="480" w:firstLineChars="200"/>
              <w:jc w:val="left"/>
              <w:rPr>
                <w:rFonts w:hint="eastAsia" w:ascii="宋体" w:hAnsi="宋体" w:eastAsia="宋体" w:cs="Times New Roman"/>
                <w:bCs/>
                <w:kern w:val="2"/>
                <w:sz w:val="24"/>
                <w:szCs w:val="20"/>
                <w:highlight w:val="none"/>
              </w:rPr>
            </w:pPr>
            <w:r>
              <w:rPr>
                <w:rFonts w:hint="eastAsia" w:ascii="宋体" w:hAnsi="宋体" w:eastAsia="宋体" w:cs="Times New Roman"/>
                <w:kern w:val="0"/>
                <w:sz w:val="24"/>
                <w:szCs w:val="20"/>
                <w:highlight w:val="none"/>
              </w:rPr>
              <w:t>规模</w:t>
            </w:r>
          </w:p>
        </w:tc>
        <w:tc>
          <w:tcPr>
            <w:tcW w:w="1707" w:type="dxa"/>
            <w:noWrap w:val="0"/>
            <w:vAlign w:val="center"/>
          </w:tcPr>
          <w:p>
            <w:pPr>
              <w:ind w:firstLine="240" w:firstLineChars="100"/>
              <w:jc w:val="left"/>
              <w:rPr>
                <w:rFonts w:hint="eastAsia" w:ascii="宋体" w:hAnsi="宋体" w:eastAsia="宋体" w:cs="Times New Roman"/>
                <w:bCs/>
                <w:kern w:val="2"/>
                <w:sz w:val="24"/>
                <w:szCs w:val="20"/>
                <w:highlight w:val="none"/>
              </w:rPr>
            </w:pPr>
            <w:r>
              <w:rPr>
                <w:rFonts w:hint="eastAsia" w:ascii="宋体" w:hAnsi="宋体" w:eastAsia="宋体" w:cs="Times New Roman"/>
                <w:kern w:val="0"/>
                <w:sz w:val="24"/>
                <w:szCs w:val="20"/>
                <w:highlight w:val="none"/>
              </w:rPr>
              <w:t>合同总价</w:t>
            </w:r>
          </w:p>
        </w:tc>
        <w:tc>
          <w:tcPr>
            <w:tcW w:w="1707" w:type="dxa"/>
            <w:noWrap w:val="0"/>
            <w:vAlign w:val="center"/>
          </w:tcPr>
          <w:p>
            <w:pPr>
              <w:ind w:firstLine="240" w:firstLineChars="100"/>
              <w:jc w:val="left"/>
              <w:rPr>
                <w:rFonts w:hint="eastAsia" w:ascii="宋体" w:hAnsi="宋体" w:eastAsia="宋体" w:cs="Times New Roman"/>
                <w:bCs/>
                <w:kern w:val="2"/>
                <w:sz w:val="24"/>
                <w:szCs w:val="20"/>
                <w:highlight w:val="none"/>
              </w:rPr>
            </w:pPr>
            <w:r>
              <w:rPr>
                <w:rFonts w:hint="eastAsia" w:ascii="宋体" w:hAnsi="宋体" w:eastAsia="宋体" w:cs="Times New Roman"/>
                <w:kern w:val="0"/>
                <w:sz w:val="24"/>
                <w:szCs w:val="20"/>
                <w:highlight w:val="none"/>
                <w:lang w:val="en-US" w:eastAsia="zh-CN"/>
              </w:rPr>
              <w:t>开始</w:t>
            </w:r>
            <w:r>
              <w:rPr>
                <w:rFonts w:hint="eastAsia" w:ascii="宋体" w:hAnsi="宋体" w:eastAsia="宋体" w:cs="Times New Roman"/>
                <w:kern w:val="0"/>
                <w:sz w:val="24"/>
                <w:szCs w:val="20"/>
                <w:highlight w:val="none"/>
              </w:rPr>
              <w:t>时间</w:t>
            </w:r>
          </w:p>
        </w:tc>
        <w:tc>
          <w:tcPr>
            <w:tcW w:w="1708" w:type="dxa"/>
            <w:noWrap w:val="0"/>
            <w:vAlign w:val="center"/>
          </w:tcPr>
          <w:p>
            <w:pPr>
              <w:jc w:val="left"/>
              <w:rPr>
                <w:rFonts w:ascii="宋体" w:hAnsi="宋体" w:eastAsia="宋体" w:cs="Times New Roman"/>
                <w:kern w:val="0"/>
                <w:sz w:val="24"/>
                <w:szCs w:val="20"/>
                <w:highlight w:val="none"/>
              </w:rPr>
            </w:pPr>
            <w:r>
              <w:rPr>
                <w:rFonts w:hint="eastAsia" w:ascii="宋体" w:hAnsi="宋体" w:eastAsia="宋体" w:cs="Times New Roman"/>
                <w:kern w:val="0"/>
                <w:sz w:val="24"/>
                <w:szCs w:val="20"/>
                <w:highlight w:val="none"/>
              </w:rPr>
              <w:t>业主单位、</w:t>
            </w:r>
          </w:p>
          <w:p>
            <w:pPr>
              <w:jc w:val="left"/>
              <w:rPr>
                <w:rFonts w:hint="eastAsia" w:ascii="宋体" w:hAnsi="宋体" w:eastAsia="宋体" w:cs="Times New Roman"/>
                <w:bCs/>
                <w:kern w:val="2"/>
                <w:sz w:val="24"/>
                <w:szCs w:val="20"/>
                <w:highlight w:val="none"/>
              </w:rPr>
            </w:pPr>
            <w:r>
              <w:rPr>
                <w:rFonts w:hint="eastAsia" w:ascii="宋体" w:hAnsi="宋体" w:eastAsia="宋体" w:cs="Times New Roman"/>
                <w:kern w:val="0"/>
                <w:sz w:val="24"/>
                <w:szCs w:val="20"/>
                <w:highlight w:val="none"/>
              </w:rPr>
              <w:t>联系人及电话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8" w:type="dxa"/>
            <w:noWrap w:val="0"/>
            <w:vAlign w:val="center"/>
          </w:tcPr>
          <w:p>
            <w:pPr>
              <w:spacing w:line="360" w:lineRule="auto"/>
              <w:rPr>
                <w:rFonts w:ascii="宋体" w:hAnsi="宋体" w:eastAsia="宋体" w:cs="Times New Roman"/>
                <w:kern w:val="2"/>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8" w:type="dxa"/>
            <w:noWrap w:val="0"/>
            <w:vAlign w:val="center"/>
          </w:tcPr>
          <w:p>
            <w:pPr>
              <w:spacing w:line="360" w:lineRule="auto"/>
              <w:rPr>
                <w:rFonts w:ascii="宋体" w:hAnsi="宋体" w:eastAsia="宋体" w:cs="Times New Roman"/>
                <w:kern w:val="2"/>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8" w:type="dxa"/>
            <w:noWrap w:val="0"/>
            <w:vAlign w:val="center"/>
          </w:tcPr>
          <w:p>
            <w:pPr>
              <w:spacing w:line="360" w:lineRule="auto"/>
              <w:rPr>
                <w:rFonts w:ascii="宋体" w:hAnsi="宋体" w:eastAsia="宋体" w:cs="Times New Roman"/>
                <w:kern w:val="2"/>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8" w:type="dxa"/>
            <w:noWrap w:val="0"/>
            <w:vAlign w:val="center"/>
          </w:tcPr>
          <w:p>
            <w:pPr>
              <w:spacing w:line="360" w:lineRule="auto"/>
              <w:rPr>
                <w:rFonts w:ascii="宋体" w:hAnsi="宋体" w:eastAsia="宋体" w:cs="Times New Roman"/>
                <w:kern w:val="2"/>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8" w:type="dxa"/>
            <w:noWrap w:val="0"/>
            <w:vAlign w:val="center"/>
          </w:tcPr>
          <w:p>
            <w:pPr>
              <w:spacing w:line="360" w:lineRule="auto"/>
              <w:rPr>
                <w:rFonts w:ascii="宋体" w:hAnsi="宋体" w:eastAsia="宋体" w:cs="Times New Roman"/>
                <w:kern w:val="2"/>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8" w:type="dxa"/>
            <w:noWrap w:val="0"/>
            <w:vAlign w:val="center"/>
          </w:tcPr>
          <w:p>
            <w:pPr>
              <w:spacing w:line="360" w:lineRule="auto"/>
              <w:rPr>
                <w:rFonts w:ascii="宋体" w:hAnsi="宋体" w:eastAsia="宋体" w:cs="Times New Roman"/>
                <w:kern w:val="2"/>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8" w:type="dxa"/>
            <w:noWrap w:val="0"/>
            <w:vAlign w:val="center"/>
          </w:tcPr>
          <w:p>
            <w:pPr>
              <w:spacing w:line="360" w:lineRule="auto"/>
              <w:rPr>
                <w:rFonts w:ascii="宋体" w:hAnsi="宋体" w:eastAsia="宋体" w:cs="Times New Roman"/>
                <w:kern w:val="2"/>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widowControl w:val="0"/>
              <w:spacing w:line="360" w:lineRule="auto"/>
              <w:jc w:val="both"/>
              <w:rPr>
                <w:rFonts w:ascii="宋体" w:hAnsi="宋体" w:eastAsia="宋体" w:cs="Times New Roman"/>
                <w:color w:val="auto"/>
                <w:kern w:val="2"/>
                <w:sz w:val="24"/>
                <w:szCs w:val="20"/>
                <w:highlight w:val="none"/>
                <w:lang w:val="en-US" w:eastAsia="zh-CN" w:bidi="ar-SA"/>
              </w:rPr>
            </w:pPr>
          </w:p>
        </w:tc>
        <w:tc>
          <w:tcPr>
            <w:tcW w:w="1708" w:type="dxa"/>
            <w:noWrap w:val="0"/>
            <w:vAlign w:val="center"/>
          </w:tcPr>
          <w:p>
            <w:pPr>
              <w:spacing w:line="360" w:lineRule="auto"/>
              <w:rPr>
                <w:rFonts w:ascii="宋体" w:hAnsi="宋体" w:eastAsia="宋体" w:cs="Times New Roman"/>
                <w:kern w:val="2"/>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8" w:type="dxa"/>
            <w:noWrap w:val="0"/>
            <w:vAlign w:val="center"/>
          </w:tcPr>
          <w:p>
            <w:pPr>
              <w:spacing w:line="360" w:lineRule="auto"/>
              <w:rPr>
                <w:rFonts w:ascii="宋体" w:hAnsi="宋体" w:eastAsia="宋体" w:cs="Times New Roman"/>
                <w:kern w:val="2"/>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8" w:type="dxa"/>
            <w:noWrap w:val="0"/>
            <w:vAlign w:val="center"/>
          </w:tcPr>
          <w:p>
            <w:pPr>
              <w:spacing w:line="360" w:lineRule="auto"/>
              <w:rPr>
                <w:rFonts w:ascii="宋体" w:hAnsi="宋体" w:eastAsia="宋体" w:cs="Times New Roman"/>
                <w:kern w:val="2"/>
                <w:sz w:val="24"/>
                <w:szCs w:val="20"/>
                <w:highlight w:val="none"/>
              </w:rPr>
            </w:pPr>
          </w:p>
        </w:tc>
      </w:tr>
    </w:tbl>
    <w:p>
      <w:pPr>
        <w:spacing w:line="360" w:lineRule="auto"/>
        <w:rPr>
          <w:rFonts w:ascii="宋体" w:hAnsi="宋体" w:eastAsia="宋体" w:cs="Times New Roman"/>
          <w:kern w:val="2"/>
          <w:sz w:val="24"/>
          <w:szCs w:val="20"/>
          <w:highlight w:val="none"/>
        </w:rPr>
      </w:pPr>
    </w:p>
    <w:p>
      <w:pPr>
        <w:spacing w:line="360" w:lineRule="auto"/>
        <w:rPr>
          <w:rFonts w:ascii="宋体" w:hAnsi="宋体" w:eastAsia="宋体" w:cs="Times New Roman"/>
          <w:kern w:val="2"/>
          <w:sz w:val="24"/>
          <w:szCs w:val="20"/>
          <w:highlight w:val="none"/>
        </w:rPr>
      </w:pPr>
      <w:r>
        <w:rPr>
          <w:rFonts w:hint="eastAsia" w:ascii="宋体" w:hAnsi="宋体" w:eastAsia="宋体" w:cs="Times New Roman"/>
          <w:kern w:val="2"/>
          <w:sz w:val="24"/>
          <w:szCs w:val="20"/>
          <w:highlight w:val="none"/>
        </w:rPr>
        <w:t>投标人全称（盖公章）：</w:t>
      </w:r>
    </w:p>
    <w:p>
      <w:pPr>
        <w:spacing w:line="360" w:lineRule="auto"/>
        <w:rPr>
          <w:rFonts w:ascii="宋体" w:hAnsi="宋体" w:eastAsia="宋体" w:cs="Times New Roman"/>
          <w:kern w:val="2"/>
          <w:sz w:val="24"/>
          <w:szCs w:val="20"/>
          <w:highlight w:val="none"/>
        </w:rPr>
      </w:pPr>
      <w:r>
        <w:rPr>
          <w:rFonts w:hint="eastAsia" w:ascii="宋体" w:hAnsi="宋体" w:eastAsia="宋体" w:cs="Times New Roman"/>
          <w:kern w:val="2"/>
          <w:sz w:val="24"/>
          <w:szCs w:val="20"/>
          <w:highlight w:val="none"/>
        </w:rPr>
        <w:t>法定代表人或投标授权代表（签字或签章）：</w:t>
      </w:r>
    </w:p>
    <w:p>
      <w:pPr>
        <w:spacing w:line="360" w:lineRule="auto"/>
        <w:rPr>
          <w:rFonts w:ascii="宋体" w:hAnsi="宋体" w:eastAsia="宋体" w:cs="Times New Roman"/>
          <w:kern w:val="2"/>
          <w:sz w:val="24"/>
          <w:szCs w:val="20"/>
          <w:highlight w:val="none"/>
        </w:rPr>
      </w:pPr>
      <w:r>
        <w:rPr>
          <w:rFonts w:hint="eastAsia" w:ascii="宋体" w:hAnsi="宋体" w:eastAsia="宋体" w:cs="Times New Roman"/>
          <w:kern w:val="2"/>
          <w:sz w:val="24"/>
          <w:szCs w:val="20"/>
          <w:highlight w:val="none"/>
        </w:rPr>
        <w:t>日    期：     年   月   日</w:t>
      </w:r>
    </w:p>
    <w:p>
      <w:pPr>
        <w:keepNext/>
        <w:keepLines/>
        <w:widowControl w:val="0"/>
        <w:adjustRightInd w:val="0"/>
        <w:spacing w:before="40" w:after="40" w:line="360" w:lineRule="auto"/>
        <w:ind w:left="0"/>
        <w:jc w:val="both"/>
        <w:textAlignment w:val="baseline"/>
        <w:outlineLvl w:val="2"/>
        <w:rPr>
          <w:rFonts w:hint="eastAsia" w:ascii="宋体" w:hAnsi="宋体" w:eastAsia="宋体" w:cs="Times New Roman"/>
          <w:b/>
          <w:kern w:val="2"/>
          <w:sz w:val="21"/>
          <w:szCs w:val="20"/>
          <w:highlight w:val="none"/>
          <w:lang w:val="en-US" w:eastAsia="zh-CN" w:bidi="ar-SA"/>
        </w:rPr>
      </w:pPr>
    </w:p>
    <w:p>
      <w:pPr>
        <w:keepNext/>
        <w:keepLines/>
        <w:widowControl w:val="0"/>
        <w:adjustRightInd w:val="0"/>
        <w:spacing w:before="40" w:after="40" w:line="360" w:lineRule="auto"/>
        <w:ind w:left="0"/>
        <w:jc w:val="both"/>
        <w:textAlignment w:val="baseline"/>
        <w:outlineLvl w:val="2"/>
        <w:rPr>
          <w:rFonts w:ascii="宋体" w:hAnsi="宋体" w:eastAsia="宋体" w:cs="Times New Roman"/>
          <w:b/>
          <w:kern w:val="2"/>
          <w:sz w:val="21"/>
          <w:szCs w:val="20"/>
          <w:highlight w:val="none"/>
          <w:lang w:val="en-US" w:eastAsia="zh-CN" w:bidi="ar-SA"/>
        </w:rPr>
      </w:pPr>
      <w:r>
        <w:rPr>
          <w:rFonts w:hint="eastAsia" w:ascii="宋体" w:hAnsi="宋体" w:eastAsia="宋体" w:cs="Times New Roman"/>
          <w:b/>
          <w:kern w:val="2"/>
          <w:sz w:val="21"/>
          <w:szCs w:val="20"/>
          <w:highlight w:val="none"/>
          <w:lang w:val="en-US" w:eastAsia="zh-CN" w:bidi="ar-SA"/>
        </w:rPr>
        <w:t>注：1、本格式仅供参考，投标人可根据实际情况自定。</w:t>
      </w:r>
    </w:p>
    <w:p>
      <w:pPr>
        <w:bidi w:val="0"/>
        <w:spacing w:line="360" w:lineRule="auto"/>
        <w:ind w:firstLine="422" w:firstLineChars="200"/>
        <w:rPr>
          <w:rFonts w:hint="default" w:ascii="Calibri" w:hAnsi="Calibri" w:eastAsia="宋体" w:cs="Times New Roman"/>
          <w:b/>
          <w:bCs/>
          <w:kern w:val="2"/>
          <w:sz w:val="21"/>
          <w:szCs w:val="20"/>
          <w:highlight w:val="none"/>
          <w:lang w:val="en-US" w:eastAsia="zh-CN"/>
        </w:rPr>
      </w:pPr>
      <w:r>
        <w:rPr>
          <w:rFonts w:hint="eastAsia" w:ascii="Calibri" w:hAnsi="Calibri" w:eastAsia="宋体" w:cs="Times New Roman"/>
          <w:b/>
          <w:bCs/>
          <w:kern w:val="2"/>
          <w:sz w:val="21"/>
          <w:szCs w:val="20"/>
          <w:highlight w:val="none"/>
        </w:rPr>
        <w:t>2、</w:t>
      </w:r>
      <w:r>
        <w:rPr>
          <w:rFonts w:hint="eastAsia" w:ascii="宋体" w:hAnsi="宋体" w:eastAsia="宋体" w:cs="Times New Roman"/>
          <w:b/>
          <w:color w:val="auto"/>
          <w:kern w:val="2"/>
          <w:sz w:val="21"/>
          <w:szCs w:val="20"/>
          <w:highlight w:val="none"/>
        </w:rPr>
        <w:t>投标人提供的同类项目业绩证明资料附于该表后面</w:t>
      </w:r>
      <w:r>
        <w:rPr>
          <w:rFonts w:hint="eastAsia" w:ascii="宋体" w:hAnsi="宋体" w:eastAsia="宋体" w:cs="Times New Roman"/>
          <w:b/>
          <w:color w:val="auto"/>
          <w:kern w:val="2"/>
          <w:sz w:val="21"/>
          <w:szCs w:val="20"/>
          <w:highlight w:val="none"/>
          <w:lang w:eastAsia="zh-CN"/>
        </w:rPr>
        <w:t>，</w:t>
      </w:r>
      <w:r>
        <w:rPr>
          <w:rFonts w:hint="eastAsia" w:ascii="Calibri" w:hAnsi="Calibri" w:eastAsia="宋体" w:cs="Times New Roman"/>
          <w:b/>
          <w:bCs/>
          <w:kern w:val="2"/>
          <w:sz w:val="21"/>
          <w:szCs w:val="20"/>
          <w:highlight w:val="none"/>
        </w:rPr>
        <w:t>证明材料所需资料评见商务评分要求。</w:t>
      </w:r>
    </w:p>
    <w:p>
      <w:pPr>
        <w:outlineLvl w:val="1"/>
        <w:rPr>
          <w:rFonts w:ascii="仿宋" w:hAnsi="仿宋" w:eastAsia="宋体" w:cs="宋体"/>
          <w:color w:val="auto"/>
          <w:sz w:val="28"/>
          <w:szCs w:val="28"/>
          <w:highlight w:val="none"/>
        </w:rPr>
      </w:pPr>
      <w:r>
        <w:rPr>
          <w:rFonts w:ascii="宋体" w:hAnsi="宋体" w:eastAsia="宋体" w:cs="黑体"/>
          <w:b/>
          <w:color w:val="auto"/>
          <w:spacing w:val="4"/>
          <w:kern w:val="0"/>
          <w:sz w:val="28"/>
          <w:szCs w:val="28"/>
          <w:highlight w:val="none"/>
        </w:rPr>
        <w:br w:type="page"/>
      </w:r>
      <w:r>
        <w:rPr>
          <w:rFonts w:hint="eastAsia" w:ascii="仿宋" w:hAnsi="仿宋" w:eastAsia="仿宋" w:cs="仿宋"/>
          <w:color w:val="auto"/>
          <w:szCs w:val="21"/>
          <w:highlight w:val="none"/>
        </w:rPr>
        <w:t xml:space="preserve"> </w:t>
      </w: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val="en-US" w:eastAsia="zh-CN"/>
        </w:rPr>
        <w:t>七</w:t>
      </w:r>
      <w:r>
        <w:rPr>
          <w:rFonts w:hint="eastAsia" w:ascii="仿宋" w:hAnsi="仿宋" w:eastAsia="仿宋" w:cs="宋体"/>
          <w:color w:val="auto"/>
          <w:sz w:val="28"/>
          <w:szCs w:val="28"/>
          <w:highlight w:val="none"/>
        </w:rPr>
        <w:t>：</w:t>
      </w:r>
    </w:p>
    <w:p>
      <w:pPr>
        <w:pStyle w:val="6"/>
        <w:rPr>
          <w:rFonts w:hint="eastAsia" w:ascii="仿宋" w:hAnsi="仿宋" w:eastAsia="仿宋" w:cs="仿宋"/>
          <w:color w:val="auto"/>
          <w:szCs w:val="21"/>
          <w:highlight w:val="none"/>
        </w:rPr>
      </w:pPr>
    </w:p>
    <w:p>
      <w:pPr>
        <w:adjustRightInd w:val="0"/>
        <w:snapToGrid w:val="0"/>
        <w:spacing w:beforeLines="30" w:line="360" w:lineRule="auto"/>
        <w:ind w:firstLine="542" w:firstLineChars="150"/>
        <w:jc w:val="center"/>
        <w:outlineLvl w:val="2"/>
        <w:rPr>
          <w:rFonts w:ascii="仿宋" w:hAnsi="仿宋" w:eastAsia="仿宋" w:cs="仿宋"/>
          <w:color w:val="auto"/>
          <w:sz w:val="24"/>
          <w:highlight w:val="none"/>
        </w:rPr>
      </w:pPr>
      <w:r>
        <w:rPr>
          <w:rFonts w:hint="eastAsia" w:ascii="仿宋" w:hAnsi="仿宋" w:eastAsia="仿宋" w:cs="宋体"/>
          <w:b/>
          <w:color w:val="auto"/>
          <w:sz w:val="36"/>
          <w:szCs w:val="36"/>
          <w:highlight w:val="none"/>
        </w:rPr>
        <w:t>参与本项目的人员一览表</w:t>
      </w:r>
    </w:p>
    <w:p>
      <w:pPr>
        <w:adjustRightInd w:val="0"/>
        <w:snapToGrid w:val="0"/>
        <w:spacing w:beforeLines="3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7"/>
        <w:tblW w:w="8768" w:type="dxa"/>
        <w:jc w:val="center"/>
        <w:tblLayout w:type="fixed"/>
        <w:tblCellMar>
          <w:top w:w="0" w:type="dxa"/>
          <w:left w:w="108" w:type="dxa"/>
          <w:bottom w:w="0" w:type="dxa"/>
          <w:right w:w="108" w:type="dxa"/>
        </w:tblCellMar>
      </w:tblPr>
      <w:tblGrid>
        <w:gridCol w:w="752"/>
        <w:gridCol w:w="715"/>
        <w:gridCol w:w="887"/>
        <w:gridCol w:w="887"/>
        <w:gridCol w:w="1066"/>
        <w:gridCol w:w="886"/>
        <w:gridCol w:w="884"/>
        <w:gridCol w:w="1250"/>
        <w:gridCol w:w="1441"/>
      </w:tblGrid>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最高学历</w:t>
            </w: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相关注</w:t>
            </w:r>
          </w:p>
          <w:p>
            <w:pPr>
              <w:snapToGrid w:val="0"/>
              <w:spacing w:line="360" w:lineRule="auto"/>
              <w:jc w:val="center"/>
              <w:rPr>
                <w:rFonts w:ascii="仿宋" w:hAnsi="仿宋" w:eastAsia="仿宋" w:cs="仿宋"/>
                <w:color w:val="auto"/>
                <w:sz w:val="24"/>
                <w:highlight w:val="none"/>
              </w:rPr>
            </w:pPr>
            <w:r>
              <w:rPr>
                <w:rFonts w:hint="eastAsia" w:ascii="仿宋" w:hAnsi="仿宋" w:eastAsia="仿宋" w:cs="宋体"/>
                <w:color w:val="auto"/>
                <w:spacing w:val="20"/>
                <w:kern w:val="0"/>
                <w:sz w:val="24"/>
                <w:highlight w:val="none"/>
              </w:rPr>
              <w:t>册资格</w:t>
            </w: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拟承担工作</w:t>
            </w:r>
          </w:p>
        </w:tc>
      </w:tr>
      <w:tr>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bl>
    <w:p>
      <w:pPr>
        <w:spacing w:line="360" w:lineRule="auto"/>
        <w:rPr>
          <w:rFonts w:ascii="仿宋" w:hAnsi="仿宋" w:eastAsia="仿宋" w:cs="仿宋"/>
          <w:color w:val="auto"/>
          <w:highlight w:val="none"/>
        </w:rPr>
      </w:pPr>
      <w:r>
        <w:rPr>
          <w:rFonts w:hint="eastAsia" w:ascii="仿宋" w:hAnsi="仿宋" w:eastAsia="仿宋" w:cs="仿宋"/>
          <w:color w:val="auto"/>
          <w:szCs w:val="21"/>
          <w:highlight w:val="none"/>
        </w:rPr>
        <w:t>注：1、“拟承担工作”栏，应注明主要人员（须注明项目负责人</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技术负责人</w:t>
      </w:r>
      <w:r>
        <w:rPr>
          <w:rFonts w:hint="eastAsia" w:ascii="仿宋" w:hAnsi="仿宋" w:eastAsia="仿宋" w:cs="仿宋"/>
          <w:color w:val="auto"/>
          <w:szCs w:val="21"/>
          <w:highlight w:val="none"/>
        </w:rPr>
        <w:t>）等。</w:t>
      </w:r>
    </w:p>
    <w:p>
      <w:pPr>
        <w:adjustRightInd w:val="0"/>
        <w:snapToGrid w:val="0"/>
        <w:spacing w:beforeLines="30" w:line="360" w:lineRule="auto"/>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、人员应附上个人注册执业资格证、职称证等文件（复印件，加盖单位公章）。</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rPr>
          <w:rFonts w:ascii="仿宋" w:hAnsi="仿宋" w:eastAsia="仿宋" w:cs="仿宋"/>
          <w:color w:val="auto"/>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hint="eastAsia" w:ascii="宋体" w:hAnsi="宋体" w:eastAsia="宋体" w:cs="黑体"/>
          <w:b/>
          <w:color w:val="auto"/>
          <w:spacing w:val="4"/>
          <w:kern w:val="0"/>
          <w:sz w:val="28"/>
          <w:szCs w:val="28"/>
          <w:highlight w:val="none"/>
        </w:rPr>
        <w:sectPr>
          <w:headerReference r:id="rId3" w:type="default"/>
          <w:footerReference r:id="rId4" w:type="default"/>
          <w:pgSz w:w="11906" w:h="16840"/>
          <w:pgMar w:top="1247" w:right="1135" w:bottom="1247" w:left="1361" w:header="720" w:footer="720" w:gutter="0"/>
          <w:pgNumType w:fmt="decimal" w:start="1"/>
          <w:cols w:space="425" w:num="1"/>
          <w:docGrid w:linePitch="285" w:charSpace="0"/>
        </w:sectPr>
      </w:pPr>
    </w:p>
    <w:p>
      <w:pPr>
        <w:outlineLvl w:val="1"/>
        <w:rPr>
          <w:rFonts w:ascii="仿宋" w:hAnsi="仿宋" w:eastAsia="宋体" w:cs="仿宋"/>
          <w:color w:val="auto"/>
          <w:szCs w:val="21"/>
          <w:highlight w:val="none"/>
        </w:rPr>
      </w:pP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val="en-US" w:eastAsia="zh-CN"/>
        </w:rPr>
        <w:t>八</w:t>
      </w:r>
      <w:r>
        <w:rPr>
          <w:rFonts w:hint="eastAsia" w:ascii="仿宋" w:hAnsi="仿宋" w:eastAsia="仿宋" w:cs="宋体"/>
          <w:color w:val="auto"/>
          <w:sz w:val="28"/>
          <w:szCs w:val="28"/>
          <w:highlight w:val="none"/>
        </w:rPr>
        <w:t>：</w:t>
      </w:r>
    </w:p>
    <w:p>
      <w:pPr>
        <w:spacing w:line="360" w:lineRule="auto"/>
        <w:outlineLvl w:val="1"/>
        <w:rPr>
          <w:rFonts w:ascii="仿宋" w:hAnsi="仿宋" w:eastAsia="仿宋" w:cs="宋体"/>
          <w:color w:val="auto"/>
          <w:sz w:val="28"/>
          <w:szCs w:val="28"/>
          <w:highlight w:val="none"/>
        </w:rPr>
      </w:pPr>
      <w:r>
        <w:rPr>
          <w:color w:val="auto"/>
          <w:spacing w:val="18"/>
          <w:highlight w:val="none"/>
        </w:rPr>
        <w:t xml:space="preserve"> </w:t>
      </w:r>
    </w:p>
    <w:p>
      <w:pPr>
        <w:autoSpaceDE w:val="0"/>
        <w:autoSpaceDN w:val="0"/>
        <w:adjustRightInd w:val="0"/>
        <w:spacing w:line="360" w:lineRule="auto"/>
        <w:jc w:val="center"/>
        <w:rPr>
          <w:rFonts w:ascii="黑体" w:hAnsi="黑体" w:eastAsia="黑体" w:cs="黑体"/>
          <w:b/>
          <w:bCs/>
          <w:color w:val="auto"/>
          <w:sz w:val="32"/>
          <w:szCs w:val="32"/>
          <w:highlight w:val="none"/>
          <w:lang w:val="zh-CN"/>
        </w:rPr>
      </w:pPr>
      <w:r>
        <w:rPr>
          <w:rFonts w:hint="eastAsia" w:ascii="黑体" w:hAnsi="黑体" w:eastAsia="黑体" w:cs="黑体"/>
          <w:b/>
          <w:bCs/>
          <w:color w:val="auto"/>
          <w:sz w:val="32"/>
          <w:szCs w:val="32"/>
          <w:highlight w:val="none"/>
          <w:lang w:val="zh-CN"/>
        </w:rPr>
        <w:t>报价表</w:t>
      </w:r>
    </w:p>
    <w:p>
      <w:pPr>
        <w:wordWrap w:val="0"/>
        <w:autoSpaceDE w:val="0"/>
        <w:autoSpaceDN w:val="0"/>
        <w:adjustRightInd w:val="0"/>
        <w:spacing w:line="360" w:lineRule="auto"/>
        <w:jc w:val="right"/>
        <w:rPr>
          <w:rFonts w:ascii="宋体" w:hAnsi="宋体" w:cs="宋体"/>
          <w:bCs/>
          <w:color w:val="auto"/>
          <w:szCs w:val="21"/>
          <w:highlight w:val="none"/>
          <w:lang w:val="zh-CN"/>
        </w:rPr>
      </w:pPr>
      <w:r>
        <w:rPr>
          <w:rFonts w:hint="eastAsia" w:ascii="宋体" w:hAnsi="宋体" w:cs="宋体"/>
          <w:bCs/>
          <w:color w:val="auto"/>
          <w:szCs w:val="21"/>
          <w:highlight w:val="none"/>
          <w:lang w:val="zh-CN"/>
        </w:rPr>
        <w:t>投标日期：    年   月   日</w:t>
      </w:r>
    </w:p>
    <w:tbl>
      <w:tblPr>
        <w:tblStyle w:val="17"/>
        <w:tblW w:w="9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1"/>
        <w:gridCol w:w="6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rPr>
              <w:t>项目</w:t>
            </w:r>
            <w:r>
              <w:rPr>
                <w:rFonts w:hint="eastAsia" w:ascii="宋体" w:hAnsi="宋体" w:cs="宋体"/>
                <w:bCs/>
                <w:color w:val="auto"/>
                <w:szCs w:val="21"/>
                <w:highlight w:val="none"/>
                <w:lang w:val="zh-CN"/>
              </w:rPr>
              <w:t>名称</w:t>
            </w:r>
          </w:p>
        </w:tc>
        <w:tc>
          <w:tcPr>
            <w:tcW w:w="6699" w:type="dxa"/>
            <w:vAlign w:val="center"/>
          </w:tcPr>
          <w:p>
            <w:pPr>
              <w:autoSpaceDE w:val="0"/>
              <w:autoSpaceDN w:val="0"/>
              <w:adjustRightInd w:val="0"/>
              <w:snapToGrid w:val="0"/>
              <w:spacing w:line="360" w:lineRule="auto"/>
              <w:ind w:firstLine="630" w:firstLineChars="300"/>
              <w:jc w:val="both"/>
              <w:rPr>
                <w:rFonts w:ascii="宋体" w:hAnsi="宋体" w:cs="宋体"/>
                <w:bCs/>
                <w:color w:val="auto"/>
                <w:szCs w:val="21"/>
                <w:highlight w:val="none"/>
                <w:lang w:val="zh-CN"/>
              </w:rPr>
            </w:pPr>
            <w:r>
              <w:rPr>
                <w:rFonts w:hint="eastAsia" w:ascii="宋体" w:hAnsi="宋体" w:cs="宋体" w:eastAsiaTheme="minorEastAsia"/>
                <w:b w:val="0"/>
                <w:bCs/>
                <w:color w:val="auto"/>
                <w:sz w:val="21"/>
                <w:szCs w:val="21"/>
                <w:highlight w:val="none"/>
                <w:u w:val="none"/>
                <w:lang w:val="en-US" w:eastAsia="zh-CN"/>
              </w:rPr>
              <w:t>湿地一期景区木结构整体刷漆维护保养</w:t>
            </w:r>
            <w:r>
              <w:rPr>
                <w:rFonts w:hint="eastAsia" w:ascii="宋体" w:hAnsi="宋体" w:cs="宋体"/>
                <w:bCs/>
                <w:color w:val="auto"/>
                <w:szCs w:val="21"/>
                <w:highlight w:val="none"/>
                <w:lang w:eastAsia="zh-CN"/>
              </w:rPr>
              <w:t>项目</w:t>
            </w:r>
            <w:r>
              <w:rPr>
                <w:rFonts w:hint="eastAsia" w:ascii="宋体" w:hAnsi="宋体" w:eastAsia="宋体" w:cs="宋体"/>
                <w:b w:val="0"/>
                <w:bCs w:val="0"/>
                <w:color w:val="auto"/>
                <w:sz w:val="21"/>
                <w:szCs w:val="21"/>
                <w:highlight w:val="none"/>
                <w:lang w:val="en-US" w:eastAsia="zh-CN"/>
              </w:rPr>
              <w:t>（第二次）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2711" w:type="dxa"/>
            <w:vMerge w:val="restart"/>
            <w:vAlign w:val="center"/>
          </w:tcPr>
          <w:p>
            <w:pPr>
              <w:autoSpaceDE w:val="0"/>
              <w:autoSpaceDN w:val="0"/>
              <w:adjustRightInd w:val="0"/>
              <w:snapToGrid w:val="0"/>
              <w:spacing w:line="360" w:lineRule="auto"/>
              <w:ind w:firstLine="630" w:firstLineChars="300"/>
              <w:jc w:val="both"/>
              <w:rPr>
                <w:rFonts w:hint="eastAsia" w:ascii="宋体" w:hAnsi="宋体" w:cs="宋体"/>
                <w:bCs/>
                <w:color w:val="auto"/>
                <w:szCs w:val="21"/>
                <w:highlight w:val="none"/>
                <w:lang w:val="zh-CN"/>
              </w:rPr>
            </w:pPr>
            <w:r>
              <w:rPr>
                <w:rFonts w:hint="eastAsia" w:ascii="宋体" w:hAnsi="宋体" w:cs="宋体"/>
                <w:bCs/>
                <w:color w:val="auto"/>
                <w:szCs w:val="21"/>
                <w:highlight w:val="none"/>
                <w:lang w:val="zh-CN"/>
              </w:rPr>
              <w:t>投标总报价</w:t>
            </w:r>
          </w:p>
          <w:p>
            <w:pPr>
              <w:autoSpaceDE w:val="0"/>
              <w:autoSpaceDN w:val="0"/>
              <w:adjustRightInd w:val="0"/>
              <w:snapToGrid w:val="0"/>
              <w:spacing w:line="360" w:lineRule="auto"/>
              <w:jc w:val="center"/>
              <w:rPr>
                <w:rFonts w:hint="default" w:ascii="宋体" w:hAnsi="宋体" w:cs="宋体" w:eastAsiaTheme="minorEastAsia"/>
                <w:bCs/>
                <w:color w:val="auto"/>
                <w:szCs w:val="21"/>
                <w:highlight w:val="none"/>
                <w:lang w:val="en-US" w:eastAsia="zh-CN"/>
              </w:rPr>
            </w:pPr>
            <w:r>
              <w:rPr>
                <w:rFonts w:hint="eastAsia" w:ascii="宋体" w:hAnsi="宋体" w:cs="宋体" w:eastAsiaTheme="minorEastAsia"/>
                <w:bCs/>
                <w:color w:val="auto"/>
                <w:sz w:val="21"/>
                <w:szCs w:val="21"/>
                <w:highlight w:val="none"/>
                <w:u w:val="none"/>
                <w:lang w:val="zh-CN" w:eastAsia="zh-CN"/>
              </w:rPr>
              <w:t>（人民币）</w:t>
            </w:r>
          </w:p>
        </w:tc>
        <w:tc>
          <w:tcPr>
            <w:tcW w:w="6699" w:type="dxa"/>
            <w:vAlign w:val="center"/>
          </w:tcPr>
          <w:p>
            <w:pPr>
              <w:autoSpaceDE w:val="0"/>
              <w:autoSpaceDN w:val="0"/>
              <w:adjustRightInd w:val="0"/>
              <w:snapToGrid w:val="0"/>
              <w:spacing w:line="360" w:lineRule="auto"/>
              <w:jc w:val="left"/>
              <w:rPr>
                <w:rFonts w:hint="default" w:ascii="宋体" w:hAnsi="宋体" w:cs="宋体"/>
                <w:bCs/>
                <w:color w:val="auto"/>
                <w:szCs w:val="21"/>
                <w:highlight w:val="none"/>
                <w:lang w:val="en-US" w:eastAsia="zh-CN"/>
              </w:rPr>
            </w:pPr>
            <w:r>
              <w:rPr>
                <w:rFonts w:hint="eastAsia" w:ascii="宋体" w:hAnsi="宋体" w:cs="宋体"/>
                <w:bCs/>
                <w:color w:val="auto"/>
                <w:szCs w:val="21"/>
                <w:highlight w:val="none"/>
              </w:rPr>
              <w:t>小写：</w:t>
            </w:r>
            <w:r>
              <w:rPr>
                <w:rFonts w:hint="eastAsia" w:ascii="宋体" w:hAnsi="宋体" w:cs="宋体"/>
                <w:bCs/>
                <w:color w:val="auto"/>
                <w:szCs w:val="21"/>
                <w:highlight w:val="none"/>
                <w:lang w:val="en-US" w:eastAsia="zh-CN"/>
              </w:rPr>
              <w:t xml:space="preserve">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2711" w:type="dxa"/>
            <w:vMerge w:val="continue"/>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c>
          <w:tcPr>
            <w:tcW w:w="6699" w:type="dxa"/>
            <w:vAlign w:val="center"/>
          </w:tcPr>
          <w:p>
            <w:pPr>
              <w:autoSpaceDE w:val="0"/>
              <w:autoSpaceDN w:val="0"/>
              <w:adjustRightInd w:val="0"/>
              <w:snapToGrid w:val="0"/>
              <w:spacing w:line="360" w:lineRule="auto"/>
              <w:jc w:val="left"/>
              <w:rPr>
                <w:rFonts w:hint="eastAsia" w:ascii="宋体" w:hAnsi="宋体" w:cs="宋体"/>
                <w:bCs/>
                <w:color w:val="auto"/>
                <w:szCs w:val="21"/>
                <w:highlight w:val="none"/>
              </w:rPr>
            </w:pPr>
            <w:r>
              <w:rPr>
                <w:rFonts w:hint="eastAsia" w:ascii="宋体" w:hAnsi="宋体" w:cs="宋体"/>
                <w:bCs/>
                <w:color w:val="auto"/>
                <w:szCs w:val="21"/>
                <w:highlight w:val="none"/>
              </w:rPr>
              <w:t>大写：</w:t>
            </w:r>
            <w:r>
              <w:rPr>
                <w:rFonts w:hint="eastAsia" w:ascii="宋体" w:hAnsi="宋体" w:cs="宋体"/>
                <w:bCs/>
                <w:color w:val="auto"/>
                <w:szCs w:val="21"/>
                <w:highlight w:val="none"/>
                <w:lang w:val="en-US" w:eastAsia="zh-CN"/>
              </w:rPr>
              <w:t xml:space="preserve">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2711" w:type="dxa"/>
            <w:vMerge w:val="continue"/>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c>
          <w:tcPr>
            <w:tcW w:w="6699" w:type="dxa"/>
            <w:vAlign w:val="center"/>
          </w:tcPr>
          <w:p>
            <w:pPr>
              <w:autoSpaceDE w:val="0"/>
              <w:autoSpaceDN w:val="0"/>
              <w:adjustRightInd w:val="0"/>
              <w:snapToGrid w:val="0"/>
              <w:spacing w:line="360" w:lineRule="auto"/>
              <w:jc w:val="left"/>
              <w:rPr>
                <w:rFonts w:hint="default" w:ascii="宋体" w:hAnsi="宋体" w:cs="宋体"/>
                <w:bCs/>
                <w:color w:val="auto"/>
                <w:szCs w:val="21"/>
                <w:highlight w:val="none"/>
                <w:lang w:val="en-US" w:eastAsia="zh-CN"/>
              </w:rPr>
            </w:pPr>
            <w:r>
              <w:rPr>
                <w:rFonts w:hint="eastAsia" w:ascii="宋体" w:hAnsi="宋体" w:cs="宋体"/>
                <w:bCs/>
                <w:color w:val="auto"/>
                <w:szCs w:val="21"/>
                <w:highlight w:val="none"/>
                <w:lang w:val="en-US" w:eastAsia="zh-CN"/>
              </w:rPr>
              <w:t>其中：</w:t>
            </w:r>
            <w:r>
              <w:rPr>
                <w:rFonts w:hint="eastAsia" w:ascii="宋体" w:hAnsi="宋体" w:cs="宋体"/>
                <w:bCs/>
                <w:color w:val="auto"/>
                <w:sz w:val="21"/>
                <w:szCs w:val="21"/>
                <w:highlight w:val="none"/>
                <w:u w:val="none"/>
                <w:lang w:val="en-US" w:eastAsia="zh-CN"/>
              </w:rPr>
              <w:t>绿色施工安全防护措施费</w:t>
            </w:r>
            <w:r>
              <w:rPr>
                <w:rFonts w:hint="eastAsia" w:ascii="宋体" w:hAnsi="宋体" w:cs="宋体" w:eastAsiaTheme="minorEastAsia"/>
                <w:bCs/>
                <w:color w:val="auto"/>
                <w:sz w:val="21"/>
                <w:szCs w:val="21"/>
                <w:highlight w:val="none"/>
                <w:u w:val="none"/>
                <w:lang w:val="en-US" w:eastAsia="zh-CN"/>
              </w:rPr>
              <w:t xml:space="preserve">为             </w:t>
            </w:r>
            <w:r>
              <w:rPr>
                <w:rFonts w:hint="eastAsia" w:ascii="宋体" w:hAnsi="宋体" w:cs="宋体"/>
                <w:bCs/>
                <w:color w:val="auto"/>
                <w:sz w:val="21"/>
                <w:szCs w:val="21"/>
                <w:highlight w:val="none"/>
                <w:u w:val="none"/>
                <w:lang w:val="en-US" w:eastAsia="zh-CN"/>
              </w:rPr>
              <w:t xml:space="preserve"> </w:t>
            </w:r>
            <w:r>
              <w:rPr>
                <w:rFonts w:hint="eastAsia" w:ascii="宋体" w:hAnsi="宋体" w:cs="宋体" w:eastAsiaTheme="minorEastAsia"/>
                <w:bCs/>
                <w:color w:val="auto"/>
                <w:sz w:val="21"/>
                <w:szCs w:val="21"/>
                <w:highlight w:val="none"/>
                <w:u w:val="none"/>
                <w:lang w:val="en-US" w:eastAsia="zh-CN"/>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法定代表人</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授权委托人</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投标单位</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（企业公章）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bl>
    <w:p>
      <w:pPr>
        <w:pStyle w:val="2"/>
        <w:spacing w:line="360" w:lineRule="auto"/>
        <w:ind w:firstLine="210" w:firstLineChars="100"/>
        <w:rPr>
          <w:rFonts w:hAnsi="宋体" w:cs="宋体"/>
          <w:bCs/>
          <w:color w:val="auto"/>
          <w:highlight w:val="none"/>
        </w:rPr>
      </w:pPr>
      <w:r>
        <w:rPr>
          <w:rFonts w:hAnsi="宋体" w:cs="宋体"/>
          <w:bCs/>
          <w:color w:val="auto"/>
          <w:highlight w:val="none"/>
        </w:rPr>
        <w:t>注：（1）投标总报价的大写金额和小写金额不一致的，以大写金额为准，投标报价精确到小数点后两位。</w:t>
      </w:r>
    </w:p>
    <w:p>
      <w:pPr>
        <w:pStyle w:val="2"/>
        <w:spacing w:line="360" w:lineRule="auto"/>
        <w:ind w:firstLine="630" w:firstLineChars="300"/>
        <w:rPr>
          <w:rFonts w:hint="eastAsia" w:ascii="宋体" w:hAnsi="宋体" w:eastAsia="宋体" w:cs="宋体"/>
          <w:color w:val="auto"/>
          <w:sz w:val="21"/>
          <w:szCs w:val="21"/>
          <w:highlight w:val="none"/>
        </w:rPr>
      </w:pPr>
      <w:r>
        <w:rPr>
          <w:rFonts w:hint="eastAsia" w:hAnsi="宋体" w:cs="宋体"/>
          <w:bCs/>
          <w:color w:val="auto"/>
          <w:highlight w:val="none"/>
          <w:lang w:eastAsia="zh-CN"/>
        </w:rPr>
        <w:t>（</w:t>
      </w:r>
      <w:r>
        <w:rPr>
          <w:rFonts w:hint="eastAsia" w:hAnsi="宋体" w:cs="宋体"/>
          <w:bCs/>
          <w:color w:val="auto"/>
          <w:highlight w:val="none"/>
          <w:lang w:val="en-US" w:eastAsia="zh-CN"/>
        </w:rPr>
        <w:t>2</w:t>
      </w:r>
      <w:r>
        <w:rPr>
          <w:rFonts w:hint="eastAsia" w:hAnsi="宋体" w:cs="宋体"/>
          <w:bCs/>
          <w:color w:val="auto"/>
          <w:highlight w:val="none"/>
          <w:lang w:eastAsia="zh-CN"/>
        </w:rPr>
        <w:t>）</w:t>
      </w:r>
      <w:r>
        <w:rPr>
          <w:rFonts w:hint="eastAsia" w:ascii="宋体" w:hAnsi="宋体" w:eastAsia="宋体" w:cs="宋体"/>
          <w:color w:val="auto"/>
          <w:sz w:val="21"/>
          <w:szCs w:val="21"/>
          <w:highlight w:val="none"/>
        </w:rPr>
        <w:t>本项目</w:t>
      </w:r>
      <w:r>
        <w:rPr>
          <w:rFonts w:hint="eastAsia" w:hAnsi="宋体" w:cs="宋体"/>
          <w:color w:val="auto"/>
          <w:sz w:val="21"/>
          <w:szCs w:val="21"/>
          <w:highlight w:val="none"/>
          <w:lang w:eastAsia="zh-CN"/>
        </w:rPr>
        <w:t>招标控制价详见投标须知前附表约定。</w:t>
      </w:r>
    </w:p>
    <w:p>
      <w:pPr>
        <w:spacing w:line="360" w:lineRule="auto"/>
        <w:rPr>
          <w:rFonts w:hAnsi="宋体"/>
          <w:b/>
          <w:color w:val="auto"/>
          <w:highlight w:val="none"/>
        </w:rPr>
      </w:pPr>
      <w:r>
        <w:rPr>
          <w:rFonts w:hAnsi="宋体"/>
          <w:b/>
          <w:color w:val="auto"/>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格式1：</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28"/>
          <w:szCs w:val="28"/>
          <w:highlight w:val="none"/>
        </w:rPr>
      </w:pPr>
      <w:r>
        <w:rPr>
          <w:rFonts w:hint="eastAsia" w:eastAsia="黑体"/>
          <w:color w:val="auto"/>
          <w:sz w:val="52"/>
          <w:szCs w:val="52"/>
          <w:highlight w:val="none"/>
        </w:rPr>
        <w:t>商务文件</w:t>
      </w: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spacing w:line="720" w:lineRule="auto"/>
        <w:rPr>
          <w:rFonts w:eastAsia="黑体"/>
          <w:color w:val="auto"/>
          <w:sz w:val="28"/>
          <w:szCs w:val="28"/>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widowControl/>
        <w:jc w:val="left"/>
        <w:rPr>
          <w:b/>
          <w:color w:val="auto"/>
          <w:sz w:val="24"/>
          <w:highlight w:val="none"/>
        </w:rPr>
      </w:pPr>
      <w:r>
        <w:rPr>
          <w:b/>
          <w:color w:val="auto"/>
          <w:sz w:val="24"/>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格式2：</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52"/>
          <w:szCs w:val="52"/>
          <w:highlight w:val="none"/>
        </w:rPr>
      </w:pPr>
      <w:r>
        <w:rPr>
          <w:rFonts w:hint="eastAsia" w:eastAsia="黑体"/>
          <w:color w:val="auto"/>
          <w:sz w:val="52"/>
          <w:szCs w:val="52"/>
          <w:highlight w:val="none"/>
        </w:rPr>
        <w:t>技术文件</w:t>
      </w:r>
    </w:p>
    <w:p>
      <w:pPr>
        <w:autoSpaceDE w:val="0"/>
        <w:autoSpaceDN w:val="0"/>
        <w:adjustRightInd w:val="0"/>
        <w:spacing w:line="480" w:lineRule="auto"/>
        <w:rPr>
          <w:rFonts w:eastAsia="黑体"/>
          <w:color w:val="auto"/>
          <w:sz w:val="28"/>
          <w:szCs w:val="28"/>
          <w:highlight w:val="none"/>
        </w:rPr>
      </w:pPr>
    </w:p>
    <w:p>
      <w:pPr>
        <w:spacing w:line="480" w:lineRule="auto"/>
        <w:rPr>
          <w:color w:val="auto"/>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pStyle w:val="2"/>
        <w:rPr>
          <w:rFonts w:hint="default"/>
          <w:color w:val="auto"/>
          <w:highlight w:val="none"/>
        </w:rPr>
      </w:pP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pStyle w:val="3"/>
        <w:widowControl/>
        <w:spacing w:before="0" w:after="0" w:line="360" w:lineRule="auto"/>
        <w:jc w:val="center"/>
        <w:rPr>
          <w:rFonts w:ascii="黑体" w:hAnsi="宋体" w:cs="黑体"/>
          <w:b/>
          <w:color w:val="auto"/>
          <w:kern w:val="44"/>
          <w:sz w:val="44"/>
          <w:szCs w:val="44"/>
          <w:highlight w:val="none"/>
        </w:rPr>
      </w:pPr>
      <w:bookmarkStart w:id="49" w:name="_Toc374128477"/>
      <w:bookmarkEnd w:id="49"/>
      <w:bookmarkStart w:id="50" w:name="_Toc30913"/>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bookmarkStart w:id="51" w:name="_Toc17859"/>
      <w:bookmarkStart w:id="52" w:name="_Toc25010"/>
      <w:bookmarkStart w:id="53" w:name="_Toc23233"/>
      <w:bookmarkStart w:id="54" w:name="_Toc8367"/>
      <w:bookmarkStart w:id="55" w:name="_Toc26234"/>
      <w:bookmarkStart w:id="56" w:name="_Toc4893"/>
      <w:r>
        <w:rPr>
          <w:rFonts w:hint="eastAsia" w:ascii="黑体" w:hAnsi="宋体" w:cs="黑体"/>
          <w:b/>
          <w:color w:val="auto"/>
          <w:kern w:val="44"/>
          <w:sz w:val="44"/>
          <w:szCs w:val="44"/>
          <w:highlight w:val="none"/>
        </w:rPr>
        <w:t>第4章 评标办法</w:t>
      </w:r>
      <w:bookmarkEnd w:id="50"/>
      <w:bookmarkEnd w:id="51"/>
      <w:bookmarkEnd w:id="52"/>
      <w:bookmarkEnd w:id="53"/>
      <w:bookmarkEnd w:id="54"/>
      <w:bookmarkEnd w:id="55"/>
      <w:bookmarkEnd w:id="56"/>
    </w:p>
    <w:p>
      <w:pPr>
        <w:spacing w:afterLines="50"/>
        <w:jc w:val="center"/>
        <w:rPr>
          <w:rFonts w:eastAsia="黑体"/>
          <w:color w:val="auto"/>
          <w:sz w:val="36"/>
          <w:szCs w:val="36"/>
          <w:highlight w:val="none"/>
        </w:rPr>
      </w:pPr>
      <w:r>
        <w:rPr>
          <w:rFonts w:ascii="Times New Roman" w:hAnsi="Times New Roman" w:eastAsia="黑体" w:cs="Times New Roman"/>
          <w:color w:val="auto"/>
          <w:sz w:val="36"/>
          <w:szCs w:val="36"/>
          <w:highlight w:val="none"/>
        </w:rPr>
        <w:t xml:space="preserve"> </w:t>
      </w:r>
    </w:p>
    <w:p>
      <w:pPr>
        <w:spacing w:line="500" w:lineRule="exact"/>
        <w:jc w:val="center"/>
        <w:rPr>
          <w:rFonts w:ascii="Times New Roman" w:hAnsi="Times New Roman" w:eastAsia="宋体" w:cs="Times New Roman"/>
          <w:color w:val="auto"/>
          <w:szCs w:val="21"/>
          <w:highlight w:val="none"/>
        </w:rPr>
        <w:sectPr>
          <w:pgSz w:w="11915" w:h="16840"/>
          <w:pgMar w:top="1247" w:right="1135" w:bottom="1247" w:left="1361" w:header="720" w:footer="720" w:gutter="0"/>
          <w:pgNumType w:fmt="decimal"/>
          <w:cols w:space="425" w:num="1"/>
          <w:docGrid w:linePitch="285" w:charSpace="0"/>
        </w:sectPr>
      </w:pPr>
      <w:r>
        <w:rPr>
          <w:rFonts w:ascii="Times New Roman" w:hAnsi="Times New Roman" w:eastAsia="宋体" w:cs="Times New Roman"/>
          <w:color w:val="auto"/>
          <w:szCs w:val="21"/>
          <w:highlight w:val="none"/>
        </w:rPr>
        <w:br w:type="page"/>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一、前言</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1.1本项目采取邀请招标</w:t>
      </w:r>
      <w:r>
        <w:rPr>
          <w:rFonts w:hint="eastAsia" w:ascii="仿宋" w:hAnsi="仿宋" w:eastAsia="仿宋" w:cs="仿宋"/>
          <w:color w:val="auto"/>
          <w:sz w:val="28"/>
          <w:szCs w:val="28"/>
          <w:highlight w:val="none"/>
          <w:lang w:val="en-US" w:eastAsia="zh-CN"/>
        </w:rPr>
        <w:t>方式</w:t>
      </w:r>
      <w:r>
        <w:rPr>
          <w:rFonts w:hint="eastAsia" w:ascii="仿宋" w:hAnsi="仿宋" w:eastAsia="仿宋" w:cs="仿宋"/>
          <w:color w:val="auto"/>
          <w:sz w:val="28"/>
          <w:szCs w:val="28"/>
          <w:highlight w:val="none"/>
        </w:rPr>
        <w:t>，为保证招标“公开、公平、公正”，根据国家有关工程建设招标投标的法律、法规和方针、政策，制定本评标细则，实行评标的规范化、标准化、科学化。</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 xml:space="preserve">  本评标办法的解释和修订权属招标人。</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二、评标依据</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评标工作严格执行国家颁布的有关法规，招标文件是投标单位编制投标文件的基础和评标的依据。主要资料和文件包括：</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2.1《中华人民共和国</w:t>
      </w:r>
      <w:r>
        <w:rPr>
          <w:rFonts w:hint="eastAsia" w:ascii="仿宋" w:hAnsi="仿宋" w:eastAsia="仿宋" w:cs="仿宋"/>
          <w:color w:val="auto"/>
          <w:sz w:val="28"/>
          <w:szCs w:val="28"/>
          <w:highlight w:val="none"/>
          <w:lang w:eastAsia="zh-CN"/>
        </w:rPr>
        <w:t>民法典</w:t>
      </w:r>
      <w:r>
        <w:rPr>
          <w:rFonts w:hint="eastAsia" w:ascii="仿宋" w:hAnsi="仿宋" w:eastAsia="仿宋" w:cs="仿宋"/>
          <w:color w:val="auto"/>
          <w:sz w:val="28"/>
          <w:szCs w:val="28"/>
          <w:highlight w:val="none"/>
        </w:rPr>
        <w:t>》；</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2.2《中华人民共和国招标投标法》；</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2.3《中华人民共和国招标投标法实施条例》</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2.4七部委第12号令《</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和评标方法暂行规定》；</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2.5《广东省实施〈中华人民共和国招标投标法〉办法》；</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2.6《广东省加强建设工程招标投标监督管理的若干规定》；</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2.7本招标项目的招标文件、评标办法及其补充通知；</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2.8投标文件及澄清问题书面资料；</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2.9国家、省、市各级行政主管部门颁发的其他有关招投标相关法律法规。</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三、评标人员守则</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所有参加评标人员必须遵守国家、地方政府制定的有关工程招标投标的法则、规定，遵守有关工程招标投标的保密制度；如果发现评标专家徇私，违反纪律，则取消其评标资格，并报</w:t>
      </w:r>
      <w:r>
        <w:rPr>
          <w:rFonts w:hint="eastAsia" w:ascii="仿宋" w:hAnsi="仿宋" w:eastAsia="仿宋" w:cs="仿宋"/>
          <w:color w:val="auto"/>
          <w:sz w:val="28"/>
          <w:szCs w:val="28"/>
          <w:highlight w:val="none"/>
          <w:lang w:eastAsia="zh-CN"/>
        </w:rPr>
        <w:t>广州</w:t>
      </w:r>
      <w:r>
        <w:rPr>
          <w:rFonts w:hint="eastAsia" w:ascii="仿宋" w:hAnsi="仿宋" w:eastAsia="仿宋" w:cs="仿宋"/>
          <w:color w:val="auto"/>
          <w:sz w:val="28"/>
          <w:szCs w:val="28"/>
          <w:highlight w:val="none"/>
        </w:rPr>
        <w:t>市公共资源交易中心备案；情节严重，构成犯罪的，由司法机关依法追究其刑事责任。</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全体参与评标人员：</w:t>
      </w:r>
    </w:p>
    <w:p>
      <w:pPr>
        <w:numPr>
          <w:ilvl w:val="0"/>
          <w:numId w:val="3"/>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必须遵守评标纪律、不得泄密；</w:t>
      </w:r>
    </w:p>
    <w:p>
      <w:pPr>
        <w:numPr>
          <w:ilvl w:val="0"/>
          <w:numId w:val="3"/>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必须公正、不得循私；</w:t>
      </w:r>
    </w:p>
    <w:p>
      <w:pPr>
        <w:numPr>
          <w:ilvl w:val="0"/>
          <w:numId w:val="3"/>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必须科学、不得草率；</w:t>
      </w:r>
    </w:p>
    <w:p>
      <w:pPr>
        <w:numPr>
          <w:ilvl w:val="0"/>
          <w:numId w:val="3"/>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必须客观、不得带有成见；</w:t>
      </w:r>
    </w:p>
    <w:p>
      <w:pPr>
        <w:numPr>
          <w:ilvl w:val="0"/>
          <w:numId w:val="3"/>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必须平等、不得强加于人；</w:t>
      </w:r>
    </w:p>
    <w:p>
      <w:pPr>
        <w:numPr>
          <w:ilvl w:val="0"/>
          <w:numId w:val="3"/>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必须严谨、不得随意马虎。</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四、评标机构</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招标人依法组建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五、开标、评标、定标办法</w:t>
      </w:r>
    </w:p>
    <w:p>
      <w:pPr>
        <w:pStyle w:val="2"/>
        <w:widowControl/>
        <w:spacing w:line="500" w:lineRule="exact"/>
        <w:ind w:firstLine="562" w:firstLineChars="200"/>
        <w:rPr>
          <w:rFonts w:hint="eastAsia" w:ascii="仿宋" w:hAnsi="仿宋" w:eastAsia="仿宋" w:cs="仿宋"/>
          <w:b/>
          <w:color w:val="auto"/>
          <w:sz w:val="28"/>
          <w:szCs w:val="28"/>
          <w:highlight w:val="none"/>
          <w:lang w:eastAsia="zh-CN"/>
        </w:rPr>
      </w:pPr>
      <w:r>
        <w:rPr>
          <w:rFonts w:ascii="仿宋" w:hAnsi="仿宋" w:eastAsia="仿宋" w:cs="仿宋"/>
          <w:b/>
          <w:color w:val="auto"/>
          <w:sz w:val="28"/>
          <w:szCs w:val="28"/>
          <w:highlight w:val="none"/>
        </w:rPr>
        <w:t>5.1</w:t>
      </w:r>
      <w:r>
        <w:rPr>
          <w:rFonts w:hint="eastAsia" w:ascii="仿宋" w:hAnsi="仿宋" w:eastAsia="仿宋" w:cs="仿宋"/>
          <w:b/>
          <w:color w:val="auto"/>
          <w:sz w:val="28"/>
          <w:szCs w:val="28"/>
          <w:highlight w:val="none"/>
          <w:lang w:val="en-US" w:eastAsia="zh-CN"/>
        </w:rPr>
        <w:t xml:space="preserve">  </w:t>
      </w:r>
      <w:r>
        <w:rPr>
          <w:rFonts w:hint="eastAsia" w:ascii="仿宋" w:hAnsi="仿宋" w:eastAsia="仿宋" w:cs="仿宋"/>
          <w:b/>
          <w:color w:val="auto"/>
          <w:sz w:val="28"/>
          <w:szCs w:val="28"/>
          <w:highlight w:val="none"/>
          <w:lang w:eastAsia="zh-CN"/>
        </w:rPr>
        <w:t>评标小组</w:t>
      </w:r>
    </w:p>
    <w:p>
      <w:pPr>
        <w:pStyle w:val="2"/>
        <w:widowControl/>
        <w:spacing w:line="500" w:lineRule="exact"/>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 xml:space="preserve">5.1.1  </w:t>
      </w:r>
      <w:r>
        <w:rPr>
          <w:rFonts w:hint="eastAsia" w:ascii="仿宋" w:hAnsi="仿宋" w:eastAsia="仿宋" w:cs="仿宋"/>
          <w:color w:val="auto"/>
          <w:sz w:val="28"/>
          <w:szCs w:val="28"/>
          <w:highlight w:val="none"/>
          <w:lang w:eastAsia="zh-CN"/>
        </w:rPr>
        <w:t>评标小组</w:t>
      </w:r>
      <w:r>
        <w:rPr>
          <w:rFonts w:ascii="仿宋" w:hAnsi="仿宋" w:eastAsia="仿宋" w:cs="仿宋"/>
          <w:color w:val="auto"/>
          <w:sz w:val="28"/>
          <w:szCs w:val="28"/>
          <w:highlight w:val="none"/>
        </w:rPr>
        <w:t>由招标人依法组建的5名专家组成。</w:t>
      </w:r>
    </w:p>
    <w:p>
      <w:pPr>
        <w:pStyle w:val="2"/>
        <w:widowControl/>
        <w:spacing w:line="500" w:lineRule="exact"/>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 xml:space="preserve">5.1.2  </w:t>
      </w:r>
      <w:r>
        <w:rPr>
          <w:rFonts w:hint="eastAsia" w:ascii="仿宋" w:hAnsi="仿宋" w:eastAsia="仿宋" w:cs="仿宋"/>
          <w:color w:val="auto"/>
          <w:sz w:val="28"/>
          <w:szCs w:val="28"/>
          <w:highlight w:val="none"/>
          <w:lang w:eastAsia="zh-CN"/>
        </w:rPr>
        <w:t>评标小组</w:t>
      </w:r>
      <w:r>
        <w:rPr>
          <w:rFonts w:ascii="仿宋" w:hAnsi="仿宋" w:eastAsia="仿宋" w:cs="仿宋"/>
          <w:color w:val="auto"/>
          <w:sz w:val="28"/>
          <w:szCs w:val="28"/>
          <w:highlight w:val="none"/>
        </w:rPr>
        <w:t>推举产生1名评标组长，主持评审工作，评标组长与其他成员有同等表决权。</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5.2  评标原则</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5.2.1  </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根据招标文件规定的评标标准和方法，对投标文件进行评审和比较，招标文件中没有规定的标准和方法不得作为评标的依据。</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5.2.2  在符合招标文件规定的前提下，</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主要对投标文件进行评议。</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5.2.3  开标、评标过程发现的问题和产生的纠纷，由</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负责裁决。裁决前，</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应认真阅读招标文件的规定。投标文件中全部符合附件1《符合性审查表》中任一种情形的，为有效标书，否则其投标文件将被否决。若本项目通过符合性审查的投标人不足3名时，应重新招标。</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5.2.4  评标讨论过程中，</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成员应当对投标文件发表专业、客观、公正的意见，意见不一致的应作进一步核实和讨论。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成员对任何一个投标文件的质疑，应当在讨论或现场讲解时提出，表决结果公布后才提出的质疑，不可作为改变表决结果的依据。</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5.2.5  如果少数投标人超越招标文件要求提交了模型、演示动画、特殊规格展示图纸或发生其他特殊情况，</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对超越招标文件要求的内容不进行评审，只评审该投标文件符合要求的内容。</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5.3    评标办法采用</w:t>
      </w:r>
      <w:r>
        <w:rPr>
          <w:rFonts w:hint="eastAsia" w:ascii="仿宋" w:hAnsi="仿宋" w:eastAsia="仿宋" w:cs="仿宋"/>
          <w:b/>
          <w:color w:val="auto"/>
          <w:sz w:val="28"/>
          <w:szCs w:val="28"/>
          <w:highlight w:val="none"/>
          <w:u w:val="single"/>
        </w:rPr>
        <w:t>综合评</w:t>
      </w:r>
      <w:r>
        <w:rPr>
          <w:rFonts w:hint="eastAsia" w:ascii="仿宋" w:hAnsi="仿宋" w:eastAsia="仿宋" w:cs="仿宋"/>
          <w:b/>
          <w:color w:val="auto"/>
          <w:sz w:val="28"/>
          <w:szCs w:val="28"/>
          <w:highlight w:val="none"/>
          <w:u w:val="single"/>
          <w:lang w:val="en-US" w:eastAsia="zh-CN"/>
        </w:rPr>
        <w:t>审</w:t>
      </w:r>
      <w:r>
        <w:rPr>
          <w:rFonts w:hint="eastAsia" w:ascii="仿宋" w:hAnsi="仿宋" w:eastAsia="仿宋" w:cs="仿宋"/>
          <w:b/>
          <w:color w:val="auto"/>
          <w:sz w:val="28"/>
          <w:szCs w:val="28"/>
          <w:highlight w:val="none"/>
          <w:u w:val="single"/>
        </w:rPr>
        <w:t>法评标</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5.3.1  开标评标程序</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（1）投标人递交投标文件。</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（2）对投标文件公开开标。</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（3）对投标文件进行符合性审查，并对通过符合性审查的投标文件进行综合评分。</w:t>
      </w:r>
    </w:p>
    <w:p>
      <w:pPr>
        <w:spacing w:line="500" w:lineRule="exact"/>
        <w:ind w:firstLine="560" w:firstLineChars="200"/>
        <w:rPr>
          <w:rFonts w:ascii="仿宋" w:hAnsi="仿宋" w:eastAsia="仿宋" w:cs="仿宋"/>
          <w:b/>
          <w:color w:val="auto"/>
          <w:sz w:val="28"/>
          <w:szCs w:val="28"/>
          <w:highlight w:val="none"/>
        </w:rPr>
      </w:pPr>
      <w:r>
        <w:rPr>
          <w:rFonts w:hint="eastAsia" w:ascii="仿宋" w:hAnsi="仿宋" w:eastAsia="仿宋" w:cs="仿宋"/>
          <w:color w:val="auto"/>
          <w:sz w:val="28"/>
          <w:szCs w:val="28"/>
          <w:highlight w:val="none"/>
        </w:rPr>
        <w:t>（4）汇总投标人的综合得分，推荐中标候选人并编写评标报告。</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5.3.2  详细评审步骤</w:t>
      </w:r>
    </w:p>
    <w:p>
      <w:pPr>
        <w:snapToGrid w:val="0"/>
        <w:spacing w:line="500" w:lineRule="exact"/>
        <w:ind w:left="0" w:leftChars="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专家首先按附件1《符合性审查表》对各投标文件进行评审，只有通过符合性审查的投标文件方可进入下一阶段的评审。</w:t>
      </w:r>
    </w:p>
    <w:p>
      <w:pPr>
        <w:spacing w:line="500" w:lineRule="exact"/>
        <w:ind w:left="0" w:leftChars="0"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专家计算各投标人的综合得分</w:t>
      </w:r>
      <w:r>
        <w:rPr>
          <w:rFonts w:hint="eastAsia" w:ascii="仿宋" w:hAnsi="仿宋" w:eastAsia="仿宋" w:cs="仿宋"/>
          <w:color w:val="auto"/>
          <w:sz w:val="28"/>
          <w:szCs w:val="28"/>
          <w:highlight w:val="none"/>
          <w:lang w:eastAsia="zh-CN"/>
        </w:rPr>
        <w:t>。</w:t>
      </w:r>
    </w:p>
    <w:p>
      <w:pPr>
        <w:spacing w:line="500" w:lineRule="exact"/>
        <w:ind w:left="0" w:leftChars="0"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编写、签署评标报告，向招标人推荐综合得分最高的前三名中标候选方案（中标候选人）并标明排列顺序，评标报告由</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全体成员签名，对评标结论持有异议的</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成员可以书面方式阐述其不同意见和理由。</w:t>
      </w:r>
    </w:p>
    <w:p>
      <w:pPr>
        <w:spacing w:line="500" w:lineRule="exact"/>
        <w:ind w:firstLine="562" w:firstLineChars="200"/>
        <w:jc w:val="left"/>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5.4   定标</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5.4.1  招标人在</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推荐的候选方案中确定中标方案。但是，招标人认为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推荐的候选方案不能最大限度满足招标文件规定的要求的，依法重新招标。</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5.4.2  招标人采用下面方法确定中标人：</w:t>
      </w:r>
    </w:p>
    <w:p>
      <w:pPr>
        <w:spacing w:line="500" w:lineRule="exact"/>
        <w:ind w:left="956" w:leftChars="266" w:hanging="397" w:hangingChars="142"/>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招标人委托</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直接确定中标人；</w:t>
      </w:r>
    </w:p>
    <w:p>
      <w:pPr>
        <w:spacing w:line="500" w:lineRule="exact"/>
        <w:ind w:left="0" w:leftChars="0" w:firstLine="562" w:firstLineChars="200"/>
        <w:jc w:val="left"/>
        <w:rPr>
          <w:rFonts w:hint="eastAsia" w:ascii="仿宋" w:hAnsi="仿宋" w:eastAsia="仿宋" w:cs="仿宋"/>
          <w:color w:val="auto"/>
          <w:sz w:val="28"/>
          <w:szCs w:val="28"/>
          <w:highlight w:val="none"/>
          <w:lang w:val="en-US" w:eastAsia="zh-CN"/>
        </w:rPr>
      </w:pPr>
      <w:r>
        <w:rPr>
          <w:rFonts w:hint="eastAsia" w:ascii="仿宋" w:hAnsi="仿宋" w:eastAsia="仿宋" w:cs="仿宋"/>
          <w:b/>
          <w:color w:val="auto"/>
          <w:kern w:val="0"/>
          <w:sz w:val="28"/>
          <w:szCs w:val="28"/>
          <w:highlight w:val="none"/>
        </w:rPr>
        <w:t>√</w:t>
      </w:r>
      <w:r>
        <w:rPr>
          <w:rFonts w:hint="eastAsia" w:ascii="仿宋" w:hAnsi="仿宋" w:eastAsia="仿宋" w:cs="仿宋"/>
          <w:b w:val="0"/>
          <w:bCs/>
          <w:color w:val="auto"/>
          <w:kern w:val="0"/>
          <w:sz w:val="28"/>
          <w:szCs w:val="28"/>
          <w:highlight w:val="none"/>
          <w:lang w:eastAsia="zh-CN"/>
        </w:rPr>
        <w:t>（</w:t>
      </w:r>
      <w:r>
        <w:rPr>
          <w:rFonts w:hint="eastAsia" w:ascii="仿宋" w:hAnsi="仿宋" w:eastAsia="仿宋" w:cs="仿宋"/>
          <w:b w:val="0"/>
          <w:bCs/>
          <w:color w:val="auto"/>
          <w:kern w:val="0"/>
          <w:sz w:val="28"/>
          <w:szCs w:val="28"/>
          <w:highlight w:val="none"/>
          <w:lang w:val="en-US" w:eastAsia="zh-CN"/>
        </w:rPr>
        <w:t>2</w:t>
      </w:r>
      <w:r>
        <w:rPr>
          <w:rFonts w:hint="eastAsia" w:ascii="仿宋" w:hAnsi="仿宋" w:eastAsia="仿宋" w:cs="仿宋"/>
          <w:b w:val="0"/>
          <w:bCs/>
          <w:color w:val="auto"/>
          <w:kern w:val="0"/>
          <w:sz w:val="28"/>
          <w:szCs w:val="28"/>
          <w:highlight w:val="none"/>
          <w:lang w:eastAsia="zh-CN"/>
        </w:rPr>
        <w:t>）</w:t>
      </w:r>
      <w:r>
        <w:rPr>
          <w:rFonts w:hint="eastAsia" w:ascii="仿宋" w:hAnsi="仿宋" w:eastAsia="仿宋" w:cs="仿宋"/>
          <w:color w:val="auto"/>
          <w:sz w:val="28"/>
          <w:szCs w:val="28"/>
          <w:highlight w:val="none"/>
        </w:rPr>
        <w:t>确定</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排名第一的中标候选人为中标人。如排名第一的中标候选人放弃中标或因招标人拒绝投标人的情形或因不可抗力提出不能履行合同、招标文件规定应当提交履约保证金而在规定的期限内未提交的，或者存在违法行为被有关部门依法查处且其违法行为影响中标结果的，则确定排名第二的中标候选人为中标人。以此类推，如所有中标候选人均出现前款所列的情形，为招标失败，招标人依法重新招标。</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5.5  发生下列情形之一的，招标人将重新组织招标：</w:t>
      </w:r>
    </w:p>
    <w:p>
      <w:pPr>
        <w:pStyle w:val="2"/>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若本项目经评审有效的投标人不足3名时，本次招标失败，招标人应当依法重新组织招标。</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5.6    授予合同</w:t>
      </w:r>
    </w:p>
    <w:p>
      <w:pPr>
        <w:pStyle w:val="2"/>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5.6.1  招标人一般将合同授予中标人，合同在投标有效期或投标人接受的延长期内授出。</w:t>
      </w:r>
    </w:p>
    <w:p>
      <w:pPr>
        <w:pStyle w:val="2"/>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5.6.2  中标人必须签署并执行招标文件规定的合同条件。</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六、开标细则</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6.1开标由招标人或招标代理机构主持；</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6.2 由投标人或其推选的代表检查投标文件的密封情况，也可以由招标人委托的公证机构检查并公证；</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6.3 投标截止期前，各投标人递交投标文件至招标文件规定的投标地点。有关投标文件提交的事项详见招标文件第一章“投标须知”。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6.4 开标时，由招标人或招标代理机构在监督人员的见证下当众拆封，宣读</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a、投标人名称；b、标书密封情况；c、法定代表人证明及授权委托；d、投标报价等主要内容，并予以记录，记录提交</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评审。</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6.5  招标人对开标过程进行记录，并存档备查，投标人在开标记录上签字。唱标结束后如未签字确认，则视为对开标结果无异议。</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6.6  招标人将上述符合要求的投标文件，送至</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进行评审。</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七、评标</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7.1  评标过程</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本次招标评标分“符合性审查”“综合评分”两部分进行评审。收标后，全部评标过程将按以下阶段和步骤进行：</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 xml:space="preserve">7.1.1 </w:t>
      </w:r>
      <w:r>
        <w:rPr>
          <w:rFonts w:hint="eastAsia" w:ascii="仿宋" w:hAnsi="仿宋" w:eastAsia="仿宋" w:cs="仿宋"/>
          <w:color w:val="auto"/>
          <w:sz w:val="28"/>
          <w:szCs w:val="28"/>
          <w:highlight w:val="none"/>
        </w:rPr>
        <w:t>第一步：进行投标文件符合性审查；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依据有关法律、法规和招标文件的规定对投标文件进行评审，若本项目经评审有效的投标人不足3名时，本次招标失败，招标人应当依法重新组织招标。</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7.1.</w:t>
      </w: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第二步：专家对综合评分表进行打分；</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7.1.</w:t>
      </w:r>
      <w:r>
        <w:rPr>
          <w:rFonts w:hint="eastAsia" w:ascii="仿宋" w:hAnsi="仿宋" w:eastAsia="仿宋" w:cs="仿宋"/>
          <w:color w:val="auto"/>
          <w:sz w:val="28"/>
          <w:szCs w:val="28"/>
          <w:highlight w:val="none"/>
        </w:rPr>
        <w:t>3</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第三步：</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完成评标报告，向招标人推荐中标候选人。</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7.2  投标文件的符合性审查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7.2.1</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根据附件1“符合性审查表”进行评审。投标文件全部列于附件1《符合性审查表》中情形的，为通过符合性审查。否则其投标文件将被否决。如</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成员的评审意见不一致时，以</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过半数成员的意见作为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对该情形的认定结论。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7.2.2</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对所有投标作否决处理的，招标人应当重新招标。</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 xml:space="preserve">7.4  计算投标人总得分（满分为100分） </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7.5  推荐中标候选人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以上评审完成后，按以下规定推荐第一中标候选人、第二中标候选人和第三中标候选人：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7.5.1按投标人总得分高低进行先后排序，取评分最高者为第一中标候选人，次高者为第二中标候选人，依次类推。</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7.5.2如果有两个或两个以上的投标人总得分评分相同，则服务报价得分较高的投标人排名优先；如果总得分、服务报价得分均相同的投标文件，则由</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采用摇珠方式，确定中标候选人顺序。</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7.6 确定中标人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7.6.</w:t>
      </w: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xml:space="preserve"> 招标人依据评标报告审定本项目的中标人。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7.6.</w:t>
      </w: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xml:space="preserve"> 虽然经招标人审定为中标人，但在签订合同前的任何时候，招标人、评标专家以及其他人员发现投标人在招标投标过程有弄虚作假行为、虚报资料情况，一经查实，立即取消其中标人资格。</w:t>
      </w:r>
    </w:p>
    <w:p>
      <w:pPr>
        <w:snapToGrid w:val="0"/>
        <w:spacing w:line="360" w:lineRule="auto"/>
        <w:ind w:firstLine="562" w:firstLineChars="200"/>
        <w:rPr>
          <w:rFonts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7.7招标人将参照以下原则进行本项目中标人的替换：</w:t>
      </w:r>
    </w:p>
    <w:p>
      <w:pPr>
        <w:numPr>
          <w:ilvl w:val="-1"/>
          <w:numId w:val="0"/>
        </w:numPr>
        <w:snapToGrid w:val="0"/>
        <w:spacing w:line="360" w:lineRule="auto"/>
        <w:ind w:left="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 xml:space="preserve">7.7.1 </w:t>
      </w:r>
      <w:r>
        <w:rPr>
          <w:rFonts w:hint="eastAsia" w:ascii="仿宋" w:hAnsi="仿宋" w:eastAsia="仿宋" w:cs="仿宋"/>
          <w:color w:val="auto"/>
          <w:sz w:val="28"/>
          <w:szCs w:val="28"/>
          <w:highlight w:val="none"/>
        </w:rPr>
        <w:t>若中标人在实际工作中服务质量存在问题，未能表现出符合要求的水平，经招标人研究确定，可解除与中标人的合同关系，并按照中标候选人顺序依次选取新的中标人。</w:t>
      </w:r>
    </w:p>
    <w:p>
      <w:pPr>
        <w:numPr>
          <w:ilvl w:val="-1"/>
          <w:numId w:val="0"/>
        </w:numPr>
        <w:snapToGrid w:val="0"/>
        <w:spacing w:line="360" w:lineRule="auto"/>
        <w:ind w:left="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7.7.2</w:t>
      </w:r>
      <w:r>
        <w:rPr>
          <w:rFonts w:hint="eastAsia" w:ascii="仿宋" w:hAnsi="仿宋" w:eastAsia="仿宋" w:cs="仿宋"/>
          <w:color w:val="auto"/>
          <w:sz w:val="28"/>
          <w:szCs w:val="28"/>
          <w:highlight w:val="none"/>
        </w:rPr>
        <w:t>当中标人以正式的书面函件形式申请放弃中标资格时，招标人可取消其中标人资格，解除与中标人的合同关系，并按照中标候选人顺序依次选取新的中标人。</w:t>
      </w:r>
    </w:p>
    <w:p>
      <w:pPr>
        <w:pStyle w:val="2"/>
        <w:rPr>
          <w:rFonts w:hint="default" w:ascii="仿宋" w:hAnsi="仿宋" w:eastAsia="仿宋" w:cs="仿宋"/>
          <w:color w:val="auto"/>
          <w:sz w:val="28"/>
          <w:szCs w:val="28"/>
          <w:highlight w:val="none"/>
        </w:rPr>
      </w:pPr>
    </w:p>
    <w:p>
      <w:pPr>
        <w:pStyle w:val="2"/>
        <w:rPr>
          <w:rFonts w:hint="default" w:ascii="仿宋" w:hAnsi="仿宋" w:eastAsia="仿宋" w:cs="仿宋"/>
          <w:color w:val="auto"/>
          <w:sz w:val="28"/>
          <w:szCs w:val="28"/>
          <w:highlight w:val="none"/>
        </w:rPr>
      </w:pPr>
    </w:p>
    <w:p>
      <w:pPr>
        <w:snapToGrid w:val="0"/>
        <w:spacing w:line="360" w:lineRule="auto"/>
        <w:rPr>
          <w:rFonts w:ascii="仿宋" w:hAnsi="仿宋" w:eastAsia="仿宋" w:cs="仿宋"/>
          <w:color w:val="auto"/>
          <w:sz w:val="24"/>
          <w:highlight w:val="none"/>
        </w:rPr>
      </w:pPr>
    </w:p>
    <w:p>
      <w:pPr>
        <w:rPr>
          <w:rFonts w:hint="eastAsia" w:ascii="黑体" w:hAnsi="宋体" w:cs="黑体"/>
          <w:b/>
          <w:color w:val="auto"/>
          <w:kern w:val="44"/>
          <w:sz w:val="44"/>
          <w:szCs w:val="44"/>
          <w:highlight w:val="none"/>
        </w:rPr>
      </w:pPr>
      <w:bookmarkStart w:id="57" w:name="_Toc26593"/>
      <w:r>
        <w:rPr>
          <w:rFonts w:hint="eastAsia" w:ascii="黑体" w:hAnsi="宋体" w:cs="黑体"/>
          <w:b/>
          <w:color w:val="auto"/>
          <w:kern w:val="44"/>
          <w:sz w:val="44"/>
          <w:szCs w:val="44"/>
          <w:highlight w:val="none"/>
        </w:rPr>
        <w:br w:type="page"/>
      </w:r>
    </w:p>
    <w:p>
      <w:pPr>
        <w:snapToGrid w:val="0"/>
        <w:spacing w:line="360" w:lineRule="auto"/>
        <w:ind w:firstLine="663" w:firstLineChars="150"/>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第5章 附件</w:t>
      </w:r>
      <w:bookmarkEnd w:id="57"/>
    </w:p>
    <w:p>
      <w:pPr>
        <w:pStyle w:val="25"/>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附件1 符合性审查表</w:t>
      </w:r>
    </w:p>
    <w:p>
      <w:pPr>
        <w:pStyle w:val="25"/>
        <w:widowControl/>
        <w:ind w:firstLine="562"/>
        <w:rPr>
          <w:rFonts w:ascii="仿宋" w:hAnsi="仿宋" w:eastAsia="仿宋" w:cs="仿宋"/>
          <w:b/>
          <w:color w:val="auto"/>
          <w:sz w:val="28"/>
          <w:szCs w:val="28"/>
          <w:highlight w:val="none"/>
          <w:u w:val="single"/>
        </w:rPr>
      </w:pPr>
      <w:bookmarkStart w:id="58" w:name="OLE_LINK3"/>
      <w:bookmarkEnd w:id="58"/>
      <w:r>
        <w:rPr>
          <w:rFonts w:ascii="仿宋" w:hAnsi="仿宋" w:eastAsia="仿宋" w:cs="仿宋"/>
          <w:b/>
          <w:color w:val="auto"/>
          <w:sz w:val="28"/>
          <w:szCs w:val="28"/>
          <w:highlight w:val="none"/>
          <w:u w:val="single"/>
        </w:rPr>
        <w:t>附件2 综合评分表</w:t>
      </w:r>
    </w:p>
    <w:p>
      <w:pPr>
        <w:pStyle w:val="25"/>
        <w:widowControl/>
        <w:ind w:firstLine="562"/>
        <w:rPr>
          <w:rFonts w:hint="eastAsia" w:ascii="仿宋" w:hAnsi="仿宋" w:eastAsia="仿宋" w:cs="仿宋"/>
          <w:b/>
          <w:color w:val="auto"/>
          <w:sz w:val="28"/>
          <w:szCs w:val="28"/>
          <w:highlight w:val="none"/>
          <w:u w:val="single"/>
          <w:lang w:val="en-US" w:eastAsia="zh-CN"/>
        </w:rPr>
      </w:pPr>
      <w:r>
        <w:rPr>
          <w:rFonts w:hint="eastAsia" w:ascii="仿宋" w:hAnsi="仿宋" w:eastAsia="仿宋" w:cs="仿宋"/>
          <w:b/>
          <w:color w:val="auto"/>
          <w:sz w:val="28"/>
          <w:szCs w:val="28"/>
          <w:highlight w:val="none"/>
          <w:u w:val="single"/>
          <w:lang w:eastAsia="zh-CN"/>
        </w:rPr>
        <w:t>附件</w:t>
      </w:r>
      <w:r>
        <w:rPr>
          <w:rFonts w:hint="eastAsia" w:ascii="仿宋" w:hAnsi="仿宋" w:eastAsia="仿宋" w:cs="仿宋"/>
          <w:b/>
          <w:color w:val="auto"/>
          <w:sz w:val="28"/>
          <w:szCs w:val="28"/>
          <w:highlight w:val="none"/>
          <w:u w:val="single"/>
          <w:lang w:val="en-US" w:eastAsia="zh-CN"/>
        </w:rPr>
        <w:t>3 投标申请人声明</w:t>
      </w:r>
    </w:p>
    <w:p>
      <w:pPr>
        <w:pStyle w:val="25"/>
        <w:widowControl/>
        <w:ind w:firstLine="562"/>
        <w:rPr>
          <w:rFonts w:hint="eastAsia" w:ascii="仿宋" w:hAnsi="仿宋" w:eastAsia="仿宋" w:cs="仿宋"/>
          <w:b/>
          <w:color w:val="auto"/>
          <w:kern w:val="0"/>
          <w:sz w:val="28"/>
          <w:szCs w:val="28"/>
          <w:highlight w:val="none"/>
          <w:u w:val="single"/>
          <w:lang w:val="en-US" w:eastAsia="zh-CN"/>
        </w:rPr>
      </w:pPr>
      <w:r>
        <w:rPr>
          <w:rFonts w:hint="eastAsia" w:ascii="仿宋" w:hAnsi="仿宋" w:eastAsia="仿宋" w:cs="仿宋"/>
          <w:b/>
          <w:color w:val="auto"/>
          <w:sz w:val="28"/>
          <w:szCs w:val="28"/>
          <w:highlight w:val="none"/>
          <w:u w:val="single"/>
          <w:lang w:eastAsia="zh-CN"/>
        </w:rPr>
        <w:t>附件</w:t>
      </w:r>
      <w:r>
        <w:rPr>
          <w:rFonts w:hint="eastAsia" w:ascii="仿宋" w:hAnsi="仿宋" w:eastAsia="仿宋" w:cs="仿宋"/>
          <w:b/>
          <w:color w:val="auto"/>
          <w:sz w:val="28"/>
          <w:szCs w:val="28"/>
          <w:highlight w:val="none"/>
          <w:u w:val="single"/>
          <w:lang w:val="en-US" w:eastAsia="zh-CN"/>
        </w:rPr>
        <w:t>4</w:t>
      </w:r>
      <w:r>
        <w:rPr>
          <w:rFonts w:hint="eastAsia" w:ascii="仿宋" w:hAnsi="仿宋" w:eastAsia="仿宋" w:cs="仿宋"/>
          <w:b/>
          <w:color w:val="auto"/>
          <w:kern w:val="0"/>
          <w:sz w:val="28"/>
          <w:szCs w:val="28"/>
          <w:highlight w:val="none"/>
          <w:u w:val="single"/>
          <w:lang w:val="en-US" w:eastAsia="zh-CN"/>
        </w:rPr>
        <w:t>非联合体投标声明（格式自拟）</w:t>
      </w:r>
    </w:p>
    <w:p>
      <w:pPr>
        <w:pStyle w:val="25"/>
        <w:rPr>
          <w:rFonts w:hint="eastAsia" w:ascii="仿宋" w:hAnsi="仿宋" w:eastAsia="仿宋" w:cs="仿宋"/>
          <w:b/>
          <w:color w:val="auto"/>
          <w:kern w:val="0"/>
          <w:sz w:val="28"/>
          <w:szCs w:val="28"/>
          <w:highlight w:val="none"/>
          <w:u w:val="single"/>
          <w:lang w:val="en-US" w:eastAsia="zh-CN" w:bidi="ar-SA"/>
        </w:rPr>
      </w:pPr>
      <w:r>
        <w:rPr>
          <w:rFonts w:hint="eastAsia" w:ascii="仿宋" w:hAnsi="仿宋" w:eastAsia="仿宋" w:cs="仿宋"/>
          <w:b/>
          <w:color w:val="auto"/>
          <w:kern w:val="0"/>
          <w:sz w:val="28"/>
          <w:szCs w:val="28"/>
          <w:highlight w:val="none"/>
          <w:u w:val="single"/>
          <w:lang w:val="en-US" w:eastAsia="zh-CN" w:bidi="ar-SA"/>
        </w:rPr>
        <w:t>附件5 工程量清单（另附）</w:t>
      </w:r>
    </w:p>
    <w:p>
      <w:pPr>
        <w:pStyle w:val="25"/>
        <w:widowControl/>
        <w:ind w:firstLine="562"/>
        <w:rPr>
          <w:rFonts w:hint="eastAsia" w:ascii="仿宋" w:hAnsi="仿宋" w:eastAsia="仿宋" w:cs="仿宋"/>
          <w:b/>
          <w:color w:val="auto"/>
          <w:kern w:val="0"/>
          <w:sz w:val="28"/>
          <w:szCs w:val="28"/>
          <w:highlight w:val="none"/>
          <w:u w:val="single"/>
          <w:lang w:val="en-US" w:eastAsia="zh-CN"/>
        </w:rPr>
      </w:pPr>
    </w:p>
    <w:p>
      <w:pPr>
        <w:snapToGrid w:val="0"/>
        <w:spacing w:line="300" w:lineRule="auto"/>
        <w:outlineLvl w:val="0"/>
        <w:rPr>
          <w:rFonts w:ascii="仿宋" w:hAnsi="仿宋" w:eastAsia="仿宋" w:cs="仿宋"/>
          <w:color w:val="auto"/>
          <w:sz w:val="28"/>
          <w:szCs w:val="28"/>
          <w:highlight w:val="none"/>
        </w:rPr>
      </w:pPr>
      <w:r>
        <w:rPr>
          <w:rFonts w:hint="eastAsia" w:ascii="仿宋" w:hAnsi="仿宋" w:eastAsia="仿宋" w:cs="Times New Roman"/>
          <w:color w:val="auto"/>
          <w:sz w:val="28"/>
          <w:szCs w:val="28"/>
          <w:highlight w:val="none"/>
        </w:rPr>
        <w:br w:type="page"/>
      </w:r>
      <w:bookmarkStart w:id="59" w:name="_Toc5919"/>
      <w:bookmarkStart w:id="60" w:name="_Toc20865"/>
      <w:bookmarkStart w:id="61" w:name="_Toc13788"/>
      <w:bookmarkStart w:id="62" w:name="_Toc18242"/>
      <w:bookmarkStart w:id="63" w:name="_Toc3331"/>
      <w:bookmarkStart w:id="64" w:name="_Toc12170"/>
      <w:bookmarkStart w:id="65" w:name="_Toc6823"/>
      <w:r>
        <w:rPr>
          <w:rFonts w:hint="eastAsia" w:ascii="宋体" w:hAnsi="宋体" w:eastAsia="宋体" w:cs="宋体"/>
          <w:color w:val="auto"/>
          <w:sz w:val="21"/>
          <w:szCs w:val="21"/>
          <w:highlight w:val="none"/>
        </w:rPr>
        <w:t>附件1：符合性审查表</w:t>
      </w:r>
      <w:bookmarkEnd w:id="59"/>
      <w:bookmarkEnd w:id="60"/>
      <w:bookmarkEnd w:id="61"/>
      <w:bookmarkEnd w:id="62"/>
      <w:bookmarkEnd w:id="63"/>
      <w:bookmarkEnd w:id="64"/>
      <w:bookmarkEnd w:id="65"/>
      <w:r>
        <w:rPr>
          <w:rFonts w:hint="eastAsia" w:ascii="仿宋" w:hAnsi="仿宋" w:eastAsia="仿宋" w:cs="仿宋"/>
          <w:color w:val="auto"/>
          <w:sz w:val="28"/>
          <w:szCs w:val="28"/>
          <w:highlight w:val="none"/>
        </w:rPr>
        <w:t xml:space="preserve">  </w:t>
      </w:r>
    </w:p>
    <w:p>
      <w:pPr>
        <w:jc w:val="center"/>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 xml:space="preserve"> 符合性审查表</w:t>
      </w:r>
    </w:p>
    <w:tbl>
      <w:tblPr>
        <w:tblStyle w:val="17"/>
        <w:tblW w:w="8930" w:type="dxa"/>
        <w:tblInd w:w="108" w:type="dxa"/>
        <w:tblLayout w:type="fixed"/>
        <w:tblCellMar>
          <w:top w:w="0" w:type="dxa"/>
          <w:left w:w="108" w:type="dxa"/>
          <w:bottom w:w="0" w:type="dxa"/>
          <w:right w:w="108" w:type="dxa"/>
        </w:tblCellMar>
      </w:tblPr>
      <w:tblGrid>
        <w:gridCol w:w="720"/>
        <w:gridCol w:w="3533"/>
        <w:gridCol w:w="1559"/>
        <w:gridCol w:w="1559"/>
        <w:gridCol w:w="1559"/>
      </w:tblGrid>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107" w:leftChars="-51" w:firstLine="1"/>
              <w:jc w:val="center"/>
              <w:rPr>
                <w:rFonts w:ascii="仿宋" w:hAnsi="仿宋" w:eastAsia="仿宋" w:cs="仿宋"/>
                <w:b/>
                <w:color w:val="auto"/>
                <w:highlight w:val="none"/>
              </w:rPr>
            </w:pPr>
            <w:r>
              <w:rPr>
                <w:rFonts w:hint="eastAsia" w:ascii="仿宋" w:hAnsi="仿宋" w:eastAsia="仿宋" w:cs="仿宋"/>
                <w:b/>
                <w:color w:val="auto"/>
                <w:szCs w:val="21"/>
                <w:highlight w:val="none"/>
              </w:rPr>
              <w:t>序号</w:t>
            </w:r>
          </w:p>
        </w:tc>
        <w:tc>
          <w:tcPr>
            <w:tcW w:w="3533" w:type="dxa"/>
            <w:tcBorders>
              <w:top w:val="single" w:color="auto" w:sz="4" w:space="0"/>
              <w:left w:val="nil"/>
              <w:bottom w:val="single" w:color="auto" w:sz="4" w:space="0"/>
              <w:right w:val="single" w:color="auto" w:sz="4" w:space="0"/>
              <w:tl2br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 xml:space="preserve">   投标人</w:t>
            </w:r>
          </w:p>
          <w:p>
            <w:pPr>
              <w:spacing w:beforeLines="50" w:afterLines="50" w:line="240" w:lineRule="exact"/>
              <w:ind w:left="105" w:leftChars="50" w:right="105" w:rightChars="50"/>
              <w:jc w:val="center"/>
              <w:rPr>
                <w:rFonts w:ascii="仿宋" w:hAnsi="仿宋" w:eastAsia="仿宋" w:cs="仿宋"/>
                <w:b/>
                <w:color w:val="auto"/>
                <w:highlight w:val="none"/>
              </w:rPr>
            </w:pPr>
          </w:p>
          <w:p>
            <w:pPr>
              <w:spacing w:beforeLines="50" w:afterLines="50" w:line="240" w:lineRule="exact"/>
              <w:ind w:left="105" w:leftChars="50" w:right="105" w:rightChars="50"/>
              <w:rPr>
                <w:rFonts w:ascii="仿宋" w:hAnsi="仿宋" w:eastAsia="仿宋" w:cs="仿宋"/>
                <w:b/>
                <w:color w:val="auto"/>
                <w:highlight w:val="none"/>
              </w:rPr>
            </w:pPr>
            <w:r>
              <w:rPr>
                <w:rFonts w:hint="eastAsia" w:ascii="仿宋" w:hAnsi="仿宋" w:eastAsia="仿宋" w:cs="仿宋"/>
                <w:b/>
                <w:color w:val="auto"/>
                <w:szCs w:val="21"/>
                <w:highlight w:val="none"/>
              </w:rPr>
              <w:t>评审项目</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投标人1</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投标人2</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投标人3</w:t>
            </w:r>
          </w:p>
        </w:tc>
      </w:tr>
      <w:tr>
        <w:tblPrEx>
          <w:tblCellMar>
            <w:top w:w="0" w:type="dxa"/>
            <w:left w:w="108" w:type="dxa"/>
            <w:bottom w:w="0" w:type="dxa"/>
            <w:right w:w="108" w:type="dxa"/>
          </w:tblCellMar>
        </w:tblPrEx>
        <w:trPr>
          <w:trHeight w:val="50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w:t>
            </w:r>
          </w:p>
        </w:tc>
        <w:tc>
          <w:tcPr>
            <w:tcW w:w="3533" w:type="dxa"/>
            <w:tcBorders>
              <w:top w:val="single" w:color="auto" w:sz="4" w:space="0"/>
              <w:left w:val="nil"/>
              <w:bottom w:val="single" w:color="auto" w:sz="4" w:space="0"/>
              <w:right w:val="single" w:color="auto" w:sz="4" w:space="0"/>
            </w:tcBorders>
            <w:shd w:val="clear" w:color="auto" w:fill="auto"/>
            <w:vAlign w:val="center"/>
          </w:tcPr>
          <w:p>
            <w:pPr>
              <w:spacing w:beforeLines="50" w:afterLines="50"/>
              <w:ind w:right="105" w:rightChars="50" w:firstLine="18" w:firstLineChars="9"/>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投标文件密封性</w:t>
            </w:r>
            <w:r>
              <w:rPr>
                <w:rFonts w:hint="eastAsia" w:ascii="仿宋" w:hAnsi="仿宋" w:eastAsia="仿宋" w:cs="仿宋"/>
                <w:color w:val="auto"/>
                <w:szCs w:val="21"/>
                <w:highlight w:val="none"/>
                <w:lang w:val="en-US" w:eastAsia="zh-CN"/>
              </w:rPr>
              <w:t>完</w:t>
            </w:r>
            <w:r>
              <w:rPr>
                <w:rFonts w:hint="eastAsia" w:ascii="仿宋" w:hAnsi="仿宋" w:eastAsia="仿宋" w:cs="仿宋"/>
                <w:color w:val="auto"/>
                <w:szCs w:val="21"/>
                <w:highlight w:val="none"/>
              </w:rPr>
              <w:t>好</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77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2</w:t>
            </w:r>
          </w:p>
        </w:tc>
        <w:tc>
          <w:tcPr>
            <w:tcW w:w="3533" w:type="dxa"/>
            <w:tcBorders>
              <w:top w:val="single" w:color="auto" w:sz="4" w:space="0"/>
              <w:left w:val="nil"/>
              <w:bottom w:val="single" w:color="auto" w:sz="4" w:space="0"/>
              <w:right w:val="single" w:color="auto" w:sz="4" w:space="0"/>
            </w:tcBorders>
            <w:shd w:val="clear" w:color="auto" w:fill="auto"/>
            <w:vAlign w:val="center"/>
          </w:tcPr>
          <w:p>
            <w:pPr>
              <w:spacing w:beforeLines="50" w:afterLines="50"/>
              <w:ind w:right="105" w:rightChars="50" w:firstLine="18" w:firstLineChars="9"/>
              <w:jc w:val="left"/>
              <w:rPr>
                <w:rFonts w:ascii="仿宋" w:hAnsi="仿宋" w:eastAsia="仿宋" w:cs="仿宋"/>
                <w:color w:val="auto"/>
                <w:highlight w:val="none"/>
              </w:rPr>
            </w:pPr>
            <w:r>
              <w:rPr>
                <w:rFonts w:hint="eastAsia" w:ascii="仿宋" w:hAnsi="仿宋" w:eastAsia="仿宋" w:cs="仿宋"/>
                <w:color w:val="auto"/>
                <w:szCs w:val="21"/>
                <w:highlight w:val="none"/>
              </w:rPr>
              <w:t>投标函签名、并加盖公章有效，且内容与招标文件相同</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125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3</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hint="eastAsia" w:ascii="仿宋" w:hAnsi="仿宋" w:eastAsia="仿宋" w:cs="仿宋"/>
                <w:color w:val="auto"/>
                <w:highlight w:val="none"/>
                <w:lang w:eastAsia="zh-CN"/>
              </w:rPr>
            </w:pPr>
            <w:r>
              <w:rPr>
                <w:rFonts w:hint="eastAsia" w:ascii="仿宋" w:hAnsi="仿宋" w:eastAsia="仿宋" w:cs="仿宋"/>
                <w:color w:val="auto"/>
                <w:szCs w:val="21"/>
                <w:highlight w:val="none"/>
              </w:rPr>
              <w:t>投标文件中</w:t>
            </w:r>
            <w:r>
              <w:rPr>
                <w:rFonts w:hint="eastAsia" w:ascii="仿宋" w:hAnsi="仿宋" w:eastAsia="仿宋" w:cs="仿宋"/>
                <w:color w:val="auto"/>
                <w:szCs w:val="21"/>
                <w:highlight w:val="none"/>
                <w:lang w:val="en-US" w:eastAsia="zh-CN"/>
              </w:rPr>
              <w:t>附有</w:t>
            </w:r>
            <w:r>
              <w:rPr>
                <w:rFonts w:hint="eastAsia" w:ascii="仿宋" w:hAnsi="仿宋" w:eastAsia="仿宋" w:cs="仿宋"/>
                <w:color w:val="auto"/>
                <w:szCs w:val="21"/>
                <w:highlight w:val="none"/>
              </w:rPr>
              <w:t>有效的营业执照复印件、法定代表人证明书原件，如委托需提供委托授权书原件及受委托人身份证复印件</w:t>
            </w:r>
            <w:r>
              <w:rPr>
                <w:rFonts w:hint="eastAsia" w:ascii="仿宋" w:hAnsi="仿宋" w:eastAsia="仿宋" w:cs="仿宋"/>
                <w:color w:val="auto"/>
                <w:szCs w:val="21"/>
                <w:highlight w:val="none"/>
                <w:lang w:eastAsia="zh-CN"/>
              </w:rPr>
              <w:t>。</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bookmarkStart w:id="89" w:name="_GoBack"/>
            <w:bookmarkEnd w:id="89"/>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4</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hint="eastAsia" w:ascii="仿宋" w:hAnsi="仿宋" w:eastAsia="仿宋" w:cs="仿宋"/>
                <w:color w:val="auto"/>
                <w:highlight w:val="none"/>
                <w:lang w:eastAsia="zh-CN"/>
              </w:rPr>
            </w:pPr>
            <w:r>
              <w:rPr>
                <w:rFonts w:hint="eastAsia" w:ascii="仿宋" w:hAnsi="仿宋" w:eastAsia="仿宋" w:cs="仿宋"/>
                <w:color w:val="auto"/>
                <w:sz w:val="21"/>
                <w:szCs w:val="21"/>
                <w:highlight w:val="none"/>
              </w:rPr>
              <w:t>符合本项目招标公告</w:t>
            </w:r>
            <w:r>
              <w:rPr>
                <w:rFonts w:hint="eastAsia" w:ascii="仿宋" w:hAnsi="仿宋" w:eastAsia="仿宋" w:cs="仿宋"/>
                <w:color w:val="auto"/>
                <w:sz w:val="21"/>
                <w:szCs w:val="21"/>
                <w:highlight w:val="none"/>
                <w:lang w:val="en-US" w:eastAsia="zh-CN"/>
              </w:rPr>
              <w:t>第七条</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kern w:val="2"/>
                <w:sz w:val="21"/>
                <w:szCs w:val="21"/>
                <w:highlight w:val="none"/>
              </w:rPr>
              <w:t>投标人资格要求</w:t>
            </w:r>
            <w:r>
              <w:rPr>
                <w:rFonts w:hint="eastAsia" w:ascii="仿宋" w:hAnsi="仿宋" w:eastAsia="仿宋" w:cs="仿宋"/>
                <w:color w:val="auto"/>
                <w:sz w:val="21"/>
                <w:szCs w:val="21"/>
                <w:highlight w:val="none"/>
                <w:lang w:eastAsia="zh-CN"/>
              </w:rPr>
              <w:t>”。</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598"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5</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hint="eastAsia" w:ascii="仿宋" w:hAnsi="仿宋" w:cs="仿宋" w:eastAsiaTheme="minorEastAsia"/>
                <w:color w:val="auto"/>
                <w:sz w:val="21"/>
                <w:szCs w:val="21"/>
                <w:highlight w:val="none"/>
                <w:lang w:eastAsia="zh-CN"/>
              </w:rPr>
            </w:pPr>
            <w:r>
              <w:rPr>
                <w:rFonts w:hint="eastAsia" w:ascii="仿宋" w:hAnsi="仿宋" w:eastAsia="仿宋" w:cs="仿宋"/>
                <w:color w:val="auto"/>
                <w:sz w:val="21"/>
                <w:szCs w:val="21"/>
                <w:highlight w:val="none"/>
              </w:rPr>
              <w:t>投标报价不超过</w:t>
            </w:r>
            <w:r>
              <w:rPr>
                <w:rFonts w:hint="eastAsia" w:ascii="仿宋" w:hAnsi="仿宋" w:eastAsia="仿宋" w:cs="仿宋"/>
                <w:color w:val="auto"/>
                <w:sz w:val="21"/>
                <w:szCs w:val="21"/>
                <w:highlight w:val="none"/>
                <w:lang w:eastAsia="zh-CN"/>
              </w:rPr>
              <w:t>招标控制价</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508"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6</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 w:val="21"/>
                <w:szCs w:val="21"/>
                <w:highlight w:val="none"/>
                <w:lang w:val="en-US" w:eastAsia="zh-CN"/>
              </w:rPr>
              <w:t>无“未实质性响应招标文件”的情况</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contextualSpacing w:val="0"/>
              <w:jc w:val="center"/>
              <w:rPr>
                <w:rFonts w:ascii="仿宋" w:hAnsi="仿宋" w:eastAsia="仿宋" w:cs="仿宋"/>
                <w:color w:val="auto"/>
                <w:szCs w:val="21"/>
                <w:highlight w:val="none"/>
              </w:rPr>
            </w:pPr>
            <w:r>
              <w:rPr>
                <w:rFonts w:hint="default" w:ascii="仿宋" w:hAnsi="仿宋" w:eastAsia="仿宋" w:cs="仿宋"/>
                <w:color w:val="auto"/>
                <w:szCs w:val="21"/>
                <w:highlight w:val="none"/>
              </w:rPr>
              <w:t>结论</w:t>
            </w:r>
          </w:p>
        </w:tc>
        <w:tc>
          <w:tcPr>
            <w:tcW w:w="3533"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51"/>
              <w:contextualSpacing w:val="0"/>
              <w:jc w:val="both"/>
              <w:rPr>
                <w:rFonts w:ascii="仿宋" w:hAnsi="仿宋" w:eastAsia="仿宋" w:cs="仿宋"/>
                <w:color w:val="auto"/>
                <w:szCs w:val="21"/>
                <w:highlight w:val="none"/>
              </w:rPr>
            </w:pPr>
            <w:r>
              <w:rPr>
                <w:rFonts w:hint="default" w:ascii="仿宋" w:hAnsi="仿宋" w:eastAsia="仿宋" w:cs="仿宋"/>
                <w:color w:val="auto"/>
                <w:szCs w:val="21"/>
                <w:highlight w:val="none"/>
              </w:rPr>
              <w:t>是否通过并进入下一阶段评审</w:t>
            </w:r>
            <w:r>
              <w:rPr>
                <w:rFonts w:hint="default" w:ascii="仿宋" w:hAnsi="仿宋" w:eastAsia="仿宋" w:cs="仿宋"/>
                <w:color w:val="auto"/>
                <w:szCs w:val="21"/>
                <w:highlight w:val="none"/>
                <w:lang w:eastAsia="zh-CN"/>
              </w:rPr>
              <w:t>。</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bl>
    <w:p>
      <w:pPr>
        <w:snapToGrid w:val="0"/>
        <w:spacing w:line="300" w:lineRule="auto"/>
        <w:jc w:val="left"/>
        <w:rPr>
          <w:rFonts w:ascii="仿宋" w:hAnsi="仿宋" w:eastAsia="仿宋" w:cs="Courier New"/>
          <w:color w:val="auto"/>
          <w:sz w:val="24"/>
          <w:highlight w:val="none"/>
        </w:rPr>
      </w:pPr>
      <w:r>
        <w:rPr>
          <w:rFonts w:hint="eastAsia" w:ascii="仿宋" w:hAnsi="仿宋" w:eastAsia="仿宋" w:cs="Courier New"/>
          <w:color w:val="auto"/>
          <w:sz w:val="24"/>
          <w:highlight w:val="none"/>
        </w:rPr>
        <w:t>注：</w:t>
      </w:r>
    </w:p>
    <w:p>
      <w:pPr>
        <w:snapToGrid w:val="0"/>
        <w:ind w:left="74"/>
        <w:rPr>
          <w:rFonts w:ascii="仿宋" w:hAnsi="仿宋" w:eastAsia="仿宋" w:cs="Courier New"/>
          <w:color w:val="auto"/>
          <w:sz w:val="24"/>
          <w:highlight w:val="none"/>
        </w:rPr>
      </w:pPr>
      <w:r>
        <w:rPr>
          <w:rFonts w:hint="eastAsia" w:ascii="仿宋" w:hAnsi="仿宋" w:eastAsia="仿宋" w:cs="Courier New"/>
          <w:color w:val="auto"/>
          <w:sz w:val="24"/>
          <w:highlight w:val="none"/>
        </w:rPr>
        <w:t>1.符合以上情形打“〇”，不符合以上任一情形打“×”，全部为“〇”结论均为“通过”，否则就为“不通过”。</w:t>
      </w:r>
    </w:p>
    <w:p>
      <w:pPr>
        <w:snapToGrid w:val="0"/>
        <w:spacing w:line="300" w:lineRule="auto"/>
        <w:ind w:firstLine="120" w:firstLineChars="50"/>
        <w:rPr>
          <w:rFonts w:ascii="仿宋" w:hAnsi="仿宋" w:eastAsia="仿宋" w:cs="仿宋"/>
          <w:color w:val="auto"/>
          <w:sz w:val="28"/>
          <w:szCs w:val="28"/>
          <w:highlight w:val="none"/>
        </w:rPr>
      </w:pPr>
      <w:r>
        <w:rPr>
          <w:rFonts w:hint="eastAsia" w:ascii="仿宋" w:hAnsi="仿宋" w:eastAsia="仿宋" w:cs="Courier New"/>
          <w:color w:val="auto"/>
          <w:sz w:val="24"/>
          <w:highlight w:val="none"/>
        </w:rPr>
        <w:t>2.如对本表中某种情形的评审意见不一致时，以专家组过半数成员的意见作为专家组对该情形的认定结论。</w:t>
      </w:r>
      <w:r>
        <w:rPr>
          <w:rFonts w:hint="eastAsia" w:ascii="仿宋" w:hAnsi="仿宋" w:eastAsia="仿宋" w:cs="Courier New"/>
          <w:color w:val="auto"/>
          <w:sz w:val="28"/>
          <w:szCs w:val="28"/>
          <w:highlight w:val="none"/>
        </w:rPr>
        <w:t xml:space="preserve"> </w:t>
      </w:r>
      <w:r>
        <w:rPr>
          <w:rFonts w:hint="eastAsia" w:ascii="仿宋" w:hAnsi="仿宋" w:eastAsia="仿宋" w:cs="仿宋"/>
          <w:color w:val="auto"/>
          <w:sz w:val="28"/>
          <w:szCs w:val="28"/>
          <w:highlight w:val="none"/>
        </w:rPr>
        <w:t xml:space="preserve">    </w:t>
      </w:r>
    </w:p>
    <w:p>
      <w:pPr>
        <w:snapToGrid w:val="0"/>
        <w:ind w:left="74"/>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 xml:space="preserve"> </w:t>
      </w:r>
    </w:p>
    <w:p>
      <w:pPr>
        <w:snapToGrid w:val="0"/>
        <w:ind w:left="74"/>
        <w:rPr>
          <w:rFonts w:ascii="仿宋" w:hAnsi="仿宋" w:eastAsia="仿宋" w:cs="Courier New"/>
          <w:color w:val="auto"/>
          <w:sz w:val="28"/>
          <w:szCs w:val="28"/>
          <w:highlight w:val="none"/>
        </w:rPr>
      </w:pPr>
      <w:r>
        <w:rPr>
          <w:rFonts w:hint="eastAsia" w:ascii="仿宋" w:hAnsi="仿宋" w:eastAsia="仿宋" w:cs="Courier New"/>
          <w:color w:val="auto"/>
          <w:sz w:val="28"/>
          <w:szCs w:val="28"/>
          <w:highlight w:val="none"/>
        </w:rPr>
        <w:t>评标专家签名：                     日期：</w:t>
      </w:r>
    </w:p>
    <w:p>
      <w:pPr>
        <w:snapToGrid w:val="0"/>
        <w:ind w:left="74"/>
        <w:rPr>
          <w:rFonts w:ascii="仿宋" w:hAnsi="仿宋" w:eastAsia="仿宋" w:cs="Courier New"/>
          <w:color w:val="auto"/>
          <w:sz w:val="28"/>
          <w:szCs w:val="28"/>
          <w:highlight w:val="none"/>
        </w:rPr>
      </w:pPr>
    </w:p>
    <w:p>
      <w:pPr>
        <w:snapToGrid w:val="0"/>
        <w:ind w:left="74"/>
        <w:outlineLvl w:val="0"/>
        <w:rPr>
          <w:rFonts w:ascii="仿宋" w:hAnsi="仿宋" w:eastAsia="仿宋" w:cs="仿宋"/>
          <w:b/>
          <w:color w:val="auto"/>
          <w:sz w:val="24"/>
          <w:highlight w:val="none"/>
        </w:rPr>
        <w:sectPr>
          <w:footerReference r:id="rId5" w:type="default"/>
          <w:pgSz w:w="11906" w:h="16838"/>
          <w:pgMar w:top="1440" w:right="1797" w:bottom="1440" w:left="1797" w:header="720" w:footer="720" w:gutter="0"/>
          <w:pgNumType w:fmt="decimal"/>
          <w:cols w:space="0" w:num="1"/>
          <w:rtlGutter w:val="0"/>
          <w:docGrid w:linePitch="312" w:charSpace="0"/>
        </w:sectPr>
      </w:pPr>
      <w:bookmarkStart w:id="66" w:name="_Toc18783"/>
    </w:p>
    <w:bookmarkEnd w:id="66"/>
    <w:p>
      <w:pPr>
        <w:snapToGrid w:val="0"/>
        <w:ind w:left="74"/>
        <w:outlineLvl w:val="0"/>
        <w:rPr>
          <w:rFonts w:hint="eastAsia" w:ascii="宋体" w:hAnsi="宋体" w:eastAsia="宋体" w:cs="宋体"/>
          <w:b w:val="0"/>
          <w:bCs/>
          <w:color w:val="auto"/>
          <w:sz w:val="21"/>
          <w:szCs w:val="21"/>
          <w:highlight w:val="none"/>
        </w:rPr>
      </w:pPr>
      <w:bookmarkStart w:id="67" w:name="_Toc4185"/>
      <w:bookmarkStart w:id="68" w:name="_Toc12016"/>
      <w:bookmarkStart w:id="69" w:name="_Toc22905"/>
      <w:bookmarkStart w:id="70" w:name="_Toc15156"/>
      <w:bookmarkStart w:id="71" w:name="_Toc18739"/>
      <w:bookmarkStart w:id="72" w:name="_Toc20704"/>
      <w:bookmarkStart w:id="73" w:name="_Toc31760"/>
      <w:bookmarkStart w:id="74" w:name="_Toc2642"/>
      <w:bookmarkStart w:id="75" w:name="_Toc32519"/>
      <w:bookmarkStart w:id="76" w:name="_Toc13000"/>
      <w:bookmarkStart w:id="77" w:name="_Toc6504"/>
      <w:bookmarkStart w:id="78" w:name="_Toc15249"/>
      <w:r>
        <w:rPr>
          <w:rFonts w:hint="eastAsia" w:ascii="宋体" w:hAnsi="宋体" w:eastAsia="宋体" w:cs="宋体"/>
          <w:b w:val="0"/>
          <w:bCs/>
          <w:color w:val="auto"/>
          <w:sz w:val="21"/>
          <w:szCs w:val="21"/>
          <w:highlight w:val="none"/>
        </w:rPr>
        <w:t>附件2综合评分表（100分）</w:t>
      </w:r>
      <w:bookmarkEnd w:id="67"/>
      <w:bookmarkEnd w:id="68"/>
      <w:bookmarkEnd w:id="69"/>
      <w:bookmarkEnd w:id="70"/>
      <w:bookmarkEnd w:id="71"/>
      <w:bookmarkEnd w:id="72"/>
      <w:bookmarkEnd w:id="73"/>
      <w:bookmarkEnd w:id="74"/>
      <w:bookmarkEnd w:id="75"/>
      <w:bookmarkEnd w:id="76"/>
    </w:p>
    <w:p>
      <w:pPr>
        <w:pStyle w:val="2"/>
        <w:rPr>
          <w:rFonts w:hint="eastAsia" w:ascii="宋体" w:hAnsi="Courier New" w:eastAsia="宋体" w:cs="Times New Roman"/>
          <w:b w:val="0"/>
          <w:bCs w:val="0"/>
          <w:sz w:val="21"/>
          <w:szCs w:val="21"/>
        </w:rPr>
      </w:pPr>
    </w:p>
    <w:tbl>
      <w:tblPr>
        <w:tblStyle w:val="17"/>
        <w:tblW w:w="127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0"/>
        <w:gridCol w:w="1560"/>
        <w:gridCol w:w="735"/>
        <w:gridCol w:w="8730"/>
        <w:gridCol w:w="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8" w:hRule="atLeast"/>
          <w:jc w:val="center"/>
        </w:trPr>
        <w:tc>
          <w:tcPr>
            <w:tcW w:w="1090" w:type="dxa"/>
            <w:shd w:val="clear" w:color="auto" w:fill="auto"/>
            <w:vAlign w:val="center"/>
          </w:tcPr>
          <w:p>
            <w:pPr>
              <w:snapToGrid w:val="0"/>
              <w:ind w:left="-2" w:leftChars="-1"/>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评审项目</w:t>
            </w:r>
          </w:p>
        </w:tc>
        <w:tc>
          <w:tcPr>
            <w:tcW w:w="1560" w:type="dxa"/>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类别</w:t>
            </w:r>
          </w:p>
        </w:tc>
        <w:tc>
          <w:tcPr>
            <w:tcW w:w="735" w:type="dxa"/>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分项</w:t>
            </w:r>
          </w:p>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分值</w:t>
            </w:r>
          </w:p>
        </w:tc>
        <w:tc>
          <w:tcPr>
            <w:tcW w:w="8730" w:type="dxa"/>
            <w:shd w:val="clear" w:color="auto" w:fill="auto"/>
            <w:vAlign w:val="center"/>
          </w:tcPr>
          <w:p>
            <w:pPr>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 分 说 明</w:t>
            </w:r>
          </w:p>
        </w:tc>
        <w:tc>
          <w:tcPr>
            <w:tcW w:w="680" w:type="dxa"/>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20" w:hRule="atLeast"/>
          <w:jc w:val="center"/>
        </w:trPr>
        <w:tc>
          <w:tcPr>
            <w:tcW w:w="1090" w:type="dxa"/>
            <w:vMerge w:val="restart"/>
            <w:shd w:val="clear" w:color="auto" w:fill="auto"/>
            <w:vAlign w:val="center"/>
          </w:tcPr>
          <w:p>
            <w:pPr>
              <w:pageBreakBefore w:val="0"/>
              <w:widowControl w:val="0"/>
              <w:kinsoku/>
              <w:wordWrap/>
              <w:overflowPunct/>
              <w:topLinePunct w:val="0"/>
              <w:autoSpaceDN/>
              <w:bidi w:val="0"/>
              <w:snapToGrid w:val="0"/>
              <w:spacing w:line="360" w:lineRule="exact"/>
              <w:ind w:left="-2" w:leftChars="-1"/>
              <w:jc w:val="center"/>
              <w:textAlignment w:val="auto"/>
              <w:rPr>
                <w:rFonts w:hint="eastAsia" w:ascii="宋体" w:hAnsi="宋体" w:eastAsia="宋体" w:cs="宋体"/>
                <w:b w:val="0"/>
                <w:bCs w:val="0"/>
                <w:color w:val="auto"/>
                <w:sz w:val="21"/>
                <w:szCs w:val="21"/>
                <w:highlight w:val="none"/>
              </w:rPr>
            </w:pPr>
          </w:p>
          <w:p>
            <w:pPr>
              <w:pageBreakBefore w:val="0"/>
              <w:widowControl w:val="0"/>
              <w:kinsoku/>
              <w:wordWrap/>
              <w:overflowPunct/>
              <w:topLinePunct w:val="0"/>
              <w:autoSpaceDN/>
              <w:bidi w:val="0"/>
              <w:snapToGrid w:val="0"/>
              <w:spacing w:line="360" w:lineRule="exact"/>
              <w:ind w:left="-2" w:leftChars="-1"/>
              <w:jc w:val="center"/>
              <w:textAlignment w:val="auto"/>
              <w:rPr>
                <w:rFonts w:hint="eastAsia" w:ascii="宋体" w:hAnsi="宋体" w:eastAsia="宋体" w:cs="宋体"/>
                <w:b w:val="0"/>
                <w:bCs w:val="0"/>
                <w:color w:val="auto"/>
                <w:sz w:val="21"/>
                <w:szCs w:val="21"/>
                <w:highlight w:val="none"/>
              </w:rPr>
            </w:pPr>
          </w:p>
          <w:p>
            <w:pPr>
              <w:pageBreakBefore w:val="0"/>
              <w:widowControl w:val="0"/>
              <w:kinsoku/>
              <w:wordWrap/>
              <w:overflowPunct/>
              <w:topLinePunct w:val="0"/>
              <w:autoSpaceDN/>
              <w:bidi w:val="0"/>
              <w:snapToGrid w:val="0"/>
              <w:spacing w:line="360" w:lineRule="exact"/>
              <w:ind w:left="-2" w:leftChars="-1"/>
              <w:jc w:val="center"/>
              <w:textAlignment w:val="auto"/>
              <w:rPr>
                <w:rFonts w:hint="eastAsia" w:ascii="宋体" w:hAnsi="宋体" w:eastAsia="宋体" w:cs="宋体"/>
                <w:b w:val="0"/>
                <w:bCs w:val="0"/>
                <w:color w:val="auto"/>
                <w:sz w:val="21"/>
                <w:szCs w:val="21"/>
                <w:highlight w:val="none"/>
              </w:rPr>
            </w:pPr>
          </w:p>
          <w:p>
            <w:pPr>
              <w:pageBreakBefore w:val="0"/>
              <w:widowControl w:val="0"/>
              <w:kinsoku/>
              <w:wordWrap/>
              <w:overflowPunct/>
              <w:topLinePunct w:val="0"/>
              <w:autoSpaceDN/>
              <w:bidi w:val="0"/>
              <w:snapToGrid w:val="0"/>
              <w:spacing w:line="360" w:lineRule="exact"/>
              <w:ind w:left="-2" w:leftChars="-1"/>
              <w:jc w:val="center"/>
              <w:textAlignment w:val="auto"/>
              <w:rPr>
                <w:rFonts w:hint="eastAsia" w:ascii="宋体" w:hAnsi="宋体" w:eastAsia="宋体" w:cs="宋体"/>
                <w:b w:val="0"/>
                <w:bCs w:val="0"/>
                <w:color w:val="auto"/>
                <w:sz w:val="21"/>
                <w:szCs w:val="21"/>
                <w:highlight w:val="none"/>
              </w:rPr>
            </w:pPr>
          </w:p>
          <w:p>
            <w:pPr>
              <w:pageBreakBefore w:val="0"/>
              <w:widowControl w:val="0"/>
              <w:kinsoku/>
              <w:wordWrap/>
              <w:overflowPunct/>
              <w:topLinePunct w:val="0"/>
              <w:autoSpaceDN/>
              <w:bidi w:val="0"/>
              <w:snapToGrid w:val="0"/>
              <w:spacing w:line="360" w:lineRule="exact"/>
              <w:ind w:left="-2" w:leftChars="-1"/>
              <w:jc w:val="center"/>
              <w:textAlignment w:val="auto"/>
              <w:rPr>
                <w:rFonts w:hint="eastAsia" w:ascii="宋体" w:hAnsi="宋体" w:eastAsia="宋体" w:cs="宋体"/>
                <w:b w:val="0"/>
                <w:bCs w:val="0"/>
                <w:color w:val="auto"/>
                <w:sz w:val="21"/>
                <w:szCs w:val="21"/>
                <w:highlight w:val="none"/>
              </w:rPr>
            </w:pPr>
          </w:p>
          <w:p>
            <w:pPr>
              <w:pageBreakBefore w:val="0"/>
              <w:widowControl w:val="0"/>
              <w:kinsoku/>
              <w:wordWrap/>
              <w:overflowPunct/>
              <w:topLinePunct w:val="0"/>
              <w:autoSpaceDN/>
              <w:bidi w:val="0"/>
              <w:snapToGrid w:val="0"/>
              <w:spacing w:line="360" w:lineRule="exact"/>
              <w:ind w:left="-2" w:leftChars="-1"/>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商务部分</w:t>
            </w:r>
          </w:p>
          <w:p>
            <w:pPr>
              <w:pStyle w:val="8"/>
              <w:pageBreakBefore w:val="0"/>
              <w:widowControl w:val="0"/>
              <w:kinsoku/>
              <w:wordWrap/>
              <w:overflowPunct/>
              <w:topLinePunct w:val="0"/>
              <w:autoSpaceDN/>
              <w:bidi w:val="0"/>
              <w:spacing w:line="360" w:lineRule="exact"/>
              <w:ind w:left="0" w:leftChars="0" w:firstLine="0" w:firstLineChars="0"/>
              <w:jc w:val="center"/>
              <w:textAlignment w:val="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w:t>
            </w:r>
            <w:r>
              <w:rPr>
                <w:rFonts w:hint="eastAsia"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lang w:val="en-US" w:eastAsia="zh-CN"/>
              </w:rPr>
              <w:t>0分</w:t>
            </w:r>
            <w:r>
              <w:rPr>
                <w:rFonts w:hint="eastAsia" w:ascii="宋体" w:hAnsi="宋体" w:eastAsia="宋体" w:cs="宋体"/>
                <w:b w:val="0"/>
                <w:bCs w:val="0"/>
                <w:color w:val="auto"/>
                <w:sz w:val="21"/>
                <w:szCs w:val="21"/>
                <w:highlight w:val="none"/>
                <w:lang w:eastAsia="zh-CN"/>
              </w:rPr>
              <w:t>）</w:t>
            </w:r>
          </w:p>
          <w:p>
            <w:pPr>
              <w:pageBreakBefore w:val="0"/>
              <w:widowControl w:val="0"/>
              <w:kinsoku/>
              <w:wordWrap/>
              <w:overflowPunct/>
              <w:topLinePunct w:val="0"/>
              <w:autoSpaceDN/>
              <w:bidi w:val="0"/>
              <w:snapToGrid w:val="0"/>
              <w:spacing w:line="360" w:lineRule="exact"/>
              <w:ind w:left="-2" w:leftChars="-1"/>
              <w:jc w:val="center"/>
              <w:textAlignment w:val="auto"/>
              <w:rPr>
                <w:rFonts w:hint="eastAsia" w:ascii="宋体" w:hAnsi="宋体" w:eastAsia="宋体" w:cs="宋体"/>
                <w:color w:val="auto"/>
                <w:szCs w:val="21"/>
                <w:highlight w:val="none"/>
                <w:lang w:eastAsia="zh-CN"/>
              </w:rPr>
            </w:pPr>
          </w:p>
          <w:p>
            <w:pPr>
              <w:pageBreakBefore w:val="0"/>
              <w:widowControl w:val="0"/>
              <w:kinsoku/>
              <w:wordWrap/>
              <w:overflowPunct/>
              <w:topLinePunct w:val="0"/>
              <w:autoSpaceDN/>
              <w:bidi w:val="0"/>
              <w:spacing w:line="360" w:lineRule="exact"/>
              <w:ind w:left="-2" w:leftChars="-1"/>
              <w:textAlignment w:val="auto"/>
              <w:rPr>
                <w:rFonts w:hint="eastAsia"/>
                <w:highlight w:val="none"/>
                <w:lang w:eastAsia="zh-CN"/>
              </w:rPr>
            </w:pPr>
          </w:p>
          <w:p>
            <w:pPr>
              <w:pageBreakBefore w:val="0"/>
              <w:widowControl w:val="0"/>
              <w:kinsoku/>
              <w:wordWrap/>
              <w:overflowPunct/>
              <w:topLinePunct w:val="0"/>
              <w:autoSpaceDN/>
              <w:bidi w:val="0"/>
              <w:snapToGrid w:val="0"/>
              <w:spacing w:line="360" w:lineRule="exact"/>
              <w:ind w:left="-2" w:leftChars="-1"/>
              <w:jc w:val="center"/>
              <w:textAlignment w:val="auto"/>
              <w:rPr>
                <w:rFonts w:hint="eastAsia"/>
                <w:highlight w:val="none"/>
              </w:rPr>
            </w:pPr>
          </w:p>
          <w:p>
            <w:pPr>
              <w:pStyle w:val="6"/>
              <w:rPr>
                <w:rFonts w:hint="eastAsia"/>
                <w:highlight w:val="none"/>
              </w:rPr>
            </w:pPr>
          </w:p>
        </w:tc>
        <w:tc>
          <w:tcPr>
            <w:tcW w:w="1560" w:type="dxa"/>
            <w:shd w:val="clear" w:color="auto" w:fill="auto"/>
            <w:vAlign w:val="center"/>
          </w:tcPr>
          <w:p>
            <w:pPr>
              <w:pageBreakBefore w:val="0"/>
              <w:widowControl w:val="0"/>
              <w:kinsoku/>
              <w:wordWrap/>
              <w:overflowPunct/>
              <w:topLinePunct w:val="0"/>
              <w:autoSpaceDN/>
              <w:bidi w:val="0"/>
              <w:snapToGrid/>
              <w:spacing w:line="360" w:lineRule="exact"/>
              <w:ind w:left="42" w:leftChars="20" w:right="42" w:rightChars="20"/>
              <w:jc w:val="center"/>
              <w:textAlignment w:val="auto"/>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企业资质</w:t>
            </w:r>
          </w:p>
        </w:tc>
        <w:tc>
          <w:tcPr>
            <w:tcW w:w="735" w:type="dxa"/>
            <w:shd w:val="clear" w:color="auto" w:fill="auto"/>
            <w:vAlign w:val="center"/>
          </w:tcPr>
          <w:p>
            <w:pPr>
              <w:pageBreakBefore w:val="0"/>
              <w:widowControl w:val="0"/>
              <w:kinsoku/>
              <w:wordWrap/>
              <w:overflowPunct/>
              <w:topLinePunct w:val="0"/>
              <w:autoSpaceDN/>
              <w:bidi w:val="0"/>
              <w:spacing w:line="360" w:lineRule="exact"/>
              <w:ind w:left="42" w:leftChars="20" w:right="42" w:rightChars="20"/>
              <w:jc w:val="center"/>
              <w:textAlignment w:val="auto"/>
              <w:rPr>
                <w:rFonts w:hint="default" w:ascii="宋体" w:hAnsi="宋体" w:eastAsia="宋体" w:cs="宋体"/>
                <w:color w:val="auto"/>
                <w:szCs w:val="21"/>
                <w:highlight w:val="none"/>
                <w:lang w:val="en-US" w:eastAsia="zh-CN"/>
              </w:rPr>
            </w:pPr>
            <w:r>
              <w:rPr>
                <w:rFonts w:hint="eastAsia" w:ascii="宋体" w:hAnsi="宋体" w:eastAsia="宋体" w:cs="宋体"/>
                <w:b w:val="0"/>
                <w:bCs w:val="0"/>
                <w:color w:val="auto"/>
                <w:sz w:val="21"/>
                <w:szCs w:val="21"/>
                <w:highlight w:val="none"/>
                <w:lang w:val="en-US" w:eastAsia="zh-CN"/>
              </w:rPr>
              <w:t>10</w:t>
            </w:r>
          </w:p>
        </w:tc>
        <w:tc>
          <w:tcPr>
            <w:tcW w:w="8730" w:type="dxa"/>
            <w:shd w:val="clear" w:color="auto" w:fill="auto"/>
            <w:vAlign w:val="center"/>
          </w:tcPr>
          <w:p>
            <w:pPr>
              <w:widowControl/>
              <w:spacing w:line="360" w:lineRule="auto"/>
              <w:jc w:val="left"/>
              <w:textAlignment w:val="center"/>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投标人同时具有市政公用工程施工总承包三级</w:t>
            </w:r>
            <w:r>
              <w:rPr>
                <w:rFonts w:hint="eastAsia" w:ascii="宋体" w:hAnsi="宋体" w:eastAsia="宋体" w:cs="宋体"/>
                <w:color w:val="auto"/>
                <w:sz w:val="21"/>
                <w:szCs w:val="21"/>
                <w:highlight w:val="none"/>
                <w:lang w:val="en-US" w:eastAsia="zh-CN"/>
              </w:rPr>
              <w:t>或以上资质</w:t>
            </w:r>
            <w:r>
              <w:rPr>
                <w:rFonts w:hint="eastAsia" w:ascii="Times New Roman" w:hAnsi="Times New Roman" w:eastAsia="宋体" w:cs="Times New Roman"/>
                <w:highlight w:val="none"/>
                <w:lang w:val="en-US" w:eastAsia="zh-CN"/>
              </w:rPr>
              <w:t>和环保工程专业承包三级或以上资质的，得10分，其他不得分。</w:t>
            </w:r>
          </w:p>
          <w:p>
            <w:pPr>
              <w:pStyle w:val="38"/>
              <w:pageBreakBefore w:val="0"/>
              <w:widowControl w:val="0"/>
              <w:numPr>
                <w:ilvl w:val="-1"/>
                <w:numId w:val="0"/>
              </w:numPr>
              <w:tabs>
                <w:tab w:val="left" w:pos="360"/>
              </w:tabs>
              <w:kinsoku/>
              <w:wordWrap/>
              <w:overflowPunct/>
              <w:topLinePunct w:val="0"/>
              <w:autoSpaceDN/>
              <w:bidi w:val="0"/>
              <w:snapToGrid w:val="0"/>
              <w:spacing w:line="360" w:lineRule="exact"/>
              <w:ind w:firstLine="0" w:firstLineChars="0"/>
              <w:textAlignment w:val="auto"/>
              <w:rPr>
                <w:rFonts w:hint="eastAsia" w:ascii="宋体" w:hAnsi="宋体" w:cs="宋体"/>
                <w:sz w:val="21"/>
                <w:szCs w:val="21"/>
                <w:highlight w:val="none"/>
                <w:lang w:val="en-US" w:eastAsia="zh-CN"/>
              </w:rPr>
            </w:pPr>
            <w:r>
              <w:rPr>
                <w:rFonts w:hint="eastAsia" w:ascii="宋体" w:hAnsi="宋体" w:eastAsia="宋体" w:cs="宋体"/>
                <w:bCs w:val="0"/>
                <w:color w:val="auto"/>
                <w:kern w:val="2"/>
                <w:sz w:val="21"/>
                <w:szCs w:val="21"/>
                <w:highlight w:val="none"/>
                <w:lang w:val="en-US" w:eastAsia="zh-CN" w:bidi="ar-SA"/>
              </w:rPr>
              <w:t>注：</w:t>
            </w:r>
            <w:r>
              <w:rPr>
                <w:rFonts w:hint="eastAsia" w:ascii="宋体" w:hAnsi="宋体" w:eastAsia="宋体" w:cs="宋体"/>
                <w:kern w:val="2"/>
                <w:sz w:val="21"/>
                <w:szCs w:val="21"/>
                <w:highlight w:val="none"/>
                <w:lang w:val="en-US" w:eastAsia="zh-CN" w:bidi="ar-SA"/>
              </w:rPr>
              <w:t>提供公司资质证书复印件加盖公章，</w:t>
            </w:r>
            <w:r>
              <w:rPr>
                <w:rFonts w:hint="eastAsia" w:ascii="宋体" w:hAnsi="宋体" w:eastAsia="宋体" w:cs="宋体"/>
                <w:color w:val="auto"/>
                <w:kern w:val="2"/>
                <w:sz w:val="21"/>
                <w:szCs w:val="21"/>
                <w:highlight w:val="none"/>
                <w:lang w:val="en-US" w:eastAsia="zh-CN" w:bidi="ar-SA"/>
              </w:rPr>
              <w:t>不提供不得分</w:t>
            </w:r>
            <w:r>
              <w:rPr>
                <w:rFonts w:hint="eastAsia" w:ascii="宋体" w:hAnsi="宋体" w:eastAsia="宋体" w:cs="宋体"/>
                <w:kern w:val="2"/>
                <w:sz w:val="21"/>
                <w:szCs w:val="21"/>
                <w:highlight w:val="none"/>
                <w:lang w:val="en-US" w:eastAsia="zh-CN" w:bidi="ar-SA"/>
              </w:rPr>
              <w:t>。</w:t>
            </w:r>
          </w:p>
        </w:tc>
        <w:tc>
          <w:tcPr>
            <w:tcW w:w="680" w:type="dxa"/>
            <w:shd w:val="clear" w:color="auto" w:fill="auto"/>
            <w:vAlign w:val="center"/>
          </w:tcPr>
          <w:p>
            <w:pPr>
              <w:spacing w:line="360" w:lineRule="exact"/>
              <w:ind w:left="-2" w:leftChars="-1"/>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50" w:hRule="atLeast"/>
          <w:jc w:val="center"/>
        </w:trPr>
        <w:tc>
          <w:tcPr>
            <w:tcW w:w="1090" w:type="dxa"/>
            <w:vMerge w:val="continue"/>
            <w:shd w:val="clear" w:color="auto" w:fill="auto"/>
            <w:vAlign w:val="center"/>
          </w:tcPr>
          <w:p>
            <w:pPr>
              <w:pageBreakBefore w:val="0"/>
              <w:widowControl w:val="0"/>
              <w:kinsoku/>
              <w:wordWrap/>
              <w:overflowPunct/>
              <w:topLinePunct w:val="0"/>
              <w:autoSpaceDN/>
              <w:bidi w:val="0"/>
              <w:snapToGrid w:val="0"/>
              <w:spacing w:line="360" w:lineRule="exact"/>
              <w:ind w:left="-2" w:leftChars="-1"/>
              <w:jc w:val="center"/>
              <w:textAlignment w:val="auto"/>
              <w:rPr>
                <w:rFonts w:hint="eastAsia" w:ascii="宋体" w:hAnsi="宋体" w:eastAsia="宋体" w:cs="宋体"/>
                <w:color w:val="auto"/>
                <w:szCs w:val="21"/>
                <w:highlight w:val="none"/>
              </w:rPr>
            </w:pPr>
          </w:p>
        </w:tc>
        <w:tc>
          <w:tcPr>
            <w:tcW w:w="1560" w:type="dxa"/>
            <w:shd w:val="clear" w:color="auto" w:fill="auto"/>
            <w:vAlign w:val="center"/>
          </w:tcPr>
          <w:p>
            <w:pPr>
              <w:pageBreakBefore w:val="0"/>
              <w:widowControl w:val="0"/>
              <w:kinsoku/>
              <w:wordWrap/>
              <w:overflowPunct/>
              <w:topLinePunct w:val="0"/>
              <w:autoSpaceDN/>
              <w:bidi w:val="0"/>
              <w:snapToGrid/>
              <w:spacing w:line="360" w:lineRule="exact"/>
              <w:ind w:left="42" w:leftChars="20" w:right="42" w:rightChars="2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企业业绩</w:t>
            </w:r>
          </w:p>
        </w:tc>
        <w:tc>
          <w:tcPr>
            <w:tcW w:w="735" w:type="dxa"/>
            <w:shd w:val="clear" w:color="auto" w:fill="auto"/>
            <w:vAlign w:val="center"/>
          </w:tcPr>
          <w:p>
            <w:pPr>
              <w:pageBreakBefore w:val="0"/>
              <w:widowControl w:val="0"/>
              <w:kinsoku/>
              <w:wordWrap/>
              <w:overflowPunct/>
              <w:topLinePunct w:val="0"/>
              <w:autoSpaceDN/>
              <w:bidi w:val="0"/>
              <w:spacing w:line="360" w:lineRule="exact"/>
              <w:ind w:left="42" w:leftChars="20" w:right="42" w:rightChars="20"/>
              <w:jc w:val="center"/>
              <w:textAlignment w:val="auto"/>
              <w:rPr>
                <w:rFonts w:hint="default" w:ascii="宋体" w:hAnsi="宋体" w:eastAsia="宋体" w:cs="宋体"/>
                <w:b w:val="0"/>
                <w:bCs w:val="0"/>
                <w:color w:val="auto"/>
                <w:kern w:val="2"/>
                <w:position w:val="0"/>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12</w:t>
            </w:r>
          </w:p>
        </w:tc>
        <w:tc>
          <w:tcPr>
            <w:tcW w:w="8730" w:type="dxa"/>
            <w:shd w:val="clear" w:color="auto" w:fill="auto"/>
            <w:vAlign w:val="center"/>
          </w:tcPr>
          <w:p>
            <w:pPr>
              <w:numPr>
                <w:ilvl w:val="-1"/>
                <w:numId w:val="0"/>
              </w:numPr>
              <w:snapToGrid/>
              <w:spacing w:line="360" w:lineRule="auto"/>
              <w:ind w:left="42" w:leftChars="20" w:right="42" w:rightChars="2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rPr>
              <w:t>投标人自2019年1月1日以来（以合同签订时间为准）承接过单项合同金额不低于30万元（含30万元）的</w:t>
            </w:r>
            <w:r>
              <w:rPr>
                <w:rFonts w:hint="eastAsia" w:ascii="宋体" w:hAnsi="宋体" w:eastAsia="宋体" w:cs="宋体"/>
                <w:b w:val="0"/>
                <w:bCs w:val="0"/>
                <w:color w:val="auto"/>
                <w:sz w:val="21"/>
                <w:szCs w:val="21"/>
                <w:highlight w:val="none"/>
                <w:lang w:val="en-US" w:eastAsia="zh-CN"/>
              </w:rPr>
              <w:t>：</w:t>
            </w:r>
          </w:p>
          <w:p>
            <w:pPr>
              <w:numPr>
                <w:ilvl w:val="0"/>
                <w:numId w:val="4"/>
              </w:numPr>
              <w:snapToGrid/>
              <w:spacing w:line="360" w:lineRule="auto"/>
              <w:ind w:left="42" w:leftChars="20" w:right="42" w:rightChars="20"/>
              <w:jc w:val="left"/>
              <w:rPr>
                <w:rFonts w:hint="eastAsia" w:ascii="宋体" w:hAnsi="宋体" w:eastAsia="宋体" w:cs="宋体"/>
                <w:b w:val="0"/>
                <w:bCs w:val="0"/>
                <w:color w:val="auto"/>
                <w:sz w:val="21"/>
                <w:szCs w:val="21"/>
                <w:highlight w:val="none"/>
                <w:lang w:val="en-US" w:eastAsia="zh-CN"/>
              </w:rPr>
            </w:pPr>
            <w:r>
              <w:rPr>
                <w:rFonts w:hint="eastAsia" w:ascii="Times New Roman" w:hAnsi="Times New Roman" w:eastAsia="宋体" w:cs="Times New Roman"/>
                <w:b w:val="0"/>
                <w:bCs w:val="0"/>
                <w:highlight w:val="none"/>
                <w:lang w:val="en-US" w:eastAsia="zh-CN"/>
              </w:rPr>
              <w:t>市政设施维修维护工程</w:t>
            </w:r>
            <w:r>
              <w:rPr>
                <w:rFonts w:hint="eastAsia" w:ascii="宋体" w:hAnsi="宋体" w:eastAsia="宋体" w:cs="宋体"/>
                <w:b w:val="0"/>
                <w:bCs w:val="0"/>
                <w:color w:val="auto"/>
                <w:sz w:val="21"/>
                <w:szCs w:val="21"/>
                <w:highlight w:val="none"/>
                <w:lang w:val="en-US"/>
              </w:rPr>
              <w:t>业绩，</w:t>
            </w:r>
            <w:r>
              <w:rPr>
                <w:rFonts w:hint="eastAsia" w:ascii="宋体" w:hAnsi="宋体" w:eastAsia="宋体" w:cs="宋体"/>
                <w:b w:val="0"/>
                <w:bCs w:val="0"/>
                <w:color w:val="auto"/>
                <w:sz w:val="21"/>
                <w:szCs w:val="21"/>
                <w:highlight w:val="none"/>
                <w:lang w:val="en-US" w:eastAsia="zh-CN"/>
              </w:rPr>
              <w:t>每提供一个得4分，满分为12分</w:t>
            </w:r>
          </w:p>
          <w:p>
            <w:pPr>
              <w:numPr>
                <w:ilvl w:val="0"/>
                <w:numId w:val="4"/>
              </w:numPr>
              <w:snapToGrid/>
              <w:spacing w:line="360" w:lineRule="auto"/>
              <w:ind w:left="42" w:leftChars="20" w:right="42" w:rightChars="20"/>
              <w:jc w:val="left"/>
              <w:rPr>
                <w:rFonts w:hint="eastAsia" w:ascii="宋体" w:hAnsi="宋体" w:eastAsia="宋体" w:cs="宋体"/>
                <w:b w:val="0"/>
                <w:bCs w:val="0"/>
                <w:color w:val="auto"/>
                <w:sz w:val="21"/>
                <w:szCs w:val="21"/>
                <w:highlight w:val="none"/>
              </w:rPr>
            </w:pPr>
            <w:r>
              <w:rPr>
                <w:rFonts w:hint="eastAsia" w:ascii="Times New Roman" w:hAnsi="Times New Roman" w:eastAsia="宋体" w:cs="Times New Roman"/>
                <w:b w:val="0"/>
                <w:bCs w:val="0"/>
                <w:highlight w:val="none"/>
                <w:lang w:val="en-US" w:eastAsia="zh-CN"/>
              </w:rPr>
              <w:t>市政类工程业绩，</w:t>
            </w:r>
            <w:r>
              <w:rPr>
                <w:rFonts w:hint="eastAsia" w:ascii="宋体" w:hAnsi="宋体" w:eastAsia="宋体" w:cs="宋体"/>
                <w:b w:val="0"/>
                <w:bCs w:val="0"/>
                <w:color w:val="auto"/>
                <w:sz w:val="21"/>
                <w:szCs w:val="21"/>
                <w:highlight w:val="none"/>
                <w:lang w:val="en-US" w:eastAsia="zh-CN"/>
              </w:rPr>
              <w:t>每提供一个得3分，满分为</w:t>
            </w:r>
            <w:r>
              <w:rPr>
                <w:rFonts w:hint="eastAsia" w:ascii="Times New Roman" w:hAnsi="Times New Roman" w:eastAsia="宋体" w:cs="Times New Roman"/>
                <w:b w:val="0"/>
                <w:bCs w:val="0"/>
                <w:highlight w:val="none"/>
                <w:lang w:val="en-US" w:eastAsia="zh-CN"/>
              </w:rPr>
              <w:t>9分；</w:t>
            </w:r>
          </w:p>
          <w:p>
            <w:pPr>
              <w:numPr>
                <w:ilvl w:val="0"/>
                <w:numId w:val="4"/>
              </w:numPr>
              <w:snapToGrid/>
              <w:spacing w:line="360" w:lineRule="auto"/>
              <w:ind w:left="42" w:leftChars="20" w:right="42" w:rightChars="20"/>
              <w:jc w:val="left"/>
              <w:rPr>
                <w:rFonts w:hint="eastAsia" w:ascii="宋体" w:hAnsi="宋体" w:eastAsia="宋体" w:cs="宋体"/>
                <w:b w:val="0"/>
                <w:bCs w:val="0"/>
                <w:color w:val="auto"/>
                <w:sz w:val="21"/>
                <w:szCs w:val="21"/>
                <w:highlight w:val="none"/>
              </w:rPr>
            </w:pPr>
            <w:r>
              <w:rPr>
                <w:rFonts w:hint="eastAsia" w:ascii="Times New Roman" w:hAnsi="Times New Roman" w:eastAsia="宋体" w:cs="Times New Roman"/>
                <w:b w:val="0"/>
                <w:bCs w:val="0"/>
                <w:highlight w:val="none"/>
                <w:lang w:val="en-US" w:eastAsia="zh-CN"/>
              </w:rPr>
              <w:t>其他类工程业绩，每提供一个计2分，满分为6分,</w:t>
            </w:r>
          </w:p>
          <w:p>
            <w:pPr>
              <w:pStyle w:val="6"/>
              <w:pageBreakBefore w:val="0"/>
              <w:widowControl w:val="0"/>
              <w:numPr>
                <w:ilvl w:val="0"/>
                <w:numId w:val="0"/>
              </w:numPr>
              <w:kinsoku/>
              <w:wordWrap/>
              <w:overflowPunct/>
              <w:topLinePunct w:val="0"/>
              <w:autoSpaceDN/>
              <w:bidi w:val="0"/>
              <w:spacing w:line="360" w:lineRule="exact"/>
              <w:ind w:left="0" w:leftChars="0" w:firstLine="0" w:firstLineChars="0"/>
              <w:textAlignment w:val="auto"/>
              <w:rPr>
                <w:rFonts w:hint="default"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注：需</w:t>
            </w:r>
            <w:r>
              <w:rPr>
                <w:rFonts w:hint="eastAsia" w:ascii="宋体" w:hAnsi="宋体" w:eastAsia="宋体" w:cs="宋体"/>
                <w:b w:val="0"/>
                <w:bCs w:val="0"/>
                <w:color w:val="auto"/>
                <w:kern w:val="2"/>
                <w:sz w:val="21"/>
                <w:szCs w:val="21"/>
                <w:highlight w:val="none"/>
                <w:lang w:val="en-US" w:eastAsia="zh-CN" w:bidi="ar-SA"/>
              </w:rPr>
              <w:t>提供项目业绩证明材料（合同关键页复印件加盖公章）</w:t>
            </w:r>
            <w:r>
              <w:rPr>
                <w:rFonts w:hint="eastAsia" w:ascii="宋体" w:hAnsi="宋体" w:eastAsia="宋体" w:cs="宋体"/>
                <w:b w:val="0"/>
                <w:bCs w:val="0"/>
                <w:kern w:val="2"/>
                <w:sz w:val="21"/>
                <w:szCs w:val="21"/>
                <w:highlight w:val="none"/>
                <w:lang w:val="en-US" w:eastAsia="zh-CN" w:bidi="ar-SA"/>
              </w:rPr>
              <w:t>，不提供不得分。</w:t>
            </w:r>
            <w:r>
              <w:rPr>
                <w:rFonts w:hint="eastAsia" w:ascii="宋体" w:hAnsi="宋体" w:eastAsia="宋体" w:cs="宋体"/>
                <w:b w:val="0"/>
                <w:bCs w:val="0"/>
                <w:color w:val="auto"/>
                <w:kern w:val="2"/>
                <w:sz w:val="21"/>
                <w:szCs w:val="21"/>
                <w:highlight w:val="none"/>
                <w:lang w:val="en-US" w:eastAsia="zh-CN" w:bidi="ar-SA"/>
              </w:rPr>
              <w:t>同一项目按最高级计算，不重复得分。</w:t>
            </w:r>
          </w:p>
        </w:tc>
        <w:tc>
          <w:tcPr>
            <w:tcW w:w="680" w:type="dxa"/>
            <w:shd w:val="clear" w:color="auto" w:fill="auto"/>
            <w:vAlign w:val="center"/>
          </w:tcPr>
          <w:p>
            <w:pPr>
              <w:spacing w:line="360" w:lineRule="exact"/>
              <w:ind w:left="-2" w:leftChars="-1"/>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3" w:hRule="atLeast"/>
          <w:jc w:val="center"/>
        </w:trPr>
        <w:tc>
          <w:tcPr>
            <w:tcW w:w="1090" w:type="dxa"/>
            <w:vMerge w:val="continue"/>
            <w:shd w:val="clear" w:color="auto" w:fill="auto"/>
            <w:vAlign w:val="center"/>
          </w:tcPr>
          <w:p>
            <w:pPr>
              <w:pageBreakBefore w:val="0"/>
              <w:widowControl w:val="0"/>
              <w:kinsoku/>
              <w:wordWrap/>
              <w:overflowPunct/>
              <w:topLinePunct w:val="0"/>
              <w:autoSpaceDN/>
              <w:bidi w:val="0"/>
              <w:snapToGrid w:val="0"/>
              <w:spacing w:line="360" w:lineRule="exact"/>
              <w:ind w:left="-2" w:leftChars="-1"/>
              <w:jc w:val="center"/>
              <w:textAlignment w:val="auto"/>
              <w:rPr>
                <w:rFonts w:hint="eastAsia" w:ascii="宋体" w:hAnsi="宋体" w:eastAsia="宋体" w:cs="宋体"/>
                <w:color w:val="auto"/>
                <w:szCs w:val="21"/>
                <w:highlight w:val="none"/>
                <w:lang w:val="en-US" w:eastAsia="zh-CN"/>
              </w:rPr>
            </w:pPr>
          </w:p>
        </w:tc>
        <w:tc>
          <w:tcPr>
            <w:tcW w:w="1560" w:type="dxa"/>
            <w:shd w:val="clear" w:color="auto" w:fill="auto"/>
            <w:vAlign w:val="center"/>
          </w:tcPr>
          <w:p>
            <w:pPr>
              <w:pageBreakBefore w:val="0"/>
              <w:widowControl w:val="0"/>
              <w:kinsoku/>
              <w:wordWrap/>
              <w:overflowPunct/>
              <w:topLinePunct w:val="0"/>
              <w:autoSpaceDN/>
              <w:bidi w:val="0"/>
              <w:snapToGrid/>
              <w:spacing w:line="360" w:lineRule="exact"/>
              <w:ind w:left="42" w:leftChars="20" w:right="42" w:rightChars="20"/>
              <w:jc w:val="center"/>
              <w:textAlignment w:val="auto"/>
              <w:rPr>
                <w:rFonts w:hint="default" w:ascii="宋体" w:hAnsi="宋体" w:eastAsia="宋体" w:cs="宋体"/>
                <w:b w:val="0"/>
                <w:bCs w:val="0"/>
                <w:color w:val="auto"/>
                <w:sz w:val="21"/>
                <w:szCs w:val="21"/>
                <w:highlight w:val="none"/>
                <w:lang w:val="en-US" w:eastAsia="zh-CN"/>
              </w:rPr>
            </w:pPr>
            <w:r>
              <w:rPr>
                <w:rFonts w:hint="default" w:ascii="宋体" w:hAnsi="宋体" w:eastAsia="宋体" w:cs="宋体"/>
                <w:b w:val="0"/>
                <w:bCs w:val="0"/>
                <w:color w:val="auto"/>
                <w:sz w:val="21"/>
                <w:szCs w:val="21"/>
                <w:highlight w:val="none"/>
              </w:rPr>
              <w:t xml:space="preserve">项目管理机构能力 </w:t>
            </w:r>
          </w:p>
        </w:tc>
        <w:tc>
          <w:tcPr>
            <w:tcW w:w="735" w:type="dxa"/>
            <w:shd w:val="clear" w:color="auto" w:fill="auto"/>
            <w:vAlign w:val="center"/>
          </w:tcPr>
          <w:p>
            <w:pPr>
              <w:pageBreakBefore w:val="0"/>
              <w:widowControl w:val="0"/>
              <w:kinsoku/>
              <w:wordWrap/>
              <w:overflowPunct/>
              <w:topLinePunct w:val="0"/>
              <w:autoSpaceDN/>
              <w:bidi w:val="0"/>
              <w:snapToGrid/>
              <w:spacing w:line="360" w:lineRule="exact"/>
              <w:ind w:left="42" w:leftChars="20" w:right="42" w:rightChars="20" w:firstLine="0" w:firstLineChars="0"/>
              <w:jc w:val="center"/>
              <w:textAlignment w:val="auto"/>
              <w:rPr>
                <w:rFonts w:hint="default" w:ascii="宋体" w:hAnsi="宋体" w:eastAsia="宋体" w:cs="宋体"/>
                <w:b w:val="0"/>
                <w:bCs w:val="0"/>
                <w:color w:val="auto"/>
                <w:szCs w:val="21"/>
                <w:highlight w:val="none"/>
                <w:lang w:val="en-US" w:eastAsia="zh-CN"/>
              </w:rPr>
            </w:pPr>
            <w:r>
              <w:rPr>
                <w:rFonts w:hint="eastAsia" w:ascii="宋体" w:hAnsi="宋体" w:eastAsia="宋体" w:cs="宋体"/>
                <w:b w:val="0"/>
                <w:bCs w:val="0"/>
                <w:color w:val="auto"/>
                <w:sz w:val="21"/>
                <w:szCs w:val="21"/>
                <w:highlight w:val="none"/>
                <w:lang w:val="en-US" w:eastAsia="zh-CN"/>
              </w:rPr>
              <w:t>8</w:t>
            </w:r>
          </w:p>
        </w:tc>
        <w:tc>
          <w:tcPr>
            <w:tcW w:w="8730" w:type="dxa"/>
            <w:shd w:val="clear" w:color="auto" w:fill="auto"/>
            <w:vAlign w:val="center"/>
          </w:tcPr>
          <w:p>
            <w:pPr>
              <w:widowControl/>
              <w:numPr>
                <w:ilvl w:val="0"/>
                <w:numId w:val="0"/>
              </w:numPr>
              <w:spacing w:line="360" w:lineRule="auto"/>
              <w:ind w:left="42" w:leftChars="20" w:right="42" w:rightChars="20"/>
              <w:jc w:val="left"/>
              <w:rPr>
                <w:rFonts w:hint="eastAsia" w:ascii="宋体" w:hAnsi="宋体" w:eastAsia="宋体" w:cs="宋体"/>
                <w:b w:val="0"/>
                <w:bCs w:val="0"/>
                <w:color w:val="auto"/>
                <w:szCs w:val="21"/>
                <w:highlight w:val="none"/>
                <w:lang w:eastAsia="zh-CN"/>
              </w:rPr>
            </w:pPr>
            <w:r>
              <w:rPr>
                <w:rFonts w:hint="eastAsia" w:ascii="宋体" w:hAnsi="宋体" w:eastAsia="宋体" w:cs="宋体"/>
                <w:b w:val="0"/>
                <w:bCs w:val="0"/>
                <w:color w:val="auto"/>
                <w:szCs w:val="21"/>
                <w:highlight w:val="none"/>
                <w:lang w:val="en-US" w:eastAsia="zh-CN"/>
              </w:rPr>
              <w:t>（1</w:t>
            </w:r>
            <w:r>
              <w:rPr>
                <w:rFonts w:hint="eastAsia" w:ascii="宋体" w:hAnsi="宋体" w:eastAsia="宋体" w:cs="宋体"/>
                <w:b w:val="0"/>
                <w:bCs w:val="0"/>
                <w:color w:val="auto"/>
                <w:szCs w:val="21"/>
                <w:highlight w:val="none"/>
              </w:rPr>
              <w:t>）技术负责人：具有</w:t>
            </w:r>
            <w:r>
              <w:rPr>
                <w:rFonts w:hint="eastAsia" w:ascii="宋体" w:hAnsi="宋体" w:eastAsia="宋体" w:cs="宋体"/>
                <w:b w:val="0"/>
                <w:bCs w:val="0"/>
                <w:i w:val="0"/>
                <w:iCs w:val="0"/>
                <w:caps w:val="0"/>
                <w:color w:val="auto"/>
                <w:spacing w:val="0"/>
                <w:sz w:val="21"/>
                <w:szCs w:val="21"/>
                <w:highlight w:val="none"/>
                <w:shd w:val="clear"/>
              </w:rPr>
              <w:t>工程</w:t>
            </w:r>
            <w:r>
              <w:rPr>
                <w:rFonts w:hint="eastAsia" w:ascii="宋体" w:hAnsi="宋体" w:eastAsia="宋体" w:cs="宋体"/>
                <w:b w:val="0"/>
                <w:bCs w:val="0"/>
                <w:i w:val="0"/>
                <w:iCs w:val="0"/>
                <w:caps w:val="0"/>
                <w:color w:val="auto"/>
                <w:spacing w:val="0"/>
                <w:sz w:val="21"/>
                <w:szCs w:val="21"/>
                <w:highlight w:val="none"/>
                <w:shd w:val="clear"/>
                <w:lang w:eastAsia="zh-CN"/>
              </w:rPr>
              <w:t>类</w:t>
            </w:r>
            <w:r>
              <w:rPr>
                <w:rFonts w:hint="eastAsia" w:ascii="宋体" w:hAnsi="宋体" w:eastAsia="宋体" w:cs="宋体"/>
                <w:b w:val="0"/>
                <w:bCs w:val="0"/>
                <w:color w:val="auto"/>
                <w:szCs w:val="21"/>
                <w:highlight w:val="none"/>
                <w:lang w:eastAsia="zh-CN"/>
              </w:rPr>
              <w:t>高级职称得</w:t>
            </w:r>
            <w:r>
              <w:rPr>
                <w:rFonts w:hint="eastAsia" w:ascii="宋体" w:hAnsi="宋体" w:eastAsia="宋体" w:cs="宋体"/>
                <w:b w:val="0"/>
                <w:bCs w:val="0"/>
                <w:color w:val="auto"/>
                <w:szCs w:val="21"/>
                <w:highlight w:val="none"/>
                <w:lang w:val="en-US" w:eastAsia="zh-CN"/>
              </w:rPr>
              <w:t>5分，</w:t>
            </w:r>
            <w:r>
              <w:rPr>
                <w:rFonts w:hint="eastAsia" w:ascii="宋体" w:hAnsi="宋体" w:eastAsia="宋体" w:cs="宋体"/>
                <w:b w:val="0"/>
                <w:bCs w:val="0"/>
                <w:i w:val="0"/>
                <w:iCs w:val="0"/>
                <w:caps w:val="0"/>
                <w:color w:val="auto"/>
                <w:spacing w:val="0"/>
                <w:sz w:val="21"/>
                <w:szCs w:val="21"/>
                <w:highlight w:val="none"/>
                <w:shd w:val="clear"/>
              </w:rPr>
              <w:t>工程</w:t>
            </w:r>
            <w:r>
              <w:rPr>
                <w:rFonts w:hint="eastAsia" w:ascii="宋体" w:hAnsi="宋体" w:eastAsia="宋体" w:cs="宋体"/>
                <w:b w:val="0"/>
                <w:bCs w:val="0"/>
                <w:i w:val="0"/>
                <w:iCs w:val="0"/>
                <w:caps w:val="0"/>
                <w:color w:val="auto"/>
                <w:spacing w:val="0"/>
                <w:sz w:val="21"/>
                <w:szCs w:val="21"/>
                <w:highlight w:val="none"/>
                <w:shd w:val="clear"/>
                <w:lang w:eastAsia="zh-CN"/>
              </w:rPr>
              <w:t>类</w:t>
            </w:r>
            <w:r>
              <w:rPr>
                <w:rFonts w:hint="eastAsia" w:ascii="宋体" w:hAnsi="宋体" w:eastAsia="宋体" w:cs="宋体"/>
                <w:b w:val="0"/>
                <w:bCs w:val="0"/>
                <w:color w:val="auto"/>
                <w:szCs w:val="21"/>
                <w:highlight w:val="none"/>
                <w:lang w:eastAsia="zh-CN"/>
              </w:rPr>
              <w:t>中级职称</w:t>
            </w:r>
            <w:r>
              <w:rPr>
                <w:rFonts w:hint="eastAsia" w:ascii="宋体" w:hAnsi="宋体" w:eastAsia="宋体" w:cs="宋体"/>
                <w:b w:val="0"/>
                <w:bCs w:val="0"/>
                <w:color w:val="auto"/>
                <w:szCs w:val="21"/>
                <w:highlight w:val="none"/>
                <w:lang w:val="en-US" w:eastAsia="zh-CN"/>
              </w:rPr>
              <w:t>3</w:t>
            </w:r>
            <w:r>
              <w:rPr>
                <w:rFonts w:hint="eastAsia" w:ascii="宋体" w:hAnsi="宋体" w:eastAsia="宋体" w:cs="宋体"/>
                <w:b w:val="0"/>
                <w:bCs w:val="0"/>
                <w:color w:val="auto"/>
                <w:szCs w:val="21"/>
                <w:highlight w:val="none"/>
              </w:rPr>
              <w:t>分；其他不得分</w:t>
            </w:r>
            <w:r>
              <w:rPr>
                <w:rFonts w:hint="eastAsia" w:ascii="宋体" w:hAnsi="宋体" w:eastAsia="宋体" w:cs="宋体"/>
                <w:b w:val="0"/>
                <w:bCs w:val="0"/>
                <w:color w:val="auto"/>
                <w:szCs w:val="21"/>
                <w:highlight w:val="none"/>
                <w:lang w:eastAsia="zh-CN"/>
              </w:rPr>
              <w:t>；</w:t>
            </w:r>
          </w:p>
          <w:p>
            <w:pPr>
              <w:widowControl/>
              <w:numPr>
                <w:ilvl w:val="0"/>
                <w:numId w:val="0"/>
              </w:numPr>
              <w:spacing w:line="360" w:lineRule="auto"/>
              <w:ind w:left="42" w:leftChars="20" w:right="42" w:rightChars="20"/>
              <w:jc w:val="left"/>
              <w:rPr>
                <w:rFonts w:hint="eastAsia" w:ascii="宋体" w:hAnsi="宋体" w:eastAsia="宋体" w:cs="宋体"/>
                <w:b w:val="0"/>
                <w:bCs w:val="0"/>
                <w:color w:val="auto"/>
                <w:szCs w:val="21"/>
                <w:highlight w:val="none"/>
                <w:lang w:eastAsia="zh-CN"/>
              </w:rPr>
            </w:pPr>
            <w:r>
              <w:rPr>
                <w:rFonts w:hint="eastAsia" w:ascii="宋体" w:hAnsi="宋体" w:eastAsia="宋体" w:cs="宋体"/>
                <w:b w:val="0"/>
                <w:bCs w:val="0"/>
                <w:color w:val="auto"/>
                <w:szCs w:val="21"/>
                <w:highlight w:val="none"/>
                <w:lang w:val="en-US" w:eastAsia="zh-CN"/>
              </w:rPr>
              <w:t>（2</w:t>
            </w:r>
            <w:r>
              <w:rPr>
                <w:rFonts w:hint="eastAsia" w:ascii="宋体" w:hAnsi="宋体" w:eastAsia="宋体" w:cs="宋体"/>
                <w:b w:val="0"/>
                <w:bCs w:val="0"/>
                <w:color w:val="auto"/>
                <w:szCs w:val="21"/>
                <w:highlight w:val="none"/>
              </w:rPr>
              <w:t>）安全负责人：具</w:t>
            </w:r>
            <w:r>
              <w:rPr>
                <w:rFonts w:hint="eastAsia" w:ascii="宋体" w:hAnsi="宋体" w:eastAsia="宋体" w:cs="宋体"/>
                <w:b w:val="0"/>
                <w:bCs w:val="0"/>
                <w:color w:val="auto"/>
                <w:szCs w:val="21"/>
                <w:highlight w:val="none"/>
                <w:lang w:val="en-US" w:eastAsia="zh-CN"/>
              </w:rPr>
              <w:t>有在有效期内的</w:t>
            </w:r>
            <w:r>
              <w:rPr>
                <w:rFonts w:hint="eastAsia" w:ascii="宋体" w:hAnsi="宋体" w:eastAsia="宋体" w:cs="宋体"/>
                <w:b w:val="0"/>
                <w:bCs w:val="0"/>
                <w:color w:val="auto"/>
                <w:szCs w:val="21"/>
                <w:highlight w:val="none"/>
              </w:rPr>
              <w:t>安全生产考核合格证</w:t>
            </w:r>
            <w:r>
              <w:rPr>
                <w:rFonts w:hint="eastAsia" w:ascii="宋体" w:hAnsi="宋体" w:eastAsia="宋体" w:cs="宋体"/>
                <w:b w:val="0"/>
                <w:bCs w:val="0"/>
                <w:color w:val="auto"/>
                <w:szCs w:val="21"/>
                <w:highlight w:val="none"/>
                <w:lang w:val="en-US" w:eastAsia="zh-CN"/>
              </w:rPr>
              <w:t>书</w:t>
            </w:r>
            <w:r>
              <w:rPr>
                <w:rFonts w:hint="eastAsia" w:ascii="宋体" w:hAnsi="宋体" w:eastAsia="宋体" w:cs="宋体"/>
                <w:b w:val="0"/>
                <w:bCs w:val="0"/>
                <w:color w:val="auto"/>
                <w:szCs w:val="21"/>
                <w:highlight w:val="none"/>
                <w:lang w:eastAsia="zh-CN"/>
              </w:rPr>
              <w:t>（</w:t>
            </w:r>
            <w:r>
              <w:rPr>
                <w:rFonts w:hint="eastAsia" w:ascii="宋体" w:hAnsi="宋体" w:eastAsia="宋体" w:cs="宋体"/>
                <w:b w:val="0"/>
                <w:bCs w:val="0"/>
                <w:color w:val="auto"/>
                <w:szCs w:val="21"/>
                <w:highlight w:val="none"/>
                <w:lang w:val="en-US" w:eastAsia="zh-CN"/>
              </w:rPr>
              <w:t>C类</w:t>
            </w:r>
            <w:r>
              <w:rPr>
                <w:rFonts w:hint="eastAsia" w:ascii="宋体" w:hAnsi="宋体" w:eastAsia="宋体" w:cs="宋体"/>
                <w:b w:val="0"/>
                <w:bCs w:val="0"/>
                <w:color w:val="auto"/>
                <w:szCs w:val="21"/>
                <w:highlight w:val="none"/>
                <w:lang w:eastAsia="zh-CN"/>
              </w:rPr>
              <w:t>）得</w:t>
            </w:r>
            <w:r>
              <w:rPr>
                <w:rFonts w:hint="eastAsia" w:ascii="宋体" w:hAnsi="宋体" w:eastAsia="宋体" w:cs="宋体"/>
                <w:b w:val="0"/>
                <w:bCs w:val="0"/>
                <w:color w:val="auto"/>
                <w:szCs w:val="21"/>
                <w:highlight w:val="none"/>
                <w:lang w:val="en-US" w:eastAsia="zh-CN"/>
              </w:rPr>
              <w:t>3</w:t>
            </w:r>
            <w:r>
              <w:rPr>
                <w:rFonts w:hint="eastAsia" w:ascii="宋体" w:hAnsi="宋体" w:eastAsia="宋体" w:cs="宋体"/>
                <w:b w:val="0"/>
                <w:bCs w:val="0"/>
                <w:color w:val="auto"/>
                <w:szCs w:val="21"/>
                <w:highlight w:val="none"/>
              </w:rPr>
              <w:t>分，其他不得分</w:t>
            </w:r>
            <w:r>
              <w:rPr>
                <w:rFonts w:hint="eastAsia" w:ascii="宋体" w:hAnsi="宋体" w:eastAsia="宋体" w:cs="宋体"/>
                <w:b w:val="0"/>
                <w:bCs w:val="0"/>
                <w:color w:val="auto"/>
                <w:szCs w:val="21"/>
                <w:highlight w:val="none"/>
                <w:lang w:eastAsia="zh-CN"/>
              </w:rPr>
              <w:t>。</w:t>
            </w:r>
          </w:p>
          <w:p>
            <w:pPr>
              <w:pageBreakBefore w:val="0"/>
              <w:widowControl w:val="0"/>
              <w:numPr>
                <w:ilvl w:val="-1"/>
                <w:numId w:val="0"/>
              </w:numPr>
              <w:tabs>
                <w:tab w:val="left" w:pos="360"/>
              </w:tabs>
              <w:kinsoku/>
              <w:wordWrap/>
              <w:overflowPunct/>
              <w:topLinePunct w:val="0"/>
              <w:autoSpaceDN/>
              <w:bidi w:val="0"/>
              <w:snapToGrid w:val="0"/>
              <w:spacing w:line="360" w:lineRule="exact"/>
              <w:textAlignment w:val="auto"/>
              <w:rPr>
                <w:rFonts w:hint="eastAsia" w:ascii="宋体" w:hAnsi="宋体" w:eastAsia="宋体" w:cs="宋体"/>
                <w:b w:val="0"/>
                <w:bCs w:val="0"/>
                <w:sz w:val="21"/>
                <w:szCs w:val="21"/>
                <w:highlight w:val="none"/>
                <w:lang w:val="en-US" w:eastAsia="zh-Hans"/>
              </w:rPr>
            </w:pPr>
            <w:r>
              <w:rPr>
                <w:rFonts w:hint="eastAsia" w:ascii="宋体" w:hAnsi="宋体" w:eastAsia="宋体" w:cs="宋体"/>
                <w:b w:val="0"/>
                <w:bCs w:val="0"/>
                <w:color w:val="auto"/>
                <w:sz w:val="21"/>
                <w:szCs w:val="21"/>
                <w:highlight w:val="none"/>
                <w:lang w:val="en-US" w:eastAsia="zh-CN"/>
              </w:rPr>
              <w:t>注：</w:t>
            </w:r>
            <w:r>
              <w:rPr>
                <w:rFonts w:hint="eastAsia" w:ascii="宋体" w:hAnsi="宋体" w:eastAsia="宋体" w:cs="宋体"/>
                <w:b w:val="0"/>
                <w:bCs w:val="0"/>
                <w:color w:val="auto"/>
                <w:sz w:val="21"/>
                <w:szCs w:val="21"/>
                <w:highlight w:val="none"/>
              </w:rPr>
              <w:t>本项最高</w:t>
            </w:r>
            <w:r>
              <w:rPr>
                <w:rFonts w:hint="eastAsia" w:ascii="宋体" w:hAnsi="宋体" w:eastAsia="宋体" w:cs="宋体"/>
                <w:b w:val="0"/>
                <w:bCs w:val="0"/>
                <w:color w:val="auto"/>
                <w:sz w:val="21"/>
                <w:szCs w:val="21"/>
                <w:highlight w:val="none"/>
                <w:lang w:val="en-US" w:eastAsia="zh-CN"/>
              </w:rPr>
              <w:t>得8</w:t>
            </w:r>
            <w:r>
              <w:rPr>
                <w:rFonts w:hint="eastAsia" w:ascii="宋体" w:hAnsi="宋体" w:eastAsia="宋体" w:cs="宋体"/>
                <w:b w:val="0"/>
                <w:bCs w:val="0"/>
                <w:color w:val="auto"/>
                <w:sz w:val="21"/>
                <w:szCs w:val="21"/>
                <w:highlight w:val="none"/>
              </w:rPr>
              <w:t>分，须提供</w:t>
            </w:r>
            <w:r>
              <w:rPr>
                <w:rFonts w:hint="eastAsia" w:ascii="宋体" w:hAnsi="宋体" w:eastAsia="宋体" w:cs="宋体"/>
                <w:b w:val="0"/>
                <w:bCs w:val="0"/>
                <w:color w:val="auto"/>
                <w:sz w:val="21"/>
                <w:szCs w:val="21"/>
                <w:highlight w:val="none"/>
                <w:lang w:val="en-US" w:eastAsia="zh-CN"/>
              </w:rPr>
              <w:t>人员相关</w:t>
            </w:r>
            <w:r>
              <w:rPr>
                <w:rFonts w:hint="eastAsia" w:ascii="宋体" w:hAnsi="宋体" w:eastAsia="宋体" w:cs="宋体"/>
                <w:b w:val="0"/>
                <w:bCs w:val="0"/>
                <w:color w:val="auto"/>
                <w:kern w:val="2"/>
                <w:sz w:val="21"/>
                <w:szCs w:val="21"/>
                <w:highlight w:val="none"/>
              </w:rPr>
              <w:t>证书、 身份证复印件</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及投标人为其购买至投标截止日期近</w:t>
            </w:r>
            <w:r>
              <w:rPr>
                <w:rFonts w:hint="eastAsia" w:ascii="宋体" w:hAnsi="宋体" w:eastAsia="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rPr>
              <w:t>个月（</w:t>
            </w:r>
            <w:r>
              <w:rPr>
                <w:rFonts w:hint="eastAsia" w:ascii="宋体" w:hAnsi="宋体" w:eastAsia="宋体" w:cs="宋体"/>
                <w:b w:val="0"/>
                <w:bCs w:val="0"/>
                <w:color w:val="auto"/>
                <w:kern w:val="2"/>
                <w:sz w:val="21"/>
                <w:szCs w:val="21"/>
                <w:highlight w:val="none"/>
              </w:rPr>
              <w:t>截止投标当月的上一月份</w:t>
            </w:r>
            <w:r>
              <w:rPr>
                <w:rFonts w:hint="eastAsia" w:ascii="宋体" w:hAnsi="宋体" w:eastAsia="宋体" w:cs="宋体"/>
                <w:b w:val="0"/>
                <w:bCs w:val="0"/>
                <w:color w:val="auto"/>
                <w:sz w:val="21"/>
                <w:szCs w:val="21"/>
                <w:highlight w:val="none"/>
              </w:rPr>
              <w:t>）有效的社会保险证明文件</w:t>
            </w:r>
            <w:r>
              <w:rPr>
                <w:rFonts w:hint="eastAsia" w:ascii="宋体" w:hAnsi="宋体" w:eastAsia="宋体" w:cs="宋体"/>
                <w:b w:val="0"/>
                <w:bCs w:val="0"/>
                <w:color w:val="auto"/>
                <w:sz w:val="21"/>
                <w:szCs w:val="21"/>
                <w:highlight w:val="none"/>
                <w:lang w:val="en-US" w:eastAsia="zh-CN"/>
              </w:rPr>
              <w:t>复印</w:t>
            </w:r>
            <w:r>
              <w:rPr>
                <w:rFonts w:hint="eastAsia" w:ascii="宋体" w:hAnsi="宋体" w:eastAsia="宋体" w:cs="宋体"/>
                <w:b w:val="0"/>
                <w:bCs w:val="0"/>
                <w:color w:val="auto"/>
                <w:sz w:val="21"/>
                <w:szCs w:val="21"/>
                <w:highlight w:val="none"/>
              </w:rPr>
              <w:t>件，</w:t>
            </w:r>
            <w:r>
              <w:rPr>
                <w:rFonts w:hint="eastAsia" w:ascii="宋体" w:hAnsi="宋体" w:eastAsia="宋体" w:cs="宋体"/>
                <w:b w:val="0"/>
                <w:bCs w:val="0"/>
                <w:color w:val="auto"/>
                <w:kern w:val="2"/>
                <w:sz w:val="21"/>
                <w:szCs w:val="21"/>
                <w:highlight w:val="none"/>
                <w:lang w:eastAsia="zh-CN"/>
              </w:rPr>
              <w:t>以上所有文件加盖公章，</w:t>
            </w:r>
            <w:r>
              <w:rPr>
                <w:rFonts w:hint="eastAsia" w:ascii="宋体" w:hAnsi="宋体" w:eastAsia="宋体" w:cs="宋体"/>
                <w:b w:val="0"/>
                <w:bCs w:val="0"/>
                <w:color w:val="auto"/>
                <w:sz w:val="21"/>
                <w:szCs w:val="21"/>
                <w:highlight w:val="none"/>
                <w:lang w:val="en-US" w:eastAsia="zh-CN"/>
              </w:rPr>
              <w:t>不提供</w:t>
            </w:r>
            <w:r>
              <w:rPr>
                <w:rFonts w:hint="eastAsia" w:ascii="宋体" w:hAnsi="宋体" w:eastAsia="宋体" w:cs="宋体"/>
                <w:b w:val="0"/>
                <w:bCs w:val="0"/>
                <w:color w:val="auto"/>
                <w:sz w:val="21"/>
                <w:szCs w:val="21"/>
                <w:highlight w:val="none"/>
              </w:rPr>
              <w:t>不得分。</w:t>
            </w:r>
          </w:p>
        </w:tc>
        <w:tc>
          <w:tcPr>
            <w:tcW w:w="680" w:type="dxa"/>
            <w:shd w:val="clear" w:color="auto" w:fill="auto"/>
            <w:vAlign w:val="center"/>
          </w:tcPr>
          <w:p>
            <w:pPr>
              <w:spacing w:line="360" w:lineRule="exact"/>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1090" w:type="dxa"/>
            <w:vMerge w:val="restart"/>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技术</w:t>
            </w:r>
            <w:r>
              <w:rPr>
                <w:rFonts w:hint="eastAsia" w:ascii="宋体" w:hAnsi="宋体" w:eastAsia="宋体" w:cs="宋体"/>
                <w:color w:val="auto"/>
                <w:szCs w:val="21"/>
                <w:highlight w:val="none"/>
              </w:rPr>
              <w:t>部分</w:t>
            </w:r>
          </w:p>
          <w:p>
            <w:pPr>
              <w:ind w:left="-2" w:leftChars="-1"/>
              <w:rPr>
                <w:rFonts w:hint="eastAsia" w:ascii="宋体" w:hAnsi="宋体" w:eastAsia="宋体" w:cs="宋体"/>
                <w:b w:val="0"/>
                <w:bCs w:val="0"/>
                <w:color w:val="auto"/>
                <w:szCs w:val="21"/>
                <w:highlight w:val="none"/>
                <w:lang w:eastAsia="zh-CN"/>
              </w:rPr>
            </w:pPr>
            <w:r>
              <w:rPr>
                <w:rFonts w:hint="eastAsia" w:ascii="宋体" w:hAnsi="宋体" w:eastAsia="宋体" w:cs="宋体"/>
                <w:b w:val="0"/>
                <w:bCs w:val="0"/>
                <w:color w:val="auto"/>
                <w:szCs w:val="21"/>
                <w:highlight w:val="none"/>
                <w:lang w:eastAsia="zh-CN"/>
              </w:rPr>
              <w:t>（</w:t>
            </w:r>
            <w:r>
              <w:rPr>
                <w:rFonts w:hint="eastAsia" w:ascii="宋体" w:hAnsi="宋体" w:eastAsia="宋体" w:cs="宋体"/>
                <w:b w:val="0"/>
                <w:bCs w:val="0"/>
                <w:color w:val="auto"/>
                <w:szCs w:val="21"/>
                <w:highlight w:val="none"/>
                <w:lang w:val="en-US" w:eastAsia="zh-CN"/>
              </w:rPr>
              <w:t>40分</w:t>
            </w:r>
            <w:r>
              <w:rPr>
                <w:rFonts w:hint="eastAsia" w:ascii="宋体" w:hAnsi="宋体" w:eastAsia="宋体" w:cs="宋体"/>
                <w:b w:val="0"/>
                <w:bCs w:val="0"/>
                <w:color w:val="auto"/>
                <w:szCs w:val="21"/>
                <w:highlight w:val="none"/>
                <w:lang w:eastAsia="zh-CN"/>
              </w:rPr>
              <w:t>）</w:t>
            </w:r>
          </w:p>
          <w:p>
            <w:pPr>
              <w:snapToGrid w:val="0"/>
              <w:ind w:left="-2" w:leftChars="-1"/>
              <w:jc w:val="center"/>
              <w:rPr>
                <w:rFonts w:hint="eastAsia" w:ascii="宋体" w:hAnsi="宋体" w:eastAsia="宋体" w:cs="宋体"/>
                <w:b w:val="0"/>
                <w:bCs w:val="0"/>
                <w:color w:val="auto"/>
                <w:sz w:val="21"/>
                <w:szCs w:val="21"/>
                <w:highlight w:val="none"/>
              </w:rPr>
            </w:pPr>
          </w:p>
        </w:tc>
        <w:tc>
          <w:tcPr>
            <w:tcW w:w="1560" w:type="dxa"/>
            <w:shd w:val="clear" w:color="auto" w:fill="auto"/>
            <w:vAlign w:val="center"/>
          </w:tcPr>
          <w:p>
            <w:pPr>
              <w:snapToGrid/>
              <w:jc w:val="center"/>
              <w:rPr>
                <w:rFonts w:hint="eastAsia" w:ascii="宋体" w:hAnsi="宋体" w:eastAsia="宋体" w:cs="宋体"/>
                <w:b w:val="0"/>
                <w:bCs w:val="0"/>
                <w:color w:val="auto"/>
                <w:sz w:val="21"/>
                <w:szCs w:val="21"/>
                <w:highlight w:val="none"/>
              </w:rPr>
            </w:pPr>
            <w:r>
              <w:rPr>
                <w:rFonts w:hint="eastAsia" w:ascii="宋体" w:hAnsi="宋体" w:cs="宋体"/>
                <w:color w:val="000000"/>
                <w:kern w:val="0"/>
                <w:sz w:val="21"/>
                <w:szCs w:val="21"/>
                <w:highlight w:val="none"/>
                <w:lang w:eastAsia="zh-CN" w:bidi="ar"/>
              </w:rPr>
              <w:t>项目了解程度</w:t>
            </w:r>
          </w:p>
        </w:tc>
        <w:tc>
          <w:tcPr>
            <w:tcW w:w="735" w:type="dxa"/>
            <w:shd w:val="clear" w:color="auto" w:fill="auto"/>
            <w:vAlign w:val="center"/>
          </w:tcPr>
          <w:p>
            <w:pPr>
              <w:snapToGrid/>
              <w:jc w:val="center"/>
              <w:rPr>
                <w:rFonts w:hint="eastAsia" w:ascii="宋体" w:hAnsi="宋体" w:eastAsia="宋体" w:cs="宋体"/>
                <w:b w:val="0"/>
                <w:bCs w:val="0"/>
                <w:color w:val="auto"/>
                <w:sz w:val="21"/>
                <w:szCs w:val="21"/>
                <w:highlight w:val="none"/>
                <w:lang w:val="en-US" w:eastAsia="zh-CN"/>
              </w:rPr>
            </w:pPr>
            <w:r>
              <w:rPr>
                <w:rFonts w:hint="eastAsia" w:ascii="宋体" w:hAnsi="宋体" w:cs="宋体"/>
                <w:sz w:val="21"/>
                <w:szCs w:val="21"/>
                <w:highlight w:val="none"/>
                <w:lang w:val="en-US" w:eastAsia="zh-CN"/>
              </w:rPr>
              <w:t>8</w:t>
            </w:r>
          </w:p>
        </w:tc>
        <w:tc>
          <w:tcPr>
            <w:tcW w:w="8730" w:type="dxa"/>
            <w:shd w:val="clear" w:color="auto" w:fill="auto"/>
            <w:vAlign w:val="center"/>
          </w:tcPr>
          <w:p>
            <w:pPr>
              <w:jc w:val="center"/>
              <w:rPr>
                <w:rFonts w:hint="eastAsia" w:ascii="宋体" w:hAnsi="宋体" w:eastAsia="宋体" w:cs="宋体"/>
                <w:b w:val="0"/>
                <w:bCs w:val="0"/>
                <w:color w:val="auto"/>
                <w:sz w:val="21"/>
                <w:szCs w:val="21"/>
                <w:highlight w:val="none"/>
                <w:lang w:val="en-US" w:eastAsia="zh-CN"/>
              </w:rPr>
            </w:pPr>
            <w:r>
              <w:rPr>
                <w:rFonts w:hint="eastAsia" w:ascii="宋体" w:hAnsi="宋体" w:cs="宋体"/>
                <w:sz w:val="21"/>
                <w:szCs w:val="21"/>
                <w:highlight w:val="none"/>
              </w:rPr>
              <w:t>对项目环境(施工地点、周围情况)非常熟悉，得</w:t>
            </w:r>
            <w:r>
              <w:rPr>
                <w:rFonts w:hint="eastAsia" w:ascii="宋体" w:hAnsi="宋体" w:cs="宋体"/>
                <w:sz w:val="21"/>
                <w:szCs w:val="21"/>
                <w:highlight w:val="none"/>
                <w:lang w:val="en-US" w:eastAsia="zh-CN"/>
              </w:rPr>
              <w:t>[8-7]</w:t>
            </w:r>
            <w:r>
              <w:rPr>
                <w:rFonts w:hint="eastAsia" w:ascii="宋体" w:hAnsi="宋体" w:cs="宋体"/>
                <w:sz w:val="21"/>
                <w:szCs w:val="21"/>
                <w:highlight w:val="none"/>
              </w:rPr>
              <w:t>分；对项目环境(施工地点、周围情况)基本了解，得</w:t>
            </w:r>
            <w:r>
              <w:rPr>
                <w:rFonts w:hint="eastAsia" w:ascii="宋体" w:hAnsi="宋体" w:cs="宋体"/>
                <w:sz w:val="21"/>
                <w:szCs w:val="21"/>
                <w:highlight w:val="none"/>
                <w:lang w:val="en-US" w:eastAsia="zh-CN"/>
              </w:rPr>
              <w:t>[6-4]</w:t>
            </w:r>
            <w:r>
              <w:rPr>
                <w:rFonts w:hint="eastAsia" w:ascii="宋体" w:hAnsi="宋体" w:cs="宋体"/>
                <w:sz w:val="21"/>
                <w:szCs w:val="21"/>
                <w:highlight w:val="none"/>
              </w:rPr>
              <w:t>分；对项目环境(施工地点、周围情况)不全面，得</w:t>
            </w:r>
            <w:r>
              <w:rPr>
                <w:rFonts w:hint="eastAsia" w:ascii="宋体" w:hAnsi="宋体" w:cs="宋体"/>
                <w:sz w:val="21"/>
                <w:szCs w:val="21"/>
                <w:highlight w:val="none"/>
                <w:lang w:val="en-US" w:eastAsia="zh-CN"/>
              </w:rPr>
              <w:t>[3-1]</w:t>
            </w:r>
            <w:r>
              <w:rPr>
                <w:rFonts w:hint="eastAsia" w:ascii="宋体" w:hAnsi="宋体" w:cs="宋体"/>
                <w:sz w:val="21"/>
                <w:szCs w:val="21"/>
                <w:highlight w:val="none"/>
              </w:rPr>
              <w:t>分；不提供</w:t>
            </w:r>
            <w:r>
              <w:rPr>
                <w:rFonts w:hint="eastAsia" w:ascii="宋体" w:hAnsi="宋体" w:cs="宋体"/>
                <w:sz w:val="21"/>
                <w:szCs w:val="21"/>
                <w:highlight w:val="none"/>
                <w:lang w:val="en-US" w:eastAsia="zh-CN"/>
              </w:rPr>
              <w:t>不得分</w:t>
            </w:r>
            <w:r>
              <w:rPr>
                <w:rFonts w:hint="eastAsia" w:ascii="宋体" w:hAnsi="宋体" w:cs="宋体"/>
                <w:sz w:val="21"/>
                <w:szCs w:val="21"/>
                <w:highlight w:val="none"/>
              </w:rPr>
              <w:t>。</w:t>
            </w:r>
          </w:p>
        </w:tc>
        <w:tc>
          <w:tcPr>
            <w:tcW w:w="680" w:type="dxa"/>
            <w:shd w:val="clear" w:color="auto" w:fill="auto"/>
            <w:vAlign w:val="center"/>
          </w:tcPr>
          <w:p>
            <w:pPr>
              <w:snapToGrid w:val="0"/>
              <w:spacing w:line="360" w:lineRule="exact"/>
              <w:ind w:left="-2" w:leftChars="-1"/>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5" w:hRule="atLeast"/>
          <w:jc w:val="center"/>
        </w:trPr>
        <w:tc>
          <w:tcPr>
            <w:tcW w:w="1090" w:type="dxa"/>
            <w:vMerge w:val="continue"/>
            <w:shd w:val="clear" w:color="auto" w:fill="auto"/>
            <w:vAlign w:val="center"/>
          </w:tcPr>
          <w:p>
            <w:pPr>
              <w:snapToGrid w:val="0"/>
              <w:ind w:left="-2" w:leftChars="-1"/>
              <w:jc w:val="center"/>
              <w:rPr>
                <w:rFonts w:hint="eastAsia" w:ascii="宋体" w:hAnsi="宋体" w:eastAsia="宋体" w:cs="宋体"/>
                <w:b w:val="0"/>
                <w:bCs w:val="0"/>
                <w:color w:val="auto"/>
                <w:sz w:val="21"/>
                <w:szCs w:val="21"/>
                <w:highlight w:val="none"/>
              </w:rPr>
            </w:pPr>
          </w:p>
        </w:tc>
        <w:tc>
          <w:tcPr>
            <w:tcW w:w="1560" w:type="dxa"/>
            <w:shd w:val="clear" w:color="auto" w:fill="auto"/>
            <w:vAlign w:val="center"/>
          </w:tcPr>
          <w:p>
            <w:pPr>
              <w:snapToGrid w:val="0"/>
              <w:ind w:left="-2" w:leftChars="-1"/>
              <w:jc w:val="center"/>
              <w:rPr>
                <w:rFonts w:hint="eastAsia" w:ascii="宋体" w:hAnsi="宋体" w:eastAsia="宋体" w:cs="宋体"/>
                <w:color w:val="auto"/>
                <w:sz w:val="21"/>
                <w:szCs w:val="21"/>
                <w:highlight w:val="none"/>
                <w:lang w:val="en-US" w:eastAsia="zh-CN"/>
              </w:rPr>
            </w:pPr>
            <w:r>
              <w:rPr>
                <w:rFonts w:hint="eastAsia" w:ascii="宋体" w:hAnsi="宋体" w:cs="宋体"/>
                <w:sz w:val="21"/>
                <w:szCs w:val="21"/>
                <w:highlight w:val="none"/>
              </w:rPr>
              <w:t>项目进度及控制措施</w:t>
            </w:r>
          </w:p>
        </w:tc>
        <w:tc>
          <w:tcPr>
            <w:tcW w:w="735" w:type="dxa"/>
            <w:shd w:val="clear" w:color="auto" w:fill="auto"/>
            <w:vAlign w:val="center"/>
          </w:tcPr>
          <w:p>
            <w:pPr>
              <w:snapToGrid w:val="0"/>
              <w:ind w:left="-2" w:leftChars="-1"/>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w:t>
            </w:r>
          </w:p>
        </w:tc>
        <w:tc>
          <w:tcPr>
            <w:tcW w:w="8730" w:type="dxa"/>
            <w:shd w:val="clear" w:color="auto" w:fill="auto"/>
            <w:vAlign w:val="center"/>
          </w:tcPr>
          <w:p>
            <w:pPr>
              <w:snapToGrid w:val="0"/>
              <w:ind w:left="-2" w:leftChars="-1"/>
              <w:jc w:val="center"/>
              <w:rPr>
                <w:rFonts w:hint="eastAsia" w:ascii="宋体" w:hAnsi="宋体" w:eastAsia="宋体" w:cs="宋体"/>
                <w:b w:val="0"/>
                <w:bCs w:val="0"/>
                <w:color w:val="auto"/>
                <w:sz w:val="21"/>
                <w:szCs w:val="21"/>
                <w:highlight w:val="none"/>
                <w:lang w:val="en-US" w:eastAsia="zh-CN"/>
              </w:rPr>
            </w:pPr>
            <w:r>
              <w:rPr>
                <w:rFonts w:hint="eastAsia"/>
                <w:sz w:val="21"/>
                <w:szCs w:val="21"/>
                <w:highlight w:val="none"/>
              </w:rPr>
              <w:t>项目进度及控制措施详尽可行，完善，能满足项目要求，得</w:t>
            </w:r>
            <w:r>
              <w:rPr>
                <w:rFonts w:hint="eastAsia" w:ascii="宋体" w:hAnsi="宋体" w:cs="宋体"/>
                <w:sz w:val="21"/>
                <w:szCs w:val="21"/>
                <w:highlight w:val="none"/>
                <w:lang w:val="en-US" w:eastAsia="zh-CN"/>
              </w:rPr>
              <w:t>[8-7]</w:t>
            </w:r>
            <w:r>
              <w:rPr>
                <w:rFonts w:hint="eastAsia"/>
                <w:sz w:val="21"/>
                <w:szCs w:val="21"/>
                <w:highlight w:val="none"/>
              </w:rPr>
              <w:t>分；项目进度及控制措施可行，完善，能基本满足项目要求，得</w:t>
            </w:r>
            <w:r>
              <w:rPr>
                <w:rFonts w:hint="eastAsia" w:ascii="宋体" w:hAnsi="宋体" w:cs="宋体"/>
                <w:sz w:val="21"/>
                <w:szCs w:val="21"/>
                <w:highlight w:val="none"/>
                <w:lang w:val="en-US" w:eastAsia="zh-CN"/>
              </w:rPr>
              <w:t>[6-5]</w:t>
            </w:r>
            <w:r>
              <w:rPr>
                <w:rFonts w:hint="eastAsia"/>
                <w:sz w:val="21"/>
                <w:szCs w:val="21"/>
                <w:highlight w:val="none"/>
              </w:rPr>
              <w:t>分；项目进度及控制措施一般，勉强满足项目要求，得</w:t>
            </w:r>
            <w:r>
              <w:rPr>
                <w:rFonts w:hint="eastAsia" w:ascii="宋体" w:hAnsi="宋体" w:cs="宋体"/>
                <w:sz w:val="21"/>
                <w:szCs w:val="21"/>
                <w:highlight w:val="none"/>
                <w:lang w:val="en-US" w:eastAsia="zh-CN"/>
              </w:rPr>
              <w:t>[4-3]</w:t>
            </w:r>
            <w:r>
              <w:rPr>
                <w:rFonts w:hint="eastAsia"/>
                <w:sz w:val="21"/>
                <w:szCs w:val="21"/>
                <w:highlight w:val="none"/>
              </w:rPr>
              <w:t>分；</w:t>
            </w:r>
            <w:r>
              <w:rPr>
                <w:rFonts w:hint="eastAsia" w:ascii="宋体" w:hAnsi="宋体" w:cs="宋体"/>
                <w:sz w:val="21"/>
                <w:szCs w:val="21"/>
                <w:highlight w:val="none"/>
              </w:rPr>
              <w:t>项目进度及控制措施差，勉强能满足项目要求，得</w:t>
            </w:r>
            <w:r>
              <w:rPr>
                <w:rFonts w:hint="eastAsia" w:ascii="宋体" w:hAnsi="宋体" w:cs="宋体"/>
                <w:sz w:val="21"/>
                <w:szCs w:val="21"/>
                <w:highlight w:val="none"/>
                <w:lang w:val="en-US" w:eastAsia="zh-CN"/>
              </w:rPr>
              <w:t>[2-1]</w:t>
            </w:r>
            <w:r>
              <w:rPr>
                <w:rFonts w:hint="eastAsia" w:ascii="宋体" w:hAnsi="宋体" w:cs="宋体"/>
                <w:sz w:val="21"/>
                <w:szCs w:val="21"/>
                <w:highlight w:val="none"/>
              </w:rPr>
              <w:t>分；不提供</w:t>
            </w:r>
            <w:r>
              <w:rPr>
                <w:rFonts w:hint="eastAsia" w:ascii="宋体" w:hAnsi="宋体" w:cs="宋体"/>
                <w:sz w:val="21"/>
                <w:szCs w:val="21"/>
                <w:highlight w:val="none"/>
                <w:lang w:val="en-US" w:eastAsia="zh-CN"/>
              </w:rPr>
              <w:t>不得分</w:t>
            </w:r>
            <w:r>
              <w:rPr>
                <w:rFonts w:hint="eastAsia" w:ascii="宋体" w:hAnsi="宋体" w:cs="宋体"/>
                <w:sz w:val="21"/>
                <w:szCs w:val="21"/>
                <w:highlight w:val="none"/>
              </w:rPr>
              <w:t>。</w:t>
            </w:r>
          </w:p>
        </w:tc>
        <w:tc>
          <w:tcPr>
            <w:tcW w:w="680" w:type="dxa"/>
            <w:shd w:val="clear" w:color="auto" w:fill="auto"/>
            <w:vAlign w:val="center"/>
          </w:tcPr>
          <w:p>
            <w:pPr>
              <w:snapToGrid w:val="0"/>
              <w:spacing w:line="360" w:lineRule="exact"/>
              <w:ind w:left="-2" w:leftChars="-1"/>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95" w:hRule="atLeast"/>
          <w:jc w:val="center"/>
        </w:trPr>
        <w:tc>
          <w:tcPr>
            <w:tcW w:w="1090" w:type="dxa"/>
            <w:vMerge w:val="continue"/>
            <w:shd w:val="clear" w:color="auto" w:fill="auto"/>
            <w:vAlign w:val="center"/>
          </w:tcPr>
          <w:p>
            <w:pPr>
              <w:snapToGrid w:val="0"/>
              <w:ind w:left="-2" w:leftChars="-1"/>
              <w:jc w:val="center"/>
              <w:rPr>
                <w:rFonts w:hint="eastAsia" w:ascii="宋体" w:hAnsi="宋体" w:eastAsia="宋体" w:cs="宋体"/>
                <w:b w:val="0"/>
                <w:bCs w:val="0"/>
                <w:color w:val="auto"/>
                <w:sz w:val="21"/>
                <w:szCs w:val="21"/>
                <w:highlight w:val="none"/>
              </w:rPr>
            </w:pPr>
          </w:p>
        </w:tc>
        <w:tc>
          <w:tcPr>
            <w:tcW w:w="1560" w:type="dxa"/>
            <w:shd w:val="clear" w:color="auto" w:fill="auto"/>
            <w:vAlign w:val="center"/>
          </w:tcPr>
          <w:p>
            <w:pPr>
              <w:snapToGrid w:val="0"/>
              <w:ind w:left="-2" w:leftChars="-1"/>
              <w:jc w:val="center"/>
              <w:rPr>
                <w:rFonts w:hint="eastAsia" w:ascii="宋体" w:hAnsi="宋体" w:eastAsia="宋体" w:cs="宋体"/>
                <w:color w:val="auto"/>
                <w:sz w:val="21"/>
                <w:szCs w:val="21"/>
                <w:highlight w:val="none"/>
                <w:lang w:val="en-US" w:eastAsia="zh-CN"/>
              </w:rPr>
            </w:pPr>
            <w:r>
              <w:rPr>
                <w:rFonts w:hint="eastAsia" w:ascii="宋体" w:hAnsi="宋体" w:cs="宋体"/>
                <w:sz w:val="21"/>
                <w:szCs w:val="21"/>
                <w:highlight w:val="none"/>
              </w:rPr>
              <w:t>重点难点研判及解决方案</w:t>
            </w:r>
          </w:p>
        </w:tc>
        <w:tc>
          <w:tcPr>
            <w:tcW w:w="735" w:type="dxa"/>
            <w:shd w:val="clear" w:color="auto" w:fill="auto"/>
            <w:vAlign w:val="center"/>
          </w:tcPr>
          <w:p>
            <w:pPr>
              <w:snapToGrid w:val="0"/>
              <w:ind w:left="-2" w:leftChars="-1"/>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w:t>
            </w:r>
          </w:p>
        </w:tc>
        <w:tc>
          <w:tcPr>
            <w:tcW w:w="8730" w:type="dxa"/>
            <w:shd w:val="clear" w:color="auto" w:fill="auto"/>
            <w:vAlign w:val="center"/>
          </w:tcPr>
          <w:p>
            <w:pPr>
              <w:snapToGrid w:val="0"/>
              <w:ind w:left="-2" w:leftChars="-1"/>
              <w:jc w:val="center"/>
              <w:rPr>
                <w:rFonts w:hint="eastAsia" w:ascii="宋体" w:hAnsi="宋体" w:eastAsia="宋体" w:cs="宋体"/>
                <w:b w:val="0"/>
                <w:bCs w:val="0"/>
                <w:color w:val="auto"/>
                <w:sz w:val="21"/>
                <w:szCs w:val="21"/>
                <w:highlight w:val="none"/>
                <w:lang w:val="en-US" w:eastAsia="zh-CN"/>
              </w:rPr>
            </w:pPr>
            <w:r>
              <w:rPr>
                <w:rFonts w:hint="eastAsia" w:ascii="宋体" w:hAnsi="宋体" w:cs="宋体"/>
                <w:sz w:val="21"/>
                <w:szCs w:val="21"/>
                <w:highlight w:val="none"/>
              </w:rPr>
              <w:t>重点难点研判及解决方案措施详尽可行，完善，能满足项目要求，得</w:t>
            </w:r>
            <w:r>
              <w:rPr>
                <w:rFonts w:hint="eastAsia" w:ascii="宋体" w:hAnsi="宋体" w:cs="宋体"/>
                <w:sz w:val="21"/>
                <w:szCs w:val="21"/>
                <w:highlight w:val="none"/>
                <w:lang w:val="en-US" w:eastAsia="zh-CN"/>
              </w:rPr>
              <w:t>[8-7]</w:t>
            </w:r>
            <w:r>
              <w:rPr>
                <w:rFonts w:hint="eastAsia" w:ascii="宋体" w:hAnsi="宋体" w:cs="宋体"/>
                <w:sz w:val="21"/>
                <w:szCs w:val="21"/>
                <w:highlight w:val="none"/>
              </w:rPr>
              <w:t>分；重点难点研判及解决方案措施可行，完善，能基本满足项目要求，得</w:t>
            </w:r>
            <w:r>
              <w:rPr>
                <w:rFonts w:hint="eastAsia" w:ascii="宋体" w:hAnsi="宋体" w:cs="宋体"/>
                <w:sz w:val="21"/>
                <w:szCs w:val="21"/>
                <w:highlight w:val="none"/>
                <w:lang w:val="en-US" w:eastAsia="zh-CN"/>
              </w:rPr>
              <w:t>[6-4]</w:t>
            </w:r>
            <w:r>
              <w:rPr>
                <w:rFonts w:hint="eastAsia" w:ascii="宋体" w:hAnsi="宋体" w:cs="宋体"/>
                <w:sz w:val="21"/>
                <w:szCs w:val="21"/>
                <w:highlight w:val="none"/>
              </w:rPr>
              <w:t>；重点难点研判及解决方案措施一般，勉强满足项目要求，得</w:t>
            </w:r>
            <w:r>
              <w:rPr>
                <w:rFonts w:hint="eastAsia" w:ascii="宋体" w:hAnsi="宋体" w:cs="宋体"/>
                <w:sz w:val="21"/>
                <w:szCs w:val="21"/>
                <w:highlight w:val="none"/>
                <w:lang w:val="en-US" w:eastAsia="zh-CN"/>
              </w:rPr>
              <w:t>[3-1]</w:t>
            </w:r>
            <w:r>
              <w:rPr>
                <w:rFonts w:hint="eastAsia" w:ascii="宋体" w:hAnsi="宋体" w:cs="宋体"/>
                <w:sz w:val="21"/>
                <w:szCs w:val="21"/>
                <w:highlight w:val="none"/>
              </w:rPr>
              <w:t>分；不提供</w:t>
            </w:r>
            <w:r>
              <w:rPr>
                <w:rFonts w:hint="eastAsia" w:ascii="宋体" w:hAnsi="宋体" w:cs="宋体"/>
                <w:sz w:val="21"/>
                <w:szCs w:val="21"/>
                <w:highlight w:val="none"/>
                <w:lang w:val="en-US" w:eastAsia="zh-CN"/>
              </w:rPr>
              <w:t>不得分</w:t>
            </w:r>
            <w:r>
              <w:rPr>
                <w:rFonts w:hint="eastAsia" w:ascii="宋体" w:hAnsi="宋体" w:cs="宋体"/>
                <w:sz w:val="21"/>
                <w:szCs w:val="21"/>
                <w:highlight w:val="none"/>
              </w:rPr>
              <w:t>。</w:t>
            </w:r>
          </w:p>
        </w:tc>
        <w:tc>
          <w:tcPr>
            <w:tcW w:w="680" w:type="dxa"/>
            <w:shd w:val="clear" w:color="auto" w:fill="auto"/>
            <w:vAlign w:val="center"/>
          </w:tcPr>
          <w:p>
            <w:pPr>
              <w:snapToGrid w:val="0"/>
              <w:spacing w:line="360" w:lineRule="exact"/>
              <w:ind w:left="-2" w:leftChars="-1"/>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0" w:hRule="atLeast"/>
          <w:jc w:val="center"/>
        </w:trPr>
        <w:tc>
          <w:tcPr>
            <w:tcW w:w="1090" w:type="dxa"/>
            <w:vMerge w:val="continue"/>
            <w:shd w:val="clear" w:color="auto" w:fill="auto"/>
            <w:vAlign w:val="center"/>
          </w:tcPr>
          <w:p>
            <w:pPr>
              <w:snapToGrid w:val="0"/>
              <w:ind w:left="-2" w:leftChars="-1"/>
              <w:jc w:val="center"/>
              <w:rPr>
                <w:rFonts w:hint="eastAsia" w:ascii="宋体" w:hAnsi="宋体" w:eastAsia="宋体" w:cs="宋体"/>
                <w:b w:val="0"/>
                <w:bCs w:val="0"/>
                <w:color w:val="auto"/>
                <w:sz w:val="21"/>
                <w:szCs w:val="21"/>
                <w:highlight w:val="none"/>
              </w:rPr>
            </w:pPr>
          </w:p>
        </w:tc>
        <w:tc>
          <w:tcPr>
            <w:tcW w:w="1560" w:type="dxa"/>
            <w:shd w:val="clear" w:color="auto" w:fill="auto"/>
            <w:vAlign w:val="center"/>
          </w:tcPr>
          <w:p>
            <w:pPr>
              <w:snapToGrid w:val="0"/>
              <w:ind w:left="-2" w:leftChars="-1"/>
              <w:jc w:val="center"/>
              <w:rPr>
                <w:rFonts w:hint="eastAsia" w:ascii="宋体" w:hAnsi="宋体" w:eastAsia="宋体" w:cs="宋体"/>
                <w:color w:val="auto"/>
                <w:sz w:val="21"/>
                <w:szCs w:val="21"/>
                <w:highlight w:val="none"/>
                <w:lang w:val="en-US" w:eastAsia="zh-CN"/>
              </w:rPr>
            </w:pPr>
            <w:r>
              <w:rPr>
                <w:rFonts w:hint="eastAsia" w:ascii="宋体" w:hAnsi="宋体" w:cs="宋体"/>
                <w:sz w:val="21"/>
                <w:szCs w:val="21"/>
                <w:highlight w:val="none"/>
              </w:rPr>
              <w:t>质量保障措施</w:t>
            </w:r>
          </w:p>
        </w:tc>
        <w:tc>
          <w:tcPr>
            <w:tcW w:w="735" w:type="dxa"/>
            <w:shd w:val="clear" w:color="auto" w:fill="auto"/>
            <w:vAlign w:val="center"/>
          </w:tcPr>
          <w:p>
            <w:pPr>
              <w:snapToGrid w:val="0"/>
              <w:ind w:left="-2" w:leftChars="-1"/>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w:t>
            </w:r>
          </w:p>
        </w:tc>
        <w:tc>
          <w:tcPr>
            <w:tcW w:w="8730" w:type="dxa"/>
            <w:shd w:val="clear" w:color="auto" w:fill="auto"/>
            <w:vAlign w:val="center"/>
          </w:tcPr>
          <w:p>
            <w:pPr>
              <w:snapToGrid w:val="0"/>
              <w:ind w:left="-2" w:leftChars="-1"/>
              <w:jc w:val="center"/>
              <w:rPr>
                <w:rFonts w:hint="eastAsia" w:ascii="宋体" w:hAnsi="宋体" w:eastAsia="宋体" w:cs="宋体"/>
                <w:b w:val="0"/>
                <w:bCs w:val="0"/>
                <w:color w:val="auto"/>
                <w:sz w:val="21"/>
                <w:szCs w:val="21"/>
                <w:highlight w:val="none"/>
                <w:lang w:val="en-US" w:eastAsia="zh-CN"/>
              </w:rPr>
            </w:pPr>
            <w:r>
              <w:rPr>
                <w:rFonts w:hint="eastAsia" w:ascii="宋体" w:hAnsi="宋体" w:cs="宋体"/>
                <w:sz w:val="21"/>
                <w:szCs w:val="21"/>
                <w:highlight w:val="none"/>
              </w:rPr>
              <w:t>质量保障措施详尽可行，完善，能满足项目要求，得</w:t>
            </w:r>
            <w:r>
              <w:rPr>
                <w:rFonts w:hint="eastAsia" w:ascii="宋体" w:hAnsi="宋体" w:cs="宋体"/>
                <w:sz w:val="21"/>
                <w:szCs w:val="21"/>
                <w:highlight w:val="none"/>
                <w:lang w:val="en-US" w:eastAsia="zh-CN"/>
              </w:rPr>
              <w:t>[8-7]</w:t>
            </w:r>
            <w:r>
              <w:rPr>
                <w:rFonts w:hint="eastAsia" w:ascii="宋体" w:hAnsi="宋体" w:cs="宋体"/>
                <w:sz w:val="21"/>
                <w:szCs w:val="21"/>
                <w:highlight w:val="none"/>
              </w:rPr>
              <w:t>分；质量保障措施可行，完善，能基本满足项目要求，得</w:t>
            </w:r>
            <w:r>
              <w:rPr>
                <w:rFonts w:hint="eastAsia" w:ascii="宋体" w:hAnsi="宋体" w:cs="宋体"/>
                <w:sz w:val="21"/>
                <w:szCs w:val="21"/>
                <w:highlight w:val="none"/>
                <w:lang w:val="en-US" w:eastAsia="zh-CN"/>
              </w:rPr>
              <w:t>[6-5]</w:t>
            </w:r>
            <w:r>
              <w:rPr>
                <w:rFonts w:hint="eastAsia" w:ascii="宋体" w:hAnsi="宋体" w:cs="宋体"/>
                <w:sz w:val="21"/>
                <w:szCs w:val="21"/>
                <w:highlight w:val="none"/>
              </w:rPr>
              <w:t>分；质量保障措施一般，勉强满足项目要求，得</w:t>
            </w:r>
            <w:r>
              <w:rPr>
                <w:rFonts w:hint="eastAsia" w:ascii="宋体" w:hAnsi="宋体" w:cs="宋体"/>
                <w:sz w:val="21"/>
                <w:szCs w:val="21"/>
                <w:highlight w:val="none"/>
                <w:lang w:val="en-US" w:eastAsia="zh-CN"/>
              </w:rPr>
              <w:t>[4-3]</w:t>
            </w:r>
            <w:r>
              <w:rPr>
                <w:rFonts w:hint="eastAsia" w:ascii="宋体" w:hAnsi="宋体" w:cs="宋体"/>
                <w:sz w:val="21"/>
                <w:szCs w:val="21"/>
                <w:highlight w:val="none"/>
              </w:rPr>
              <w:t>分；质量保障措施差，不能满足项目要求，得</w:t>
            </w:r>
            <w:r>
              <w:rPr>
                <w:rFonts w:hint="eastAsia" w:ascii="宋体" w:hAnsi="宋体" w:cs="宋体"/>
                <w:sz w:val="21"/>
                <w:szCs w:val="21"/>
                <w:highlight w:val="none"/>
                <w:lang w:val="en-US" w:eastAsia="zh-CN"/>
              </w:rPr>
              <w:t>[2-1]</w:t>
            </w:r>
            <w:r>
              <w:rPr>
                <w:rFonts w:hint="eastAsia" w:ascii="宋体" w:hAnsi="宋体" w:cs="宋体"/>
                <w:sz w:val="21"/>
                <w:szCs w:val="21"/>
                <w:highlight w:val="none"/>
              </w:rPr>
              <w:t>分；不提供</w:t>
            </w:r>
            <w:r>
              <w:rPr>
                <w:rFonts w:hint="eastAsia" w:ascii="宋体" w:hAnsi="宋体" w:cs="宋体"/>
                <w:sz w:val="21"/>
                <w:szCs w:val="21"/>
                <w:highlight w:val="none"/>
                <w:lang w:val="en-US" w:eastAsia="zh-CN"/>
              </w:rPr>
              <w:t>不得分</w:t>
            </w:r>
            <w:r>
              <w:rPr>
                <w:rFonts w:hint="eastAsia" w:ascii="宋体" w:hAnsi="宋体" w:cs="宋体"/>
                <w:sz w:val="21"/>
                <w:szCs w:val="21"/>
                <w:highlight w:val="none"/>
              </w:rPr>
              <w:t>。</w:t>
            </w:r>
          </w:p>
        </w:tc>
        <w:tc>
          <w:tcPr>
            <w:tcW w:w="680" w:type="dxa"/>
            <w:shd w:val="clear" w:color="auto" w:fill="auto"/>
            <w:vAlign w:val="center"/>
          </w:tcPr>
          <w:p>
            <w:pPr>
              <w:snapToGrid w:val="0"/>
              <w:spacing w:line="360" w:lineRule="exact"/>
              <w:ind w:left="-2" w:leftChars="-1"/>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0" w:hRule="atLeast"/>
          <w:jc w:val="center"/>
        </w:trPr>
        <w:tc>
          <w:tcPr>
            <w:tcW w:w="1090" w:type="dxa"/>
            <w:vMerge w:val="continue"/>
            <w:shd w:val="clear" w:color="auto" w:fill="auto"/>
            <w:vAlign w:val="center"/>
          </w:tcPr>
          <w:p>
            <w:pPr>
              <w:snapToGrid w:val="0"/>
              <w:ind w:left="-2" w:leftChars="-1"/>
              <w:jc w:val="center"/>
              <w:rPr>
                <w:rFonts w:hint="eastAsia" w:ascii="宋体" w:hAnsi="宋体" w:eastAsia="宋体" w:cs="宋体"/>
                <w:b w:val="0"/>
                <w:bCs w:val="0"/>
                <w:color w:val="auto"/>
                <w:sz w:val="21"/>
                <w:szCs w:val="21"/>
                <w:highlight w:val="none"/>
              </w:rPr>
            </w:pPr>
          </w:p>
        </w:tc>
        <w:tc>
          <w:tcPr>
            <w:tcW w:w="1560" w:type="dxa"/>
            <w:shd w:val="clear" w:color="auto" w:fill="auto"/>
            <w:vAlign w:val="center"/>
          </w:tcPr>
          <w:p>
            <w:pPr>
              <w:snapToGrid w:val="0"/>
              <w:ind w:left="-2" w:leftChars="-1"/>
              <w:jc w:val="center"/>
              <w:rPr>
                <w:rFonts w:hint="eastAsia" w:ascii="宋体" w:hAnsi="宋体" w:eastAsia="宋体" w:cs="宋体"/>
                <w:b w:val="0"/>
                <w:bCs w:val="0"/>
                <w:color w:val="auto"/>
                <w:sz w:val="21"/>
                <w:szCs w:val="21"/>
                <w:highlight w:val="none"/>
              </w:rPr>
            </w:pPr>
            <w:r>
              <w:rPr>
                <w:rFonts w:hint="eastAsia" w:ascii="宋体" w:hAnsi="宋体" w:cs="宋体"/>
                <w:sz w:val="21"/>
                <w:szCs w:val="21"/>
                <w:highlight w:val="none"/>
              </w:rPr>
              <w:t>安全、文明施工、环保措施</w:t>
            </w:r>
          </w:p>
        </w:tc>
        <w:tc>
          <w:tcPr>
            <w:tcW w:w="735" w:type="dxa"/>
            <w:shd w:val="clear" w:color="auto" w:fill="auto"/>
            <w:vAlign w:val="center"/>
          </w:tcPr>
          <w:p>
            <w:pPr>
              <w:snapToGrid w:val="0"/>
              <w:ind w:left="-2" w:leftChars="-1"/>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8</w:t>
            </w:r>
          </w:p>
        </w:tc>
        <w:tc>
          <w:tcPr>
            <w:tcW w:w="8730" w:type="dxa"/>
            <w:shd w:val="clear" w:color="auto" w:fill="auto"/>
            <w:vAlign w:val="center"/>
          </w:tcPr>
          <w:p>
            <w:pPr>
              <w:snapToGrid w:val="0"/>
              <w:ind w:left="-2" w:leftChars="-1"/>
              <w:jc w:val="center"/>
              <w:rPr>
                <w:rFonts w:hint="eastAsia" w:ascii="宋体" w:hAnsi="宋体" w:eastAsia="宋体" w:cs="宋体"/>
                <w:b w:val="0"/>
                <w:bCs w:val="0"/>
                <w:color w:val="auto"/>
                <w:sz w:val="21"/>
                <w:szCs w:val="21"/>
                <w:highlight w:val="none"/>
                <w:lang w:val="en-US" w:eastAsia="zh-CN"/>
              </w:rPr>
            </w:pPr>
            <w:r>
              <w:rPr>
                <w:rFonts w:hint="eastAsia" w:ascii="宋体" w:hAnsi="宋体" w:cs="宋体"/>
                <w:sz w:val="21"/>
                <w:szCs w:val="21"/>
                <w:highlight w:val="none"/>
              </w:rPr>
              <w:t>安全、文明施工、环保措施详尽可行，完善，能满足项目要求，得</w:t>
            </w:r>
            <w:r>
              <w:rPr>
                <w:rFonts w:hint="eastAsia" w:ascii="宋体" w:hAnsi="宋体" w:cs="宋体"/>
                <w:sz w:val="21"/>
                <w:szCs w:val="21"/>
                <w:highlight w:val="none"/>
                <w:lang w:val="en-US" w:eastAsia="zh-CN"/>
              </w:rPr>
              <w:t>[8-7]</w:t>
            </w:r>
            <w:r>
              <w:rPr>
                <w:rFonts w:hint="eastAsia" w:ascii="宋体" w:hAnsi="宋体" w:cs="宋体"/>
                <w:sz w:val="21"/>
                <w:szCs w:val="21"/>
                <w:highlight w:val="none"/>
              </w:rPr>
              <w:t>分；安全、文明施工、环保措施可行，完善，能基本满足项目要求，得</w:t>
            </w:r>
            <w:r>
              <w:rPr>
                <w:rFonts w:hint="eastAsia" w:ascii="宋体" w:hAnsi="宋体" w:cs="宋体"/>
                <w:sz w:val="21"/>
                <w:szCs w:val="21"/>
                <w:highlight w:val="none"/>
                <w:lang w:val="en-US" w:eastAsia="zh-CN"/>
              </w:rPr>
              <w:t>[6-5]</w:t>
            </w:r>
            <w:r>
              <w:rPr>
                <w:rFonts w:hint="eastAsia" w:ascii="宋体" w:hAnsi="宋体" w:cs="宋体"/>
                <w:sz w:val="21"/>
                <w:szCs w:val="21"/>
                <w:highlight w:val="none"/>
              </w:rPr>
              <w:t>分；安全、文明施工、环保措施一般，勉强满足项目要求，得</w:t>
            </w:r>
            <w:r>
              <w:rPr>
                <w:rFonts w:hint="eastAsia" w:ascii="宋体" w:hAnsi="宋体" w:cs="宋体"/>
                <w:sz w:val="21"/>
                <w:szCs w:val="21"/>
                <w:highlight w:val="none"/>
                <w:lang w:val="en-US" w:eastAsia="zh-CN"/>
              </w:rPr>
              <w:t>[4-3]</w:t>
            </w:r>
            <w:r>
              <w:rPr>
                <w:rFonts w:hint="eastAsia" w:ascii="宋体" w:hAnsi="宋体" w:cs="宋体"/>
                <w:sz w:val="21"/>
                <w:szCs w:val="21"/>
                <w:highlight w:val="none"/>
              </w:rPr>
              <w:t>分；安全、文明施工、环保措施差，不能满足项目要求，得</w:t>
            </w:r>
            <w:r>
              <w:rPr>
                <w:rFonts w:hint="eastAsia" w:ascii="宋体" w:hAnsi="宋体" w:cs="宋体"/>
                <w:sz w:val="21"/>
                <w:szCs w:val="21"/>
                <w:highlight w:val="none"/>
                <w:lang w:val="en-US" w:eastAsia="zh-CN"/>
              </w:rPr>
              <w:t>[2-1]</w:t>
            </w:r>
            <w:r>
              <w:rPr>
                <w:rFonts w:hint="eastAsia" w:ascii="宋体" w:hAnsi="宋体" w:cs="宋体"/>
                <w:sz w:val="21"/>
                <w:szCs w:val="21"/>
                <w:highlight w:val="none"/>
              </w:rPr>
              <w:t>分；不提供</w:t>
            </w:r>
            <w:r>
              <w:rPr>
                <w:rFonts w:hint="eastAsia" w:ascii="宋体" w:hAnsi="宋体" w:cs="宋体"/>
                <w:sz w:val="21"/>
                <w:szCs w:val="21"/>
                <w:highlight w:val="none"/>
                <w:lang w:val="en-US" w:eastAsia="zh-CN"/>
              </w:rPr>
              <w:t>不得分</w:t>
            </w:r>
            <w:r>
              <w:rPr>
                <w:rFonts w:hint="eastAsia" w:ascii="宋体" w:hAnsi="宋体" w:cs="宋体"/>
                <w:sz w:val="21"/>
                <w:szCs w:val="21"/>
                <w:highlight w:val="none"/>
              </w:rPr>
              <w:t>。</w:t>
            </w:r>
          </w:p>
        </w:tc>
        <w:tc>
          <w:tcPr>
            <w:tcW w:w="680" w:type="dxa"/>
            <w:shd w:val="clear" w:color="auto" w:fill="auto"/>
            <w:vAlign w:val="center"/>
          </w:tcPr>
          <w:p>
            <w:pPr>
              <w:snapToGrid w:val="0"/>
              <w:spacing w:line="360" w:lineRule="exact"/>
              <w:ind w:left="-2" w:leftChars="-1"/>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67" w:hRule="atLeast"/>
          <w:jc w:val="center"/>
        </w:trPr>
        <w:tc>
          <w:tcPr>
            <w:tcW w:w="1090" w:type="dxa"/>
            <w:shd w:val="clear" w:color="auto" w:fill="auto"/>
            <w:vAlign w:val="center"/>
          </w:tcPr>
          <w:p>
            <w:pPr>
              <w:pageBreakBefore w:val="0"/>
              <w:widowControl w:val="0"/>
              <w:kinsoku/>
              <w:wordWrap/>
              <w:overflowPunct/>
              <w:topLinePunct w:val="0"/>
              <w:autoSpaceDN/>
              <w:bidi w:val="0"/>
              <w:snapToGrid w:val="0"/>
              <w:spacing w:line="360" w:lineRule="exact"/>
              <w:ind w:left="-2" w:leftChars="-1"/>
              <w:jc w:val="center"/>
              <w:textAlignment w:val="auto"/>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rPr>
              <w:t>经济部分</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30分</w:t>
            </w:r>
            <w:r>
              <w:rPr>
                <w:rFonts w:hint="eastAsia" w:ascii="宋体" w:hAnsi="宋体" w:eastAsia="宋体" w:cs="宋体"/>
                <w:b w:val="0"/>
                <w:bCs w:val="0"/>
                <w:color w:val="auto"/>
                <w:sz w:val="21"/>
                <w:szCs w:val="21"/>
                <w:highlight w:val="none"/>
                <w:lang w:eastAsia="zh-CN"/>
              </w:rPr>
              <w:t>）</w:t>
            </w:r>
          </w:p>
        </w:tc>
        <w:tc>
          <w:tcPr>
            <w:tcW w:w="1560" w:type="dxa"/>
            <w:shd w:val="clear" w:color="auto" w:fill="auto"/>
            <w:vAlign w:val="center"/>
          </w:tcPr>
          <w:p>
            <w:pPr>
              <w:pageBreakBefore w:val="0"/>
              <w:widowControl w:val="0"/>
              <w:kinsoku/>
              <w:wordWrap/>
              <w:overflowPunct/>
              <w:topLinePunct w:val="0"/>
              <w:autoSpaceDN/>
              <w:bidi w:val="0"/>
              <w:snapToGrid w:val="0"/>
              <w:spacing w:line="360" w:lineRule="exact"/>
              <w:ind w:left="-2" w:leftChars="-1"/>
              <w:jc w:val="center"/>
              <w:textAlignment w:val="auto"/>
              <w:rPr>
                <w:rFonts w:hint="eastAsia" w:ascii="宋体" w:hAnsi="宋体" w:eastAsia="宋体" w:cs="宋体"/>
                <w:b w:val="0"/>
                <w:bCs w:val="0"/>
                <w:color w:val="auto"/>
                <w:sz w:val="21"/>
                <w:szCs w:val="21"/>
                <w:highlight w:val="none"/>
              </w:rPr>
            </w:pPr>
          </w:p>
          <w:p>
            <w:pPr>
              <w:pageBreakBefore w:val="0"/>
              <w:widowControl w:val="0"/>
              <w:kinsoku/>
              <w:wordWrap/>
              <w:overflowPunct/>
              <w:topLinePunct w:val="0"/>
              <w:autoSpaceDN/>
              <w:bidi w:val="0"/>
              <w:snapToGrid w:val="0"/>
              <w:spacing w:line="360" w:lineRule="exact"/>
              <w:ind w:left="-2" w:leftChars="-1"/>
              <w:jc w:val="both"/>
              <w:textAlignment w:val="auto"/>
              <w:rPr>
                <w:rFonts w:hint="eastAsia" w:ascii="宋体" w:hAnsi="宋体" w:eastAsia="宋体" w:cs="宋体"/>
                <w:color w:val="000000"/>
                <w:kern w:val="0"/>
                <w:sz w:val="21"/>
                <w:szCs w:val="21"/>
                <w:highlight w:val="none"/>
                <w:lang w:bidi="ar"/>
              </w:rPr>
            </w:pPr>
            <w:r>
              <w:rPr>
                <w:rFonts w:hint="eastAsia" w:ascii="宋体" w:hAnsi="宋体" w:eastAsia="宋体" w:cs="宋体"/>
                <w:b w:val="0"/>
                <w:bCs w:val="0"/>
                <w:color w:val="auto"/>
                <w:sz w:val="21"/>
                <w:szCs w:val="21"/>
                <w:highlight w:val="none"/>
              </w:rPr>
              <w:t>报价</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30分</w:t>
            </w:r>
            <w:r>
              <w:rPr>
                <w:rFonts w:hint="eastAsia" w:ascii="宋体" w:hAnsi="宋体" w:eastAsia="宋体" w:cs="宋体"/>
                <w:b w:val="0"/>
                <w:bCs w:val="0"/>
                <w:color w:val="auto"/>
                <w:sz w:val="21"/>
                <w:szCs w:val="21"/>
                <w:highlight w:val="none"/>
                <w:lang w:eastAsia="zh-CN"/>
              </w:rPr>
              <w:t>）</w:t>
            </w:r>
          </w:p>
        </w:tc>
        <w:tc>
          <w:tcPr>
            <w:tcW w:w="735" w:type="dxa"/>
            <w:shd w:val="clear" w:color="auto" w:fill="auto"/>
            <w:vAlign w:val="center"/>
          </w:tcPr>
          <w:p>
            <w:pPr>
              <w:pageBreakBefore w:val="0"/>
              <w:widowControl w:val="0"/>
              <w:kinsoku/>
              <w:wordWrap/>
              <w:overflowPunct/>
              <w:topLinePunct w:val="0"/>
              <w:autoSpaceDN/>
              <w:bidi w:val="0"/>
              <w:spacing w:line="360" w:lineRule="exact"/>
              <w:ind w:left="-2" w:leftChars="-1"/>
              <w:jc w:val="center"/>
              <w:textAlignment w:val="auto"/>
              <w:rPr>
                <w:rFonts w:hint="eastAsia" w:ascii="宋体" w:hAnsi="宋体" w:eastAsia="宋体" w:cs="宋体"/>
                <w:color w:val="000000"/>
                <w:kern w:val="0"/>
                <w:sz w:val="21"/>
                <w:szCs w:val="21"/>
                <w:highlight w:val="none"/>
                <w:lang w:bidi="ar"/>
              </w:rPr>
            </w:pPr>
            <w:r>
              <w:rPr>
                <w:rFonts w:hint="eastAsia" w:ascii="宋体" w:hAnsi="宋体" w:eastAsia="宋体" w:cs="宋体"/>
                <w:b w:val="0"/>
                <w:bCs w:val="0"/>
                <w:color w:val="auto"/>
                <w:sz w:val="21"/>
                <w:szCs w:val="21"/>
                <w:highlight w:val="none"/>
                <w:lang w:val="en-US" w:eastAsia="zh-CN"/>
              </w:rPr>
              <w:t>30</w:t>
            </w:r>
          </w:p>
        </w:tc>
        <w:tc>
          <w:tcPr>
            <w:tcW w:w="8730" w:type="dxa"/>
            <w:shd w:val="clear" w:color="auto" w:fill="auto"/>
            <w:vAlign w:val="top"/>
          </w:tcPr>
          <w:p>
            <w:pPr>
              <w:pageBreakBefore w:val="0"/>
              <w:widowControl w:val="0"/>
              <w:kinsoku/>
              <w:wordWrap/>
              <w:overflowPunct/>
              <w:topLinePunct w:val="0"/>
              <w:autoSpaceDN/>
              <w:bidi w:val="0"/>
              <w:spacing w:line="360" w:lineRule="exact"/>
              <w:ind w:firstLine="315" w:firstLineChars="150"/>
              <w:textAlignment w:val="auto"/>
              <w:rPr>
                <w:rFonts w:hint="eastAsia" w:ascii="宋体" w:hAnsi="宋体" w:eastAsia="宋体" w:cs="宋体"/>
                <w:b w:val="0"/>
                <w:bCs w:val="0"/>
                <w:color w:val="auto"/>
                <w:sz w:val="21"/>
                <w:szCs w:val="21"/>
                <w:highlight w:val="none"/>
                <w:lang w:eastAsia="zh-CN"/>
              </w:rPr>
            </w:pPr>
            <w:r>
              <w:rPr>
                <w:rFonts w:hint="eastAsia" w:ascii="宋体" w:hAnsi="宋体" w:eastAsia="宋体" w:cs="宋体"/>
                <w:color w:val="auto"/>
                <w:szCs w:val="21"/>
                <w:highlight w:val="none"/>
                <w:lang w:eastAsia="zh-CN"/>
              </w:rPr>
              <w:t>以通过符合性审查的</w:t>
            </w:r>
            <w:r>
              <w:rPr>
                <w:rFonts w:hint="eastAsia" w:ascii="宋体" w:hAnsi="宋体" w:eastAsia="宋体" w:cs="宋体"/>
                <w:color w:val="auto"/>
                <w:szCs w:val="21"/>
                <w:highlight w:val="none"/>
                <w:lang w:val="en-US" w:eastAsia="zh-CN"/>
              </w:rPr>
              <w:t>所有</w:t>
            </w:r>
            <w:r>
              <w:rPr>
                <w:rFonts w:hint="eastAsia" w:ascii="宋体" w:hAnsi="宋体" w:eastAsia="宋体" w:cs="宋体"/>
                <w:color w:val="auto"/>
                <w:szCs w:val="21"/>
                <w:highlight w:val="none"/>
                <w:lang w:eastAsia="zh-CN"/>
              </w:rPr>
              <w:t>投标</w:t>
            </w:r>
            <w:r>
              <w:rPr>
                <w:rFonts w:hint="eastAsia" w:ascii="宋体" w:hAnsi="宋体" w:eastAsia="宋体" w:cs="宋体"/>
                <w:color w:val="auto"/>
                <w:szCs w:val="21"/>
                <w:highlight w:val="none"/>
                <w:lang w:val="en-US" w:eastAsia="zh-CN"/>
              </w:rPr>
              <w:t>人</w:t>
            </w:r>
            <w:r>
              <w:rPr>
                <w:rFonts w:hint="eastAsia" w:ascii="宋体" w:hAnsi="宋体" w:eastAsia="宋体" w:cs="宋体"/>
                <w:color w:val="auto"/>
                <w:szCs w:val="21"/>
                <w:highlight w:val="none"/>
                <w:lang w:eastAsia="zh-CN"/>
              </w:rPr>
              <w:t>投标报价的算术平均值</w:t>
            </w:r>
            <w:r>
              <w:rPr>
                <w:rFonts w:hint="eastAsia" w:ascii="宋体" w:hAnsi="宋体" w:eastAsia="宋体" w:cs="宋体"/>
                <w:color w:val="auto"/>
                <w:szCs w:val="21"/>
                <w:highlight w:val="none"/>
              </w:rPr>
              <w:t>作为基准价</w:t>
            </w:r>
            <w:r>
              <w:rPr>
                <w:rFonts w:hint="eastAsia" w:ascii="宋体" w:hAnsi="宋体" w:eastAsia="宋体" w:cs="宋体"/>
                <w:color w:val="auto"/>
                <w:szCs w:val="21"/>
                <w:highlight w:val="none"/>
                <w:lang w:eastAsia="zh-CN"/>
              </w:rPr>
              <w:t>，</w:t>
            </w:r>
            <w:r>
              <w:rPr>
                <w:rFonts w:hint="eastAsia" w:ascii="宋体" w:hAnsi="宋体" w:eastAsia="宋体" w:cs="宋体"/>
                <w:b w:val="0"/>
                <w:bCs w:val="0"/>
                <w:color w:val="auto"/>
                <w:sz w:val="21"/>
                <w:szCs w:val="21"/>
                <w:highlight w:val="none"/>
                <w:lang w:eastAsia="zh-CN"/>
              </w:rPr>
              <w:t>投标报价</w:t>
            </w:r>
            <w:r>
              <w:rPr>
                <w:rFonts w:hint="eastAsia" w:ascii="宋体" w:hAnsi="宋体" w:eastAsia="宋体" w:cs="宋体"/>
                <w:b w:val="0"/>
                <w:bCs w:val="0"/>
                <w:color w:val="auto"/>
                <w:sz w:val="21"/>
                <w:szCs w:val="21"/>
                <w:highlight w:val="none"/>
              </w:rPr>
              <w:t>等于基准价为满分</w:t>
            </w:r>
            <w:r>
              <w:rPr>
                <w:rFonts w:hint="eastAsia" w:ascii="宋体" w:hAnsi="宋体" w:eastAsia="宋体" w:cs="宋体"/>
                <w:b w:val="0"/>
                <w:bCs w:val="0"/>
                <w:color w:val="auto"/>
                <w:sz w:val="21"/>
                <w:szCs w:val="21"/>
                <w:highlight w:val="none"/>
                <w:lang w:val="en-US" w:eastAsia="zh-CN"/>
              </w:rPr>
              <w:t>30</w:t>
            </w:r>
            <w:r>
              <w:rPr>
                <w:rFonts w:hint="eastAsia" w:ascii="宋体" w:hAnsi="宋体" w:eastAsia="宋体" w:cs="宋体"/>
                <w:b w:val="0"/>
                <w:bCs w:val="0"/>
                <w:color w:val="auto"/>
                <w:sz w:val="21"/>
                <w:szCs w:val="21"/>
                <w:highlight w:val="none"/>
              </w:rPr>
              <w:t>分，高于基准价的1%扣</w:t>
            </w:r>
            <w:r>
              <w:rPr>
                <w:rFonts w:hint="eastAsia" w:ascii="宋体" w:hAnsi="宋体" w:eastAsia="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rPr>
              <w:t>分，低于基准价的1%扣</w:t>
            </w:r>
            <w:r>
              <w:rPr>
                <w:rFonts w:hint="eastAsia" w:ascii="宋体" w:hAnsi="宋体" w:eastAsia="宋体" w:cs="宋体"/>
                <w:b w:val="0"/>
                <w:bCs w:val="0"/>
                <w:color w:val="auto"/>
                <w:sz w:val="21"/>
                <w:szCs w:val="21"/>
                <w:highlight w:val="none"/>
                <w:lang w:val="en-US" w:eastAsia="zh-CN"/>
              </w:rPr>
              <w:t>0.5</w:t>
            </w:r>
            <w:r>
              <w:rPr>
                <w:rFonts w:hint="eastAsia" w:ascii="宋体" w:hAnsi="宋体" w:eastAsia="宋体" w:cs="宋体"/>
                <w:b w:val="0"/>
                <w:bCs w:val="0"/>
                <w:color w:val="auto"/>
                <w:sz w:val="21"/>
                <w:szCs w:val="21"/>
                <w:highlight w:val="none"/>
              </w:rPr>
              <w:t>分，以此类推。最低得分0分。得分保留两位小数。</w:t>
            </w:r>
            <w:r>
              <w:rPr>
                <w:rFonts w:hint="eastAsia" w:ascii="宋体" w:hAnsi="宋体" w:eastAsia="宋体" w:cs="宋体"/>
                <w:b w:val="0"/>
                <w:bCs w:val="0"/>
                <w:color w:val="auto"/>
                <w:sz w:val="21"/>
                <w:szCs w:val="21"/>
                <w:highlight w:val="none"/>
                <w:lang w:eastAsia="zh-CN"/>
              </w:rPr>
              <w:t>计算公式如下：</w:t>
            </w:r>
          </w:p>
          <w:p>
            <w:pPr>
              <w:pStyle w:val="2"/>
              <w:pageBreakBefore w:val="0"/>
              <w:widowControl w:val="0"/>
              <w:numPr>
                <w:ilvl w:val="0"/>
                <w:numId w:val="5"/>
              </w:numPr>
              <w:kinsoku/>
              <w:wordWrap/>
              <w:overflowPunct/>
              <w:topLinePunct w:val="0"/>
              <w:autoSpaceDN/>
              <w:bidi w:val="0"/>
              <w:spacing w:line="360" w:lineRule="exac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报价等于基准价的，得分=30。</w:t>
            </w:r>
          </w:p>
          <w:p>
            <w:pPr>
              <w:pStyle w:val="2"/>
              <w:pageBreakBefore w:val="0"/>
              <w:widowControl w:val="0"/>
              <w:numPr>
                <w:ilvl w:val="0"/>
                <w:numId w:val="5"/>
              </w:numPr>
              <w:kinsoku/>
              <w:wordWrap/>
              <w:overflowPunct/>
              <w:topLinePunct w:val="0"/>
              <w:autoSpaceDN/>
              <w:bidi w:val="0"/>
              <w:spacing w:line="360" w:lineRule="exac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报价高于基准价的，得分=30-[（报价-基准价）/基准价]×100×1</w:t>
            </w:r>
          </w:p>
          <w:p>
            <w:pPr>
              <w:pStyle w:val="2"/>
              <w:pageBreakBefore w:val="0"/>
              <w:widowControl w:val="0"/>
              <w:numPr>
                <w:ilvl w:val="0"/>
                <w:numId w:val="5"/>
              </w:numPr>
              <w:kinsoku/>
              <w:wordWrap/>
              <w:overflowPunct/>
              <w:topLinePunct w:val="0"/>
              <w:autoSpaceDN/>
              <w:bidi w:val="0"/>
              <w:spacing w:line="360" w:lineRule="exact"/>
              <w:textAlignment w:val="auto"/>
              <w:rPr>
                <w:rFonts w:hint="eastAsia" w:ascii="宋体" w:hAnsi="宋体" w:eastAsia="宋体" w:cs="宋体"/>
                <w:color w:val="000000"/>
                <w:kern w:val="0"/>
                <w:sz w:val="21"/>
                <w:szCs w:val="21"/>
                <w:highlight w:val="none"/>
                <w:lang w:eastAsia="zh-CN" w:bidi="ar"/>
              </w:rPr>
            </w:pPr>
            <w:r>
              <w:rPr>
                <w:rFonts w:hint="eastAsia" w:ascii="宋体" w:hAnsi="宋体" w:eastAsia="宋体" w:cs="宋体"/>
                <w:b w:val="0"/>
                <w:bCs w:val="0"/>
                <w:color w:val="auto"/>
                <w:sz w:val="21"/>
                <w:szCs w:val="21"/>
                <w:highlight w:val="none"/>
                <w:lang w:val="en-US" w:eastAsia="zh-CN"/>
              </w:rPr>
              <w:t>报价低于基准价的，得分=30-[（基准价-报价）/基准价]×100×0.5</w:t>
            </w:r>
          </w:p>
        </w:tc>
        <w:tc>
          <w:tcPr>
            <w:tcW w:w="680" w:type="dxa"/>
            <w:shd w:val="clear" w:color="auto" w:fill="auto"/>
            <w:vAlign w:val="center"/>
          </w:tcPr>
          <w:p>
            <w:pPr>
              <w:snapToGrid w:val="0"/>
              <w:spacing w:line="360" w:lineRule="exact"/>
              <w:ind w:left="-2" w:leftChars="-1"/>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650" w:type="dxa"/>
            <w:gridSpan w:val="2"/>
            <w:shd w:val="clear" w:color="auto" w:fill="auto"/>
            <w:vAlign w:val="center"/>
          </w:tcPr>
          <w:p>
            <w:pPr>
              <w:spacing w:line="3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合计</w:t>
            </w:r>
          </w:p>
        </w:tc>
        <w:tc>
          <w:tcPr>
            <w:tcW w:w="735" w:type="dxa"/>
            <w:shd w:val="clear" w:color="auto" w:fill="auto"/>
            <w:vAlign w:val="center"/>
          </w:tcPr>
          <w:p>
            <w:pPr>
              <w:spacing w:line="360" w:lineRule="exact"/>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w:t>
            </w:r>
          </w:p>
        </w:tc>
        <w:tc>
          <w:tcPr>
            <w:tcW w:w="8730" w:type="dxa"/>
            <w:shd w:val="clear" w:color="auto" w:fill="auto"/>
            <w:vAlign w:val="center"/>
          </w:tcPr>
          <w:p>
            <w:pPr>
              <w:spacing w:line="360" w:lineRule="exact"/>
              <w:ind w:left="-2" w:leftChars="-1"/>
              <w:rPr>
                <w:rFonts w:hint="eastAsia" w:ascii="宋体" w:hAnsi="宋体" w:eastAsia="宋体" w:cs="宋体"/>
                <w:color w:val="auto"/>
                <w:sz w:val="21"/>
                <w:szCs w:val="21"/>
                <w:highlight w:val="none"/>
              </w:rPr>
            </w:pPr>
          </w:p>
        </w:tc>
        <w:tc>
          <w:tcPr>
            <w:tcW w:w="680" w:type="dxa"/>
            <w:shd w:val="clear" w:color="auto" w:fill="auto"/>
            <w:vAlign w:val="center"/>
          </w:tcPr>
          <w:p>
            <w:pPr>
              <w:spacing w:line="360" w:lineRule="exact"/>
              <w:ind w:left="-2" w:leftChars="-1"/>
              <w:rPr>
                <w:rFonts w:hint="eastAsia" w:ascii="宋体" w:hAnsi="宋体" w:eastAsia="宋体" w:cs="宋体"/>
                <w:color w:val="auto"/>
                <w:sz w:val="21"/>
                <w:szCs w:val="21"/>
                <w:highlight w:val="none"/>
              </w:rPr>
            </w:pPr>
          </w:p>
        </w:tc>
      </w:tr>
    </w:tbl>
    <w:p>
      <w:pPr>
        <w:snapToGrid w:val="0"/>
        <w:spacing w:line="360" w:lineRule="exact"/>
        <w:ind w:left="74" w:firstLine="0" w:firstLineChars="0"/>
        <w:jc w:val="left"/>
        <w:rPr>
          <w:rFonts w:ascii="宋体" w:hAnsi="宋体" w:cs="宋体"/>
          <w:color w:val="auto"/>
          <w:szCs w:val="21"/>
          <w:highlight w:val="none"/>
        </w:rPr>
      </w:pPr>
      <w:r>
        <w:rPr>
          <w:rFonts w:hint="eastAsia" w:ascii="仿宋" w:hAnsi="仿宋" w:eastAsia="仿宋" w:cs="宋体"/>
          <w:color w:val="auto"/>
          <w:sz w:val="24"/>
          <w:highlight w:val="none"/>
        </w:rPr>
        <w:t xml:space="preserve"> </w:t>
      </w:r>
      <w:r>
        <w:rPr>
          <w:rFonts w:hint="eastAsia" w:ascii="宋体" w:hAnsi="宋体" w:cs="宋体"/>
          <w:color w:val="auto"/>
          <w:szCs w:val="21"/>
          <w:highlight w:val="none"/>
        </w:rPr>
        <w:t>说明：</w:t>
      </w:r>
    </w:p>
    <w:p>
      <w:pPr>
        <w:rPr>
          <w:highlight w:val="none"/>
        </w:rPr>
      </w:pPr>
      <w:r>
        <w:rPr>
          <w:rFonts w:hint="eastAsia" w:ascii="宋体" w:hAnsi="宋体" w:cs="宋体"/>
          <w:color w:val="auto"/>
          <w:szCs w:val="18"/>
          <w:highlight w:val="none"/>
        </w:rPr>
        <w:t>本表中所有要求提供的证明资料复印件均需加盖投标人公章。未提供证明资料或提供的证明材料不齐全、不符合要求的，不得分</w:t>
      </w:r>
      <w:r>
        <w:rPr>
          <w:rFonts w:hint="eastAsia" w:ascii="宋体" w:hAnsi="宋体" w:cs="宋体"/>
          <w:color w:val="auto"/>
          <w:szCs w:val="18"/>
          <w:highlight w:val="none"/>
          <w:lang w:eastAsia="zh-CN"/>
        </w:rPr>
        <w:t>。</w:t>
      </w:r>
    </w:p>
    <w:bookmarkEnd w:id="77"/>
    <w:bookmarkEnd w:id="78"/>
    <w:p>
      <w:pPr>
        <w:pStyle w:val="24"/>
        <w:ind w:firstLine="420" w:firstLineChars="200"/>
        <w:rPr>
          <w:rFonts w:hint="default" w:ascii="宋体" w:hAnsi="宋体" w:cs="宋体"/>
          <w:color w:val="auto"/>
          <w:kern w:val="0"/>
          <w:sz w:val="21"/>
          <w:szCs w:val="21"/>
          <w:highlight w:val="none"/>
          <w:lang w:val="en-US" w:eastAsia="zh-CN"/>
        </w:rPr>
      </w:pPr>
    </w:p>
    <w:p>
      <w:pPr>
        <w:rPr>
          <w:rFonts w:hint="default" w:ascii="Calibri" w:hAnsi="Calibri" w:eastAsia="宋体" w:cs="Times New Roman"/>
          <w:bCs/>
          <w:szCs w:val="20"/>
          <w:highlight w:val="none"/>
          <w:lang w:val="en-US" w:eastAsia="zh-CN"/>
        </w:rPr>
      </w:pPr>
      <w:r>
        <w:rPr>
          <w:rFonts w:hint="eastAsia" w:ascii="宋体" w:hAnsi="宋体" w:eastAsia="宋体" w:cs="Times New Roman"/>
          <w:b w:val="0"/>
          <w:bCs/>
          <w:sz w:val="21"/>
          <w:szCs w:val="21"/>
          <w:highlight w:val="none"/>
        </w:rPr>
        <w:t>评标专家</w:t>
      </w:r>
      <w:r>
        <w:rPr>
          <w:rFonts w:hint="eastAsia" w:ascii="宋体" w:hAnsi="宋体" w:eastAsia="宋体" w:cs="Times New Roman"/>
          <w:b w:val="0"/>
          <w:bCs/>
          <w:sz w:val="21"/>
          <w:szCs w:val="21"/>
          <w:highlight w:val="none"/>
          <w:lang w:val="en-US" w:eastAsia="zh-CN"/>
        </w:rPr>
        <w:t>签名：                                                      日期：</w:t>
      </w:r>
    </w:p>
    <w:p>
      <w:pPr>
        <w:pStyle w:val="24"/>
        <w:ind w:firstLine="420" w:firstLineChars="200"/>
        <w:rPr>
          <w:rFonts w:hint="eastAsia" w:ascii="宋体" w:hAnsi="宋体" w:cs="宋体"/>
          <w:bCs/>
          <w:color w:val="auto"/>
          <w:kern w:val="0"/>
          <w:sz w:val="21"/>
          <w:szCs w:val="21"/>
          <w:highlight w:val="none"/>
          <w:lang w:eastAsia="zh-CN"/>
        </w:rPr>
      </w:pPr>
    </w:p>
    <w:p>
      <w:pPr>
        <w:pStyle w:val="24"/>
        <w:ind w:firstLine="420" w:firstLineChars="200"/>
        <w:rPr>
          <w:rFonts w:hint="eastAsia" w:ascii="宋体" w:hAnsi="宋体" w:cs="宋体"/>
          <w:bCs/>
          <w:color w:val="auto"/>
          <w:kern w:val="0"/>
          <w:sz w:val="21"/>
          <w:szCs w:val="21"/>
          <w:highlight w:val="none"/>
          <w:lang w:val="en-US" w:eastAsia="zh-CN"/>
        </w:rPr>
        <w:sectPr>
          <w:pgSz w:w="16838" w:h="11906" w:orient="landscape"/>
          <w:pgMar w:top="1797" w:right="1440" w:bottom="1797" w:left="1440" w:header="720" w:footer="720" w:gutter="0"/>
          <w:pgNumType w:fmt="decimal"/>
          <w:cols w:space="425" w:num="1"/>
          <w:docGrid w:linePitch="312" w:charSpace="0"/>
        </w:sectPr>
      </w:pPr>
    </w:p>
    <w:p>
      <w:pPr>
        <w:snapToGrid w:val="0"/>
        <w:spacing w:line="360" w:lineRule="auto"/>
        <w:jc w:val="left"/>
        <w:rPr>
          <w:rFonts w:ascii="宋体" w:hAnsi="宋体"/>
          <w:color w:val="auto"/>
          <w:sz w:val="21"/>
          <w:szCs w:val="21"/>
          <w:highlight w:val="none"/>
        </w:rPr>
      </w:pPr>
      <w:r>
        <w:rPr>
          <w:rFonts w:hint="eastAsia" w:ascii="宋体" w:hAnsi="宋体"/>
          <w:color w:val="auto"/>
          <w:sz w:val="21"/>
          <w:szCs w:val="21"/>
          <w:highlight w:val="none"/>
        </w:rPr>
        <w:t>附件</w:t>
      </w:r>
      <w:r>
        <w:rPr>
          <w:rFonts w:hint="eastAsia" w:ascii="宋体" w:hAnsi="宋体"/>
          <w:color w:val="auto"/>
          <w:sz w:val="21"/>
          <w:szCs w:val="21"/>
          <w:highlight w:val="none"/>
          <w:lang w:val="en-US" w:eastAsia="zh-CN"/>
        </w:rPr>
        <w:t>3</w:t>
      </w:r>
      <w:r>
        <w:rPr>
          <w:rFonts w:hint="eastAsia" w:ascii="宋体" w:hAnsi="宋体"/>
          <w:color w:val="auto"/>
          <w:sz w:val="21"/>
          <w:szCs w:val="21"/>
          <w:highlight w:val="none"/>
        </w:rPr>
        <w:t>：</w:t>
      </w:r>
    </w:p>
    <w:p>
      <w:pPr>
        <w:adjustRightInd w:val="0"/>
        <w:snapToGrid w:val="0"/>
        <w:spacing w:line="360" w:lineRule="auto"/>
        <w:jc w:val="center"/>
        <w:outlineLvl w:val="0"/>
        <w:rPr>
          <w:rFonts w:ascii="宋体" w:hAnsi="宋体" w:cs="宋体"/>
          <w:b/>
          <w:color w:val="auto"/>
          <w:sz w:val="28"/>
          <w:szCs w:val="28"/>
          <w:highlight w:val="none"/>
        </w:rPr>
      </w:pPr>
      <w:bookmarkStart w:id="79" w:name="_Toc17298"/>
      <w:bookmarkStart w:id="80" w:name="_Toc27349"/>
      <w:bookmarkStart w:id="81" w:name="_Toc4858"/>
      <w:bookmarkStart w:id="82" w:name="_Toc17392"/>
      <w:bookmarkStart w:id="83" w:name="_Toc10364"/>
      <w:bookmarkStart w:id="84" w:name="_Toc17416"/>
      <w:r>
        <w:rPr>
          <w:rFonts w:hint="eastAsia" w:ascii="宋体" w:hAnsi="宋体" w:cs="宋体"/>
          <w:b/>
          <w:color w:val="auto"/>
          <w:kern w:val="0"/>
          <w:sz w:val="28"/>
          <w:szCs w:val="28"/>
          <w:highlight w:val="none"/>
        </w:rPr>
        <w:t>投标申请人</w:t>
      </w:r>
      <w:r>
        <w:rPr>
          <w:rFonts w:hint="eastAsia" w:ascii="宋体" w:hAnsi="宋体" w:cs="宋体"/>
          <w:b/>
          <w:color w:val="auto"/>
          <w:sz w:val="28"/>
          <w:szCs w:val="28"/>
          <w:highlight w:val="none"/>
        </w:rPr>
        <w:t>声明</w:t>
      </w:r>
      <w:bookmarkEnd w:id="79"/>
      <w:bookmarkEnd w:id="80"/>
      <w:bookmarkEnd w:id="81"/>
      <w:bookmarkEnd w:id="82"/>
      <w:bookmarkEnd w:id="83"/>
      <w:bookmarkEnd w:id="84"/>
    </w:p>
    <w:p>
      <w:pPr>
        <w:pStyle w:val="39"/>
        <w:snapToGrid w:val="0"/>
        <w:spacing w:line="336" w:lineRule="auto"/>
        <w:ind w:firstLine="0"/>
        <w:rPr>
          <w:rFonts w:ascii="宋体" w:hAnsi="宋体" w:eastAsia="宋体"/>
          <w:color w:val="auto"/>
          <w:sz w:val="24"/>
          <w:szCs w:val="24"/>
          <w:highlight w:val="none"/>
        </w:rPr>
      </w:pPr>
      <w:r>
        <w:rPr>
          <w:rFonts w:hint="eastAsia" w:ascii="宋体" w:hAnsi="宋体" w:eastAsia="宋体"/>
          <w:color w:val="auto"/>
          <w:sz w:val="24"/>
          <w:szCs w:val="24"/>
          <w:highlight w:val="none"/>
        </w:rPr>
        <w:t>致：</w:t>
      </w:r>
      <w:r>
        <w:rPr>
          <w:rFonts w:hint="eastAsia" w:ascii="宋体" w:hAnsi="宋体" w:eastAsia="宋体"/>
          <w:color w:val="auto"/>
          <w:sz w:val="24"/>
          <w:szCs w:val="24"/>
          <w:highlight w:val="none"/>
          <w:u w:val="single"/>
          <w:lang w:eastAsia="zh-CN"/>
        </w:rPr>
        <w:t>广州南沙</w:t>
      </w:r>
      <w:r>
        <w:rPr>
          <w:rFonts w:hint="eastAsia" w:ascii="宋体" w:hAnsi="宋体" w:eastAsia="宋体"/>
          <w:color w:val="auto"/>
          <w:sz w:val="24"/>
          <w:szCs w:val="24"/>
          <w:highlight w:val="none"/>
          <w:u w:val="single"/>
          <w:lang w:val="en-US" w:eastAsia="zh-CN"/>
        </w:rPr>
        <w:t>湿地</w:t>
      </w:r>
      <w:r>
        <w:rPr>
          <w:rFonts w:hint="eastAsia" w:ascii="宋体" w:hAnsi="宋体" w:eastAsia="宋体"/>
          <w:color w:val="auto"/>
          <w:sz w:val="24"/>
          <w:szCs w:val="24"/>
          <w:highlight w:val="none"/>
          <w:u w:val="single"/>
          <w:lang w:eastAsia="zh-CN"/>
        </w:rPr>
        <w:t>旅游发展有限公司</w:t>
      </w:r>
    </w:p>
    <w:p>
      <w:pPr>
        <w:pStyle w:val="39"/>
        <w:snapToGrid w:val="0"/>
        <w:spacing w:line="336"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本公司就参加</w:t>
      </w:r>
      <w:r>
        <w:rPr>
          <w:rFonts w:hint="eastAsia" w:ascii="宋体" w:hAnsi="宋体" w:eastAsia="宋体" w:cs="Times New Roman"/>
          <w:color w:val="auto"/>
          <w:spacing w:val="0"/>
          <w:sz w:val="24"/>
          <w:szCs w:val="24"/>
          <w:highlight w:val="none"/>
          <w:u w:val="single"/>
          <w:lang w:val="en-US" w:eastAsia="zh-CN"/>
        </w:rPr>
        <w:t xml:space="preserve"> </w:t>
      </w:r>
      <w:r>
        <w:rPr>
          <w:rFonts w:hint="eastAsia" w:ascii="宋体" w:hAnsi="宋体" w:eastAsia="宋体" w:cs="Times New Roman"/>
          <w:b w:val="0"/>
          <w:bCs w:val="0"/>
          <w:color w:val="auto"/>
          <w:sz w:val="24"/>
          <w:szCs w:val="24"/>
          <w:highlight w:val="none"/>
          <w:u w:val="single"/>
          <w:lang w:val="en-US" w:eastAsia="zh-CN"/>
        </w:rPr>
        <w:t xml:space="preserve">湿地一期景区木结构整体刷漆维护保养项目（第二次） </w:t>
      </w:r>
      <w:r>
        <w:rPr>
          <w:rFonts w:hint="eastAsia" w:ascii="宋体" w:hAnsi="宋体" w:eastAsia="宋体"/>
          <w:color w:val="auto"/>
          <w:sz w:val="24"/>
          <w:szCs w:val="24"/>
          <w:highlight w:val="none"/>
        </w:rPr>
        <w:t>投标工作，做出郑重声明：</w:t>
      </w:r>
    </w:p>
    <w:p>
      <w:pPr>
        <w:pStyle w:val="39"/>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一、本公司保证投标报名材料及其后提供的一切材料都是真实的。</w:t>
      </w:r>
    </w:p>
    <w:p>
      <w:pPr>
        <w:pStyle w:val="39"/>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二、本公司保证在本项目投标中不与其他单位围标、串标，不出让投标资格，不向招标人或评标委员会成员行贿。</w:t>
      </w:r>
    </w:p>
    <w:p>
      <w:pPr>
        <w:pStyle w:val="39"/>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三、本公司没有处于被责令停业的状态；没有处于被建设行政主管部门取消投标资格的处罚期内；没有处于财产被接管、冻结、破产的状态；在投标报名截止日期前两年内没有建设行政主管部门已书面认定的重大质量问题；在广州市人民检察院行贿犯罪档案查询结果中，本公司没有在投标报名截止时间前两年内被人民法院判决犯有行贿罪的记录。</w:t>
      </w:r>
    </w:p>
    <w:p>
      <w:pPr>
        <w:pStyle w:val="39"/>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四、本公司及其有隶属关系的机构没有参加本项目的设计、前期工作、招标文件编写、监理工作；本公司与承担本招标项目监理业务的单位没有隶属关系或其他利害关系。</w:t>
      </w:r>
    </w:p>
    <w:p>
      <w:pPr>
        <w:pStyle w:val="39"/>
        <w:adjustRightInd w:val="0"/>
        <w:snapToGrid w:val="0"/>
        <w:spacing w:line="336"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五、与本公司单位负责人为同一人或者与本公司存在控股、管理关系的其他单位包括：</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。（注：本条由投标人如实填写，如有，应列出全部满足招标公告资质要求的相关单位的名称；如无，则填写“无”。）</w:t>
      </w:r>
    </w:p>
    <w:p>
      <w:pPr>
        <w:pStyle w:val="39"/>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本公司违反上述保证，或本声明陈述与事实不符，经查实，本公司愿意接受公开通报，承担由此带来的法律后果，并自愿停止参加广州市行政辖区内的招标投标活动三个月。</w:t>
      </w:r>
    </w:p>
    <w:p>
      <w:pPr>
        <w:pStyle w:val="39"/>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特此声明！</w:t>
      </w:r>
    </w:p>
    <w:p>
      <w:pPr>
        <w:pStyle w:val="40"/>
        <w:snapToGrid w:val="0"/>
        <w:spacing w:line="336" w:lineRule="auto"/>
        <w:ind w:left="0" w:right="1449" w:firstLine="2160" w:firstLineChars="900"/>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 xml:space="preserve">声明企业：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(企业公章)</w:t>
      </w:r>
    </w:p>
    <w:p>
      <w:pPr>
        <w:pStyle w:val="39"/>
        <w:snapToGrid w:val="0"/>
        <w:spacing w:line="336" w:lineRule="auto"/>
        <w:ind w:right="1449" w:firstLine="0"/>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法定代表人签字：                  </w:t>
      </w:r>
    </w:p>
    <w:p>
      <w:pPr>
        <w:pStyle w:val="39"/>
        <w:snapToGrid w:val="0"/>
        <w:spacing w:line="336" w:lineRule="auto"/>
        <w:ind w:right="172" w:firstLine="4080" w:firstLineChars="1700"/>
        <w:jc w:val="right"/>
        <w:rPr>
          <w:color w:val="auto"/>
          <w:sz w:val="24"/>
          <w:szCs w:val="24"/>
          <w:highlight w:val="none"/>
        </w:rPr>
      </w:pPr>
      <w:r>
        <w:rPr>
          <w:rFonts w:hint="eastAsia" w:ascii="宋体" w:hAnsi="宋体" w:eastAsia="宋体"/>
          <w:color w:val="auto"/>
          <w:sz w:val="24"/>
          <w:szCs w:val="24"/>
          <w:highlight w:val="none"/>
        </w:rPr>
        <w:t>年   月   日</w:t>
      </w:r>
    </w:p>
    <w:p>
      <w:pPr>
        <w:pStyle w:val="2"/>
        <w:rPr>
          <w:rFonts w:hint="default"/>
          <w:color w:val="auto"/>
          <w:highlight w:val="none"/>
        </w:rPr>
      </w:pPr>
    </w:p>
    <w:p>
      <w:pPr>
        <w:rPr>
          <w:rFonts w:hint="default"/>
          <w:color w:val="auto"/>
          <w:highlight w:val="none"/>
        </w:rPr>
      </w:pPr>
    </w:p>
    <w:p>
      <w:pPr>
        <w:pStyle w:val="6"/>
        <w:rPr>
          <w:rFonts w:hint="default"/>
          <w:color w:val="auto"/>
          <w:highlight w:val="none"/>
        </w:rPr>
      </w:pPr>
    </w:p>
    <w:p>
      <w:pPr>
        <w:rPr>
          <w:rFonts w:hint="default"/>
          <w:color w:val="auto"/>
          <w:highlight w:val="none"/>
        </w:rPr>
      </w:pPr>
    </w:p>
    <w:p>
      <w:pPr>
        <w:pStyle w:val="6"/>
        <w:rPr>
          <w:rFonts w:hint="default"/>
          <w:color w:val="auto"/>
          <w:highlight w:val="none"/>
        </w:rPr>
      </w:pPr>
    </w:p>
    <w:p>
      <w:pPr>
        <w:rPr>
          <w:rFonts w:hint="default"/>
          <w:color w:val="auto"/>
          <w:highlight w:val="none"/>
        </w:rPr>
      </w:pPr>
    </w:p>
    <w:p>
      <w:pPr>
        <w:snapToGrid w:val="0"/>
        <w:spacing w:line="360" w:lineRule="auto"/>
        <w:jc w:val="left"/>
        <w:rPr>
          <w:rFonts w:ascii="宋体" w:hAnsi="宋体"/>
          <w:color w:val="auto"/>
          <w:sz w:val="21"/>
          <w:szCs w:val="21"/>
          <w:highlight w:val="none"/>
        </w:rPr>
      </w:pPr>
      <w:r>
        <w:rPr>
          <w:rFonts w:hint="eastAsia" w:ascii="宋体" w:hAnsi="宋体"/>
          <w:color w:val="auto"/>
          <w:sz w:val="21"/>
          <w:szCs w:val="21"/>
          <w:highlight w:val="none"/>
        </w:rPr>
        <w:t>附件</w:t>
      </w:r>
      <w:r>
        <w:rPr>
          <w:rFonts w:hint="eastAsia" w:ascii="宋体" w:hAnsi="宋体"/>
          <w:color w:val="auto"/>
          <w:sz w:val="21"/>
          <w:szCs w:val="21"/>
          <w:highlight w:val="none"/>
          <w:lang w:val="en-US" w:eastAsia="zh-CN"/>
        </w:rPr>
        <w:t>4</w:t>
      </w:r>
      <w:r>
        <w:rPr>
          <w:rFonts w:hint="eastAsia" w:ascii="宋体" w:hAnsi="宋体"/>
          <w:color w:val="auto"/>
          <w:sz w:val="21"/>
          <w:szCs w:val="21"/>
          <w:highlight w:val="none"/>
        </w:rPr>
        <w:t>：</w:t>
      </w:r>
    </w:p>
    <w:p>
      <w:pPr>
        <w:adjustRightInd w:val="0"/>
        <w:snapToGrid w:val="0"/>
        <w:spacing w:line="360" w:lineRule="auto"/>
        <w:jc w:val="center"/>
        <w:outlineLvl w:val="0"/>
        <w:rPr>
          <w:rFonts w:hint="eastAsia" w:ascii="宋体" w:hAnsi="宋体" w:cs="宋体"/>
          <w:b/>
          <w:color w:val="auto"/>
          <w:kern w:val="0"/>
          <w:sz w:val="28"/>
          <w:szCs w:val="28"/>
          <w:highlight w:val="none"/>
        </w:rPr>
      </w:pPr>
      <w:bookmarkStart w:id="85" w:name="_Toc24807"/>
      <w:bookmarkStart w:id="86" w:name="_Toc3465"/>
      <w:bookmarkStart w:id="87" w:name="_Toc9237"/>
      <w:bookmarkStart w:id="88" w:name="_Toc26871"/>
      <w:r>
        <w:rPr>
          <w:rFonts w:hint="eastAsia" w:ascii="宋体" w:hAnsi="宋体" w:cs="宋体" w:eastAsiaTheme="minorEastAsia"/>
          <w:b/>
          <w:color w:val="auto"/>
          <w:kern w:val="0"/>
          <w:sz w:val="28"/>
          <w:szCs w:val="28"/>
          <w:highlight w:val="none"/>
          <w:lang w:val="en-US" w:eastAsia="zh-CN"/>
        </w:rPr>
        <w:t>非联合体投标声明（格式自拟）</w:t>
      </w:r>
      <w:bookmarkEnd w:id="85"/>
      <w:bookmarkEnd w:id="86"/>
      <w:bookmarkEnd w:id="87"/>
      <w:bookmarkEnd w:id="88"/>
    </w:p>
    <w:sectPr>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Calisto MT">
    <w:panose1 w:val="02040603050505030304"/>
    <w:charset w:val="00"/>
    <w:family w:val="roman"/>
    <w:pitch w:val="default"/>
    <w:sig w:usb0="00000003" w:usb1="00000000" w:usb2="00000000" w:usb3="00000000" w:csb0="20000001" w:csb1="00000000"/>
  </w:font>
  <w:font w:name="楷体">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方正小标宋简体">
    <w:panose1 w:val="02000000000000000000"/>
    <w:charset w:val="86"/>
    <w:family w:val="auto"/>
    <w:pitch w:val="default"/>
    <w:sig w:usb0="A00002BF" w:usb1="184F6CFA" w:usb2="00000012"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JGuwyAgAAY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jB5loWN&#10;3loeoaM83i4PAXImlaMonRLoTjxg9lKfLnsSh/vPc4p6+m9YP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Ika7DICAABjBAAADgAAAAAAAAABACAAAAAfAQAAZHJzL2Uyb0RvYy54bWxQSwUG&#10;AAAAAAYABgBZAQAAww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k47wyAgAAY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TjvDICAABjBAAADgAAAAAAAAABACAAAAAfAQAAZHJzL2Uyb0RvYy54bWxQSwUG&#10;AAAAAAYABgBZAQAAww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32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bottom w:val="none" w:color="auto" w:sz="0" w:space="0"/>
      </w:pBdr>
      <w:snapToGrid w:val="0"/>
      <w:jc w:val="left"/>
      <w:rPr>
        <w:rFonts w:hint="eastAsia" w:ascii="Times New Roman" w:hAnsi="Times New Roman" w:eastAsia="宋体" w:cs="Times New Roman"/>
        <w:kern w:val="2"/>
        <w:sz w:val="18"/>
        <w:szCs w:val="18"/>
        <w:lang w:val="en-US" w:eastAsia="zh-CN" w:bidi="ar-S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B7E8B4"/>
    <w:multiLevelType w:val="singleLevel"/>
    <w:tmpl w:val="8DB7E8B4"/>
    <w:lvl w:ilvl="0" w:tentative="0">
      <w:start w:val="1"/>
      <w:numFmt w:val="decimal"/>
      <w:suff w:val="nothing"/>
      <w:lvlText w:val="%1）"/>
      <w:lvlJc w:val="left"/>
      <w:pPr>
        <w:tabs>
          <w:tab w:val="left" w:pos="0"/>
        </w:tabs>
        <w:ind w:left="0" w:firstLine="397"/>
      </w:pPr>
      <w:rPr>
        <w:rFonts w:hint="default" w:ascii="宋体" w:hAnsi="宋体" w:eastAsia="宋体" w:cs="宋体"/>
      </w:rPr>
    </w:lvl>
  </w:abstractNum>
  <w:abstractNum w:abstractNumId="1">
    <w:nsid w:val="CB8718C6"/>
    <w:multiLevelType w:val="singleLevel"/>
    <w:tmpl w:val="CB8718C6"/>
    <w:lvl w:ilvl="0" w:tentative="0">
      <w:start w:val="3"/>
      <w:numFmt w:val="decimal"/>
      <w:suff w:val="nothing"/>
      <w:lvlText w:val="%1、"/>
      <w:lvlJc w:val="left"/>
    </w:lvl>
  </w:abstractNum>
  <w:abstractNum w:abstractNumId="2">
    <w:nsid w:val="E3DB8167"/>
    <w:multiLevelType w:val="singleLevel"/>
    <w:tmpl w:val="E3DB8167"/>
    <w:lvl w:ilvl="0" w:tentative="0">
      <w:start w:val="1"/>
      <w:numFmt w:val="decimal"/>
      <w:suff w:val="nothing"/>
      <w:lvlText w:val="（%1）"/>
      <w:lvlJc w:val="left"/>
    </w:lvl>
  </w:abstractNum>
  <w:abstractNum w:abstractNumId="3">
    <w:nsid w:val="F9153F42"/>
    <w:multiLevelType w:val="singleLevel"/>
    <w:tmpl w:val="F9153F42"/>
    <w:lvl w:ilvl="0" w:tentative="0">
      <w:start w:val="1"/>
      <w:numFmt w:val="decimal"/>
      <w:suff w:val="nothing"/>
      <w:lvlText w:val="%1、"/>
      <w:lvlJc w:val="left"/>
    </w:lvl>
  </w:abstractNum>
  <w:abstractNum w:abstractNumId="4">
    <w:nsid w:val="7A7B36A8"/>
    <w:multiLevelType w:val="singleLevel"/>
    <w:tmpl w:val="7A7B36A8"/>
    <w:lvl w:ilvl="0" w:tentative="0">
      <w:start w:val="33"/>
      <w:numFmt w:val="decimal"/>
      <w:suff w:val="nothing"/>
      <w:lvlText w:val="%1．"/>
      <w:lvlJc w:val="left"/>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trackRevisions w:val="1"/>
  <w:documentProtection w:enforcement="0"/>
  <w:defaultTabStop w:val="420"/>
  <w:drawingGridHorizontalSpacing w:val="210"/>
  <w:drawingGridVerticalSpacing w:val="99999990"/>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QzZjliNzQ4M2JhYjM0MjI3YTk2NzE0ZGY0MWQ5N2YifQ=="/>
  </w:docVars>
  <w:rsids>
    <w:rsidRoot w:val="3B6D4312"/>
    <w:rsid w:val="0002289A"/>
    <w:rsid w:val="0002557B"/>
    <w:rsid w:val="0005254F"/>
    <w:rsid w:val="000744F3"/>
    <w:rsid w:val="00085D0C"/>
    <w:rsid w:val="000B7B0A"/>
    <w:rsid w:val="000E0EC3"/>
    <w:rsid w:val="000F63F4"/>
    <w:rsid w:val="001062CA"/>
    <w:rsid w:val="0012610A"/>
    <w:rsid w:val="00134FF9"/>
    <w:rsid w:val="00135D99"/>
    <w:rsid w:val="001543AA"/>
    <w:rsid w:val="001544AB"/>
    <w:rsid w:val="00164413"/>
    <w:rsid w:val="001921E8"/>
    <w:rsid w:val="001B03C8"/>
    <w:rsid w:val="001C26B1"/>
    <w:rsid w:val="001C4DFB"/>
    <w:rsid w:val="001D1F1F"/>
    <w:rsid w:val="001E1021"/>
    <w:rsid w:val="001F504D"/>
    <w:rsid w:val="001F66EC"/>
    <w:rsid w:val="002124C7"/>
    <w:rsid w:val="00247343"/>
    <w:rsid w:val="002B1295"/>
    <w:rsid w:val="002B764E"/>
    <w:rsid w:val="002D7B13"/>
    <w:rsid w:val="00313CD1"/>
    <w:rsid w:val="003B47E8"/>
    <w:rsid w:val="003D0F57"/>
    <w:rsid w:val="0040578E"/>
    <w:rsid w:val="00407F49"/>
    <w:rsid w:val="00456C93"/>
    <w:rsid w:val="00464100"/>
    <w:rsid w:val="0048290C"/>
    <w:rsid w:val="004B2C05"/>
    <w:rsid w:val="004D6177"/>
    <w:rsid w:val="00524AD0"/>
    <w:rsid w:val="00553FDF"/>
    <w:rsid w:val="00571117"/>
    <w:rsid w:val="005A19E6"/>
    <w:rsid w:val="005C4427"/>
    <w:rsid w:val="00641255"/>
    <w:rsid w:val="00646FE0"/>
    <w:rsid w:val="0065458C"/>
    <w:rsid w:val="0065720F"/>
    <w:rsid w:val="00697CBD"/>
    <w:rsid w:val="006A18B1"/>
    <w:rsid w:val="006D7EB2"/>
    <w:rsid w:val="007055DD"/>
    <w:rsid w:val="00722415"/>
    <w:rsid w:val="007309C3"/>
    <w:rsid w:val="0075587D"/>
    <w:rsid w:val="00790D6C"/>
    <w:rsid w:val="00791D3B"/>
    <w:rsid w:val="00793DB5"/>
    <w:rsid w:val="007A633F"/>
    <w:rsid w:val="007A7407"/>
    <w:rsid w:val="007C0AF5"/>
    <w:rsid w:val="007E14F9"/>
    <w:rsid w:val="007E37CF"/>
    <w:rsid w:val="007F42A9"/>
    <w:rsid w:val="00802BFD"/>
    <w:rsid w:val="0080751A"/>
    <w:rsid w:val="008348EE"/>
    <w:rsid w:val="00841D4A"/>
    <w:rsid w:val="008822E1"/>
    <w:rsid w:val="00896001"/>
    <w:rsid w:val="008C667C"/>
    <w:rsid w:val="008F47DB"/>
    <w:rsid w:val="008F491E"/>
    <w:rsid w:val="00945378"/>
    <w:rsid w:val="009538E5"/>
    <w:rsid w:val="009A31D3"/>
    <w:rsid w:val="009B4E73"/>
    <w:rsid w:val="009C14AA"/>
    <w:rsid w:val="009C50DE"/>
    <w:rsid w:val="009D0B60"/>
    <w:rsid w:val="009E4EFF"/>
    <w:rsid w:val="00A05D0A"/>
    <w:rsid w:val="00A14DC5"/>
    <w:rsid w:val="00A367D2"/>
    <w:rsid w:val="00A81829"/>
    <w:rsid w:val="00A920B1"/>
    <w:rsid w:val="00AC62A3"/>
    <w:rsid w:val="00AF1D2C"/>
    <w:rsid w:val="00AF57CF"/>
    <w:rsid w:val="00B00879"/>
    <w:rsid w:val="00B11F8D"/>
    <w:rsid w:val="00B60E3F"/>
    <w:rsid w:val="00B71F35"/>
    <w:rsid w:val="00B96CE0"/>
    <w:rsid w:val="00BB3D24"/>
    <w:rsid w:val="00BD0854"/>
    <w:rsid w:val="00C532AA"/>
    <w:rsid w:val="00CA24DF"/>
    <w:rsid w:val="00CA49A2"/>
    <w:rsid w:val="00CC34A7"/>
    <w:rsid w:val="00D06D88"/>
    <w:rsid w:val="00D0796B"/>
    <w:rsid w:val="00D50CF1"/>
    <w:rsid w:val="00D603A5"/>
    <w:rsid w:val="00D650B3"/>
    <w:rsid w:val="00D85D6D"/>
    <w:rsid w:val="00D95E37"/>
    <w:rsid w:val="00DD64C1"/>
    <w:rsid w:val="00DD686E"/>
    <w:rsid w:val="00DF620B"/>
    <w:rsid w:val="00E14E87"/>
    <w:rsid w:val="00E222D9"/>
    <w:rsid w:val="00E32FBB"/>
    <w:rsid w:val="00E85F0E"/>
    <w:rsid w:val="00EC3FB8"/>
    <w:rsid w:val="00EC75BF"/>
    <w:rsid w:val="00EE23EE"/>
    <w:rsid w:val="00EF5506"/>
    <w:rsid w:val="00F15754"/>
    <w:rsid w:val="00F358B9"/>
    <w:rsid w:val="00F52D3A"/>
    <w:rsid w:val="00F5751A"/>
    <w:rsid w:val="00F72550"/>
    <w:rsid w:val="00F90CF2"/>
    <w:rsid w:val="00FC3484"/>
    <w:rsid w:val="00FF33A0"/>
    <w:rsid w:val="00FF76D9"/>
    <w:rsid w:val="01E200EE"/>
    <w:rsid w:val="025A13E2"/>
    <w:rsid w:val="02E9680F"/>
    <w:rsid w:val="02F7533D"/>
    <w:rsid w:val="030457ED"/>
    <w:rsid w:val="03562994"/>
    <w:rsid w:val="03CB6D70"/>
    <w:rsid w:val="04364A4F"/>
    <w:rsid w:val="04376975"/>
    <w:rsid w:val="04D330E5"/>
    <w:rsid w:val="04E40895"/>
    <w:rsid w:val="05031424"/>
    <w:rsid w:val="051B7598"/>
    <w:rsid w:val="052E78DA"/>
    <w:rsid w:val="0557469B"/>
    <w:rsid w:val="059A4101"/>
    <w:rsid w:val="073B0CB2"/>
    <w:rsid w:val="07746BCF"/>
    <w:rsid w:val="07F66A4C"/>
    <w:rsid w:val="083B43B1"/>
    <w:rsid w:val="08757A2C"/>
    <w:rsid w:val="089D5EE4"/>
    <w:rsid w:val="08A9464F"/>
    <w:rsid w:val="08D505E6"/>
    <w:rsid w:val="09062DA7"/>
    <w:rsid w:val="09A667E8"/>
    <w:rsid w:val="0A621C44"/>
    <w:rsid w:val="0A9867C9"/>
    <w:rsid w:val="0B372B92"/>
    <w:rsid w:val="0BFF40FB"/>
    <w:rsid w:val="0C855B7E"/>
    <w:rsid w:val="0C87037B"/>
    <w:rsid w:val="0CF74903"/>
    <w:rsid w:val="0D2A3B3D"/>
    <w:rsid w:val="0E1B10A8"/>
    <w:rsid w:val="0E80564C"/>
    <w:rsid w:val="0EA03B8A"/>
    <w:rsid w:val="0EAC0C18"/>
    <w:rsid w:val="0EB25F9A"/>
    <w:rsid w:val="0EE07B74"/>
    <w:rsid w:val="0F656FB0"/>
    <w:rsid w:val="0F8D0176"/>
    <w:rsid w:val="0F912314"/>
    <w:rsid w:val="0FD73768"/>
    <w:rsid w:val="10A4638E"/>
    <w:rsid w:val="10D83B3D"/>
    <w:rsid w:val="11135DC8"/>
    <w:rsid w:val="11F528ED"/>
    <w:rsid w:val="12E86716"/>
    <w:rsid w:val="130F5872"/>
    <w:rsid w:val="134A310C"/>
    <w:rsid w:val="13E640E2"/>
    <w:rsid w:val="13E744B7"/>
    <w:rsid w:val="14082F52"/>
    <w:rsid w:val="14085DAD"/>
    <w:rsid w:val="14233C6D"/>
    <w:rsid w:val="14452035"/>
    <w:rsid w:val="1448567A"/>
    <w:rsid w:val="145B3800"/>
    <w:rsid w:val="14DA40AE"/>
    <w:rsid w:val="15B036FB"/>
    <w:rsid w:val="16007AF5"/>
    <w:rsid w:val="163A7468"/>
    <w:rsid w:val="17463991"/>
    <w:rsid w:val="179E3273"/>
    <w:rsid w:val="17DF6EBB"/>
    <w:rsid w:val="17E977C8"/>
    <w:rsid w:val="1873680D"/>
    <w:rsid w:val="18E67433"/>
    <w:rsid w:val="18F12637"/>
    <w:rsid w:val="19095239"/>
    <w:rsid w:val="1A361CF4"/>
    <w:rsid w:val="1AA864E1"/>
    <w:rsid w:val="1AB46DAB"/>
    <w:rsid w:val="1B6C2995"/>
    <w:rsid w:val="1BB630ED"/>
    <w:rsid w:val="1BC44893"/>
    <w:rsid w:val="1BE136FF"/>
    <w:rsid w:val="1C05708F"/>
    <w:rsid w:val="1C307374"/>
    <w:rsid w:val="1C9203A6"/>
    <w:rsid w:val="1E032835"/>
    <w:rsid w:val="1E562810"/>
    <w:rsid w:val="1EBD45C4"/>
    <w:rsid w:val="1F1C5732"/>
    <w:rsid w:val="1F584BD1"/>
    <w:rsid w:val="205D447F"/>
    <w:rsid w:val="206E043A"/>
    <w:rsid w:val="20AD4C4C"/>
    <w:rsid w:val="21424D60"/>
    <w:rsid w:val="215321ED"/>
    <w:rsid w:val="224A02E7"/>
    <w:rsid w:val="227411DF"/>
    <w:rsid w:val="232E3EB1"/>
    <w:rsid w:val="23A43B04"/>
    <w:rsid w:val="24856237"/>
    <w:rsid w:val="25053D8A"/>
    <w:rsid w:val="25687B33"/>
    <w:rsid w:val="25791876"/>
    <w:rsid w:val="26236584"/>
    <w:rsid w:val="26B94C66"/>
    <w:rsid w:val="26FF6942"/>
    <w:rsid w:val="272101A5"/>
    <w:rsid w:val="272B74FA"/>
    <w:rsid w:val="2751149E"/>
    <w:rsid w:val="2765008E"/>
    <w:rsid w:val="2837076A"/>
    <w:rsid w:val="2865301D"/>
    <w:rsid w:val="28C86C87"/>
    <w:rsid w:val="28D56736"/>
    <w:rsid w:val="29051210"/>
    <w:rsid w:val="296119D7"/>
    <w:rsid w:val="2A97100B"/>
    <w:rsid w:val="2B401296"/>
    <w:rsid w:val="2BEC17AE"/>
    <w:rsid w:val="2C1B0D4A"/>
    <w:rsid w:val="2C5357E2"/>
    <w:rsid w:val="2D0635AD"/>
    <w:rsid w:val="2DDB1EBF"/>
    <w:rsid w:val="2DE261EA"/>
    <w:rsid w:val="2DE71DA9"/>
    <w:rsid w:val="2DF963B5"/>
    <w:rsid w:val="2E6C5CB5"/>
    <w:rsid w:val="2EC40C57"/>
    <w:rsid w:val="2EE433BF"/>
    <w:rsid w:val="2F9B6BBA"/>
    <w:rsid w:val="2FEA73B1"/>
    <w:rsid w:val="30136E93"/>
    <w:rsid w:val="30334755"/>
    <w:rsid w:val="30EC6390"/>
    <w:rsid w:val="311233CC"/>
    <w:rsid w:val="31B57180"/>
    <w:rsid w:val="3283717A"/>
    <w:rsid w:val="33F561C4"/>
    <w:rsid w:val="347657C9"/>
    <w:rsid w:val="34935BA4"/>
    <w:rsid w:val="34A264CA"/>
    <w:rsid w:val="35830B03"/>
    <w:rsid w:val="36276355"/>
    <w:rsid w:val="3700775A"/>
    <w:rsid w:val="37A26BD4"/>
    <w:rsid w:val="37AE7FE3"/>
    <w:rsid w:val="38417D8A"/>
    <w:rsid w:val="38522CBB"/>
    <w:rsid w:val="390F4B98"/>
    <w:rsid w:val="39731517"/>
    <w:rsid w:val="39F52602"/>
    <w:rsid w:val="39FC703A"/>
    <w:rsid w:val="3A041618"/>
    <w:rsid w:val="3AC802EF"/>
    <w:rsid w:val="3B183024"/>
    <w:rsid w:val="3B6D4312"/>
    <w:rsid w:val="3BB718A6"/>
    <w:rsid w:val="3BC04127"/>
    <w:rsid w:val="3C88543E"/>
    <w:rsid w:val="3CB7521C"/>
    <w:rsid w:val="3CE76215"/>
    <w:rsid w:val="3CFF0303"/>
    <w:rsid w:val="3D7619F9"/>
    <w:rsid w:val="3D957982"/>
    <w:rsid w:val="3D96007A"/>
    <w:rsid w:val="3F30256A"/>
    <w:rsid w:val="3F4915A0"/>
    <w:rsid w:val="3F5F332B"/>
    <w:rsid w:val="3F641BC2"/>
    <w:rsid w:val="3F8502F8"/>
    <w:rsid w:val="3FD704B2"/>
    <w:rsid w:val="405854B3"/>
    <w:rsid w:val="408D1DBF"/>
    <w:rsid w:val="409313F9"/>
    <w:rsid w:val="40B7508E"/>
    <w:rsid w:val="40C17CBA"/>
    <w:rsid w:val="40CA2819"/>
    <w:rsid w:val="418831AE"/>
    <w:rsid w:val="41EC3A6C"/>
    <w:rsid w:val="42A2655E"/>
    <w:rsid w:val="43420D2F"/>
    <w:rsid w:val="436C5E0D"/>
    <w:rsid w:val="43D9356D"/>
    <w:rsid w:val="44631084"/>
    <w:rsid w:val="446A549B"/>
    <w:rsid w:val="44800368"/>
    <w:rsid w:val="44E811C0"/>
    <w:rsid w:val="45180D62"/>
    <w:rsid w:val="46871AD6"/>
    <w:rsid w:val="47025D0E"/>
    <w:rsid w:val="4735560E"/>
    <w:rsid w:val="47413F22"/>
    <w:rsid w:val="4792678F"/>
    <w:rsid w:val="47E03B89"/>
    <w:rsid w:val="481D5A38"/>
    <w:rsid w:val="487975A7"/>
    <w:rsid w:val="48E72086"/>
    <w:rsid w:val="496C347B"/>
    <w:rsid w:val="49732ED5"/>
    <w:rsid w:val="4999462F"/>
    <w:rsid w:val="499C01CA"/>
    <w:rsid w:val="49D2082D"/>
    <w:rsid w:val="49D9477F"/>
    <w:rsid w:val="49EF5898"/>
    <w:rsid w:val="4A1079FD"/>
    <w:rsid w:val="4A1D620C"/>
    <w:rsid w:val="4AED722D"/>
    <w:rsid w:val="4B3D40BA"/>
    <w:rsid w:val="4BC136D0"/>
    <w:rsid w:val="4BF328A0"/>
    <w:rsid w:val="4C2E17B4"/>
    <w:rsid w:val="4C547C35"/>
    <w:rsid w:val="4C81677F"/>
    <w:rsid w:val="4D195C1E"/>
    <w:rsid w:val="4D904DD7"/>
    <w:rsid w:val="4D9C287D"/>
    <w:rsid w:val="4DC04FA6"/>
    <w:rsid w:val="4DC53F66"/>
    <w:rsid w:val="4E165AE9"/>
    <w:rsid w:val="4E2A0E48"/>
    <w:rsid w:val="4F333601"/>
    <w:rsid w:val="4FC91A1A"/>
    <w:rsid w:val="50DB6247"/>
    <w:rsid w:val="50F24C19"/>
    <w:rsid w:val="51531E87"/>
    <w:rsid w:val="51552F81"/>
    <w:rsid w:val="51AB2104"/>
    <w:rsid w:val="525A7F6F"/>
    <w:rsid w:val="52760C06"/>
    <w:rsid w:val="530E35F9"/>
    <w:rsid w:val="53427976"/>
    <w:rsid w:val="53A07C03"/>
    <w:rsid w:val="53A63423"/>
    <w:rsid w:val="53B638D1"/>
    <w:rsid w:val="54386D63"/>
    <w:rsid w:val="54A36172"/>
    <w:rsid w:val="54BC0EE8"/>
    <w:rsid w:val="54BF6370"/>
    <w:rsid w:val="55055F70"/>
    <w:rsid w:val="55D41C4B"/>
    <w:rsid w:val="5702252D"/>
    <w:rsid w:val="572444C0"/>
    <w:rsid w:val="57692898"/>
    <w:rsid w:val="576D49E8"/>
    <w:rsid w:val="57951FF3"/>
    <w:rsid w:val="579C393A"/>
    <w:rsid w:val="583D3C73"/>
    <w:rsid w:val="594F1692"/>
    <w:rsid w:val="59566C52"/>
    <w:rsid w:val="597674DD"/>
    <w:rsid w:val="59F07874"/>
    <w:rsid w:val="5A416E84"/>
    <w:rsid w:val="5AAF5CCA"/>
    <w:rsid w:val="5B6E68B8"/>
    <w:rsid w:val="5B8D6C19"/>
    <w:rsid w:val="5BAA698D"/>
    <w:rsid w:val="5BCE61FA"/>
    <w:rsid w:val="5C9B134E"/>
    <w:rsid w:val="5DAA1580"/>
    <w:rsid w:val="5DF14932"/>
    <w:rsid w:val="5DFF04E8"/>
    <w:rsid w:val="5E1A6FB5"/>
    <w:rsid w:val="5E7A3CE2"/>
    <w:rsid w:val="5E960581"/>
    <w:rsid w:val="5F355496"/>
    <w:rsid w:val="5F8349F8"/>
    <w:rsid w:val="5F865CD7"/>
    <w:rsid w:val="5FB4440E"/>
    <w:rsid w:val="5FDC4484"/>
    <w:rsid w:val="60BA0556"/>
    <w:rsid w:val="60F61E20"/>
    <w:rsid w:val="6118527D"/>
    <w:rsid w:val="61A7533B"/>
    <w:rsid w:val="61AA37BB"/>
    <w:rsid w:val="621244D5"/>
    <w:rsid w:val="62B2296D"/>
    <w:rsid w:val="62B247EF"/>
    <w:rsid w:val="636147EE"/>
    <w:rsid w:val="63DB6B9E"/>
    <w:rsid w:val="64A86918"/>
    <w:rsid w:val="65B441A4"/>
    <w:rsid w:val="65D8147F"/>
    <w:rsid w:val="66373494"/>
    <w:rsid w:val="66591B82"/>
    <w:rsid w:val="66A2527C"/>
    <w:rsid w:val="66CF4630"/>
    <w:rsid w:val="66E005EB"/>
    <w:rsid w:val="672A46AF"/>
    <w:rsid w:val="68550B65"/>
    <w:rsid w:val="6898637C"/>
    <w:rsid w:val="68B16D7B"/>
    <w:rsid w:val="68BA7003"/>
    <w:rsid w:val="6B121E89"/>
    <w:rsid w:val="6C281E78"/>
    <w:rsid w:val="6C307E68"/>
    <w:rsid w:val="6C920572"/>
    <w:rsid w:val="6CE07597"/>
    <w:rsid w:val="6D373324"/>
    <w:rsid w:val="6D635AD2"/>
    <w:rsid w:val="6DB227E4"/>
    <w:rsid w:val="6DBE1759"/>
    <w:rsid w:val="6DC31ECB"/>
    <w:rsid w:val="6E307289"/>
    <w:rsid w:val="6E656845"/>
    <w:rsid w:val="6F471F5D"/>
    <w:rsid w:val="6F8E74DB"/>
    <w:rsid w:val="6FE04A8C"/>
    <w:rsid w:val="70836CF8"/>
    <w:rsid w:val="70CF07C8"/>
    <w:rsid w:val="710F157A"/>
    <w:rsid w:val="71840FD7"/>
    <w:rsid w:val="718C3480"/>
    <w:rsid w:val="721D56A4"/>
    <w:rsid w:val="7225592F"/>
    <w:rsid w:val="72BC4D15"/>
    <w:rsid w:val="72F3401B"/>
    <w:rsid w:val="731416B4"/>
    <w:rsid w:val="73712518"/>
    <w:rsid w:val="738A0204"/>
    <w:rsid w:val="738E7AB2"/>
    <w:rsid w:val="73EF0074"/>
    <w:rsid w:val="74624F7D"/>
    <w:rsid w:val="74B72A06"/>
    <w:rsid w:val="7546516B"/>
    <w:rsid w:val="75AF555B"/>
    <w:rsid w:val="763204BA"/>
    <w:rsid w:val="767D2F83"/>
    <w:rsid w:val="76F3488A"/>
    <w:rsid w:val="77281C38"/>
    <w:rsid w:val="7741229E"/>
    <w:rsid w:val="781828A1"/>
    <w:rsid w:val="781C3DC0"/>
    <w:rsid w:val="78780B98"/>
    <w:rsid w:val="788E06C1"/>
    <w:rsid w:val="78D76423"/>
    <w:rsid w:val="78D80007"/>
    <w:rsid w:val="78D86E43"/>
    <w:rsid w:val="79566D81"/>
    <w:rsid w:val="79E02BD8"/>
    <w:rsid w:val="7A2B55F9"/>
    <w:rsid w:val="7A3458D0"/>
    <w:rsid w:val="7A4B048B"/>
    <w:rsid w:val="7A7C35B8"/>
    <w:rsid w:val="7A96669D"/>
    <w:rsid w:val="7AC70013"/>
    <w:rsid w:val="7AF85D08"/>
    <w:rsid w:val="7B672810"/>
    <w:rsid w:val="7B681B66"/>
    <w:rsid w:val="7C561F60"/>
    <w:rsid w:val="7C6B2EC5"/>
    <w:rsid w:val="7C831CEC"/>
    <w:rsid w:val="7DDF7DDD"/>
    <w:rsid w:val="7E262745"/>
    <w:rsid w:val="7E300909"/>
    <w:rsid w:val="7EC84C80"/>
    <w:rsid w:val="7EF434D2"/>
    <w:rsid w:val="7EF55FF4"/>
    <w:rsid w:val="7F0627ED"/>
    <w:rsid w:val="7FE40AB5"/>
    <w:rsid w:val="7FEA4922"/>
    <w:rsid w:val="7FED13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qFormat="1" w:unhideWhenUsed="0" w:uiPriority="99"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uiPriority="0" w:name="Body Text First Indent 2"/>
    <w:lsdException w:qFormat="1" w:unhideWhenUsed="0" w:uiPriority="0" w:semiHidden="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4"/>
    <w:qFormat/>
    <w:uiPriority w:val="0"/>
    <w:pPr>
      <w:keepNext/>
      <w:keepLines/>
      <w:adjustRightInd w:val="0"/>
      <w:spacing w:before="240" w:after="60" w:line="20" w:lineRule="exact"/>
      <w:outlineLvl w:val="0"/>
    </w:pPr>
    <w:rPr>
      <w:rFonts w:ascii="Times New Roman" w:hAnsi="Times New Roman" w:eastAsia="黑体" w:cs="Times New Roman"/>
      <w:color w:val="FF0000"/>
      <w:kern w:val="24"/>
      <w:sz w:val="28"/>
      <w:szCs w:val="28"/>
    </w:rPr>
  </w:style>
  <w:style w:type="paragraph" w:styleId="6">
    <w:name w:val="heading 2"/>
    <w:basedOn w:val="1"/>
    <w:next w:val="1"/>
    <w:semiHidden/>
    <w:unhideWhenUsed/>
    <w:qFormat/>
    <w:uiPriority w:val="0"/>
    <w:pPr>
      <w:keepNext/>
      <w:keepLines/>
      <w:spacing w:line="413" w:lineRule="auto"/>
      <w:outlineLvl w:val="1"/>
    </w:pPr>
    <w:rPr>
      <w:rFonts w:ascii="Arial" w:hAnsi="Arial" w:eastAsia="黑体"/>
      <w:b/>
      <w:sz w:val="32"/>
    </w:rPr>
  </w:style>
  <w:style w:type="paragraph" w:styleId="7">
    <w:name w:val="heading 3"/>
    <w:next w:val="1"/>
    <w:link w:val="43"/>
    <w:qFormat/>
    <w:uiPriority w:val="0"/>
    <w:pPr>
      <w:keepNext/>
      <w:keepLines/>
      <w:widowControl w:val="0"/>
      <w:adjustRightInd w:val="0"/>
      <w:spacing w:before="40" w:beforeLines="0" w:after="40" w:afterLines="0" w:line="360" w:lineRule="auto"/>
      <w:jc w:val="both"/>
      <w:textAlignment w:val="baseline"/>
      <w:outlineLvl w:val="2"/>
    </w:pPr>
    <w:rPr>
      <w:rFonts w:ascii="宋体" w:hAnsi="宋体" w:eastAsia="宋体" w:cs="Times New Roman"/>
      <w:b/>
      <w:sz w:val="28"/>
      <w:lang w:val="en-US" w:eastAsia="zh-CN" w:bidi="ar-SA"/>
    </w:rPr>
  </w:style>
  <w:style w:type="character" w:default="1" w:styleId="18">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Plain Text"/>
    <w:basedOn w:val="1"/>
    <w:next w:val="1"/>
    <w:link w:val="36"/>
    <w:qFormat/>
    <w:uiPriority w:val="0"/>
    <w:rPr>
      <w:rFonts w:hint="eastAsia" w:ascii="宋体" w:hAnsi="Courier New" w:eastAsia="宋体" w:cs="Times New Roman"/>
      <w:szCs w:val="21"/>
    </w:rPr>
  </w:style>
  <w:style w:type="paragraph" w:styleId="4">
    <w:name w:val="Body Text First Indent"/>
    <w:basedOn w:val="5"/>
    <w:link w:val="37"/>
    <w:qFormat/>
    <w:uiPriority w:val="0"/>
    <w:pPr>
      <w:spacing w:beforeAutospacing="1" w:after="120"/>
      <w:ind w:firstLine="420"/>
    </w:pPr>
    <w:rPr>
      <w:rFonts w:ascii="Times New Roman" w:hAnsi="Times New Roman" w:eastAsia="宋体" w:cs="Times New Roman"/>
      <w:szCs w:val="21"/>
    </w:rPr>
  </w:style>
  <w:style w:type="paragraph" w:styleId="5">
    <w:name w:val="Body Text"/>
    <w:basedOn w:val="1"/>
    <w:next w:val="1"/>
    <w:qFormat/>
    <w:uiPriority w:val="0"/>
  </w:style>
  <w:style w:type="paragraph" w:styleId="8">
    <w:name w:val="Note Heading"/>
    <w:basedOn w:val="1"/>
    <w:next w:val="1"/>
    <w:qFormat/>
    <w:uiPriority w:val="0"/>
    <w:pPr>
      <w:snapToGrid w:val="0"/>
      <w:spacing w:before="120" w:after="120" w:line="320" w:lineRule="exact"/>
      <w:ind w:firstLine="413" w:firstLineChars="200"/>
    </w:pPr>
    <w:rPr>
      <w:rFonts w:ascii="宋体" w:hAnsi="宋体"/>
      <w:b/>
      <w:color w:val="000000"/>
    </w:rPr>
  </w:style>
  <w:style w:type="paragraph" w:styleId="9">
    <w:name w:val="Normal Indent"/>
    <w:basedOn w:val="1"/>
    <w:qFormat/>
    <w:uiPriority w:val="0"/>
    <w:pPr>
      <w:ind w:firstLine="420"/>
    </w:pPr>
    <w:rPr>
      <w:rFonts w:ascii="Times New Roman" w:hAnsi="Times New Roman" w:eastAsia="宋体" w:cs="Times New Roman"/>
      <w:szCs w:val="20"/>
    </w:rPr>
  </w:style>
  <w:style w:type="paragraph" w:styleId="10">
    <w:name w:val="toa heading"/>
    <w:next w:val="1"/>
    <w:semiHidden/>
    <w:qFormat/>
    <w:uiPriority w:val="99"/>
    <w:pPr>
      <w:widowControl w:val="0"/>
      <w:spacing w:before="120"/>
      <w:jc w:val="both"/>
    </w:pPr>
    <w:rPr>
      <w:rFonts w:ascii="Cambria" w:hAnsi="Cambria" w:eastAsia="宋体" w:cs="Cambria"/>
      <w:sz w:val="24"/>
      <w:szCs w:val="24"/>
      <w:lang w:val="en-US" w:eastAsia="zh-CN" w:bidi="ar-SA"/>
    </w:rPr>
  </w:style>
  <w:style w:type="paragraph" w:styleId="11">
    <w:name w:val="annotation text"/>
    <w:basedOn w:val="1"/>
    <w:semiHidden/>
    <w:unhideWhenUsed/>
    <w:qFormat/>
    <w:uiPriority w:val="0"/>
    <w:pPr>
      <w:jc w:val="left"/>
    </w:pPr>
  </w:style>
  <w:style w:type="paragraph" w:styleId="12">
    <w:name w:val="Balloon Text"/>
    <w:basedOn w:val="1"/>
    <w:link w:val="34"/>
    <w:qFormat/>
    <w:uiPriority w:val="0"/>
    <w:rPr>
      <w:sz w:val="18"/>
      <w:szCs w:val="18"/>
    </w:rPr>
  </w:style>
  <w:style w:type="paragraph" w:styleId="13">
    <w:name w:val="footer"/>
    <w:basedOn w:val="1"/>
    <w:link w:val="33"/>
    <w:qFormat/>
    <w:uiPriority w:val="0"/>
    <w:pPr>
      <w:tabs>
        <w:tab w:val="center" w:pos="4153"/>
        <w:tab w:val="right" w:pos="8306"/>
      </w:tabs>
      <w:snapToGrid w:val="0"/>
      <w:jc w:val="left"/>
    </w:pPr>
    <w:rPr>
      <w:sz w:val="18"/>
      <w:szCs w:val="18"/>
    </w:rPr>
  </w:style>
  <w:style w:type="paragraph" w:styleId="14">
    <w:name w:val="header"/>
    <w:basedOn w:val="1"/>
    <w:link w:val="32"/>
    <w:qFormat/>
    <w:uiPriority w:val="0"/>
    <w:pPr>
      <w:pBdr>
        <w:bottom w:val="single" w:color="auto" w:sz="6" w:space="1"/>
      </w:pBdr>
      <w:tabs>
        <w:tab w:val="center" w:pos="4153"/>
        <w:tab w:val="right" w:pos="8306"/>
      </w:tabs>
      <w:snapToGrid w:val="0"/>
      <w:jc w:val="center"/>
    </w:pPr>
    <w:rPr>
      <w:sz w:val="18"/>
      <w:szCs w:val="18"/>
    </w:rPr>
  </w:style>
  <w:style w:type="paragraph" w:styleId="15">
    <w:name w:val="toc 1"/>
    <w:basedOn w:val="1"/>
    <w:next w:val="1"/>
    <w:qFormat/>
    <w:uiPriority w:val="0"/>
    <w:rPr>
      <w:rFonts w:ascii="Times New Roman" w:hAnsi="Times New Roman" w:eastAsia="宋体" w:cs="Times New Roman"/>
      <w:szCs w:val="21"/>
    </w:rPr>
  </w:style>
  <w:style w:type="paragraph" w:styleId="16">
    <w:name w:val="Title"/>
    <w:next w:val="1"/>
    <w:qFormat/>
    <w:uiPriority w:val="0"/>
    <w:pPr>
      <w:widowControl w:val="0"/>
      <w:spacing w:before="240" w:beforeLines="0" w:after="60" w:afterLines="0"/>
      <w:jc w:val="left"/>
      <w:outlineLvl w:val="0"/>
    </w:pPr>
    <w:rPr>
      <w:rFonts w:ascii="Cambria" w:hAnsi="Cambria" w:eastAsia="宋体" w:cs="Times New Roman"/>
      <w:b/>
      <w:bCs/>
      <w:kern w:val="2"/>
      <w:sz w:val="30"/>
      <w:szCs w:val="32"/>
      <w:lang w:val="en-US" w:eastAsia="zh-CN" w:bidi="ar-SA"/>
    </w:rPr>
  </w:style>
  <w:style w:type="character" w:styleId="19">
    <w:name w:val="page number"/>
    <w:basedOn w:val="18"/>
    <w:qFormat/>
    <w:uiPriority w:val="0"/>
  </w:style>
  <w:style w:type="character" w:styleId="20">
    <w:name w:val="FollowedHyperlink"/>
    <w:basedOn w:val="18"/>
    <w:qFormat/>
    <w:uiPriority w:val="0"/>
    <w:rPr>
      <w:color w:val="0000FF"/>
      <w:u w:val="single"/>
    </w:rPr>
  </w:style>
  <w:style w:type="character" w:styleId="21">
    <w:name w:val="Hyperlink"/>
    <w:basedOn w:val="18"/>
    <w:qFormat/>
    <w:uiPriority w:val="0"/>
    <w:rPr>
      <w:color w:val="0000FF"/>
      <w:u w:val="single"/>
    </w:rPr>
  </w:style>
  <w:style w:type="paragraph" w:customStyle="1" w:styleId="22">
    <w:name w:val="样式 小四 行距: 1.5 倍行距"/>
    <w:basedOn w:val="1"/>
    <w:qFormat/>
    <w:uiPriority w:val="0"/>
    <w:pPr>
      <w:ind w:firstLine="480"/>
    </w:pPr>
    <w:rPr>
      <w:rFonts w:cs="宋体"/>
    </w:rPr>
  </w:style>
  <w:style w:type="paragraph" w:customStyle="1" w:styleId="23">
    <w:name w:val="表格文字"/>
    <w:basedOn w:val="1"/>
    <w:qFormat/>
    <w:uiPriority w:val="0"/>
    <w:pPr>
      <w:spacing w:before="25" w:after="25"/>
      <w:jc w:val="left"/>
    </w:pPr>
    <w:rPr>
      <w:bCs/>
      <w:spacing w:val="10"/>
      <w:kern w:val="0"/>
      <w:sz w:val="24"/>
    </w:rPr>
  </w:style>
  <w:style w:type="paragraph" w:customStyle="1" w:styleId="24">
    <w:name w:val="_Style 3"/>
    <w:qFormat/>
    <w:uiPriority w:val="1"/>
    <w:pPr>
      <w:widowControl w:val="0"/>
      <w:jc w:val="both"/>
    </w:pPr>
    <w:rPr>
      <w:rFonts w:ascii="Calibri" w:hAnsi="Calibri" w:eastAsia="宋体" w:cs="Times New Roman"/>
      <w:kern w:val="2"/>
      <w:sz w:val="21"/>
      <w:szCs w:val="22"/>
      <w:lang w:val="en-US" w:eastAsia="zh-CN" w:bidi="ar-SA"/>
    </w:rPr>
  </w:style>
  <w:style w:type="paragraph" w:customStyle="1" w:styleId="25">
    <w:name w:val="正文文本缩进 21"/>
    <w:basedOn w:val="1"/>
    <w:qFormat/>
    <w:uiPriority w:val="0"/>
    <w:pPr>
      <w:spacing w:line="360" w:lineRule="auto"/>
      <w:ind w:firstLine="480" w:firstLineChars="200"/>
    </w:pPr>
    <w:rPr>
      <w:rFonts w:hint="eastAsia" w:ascii="宋体" w:hAnsi="宋体" w:eastAsia="宋体" w:cs="Times New Roman"/>
      <w:color w:val="FF0000"/>
      <w:kern w:val="0"/>
      <w:sz w:val="24"/>
    </w:rPr>
  </w:style>
  <w:style w:type="paragraph" w:customStyle="1" w:styleId="26">
    <w:name w:val="章节二"/>
    <w:basedOn w:val="1"/>
    <w:next w:val="1"/>
    <w:qFormat/>
    <w:uiPriority w:val="0"/>
    <w:pPr>
      <w:topLinePunct/>
      <w:adjustRightInd w:val="0"/>
      <w:snapToGrid w:val="0"/>
      <w:spacing w:beforeLines="50" w:afterAutospacing="1"/>
      <w:jc w:val="center"/>
      <w:outlineLvl w:val="1"/>
    </w:pPr>
    <w:rPr>
      <w:rFonts w:ascii="Times New Roman" w:hAnsi="Times New Roman" w:eastAsia="黑体" w:cs="Times New Roman"/>
      <w:b/>
      <w:spacing w:val="4"/>
      <w:kern w:val="0"/>
      <w:sz w:val="30"/>
      <w:szCs w:val="30"/>
    </w:rPr>
  </w:style>
  <w:style w:type="paragraph" w:customStyle="1" w:styleId="27">
    <w:name w:val="列出段落1"/>
    <w:basedOn w:val="1"/>
    <w:qFormat/>
    <w:uiPriority w:val="0"/>
    <w:pPr>
      <w:ind w:firstLine="420" w:firstLineChars="200"/>
    </w:pPr>
    <w:rPr>
      <w:rFonts w:ascii="Calibri" w:hAnsi="Calibri" w:eastAsia="宋体" w:cs="Times New Roman"/>
      <w:szCs w:val="21"/>
    </w:rPr>
  </w:style>
  <w:style w:type="paragraph" w:customStyle="1" w:styleId="28">
    <w:name w:val="文一"/>
    <w:basedOn w:val="1"/>
    <w:qFormat/>
    <w:uiPriority w:val="0"/>
    <w:pPr>
      <w:topLinePunct/>
      <w:adjustRightInd w:val="0"/>
      <w:snapToGrid w:val="0"/>
      <w:spacing w:line="360" w:lineRule="auto"/>
      <w:ind w:firstLine="200" w:firstLineChars="200"/>
    </w:pPr>
    <w:rPr>
      <w:rFonts w:ascii="Times New Roman" w:hAnsi="Times New Roman" w:eastAsia="宋体" w:cs="Times New Roman"/>
      <w:spacing w:val="4"/>
      <w:kern w:val="0"/>
      <w:sz w:val="24"/>
    </w:rPr>
  </w:style>
  <w:style w:type="character" w:customStyle="1" w:styleId="29">
    <w:name w:val="10"/>
    <w:basedOn w:val="18"/>
    <w:qFormat/>
    <w:uiPriority w:val="0"/>
    <w:rPr>
      <w:rFonts w:hint="default" w:ascii="Times New Roman" w:hAnsi="Times New Roman" w:cs="Times New Roman"/>
    </w:rPr>
  </w:style>
  <w:style w:type="character" w:customStyle="1" w:styleId="30">
    <w:name w:val="15"/>
    <w:basedOn w:val="18"/>
    <w:qFormat/>
    <w:uiPriority w:val="0"/>
    <w:rPr>
      <w:rFonts w:hint="default" w:ascii="Times New Roman" w:hAnsi="Times New Roman" w:cs="Times New Roman"/>
    </w:rPr>
  </w:style>
  <w:style w:type="character" w:customStyle="1" w:styleId="31">
    <w:name w:val="16"/>
    <w:basedOn w:val="18"/>
    <w:qFormat/>
    <w:uiPriority w:val="0"/>
    <w:rPr>
      <w:rFonts w:hint="default" w:ascii="Times New Roman" w:hAnsi="Times New Roman" w:cs="Times New Roman"/>
      <w:color w:val="0000FF"/>
      <w:u w:val="single"/>
    </w:rPr>
  </w:style>
  <w:style w:type="character" w:customStyle="1" w:styleId="32">
    <w:name w:val="页眉 Char"/>
    <w:basedOn w:val="18"/>
    <w:link w:val="14"/>
    <w:qFormat/>
    <w:uiPriority w:val="0"/>
    <w:rPr>
      <w:rFonts w:asciiTheme="minorHAnsi" w:hAnsiTheme="minorHAnsi" w:eastAsiaTheme="minorEastAsia" w:cstheme="minorBidi"/>
      <w:kern w:val="2"/>
      <w:sz w:val="18"/>
      <w:szCs w:val="18"/>
    </w:rPr>
  </w:style>
  <w:style w:type="character" w:customStyle="1" w:styleId="33">
    <w:name w:val="页脚 Char"/>
    <w:basedOn w:val="18"/>
    <w:link w:val="13"/>
    <w:qFormat/>
    <w:uiPriority w:val="0"/>
    <w:rPr>
      <w:rFonts w:asciiTheme="minorHAnsi" w:hAnsiTheme="minorHAnsi" w:eastAsiaTheme="minorEastAsia" w:cstheme="minorBidi"/>
      <w:kern w:val="2"/>
      <w:sz w:val="18"/>
      <w:szCs w:val="18"/>
    </w:rPr>
  </w:style>
  <w:style w:type="character" w:customStyle="1" w:styleId="34">
    <w:name w:val="批注框文本 Char"/>
    <w:basedOn w:val="18"/>
    <w:link w:val="12"/>
    <w:qFormat/>
    <w:uiPriority w:val="0"/>
    <w:rPr>
      <w:rFonts w:asciiTheme="minorHAnsi" w:hAnsiTheme="minorHAnsi" w:eastAsiaTheme="minorEastAsia" w:cstheme="minorBidi"/>
      <w:kern w:val="2"/>
      <w:sz w:val="18"/>
      <w:szCs w:val="18"/>
    </w:rPr>
  </w:style>
  <w:style w:type="paragraph" w:customStyle="1" w:styleId="35">
    <w:name w:val="WPSOffice手动目录 1"/>
    <w:qFormat/>
    <w:uiPriority w:val="0"/>
    <w:rPr>
      <w:rFonts w:ascii="Times New Roman" w:hAnsi="Times New Roman" w:eastAsia="宋体" w:cs="Times New Roman"/>
      <w:lang w:val="en-US" w:eastAsia="zh-CN" w:bidi="ar-SA"/>
    </w:rPr>
  </w:style>
  <w:style w:type="character" w:customStyle="1" w:styleId="36">
    <w:name w:val="纯文本 Char"/>
    <w:link w:val="2"/>
    <w:qFormat/>
    <w:uiPriority w:val="0"/>
    <w:rPr>
      <w:rFonts w:ascii="宋体" w:hAnsi="Courier New"/>
      <w:kern w:val="2"/>
      <w:sz w:val="21"/>
      <w:szCs w:val="21"/>
    </w:rPr>
  </w:style>
  <w:style w:type="character" w:customStyle="1" w:styleId="37">
    <w:name w:val="正文首行缩进 Char"/>
    <w:basedOn w:val="18"/>
    <w:link w:val="4"/>
    <w:qFormat/>
    <w:uiPriority w:val="0"/>
    <w:rPr>
      <w:kern w:val="2"/>
      <w:sz w:val="21"/>
      <w:szCs w:val="21"/>
    </w:rPr>
  </w:style>
  <w:style w:type="paragraph" w:styleId="38">
    <w:name w:val="List Paragraph"/>
    <w:basedOn w:val="1"/>
    <w:unhideWhenUsed/>
    <w:qFormat/>
    <w:uiPriority w:val="99"/>
    <w:pPr>
      <w:ind w:firstLine="420" w:firstLineChars="200"/>
    </w:pPr>
  </w:style>
  <w:style w:type="paragraph" w:customStyle="1" w:styleId="39">
    <w:name w:val="公文正文"/>
    <w:qFormat/>
    <w:uiPriority w:val="0"/>
    <w:pPr>
      <w:widowControl w:val="0"/>
      <w:spacing w:line="360" w:lineRule="auto"/>
      <w:ind w:firstLine="629"/>
      <w:jc w:val="both"/>
    </w:pPr>
    <w:rPr>
      <w:rFonts w:ascii="仿宋_GB2312" w:hAnsi="Calisto MT" w:eastAsia="仿宋_GB2312" w:cs="Times New Roman"/>
      <w:color w:val="000000"/>
      <w:sz w:val="32"/>
      <w:szCs w:val="22"/>
      <w:lang w:val="en-US" w:eastAsia="zh-CN" w:bidi="ar-SA"/>
    </w:rPr>
  </w:style>
  <w:style w:type="paragraph" w:customStyle="1" w:styleId="40">
    <w:name w:val="发文落款"/>
    <w:basedOn w:val="39"/>
    <w:qFormat/>
    <w:uiPriority w:val="0"/>
    <w:pPr>
      <w:ind w:left="4094" w:right="607" w:firstLine="0"/>
      <w:jc w:val="center"/>
    </w:pPr>
  </w:style>
  <w:style w:type="character" w:customStyle="1" w:styleId="41">
    <w:name w:val="c Char1"/>
    <w:link w:val="42"/>
    <w:qFormat/>
    <w:uiPriority w:val="0"/>
    <w:rPr>
      <w:rFonts w:eastAsia="仿宋_GB2312" w:cs="宋体"/>
      <w:sz w:val="28"/>
    </w:rPr>
  </w:style>
  <w:style w:type="paragraph" w:customStyle="1" w:styleId="42">
    <w:name w:val="c"/>
    <w:basedOn w:val="1"/>
    <w:link w:val="41"/>
    <w:qFormat/>
    <w:uiPriority w:val="0"/>
    <w:pPr>
      <w:widowControl/>
      <w:spacing w:beforeLines="50" w:line="440" w:lineRule="exact"/>
      <w:ind w:firstLine="560" w:firstLineChars="200"/>
      <w:jc w:val="left"/>
    </w:pPr>
    <w:rPr>
      <w:rFonts w:ascii="Times New Roman" w:hAnsi="Times New Roman" w:eastAsia="仿宋_GB2312" w:cs="宋体"/>
      <w:kern w:val="0"/>
      <w:sz w:val="28"/>
      <w:szCs w:val="20"/>
    </w:rPr>
  </w:style>
  <w:style w:type="character" w:customStyle="1" w:styleId="43">
    <w:name w:val="标题 3 Char"/>
    <w:link w:val="7"/>
    <w:qFormat/>
    <w:uiPriority w:val="0"/>
    <w:rPr>
      <w:rFonts w:ascii="宋体" w:hAnsi="宋体"/>
      <w:b/>
      <w:sz w:val="28"/>
      <w:lang w:val="en-US" w:eastAsia="zh-CN" w:bidi="ar-SA"/>
    </w:rPr>
  </w:style>
  <w:style w:type="character" w:customStyle="1" w:styleId="44">
    <w:name w:val="active2"/>
    <w:basedOn w:val="18"/>
    <w:qFormat/>
    <w:uiPriority w:val="0"/>
    <w:rPr>
      <w:color w:val="00FF00"/>
      <w:shd w:val="clear" w:fill="111111"/>
    </w:rPr>
  </w:style>
  <w:style w:type="character" w:customStyle="1" w:styleId="45">
    <w:name w:val="cdropright"/>
    <w:basedOn w:val="18"/>
    <w:qFormat/>
    <w:uiPriority w:val="0"/>
  </w:style>
  <w:style w:type="character" w:customStyle="1" w:styleId="46">
    <w:name w:val="drapbtn"/>
    <w:basedOn w:val="18"/>
    <w:qFormat/>
    <w:uiPriority w:val="0"/>
  </w:style>
  <w:style w:type="character" w:customStyle="1" w:styleId="47">
    <w:name w:val="after"/>
    <w:basedOn w:val="18"/>
    <w:qFormat/>
    <w:uiPriority w:val="0"/>
    <w:rPr>
      <w:sz w:val="0"/>
      <w:szCs w:val="0"/>
    </w:rPr>
  </w:style>
  <w:style w:type="character" w:customStyle="1" w:styleId="48">
    <w:name w:val="pagechatarealistclose_box"/>
    <w:basedOn w:val="18"/>
    <w:qFormat/>
    <w:uiPriority w:val="0"/>
  </w:style>
  <w:style w:type="character" w:customStyle="1" w:styleId="49">
    <w:name w:val="pagechatarealistclose_box1"/>
    <w:basedOn w:val="18"/>
    <w:qFormat/>
    <w:uiPriority w:val="0"/>
  </w:style>
  <w:style w:type="character" w:customStyle="1" w:styleId="50">
    <w:name w:val="hilite5"/>
    <w:basedOn w:val="18"/>
    <w:qFormat/>
    <w:uiPriority w:val="0"/>
    <w:rPr>
      <w:color w:val="FFFFFF"/>
      <w:shd w:val="clear" w:fill="666666"/>
    </w:rPr>
  </w:style>
  <w:style w:type="character" w:customStyle="1" w:styleId="51">
    <w:name w:val="associateddata"/>
    <w:basedOn w:val="18"/>
    <w:qFormat/>
    <w:uiPriority w:val="0"/>
    <w:rPr>
      <w:shd w:val="clear" w:fill="50A6F9"/>
    </w:rPr>
  </w:style>
  <w:style w:type="character" w:customStyle="1" w:styleId="52">
    <w:name w:val="cy"/>
    <w:basedOn w:val="18"/>
    <w:qFormat/>
    <w:uiPriority w:val="0"/>
  </w:style>
  <w:style w:type="character" w:customStyle="1" w:styleId="53">
    <w:name w:val="cdropleft"/>
    <w:basedOn w:val="18"/>
    <w:qFormat/>
    <w:uiPriority w:val="0"/>
  </w:style>
  <w:style w:type="character" w:customStyle="1" w:styleId="54">
    <w:name w:val="ico1654"/>
    <w:basedOn w:val="18"/>
    <w:qFormat/>
    <w:uiPriority w:val="0"/>
  </w:style>
  <w:style w:type="character" w:customStyle="1" w:styleId="55">
    <w:name w:val="ico1655"/>
    <w:basedOn w:val="18"/>
    <w:qFormat/>
    <w:uiPriority w:val="0"/>
  </w:style>
  <w:style w:type="character" w:customStyle="1" w:styleId="56">
    <w:name w:val="layui-layer-tabnow"/>
    <w:basedOn w:val="18"/>
    <w:qFormat/>
    <w:uiPriority w:val="0"/>
    <w:rPr>
      <w:bdr w:val="single" w:color="CCCCCC" w:sz="6" w:space="0"/>
      <w:shd w:val="clear" w:fill="FFFFFF"/>
    </w:rPr>
  </w:style>
  <w:style w:type="character" w:customStyle="1" w:styleId="57">
    <w:name w:val="button4"/>
    <w:basedOn w:val="18"/>
    <w:qFormat/>
    <w:uiPriority w:val="0"/>
  </w:style>
  <w:style w:type="character" w:customStyle="1" w:styleId="58">
    <w:name w:val="w32"/>
    <w:basedOn w:val="18"/>
    <w:qFormat/>
    <w:uiPriority w:val="0"/>
  </w:style>
  <w:style w:type="character" w:customStyle="1" w:styleId="59">
    <w:name w:val="tmpztreemove_arrow"/>
    <w:basedOn w:val="18"/>
    <w:qFormat/>
    <w:uiPriority w:val="0"/>
  </w:style>
  <w:style w:type="character" w:customStyle="1" w:styleId="60">
    <w:name w:val="icontext1"/>
    <w:basedOn w:val="18"/>
    <w:qFormat/>
    <w:uiPriority w:val="0"/>
  </w:style>
  <w:style w:type="character" w:customStyle="1" w:styleId="61">
    <w:name w:val="icontext11"/>
    <w:basedOn w:val="18"/>
    <w:qFormat/>
    <w:uiPriority w:val="0"/>
  </w:style>
  <w:style w:type="character" w:customStyle="1" w:styleId="62">
    <w:name w:val="icontext12"/>
    <w:basedOn w:val="18"/>
    <w:qFormat/>
    <w:uiPriority w:val="0"/>
  </w:style>
  <w:style w:type="character" w:customStyle="1" w:styleId="63">
    <w:name w:val="iconline2"/>
    <w:basedOn w:val="18"/>
    <w:qFormat/>
    <w:uiPriority w:val="0"/>
  </w:style>
  <w:style w:type="character" w:customStyle="1" w:styleId="64">
    <w:name w:val="iconline21"/>
    <w:basedOn w:val="18"/>
    <w:qFormat/>
    <w:uiPriority w:val="0"/>
  </w:style>
  <w:style w:type="character" w:customStyle="1" w:styleId="65">
    <w:name w:val="icontext2"/>
    <w:basedOn w:val="18"/>
    <w:qFormat/>
    <w:uiPriority w:val="0"/>
  </w:style>
  <w:style w:type="character" w:customStyle="1" w:styleId="66">
    <w:name w:val="icontext3"/>
    <w:basedOn w:val="18"/>
    <w:qFormat/>
    <w:uiPriority w:val="0"/>
  </w:style>
  <w:style w:type="character" w:customStyle="1" w:styleId="67">
    <w:name w:val="first-child"/>
    <w:basedOn w:val="18"/>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C.tmp.png" TargetMode="External"/><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D.tmp.png" TargetMode="Externa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99186B-7ED3-4BF5-B6DA-FDA88F5F4AF9}">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40</Pages>
  <Words>14980</Words>
  <Characters>15844</Characters>
  <Lines>131</Lines>
  <Paragraphs>37</Paragraphs>
  <TotalTime>7</TotalTime>
  <ScaleCrop>false</ScaleCrop>
  <LinksUpToDate>false</LinksUpToDate>
  <CharactersWithSpaces>16919</CharactersWithSpaces>
  <Application>WPS Office_11.1.0.14244_F1E327BC-269C-435d-A152-05C5408002CA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2021-10-27T11:28:00Z</dcterms:created>
  <dc:creator>cf</dc:creator>
  <cp:lastModifiedBy>momo</cp:lastModifiedBy>
  <cp:lastPrinted>2023-08-22T01:34:49Z</cp:lastPrinted>
  <dcterms:modified xsi:type="dcterms:W3CDTF">2023-08-22T01:38:28Z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2052-11.1.0.14244</vt:lpwstr>
  </property>
  <property fmtid="{D5CDD505-2E9C-101B-9397-08002B2CF9AE}" pid="3" name="ICV">
    <vt:lpwstr>0359E82549C348CABA3E472EBA0037D9_13</vt:lpwstr>
  </property>
  <property fmtid="{D5CDD505-2E9C-101B-9397-08002B2CF9AE}" pid="4" name="CRO">
    <vt:lpwstr>wqlLaW5nc29mdCBQREYgdG8gV1BTIDgw</vt:lpwstr>
  </property>
  <property fmtid="{D5CDD505-2E9C-101B-9397-08002B2CF9AE}" pid="5" name="Created">
    <vt:filetime>2023-06-26T10:53:24Z</vt:filetime>
  </property>
  <property fmtid="{D5CDD505-2E9C-101B-9397-08002B2CF9AE}" pid="6" name="UsrData">
    <vt:lpwstr>6498fd9a7ac359001fd9ca81</vt:lpwstr>
  </property>
</Properties>
</file>