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color w:val="auto"/>
          <w:highlight w:val="none"/>
        </w:rPr>
      </w:pPr>
      <w:r>
        <w:rPr>
          <w:rFonts w:hint="eastAsia" w:ascii="宋体" w:hAnsi="宋体" w:eastAsia="宋体" w:cs="宋体"/>
          <w:b/>
          <w:color w:val="auto"/>
          <w:sz w:val="44"/>
          <w:szCs w:val="44"/>
          <w:highlight w:val="none"/>
          <w:lang w:eastAsia="zh-CN"/>
        </w:rPr>
        <w:t>港口新鲜集市（A地块）项目一期张拉膜结构遮阳采购及安装</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hint="default" w:ascii="宋体" w:hAnsi="宋体" w:eastAsia="宋体" w:cs="宋体"/>
          <w:color w:val="auto"/>
          <w:spacing w:val="28"/>
          <w:position w:val="8"/>
          <w:sz w:val="28"/>
          <w:szCs w:val="28"/>
          <w:highlight w:val="none"/>
          <w:lang w:val="en-US"/>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8月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港口新鲜集市（A地块）项目一期张拉膜结构遮阳采购及安装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地块位于</w:t>
            </w:r>
            <w:r>
              <w:rPr>
                <w:rFonts w:hint="eastAsia" w:ascii="宋体" w:hAnsi="宋体" w:eastAsia="宋体" w:cs="宋体"/>
                <w:color w:val="auto"/>
                <w:sz w:val="21"/>
                <w:szCs w:val="21"/>
                <w:highlight w:val="none"/>
                <w:lang w:val="en-US" w:eastAsia="zh-CN"/>
              </w:rPr>
              <w:t>广州市南沙区龙穴岛西南侧，毗邻南沙港一期、南沙港四期码头，</w:t>
            </w:r>
            <w:r>
              <w:rPr>
                <w:rFonts w:hint="eastAsia" w:ascii="宋体" w:hAnsi="宋体" w:eastAsia="宋体" w:cs="宋体"/>
                <w:color w:val="auto"/>
                <w:sz w:val="21"/>
                <w:szCs w:val="21"/>
                <w:highlight w:val="none"/>
              </w:rPr>
              <w:t>规划总面积约27950平方米。项目整体策划，分期开发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主要打造进出口水果海鲜商品集市，同时配备餐饮及消费街区，包括</w:t>
            </w:r>
            <w:r>
              <w:rPr>
                <w:rFonts w:hint="eastAsia" w:ascii="宋体" w:hAnsi="宋体" w:eastAsia="宋体" w:cs="宋体"/>
                <w:b w:val="0"/>
                <w:bCs w:val="0"/>
                <w:color w:val="auto"/>
                <w:sz w:val="21"/>
                <w:szCs w:val="21"/>
                <w:highlight w:val="none"/>
                <w:lang w:val="en-US" w:eastAsia="zh-CN"/>
              </w:rPr>
              <w:t>ABCDE成品集装箱配套的基础、彩色混凝土、硅铺塑胶地面、卵石分隔带、平道牙、汀步、沙坑、台阶、无障碍坡道、排水沟、绿化工程</w:t>
            </w:r>
            <w:r>
              <w:rPr>
                <w:rFonts w:hint="eastAsia" w:ascii="宋体" w:hAnsi="宋体" w:eastAsia="宋体" w:cs="宋体"/>
                <w:color w:val="auto"/>
                <w:spacing w:val="0"/>
                <w:sz w:val="21"/>
                <w:szCs w:val="21"/>
                <w:highlight w:val="none"/>
                <w:lang w:val="en-US"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一期</w:t>
            </w:r>
            <w:r>
              <w:rPr>
                <w:rFonts w:hint="eastAsia" w:ascii="宋体" w:hAnsi="宋体" w:eastAsia="宋体" w:cs="宋体"/>
                <w:color w:val="auto"/>
                <w:sz w:val="21"/>
                <w:szCs w:val="21"/>
                <w:highlight w:val="none"/>
              </w:rPr>
              <w:t>用地面积约15600平方米。</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按</w:t>
            </w:r>
            <w:r>
              <w:rPr>
                <w:rFonts w:hint="eastAsia" w:ascii="宋体" w:hAnsi="宋体" w:eastAsia="宋体" w:cs="宋体"/>
                <w:bCs w:val="0"/>
                <w:color w:val="auto"/>
                <w:sz w:val="21"/>
                <w:szCs w:val="21"/>
                <w:highlight w:val="none"/>
                <w:u w:val="none"/>
                <w:lang w:eastAsia="zh-CN"/>
              </w:rPr>
              <w:t>中标综合单价包干，工程量按实</w:t>
            </w:r>
            <w:r>
              <w:rPr>
                <w:rFonts w:hint="eastAsia" w:ascii="宋体" w:hAnsi="宋体" w:eastAsia="宋体" w:cs="宋体"/>
                <w:bCs w:val="0"/>
                <w:color w:val="auto"/>
                <w:sz w:val="21"/>
                <w:szCs w:val="21"/>
                <w:highlight w:val="none"/>
                <w:u w:val="none"/>
                <w:lang w:val="en-US" w:eastAsia="zh-CN"/>
              </w:rPr>
              <w:t>计算，</w:t>
            </w:r>
            <w:r>
              <w:rPr>
                <w:rFonts w:hint="eastAsia" w:ascii="宋体" w:hAnsi="宋体" w:cs="宋体"/>
                <w:bCs w:val="0"/>
                <w:color w:val="auto"/>
                <w:sz w:val="21"/>
                <w:szCs w:val="21"/>
                <w:highlight w:val="none"/>
                <w:u w:val="none"/>
                <w:lang w:val="en-US" w:eastAsia="zh-CN"/>
              </w:rPr>
              <w:t>绿色安全</w:t>
            </w:r>
            <w:r>
              <w:rPr>
                <w:rFonts w:hint="eastAsia" w:ascii="宋体" w:hAnsi="宋体" w:eastAsia="宋体" w:cs="宋体"/>
                <w:bCs w:val="0"/>
                <w:color w:val="auto"/>
                <w:sz w:val="21"/>
                <w:szCs w:val="21"/>
                <w:highlight w:val="none"/>
                <w:u w:val="none"/>
                <w:lang w:eastAsia="zh-CN"/>
              </w:rPr>
              <w:t>措施费总价包干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一期投资1150.37万元</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张拉膜投影总面积</w:t>
            </w:r>
            <w:r>
              <w:rPr>
                <w:rFonts w:hint="eastAsia" w:ascii="宋体" w:hAnsi="宋体" w:eastAsia="宋体" w:cs="宋体"/>
                <w:color w:val="auto"/>
                <w:sz w:val="21"/>
                <w:szCs w:val="21"/>
                <w:highlight w:val="none"/>
                <w:lang w:val="en-US" w:eastAsia="zh-CN"/>
              </w:rPr>
              <w:t>870</w:t>
            </w:r>
            <w:r>
              <w:rPr>
                <w:rFonts w:hint="eastAsia" w:ascii="宋体" w:hAnsi="宋体" w:eastAsia="宋体" w:cs="宋体"/>
                <w:color w:val="auto"/>
                <w:sz w:val="21"/>
                <w:szCs w:val="21"/>
                <w:highlight w:val="none"/>
              </w:rPr>
              <w:t>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高度按5米</w:t>
            </w:r>
            <w:r>
              <w:rPr>
                <w:rFonts w:hint="eastAsia" w:ascii="宋体" w:hAnsi="宋体" w:eastAsia="宋体" w:cs="宋体"/>
                <w:color w:val="auto"/>
                <w:sz w:val="21"/>
                <w:szCs w:val="21"/>
                <w:highlight w:val="none"/>
              </w:rPr>
              <w:t>，其中</w:t>
            </w:r>
            <w:r>
              <w:rPr>
                <w:rFonts w:hint="eastAsia" w:ascii="宋体" w:hAnsi="宋体" w:eastAsia="宋体" w:cs="宋体"/>
                <w:color w:val="auto"/>
                <w:sz w:val="21"/>
                <w:szCs w:val="21"/>
                <w:highlight w:val="none"/>
                <w:lang w:val="en-US" w:eastAsia="zh-CN"/>
              </w:rPr>
              <w:t>B和C</w:t>
            </w:r>
            <w:r>
              <w:rPr>
                <w:rFonts w:hint="eastAsia" w:ascii="宋体" w:hAnsi="宋体" w:eastAsia="宋体" w:cs="宋体"/>
                <w:color w:val="auto"/>
                <w:sz w:val="21"/>
                <w:szCs w:val="21"/>
                <w:highlight w:val="none"/>
              </w:rPr>
              <w:t>区</w:t>
            </w:r>
            <w:r>
              <w:rPr>
                <w:rFonts w:hint="eastAsia" w:ascii="宋体" w:hAnsi="宋体" w:eastAsia="宋体" w:cs="宋体"/>
                <w:color w:val="auto"/>
                <w:sz w:val="21"/>
                <w:szCs w:val="21"/>
                <w:highlight w:val="none"/>
                <w:lang w:val="en-US" w:eastAsia="zh-CN"/>
              </w:rPr>
              <w:t>集装箱</w:t>
            </w:r>
            <w:r>
              <w:rPr>
                <w:rFonts w:hint="eastAsia" w:ascii="宋体" w:hAnsi="宋体" w:eastAsia="宋体" w:cs="宋体"/>
                <w:color w:val="auto"/>
                <w:sz w:val="21"/>
                <w:szCs w:val="21"/>
                <w:highlight w:val="none"/>
              </w:rPr>
              <w:t>建筑面积</w:t>
            </w:r>
            <w:r>
              <w:rPr>
                <w:rFonts w:hint="eastAsia" w:ascii="宋体" w:hAnsi="宋体" w:eastAsia="宋体" w:cs="宋体"/>
                <w:color w:val="auto"/>
                <w:sz w:val="21"/>
                <w:szCs w:val="21"/>
                <w:highlight w:val="none"/>
                <w:lang w:val="en-US" w:eastAsia="zh-CN"/>
              </w:rPr>
              <w:t>342</w:t>
            </w:r>
            <w:r>
              <w:rPr>
                <w:rFonts w:hint="eastAsia" w:ascii="宋体" w:hAnsi="宋体" w:eastAsia="宋体" w:cs="宋体"/>
                <w:color w:val="auto"/>
                <w:sz w:val="21"/>
                <w:szCs w:val="21"/>
                <w:highlight w:val="none"/>
              </w:rPr>
              <w:t>平方米；项目建设包括张拉膜结构生产与运输吊装，结构现场安装。</w:t>
            </w:r>
          </w:p>
          <w:p>
            <w:pPr>
              <w:pStyle w:val="19"/>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0"/>
                <w:sz w:val="21"/>
                <w:szCs w:val="21"/>
                <w:highlight w:val="none"/>
                <w:lang w:val="en-US" w:eastAsia="zh-CN"/>
              </w:rPr>
              <w:t>具体以中标人根据方案图完成深化设计图并经招标人确认为准。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2023年9月25日前完工、交付</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承接本工程所需的</w:t>
            </w:r>
            <w:r>
              <w:rPr>
                <w:rFonts w:hint="eastAsia" w:ascii="宋体" w:hAnsi="宋体" w:eastAsia="宋体" w:cs="宋体"/>
                <w:i w:val="0"/>
                <w:iCs w:val="0"/>
                <w:caps w:val="0"/>
                <w:color w:val="auto"/>
                <w:spacing w:val="0"/>
                <w:sz w:val="21"/>
                <w:szCs w:val="21"/>
                <w:highlight w:val="none"/>
                <w:u w:val="none"/>
                <w:shd w:val="clear"/>
              </w:rPr>
              <w:t>钢结构工程专业承包三</w:t>
            </w:r>
            <w:r>
              <w:rPr>
                <w:rFonts w:hint="eastAsia" w:ascii="宋体" w:hAnsi="宋体" w:eastAsia="宋体" w:cs="宋体"/>
                <w:i w:val="0"/>
                <w:iCs w:val="0"/>
                <w:caps w:val="0"/>
                <w:color w:val="auto"/>
                <w:spacing w:val="0"/>
                <w:sz w:val="21"/>
                <w:szCs w:val="21"/>
                <w:highlight w:val="none"/>
                <w:shd w:val="clear"/>
              </w:rPr>
              <w:t>级或以上级别专业承包资质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w:t>
            </w:r>
            <w:r>
              <w:rPr>
                <w:rFonts w:hint="eastAsia" w:ascii="宋体" w:hAnsi="宋体" w:eastAsia="宋体" w:cs="宋体"/>
                <w:i w:val="0"/>
                <w:iCs w:val="0"/>
                <w:caps w:val="0"/>
                <w:color w:val="auto"/>
                <w:spacing w:val="0"/>
                <w:sz w:val="21"/>
                <w:szCs w:val="21"/>
                <w:highlight w:val="none"/>
                <w:shd w:val="clear"/>
                <w:lang w:eastAsia="zh-CN"/>
              </w:rPr>
              <w:t>建筑</w:t>
            </w:r>
            <w:r>
              <w:rPr>
                <w:rFonts w:hint="eastAsia" w:ascii="宋体" w:hAnsi="宋体" w:eastAsia="宋体" w:cs="宋体"/>
                <w:i w:val="0"/>
                <w:iCs w:val="0"/>
                <w:caps w:val="0"/>
                <w:color w:val="auto"/>
                <w:spacing w:val="0"/>
                <w:sz w:val="21"/>
                <w:szCs w:val="21"/>
                <w:highlight w:val="none"/>
                <w:shd w:val="clear"/>
              </w:rPr>
              <w:t>工程专业</w:t>
            </w:r>
            <w:r>
              <w:rPr>
                <w:rFonts w:hint="eastAsia" w:ascii="宋体" w:hAnsi="宋体" w:eastAsia="宋体" w:cs="宋体"/>
                <w:i w:val="0"/>
                <w:iCs w:val="0"/>
                <w:caps w:val="0"/>
                <w:color w:val="auto"/>
                <w:spacing w:val="0"/>
                <w:sz w:val="21"/>
                <w:szCs w:val="21"/>
                <w:highlight w:val="none"/>
                <w:shd w:val="clear"/>
                <w:lang w:eastAsia="zh-CN"/>
              </w:rPr>
              <w:t>二</w:t>
            </w:r>
            <w:r>
              <w:rPr>
                <w:rFonts w:hint="eastAsia" w:ascii="宋体" w:hAnsi="宋体" w:eastAsia="宋体" w:cs="宋体"/>
                <w:i w:val="0"/>
                <w:iCs w:val="0"/>
                <w:caps w:val="0"/>
                <w:color w:val="auto"/>
                <w:spacing w:val="0"/>
                <w:sz w:val="21"/>
                <w:szCs w:val="21"/>
                <w:highlight w:val="none"/>
                <w:shd w:val="clear"/>
              </w:rPr>
              <w:t>级</w:t>
            </w:r>
            <w:r>
              <w:rPr>
                <w:rFonts w:hint="eastAsia" w:ascii="宋体" w:hAnsi="宋体" w:eastAsia="宋体" w:cs="宋体"/>
                <w:i w:val="0"/>
                <w:iCs w:val="0"/>
                <w:caps w:val="0"/>
                <w:color w:val="auto"/>
                <w:spacing w:val="0"/>
                <w:sz w:val="21"/>
                <w:szCs w:val="21"/>
                <w:highlight w:val="none"/>
                <w:shd w:val="clear"/>
                <w:lang w:eastAsia="zh-CN"/>
              </w:rPr>
              <w:t>或以上</w:t>
            </w:r>
            <w:r>
              <w:rPr>
                <w:rFonts w:hint="eastAsia" w:ascii="宋体" w:hAnsi="宋体" w:eastAsia="宋体" w:cs="宋体"/>
                <w:i w:val="0"/>
                <w:iCs w:val="0"/>
                <w:caps w:val="0"/>
                <w:color w:val="auto"/>
                <w:spacing w:val="0"/>
                <w:sz w:val="21"/>
                <w:szCs w:val="21"/>
                <w:highlight w:val="none"/>
                <w:shd w:val="clear"/>
              </w:rPr>
              <w:t>注册建造师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widowControl/>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工程</w:t>
            </w:r>
            <w:r>
              <w:rPr>
                <w:rFonts w:hint="eastAsia" w:ascii="宋体" w:hAnsi="宋体" w:eastAsia="宋体" w:cs="宋体"/>
                <w:i w:val="0"/>
                <w:iCs w:val="0"/>
                <w:caps w:val="0"/>
                <w:color w:val="auto"/>
                <w:spacing w:val="0"/>
                <w:sz w:val="21"/>
                <w:szCs w:val="21"/>
                <w:highlight w:val="none"/>
                <w:shd w:val="clear"/>
                <w:lang w:eastAsia="zh-CN"/>
              </w:rPr>
              <w:t>类</w:t>
            </w:r>
            <w:r>
              <w:rPr>
                <w:rFonts w:hint="eastAsia" w:ascii="宋体" w:hAnsi="宋体" w:eastAsia="宋体" w:cs="宋体"/>
                <w:color w:val="auto"/>
                <w:sz w:val="21"/>
                <w:szCs w:val="21"/>
                <w:highlight w:val="none"/>
                <w:lang w:eastAsia="zh-CN"/>
              </w:rPr>
              <w:t>工程师中级或以上职称。项目负责人和技术负责人不能为同一人。</w:t>
            </w:r>
          </w:p>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bCs w:val="0"/>
                <w:color w:val="auto"/>
                <w:sz w:val="21"/>
                <w:szCs w:val="21"/>
                <w:highlight w:val="none"/>
                <w:lang w:val="en-US" w:eastAsia="zh-CN"/>
              </w:rPr>
              <w:t>340706.75</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p>
          <w:p>
            <w:pPr>
              <w:pStyle w:val="2"/>
              <w:widowControl w:val="0"/>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sz w:val="21"/>
                <w:szCs w:val="21"/>
                <w:highlight w:val="none"/>
              </w:rPr>
              <w:t>投标单位根据</w:t>
            </w:r>
            <w:r>
              <w:rPr>
                <w:rFonts w:hint="eastAsia" w:ascii="宋体" w:hAnsi="宋体" w:eastAsia="宋体" w:cs="宋体"/>
                <w:b w:val="0"/>
                <w:bCs w:val="0"/>
                <w:color w:val="auto"/>
                <w:sz w:val="21"/>
                <w:szCs w:val="21"/>
                <w:highlight w:val="none"/>
                <w:lang w:val="en-US" w:eastAsia="zh-CN"/>
              </w:rPr>
              <w:t>方案图及工程量清单自行报价</w:t>
            </w:r>
            <w:r>
              <w:rPr>
                <w:rFonts w:hint="eastAsia" w:ascii="宋体" w:hAnsi="宋体" w:eastAsia="宋体" w:cs="宋体"/>
                <w:b w:val="0"/>
                <w:bCs w:val="0"/>
                <w:color w:val="auto"/>
                <w:sz w:val="21"/>
                <w:szCs w:val="21"/>
                <w:highlight w:val="none"/>
              </w:rPr>
              <w:t>。</w:t>
            </w:r>
            <w:r>
              <w:rPr>
                <w:rFonts w:hint="eastAsia" w:ascii="宋体" w:hAnsi="宋体" w:eastAsia="宋体" w:cs="宋体"/>
                <w:color w:val="auto"/>
                <w:sz w:val="21"/>
                <w:szCs w:val="21"/>
                <w:highlight w:val="none"/>
              </w:rPr>
              <w:t>投标价格是指完成项目所需的人工费、材料费、制造费、安装费、装卸费、运输费、企业管理费、税金、利润和风险费等完成本项目的一切费用之和。</w:t>
            </w:r>
            <w:r>
              <w:rPr>
                <w:rFonts w:hint="eastAsia" w:ascii="宋体" w:hAnsi="宋体" w:eastAsia="宋体" w:cs="宋体"/>
                <w:color w:val="auto"/>
                <w:kern w:val="2"/>
                <w:sz w:val="21"/>
                <w:szCs w:val="21"/>
                <w:highlight w:val="none"/>
                <w:lang w:val="en-US" w:eastAsia="zh-CN" w:bidi="ar-SA"/>
              </w:rPr>
              <w:t>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8月30</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以投标人转出【汇款时备注：</w:t>
            </w:r>
            <w:r>
              <w:rPr>
                <w:rFonts w:hint="eastAsia" w:ascii="宋体" w:hAnsi="宋体" w:eastAsia="宋体" w:cs="宋体"/>
                <w:color w:val="auto"/>
                <w:szCs w:val="21"/>
                <w:highlight w:val="none"/>
                <w:u w:val="none"/>
                <w:lang w:eastAsia="zh-CN"/>
              </w:rPr>
              <w:t>港口新鲜集市（A地块）项目一期张拉膜结构遮阳采购及安装</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 商务标文件</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投标文件目录。</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投标函（按招标文件第3章格式填写）</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服务承诺书（按招标文件第3章格式填写）。</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企业法定代表人证明书及法定代表人授权委托证明书（按招标文件第3章格式填写，或使用从工商管理部门购买的版本填写）。</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公司法人营业执照及资质证书复印件。</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numPr>
          <w:ilvl w:val="0"/>
          <w:numId w:val="2"/>
        </w:numPr>
        <w:spacing w:line="360" w:lineRule="auto"/>
        <w:ind w:left="425" w:hanging="425"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pStyle w:val="2"/>
        <w:numPr>
          <w:ilvl w:val="0"/>
          <w:numId w:val="2"/>
        </w:numPr>
        <w:ind w:left="425" w:hanging="425" w:firstLineChars="0"/>
        <w:rPr>
          <w:rFonts w:hint="eastAsia" w:hAnsi="宋体" w:cs="宋体"/>
          <w:color w:val="auto"/>
          <w:sz w:val="24"/>
          <w:highlight w:val="none"/>
          <w:lang w:val="en-US" w:eastAsia="zh-CN"/>
        </w:rPr>
      </w:pPr>
      <w:r>
        <w:rPr>
          <w:rFonts w:hint="eastAsia" w:hAnsi="宋体" w:cs="宋体"/>
          <w:color w:val="auto"/>
          <w:sz w:val="24"/>
          <w:highlight w:val="none"/>
          <w:lang w:val="en-US" w:eastAsia="zh-CN"/>
        </w:rPr>
        <w:t>投标申请人声明。</w:t>
      </w:r>
    </w:p>
    <w:p>
      <w:pPr>
        <w:pStyle w:val="2"/>
        <w:numPr>
          <w:ilvl w:val="0"/>
          <w:numId w:val="2"/>
        </w:numPr>
        <w:ind w:left="425" w:hanging="425" w:firstLineChars="0"/>
        <w:rPr>
          <w:rFonts w:hint="eastAsia" w:hAnsi="宋体" w:cs="宋体"/>
          <w:color w:val="auto"/>
          <w:sz w:val="24"/>
          <w:highlight w:val="none"/>
          <w:lang w:val="en-US" w:eastAsia="zh-CN"/>
        </w:rPr>
      </w:pP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2"/>
        <w:numPr>
          <w:ilvl w:val="0"/>
          <w:numId w:val="2"/>
        </w:numPr>
        <w:ind w:left="425" w:hanging="425" w:firstLineChars="0"/>
        <w:rPr>
          <w:rFonts w:hint="eastAsia" w:hAnsi="宋体" w:cs="宋体"/>
          <w:color w:val="auto"/>
          <w:sz w:val="24"/>
          <w:highlight w:val="none"/>
          <w:lang w:val="en-US" w:eastAsia="zh-CN"/>
        </w:rPr>
      </w:pPr>
      <w:r>
        <w:rPr>
          <w:rFonts w:hint="eastAsia" w:hAnsi="宋体" w:cs="宋体"/>
          <w:color w:val="auto"/>
          <w:sz w:val="24"/>
          <w:highlight w:val="none"/>
          <w:lang w:val="en-US" w:eastAsia="zh-CN"/>
        </w:rPr>
        <w:t>投标人认为需要提供的其他文件。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w:t>
      </w:r>
    </w:p>
    <w:p>
      <w:pPr>
        <w:pStyle w:val="2"/>
        <w:numPr>
          <w:ilvl w:val="0"/>
          <w:numId w:val="3"/>
        </w:numPr>
        <w:ind w:left="425" w:hanging="425" w:firstLineChars="0"/>
        <w:rPr>
          <w:color w:val="auto"/>
          <w:highlight w:val="none"/>
        </w:rPr>
      </w:pPr>
      <w:r>
        <w:rPr>
          <w:rFonts w:hint="eastAsia" w:ascii="宋体" w:hAnsi="宋体" w:cs="宋体"/>
          <w:color w:val="auto"/>
          <w:sz w:val="24"/>
          <w:highlight w:val="none"/>
          <w:lang w:eastAsia="zh-CN"/>
        </w:rPr>
        <w:t>项目实施方案</w:t>
      </w:r>
      <w:r>
        <w:rPr>
          <w:rFonts w:hint="eastAsia" w:ascii="宋体" w:hAnsi="宋体" w:eastAsia="宋体" w:cs="宋体"/>
          <w:color w:val="auto"/>
          <w:sz w:val="24"/>
          <w:highlight w:val="none"/>
          <w:lang w:eastAsia="zh-CN"/>
        </w:rPr>
        <w:t>。</w:t>
      </w:r>
    </w:p>
    <w:p>
      <w:pPr>
        <w:pStyle w:val="2"/>
        <w:numPr>
          <w:ilvl w:val="0"/>
          <w:numId w:val="3"/>
        </w:numPr>
        <w:ind w:left="425" w:hanging="425" w:firstLineChars="0"/>
        <w:rPr>
          <w:rFonts w:hint="eastAsia" w:hAnsi="宋体" w:eastAsia="宋体" w:cs="宋体"/>
          <w:color w:val="auto"/>
          <w:sz w:val="24"/>
          <w:highlight w:val="none"/>
          <w:lang w:eastAsia="zh-CN"/>
        </w:rPr>
      </w:pP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2"/>
        <w:numPr>
          <w:ilvl w:val="0"/>
          <w:numId w:val="3"/>
        </w:numPr>
        <w:ind w:left="425" w:hanging="425" w:firstLineChars="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4"/>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eastAsia="黑体" w:cs="黑体"/>
          <w:b/>
          <w:color w:val="auto"/>
          <w:kern w:val="44"/>
          <w:sz w:val="44"/>
          <w:szCs w:val="44"/>
          <w:highlight w:val="none"/>
          <w:lang w:eastAsia="zh-CN"/>
        </w:rPr>
      </w:pPr>
      <w:r>
        <w:rPr>
          <w:rFonts w:hint="eastAsia" w:ascii="黑体" w:hAnsi="宋体" w:cs="黑体"/>
          <w:b/>
          <w:color w:val="auto"/>
          <w:kern w:val="44"/>
          <w:sz w:val="44"/>
          <w:szCs w:val="44"/>
          <w:highlight w:val="none"/>
        </w:rPr>
        <w:t>第2章 项目需求书</w:t>
      </w:r>
      <w:bookmarkEnd w:id="4"/>
      <w:r>
        <w:rPr>
          <w:rFonts w:hint="eastAsia" w:ascii="黑体" w:hAnsi="宋体" w:cs="黑体"/>
          <w:b/>
          <w:color w:val="auto"/>
          <w:kern w:val="44"/>
          <w:sz w:val="44"/>
          <w:szCs w:val="44"/>
          <w:highlight w:val="none"/>
          <w:lang w:eastAsia="zh-CN"/>
        </w:rPr>
        <w:t>（另附）</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港口新鲜集市（A地块）项目一期张拉膜结构遮阳采购及安装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港口新鲜集市（A地块）项目一期张拉膜结构遮阳采购及安装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港口新鲜集市（A地块）项目一期张拉膜结构遮阳采购及安装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6941"/>
      <w:bookmarkEnd w:id="11"/>
      <w:bookmarkStart w:id="12" w:name="_Toc415728297"/>
      <w:bookmarkEnd w:id="12"/>
      <w:bookmarkStart w:id="13" w:name="_Toc197235848"/>
      <w:bookmarkEnd w:id="13"/>
      <w:bookmarkStart w:id="14" w:name="_Toc326909213"/>
      <w:bookmarkEnd w:id="14"/>
      <w:bookmarkStart w:id="15" w:name="_Toc459403394"/>
      <w:bookmarkEnd w:id="15"/>
      <w:bookmarkStart w:id="16" w:name="_Toc196130013"/>
      <w:bookmarkEnd w:id="16"/>
      <w:bookmarkStart w:id="17" w:name="_Toc415833503"/>
      <w:bookmarkEnd w:id="17"/>
      <w:bookmarkStart w:id="18" w:name="_Toc196130110"/>
      <w:bookmarkEnd w:id="18"/>
      <w:bookmarkStart w:id="19" w:name="_Toc196037097"/>
      <w:bookmarkEnd w:id="19"/>
      <w:bookmarkStart w:id="20" w:name="_Toc41822703"/>
      <w:bookmarkEnd w:id="20"/>
      <w:bookmarkStart w:id="21" w:name="_Toc199647675"/>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833504"/>
      <w:bookmarkEnd w:id="24"/>
      <w:bookmarkStart w:id="25" w:name="_Toc326909214"/>
      <w:bookmarkEnd w:id="25"/>
      <w:bookmarkStart w:id="26" w:name="_Toc196130014"/>
      <w:bookmarkEnd w:id="26"/>
      <w:bookmarkStart w:id="27" w:name="_Toc197235849"/>
      <w:bookmarkEnd w:id="27"/>
      <w:bookmarkStart w:id="28" w:name="_Toc196036942"/>
      <w:bookmarkEnd w:id="28"/>
      <w:bookmarkStart w:id="29" w:name="_Toc196037098"/>
      <w:bookmarkEnd w:id="29"/>
      <w:bookmarkStart w:id="30" w:name="_Toc199647676"/>
      <w:bookmarkEnd w:id="30"/>
      <w:bookmarkStart w:id="31" w:name="_Toc196130111"/>
      <w:bookmarkEnd w:id="31"/>
      <w:bookmarkStart w:id="32" w:name="_Toc415728298"/>
      <w:bookmarkEnd w:id="32"/>
      <w:bookmarkStart w:id="33" w:name="_Toc459403395"/>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港口新鲜集市（A地块）项目一期张拉膜结构遮阳采购及安装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noWrap w:val="0"/>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noWrap w:val="0"/>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分</w:t>
            </w:r>
          </w:p>
        </w:tc>
        <w:tc>
          <w:tcPr>
            <w:tcW w:w="9797" w:type="dxa"/>
            <w:noWrap w:val="0"/>
            <w:vAlign w:val="center"/>
          </w:tcPr>
          <w:p>
            <w:p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投标人2018年1月1日至今承接过钢结构或膜结构工程项目施工业绩的，每有一个项目业绩得1分，本项最高得5分。 </w:t>
            </w:r>
          </w:p>
          <w:p>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需提供合同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（体现施工内容的页面、盖章页等）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业绩时间以合同签订时间为准。</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widowControl/>
              <w:ind w:left="-42" w:right="-61"/>
              <w:jc w:val="center"/>
              <w:rPr>
                <w:rFonts w:hint="eastAsia" w:ascii="宋体" w:hAnsi="宋体" w:eastAsia="宋体" w:cs="宋体"/>
                <w:color w:val="auto"/>
                <w:kern w:val="0"/>
                <w:szCs w:val="21"/>
                <w:highlight w:val="none"/>
              </w:rPr>
            </w:pPr>
          </w:p>
          <w:p>
            <w:pPr>
              <w:widowControl/>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w:t>
            </w:r>
            <w:r>
              <w:rPr>
                <w:rFonts w:hint="eastAsia" w:ascii="宋体" w:hAnsi="宋体" w:eastAsia="宋体" w:cs="宋体"/>
                <w:color w:val="auto"/>
                <w:kern w:val="0"/>
                <w:szCs w:val="21"/>
                <w:highlight w:val="none"/>
                <w:lang w:eastAsia="zh-CN"/>
              </w:rPr>
              <w:t>体系</w:t>
            </w:r>
          </w:p>
          <w:p>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noWrap w:val="0"/>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tc>
        <w:tc>
          <w:tcPr>
            <w:tcW w:w="9797" w:type="dxa"/>
            <w:noWrap w:val="0"/>
            <w:vAlign w:val="center"/>
          </w:tcPr>
          <w:p>
            <w:pPr>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color="auto" w:fill="auto"/>
                <w:lang w:val="en-US" w:eastAsia="zh-CN"/>
              </w:rPr>
              <w:t>得1</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color="auto" w:fill="auto"/>
              </w:rPr>
              <w:t>得</w:t>
            </w:r>
            <w:r>
              <w:rPr>
                <w:rFonts w:hint="eastAsia" w:ascii="宋体" w:hAnsi="宋体" w:eastAsia="宋体" w:cs="宋体"/>
                <w:b w:val="0"/>
                <w:bCs w:val="0"/>
                <w:color w:val="auto"/>
                <w:szCs w:val="21"/>
                <w:highlight w:val="none"/>
                <w:shd w:val="clear" w:color="auto" w:fill="auto"/>
                <w:lang w:val="en-US" w:eastAsia="zh-CN"/>
              </w:rPr>
              <w:t>3</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w:t>
            </w:r>
          </w:p>
          <w:p>
            <w:pPr>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napToGrid w:val="0"/>
              <w:spacing w:line="36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纳税信用</w:t>
            </w:r>
          </w:p>
        </w:tc>
        <w:tc>
          <w:tcPr>
            <w:tcW w:w="709" w:type="dxa"/>
            <w:noWrap w:val="0"/>
            <w:vAlign w:val="center"/>
          </w:tcPr>
          <w:p>
            <w:pPr>
              <w:spacing w:line="360" w:lineRule="auto"/>
              <w:ind w:left="-2" w:leftChars="-1"/>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3分</w:t>
            </w:r>
          </w:p>
        </w:tc>
        <w:tc>
          <w:tcPr>
            <w:tcW w:w="979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1次得1分，最多</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pPr>
              <w:pStyle w:val="2"/>
              <w:spacing w:line="360" w:lineRule="auto"/>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pacing w:line="36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获奖情况</w:t>
            </w:r>
          </w:p>
        </w:tc>
        <w:tc>
          <w:tcPr>
            <w:tcW w:w="709" w:type="dxa"/>
            <w:noWrap w:val="0"/>
            <w:vAlign w:val="center"/>
          </w:tcPr>
          <w:p>
            <w:pPr>
              <w:spacing w:line="360" w:lineRule="auto"/>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3分</w:t>
            </w:r>
          </w:p>
        </w:tc>
        <w:tc>
          <w:tcPr>
            <w:tcW w:w="9797" w:type="dxa"/>
            <w:noWrap w:val="0"/>
            <w:vAlign w:val="center"/>
          </w:tcPr>
          <w:p>
            <w:pPr>
              <w:adjustRightInd w:val="0"/>
              <w:snapToGrid w:val="0"/>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Cs w:val="21"/>
                <w:highlight w:val="none"/>
              </w:rPr>
              <w:t>投标人自 201</w:t>
            </w:r>
            <w:r>
              <w:rPr>
                <w:rFonts w:hint="eastAsia" w:ascii="宋体" w:hAnsi="宋体" w:eastAsia="宋体" w:cs="宋体"/>
                <w:color w:val="auto"/>
                <w:kern w:val="2"/>
                <w:szCs w:val="21"/>
                <w:highlight w:val="none"/>
                <w:lang w:val="en-US" w:eastAsia="zh-CN"/>
              </w:rPr>
              <w:t>8</w:t>
            </w:r>
            <w:r>
              <w:rPr>
                <w:rFonts w:hint="eastAsia" w:ascii="宋体" w:hAnsi="宋体" w:eastAsia="宋体" w:cs="宋体"/>
                <w:color w:val="auto"/>
                <w:kern w:val="2"/>
                <w:szCs w:val="21"/>
                <w:highlight w:val="none"/>
              </w:rPr>
              <w:t xml:space="preserve"> 年 1 月 1 日至今</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获得</w:t>
            </w:r>
            <w:r>
              <w:rPr>
                <w:rFonts w:hint="eastAsia" w:ascii="宋体" w:hAnsi="宋体" w:eastAsia="宋体" w:cs="宋体"/>
                <w:color w:val="auto"/>
                <w:kern w:val="2"/>
                <w:szCs w:val="21"/>
                <w:highlight w:val="none"/>
                <w:lang w:eastAsia="zh-CN"/>
              </w:rPr>
              <w:t>国家级、</w:t>
            </w:r>
            <w:r>
              <w:rPr>
                <w:rFonts w:hint="eastAsia" w:ascii="宋体" w:hAnsi="宋体" w:eastAsia="宋体" w:cs="宋体"/>
                <w:color w:val="auto"/>
                <w:kern w:val="2"/>
                <w:szCs w:val="21"/>
                <w:highlight w:val="none"/>
              </w:rPr>
              <w:t>省级</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市级建设行政主管部门或行业协会颁发奖项的（包含各类 QC、工法），</w:t>
            </w:r>
            <w:r>
              <w:rPr>
                <w:rFonts w:hint="eastAsia" w:ascii="宋体" w:hAnsi="宋体" w:eastAsia="宋体" w:cs="宋体"/>
                <w:color w:val="auto"/>
                <w:kern w:val="2"/>
                <w:szCs w:val="21"/>
                <w:highlight w:val="none"/>
                <w:lang w:eastAsia="zh-CN"/>
              </w:rPr>
              <w:t>国家级的</w:t>
            </w:r>
            <w:r>
              <w:rPr>
                <w:rFonts w:hint="eastAsia" w:ascii="宋体" w:hAnsi="宋体" w:eastAsia="宋体" w:cs="宋体"/>
                <w:color w:val="auto"/>
                <w:kern w:val="2"/>
                <w:szCs w:val="21"/>
                <w:highlight w:val="none"/>
              </w:rPr>
              <w:t>每项得</w:t>
            </w:r>
            <w:r>
              <w:rPr>
                <w:rFonts w:hint="eastAsia" w:ascii="宋体" w:hAnsi="宋体" w:eastAsia="宋体" w:cs="宋体"/>
                <w:color w:val="auto"/>
                <w:kern w:val="2"/>
                <w:szCs w:val="21"/>
                <w:highlight w:val="none"/>
                <w:lang w:val="en-US" w:eastAsia="zh-CN"/>
              </w:rPr>
              <w:t>3</w:t>
            </w:r>
            <w:r>
              <w:rPr>
                <w:rFonts w:hint="eastAsia" w:ascii="宋体" w:hAnsi="宋体" w:eastAsia="宋体" w:cs="宋体"/>
                <w:color w:val="auto"/>
                <w:kern w:val="2"/>
                <w:szCs w:val="21"/>
                <w:highlight w:val="none"/>
              </w:rPr>
              <w:t>分，</w:t>
            </w:r>
            <w:r>
              <w:rPr>
                <w:rFonts w:hint="eastAsia" w:ascii="宋体" w:hAnsi="宋体" w:eastAsia="宋体" w:cs="宋体"/>
                <w:color w:val="auto"/>
                <w:kern w:val="2"/>
                <w:szCs w:val="21"/>
                <w:highlight w:val="none"/>
                <w:lang w:eastAsia="zh-CN"/>
              </w:rPr>
              <w:t>省级的每项得</w:t>
            </w:r>
            <w:r>
              <w:rPr>
                <w:rFonts w:hint="eastAsia" w:ascii="宋体" w:hAnsi="宋体" w:eastAsia="宋体" w:cs="宋体"/>
                <w:color w:val="auto"/>
                <w:kern w:val="2"/>
                <w:szCs w:val="21"/>
                <w:highlight w:val="none"/>
                <w:lang w:val="en-US" w:eastAsia="zh-CN"/>
              </w:rPr>
              <w:t>2分，市级的每项得1分，</w:t>
            </w:r>
            <w:r>
              <w:rPr>
                <w:rFonts w:hint="eastAsia" w:ascii="宋体" w:hAnsi="宋体" w:eastAsia="宋体" w:cs="宋体"/>
                <w:color w:val="auto"/>
                <w:kern w:val="2"/>
                <w:szCs w:val="21"/>
                <w:highlight w:val="none"/>
              </w:rPr>
              <w:t>本项最高得</w:t>
            </w:r>
            <w:r>
              <w:rPr>
                <w:rFonts w:hint="eastAsia" w:ascii="宋体" w:hAnsi="宋体" w:eastAsia="宋体" w:cs="宋体"/>
                <w:color w:val="auto"/>
                <w:kern w:val="2"/>
                <w:szCs w:val="21"/>
                <w:highlight w:val="none"/>
                <w:lang w:val="en-US" w:eastAsia="zh-CN"/>
              </w:rPr>
              <w:t>3</w:t>
            </w:r>
            <w:r>
              <w:rPr>
                <w:rFonts w:hint="eastAsia" w:ascii="宋体" w:hAnsi="宋体" w:eastAsia="宋体" w:cs="宋体"/>
                <w:color w:val="auto"/>
                <w:kern w:val="2"/>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restart"/>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项目</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具有工程类</w:t>
            </w:r>
            <w:r>
              <w:rPr>
                <w:rFonts w:hint="eastAsia" w:ascii="宋体" w:hAnsi="宋体" w:eastAsia="宋体" w:cs="宋体"/>
                <w:color w:val="auto"/>
                <w:spacing w:val="-5"/>
                <w:szCs w:val="21"/>
                <w:highlight w:val="none"/>
                <w:lang w:eastAsia="zh-CN"/>
              </w:rPr>
              <w:t>专业</w:t>
            </w:r>
            <w:r>
              <w:rPr>
                <w:rFonts w:hint="eastAsia" w:ascii="宋体" w:hAnsi="宋体" w:eastAsia="宋体" w:cs="宋体"/>
                <w:color w:val="auto"/>
                <w:spacing w:val="-5"/>
                <w:szCs w:val="21"/>
                <w:highlight w:val="none"/>
                <w:lang w:val="en-US" w:eastAsia="zh-CN"/>
              </w:rPr>
              <w:t>中</w:t>
            </w:r>
            <w:r>
              <w:rPr>
                <w:rFonts w:hint="eastAsia" w:ascii="宋体" w:hAnsi="宋体" w:eastAsia="宋体" w:cs="宋体"/>
                <w:color w:val="auto"/>
                <w:spacing w:val="-5"/>
                <w:szCs w:val="21"/>
                <w:highlight w:val="none"/>
              </w:rPr>
              <w:t>级或以上</w:t>
            </w:r>
            <w:r>
              <w:rPr>
                <w:rFonts w:hint="eastAsia" w:ascii="宋体" w:hAnsi="宋体" w:eastAsia="宋体" w:cs="宋体"/>
                <w:color w:val="auto"/>
                <w:spacing w:val="-5"/>
                <w:szCs w:val="21"/>
                <w:highlight w:val="none"/>
                <w:lang w:eastAsia="zh-CN"/>
              </w:rPr>
              <w:t>工程师</w:t>
            </w:r>
            <w:r>
              <w:rPr>
                <w:rFonts w:hint="eastAsia" w:ascii="宋体" w:hAnsi="宋体" w:eastAsia="宋体" w:cs="宋体"/>
                <w:color w:val="auto"/>
                <w:spacing w:val="-5"/>
                <w:szCs w:val="21"/>
                <w:highlight w:val="none"/>
              </w:rPr>
              <w:t>职称</w:t>
            </w:r>
            <w:r>
              <w:rPr>
                <w:rFonts w:hint="eastAsia" w:ascii="宋体" w:hAnsi="宋体" w:eastAsia="宋体" w:cs="宋体"/>
                <w:color w:val="auto"/>
                <w:spacing w:val="-5"/>
                <w:szCs w:val="21"/>
                <w:highlight w:val="none"/>
                <w:lang w:eastAsia="zh-CN"/>
              </w:rPr>
              <w:t>的</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color="auto" w:fill="auto"/>
                <w:lang w:val="en-US" w:eastAsia="zh-CN"/>
              </w:rPr>
              <w:t>得1分</w:t>
            </w:r>
            <w:r>
              <w:rPr>
                <w:rFonts w:hint="eastAsia" w:ascii="宋体" w:hAnsi="宋体" w:eastAsia="宋体" w:cs="宋体"/>
                <w:color w:val="auto"/>
                <w:spacing w:val="-5"/>
                <w:szCs w:val="21"/>
                <w:highlight w:val="none"/>
                <w:lang w:val="en-US" w:eastAsia="zh-CN"/>
              </w:rPr>
              <w:t>；</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2、具有</w:t>
            </w:r>
            <w:r>
              <w:rPr>
                <w:rFonts w:hint="eastAsia" w:ascii="宋体" w:hAnsi="宋体" w:eastAsia="宋体" w:cs="宋体"/>
                <w:i w:val="0"/>
                <w:iCs w:val="0"/>
                <w:caps w:val="0"/>
                <w:color w:val="auto"/>
                <w:spacing w:val="-5"/>
                <w:sz w:val="21"/>
                <w:szCs w:val="21"/>
                <w:highlight w:val="none"/>
                <w:shd w:val="clear" w:color="auto" w:fill="auto"/>
                <w:lang w:eastAsia="zh-CN"/>
              </w:rPr>
              <w:t>建筑</w:t>
            </w:r>
            <w:r>
              <w:rPr>
                <w:rFonts w:hint="eastAsia" w:ascii="宋体" w:hAnsi="宋体" w:eastAsia="宋体" w:cs="宋体"/>
                <w:i w:val="0"/>
                <w:iCs w:val="0"/>
                <w:caps w:val="0"/>
                <w:color w:val="auto"/>
                <w:spacing w:val="-5"/>
                <w:sz w:val="21"/>
                <w:szCs w:val="21"/>
                <w:highlight w:val="none"/>
                <w:shd w:val="clear" w:color="auto" w:fill="auto"/>
              </w:rPr>
              <w:t>工程专业</w:t>
            </w:r>
            <w:r>
              <w:rPr>
                <w:rFonts w:hint="eastAsia" w:ascii="宋体" w:hAnsi="宋体" w:eastAsia="宋体" w:cs="宋体"/>
                <w:i w:val="0"/>
                <w:iCs w:val="0"/>
                <w:caps w:val="0"/>
                <w:color w:val="auto"/>
                <w:spacing w:val="-5"/>
                <w:sz w:val="21"/>
                <w:szCs w:val="21"/>
                <w:highlight w:val="none"/>
                <w:shd w:val="clear" w:color="auto" w:fill="auto"/>
                <w:lang w:eastAsia="zh-CN"/>
              </w:rPr>
              <w:t>一级</w:t>
            </w:r>
            <w:r>
              <w:rPr>
                <w:rFonts w:hint="eastAsia" w:ascii="宋体" w:hAnsi="宋体" w:eastAsia="宋体" w:cs="宋体"/>
                <w:i w:val="0"/>
                <w:iCs w:val="0"/>
                <w:caps w:val="0"/>
                <w:color w:val="auto"/>
                <w:spacing w:val="-5"/>
                <w:sz w:val="21"/>
                <w:szCs w:val="21"/>
                <w:highlight w:val="none"/>
                <w:shd w:val="clear" w:color="auto" w:fill="auto"/>
              </w:rPr>
              <w:t>注册建造师</w:t>
            </w:r>
            <w:r>
              <w:rPr>
                <w:rFonts w:hint="eastAsia" w:ascii="宋体" w:hAnsi="宋体" w:eastAsia="宋体" w:cs="宋体"/>
                <w:i w:val="0"/>
                <w:iCs w:val="0"/>
                <w:caps w:val="0"/>
                <w:color w:val="auto"/>
                <w:spacing w:val="-5"/>
                <w:sz w:val="21"/>
                <w:szCs w:val="21"/>
                <w:highlight w:val="none"/>
                <w:shd w:val="clear" w:color="auto" w:fill="auto"/>
                <w:lang w:eastAsia="zh-CN"/>
              </w:rPr>
              <w:t>的，得</w:t>
            </w:r>
            <w:r>
              <w:rPr>
                <w:rFonts w:hint="eastAsia" w:ascii="宋体" w:hAnsi="宋体" w:eastAsia="宋体" w:cs="宋体"/>
                <w:i w:val="0"/>
                <w:iCs w:val="0"/>
                <w:caps w:val="0"/>
                <w:color w:val="auto"/>
                <w:spacing w:val="-5"/>
                <w:sz w:val="21"/>
                <w:szCs w:val="21"/>
                <w:highlight w:val="none"/>
                <w:shd w:val="clear" w:color="auto" w:fill="auto"/>
                <w:lang w:val="en-US" w:eastAsia="zh-CN"/>
              </w:rPr>
              <w:t>2分</w:t>
            </w:r>
            <w:r>
              <w:rPr>
                <w:rFonts w:hint="eastAsia" w:ascii="宋体" w:hAnsi="宋体" w:eastAsia="宋体" w:cs="宋体"/>
                <w:color w:val="auto"/>
                <w:spacing w:val="-5"/>
                <w:szCs w:val="21"/>
                <w:highlight w:val="none"/>
                <w:lang w:val="en-US"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color="auto" w:fill="auto"/>
                <w:lang w:val="en-US" w:eastAsia="zh-CN"/>
              </w:rPr>
              <w:t>3</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noWrap w:val="0"/>
            <w:vAlign w:val="center"/>
          </w:tcPr>
          <w:p>
            <w:pPr>
              <w:jc w:val="center"/>
              <w:rPr>
                <w:rFonts w:hint="eastAsia" w:ascii="宋体" w:hAnsi="宋体" w:eastAsia="宋体" w:cs="宋体"/>
                <w:color w:val="auto"/>
                <w:spacing w:val="-5"/>
                <w:szCs w:val="21"/>
                <w:highlight w:val="none"/>
              </w:rPr>
            </w:pP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技术</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default"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1、具有二级或以上建筑工程专业注册建造师的，</w:t>
            </w:r>
            <w:r>
              <w:rPr>
                <w:rFonts w:hint="eastAsia" w:ascii="宋体" w:hAnsi="宋体" w:eastAsia="宋体" w:cs="宋体"/>
                <w:color w:val="auto"/>
                <w:spacing w:val="-5"/>
                <w:szCs w:val="21"/>
                <w:highlight w:val="none"/>
                <w:shd w:val="clear" w:color="auto" w:fill="auto"/>
                <w:lang w:val="en-US" w:eastAsia="zh-CN"/>
              </w:rPr>
              <w:t>得1分。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2、具有工程类专业高级或以上工程师职称的</w:t>
            </w:r>
            <w:r>
              <w:rPr>
                <w:rFonts w:hint="eastAsia" w:ascii="宋体" w:hAnsi="宋体" w:eastAsia="宋体" w:cs="宋体"/>
                <w:color w:val="auto"/>
                <w:spacing w:val="-5"/>
                <w:szCs w:val="21"/>
                <w:highlight w:val="none"/>
              </w:rPr>
              <w:t>，</w:t>
            </w:r>
            <w:r>
              <w:rPr>
                <w:rFonts w:hint="eastAsia" w:ascii="宋体" w:hAnsi="宋体" w:eastAsia="宋体" w:cs="宋体"/>
                <w:color w:val="auto"/>
                <w:spacing w:val="-5"/>
                <w:szCs w:val="21"/>
                <w:highlight w:val="none"/>
                <w:shd w:val="clear" w:color="auto" w:fill="auto"/>
              </w:rPr>
              <w:t>得</w:t>
            </w:r>
            <w:r>
              <w:rPr>
                <w:rFonts w:hint="eastAsia" w:ascii="宋体" w:hAnsi="宋体" w:eastAsia="宋体" w:cs="宋体"/>
                <w:color w:val="auto"/>
                <w:spacing w:val="-5"/>
                <w:szCs w:val="21"/>
                <w:highlight w:val="none"/>
                <w:shd w:val="clear" w:color="auto" w:fill="auto"/>
                <w:lang w:val="en-US" w:eastAsia="zh-CN"/>
              </w:rPr>
              <w:t>2</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shd w:val="clear" w:color="auto" w:fill="auto"/>
                <w:lang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color="auto" w:fill="auto"/>
                <w:lang w:val="en-US" w:eastAsia="zh-CN"/>
              </w:rPr>
              <w:t>3</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pacing w:val="-5"/>
                <w:szCs w:val="21"/>
                <w:highlight w:val="none"/>
                <w:lang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项目实施方案</w:t>
            </w: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ascii="宋体" w:hAnsi="宋体" w:eastAsia="宋体" w:cs="宋体"/>
                <w:color w:val="auto"/>
                <w:sz w:val="21"/>
                <w:szCs w:val="21"/>
                <w:highlight w:val="none"/>
                <w:lang w:eastAsia="zh-CN"/>
              </w:rPr>
              <w:t>评价</w:t>
            </w:r>
            <w:r>
              <w:rPr>
                <w:rFonts w:hint="eastAsia" w:ascii="宋体" w:hAnsi="宋体" w:eastAsia="宋体" w:cs="宋体"/>
                <w:color w:val="auto"/>
                <w:sz w:val="21"/>
                <w:szCs w:val="21"/>
                <w:highlight w:val="none"/>
              </w:rPr>
              <w:t>投标人实施方案（包括但不限于现场作业管理方案及措施、安全生产管理方案及措施、现场文明施工方案及措施、工期保证方案及措施、方案及承诺、施工现场的清表、残土清运方案及措施、现场工作人员操作规范实施方案等）、投入本项目机械设备情况：</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优：</w:t>
            </w:r>
            <w:r>
              <w:rPr>
                <w:rFonts w:hint="eastAsia" w:ascii="宋体" w:hAnsi="宋体" w:eastAsia="宋体" w:cs="宋体"/>
                <w:color w:val="auto"/>
                <w:sz w:val="21"/>
                <w:szCs w:val="21"/>
                <w:highlight w:val="none"/>
              </w:rPr>
              <w:t>方案内容齐全，措施有效可行、具有针对性，承诺详细具体，能满足本项目需求，得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良：</w:t>
            </w:r>
            <w:r>
              <w:rPr>
                <w:rFonts w:hint="eastAsia" w:ascii="宋体" w:hAnsi="宋体" w:eastAsia="宋体" w:cs="宋体"/>
                <w:color w:val="auto"/>
                <w:sz w:val="21"/>
                <w:szCs w:val="21"/>
                <w:highlight w:val="none"/>
              </w:rPr>
              <w:t>方案内容较齐全，措施较有效可行、具有针对性，承诺较详细具体，基本满足本项目需求，得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方案内容有缺漏，措施较有效可行、针对性一般，承诺较详细，较能满足本项目需求，得</w:t>
            </w:r>
            <w:r>
              <w:rPr>
                <w:rFonts w:hint="eastAsia" w:ascii="宋体" w:hAnsi="宋体" w:eastAsia="宋体" w:cs="宋体"/>
                <w:color w:val="auto"/>
                <w:spacing w:val="-5"/>
                <w:szCs w:val="21"/>
                <w:highlight w:val="none"/>
                <w:lang w:val="en-US" w:eastAsia="zh-CN"/>
              </w:rPr>
              <w:t>0-1</w:t>
            </w:r>
            <w:r>
              <w:rPr>
                <w:rFonts w:hint="eastAsia" w:ascii="宋体" w:hAnsi="宋体" w:eastAsia="宋体" w:cs="宋体"/>
                <w:color w:val="auto"/>
                <w:sz w:val="21"/>
                <w:szCs w:val="21"/>
                <w:highlight w:val="none"/>
              </w:rPr>
              <w:t>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不提供方案不得分。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lang w:val="en-US" w:eastAsia="zh-CN"/>
              </w:rPr>
              <w:t>对项目的理解程度、重点难点分析情况</w:t>
            </w: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1、优：对具体项目的理解程度、特点、实施难点、易损多发维修点清楚，有针对性，得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2、中：对具体项目的理解程度、特点、实施难点、易损多发维修点较清楚，较有针对性，得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3、差：对具体项目的理解程度、特点、实施难点、易损多发维修点了解一般，针对性一般，得0-1分。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3、差：对本服务项目安全生产工作提出具体管理方案， 安全防护制度可行性较低，得0-1分。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1、优：项目质量措施保证目标明确、方案详细，可行性强，有明确的质量承诺， 表述清晰、完整、合理，得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3、差：项目质量措施保证目标不明确、方案简单、可行性较低，质量承诺表述不够清晰、不够合理，得0-1分。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709" w:type="dxa"/>
            <w:noWrap w:val="0"/>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60分</w:t>
            </w:r>
          </w:p>
        </w:tc>
        <w:tc>
          <w:tcPr>
            <w:tcW w:w="9797" w:type="dxa"/>
            <w:noWrap w:val="0"/>
            <w:vAlign w:val="top"/>
          </w:tcPr>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2、报价等于基准价的，得分=</w:t>
            </w:r>
            <w:r>
              <w:rPr>
                <w:rFonts w:hint="eastAsia" w:hAnsi="宋体" w:cs="宋体"/>
                <w:color w:val="auto"/>
                <w:highlight w:val="none"/>
                <w:lang w:val="en-US" w:eastAsia="zh-CN"/>
              </w:rPr>
              <w:t>6</w:t>
            </w:r>
            <w:r>
              <w:rPr>
                <w:rFonts w:hint="eastAsia" w:ascii="宋体" w:hAnsi="宋体" w:eastAsia="宋体" w:cs="宋体"/>
                <w:color w:val="auto"/>
                <w:highlight w:val="none"/>
                <w:lang w:val="en-US" w:eastAsia="zh-CN"/>
              </w:rPr>
              <w:t>0。</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3、报价高于基准价的，得分=</w:t>
            </w:r>
            <w:r>
              <w:rPr>
                <w:rFonts w:hint="eastAsia" w:hAnsi="宋体" w:cs="宋体"/>
                <w:color w:val="auto"/>
                <w:highlight w:val="none"/>
                <w:lang w:val="en-US" w:eastAsia="zh-CN"/>
              </w:rPr>
              <w:t>6</w:t>
            </w:r>
            <w:r>
              <w:rPr>
                <w:rFonts w:hint="eastAsia" w:ascii="宋体" w:hAnsi="宋体" w:eastAsia="宋体" w:cs="宋体"/>
                <w:color w:val="auto"/>
                <w:highlight w:val="none"/>
                <w:lang w:val="en-US" w:eastAsia="zh-CN"/>
              </w:rPr>
              <w:t>0-[（报价-基准价）/基准价]×100×1</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3、报价低于基准价的，得分=</w:t>
            </w:r>
            <w:r>
              <w:rPr>
                <w:rFonts w:hint="eastAsia" w:hAnsi="宋体" w:cs="宋体"/>
                <w:color w:val="auto"/>
                <w:highlight w:val="none"/>
                <w:lang w:val="en-US" w:eastAsia="zh-CN"/>
              </w:rPr>
              <w:t>6</w:t>
            </w:r>
            <w:r>
              <w:rPr>
                <w:rFonts w:hint="eastAsia" w:ascii="宋体" w:hAnsi="宋体" w:eastAsia="宋体" w:cs="宋体"/>
                <w:color w:val="auto"/>
                <w:highlight w:val="none"/>
                <w:lang w:val="en-US" w:eastAsia="zh-CN"/>
              </w:rPr>
              <w:t>0-[（基准价-报价）/基准价]×100×0.5</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noWrap w:val="0"/>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noWrap w:val="0"/>
            <w:vAlign w:val="center"/>
          </w:tcPr>
          <w:p>
            <w:pPr>
              <w:spacing w:line="220" w:lineRule="exact"/>
              <w:ind w:left="-2" w:leftChars="-1"/>
              <w:rPr>
                <w:rFonts w:hint="eastAsia" w:ascii="宋体" w:hAnsi="宋体" w:eastAsia="宋体" w:cs="宋体"/>
                <w:color w:val="auto"/>
                <w:sz w:val="21"/>
                <w:szCs w:val="21"/>
                <w:highlight w:val="none"/>
              </w:rPr>
            </w:pPr>
          </w:p>
        </w:tc>
        <w:tc>
          <w:tcPr>
            <w:tcW w:w="240" w:type="dxa"/>
            <w:noWrap w:val="0"/>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港口新鲜集市（A地块）项目一期张拉膜结构遮阳采购及安装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，本公司保证以上单位不参加本次投标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D8457"/>
    <w:multiLevelType w:val="singleLevel"/>
    <w:tmpl w:val="87AD8457"/>
    <w:lvl w:ilvl="0" w:tentative="0">
      <w:start w:val="1"/>
      <w:numFmt w:val="decimal"/>
      <w:lvlText w:val="%1)"/>
      <w:lvlJc w:val="left"/>
      <w:pPr>
        <w:ind w:left="425" w:hanging="425"/>
      </w:pPr>
      <w:rPr>
        <w:rFonts w:hint="default"/>
      </w:rPr>
    </w:lvl>
  </w:abstractNum>
  <w:abstractNum w:abstractNumId="1">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2">
    <w:nsid w:val="B7474BCF"/>
    <w:multiLevelType w:val="singleLevel"/>
    <w:tmpl w:val="B7474BCF"/>
    <w:lvl w:ilvl="0" w:tentative="0">
      <w:start w:val="1"/>
      <w:numFmt w:val="decimal"/>
      <w:lvlText w:val="%1)"/>
      <w:lvlJc w:val="left"/>
      <w:pPr>
        <w:ind w:left="425" w:hanging="425"/>
      </w:pPr>
      <w:rPr>
        <w:rFonts w:hint="default"/>
      </w:rPr>
    </w:lvl>
  </w:abstractNum>
  <w:abstractNum w:abstractNumId="3">
    <w:nsid w:val="CB8718C6"/>
    <w:multiLevelType w:val="singleLevel"/>
    <w:tmpl w:val="CB8718C6"/>
    <w:lvl w:ilvl="0" w:tentative="0">
      <w:start w:val="3"/>
      <w:numFmt w:val="decimal"/>
      <w:suff w:val="nothing"/>
      <w:lvlText w:val="%1、"/>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35BE0"/>
    <w:rsid w:val="044C08C6"/>
    <w:rsid w:val="04E40895"/>
    <w:rsid w:val="051B7598"/>
    <w:rsid w:val="052E78DA"/>
    <w:rsid w:val="059A4101"/>
    <w:rsid w:val="079A3CDA"/>
    <w:rsid w:val="07F66A4C"/>
    <w:rsid w:val="083B43B1"/>
    <w:rsid w:val="08757A2C"/>
    <w:rsid w:val="08A9464F"/>
    <w:rsid w:val="08D505E6"/>
    <w:rsid w:val="08E03A6C"/>
    <w:rsid w:val="09062DA7"/>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4725C9B"/>
    <w:rsid w:val="15B036FB"/>
    <w:rsid w:val="16007AF5"/>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1D5D3B"/>
    <w:rsid w:val="1C307374"/>
    <w:rsid w:val="1C420B68"/>
    <w:rsid w:val="1C9203A6"/>
    <w:rsid w:val="1E032835"/>
    <w:rsid w:val="1E562810"/>
    <w:rsid w:val="1EB63404"/>
    <w:rsid w:val="1EBD45C4"/>
    <w:rsid w:val="1F1C5732"/>
    <w:rsid w:val="1F584BD1"/>
    <w:rsid w:val="1F7A6193"/>
    <w:rsid w:val="205D447F"/>
    <w:rsid w:val="206E043A"/>
    <w:rsid w:val="20AD4C4C"/>
    <w:rsid w:val="21424D60"/>
    <w:rsid w:val="215321ED"/>
    <w:rsid w:val="21B300CF"/>
    <w:rsid w:val="224A02E7"/>
    <w:rsid w:val="224A5BE0"/>
    <w:rsid w:val="227411DF"/>
    <w:rsid w:val="22934188"/>
    <w:rsid w:val="23EE6B47"/>
    <w:rsid w:val="24856237"/>
    <w:rsid w:val="25053D8A"/>
    <w:rsid w:val="25687B33"/>
    <w:rsid w:val="25791876"/>
    <w:rsid w:val="26236584"/>
    <w:rsid w:val="26826F29"/>
    <w:rsid w:val="26B94C66"/>
    <w:rsid w:val="26EC20B9"/>
    <w:rsid w:val="26FF6942"/>
    <w:rsid w:val="272101A5"/>
    <w:rsid w:val="272B74FA"/>
    <w:rsid w:val="2751149E"/>
    <w:rsid w:val="2837076A"/>
    <w:rsid w:val="2865301D"/>
    <w:rsid w:val="28C86C87"/>
    <w:rsid w:val="29051210"/>
    <w:rsid w:val="296119D7"/>
    <w:rsid w:val="29C64906"/>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B57180"/>
    <w:rsid w:val="33113670"/>
    <w:rsid w:val="33A75A22"/>
    <w:rsid w:val="3411535B"/>
    <w:rsid w:val="34935BA4"/>
    <w:rsid w:val="34A264CA"/>
    <w:rsid w:val="35830B03"/>
    <w:rsid w:val="3700775A"/>
    <w:rsid w:val="37A26BD4"/>
    <w:rsid w:val="37A33759"/>
    <w:rsid w:val="37AE7FE3"/>
    <w:rsid w:val="37B20151"/>
    <w:rsid w:val="383813C8"/>
    <w:rsid w:val="38417D8A"/>
    <w:rsid w:val="390B4D39"/>
    <w:rsid w:val="39131727"/>
    <w:rsid w:val="392A6A70"/>
    <w:rsid w:val="39731517"/>
    <w:rsid w:val="39F52602"/>
    <w:rsid w:val="39FC703A"/>
    <w:rsid w:val="3AC802EF"/>
    <w:rsid w:val="3B183024"/>
    <w:rsid w:val="3B6D4312"/>
    <w:rsid w:val="3BB718A6"/>
    <w:rsid w:val="3BBA1D8E"/>
    <w:rsid w:val="3BC04127"/>
    <w:rsid w:val="3C88543E"/>
    <w:rsid w:val="3CB7521C"/>
    <w:rsid w:val="3CE76215"/>
    <w:rsid w:val="3CFF0303"/>
    <w:rsid w:val="3D7619F9"/>
    <w:rsid w:val="3D957982"/>
    <w:rsid w:val="3D96007A"/>
    <w:rsid w:val="3D96571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952229"/>
    <w:rsid w:val="43F36E83"/>
    <w:rsid w:val="44631084"/>
    <w:rsid w:val="446A549B"/>
    <w:rsid w:val="44755126"/>
    <w:rsid w:val="44800368"/>
    <w:rsid w:val="44E811C0"/>
    <w:rsid w:val="457C68A6"/>
    <w:rsid w:val="45E74C1B"/>
    <w:rsid w:val="46871AD6"/>
    <w:rsid w:val="47025D0E"/>
    <w:rsid w:val="4735560E"/>
    <w:rsid w:val="47413F22"/>
    <w:rsid w:val="4792678F"/>
    <w:rsid w:val="47E03B89"/>
    <w:rsid w:val="481D5A38"/>
    <w:rsid w:val="482B34F2"/>
    <w:rsid w:val="48661D0A"/>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2D0537"/>
    <w:rsid w:val="4D904DD7"/>
    <w:rsid w:val="4D9C287D"/>
    <w:rsid w:val="4DC04FA6"/>
    <w:rsid w:val="4DC53F66"/>
    <w:rsid w:val="4E2A0E48"/>
    <w:rsid w:val="4FC91A1A"/>
    <w:rsid w:val="5049448C"/>
    <w:rsid w:val="50DB6247"/>
    <w:rsid w:val="51531E87"/>
    <w:rsid w:val="51552F81"/>
    <w:rsid w:val="51AB2104"/>
    <w:rsid w:val="51D43927"/>
    <w:rsid w:val="525A7F6F"/>
    <w:rsid w:val="52760C06"/>
    <w:rsid w:val="52A35200"/>
    <w:rsid w:val="52C2143B"/>
    <w:rsid w:val="530E35F9"/>
    <w:rsid w:val="531A11E6"/>
    <w:rsid w:val="53427976"/>
    <w:rsid w:val="53A07C03"/>
    <w:rsid w:val="53A63423"/>
    <w:rsid w:val="53B638D1"/>
    <w:rsid w:val="54386D63"/>
    <w:rsid w:val="54A36172"/>
    <w:rsid w:val="54BC0EE8"/>
    <w:rsid w:val="55592415"/>
    <w:rsid w:val="55D122F6"/>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C9B134E"/>
    <w:rsid w:val="5CF77B24"/>
    <w:rsid w:val="5D5E6B65"/>
    <w:rsid w:val="5DAA1580"/>
    <w:rsid w:val="5DF14932"/>
    <w:rsid w:val="5DFF04E8"/>
    <w:rsid w:val="5E1A6FB5"/>
    <w:rsid w:val="5E7A3CE2"/>
    <w:rsid w:val="5E960581"/>
    <w:rsid w:val="5F355496"/>
    <w:rsid w:val="5F8349F8"/>
    <w:rsid w:val="5F865CD7"/>
    <w:rsid w:val="5F925D77"/>
    <w:rsid w:val="5FDC4484"/>
    <w:rsid w:val="5FE52C46"/>
    <w:rsid w:val="60BA0556"/>
    <w:rsid w:val="60F61E20"/>
    <w:rsid w:val="617866B8"/>
    <w:rsid w:val="618B1EF3"/>
    <w:rsid w:val="61A7533B"/>
    <w:rsid w:val="621244D5"/>
    <w:rsid w:val="62B2296D"/>
    <w:rsid w:val="62B247EF"/>
    <w:rsid w:val="636147EE"/>
    <w:rsid w:val="63DB6B9E"/>
    <w:rsid w:val="64207D19"/>
    <w:rsid w:val="65B441A4"/>
    <w:rsid w:val="65D8147F"/>
    <w:rsid w:val="66373494"/>
    <w:rsid w:val="663E17E3"/>
    <w:rsid w:val="66591B82"/>
    <w:rsid w:val="66593A91"/>
    <w:rsid w:val="67D46774"/>
    <w:rsid w:val="68550B65"/>
    <w:rsid w:val="6898637C"/>
    <w:rsid w:val="68B16D7B"/>
    <w:rsid w:val="68BA7003"/>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70727FF1"/>
    <w:rsid w:val="70836CF8"/>
    <w:rsid w:val="70CF07C8"/>
    <w:rsid w:val="710F157A"/>
    <w:rsid w:val="71840FD7"/>
    <w:rsid w:val="718C3480"/>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3"/>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1"/>
    <w:qFormat/>
    <w:uiPriority w:val="0"/>
    <w:rPr>
      <w:sz w:val="18"/>
      <w:szCs w:val="18"/>
    </w:rPr>
  </w:style>
  <w:style w:type="paragraph" w:styleId="10">
    <w:name w:val="footer"/>
    <w:basedOn w:val="1"/>
    <w:link w:val="30"/>
    <w:qFormat/>
    <w:uiPriority w:val="0"/>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qFormat/>
    <w:uiPriority w:val="0"/>
    <w:rPr>
      <w:rFonts w:hint="default" w:ascii="Times New Roman" w:hAnsi="Times New Roman" w:cs="Times New Roman"/>
    </w:rPr>
  </w:style>
  <w:style w:type="character" w:customStyle="1" w:styleId="27">
    <w:name w:val="15"/>
    <w:basedOn w:val="15"/>
    <w:qFormat/>
    <w:uiPriority w:val="0"/>
    <w:rPr>
      <w:rFonts w:hint="default" w:ascii="Times New Roman" w:hAnsi="Times New Roman" w:cs="Times New Roman"/>
    </w:rPr>
  </w:style>
  <w:style w:type="character" w:customStyle="1" w:styleId="28">
    <w:name w:val="16"/>
    <w:basedOn w:val="15"/>
    <w:qFormat/>
    <w:uiPriority w:val="0"/>
    <w:rPr>
      <w:rFonts w:hint="default" w:ascii="Times New Roman" w:hAnsi="Times New Roman" w:cs="Times New Roman"/>
      <w:color w:val="0000FF"/>
      <w:u w:val="single"/>
    </w:rPr>
  </w:style>
  <w:style w:type="character" w:customStyle="1" w:styleId="29">
    <w:name w:val="页眉 Char"/>
    <w:basedOn w:val="15"/>
    <w:link w:val="11"/>
    <w:qFormat/>
    <w:uiPriority w:val="0"/>
    <w:rPr>
      <w:rFonts w:asciiTheme="minorHAnsi" w:hAnsiTheme="minorHAnsi" w:eastAsiaTheme="minorEastAsia" w:cstheme="minorBidi"/>
      <w:kern w:val="2"/>
      <w:sz w:val="18"/>
      <w:szCs w:val="18"/>
    </w:rPr>
  </w:style>
  <w:style w:type="character" w:customStyle="1" w:styleId="30">
    <w:name w:val="页脚 Char"/>
    <w:basedOn w:val="15"/>
    <w:link w:val="10"/>
    <w:qFormat/>
    <w:uiPriority w:val="0"/>
    <w:rPr>
      <w:rFonts w:asciiTheme="minorHAnsi" w:hAnsiTheme="minorHAnsi" w:eastAsiaTheme="minorEastAsia" w:cstheme="minorBidi"/>
      <w:kern w:val="2"/>
      <w:sz w:val="18"/>
      <w:szCs w:val="18"/>
    </w:rPr>
  </w:style>
  <w:style w:type="character" w:customStyle="1" w:styleId="31">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2"/>
    <w:qFormat/>
    <w:uiPriority w:val="0"/>
    <w:rPr>
      <w:rFonts w:ascii="宋体" w:hAnsi="Courier New"/>
      <w:kern w:val="2"/>
      <w:sz w:val="21"/>
      <w:szCs w:val="21"/>
    </w:rPr>
  </w:style>
  <w:style w:type="character" w:customStyle="1" w:styleId="34">
    <w:name w:val="正文首行缩进 Char"/>
    <w:basedOn w:val="15"/>
    <w:link w:val="13"/>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15766</Words>
  <Characters>16574</Characters>
  <Lines>131</Lines>
  <Paragraphs>37</Paragraphs>
  <TotalTime>5</TotalTime>
  <ScaleCrop>false</ScaleCrop>
  <LinksUpToDate>false</LinksUpToDate>
  <CharactersWithSpaces>17581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2023-08-25T01:54:07Z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