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color w:val="auto"/>
          <w:highlight w:val="none"/>
        </w:rPr>
      </w:pPr>
      <w:r>
        <w:rPr>
          <w:rFonts w:hint="eastAsia" w:ascii="宋体" w:hAnsi="宋体" w:eastAsia="宋体" w:cs="宋体"/>
          <w:b/>
          <w:color w:val="auto"/>
          <w:sz w:val="44"/>
          <w:szCs w:val="44"/>
          <w:highlight w:val="none"/>
          <w:lang w:eastAsia="zh-CN"/>
        </w:rPr>
        <w:t>南沙联检大楼（旧）房屋结构安全性及抗震鉴定</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广州南沙经发投资有限公司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南沙联检大楼（旧）房屋结构安全性及抗震鉴定</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广州南沙开发区进港大道与港前大道交叉口西南面地段</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南沙联检大楼位于广州南沙开发区进港大道与港前大道交叉口西南面地段，分为联检大楼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新），包括南北楼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联检大楼</w:t>
            </w:r>
            <w:r>
              <w:rPr>
                <w:rFonts w:hint="eastAsia" w:ascii="宋体" w:hAnsi="宋体" w:eastAsia="宋体" w:cs="宋体"/>
                <w:color w:val="auto"/>
                <w:sz w:val="21"/>
                <w:szCs w:val="21"/>
                <w:highlight w:val="none"/>
                <w:lang w:eastAsia="zh-CN"/>
              </w:rPr>
              <w:t>（旧），</w:t>
            </w:r>
            <w:r>
              <w:rPr>
                <w:rFonts w:hint="eastAsia" w:ascii="宋体" w:hAnsi="宋体" w:eastAsia="宋体" w:cs="宋体"/>
                <w:color w:val="auto"/>
                <w:sz w:val="21"/>
                <w:szCs w:val="21"/>
                <w:highlight w:val="none"/>
                <w:lang w:val="en-US" w:eastAsia="zh-CN"/>
              </w:rPr>
              <w:t>包括</w:t>
            </w:r>
            <w:r>
              <w:rPr>
                <w:rFonts w:hint="eastAsia" w:ascii="宋体" w:hAnsi="宋体" w:eastAsia="宋体" w:cs="宋体"/>
                <w:color w:val="auto"/>
                <w:sz w:val="21"/>
                <w:szCs w:val="21"/>
                <w:highlight w:val="none"/>
              </w:rPr>
              <w:t>海关大楼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三检大楼、边检大楼两部分。</w:t>
            </w:r>
          </w:p>
          <w:p>
            <w:pPr>
              <w:spacing w:line="360" w:lineRule="auto"/>
              <w:ind w:firstLine="0" w:firstLineChars="0"/>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rPr>
              <w:t>海关大楼8层，总建筑面积约7,974㎡、三检大楼9层，总建筑面积约5,893㎡、边检大楼11层，总建筑面积约5,913㎡，使用单位为海关、海事、边检等单位。用途均为办公。</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单价包干，工程量按实结算。</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符合国家</w:t>
            </w:r>
            <w:r>
              <w:rPr>
                <w:rFonts w:hint="eastAsia" w:ascii="宋体" w:hAnsi="宋体" w:eastAsia="宋体" w:cs="宋体"/>
                <w:bCs w:val="0"/>
                <w:color w:val="auto"/>
                <w:kern w:val="2"/>
                <w:sz w:val="21"/>
                <w:szCs w:val="21"/>
                <w:highlight w:val="none"/>
                <w:shd w:val="clear" w:color="auto" w:fill="auto"/>
                <w:lang w:eastAsia="zh-CN" w:bidi="ar-SA"/>
              </w:rPr>
              <w:t>《民用建筑可靠性鉴定标准》《建筑抗震鉴定标准》的相关</w:t>
            </w:r>
            <w:r>
              <w:rPr>
                <w:rFonts w:hint="eastAsia" w:ascii="宋体" w:hAnsi="宋体" w:eastAsia="宋体" w:cs="宋体"/>
                <w:bCs w:val="0"/>
                <w:color w:val="auto"/>
                <w:kern w:val="2"/>
                <w:sz w:val="21"/>
                <w:szCs w:val="21"/>
                <w:highlight w:val="none"/>
                <w:shd w:val="clear" w:color="auto" w:fill="auto"/>
                <w:lang w:bidi="ar-SA"/>
              </w:rPr>
              <w:t>规范</w:t>
            </w:r>
            <w:r>
              <w:rPr>
                <w:rFonts w:hint="eastAsia" w:ascii="宋体" w:hAnsi="宋体" w:eastAsia="宋体" w:cs="宋体"/>
                <w:bCs w:val="0"/>
                <w:color w:val="auto"/>
                <w:kern w:val="2"/>
                <w:sz w:val="21"/>
                <w:szCs w:val="21"/>
                <w:highlight w:val="none"/>
                <w:shd w:val="clear" w:color="auto" w:fill="auto"/>
                <w:lang w:eastAsia="zh-CN" w:bidi="ar-SA"/>
              </w:rPr>
              <w:t>要求。</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color w:val="auto"/>
                <w:spacing w:val="0"/>
                <w:sz w:val="21"/>
                <w:szCs w:val="21"/>
                <w:highlight w:val="none"/>
                <w:lang w:val="en-US" w:eastAsia="zh-CN"/>
              </w:rPr>
              <w:t>为确定</w:t>
            </w:r>
            <w:r>
              <w:rPr>
                <w:rFonts w:hint="eastAsia" w:ascii="宋体" w:hAnsi="宋体" w:eastAsia="宋体" w:cs="宋体"/>
                <w:color w:val="auto"/>
                <w:sz w:val="21"/>
                <w:szCs w:val="21"/>
                <w:highlight w:val="none"/>
                <w:lang w:eastAsia="zh-CN"/>
              </w:rPr>
              <w:t>南沙联检大楼（旧）房屋现状结构安全性</w:t>
            </w:r>
            <w:r>
              <w:rPr>
                <w:rFonts w:hint="eastAsia" w:ascii="宋体" w:hAnsi="宋体" w:eastAsia="宋体" w:cs="宋体"/>
                <w:color w:val="auto"/>
                <w:sz w:val="21"/>
                <w:szCs w:val="21"/>
                <w:highlight w:val="none"/>
                <w:lang w:val="en-US" w:eastAsia="zh-CN"/>
              </w:rPr>
              <w:t>状况，进行</w:t>
            </w:r>
            <w:r>
              <w:rPr>
                <w:rFonts w:hint="eastAsia" w:ascii="宋体" w:hAnsi="宋体" w:eastAsia="宋体" w:cs="宋体"/>
                <w:color w:val="auto"/>
                <w:sz w:val="21"/>
                <w:szCs w:val="21"/>
                <w:highlight w:val="none"/>
                <w:lang w:eastAsia="zh-CN"/>
              </w:rPr>
              <w:t>房屋结构安全性及抗震鉴定，</w:t>
            </w:r>
            <w:r>
              <w:rPr>
                <w:rFonts w:hint="eastAsia" w:ascii="宋体" w:hAnsi="宋体" w:eastAsia="宋体" w:cs="宋体"/>
                <w:bCs/>
                <w:color w:val="auto"/>
                <w:sz w:val="21"/>
                <w:szCs w:val="21"/>
                <w:highlight w:val="none"/>
                <w:lang w:eastAsia="zh-CN"/>
              </w:rPr>
              <w:t>具体工作包括</w:t>
            </w:r>
            <w:r>
              <w:rPr>
                <w:rFonts w:hint="eastAsia" w:ascii="宋体" w:hAnsi="宋体" w:eastAsia="宋体" w:cs="宋体"/>
                <w:bCs/>
                <w:color w:val="auto"/>
                <w:sz w:val="21"/>
                <w:szCs w:val="21"/>
                <w:highlight w:val="none"/>
                <w:lang w:val="en-US" w:eastAsia="zh-CN"/>
              </w:rPr>
              <w:t>但不限于</w:t>
            </w:r>
            <w:r>
              <w:rPr>
                <w:rFonts w:hint="eastAsia" w:ascii="宋体" w:hAnsi="宋体" w:eastAsia="宋体" w:cs="宋体"/>
                <w:bCs/>
                <w:color w:val="auto"/>
                <w:sz w:val="21"/>
                <w:szCs w:val="21"/>
                <w:highlight w:val="none"/>
                <w:lang w:eastAsia="zh-CN"/>
              </w:rPr>
              <w:t>：</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收集相关地质资料、设计图纸、施工资料及调查房屋的使用历史等。</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对房屋进行现场测量，绘制（或复核）结构平面图。</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现场查勘及现场取样检测工作</w:t>
            </w:r>
            <w:r>
              <w:rPr>
                <w:rFonts w:hint="eastAsia" w:ascii="宋体" w:hAnsi="宋体" w:eastAsia="宋体" w:cs="宋体"/>
                <w:bCs/>
                <w:color w:val="auto"/>
                <w:sz w:val="21"/>
                <w:szCs w:val="21"/>
                <w:highlight w:val="none"/>
                <w:lang w:eastAsia="zh-CN"/>
              </w:rPr>
              <w:t>（含地基基础、上部承重结构、围护系统、现场</w:t>
            </w:r>
            <w:r>
              <w:rPr>
                <w:rFonts w:hint="eastAsia" w:ascii="宋体" w:hAnsi="宋体" w:eastAsia="宋体" w:cs="宋体"/>
                <w:color w:val="auto"/>
                <w:sz w:val="21"/>
                <w:szCs w:val="21"/>
                <w:highlight w:val="none"/>
              </w:rPr>
              <w:t>鉴定产生的孔洞修复</w:t>
            </w:r>
            <w:r>
              <w:rPr>
                <w:rFonts w:hint="eastAsia" w:ascii="宋体" w:hAnsi="宋体" w:eastAsia="宋体" w:cs="宋体"/>
                <w:color w:val="auto"/>
                <w:sz w:val="21"/>
                <w:szCs w:val="21"/>
                <w:highlight w:val="none"/>
                <w:lang w:eastAsia="zh-CN"/>
              </w:rPr>
              <w:t>等</w:t>
            </w:r>
            <w:r>
              <w:rPr>
                <w:rFonts w:hint="eastAsia" w:ascii="宋体" w:hAnsi="宋体" w:eastAsia="宋体" w:cs="宋体"/>
                <w:bCs/>
                <w:color w:val="auto"/>
                <w:sz w:val="21"/>
                <w:szCs w:val="21"/>
                <w:highlight w:val="none"/>
                <w:lang w:eastAsia="zh-CN"/>
              </w:rPr>
              <w:t>）。</w:t>
            </w:r>
          </w:p>
          <w:p>
            <w:pPr>
              <w:pStyle w:val="19"/>
              <w:widowControl/>
              <w:numPr>
                <w:ilvl w:val="0"/>
                <w:numId w:val="1"/>
              </w:numPr>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检测数据分析及鉴定报告编写</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outlineLvl w:val="0"/>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总工期</w:t>
            </w:r>
            <w:r>
              <w:rPr>
                <w:rFonts w:hint="eastAsia" w:ascii="宋体" w:hAnsi="宋体" w:eastAsia="宋体" w:cs="宋体"/>
                <w:bCs w:val="0"/>
                <w:color w:val="auto"/>
                <w:sz w:val="21"/>
                <w:szCs w:val="21"/>
                <w:highlight w:val="none"/>
                <w:lang w:eastAsia="zh-CN"/>
              </w:rPr>
              <w:t>暂定</w:t>
            </w:r>
            <w:r>
              <w:rPr>
                <w:rFonts w:hint="eastAsia" w:ascii="宋体" w:hAnsi="宋体" w:eastAsia="宋体" w:cs="宋体"/>
                <w:bCs w:val="0"/>
                <w:color w:val="auto"/>
                <w:sz w:val="21"/>
                <w:szCs w:val="21"/>
                <w:highlight w:val="none"/>
              </w:rPr>
              <w:t>为</w:t>
            </w:r>
            <w:r>
              <w:rPr>
                <w:rFonts w:hint="eastAsia" w:ascii="宋体" w:hAnsi="宋体" w:eastAsia="宋体" w:cs="宋体"/>
                <w:bCs w:val="0"/>
                <w:color w:val="auto"/>
                <w:sz w:val="21"/>
                <w:szCs w:val="21"/>
                <w:highlight w:val="none"/>
                <w:lang w:eastAsia="zh-CN"/>
              </w:rPr>
              <w:t>5</w:t>
            </w:r>
            <w:r>
              <w:rPr>
                <w:rFonts w:hint="eastAsia" w:ascii="宋体" w:hAnsi="宋体" w:eastAsia="宋体" w:cs="宋体"/>
                <w:bCs w:val="0"/>
                <w:color w:val="auto"/>
                <w:sz w:val="21"/>
                <w:szCs w:val="21"/>
                <w:highlight w:val="none"/>
                <w:lang w:val="en-US" w:eastAsia="zh-CN"/>
              </w:rPr>
              <w:t>0</w:t>
            </w:r>
            <w:r>
              <w:rPr>
                <w:rFonts w:hint="eastAsia" w:ascii="宋体" w:hAnsi="宋体" w:eastAsia="宋体" w:cs="宋体"/>
                <w:bCs w:val="0"/>
                <w:color w:val="auto"/>
                <w:sz w:val="21"/>
                <w:szCs w:val="21"/>
                <w:highlight w:val="none"/>
              </w:rPr>
              <w:t>个</w:t>
            </w:r>
            <w:r>
              <w:rPr>
                <w:rFonts w:hint="eastAsia" w:ascii="宋体" w:hAnsi="宋体" w:eastAsia="宋体" w:cs="宋体"/>
                <w:bCs w:val="0"/>
                <w:color w:val="auto"/>
                <w:sz w:val="21"/>
                <w:szCs w:val="21"/>
                <w:highlight w:val="none"/>
                <w:lang w:val="en-US" w:eastAsia="zh-CN"/>
              </w:rPr>
              <w:t>日历天</w:t>
            </w:r>
            <w:r>
              <w:rPr>
                <w:rFonts w:hint="eastAsia" w:ascii="宋体" w:hAnsi="宋体" w:eastAsia="宋体" w:cs="宋体"/>
                <w:bCs w:val="0"/>
                <w:color w:val="auto"/>
                <w:sz w:val="21"/>
                <w:szCs w:val="21"/>
                <w:highlight w:val="none"/>
              </w:rPr>
              <w:t>，其中：</w:t>
            </w:r>
          </w:p>
          <w:p>
            <w:pPr>
              <w:spacing w:line="360" w:lineRule="auto"/>
              <w:ind w:firstLine="0"/>
              <w:outlineLvl w:val="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t>1、现场查勘及现场取样检测工作：</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0个</w:t>
            </w:r>
            <w:r>
              <w:rPr>
                <w:rFonts w:hint="eastAsia" w:ascii="宋体" w:hAnsi="宋体" w:eastAsia="宋体" w:cs="宋体"/>
                <w:bCs w:val="0"/>
                <w:color w:val="auto"/>
                <w:sz w:val="21"/>
                <w:szCs w:val="21"/>
                <w:highlight w:val="none"/>
                <w:lang w:val="en-US" w:eastAsia="zh-CN"/>
              </w:rPr>
              <w:t>日历天内完成</w:t>
            </w:r>
            <w:r>
              <w:rPr>
                <w:rFonts w:hint="eastAsia" w:ascii="宋体" w:hAnsi="宋体" w:eastAsia="宋体" w:cs="宋体"/>
                <w:color w:val="auto"/>
                <w:sz w:val="21"/>
                <w:szCs w:val="21"/>
                <w:highlight w:val="none"/>
              </w:rPr>
              <w:t>（视现场情况由</w:t>
            </w:r>
            <w:r>
              <w:rPr>
                <w:rFonts w:hint="eastAsia" w:ascii="宋体" w:hAnsi="宋体" w:eastAsia="宋体" w:cs="宋体"/>
                <w:color w:val="auto"/>
                <w:sz w:val="21"/>
                <w:szCs w:val="21"/>
                <w:highlight w:val="none"/>
                <w:lang w:eastAsia="zh-CN"/>
              </w:rPr>
              <w:t>招标人、投标人</w:t>
            </w:r>
            <w:r>
              <w:rPr>
                <w:rFonts w:hint="eastAsia" w:ascii="宋体" w:hAnsi="宋体" w:eastAsia="宋体" w:cs="宋体"/>
                <w:color w:val="auto"/>
                <w:sz w:val="21"/>
                <w:szCs w:val="21"/>
                <w:highlight w:val="none"/>
              </w:rPr>
              <w:t>共同协商而定）；</w:t>
            </w:r>
          </w:p>
          <w:p>
            <w:pPr>
              <w:widowControl/>
              <w:spacing w:line="360" w:lineRule="auto"/>
              <w:ind w:firstLine="0" w:firstLineChars="0"/>
              <w:outlineLvl w:val="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2、检测数据分析及鉴定报告编写：</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0个</w:t>
            </w:r>
            <w:r>
              <w:rPr>
                <w:rFonts w:hint="eastAsia" w:ascii="宋体" w:hAnsi="宋体" w:eastAsia="宋体" w:cs="宋体"/>
                <w:bCs w:val="0"/>
                <w:color w:val="auto"/>
                <w:sz w:val="21"/>
                <w:szCs w:val="21"/>
                <w:highlight w:val="none"/>
                <w:lang w:val="en-US" w:eastAsia="zh-CN"/>
              </w:rPr>
              <w:t>日历天内完成</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i w:val="0"/>
                <w:iCs w:val="0"/>
                <w:caps w:val="0"/>
                <w:color w:val="auto"/>
                <w:spacing w:val="0"/>
                <w:sz w:val="21"/>
                <w:szCs w:val="21"/>
                <w:highlight w:val="none"/>
                <w:shd w:val="clear"/>
              </w:rPr>
              <w:t>已在项目所在地的市级或区级房屋行政主管部门办理</w:t>
            </w:r>
            <w:r>
              <w:rPr>
                <w:rFonts w:hint="eastAsia" w:ascii="宋体" w:hAnsi="宋体" w:eastAsia="宋体" w:cs="宋体"/>
                <w:i w:val="0"/>
                <w:iCs w:val="0"/>
                <w:caps w:val="0"/>
                <w:color w:val="auto"/>
                <w:spacing w:val="0"/>
                <w:sz w:val="21"/>
                <w:szCs w:val="21"/>
                <w:highlight w:val="none"/>
                <w:shd w:val="clear"/>
                <w:lang w:eastAsia="zh-CN"/>
              </w:rPr>
              <w:t>房屋结构安全性及抗震鉴定</w:t>
            </w:r>
            <w:r>
              <w:rPr>
                <w:rFonts w:hint="eastAsia" w:ascii="宋体" w:hAnsi="宋体" w:eastAsia="宋体" w:cs="宋体"/>
                <w:i w:val="0"/>
                <w:iCs w:val="0"/>
                <w:caps w:val="0"/>
                <w:color w:val="auto"/>
                <w:spacing w:val="0"/>
                <w:sz w:val="21"/>
                <w:szCs w:val="21"/>
                <w:highlight w:val="none"/>
                <w:shd w:val="clear"/>
              </w:rPr>
              <w:t>有效备案（须提供项目所在地的市级或区级房屋行政主管部门官网查询结果网页截图及链接路径）</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为二级或以上注册</w:t>
            </w:r>
            <w:r>
              <w:rPr>
                <w:rFonts w:hint="eastAsia" w:ascii="宋体" w:hAnsi="宋体" w:eastAsia="宋体" w:cs="宋体"/>
                <w:i w:val="0"/>
                <w:iCs w:val="0"/>
                <w:caps w:val="0"/>
                <w:color w:val="auto"/>
                <w:spacing w:val="0"/>
                <w:sz w:val="21"/>
                <w:szCs w:val="21"/>
                <w:highlight w:val="none"/>
                <w:shd w:val="clear" w:color="auto" w:fill="auto"/>
                <w:lang w:eastAsia="zh-CN"/>
              </w:rPr>
              <w:t>结构工程师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color="auto" w:fill="auto"/>
              </w:rPr>
              <w:t>工程</w:t>
            </w:r>
            <w:r>
              <w:rPr>
                <w:rFonts w:hint="eastAsia" w:ascii="宋体" w:hAnsi="宋体" w:eastAsia="宋体" w:cs="宋体"/>
                <w:i w:val="0"/>
                <w:iCs w:val="0"/>
                <w:caps w:val="0"/>
                <w:color w:val="auto"/>
                <w:spacing w:val="0"/>
                <w:sz w:val="21"/>
                <w:szCs w:val="21"/>
                <w:highlight w:val="none"/>
                <w:shd w:val="clear" w:color="auto" w:fill="auto"/>
                <w:lang w:eastAsia="zh-CN"/>
              </w:rPr>
              <w:t>类专业</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val="0"/>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房屋结构安全性及抗震鉴定费收费单价限价为20元/㎡，鉴定面积暂定为20000.00㎡，</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eastAsia="zh-CN"/>
              </w:rPr>
              <w:t>总价</w:t>
            </w:r>
            <w:r>
              <w:rPr>
                <w:rFonts w:hint="eastAsia" w:ascii="宋体" w:hAnsi="宋体" w:eastAsia="宋体" w:cs="宋体"/>
                <w:color w:val="auto"/>
                <w:sz w:val="21"/>
                <w:szCs w:val="21"/>
                <w:highlight w:val="none"/>
              </w:rPr>
              <w:t>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lang w:val="en-US" w:eastAsia="zh-CN"/>
              </w:rPr>
              <w:t>400000.00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（大写：人民币肆拾万元整）。</w:t>
            </w:r>
          </w:p>
          <w:p>
            <w:pPr>
              <w:pStyle w:val="2"/>
              <w:widowControl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投标单位自行报价，单价报价不能超过</w:t>
            </w:r>
            <w:r>
              <w:rPr>
                <w:rFonts w:hint="eastAsia" w:ascii="宋体" w:hAnsi="宋体" w:eastAsia="宋体" w:cs="宋体"/>
                <w:b w:val="0"/>
                <w:bCs w:val="0"/>
                <w:color w:val="auto"/>
                <w:sz w:val="21"/>
                <w:szCs w:val="21"/>
                <w:highlight w:val="none"/>
                <w:lang w:val="en-US" w:eastAsia="zh-CN"/>
              </w:rPr>
              <w:t>收费单价限价，</w:t>
            </w:r>
            <w:r>
              <w:rPr>
                <w:rFonts w:hint="eastAsia" w:ascii="宋体" w:hAnsi="宋体" w:eastAsia="宋体" w:cs="宋体"/>
                <w:color w:val="auto"/>
                <w:kern w:val="2"/>
                <w:sz w:val="21"/>
                <w:szCs w:val="21"/>
                <w:highlight w:val="none"/>
                <w:lang w:val="en-US" w:eastAsia="zh-CN" w:bidi="ar-SA"/>
              </w:rPr>
              <w:t>投标总报价不能超过招标总价控制价，否则按废标处理。小数点后保留二位小数，第三位小数四舍五入。</w:t>
            </w:r>
            <w:r>
              <w:rPr>
                <w:rFonts w:hint="eastAsia" w:ascii="宋体" w:hAnsi="宋体" w:eastAsia="宋体" w:cs="宋体"/>
                <w:color w:val="auto"/>
                <w:sz w:val="21"/>
                <w:szCs w:val="21"/>
                <w:highlight w:val="none"/>
              </w:rPr>
              <w:t>最终鉴定费用结算价以实际鉴定面积和</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单价计算得出</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2"/>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w:t>
            </w:r>
            <w:r>
              <w:rPr>
                <w:rFonts w:hint="eastAsia" w:ascii="宋体" w:hAnsi="宋体" w:eastAsia="宋体" w:cs="宋体"/>
                <w:color w:val="auto"/>
                <w:sz w:val="21"/>
                <w:szCs w:val="21"/>
                <w:highlight w:val="none"/>
                <w:u w:val="none"/>
                <w:lang w:val="en-US" w:eastAsia="zh-CN"/>
              </w:rPr>
              <w:t>月</w:t>
            </w:r>
            <w:r>
              <w:rPr>
                <w:rFonts w:hint="eastAsia" w:ascii="宋体" w:hAnsi="宋体" w:eastAsia="宋体" w:cs="宋体"/>
                <w:color w:val="auto"/>
                <w:sz w:val="21"/>
                <w:szCs w:val="21"/>
                <w:highlight w:val="none"/>
                <w:u w:val="none"/>
                <w:lang w:val="en-US" w:eastAsia="zh-CN"/>
              </w:rPr>
              <w:t>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南沙联检大楼（旧）房屋结构安全性及抗震鉴定</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2"/>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2"/>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p>
    <w:p>
      <w:pPr>
        <w:pStyle w:val="2"/>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4"/>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sz w:val="32"/>
          <w:szCs w:val="32"/>
          <w:highlight w:val="none"/>
        </w:rPr>
        <w:t>南沙联检大楼项目位于广州南沙开发区进港大道与港前大道交叉口西南面地段，主要划分为新联检大楼和旧联检大楼两部分。其中旧联检大楼分为海关大楼（8层，总建筑面积约7,974㎡）、三检大楼（9层，总建筑面积约5,893㎡）、边检大楼（11层，总建筑面积约5,913㎡），使用单位为海关、海事、边检等单位。用途均为办公。</w:t>
      </w:r>
    </w:p>
    <w:p>
      <w:pPr>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19"/>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pacing w:val="0"/>
          <w:sz w:val="32"/>
          <w:szCs w:val="32"/>
          <w:highlight w:val="none"/>
          <w:lang w:val="en-US" w:eastAsia="zh-CN"/>
        </w:rPr>
        <w:t>为确定</w:t>
      </w:r>
      <w:r>
        <w:rPr>
          <w:rFonts w:hint="eastAsia" w:ascii="仿宋_GB2312" w:hAnsi="仿宋_GB2312" w:eastAsia="仿宋_GB2312" w:cs="仿宋_GB2312"/>
          <w:color w:val="auto"/>
          <w:sz w:val="32"/>
          <w:szCs w:val="32"/>
          <w:highlight w:val="none"/>
          <w:lang w:eastAsia="zh-CN"/>
        </w:rPr>
        <w:t>南沙联检大楼（旧）房屋现状结构安全性</w:t>
      </w:r>
      <w:r>
        <w:rPr>
          <w:rFonts w:hint="eastAsia" w:ascii="仿宋_GB2312" w:hAnsi="仿宋_GB2312" w:eastAsia="仿宋_GB2312" w:cs="仿宋_GB2312"/>
          <w:color w:val="auto"/>
          <w:sz w:val="32"/>
          <w:szCs w:val="32"/>
          <w:highlight w:val="none"/>
          <w:lang w:val="en-US" w:eastAsia="zh-CN"/>
        </w:rPr>
        <w:t>状况，进行</w:t>
      </w:r>
      <w:r>
        <w:rPr>
          <w:rFonts w:hint="eastAsia" w:ascii="仿宋_GB2312" w:hAnsi="仿宋_GB2312" w:eastAsia="仿宋_GB2312" w:cs="仿宋_GB2312"/>
          <w:color w:val="auto"/>
          <w:sz w:val="32"/>
          <w:szCs w:val="32"/>
          <w:highlight w:val="none"/>
          <w:lang w:eastAsia="zh-CN"/>
        </w:rPr>
        <w:t>房屋结构安全性及抗震鉴定，</w:t>
      </w:r>
      <w:r>
        <w:rPr>
          <w:rFonts w:hint="eastAsia" w:ascii="仿宋_GB2312" w:hAnsi="仿宋_GB2312" w:eastAsia="仿宋_GB2312" w:cs="仿宋_GB2312"/>
          <w:bCs/>
          <w:color w:val="auto"/>
          <w:sz w:val="32"/>
          <w:szCs w:val="32"/>
          <w:highlight w:val="none"/>
          <w:lang w:eastAsia="zh-CN"/>
        </w:rPr>
        <w:t>具体工作包括</w:t>
      </w:r>
      <w:r>
        <w:rPr>
          <w:rFonts w:hint="eastAsia" w:ascii="仿宋_GB2312" w:hAnsi="仿宋_GB2312" w:eastAsia="仿宋_GB2312" w:cs="仿宋_GB2312"/>
          <w:bCs/>
          <w:color w:val="auto"/>
          <w:sz w:val="32"/>
          <w:szCs w:val="32"/>
          <w:highlight w:val="none"/>
          <w:lang w:val="en-US" w:eastAsia="zh-CN"/>
        </w:rPr>
        <w:t>但不限于</w:t>
      </w:r>
      <w:r>
        <w:rPr>
          <w:rFonts w:hint="eastAsia" w:ascii="仿宋_GB2312" w:hAnsi="仿宋_GB2312" w:eastAsia="仿宋_GB2312" w:cs="仿宋_GB2312"/>
          <w:bCs/>
          <w:color w:val="auto"/>
          <w:sz w:val="32"/>
          <w:szCs w:val="32"/>
          <w:highlight w:val="none"/>
          <w:lang w:eastAsia="zh-CN"/>
        </w:rPr>
        <w:t>：</w:t>
      </w:r>
    </w:p>
    <w:p>
      <w:pPr>
        <w:pStyle w:val="19"/>
        <w:numPr>
          <w:ilvl w:val="0"/>
          <w:numId w:val="5"/>
        </w:numPr>
        <w:ind w:firstLine="640" w:firstLineChars="20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收集相关地质资料、设计图纸、施工资料及调查房屋的使用历史等。</w:t>
      </w:r>
    </w:p>
    <w:p>
      <w:pPr>
        <w:pStyle w:val="19"/>
        <w:numPr>
          <w:ilvl w:val="0"/>
          <w:numId w:val="5"/>
        </w:numPr>
        <w:ind w:firstLine="640" w:firstLineChars="200"/>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对房屋进行现场测量，绘制（或复核）结构平面图。</w:t>
      </w:r>
    </w:p>
    <w:p>
      <w:pPr>
        <w:pStyle w:val="19"/>
        <w:numPr>
          <w:ilvl w:val="0"/>
          <w:numId w:val="5"/>
        </w:numPr>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现场查勘及现场取样检测工作</w:t>
      </w:r>
      <w:r>
        <w:rPr>
          <w:rFonts w:hint="eastAsia" w:ascii="仿宋_GB2312" w:hAnsi="仿宋_GB2312" w:eastAsia="仿宋_GB2312" w:cs="仿宋_GB2312"/>
          <w:bCs/>
          <w:color w:val="auto"/>
          <w:sz w:val="32"/>
          <w:szCs w:val="32"/>
          <w:highlight w:val="none"/>
          <w:lang w:eastAsia="zh-CN"/>
        </w:rPr>
        <w:t>（含地基基础、上部承重结构、围护系统、现场</w:t>
      </w:r>
      <w:r>
        <w:rPr>
          <w:rFonts w:hint="eastAsia" w:ascii="仿宋_GB2312" w:hAnsi="仿宋_GB2312" w:eastAsia="仿宋_GB2312" w:cs="仿宋_GB2312"/>
          <w:color w:val="auto"/>
          <w:sz w:val="32"/>
          <w:szCs w:val="32"/>
          <w:highlight w:val="none"/>
        </w:rPr>
        <w:t>鉴定产生的孔洞修复</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bCs/>
          <w:color w:val="auto"/>
          <w:sz w:val="32"/>
          <w:szCs w:val="32"/>
          <w:highlight w:val="none"/>
          <w:lang w:eastAsia="zh-CN"/>
        </w:rPr>
        <w:t>）。</w:t>
      </w:r>
    </w:p>
    <w:p>
      <w:pPr>
        <w:pStyle w:val="19"/>
        <w:numPr>
          <w:ilvl w:val="0"/>
          <w:numId w:val="5"/>
        </w:numPr>
        <w:ind w:firstLine="640" w:firstLineChars="200"/>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z w:val="32"/>
          <w:szCs w:val="32"/>
          <w:highlight w:val="none"/>
        </w:rPr>
        <w:t>检测数据分析及鉴定报告编写</w:t>
      </w:r>
      <w:r>
        <w:rPr>
          <w:rFonts w:hint="eastAsia" w:ascii="仿宋_GB2312" w:hAnsi="仿宋_GB2312" w:eastAsia="仿宋_GB2312" w:cs="仿宋_GB2312"/>
          <w:color w:val="auto"/>
          <w:sz w:val="32"/>
          <w:szCs w:val="32"/>
          <w:highlight w:val="none"/>
          <w:lang w:eastAsia="zh-CN"/>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南沙联检大楼（旧）房屋结构安全性及抗震鉴定</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南沙联检大楼（旧）房屋结构安全性及抗震鉴定</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南沙联检大楼（旧）房屋结构安全性及抗震鉴定</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459403394"/>
      <w:bookmarkEnd w:id="12"/>
      <w:bookmarkStart w:id="13" w:name="_Toc199647675"/>
      <w:bookmarkEnd w:id="13"/>
      <w:bookmarkStart w:id="14" w:name="_Toc415728297"/>
      <w:bookmarkEnd w:id="14"/>
      <w:bookmarkStart w:id="15" w:name="_Toc196130110"/>
      <w:bookmarkEnd w:id="15"/>
      <w:bookmarkStart w:id="16" w:name="_Toc197235848"/>
      <w:bookmarkEnd w:id="16"/>
      <w:bookmarkStart w:id="17" w:name="_Toc196130013"/>
      <w:bookmarkEnd w:id="17"/>
      <w:bookmarkStart w:id="18" w:name="_Toc41822703"/>
      <w:bookmarkEnd w:id="18"/>
      <w:bookmarkStart w:id="19" w:name="_Toc326909213"/>
      <w:bookmarkEnd w:id="19"/>
      <w:bookmarkStart w:id="20" w:name="_Toc41583350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833504"/>
      <w:bookmarkEnd w:id="24"/>
      <w:bookmarkStart w:id="25" w:name="_Toc197235849"/>
      <w:bookmarkEnd w:id="25"/>
      <w:bookmarkStart w:id="26" w:name="_Toc459403395"/>
      <w:bookmarkEnd w:id="26"/>
      <w:bookmarkStart w:id="27" w:name="_Toc199647676"/>
      <w:bookmarkEnd w:id="27"/>
      <w:bookmarkStart w:id="28" w:name="_Toc196037098"/>
      <w:bookmarkEnd w:id="28"/>
      <w:bookmarkStart w:id="29" w:name="_Toc196036942"/>
      <w:bookmarkEnd w:id="29"/>
      <w:bookmarkStart w:id="30" w:name="_Toc326909214"/>
      <w:bookmarkEnd w:id="30"/>
      <w:bookmarkStart w:id="31" w:name="_Toc196130014"/>
      <w:bookmarkEnd w:id="31"/>
      <w:bookmarkStart w:id="32" w:name="_Toc415728298"/>
      <w:bookmarkEnd w:id="32"/>
      <w:bookmarkStart w:id="33" w:name="_Toc196130111"/>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南沙联检大楼（旧）房屋结构安全性及抗震鉴定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投标单价</w:t>
            </w:r>
          </w:p>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pStyle w:val="2"/>
              <w:autoSpaceDE w:val="0"/>
              <w:autoSpaceDN w:val="0"/>
              <w:adjustRightInd w:val="0"/>
              <w:snapToGrid w:val="0"/>
              <w:spacing w:line="360" w:lineRule="auto"/>
              <w:jc w:val="left"/>
              <w:rPr>
                <w:rFonts w:hint="eastAsia" w:ascii="宋体" w:eastAsia="宋体" w:cs="Times New Roman"/>
                <w:color w:val="auto"/>
                <w:highlight w:val="none"/>
                <w:lang w:val="en-US" w:eastAsia="zh-CN"/>
              </w:rPr>
            </w:pPr>
            <w:r>
              <w:rPr>
                <w:rFonts w:hint="eastAsia"/>
                <w:color w:val="auto"/>
                <w:highlight w:val="none"/>
              </w:rPr>
              <w:t>小写：</w:t>
            </w:r>
            <w:r>
              <w:rPr>
                <w:rFonts w:hint="eastAsia"/>
                <w:color w:val="auto"/>
                <w:highlight w:val="none"/>
                <w:lang w:val="en-US" w:eastAsia="zh-CN"/>
              </w:rPr>
              <w:t xml:space="preserve">                                      </w:t>
            </w:r>
            <w:r>
              <w:rPr>
                <w:rFonts w:hint="eastAsia" w:ascii="宋体" w:eastAsia="宋体" w:cs="Times New Roman"/>
                <w:color w:val="auto"/>
                <w:highlight w:val="none"/>
                <w:lang w:val="en-US" w:eastAsia="zh-CN"/>
              </w:rPr>
              <w:t>元/</w:t>
            </w:r>
            <w:r>
              <w:rPr>
                <w:rFonts w:hint="eastAsia" w:ascii="宋体" w:hAnsi="Courier New" w:eastAsia="宋体" w:cs="Times New Roman"/>
                <w:b w:val="0"/>
                <w:bCs w:val="0"/>
                <w:color w:val="auto"/>
                <w:sz w:val="21"/>
                <w:szCs w:val="21"/>
                <w:highlight w:val="none"/>
                <w:lang w:val="en-US" w:eastAsia="zh-CN"/>
              </w:rPr>
              <w:t>㎡</w:t>
            </w:r>
          </w:p>
          <w:p>
            <w:pPr>
              <w:pStyle w:val="2"/>
              <w:autoSpaceDE w:val="0"/>
              <w:autoSpaceDN w:val="0"/>
              <w:adjustRightInd w:val="0"/>
              <w:snapToGrid w:val="0"/>
              <w:spacing w:line="360" w:lineRule="auto"/>
              <w:jc w:val="both"/>
              <w:rPr>
                <w:rFonts w:hint="default"/>
                <w:color w:val="auto"/>
                <w:highlight w:val="none"/>
                <w:lang w:val="en-US" w:eastAsia="zh-CN"/>
              </w:rPr>
            </w:pPr>
            <w:r>
              <w:rPr>
                <w:rFonts w:hint="eastAsia" w:ascii="宋体" w:eastAsia="宋体" w:cs="Times New Roman"/>
                <w:color w:val="auto"/>
                <w:highlight w:val="none"/>
              </w:rPr>
              <w:t>大写：</w:t>
            </w:r>
            <w:r>
              <w:rPr>
                <w:rFonts w:hint="eastAsia" w:ascii="宋体" w:eastAsia="宋体" w:cs="Times New Roman"/>
                <w:color w:val="auto"/>
                <w:highlight w:val="none"/>
                <w:lang w:val="en-US" w:eastAsia="zh-CN"/>
              </w:rPr>
              <w:t xml:space="preserve">                                      元/</w:t>
            </w:r>
            <w:r>
              <w:rPr>
                <w:rFonts w:hint="eastAsia" w:ascii="宋体" w:hAnsi="Courier New"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p>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eastAsia"/>
                <w:color w:val="auto"/>
                <w:highlight w:val="none"/>
                <w:lang w:val="en-US" w:eastAsia="zh-CN"/>
              </w:rPr>
            </w:pPr>
            <w:r>
              <w:rPr>
                <w:rFonts w:hint="eastAsia"/>
                <w:color w:val="auto"/>
                <w:highlight w:val="none"/>
              </w:rPr>
              <w:t>小写：</w:t>
            </w:r>
            <w:r>
              <w:rPr>
                <w:rFonts w:hint="eastAsia"/>
                <w:color w:val="auto"/>
                <w:highlight w:val="none"/>
                <w:lang w:val="en-US" w:eastAsia="zh-CN"/>
              </w:rPr>
              <w:t xml:space="preserve">                                      元</w:t>
            </w:r>
          </w:p>
          <w:p>
            <w:pPr>
              <w:pStyle w:val="2"/>
              <w:spacing w:line="360" w:lineRule="auto"/>
              <w:rPr>
                <w:rFonts w:hint="eastAsia"/>
                <w:color w:val="auto"/>
                <w:highlight w:val="none"/>
                <w:lang w:val="en-US" w:eastAsia="zh-CN"/>
              </w:rPr>
            </w:pPr>
            <w:r>
              <w:rPr>
                <w:rFonts w:hint="eastAsia"/>
                <w:color w:val="auto"/>
                <w:highlight w:val="none"/>
              </w:rPr>
              <w:t>大写：</w:t>
            </w:r>
            <w:r>
              <w:rPr>
                <w:rFonts w:hint="eastAsia"/>
                <w:color w:val="auto"/>
                <w:highlight w:val="none"/>
                <w:lang w:val="en-US" w:eastAsia="zh-CN"/>
              </w:rPr>
              <w:t xml:space="preserve">                                      元</w:t>
            </w:r>
          </w:p>
          <w:p>
            <w:pPr>
              <w:spacing w:line="360" w:lineRule="auto"/>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val="0"/>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投标单位自行报价，单价报价不能超过</w:t>
      </w:r>
      <w:r>
        <w:rPr>
          <w:rFonts w:hint="eastAsia" w:ascii="宋体" w:hAnsi="宋体" w:eastAsia="宋体" w:cs="宋体"/>
          <w:b w:val="0"/>
          <w:bCs/>
          <w:color w:val="auto"/>
          <w:sz w:val="21"/>
          <w:szCs w:val="21"/>
          <w:highlight w:val="none"/>
          <w:lang w:val="en-US" w:eastAsia="zh-CN"/>
        </w:rPr>
        <w:t>收费单价限价，</w:t>
      </w:r>
      <w:r>
        <w:rPr>
          <w:rFonts w:hint="eastAsia" w:ascii="宋体" w:hAnsi="宋体" w:eastAsia="宋体" w:cs="宋体"/>
          <w:bCs/>
          <w:color w:val="auto"/>
          <w:kern w:val="2"/>
          <w:sz w:val="21"/>
          <w:szCs w:val="21"/>
          <w:highlight w:val="none"/>
          <w:lang w:val="en-US" w:eastAsia="zh-CN" w:bidi="ar-SA"/>
        </w:rPr>
        <w:t>投标总报价不能超过招标</w:t>
      </w:r>
      <w:r>
        <w:rPr>
          <w:rFonts w:hint="eastAsia" w:hAnsi="宋体" w:cs="宋体"/>
          <w:bCs/>
          <w:color w:val="auto"/>
          <w:kern w:val="2"/>
          <w:sz w:val="21"/>
          <w:szCs w:val="21"/>
          <w:highlight w:val="none"/>
          <w:lang w:val="en-US" w:eastAsia="zh-CN" w:bidi="ar-SA"/>
        </w:rPr>
        <w:t>总价</w:t>
      </w:r>
      <w:r>
        <w:rPr>
          <w:rFonts w:hint="eastAsia" w:ascii="宋体" w:hAnsi="宋体" w:eastAsia="宋体" w:cs="宋体"/>
          <w:bCs/>
          <w:color w:val="auto"/>
          <w:kern w:val="2"/>
          <w:sz w:val="21"/>
          <w:szCs w:val="21"/>
          <w:highlight w:val="none"/>
          <w:lang w:val="en-US" w:eastAsia="zh-CN" w:bidi="ar-SA"/>
        </w:rPr>
        <w:t>控制价，否则按废标处理。小数点后保留二位小数，第三位小数四舍五入。</w:t>
      </w:r>
      <w:r>
        <w:rPr>
          <w:rFonts w:hint="eastAsia" w:ascii="宋体" w:hAnsi="宋体" w:eastAsia="宋体" w:cs="宋体"/>
          <w:bCs/>
          <w:color w:val="auto"/>
          <w:sz w:val="21"/>
          <w:szCs w:val="21"/>
          <w:highlight w:val="none"/>
        </w:rPr>
        <w:t>最终鉴定费用结算价以实际鉴定面积和</w:t>
      </w:r>
      <w:r>
        <w:rPr>
          <w:rFonts w:hint="eastAsia" w:ascii="宋体" w:hAnsi="宋体" w:eastAsia="宋体" w:cs="宋体"/>
          <w:bCs/>
          <w:color w:val="auto"/>
          <w:sz w:val="21"/>
          <w:szCs w:val="21"/>
          <w:highlight w:val="none"/>
          <w:lang w:eastAsia="zh-CN"/>
        </w:rPr>
        <w:t>中标</w:t>
      </w:r>
      <w:r>
        <w:rPr>
          <w:rFonts w:hint="eastAsia" w:ascii="宋体" w:hAnsi="宋体" w:eastAsia="宋体" w:cs="宋体"/>
          <w:bCs/>
          <w:color w:val="auto"/>
          <w:sz w:val="21"/>
          <w:szCs w:val="21"/>
          <w:highlight w:val="none"/>
        </w:rPr>
        <w:t>单价计算得出</w:t>
      </w:r>
      <w:r>
        <w:rPr>
          <w:rFonts w:hint="eastAsia" w:ascii="宋体" w:hAnsi="宋体" w:eastAsia="宋体" w:cs="宋体"/>
          <w:bCs/>
          <w:color w:val="auto"/>
          <w:sz w:val="21"/>
          <w:szCs w:val="21"/>
          <w:highlight w:val="none"/>
          <w:lang w:eastAsia="zh-CN"/>
        </w:rPr>
        <w:t>。</w:t>
      </w:r>
    </w:p>
    <w:p>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noWrap w:val="0"/>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noWrap w:val="0"/>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12</w:t>
            </w:r>
            <w:r>
              <w:rPr>
                <w:rFonts w:hint="eastAsia" w:ascii="宋体" w:hAnsi="宋体" w:eastAsia="宋体" w:cs="宋体"/>
                <w:color w:val="auto"/>
                <w:kern w:val="0"/>
                <w:szCs w:val="21"/>
                <w:highlight w:val="none"/>
              </w:rPr>
              <w:t>分</w:t>
            </w:r>
          </w:p>
        </w:tc>
        <w:tc>
          <w:tcPr>
            <w:tcW w:w="9797" w:type="dxa"/>
            <w:noWrap w:val="0"/>
            <w:vAlign w:val="center"/>
          </w:tcPr>
          <w:p>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投标人2018年1月1日至今完成过25万或以上的房屋鉴定相关业绩的，每有一个项目业绩得2分，本项最高得12分。 </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（体现工作内容及费用的页面、盖章页等）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noWrap w:val="0"/>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noWrap w:val="0"/>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noWrap w:val="0"/>
            <w:vAlign w:val="center"/>
          </w:tcPr>
          <w:p>
            <w:pPr>
              <w:spacing w:line="36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5分</w:t>
            </w:r>
          </w:p>
        </w:tc>
        <w:tc>
          <w:tcPr>
            <w:tcW w:w="979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pPr>
              <w:pStyle w:val="2"/>
              <w:spacing w:line="36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noWrap w:val="0"/>
            <w:vAlign w:val="center"/>
          </w:tcPr>
          <w:p>
            <w:pPr>
              <w:spacing w:line="36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6分</w:t>
            </w:r>
          </w:p>
        </w:tc>
        <w:tc>
          <w:tcPr>
            <w:tcW w:w="9797" w:type="dxa"/>
            <w:noWrap w:val="0"/>
            <w:vAlign w:val="center"/>
          </w:tcPr>
          <w:p>
            <w:pPr>
              <w:adjustRightInd w:val="0"/>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8</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具有</w:t>
            </w:r>
            <w:r>
              <w:rPr>
                <w:rFonts w:hint="eastAsia" w:ascii="宋体" w:hAnsi="宋体" w:eastAsia="宋体" w:cs="宋体"/>
                <w:color w:val="auto"/>
                <w:spacing w:val="-5"/>
                <w:sz w:val="21"/>
                <w:szCs w:val="21"/>
                <w:highlight w:val="none"/>
                <w:lang w:eastAsia="zh-CN"/>
              </w:rPr>
              <w:t>一级注册</w:t>
            </w:r>
            <w:r>
              <w:rPr>
                <w:rFonts w:hint="eastAsia" w:ascii="宋体" w:hAnsi="宋体" w:eastAsia="宋体" w:cs="宋体"/>
                <w:i w:val="0"/>
                <w:iCs w:val="0"/>
                <w:caps w:val="0"/>
                <w:color w:val="auto"/>
                <w:spacing w:val="-5"/>
                <w:sz w:val="21"/>
                <w:szCs w:val="21"/>
                <w:highlight w:val="none"/>
                <w:shd w:val="clear" w:color="auto" w:fill="auto"/>
                <w:lang w:eastAsia="zh-CN"/>
              </w:rPr>
              <w:t>结构工程师的</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color="auto" w:fill="auto"/>
                <w:lang w:val="en-US" w:eastAsia="zh-CN"/>
              </w:rPr>
              <w:t>得3分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i w:val="0"/>
                <w:iCs w:val="0"/>
                <w:caps w:val="0"/>
                <w:color w:val="auto"/>
                <w:spacing w:val="-5"/>
                <w:sz w:val="21"/>
                <w:szCs w:val="21"/>
                <w:highlight w:val="none"/>
                <w:shd w:val="clear"/>
                <w:lang w:val="en-US" w:eastAsia="zh-CN"/>
              </w:rPr>
              <w:t>2、</w:t>
            </w:r>
            <w:r>
              <w:rPr>
                <w:rFonts w:hint="eastAsia" w:ascii="宋体" w:hAnsi="宋体" w:eastAsia="宋体" w:cs="宋体"/>
                <w:i w:val="0"/>
                <w:iCs w:val="0"/>
                <w:caps w:val="0"/>
                <w:color w:val="auto"/>
                <w:spacing w:val="-5"/>
                <w:sz w:val="21"/>
                <w:szCs w:val="21"/>
                <w:highlight w:val="none"/>
                <w:shd w:val="clear" w:color="auto" w:fill="auto"/>
                <w:lang w:eastAsia="zh-CN"/>
              </w:rPr>
              <w:t>具有</w:t>
            </w:r>
            <w:r>
              <w:rPr>
                <w:rFonts w:hint="eastAsia" w:ascii="宋体" w:hAnsi="宋体" w:eastAsia="宋体" w:cs="宋体"/>
                <w:i w:val="0"/>
                <w:iCs w:val="0"/>
                <w:caps w:val="0"/>
                <w:color w:val="auto"/>
                <w:spacing w:val="-5"/>
                <w:sz w:val="21"/>
                <w:szCs w:val="21"/>
                <w:highlight w:val="none"/>
                <w:shd w:val="clear" w:color="auto" w:fill="auto"/>
              </w:rPr>
              <w:t>工程</w:t>
            </w:r>
            <w:r>
              <w:rPr>
                <w:rFonts w:hint="eastAsia" w:ascii="宋体" w:hAnsi="宋体" w:eastAsia="宋体" w:cs="宋体"/>
                <w:i w:val="0"/>
                <w:iCs w:val="0"/>
                <w:caps w:val="0"/>
                <w:color w:val="auto"/>
                <w:spacing w:val="-5"/>
                <w:sz w:val="21"/>
                <w:szCs w:val="21"/>
                <w:highlight w:val="none"/>
                <w:shd w:val="clear" w:color="auto" w:fill="auto"/>
                <w:lang w:eastAsia="zh-CN"/>
              </w:rPr>
              <w:t>类专业</w:t>
            </w:r>
            <w:r>
              <w:rPr>
                <w:rFonts w:hint="eastAsia" w:ascii="宋体" w:hAnsi="宋体" w:eastAsia="宋体" w:cs="宋体"/>
                <w:color w:val="auto"/>
                <w:spacing w:val="-5"/>
                <w:sz w:val="21"/>
                <w:szCs w:val="21"/>
                <w:highlight w:val="none"/>
                <w:lang w:val="en-US" w:eastAsia="zh-CN"/>
              </w:rPr>
              <w:t>高</w:t>
            </w:r>
            <w:r>
              <w:rPr>
                <w:rFonts w:hint="eastAsia" w:ascii="宋体" w:hAnsi="宋体" w:eastAsia="宋体" w:cs="宋体"/>
                <w:color w:val="auto"/>
                <w:spacing w:val="-5"/>
                <w:sz w:val="21"/>
                <w:szCs w:val="21"/>
                <w:highlight w:val="none"/>
                <w:lang w:eastAsia="zh-CN"/>
              </w:rPr>
              <w:t>级或以上工程师职称的，得</w:t>
            </w:r>
            <w:r>
              <w:rPr>
                <w:rFonts w:hint="eastAsia" w:ascii="宋体" w:hAnsi="宋体" w:eastAsia="宋体" w:cs="宋体"/>
                <w:color w:val="auto"/>
                <w:spacing w:val="-5"/>
                <w:sz w:val="21"/>
                <w:szCs w:val="21"/>
                <w:highlight w:val="none"/>
                <w:lang w:val="en-US" w:eastAsia="zh-CN"/>
              </w:rPr>
              <w:t>2分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lang w:val="en-US" w:eastAsia="zh-CN"/>
              </w:rPr>
              <w:t>7</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noWrap w:val="0"/>
            <w:vAlign w:val="center"/>
          </w:tcPr>
          <w:p>
            <w:pPr>
              <w:jc w:val="center"/>
              <w:rPr>
                <w:rFonts w:hint="eastAsia" w:ascii="宋体" w:hAnsi="宋体" w:eastAsia="宋体" w:cs="宋体"/>
                <w:color w:val="auto"/>
                <w:spacing w:val="-5"/>
                <w:szCs w:val="21"/>
                <w:highlight w:val="none"/>
              </w:rPr>
            </w:pP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shd w:val="clear" w:color="auto" w:fill="auto"/>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i w:val="0"/>
                <w:iCs w:val="0"/>
                <w:caps w:val="0"/>
                <w:color w:val="auto"/>
                <w:spacing w:val="-5"/>
                <w:sz w:val="21"/>
                <w:szCs w:val="21"/>
                <w:highlight w:val="none"/>
                <w:shd w:val="clear" w:color="auto" w:fill="auto"/>
              </w:rPr>
              <w:t>工程</w:t>
            </w:r>
            <w:r>
              <w:rPr>
                <w:rFonts w:hint="eastAsia" w:ascii="宋体" w:hAnsi="宋体" w:eastAsia="宋体" w:cs="宋体"/>
                <w:i w:val="0"/>
                <w:iCs w:val="0"/>
                <w:caps w:val="0"/>
                <w:color w:val="auto"/>
                <w:spacing w:val="-5"/>
                <w:sz w:val="21"/>
                <w:szCs w:val="21"/>
                <w:highlight w:val="none"/>
                <w:shd w:val="clear" w:color="auto" w:fill="auto"/>
                <w:lang w:eastAsia="zh-CN"/>
              </w:rPr>
              <w:t>类专业</w:t>
            </w:r>
            <w:r>
              <w:rPr>
                <w:rFonts w:hint="eastAsia" w:ascii="宋体" w:hAnsi="宋体" w:eastAsia="宋体" w:cs="宋体"/>
                <w:color w:val="auto"/>
                <w:spacing w:val="-5"/>
                <w:sz w:val="21"/>
                <w:szCs w:val="21"/>
                <w:highlight w:val="none"/>
                <w:lang w:eastAsia="zh-CN"/>
              </w:rPr>
              <w:t>高级或以上工程师职称的，</w:t>
            </w:r>
            <w:r>
              <w:rPr>
                <w:rFonts w:hint="eastAsia" w:ascii="宋体" w:hAnsi="宋体" w:eastAsia="宋体" w:cs="宋体"/>
                <w:color w:val="auto"/>
                <w:spacing w:val="-5"/>
                <w:szCs w:val="21"/>
                <w:highlight w:val="none"/>
                <w:shd w:val="clear" w:color="auto" w:fill="auto"/>
                <w:lang w:val="en-US" w:eastAsia="zh-CN"/>
              </w:rPr>
              <w:t>得3分。</w:t>
            </w:r>
          </w:p>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 w:val="21"/>
                <w:szCs w:val="21"/>
                <w:highlight w:val="none"/>
                <w:lang w:val="en-US" w:eastAsia="zh-CN"/>
              </w:rPr>
              <w:t>2、具有一级</w:t>
            </w:r>
            <w:r>
              <w:rPr>
                <w:rFonts w:hint="eastAsia" w:ascii="宋体" w:hAnsi="宋体" w:eastAsia="宋体" w:cs="宋体"/>
                <w:color w:val="auto"/>
                <w:spacing w:val="-5"/>
                <w:sz w:val="21"/>
                <w:szCs w:val="21"/>
                <w:highlight w:val="none"/>
                <w:lang w:eastAsia="zh-CN"/>
              </w:rPr>
              <w:t>注册</w:t>
            </w:r>
            <w:r>
              <w:rPr>
                <w:rFonts w:hint="eastAsia" w:ascii="宋体" w:hAnsi="宋体" w:eastAsia="宋体" w:cs="宋体"/>
                <w:i w:val="0"/>
                <w:iCs w:val="0"/>
                <w:caps w:val="0"/>
                <w:color w:val="auto"/>
                <w:spacing w:val="-5"/>
                <w:sz w:val="21"/>
                <w:szCs w:val="21"/>
                <w:highlight w:val="none"/>
                <w:shd w:val="clear" w:color="auto" w:fill="auto"/>
                <w:lang w:eastAsia="zh-CN"/>
              </w:rPr>
              <w:t>结构工程师</w:t>
            </w:r>
            <w:r>
              <w:rPr>
                <w:rFonts w:hint="eastAsia" w:ascii="宋体" w:hAnsi="宋体" w:eastAsia="宋体" w:cs="宋体"/>
                <w:color w:val="auto"/>
                <w:spacing w:val="-5"/>
                <w:szCs w:val="21"/>
                <w:highlight w:val="none"/>
                <w:lang w:val="en-US" w:eastAsia="zh-CN"/>
              </w:rPr>
              <w:t>，或注册土木工程师（岩土）的</w:t>
            </w:r>
            <w:r>
              <w:rPr>
                <w:rFonts w:hint="eastAsia" w:ascii="宋体" w:hAnsi="宋体" w:eastAsia="宋体" w:cs="宋体"/>
                <w:color w:val="auto"/>
                <w:spacing w:val="-5"/>
                <w:sz w:val="21"/>
                <w:szCs w:val="21"/>
                <w:highlight w:val="none"/>
                <w:lang w:eastAsia="zh-CN"/>
              </w:rPr>
              <w:t>，得</w:t>
            </w:r>
            <w:r>
              <w:rPr>
                <w:rFonts w:hint="eastAsia" w:ascii="宋体" w:hAnsi="宋体" w:eastAsia="宋体" w:cs="宋体"/>
                <w:color w:val="auto"/>
                <w:spacing w:val="-5"/>
                <w:sz w:val="21"/>
                <w:szCs w:val="21"/>
                <w:highlight w:val="none"/>
                <w:lang w:val="en-US" w:eastAsia="zh-CN"/>
              </w:rPr>
              <w:t>2分。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shd w:val="clear" w:color="auto" w:fill="auto"/>
                <w:lang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7</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分</w:t>
            </w:r>
          </w:p>
        </w:tc>
        <w:tc>
          <w:tcPr>
            <w:tcW w:w="9797"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包括但不限于</w:t>
            </w:r>
            <w:r>
              <w:rPr>
                <w:rFonts w:hint="eastAsia" w:ascii="宋体" w:hAnsi="宋体" w:eastAsia="宋体" w:cs="宋体"/>
                <w:color w:val="auto"/>
                <w:spacing w:val="-5"/>
                <w:szCs w:val="21"/>
                <w:highlight w:val="none"/>
                <w:lang w:val="en-US" w:eastAsia="zh-CN"/>
              </w:rPr>
              <w:t>对项目的理解程度、重点难点分析情况，</w:t>
            </w:r>
            <w:r>
              <w:rPr>
                <w:rFonts w:hint="eastAsia" w:ascii="宋体" w:hAnsi="宋体" w:eastAsia="宋体" w:cs="宋体"/>
                <w:color w:val="auto"/>
                <w:sz w:val="21"/>
                <w:szCs w:val="21"/>
                <w:highlight w:val="none"/>
              </w:rPr>
              <w:t>现场作业管理方案及措施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安全生产管理方案及措施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现场文明施工方案及措施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工期保证方案及措施、方案及承诺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现场工作人员操作规范实施方案等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投入本项目机械设备情况：</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12-15</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良：</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z w:val="21"/>
                <w:szCs w:val="21"/>
                <w:highlight w:val="none"/>
                <w:lang w:val="en-US" w:eastAsia="zh-CN"/>
              </w:rPr>
              <w:t>9-11</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0-8</w:t>
            </w:r>
            <w:r>
              <w:rPr>
                <w:rFonts w:hint="eastAsia" w:ascii="宋体" w:hAnsi="宋体" w:eastAsia="宋体" w:cs="宋体"/>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不提供方案不得分。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8</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6-8</w:t>
            </w:r>
            <w:r>
              <w:rPr>
                <w:rFonts w:hint="eastAsia" w:ascii="宋体" w:hAnsi="宋体" w:eastAsia="宋体" w:cs="宋体"/>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安全防护制度可行性较低，得0-3分。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7</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5-7</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3-4</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3、差：项目质量措施保证目标不明确、方案简单、可行性较低，质量承诺表述不够清晰、不够合理，得0-2分。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noWrap w:val="0"/>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30分</w:t>
            </w:r>
          </w:p>
        </w:tc>
        <w:tc>
          <w:tcPr>
            <w:tcW w:w="9797" w:type="dxa"/>
            <w:noWrap w:val="0"/>
            <w:vAlign w:val="top"/>
          </w:tcPr>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2、报价等于基准价的，得分=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3、报价高于基准价的，得分=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0-[（报价-基准价）/基准价]×100×1</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0-[（基准价-报价）/基准价]×100×0.5</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noWrap w:val="0"/>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noWrap w:val="0"/>
            <w:vAlign w:val="center"/>
          </w:tcPr>
          <w:p>
            <w:pPr>
              <w:spacing w:line="220" w:lineRule="exact"/>
              <w:ind w:left="-2" w:leftChars="-1"/>
              <w:rPr>
                <w:rFonts w:hint="eastAsia" w:ascii="宋体" w:hAnsi="宋体" w:eastAsia="宋体" w:cs="宋体"/>
                <w:color w:val="auto"/>
                <w:sz w:val="21"/>
                <w:szCs w:val="21"/>
                <w:highlight w:val="none"/>
              </w:rPr>
            </w:pPr>
          </w:p>
        </w:tc>
        <w:tc>
          <w:tcPr>
            <w:tcW w:w="240" w:type="dxa"/>
            <w:noWrap w:val="0"/>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广州南沙经发投资有限公司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南沙联检大楼（旧）房屋结构安全性及抗震鉴定</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，本公司保证上述单位不参与本次投标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1EA18926"/>
    <w:multiLevelType w:val="singleLevel"/>
    <w:tmpl w:val="1EA18926"/>
    <w:lvl w:ilvl="0" w:tentative="0">
      <w:start w:val="1"/>
      <w:numFmt w:val="decimal"/>
      <w:suff w:val="nothing"/>
      <w:lvlText w:val="%1、"/>
      <w:lvlJc w:val="left"/>
    </w:lvl>
  </w:abstractNum>
  <w:abstractNum w:abstractNumId="3">
    <w:nsid w:val="635E8A97"/>
    <w:multiLevelType w:val="singleLevel"/>
    <w:tmpl w:val="635E8A97"/>
    <w:lvl w:ilvl="0" w:tentative="0">
      <w:start w:val="1"/>
      <w:numFmt w:val="decimal"/>
      <w:suff w:val="nothing"/>
      <w:lvlText w:val="%1、"/>
      <w:lvlJc w:val="left"/>
    </w:lvl>
  </w:abstractNum>
  <w:abstractNum w:abstractNumId="4">
    <w:nsid w:val="71BD1A65"/>
    <w:multiLevelType w:val="singleLevel"/>
    <w:tmpl w:val="71BD1A65"/>
    <w:lvl w:ilvl="0" w:tentative="0">
      <w:start w:val="1"/>
      <w:numFmt w:val="chineseCounting"/>
      <w:suff w:val="nothing"/>
      <w:lvlText w:val="%1、"/>
      <w:lvlJc w:val="left"/>
      <w:rPr>
        <w:rFonts w:hint="eastAsia"/>
      </w:rPr>
    </w:lvl>
  </w:abstractNum>
  <w:abstractNum w:abstractNumId="5">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4725C9B"/>
    <w:rsid w:val="15B036FB"/>
    <w:rsid w:val="15E228F6"/>
    <w:rsid w:val="16007AF5"/>
    <w:rsid w:val="17463991"/>
    <w:rsid w:val="179E3273"/>
    <w:rsid w:val="17E977C8"/>
    <w:rsid w:val="182C4B8E"/>
    <w:rsid w:val="1873680D"/>
    <w:rsid w:val="18E67433"/>
    <w:rsid w:val="18F12637"/>
    <w:rsid w:val="19095239"/>
    <w:rsid w:val="19886DAA"/>
    <w:rsid w:val="19A846E9"/>
    <w:rsid w:val="19BE3F0C"/>
    <w:rsid w:val="1A5A3C35"/>
    <w:rsid w:val="1A6525DA"/>
    <w:rsid w:val="1AB46DAB"/>
    <w:rsid w:val="1B612DA1"/>
    <w:rsid w:val="1B6C2995"/>
    <w:rsid w:val="1BB630ED"/>
    <w:rsid w:val="1BC44893"/>
    <w:rsid w:val="1BE136FF"/>
    <w:rsid w:val="1C05708F"/>
    <w:rsid w:val="1C307374"/>
    <w:rsid w:val="1C9203A6"/>
    <w:rsid w:val="1E032835"/>
    <w:rsid w:val="1E560BB7"/>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441A80"/>
    <w:rsid w:val="2865301D"/>
    <w:rsid w:val="288A6ABA"/>
    <w:rsid w:val="28C86C87"/>
    <w:rsid w:val="29051210"/>
    <w:rsid w:val="296119D7"/>
    <w:rsid w:val="2A446D64"/>
    <w:rsid w:val="2A97100B"/>
    <w:rsid w:val="2AF4778E"/>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411535B"/>
    <w:rsid w:val="34935BA4"/>
    <w:rsid w:val="34A264CA"/>
    <w:rsid w:val="34B14942"/>
    <w:rsid w:val="35830B03"/>
    <w:rsid w:val="3700775A"/>
    <w:rsid w:val="37A26BD4"/>
    <w:rsid w:val="37A33759"/>
    <w:rsid w:val="37AE7FE3"/>
    <w:rsid w:val="37B20151"/>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13E59"/>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755126"/>
    <w:rsid w:val="44800368"/>
    <w:rsid w:val="44E811C0"/>
    <w:rsid w:val="455C29D7"/>
    <w:rsid w:val="457C68A6"/>
    <w:rsid w:val="45E74C1B"/>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6579E4"/>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4B6D60"/>
    <w:rsid w:val="55592415"/>
    <w:rsid w:val="55D122F6"/>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BFC593F"/>
    <w:rsid w:val="5C9B134E"/>
    <w:rsid w:val="5CF77B24"/>
    <w:rsid w:val="5D5E6B65"/>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21244D5"/>
    <w:rsid w:val="62B2296D"/>
    <w:rsid w:val="62B247EF"/>
    <w:rsid w:val="636147EE"/>
    <w:rsid w:val="63DB6B9E"/>
    <w:rsid w:val="65B441A4"/>
    <w:rsid w:val="65D53F00"/>
    <w:rsid w:val="65D8147F"/>
    <w:rsid w:val="66373494"/>
    <w:rsid w:val="663E17E3"/>
    <w:rsid w:val="66591B82"/>
    <w:rsid w:val="66593A91"/>
    <w:rsid w:val="67D46774"/>
    <w:rsid w:val="68550B65"/>
    <w:rsid w:val="6898637C"/>
    <w:rsid w:val="68B16D7B"/>
    <w:rsid w:val="68BA7003"/>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21D56A4"/>
    <w:rsid w:val="72987FCC"/>
    <w:rsid w:val="72BF7C4E"/>
    <w:rsid w:val="72F3401B"/>
    <w:rsid w:val="731416B4"/>
    <w:rsid w:val="736C262E"/>
    <w:rsid w:val="73712518"/>
    <w:rsid w:val="738A0204"/>
    <w:rsid w:val="738E7AB2"/>
    <w:rsid w:val="73AA787E"/>
    <w:rsid w:val="73EF0074"/>
    <w:rsid w:val="74035919"/>
    <w:rsid w:val="74624F7D"/>
    <w:rsid w:val="74B72A06"/>
    <w:rsid w:val="7546516B"/>
    <w:rsid w:val="75AF555B"/>
    <w:rsid w:val="763204BA"/>
    <w:rsid w:val="767D2F83"/>
    <w:rsid w:val="76F3488A"/>
    <w:rsid w:val="77281C38"/>
    <w:rsid w:val="7741229E"/>
    <w:rsid w:val="776E0790"/>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420907"/>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3"/>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2"/>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16355</Words>
  <Characters>17231</Characters>
  <Lines>131</Lines>
  <Paragraphs>37</Paragraphs>
  <TotalTime>3</TotalTime>
  <ScaleCrop>false</ScaleCrop>
  <LinksUpToDate>false</LinksUpToDate>
  <CharactersWithSpaces>18313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2023-08-25T02:08:27Z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