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color w:val="auto"/>
          <w:highlight w:val="none"/>
        </w:rPr>
      </w:pPr>
      <w:r>
        <w:rPr>
          <w:rFonts w:hint="eastAsia" w:ascii="宋体" w:hAnsi="宋体" w:eastAsia="宋体" w:cs="宋体"/>
          <w:b/>
          <w:color w:val="auto"/>
          <w:sz w:val="44"/>
          <w:szCs w:val="44"/>
          <w:highlight w:val="none"/>
        </w:rPr>
        <w:t>融通大厦9楼、102、202室室内装修工程施工总承包</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招标人：广州南沙资产经营集团有限公司（业主单位）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期：2023年8月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融通大厦9楼、102、202室室内装修工程施工总承包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w:t>
            </w:r>
          </w:p>
          <w:p>
            <w:pPr>
              <w:pStyle w:val="13"/>
              <w:widowControl/>
              <w:spacing w:after="0" w:line="360" w:lineRule="auto"/>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广东省广州市南沙区蕉西路115号</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为配合区市场监督局拟承租融通大厦部分物业建设“国家级综合服务平台”事宜，项目拟对融通大厦9楼、102、202室进行室内装修，建筑面积合计2352.5954平方米，装修面积按套内计算为1601平方米。</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固定综合单价包干，工程量按实结算，绿色施工安全防护措施费固定总价包干。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工程投资额约381.33万元。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建设内容包括室内装饰、强弱电及给排水工程、暖通空调工程、消防改造工程等，具体以实际施工图纸、工程量清单为准。</w:t>
            </w:r>
          </w:p>
          <w:p>
            <w:pPr>
              <w:pStyle w:val="19"/>
              <w:widowControl/>
              <w:spacing w:line="360" w:lineRule="auto"/>
              <w:ind w:firstLine="420" w:firstLineChars="200"/>
              <w:rPr>
                <w:rFonts w:ascii="宋体" w:hAnsi="宋体" w:eastAsia="宋体"/>
                <w:color w:val="auto"/>
                <w:szCs w:val="21"/>
                <w:highlight w:val="none"/>
              </w:rPr>
            </w:pPr>
            <w:r>
              <w:rPr>
                <w:rFonts w:hint="eastAsia" w:ascii="宋体" w:hAnsi="宋体" w:eastAsia="宋体"/>
                <w:color w:val="auto"/>
                <w:szCs w:val="21"/>
                <w:highlight w:val="none"/>
              </w:rPr>
              <w:t>投标人需按招标文件、图纸规范等要求进行施工，如设计图纸有调整时，必须服从要求调整。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lang w:eastAsia="zh-CN"/>
              </w:rPr>
              <w:t>节点</w:t>
            </w:r>
            <w:r>
              <w:rPr>
                <w:rFonts w:hint="eastAsia" w:ascii="宋体" w:hAnsi="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2023年10月15日前完成102室、202室装修并交付，2023年12月</w:t>
            </w: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日前完成全部工程装修并交付</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投标人具有</w:t>
            </w:r>
            <w:r>
              <w:rPr>
                <w:rFonts w:hint="eastAsia" w:ascii="宋体" w:hAnsi="宋体" w:eastAsia="宋体" w:cs="宋体"/>
                <w:color w:val="auto"/>
                <w:sz w:val="21"/>
                <w:szCs w:val="21"/>
                <w:highlight w:val="none"/>
              </w:rPr>
              <w:t>建筑装修装饰工程专业承包二级（或以上）资质，或建筑工程施工总承包三级（或以上）资质</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default" w:hAnsi="宋体" w:cs="宋体"/>
                <w:color w:val="auto"/>
                <w:highlight w:val="none"/>
              </w:rPr>
            </w:pPr>
            <w:r>
              <w:rPr>
                <w:rFonts w:hAnsi="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1、投标人委派的项目负责人为建筑工程专业二级或以上注册建造师。项目负责人持有安全培训考核合格证（B类）或建筑施工企业项目负责人安全生产考核合格证书。</w:t>
            </w:r>
          </w:p>
          <w:p>
            <w:pPr>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2、投标人委派的技术负责人具有工程类工程师中级或以上职称。项目负责人和技术负责人不能为同一人。</w:t>
            </w:r>
          </w:p>
          <w:p>
            <w:pPr>
              <w:widowControl/>
              <w:spacing w:line="360" w:lineRule="auto"/>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3、专职安全员须具有安全生产考核合格证（C类）或建筑施工企业专职安全生产管理人员安全生产考核合格证书。</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420" w:firstLineChars="200"/>
              <w:rPr>
                <w:rFonts w:hint="eastAsia" w:hAnsi="宋体" w:cs="宋体"/>
                <w:color w:val="auto"/>
                <w:highlight w:val="none"/>
              </w:rPr>
            </w:pPr>
            <w:r>
              <w:rPr>
                <w:rFonts w:hint="eastAsia" w:ascii="宋体" w:hAnsi="宋体" w:eastAsia="宋体" w:cs="宋体"/>
                <w:color w:val="auto"/>
                <w:sz w:val="21"/>
                <w:szCs w:val="21"/>
                <w:highlight w:val="none"/>
              </w:rPr>
              <w:t>招标控制价为¥</w:t>
            </w:r>
            <w:r>
              <w:rPr>
                <w:rFonts w:hint="eastAsia" w:ascii="宋体" w:hAnsi="宋体" w:eastAsia="宋体" w:cs="宋体"/>
                <w:i w:val="0"/>
                <w:color w:val="auto"/>
                <w:kern w:val="2"/>
                <w:sz w:val="21"/>
                <w:szCs w:val="21"/>
                <w:highlight w:val="none"/>
                <w:u w:val="none"/>
                <w:lang w:val="en-US" w:eastAsia="zh-CN" w:bidi="ar"/>
              </w:rPr>
              <w:t>2999305.02</w:t>
            </w:r>
            <w:r>
              <w:rPr>
                <w:rFonts w:hint="eastAsia" w:ascii="宋体" w:hAnsi="宋体" w:eastAsia="宋体" w:cs="宋体"/>
                <w:color w:val="auto"/>
                <w:sz w:val="21"/>
                <w:szCs w:val="21"/>
                <w:highlight w:val="none"/>
              </w:rPr>
              <w:t>元，其中，绿色施工安全防护措施费为¥</w:t>
            </w:r>
            <w:r>
              <w:rPr>
                <w:rFonts w:hint="eastAsia" w:ascii="宋体" w:hAnsi="宋体" w:eastAsia="宋体" w:cs="宋体"/>
                <w:i w:val="0"/>
                <w:color w:val="auto"/>
                <w:kern w:val="2"/>
                <w:sz w:val="21"/>
                <w:szCs w:val="21"/>
                <w:highlight w:val="none"/>
                <w:u w:val="none"/>
                <w:lang w:val="en-US" w:eastAsia="zh-CN" w:bidi="ar"/>
              </w:rPr>
              <w:t>133367.28</w:t>
            </w:r>
            <w:r>
              <w:rPr>
                <w:rFonts w:hint="eastAsia" w:ascii="宋体" w:hAnsi="宋体" w:eastAsia="宋体" w:cs="宋体"/>
                <w:color w:val="auto"/>
                <w:sz w:val="21"/>
                <w:szCs w:val="21"/>
                <w:highlight w:val="none"/>
              </w:rPr>
              <w:t>元（固定值）,专业暂估价为¥</w:t>
            </w:r>
            <w:r>
              <w:rPr>
                <w:rFonts w:hint="eastAsia" w:ascii="宋体" w:hAnsi="宋体" w:eastAsia="宋体" w:cs="宋体"/>
                <w:color w:val="auto"/>
                <w:sz w:val="21"/>
                <w:szCs w:val="21"/>
                <w:highlight w:val="none"/>
                <w:lang w:val="en-US" w:eastAsia="zh-CN"/>
              </w:rPr>
              <w:t>100000.00</w:t>
            </w:r>
            <w:r>
              <w:rPr>
                <w:rFonts w:hint="eastAsia" w:ascii="宋体" w:hAnsi="宋体" w:eastAsia="宋体" w:cs="宋体"/>
                <w:color w:val="auto"/>
                <w:sz w:val="21"/>
                <w:szCs w:val="21"/>
                <w:highlight w:val="none"/>
              </w:rPr>
              <w:t>元</w:t>
            </w:r>
            <w:r>
              <w:rPr>
                <w:rFonts w:hAnsi="宋体" w:cs="宋体"/>
                <w:color w:val="auto"/>
                <w:highlight w:val="none"/>
              </w:rPr>
              <w:t>。</w:t>
            </w:r>
          </w:p>
          <w:p>
            <w:pPr>
              <w:pStyle w:val="2"/>
              <w:widowControl/>
              <w:spacing w:line="360" w:lineRule="auto"/>
              <w:ind w:firstLine="420" w:firstLineChars="200"/>
              <w:rPr>
                <w:rFonts w:hint="default" w:hAnsi="宋体" w:cs="宋体"/>
                <w:color w:val="auto"/>
                <w:highlight w:val="none"/>
              </w:rPr>
            </w:pPr>
            <w:r>
              <w:rPr>
                <w:rFonts w:hAnsi="宋体" w:cs="宋体"/>
                <w:color w:val="auto"/>
                <w:highlight w:val="none"/>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pPr>
              <w:numPr>
                <w:ilvl w:val="255"/>
                <w:numId w:val="0"/>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pPr>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pPr>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pPr>
              <w:numPr>
                <w:ilvl w:val="0"/>
                <w:numId w:val="1"/>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缴纳时间：投标单位须在2023年9月</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二</w:t>
            </w:r>
            <w:r>
              <w:rPr>
                <w:rFonts w:hint="eastAsia" w:ascii="宋体" w:hAnsi="宋体" w:eastAsia="宋体" w:cs="宋体"/>
                <w:color w:val="auto"/>
                <w:szCs w:val="21"/>
                <w:highlight w:val="none"/>
              </w:rPr>
              <w:t>）17时00分前以投标人转出【汇款时备注：融通大厦9楼、102、202室室内装修工程施工总承包投标保证金】</w:t>
            </w:r>
          </w:p>
          <w:p>
            <w:pPr>
              <w:numPr>
                <w:ilvl w:val="255"/>
                <w:numId w:val="0"/>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ascii="宋体" w:hAnsi="宋体" w:cs="宋体"/>
                <w:color w:val="auto"/>
                <w:highlight w:val="none"/>
              </w:rPr>
            </w:pPr>
            <w:r>
              <w:rPr>
                <w:rFonts w:hint="eastAsia" w:ascii="宋体" w:hAnsi="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3"/>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3"/>
              <w:widowControl/>
              <w:spacing w:before="100" w:beforeAutospacing="0" w:after="0" w:line="360" w:lineRule="auto"/>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提交地点：广州市南沙区金融大厦1807会议室</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投标时间：2023年9月</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时00分至2023年9月</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时30分前。</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开标时间：2023年9月</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时30分</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地点：广州市南沙区金融大厦1807会议室</w:t>
            </w:r>
          </w:p>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rPr>
        <w:t>广州南沙资产经营集团有限公司、广州南沙建设维护管理有限公司。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11.12技术标文件（独立成册）。</w:t>
      </w:r>
    </w:p>
    <w:p>
      <w:pPr>
        <w:pStyle w:val="2"/>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w:t>
      </w:r>
    </w:p>
    <w:p>
      <w:pPr>
        <w:pStyle w:val="2"/>
        <w:ind w:firstLine="480" w:firstLineChars="200"/>
        <w:rPr>
          <w:rFonts w:hint="default" w:hAnsi="宋体" w:cs="宋体"/>
          <w:color w:val="auto"/>
          <w:sz w:val="24"/>
          <w:highlight w:val="none"/>
        </w:rPr>
      </w:pPr>
      <w:r>
        <w:rPr>
          <w:rFonts w:hAnsi="宋体" w:cs="宋体"/>
          <w:color w:val="auto"/>
          <w:sz w:val="24"/>
          <w:highlight w:val="none"/>
        </w:rPr>
        <w:t>11.14投标申请人声明。</w:t>
      </w:r>
    </w:p>
    <w:p>
      <w:pPr>
        <w:pStyle w:val="2"/>
        <w:ind w:firstLine="480" w:firstLineChars="200"/>
        <w:rPr>
          <w:rFonts w:hint="default" w:hAnsi="宋体" w:cs="宋体"/>
          <w:color w:val="auto"/>
          <w:sz w:val="24"/>
          <w:highlight w:val="none"/>
        </w:rPr>
      </w:pPr>
      <w:r>
        <w:rPr>
          <w:rFonts w:hAnsi="宋体" w:cs="宋体"/>
          <w:color w:val="auto"/>
          <w:sz w:val="24"/>
          <w:highlight w:val="none"/>
        </w:rPr>
        <w:t>11.15施工组织方案（含安全措施）</w:t>
      </w:r>
    </w:p>
    <w:p>
      <w:pPr>
        <w:pStyle w:val="2"/>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2"/>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13"/>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为配合区市场监督局拟承租融通大厦部分物业建设“国家级综合服务平台”事宜，项目拟对融通大厦9楼、102、202室进行室内装修，建筑面积合计2352.5954平方米，装修面积按套内计算为1601平方米。</w:t>
      </w:r>
      <w:r>
        <w:rPr>
          <w:rFonts w:hint="eastAsia" w:ascii="仿宋_GB2312" w:hAnsi="仿宋_GB2312" w:eastAsia="仿宋_GB2312" w:cs="仿宋_GB2312"/>
          <w:color w:val="auto"/>
          <w:sz w:val="32"/>
          <w:szCs w:val="32"/>
          <w:highlight w:val="none"/>
          <w:lang w:eastAsia="zh-CN"/>
        </w:rPr>
        <w:t>工程</w:t>
      </w:r>
      <w:r>
        <w:rPr>
          <w:rFonts w:hint="eastAsia" w:ascii="仿宋_GB2312" w:hAnsi="仿宋_GB2312" w:eastAsia="仿宋_GB2312" w:cs="仿宋_GB2312"/>
          <w:color w:val="auto"/>
          <w:sz w:val="32"/>
          <w:szCs w:val="32"/>
          <w:highlight w:val="none"/>
        </w:rPr>
        <w:t>投资额约</w:t>
      </w:r>
      <w:r>
        <w:rPr>
          <w:rFonts w:hint="eastAsia" w:ascii="仿宋_GB2312" w:hAnsi="仿宋_GB2312" w:eastAsia="仿宋_GB2312" w:cs="仿宋_GB2312"/>
          <w:color w:val="auto"/>
          <w:sz w:val="32"/>
          <w:szCs w:val="32"/>
          <w:highlight w:val="none"/>
          <w:lang w:val="en-US" w:eastAsia="zh-CN"/>
        </w:rPr>
        <w:t>381.33</w:t>
      </w:r>
      <w:r>
        <w:rPr>
          <w:rFonts w:hint="eastAsia" w:ascii="仿宋_GB2312" w:hAnsi="仿宋_GB2312" w:eastAsia="仿宋_GB2312" w:cs="仿宋_GB2312"/>
          <w:color w:val="auto"/>
          <w:sz w:val="32"/>
          <w:szCs w:val="32"/>
          <w:highlight w:val="none"/>
        </w:rPr>
        <w:t>万元。</w:t>
      </w:r>
    </w:p>
    <w:p>
      <w:pPr>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pPr>
        <w:pStyle w:val="19"/>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建设内容包括室内装饰、强弱电及给排水工程、暖通空调工程、消防改造工程等，具体以实际施工图纸、工程量清单为准。</w:t>
      </w:r>
    </w:p>
    <w:p>
      <w:pPr>
        <w:pStyle w:val="19"/>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具体以实际施工图纸、工程量清单为准。</w:t>
      </w:r>
      <w:r>
        <w:rPr>
          <w:rFonts w:hint="eastAsia" w:ascii="仿宋_GB2312" w:hAnsi="仿宋_GB2312" w:eastAsia="仿宋_GB2312" w:cs="仿宋_GB2312"/>
          <w:color w:val="auto"/>
          <w:kern w:val="0"/>
          <w:sz w:val="32"/>
          <w:szCs w:val="32"/>
          <w:highlight w:val="none"/>
        </w:rPr>
        <w:t>投标人需按招标文件、图纸规范等要求进行施工，如设计图纸有调整时，必须服从要求调整</w:t>
      </w:r>
      <w:r>
        <w:rPr>
          <w:rFonts w:hint="eastAsia" w:ascii="仿宋_GB2312" w:hAnsi="仿宋_GB2312" w:eastAsia="仿宋_GB2312" w:cs="仿宋_GB2312"/>
          <w:color w:val="auto"/>
          <w:sz w:val="32"/>
          <w:szCs w:val="32"/>
          <w:highlight w:val="none"/>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rPr>
        <w:t>广州南沙资产经营集团有限公司、广州南沙建设维护管理有限公司：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rPr>
        <w:t>融通大厦9楼、102、202室室内装修工程施工总承包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rPr>
        <w:t>融通大厦9楼、102、202室室内装修工程施工总承包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rPr>
        <w:t>广州南沙资产经营集团有限公司、广州南沙建设维护管理有限公司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rPr>
        <w:t>广州南沙资产经营集团有限公司、广州南沙建设维护管理有限公司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rPr>
        <w:t>融通大厦9楼、102、202室室内装修工程施工总承包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822703"/>
      <w:bookmarkEnd w:id="11"/>
      <w:bookmarkStart w:id="12" w:name="_Toc415833503"/>
      <w:bookmarkEnd w:id="12"/>
      <w:bookmarkStart w:id="13" w:name="_Toc196037097"/>
      <w:bookmarkEnd w:id="13"/>
      <w:bookmarkStart w:id="14" w:name="_Toc196130110"/>
      <w:bookmarkEnd w:id="14"/>
      <w:bookmarkStart w:id="15" w:name="_Toc326909213"/>
      <w:bookmarkEnd w:id="15"/>
      <w:bookmarkStart w:id="16" w:name="_Toc415728297"/>
      <w:bookmarkEnd w:id="16"/>
      <w:bookmarkStart w:id="17" w:name="_Toc196036941"/>
      <w:bookmarkEnd w:id="17"/>
      <w:bookmarkStart w:id="18" w:name="_Toc199647675"/>
      <w:bookmarkEnd w:id="18"/>
      <w:bookmarkStart w:id="19" w:name="_Toc196130013"/>
      <w:bookmarkEnd w:id="19"/>
      <w:bookmarkStart w:id="20" w:name="_Toc459403394"/>
      <w:bookmarkEnd w:id="20"/>
      <w:bookmarkStart w:id="21" w:name="_Toc197235848"/>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036942"/>
      <w:bookmarkEnd w:id="24"/>
      <w:bookmarkStart w:id="25" w:name="_Toc196130014"/>
      <w:bookmarkEnd w:id="25"/>
      <w:bookmarkStart w:id="26" w:name="_Toc326909214"/>
      <w:bookmarkEnd w:id="26"/>
      <w:bookmarkStart w:id="27" w:name="_Toc415833504"/>
      <w:bookmarkEnd w:id="27"/>
      <w:bookmarkStart w:id="28" w:name="_Toc196037098"/>
      <w:bookmarkEnd w:id="28"/>
      <w:bookmarkStart w:id="29" w:name="_Toc199647676"/>
      <w:bookmarkEnd w:id="29"/>
      <w:bookmarkStart w:id="30" w:name="_Toc196130111"/>
      <w:bookmarkEnd w:id="30"/>
      <w:bookmarkStart w:id="31" w:name="_Toc459403395"/>
      <w:bookmarkEnd w:id="31"/>
      <w:bookmarkStart w:id="32" w:name="_Toc197235849"/>
      <w:bookmarkEnd w:id="32"/>
      <w:bookmarkStart w:id="33" w:name="_Toc415728298"/>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融通大厦9楼、102、202室室内装修工程施工总承包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ascii="宋体" w:hAnsi="宋体" w:eastAsia="宋体" w:cs="宋体"/>
                <w:bCs/>
                <w:color w:val="auto"/>
                <w:szCs w:val="21"/>
                <w:highlight w:val="none"/>
              </w:rPr>
            </w:pPr>
            <w:r>
              <w:rPr>
                <w:rFonts w:hint="eastAsia" w:ascii="宋体" w:hAnsi="宋体" w:cs="宋体"/>
                <w:bCs/>
                <w:color w:val="auto"/>
                <w:szCs w:val="21"/>
                <w:highlight w:val="none"/>
              </w:rPr>
              <w:t>其中：绿色施工安全防护措施费为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其中：专业暂估价为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附件4 图纸（另附）</w:t>
      </w:r>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项目负责人、技术负责人资质符合要求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vAlign w:val="center"/>
          </w:tcPr>
          <w:p>
            <w:pPr>
              <w:snapToGrid w:val="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firstLine="0" w:firstLineChars="0"/>
              <w:jc w:val="center"/>
              <w:rPr>
                <w:rFonts w:eastAsia="宋体" w:cs="宋体"/>
                <w:b w:val="0"/>
                <w:bCs/>
                <w:color w:val="auto"/>
                <w:szCs w:val="21"/>
                <w:highlight w:val="none"/>
              </w:rPr>
            </w:pPr>
            <w:r>
              <w:rPr>
                <w:rFonts w:hint="eastAsia" w:eastAsia="宋体" w:cs="宋体"/>
                <w:b w:val="0"/>
                <w:bCs/>
                <w:color w:val="auto"/>
                <w:szCs w:val="21"/>
                <w:highlight w:val="none"/>
              </w:rPr>
              <w:t>（20分）</w:t>
            </w:r>
          </w:p>
          <w:p>
            <w:pPr>
              <w:snapToGrid w:val="0"/>
              <w:ind w:left="-2" w:leftChars="-1"/>
              <w:jc w:val="center"/>
              <w:rPr>
                <w:rFonts w:ascii="宋体" w:hAnsi="宋体" w:eastAsia="宋体" w:cs="宋体"/>
                <w:color w:val="auto"/>
                <w:szCs w:val="21"/>
                <w:highlight w:val="none"/>
              </w:rPr>
            </w:pPr>
          </w:p>
        </w:tc>
        <w:tc>
          <w:tcPr>
            <w:tcW w:w="1406" w:type="dxa"/>
            <w:vAlign w:val="center"/>
          </w:tcPr>
          <w:p>
            <w:pPr>
              <w:widowControl/>
              <w:ind w:left="-42" w:right="-61"/>
              <w:jc w:val="center"/>
              <w:rPr>
                <w:rFonts w:ascii="宋体" w:hAnsi="宋体" w:eastAsia="宋体" w:cs="宋体"/>
                <w:color w:val="auto"/>
                <w:szCs w:val="21"/>
                <w:highlight w:val="none"/>
              </w:rPr>
            </w:pPr>
            <w:r>
              <w:rPr>
                <w:rFonts w:hint="eastAsia" w:ascii="宋体" w:hAnsi="宋体" w:eastAsia="宋体" w:cs="宋体"/>
                <w:color w:val="auto"/>
                <w:szCs w:val="21"/>
                <w:highlight w:val="none"/>
              </w:rPr>
              <w:t>企业业绩</w:t>
            </w: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rPr>
              <w:t>5分</w:t>
            </w:r>
          </w:p>
        </w:tc>
        <w:tc>
          <w:tcPr>
            <w:tcW w:w="9797" w:type="dxa"/>
            <w:vAlign w:val="center"/>
          </w:tcPr>
          <w:p>
            <w:pPr>
              <w:snapToGrid w:val="0"/>
              <w:rPr>
                <w:rFonts w:ascii="宋体" w:hAnsi="宋体" w:eastAsia="宋体" w:cs="宋体"/>
                <w:color w:val="auto"/>
                <w:szCs w:val="21"/>
                <w:highlight w:val="none"/>
              </w:rPr>
            </w:pPr>
            <w:r>
              <w:rPr>
                <w:rFonts w:hint="eastAsia" w:ascii="宋体" w:hAnsi="宋体" w:eastAsia="宋体" w:cs="宋体"/>
                <w:color w:val="auto"/>
                <w:szCs w:val="21"/>
                <w:highlight w:val="none"/>
              </w:rPr>
              <w:t>投标人2018年1月1日至今承接过</w:t>
            </w:r>
            <w:r>
              <w:rPr>
                <w:rFonts w:hint="eastAsia" w:ascii="宋体" w:hAnsi="宋体" w:eastAsia="宋体" w:cs="宋体"/>
                <w:color w:val="auto"/>
                <w:szCs w:val="21"/>
                <w:highlight w:val="none"/>
                <w:lang w:val="en-US" w:eastAsia="zh-CN"/>
              </w:rPr>
              <w:t>190</w:t>
            </w:r>
            <w:r>
              <w:rPr>
                <w:rFonts w:hint="eastAsia" w:ascii="宋体" w:hAnsi="宋体" w:eastAsia="宋体" w:cs="宋体"/>
                <w:color w:val="auto"/>
                <w:szCs w:val="21"/>
                <w:highlight w:val="none"/>
              </w:rPr>
              <w:t>万元或以上的建筑装修装饰工程施工业绩的，每有一个项目业绩得</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 xml:space="preserve">分，本项最高得5分。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注：需同时提供中标通知书和合同关键页复印件（体现施工内容及</w:t>
            </w:r>
            <w:r>
              <w:rPr>
                <w:rFonts w:hint="eastAsia" w:ascii="宋体" w:hAnsi="宋体" w:eastAsia="宋体" w:cs="宋体"/>
                <w:color w:val="auto"/>
                <w:szCs w:val="21"/>
                <w:highlight w:val="none"/>
                <w:lang w:eastAsia="zh-CN"/>
              </w:rPr>
              <w:t>金</w:t>
            </w:r>
            <w:r>
              <w:rPr>
                <w:rFonts w:hint="eastAsia" w:ascii="宋体" w:hAnsi="宋体" w:eastAsia="宋体" w:cs="宋体"/>
                <w:color w:val="auto"/>
                <w:szCs w:val="21"/>
                <w:highlight w:val="none"/>
              </w:rPr>
              <w:t>额的页面、盖章页等），不提供、提供不全或专家无法认定的不得分，业绩时间以合同签订时间为准。</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widowControl/>
              <w:ind w:left="-42" w:right="-61"/>
              <w:jc w:val="center"/>
              <w:rPr>
                <w:rFonts w:ascii="宋体" w:hAnsi="宋体" w:eastAsia="宋体" w:cs="宋体"/>
                <w:color w:val="auto"/>
                <w:kern w:val="0"/>
                <w:szCs w:val="21"/>
                <w:highlight w:val="none"/>
              </w:rPr>
            </w:pPr>
          </w:p>
          <w:p>
            <w:pPr>
              <w:widowControl/>
              <w:ind w:left="-42" w:right="-61"/>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认证体系</w:t>
            </w:r>
          </w:p>
          <w:p>
            <w:pPr>
              <w:widowControl/>
              <w:ind w:left="-42" w:right="-61"/>
              <w:rPr>
                <w:rFonts w:ascii="宋体" w:hAnsi="宋体" w:eastAsia="宋体" w:cs="宋体"/>
                <w:color w:val="auto"/>
                <w:szCs w:val="21"/>
                <w:highlight w:val="none"/>
              </w:rPr>
            </w:pPr>
          </w:p>
        </w:tc>
        <w:tc>
          <w:tcPr>
            <w:tcW w:w="709" w:type="dxa"/>
            <w:vAlign w:val="center"/>
          </w:tcPr>
          <w:p>
            <w:pPr>
              <w:jc w:val="center"/>
              <w:rPr>
                <w:rFonts w:ascii="宋体" w:hAnsi="宋体" w:eastAsia="宋体" w:cs="宋体"/>
                <w:color w:val="auto"/>
                <w:position w:val="8"/>
                <w:szCs w:val="21"/>
                <w:highlight w:val="none"/>
              </w:rPr>
            </w:pPr>
            <w:r>
              <w:rPr>
                <w:rFonts w:hint="eastAsia" w:ascii="宋体" w:hAnsi="宋体" w:eastAsia="宋体" w:cs="宋体"/>
                <w:color w:val="auto"/>
                <w:kern w:val="0"/>
                <w:szCs w:val="21"/>
                <w:highlight w:val="none"/>
              </w:rPr>
              <w:t>3分</w:t>
            </w:r>
          </w:p>
        </w:tc>
        <w:tc>
          <w:tcPr>
            <w:tcW w:w="9797" w:type="dxa"/>
            <w:vAlign w:val="center"/>
          </w:tcPr>
          <w:p>
            <w:pPr>
              <w:autoSpaceDE w:val="0"/>
              <w:autoSpaceDN w:val="0"/>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投标人具有有效的质量管理体系认证证书、环境管理体系认证证书、职业健康安全管理体系认证证书，每有一个证书得1分。本项最高得3分。</w:t>
            </w:r>
          </w:p>
          <w:p>
            <w:pPr>
              <w:autoSpaceDE w:val="0"/>
              <w:autoSpaceDN w:val="0"/>
              <w:jc w:val="left"/>
              <w:rPr>
                <w:rFonts w:ascii="宋体" w:hAnsi="宋体" w:eastAsia="宋体" w:cs="宋体"/>
                <w:color w:val="auto"/>
                <w:szCs w:val="21"/>
                <w:highlight w:val="none"/>
              </w:rPr>
            </w:pPr>
            <w:r>
              <w:rPr>
                <w:rFonts w:hint="eastAsia" w:ascii="宋体" w:hAnsi="宋体" w:eastAsia="宋体" w:cs="宋体"/>
                <w:color w:val="auto"/>
                <w:szCs w:val="21"/>
                <w:highlight w:val="none"/>
              </w:rPr>
              <w:t>注：（须提供以上有效期内的证书复印件以及在全国认证认可信息公共服务平台上http://cx.cnca.cn查询结果的截图，证书状态必须为“有效”，否则不得分。）</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snapToGrid w:val="0"/>
              <w:spacing w:line="360" w:lineRule="auto"/>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纳税信用</w:t>
            </w:r>
          </w:p>
        </w:tc>
        <w:tc>
          <w:tcPr>
            <w:tcW w:w="709" w:type="dxa"/>
            <w:vAlign w:val="center"/>
          </w:tcPr>
          <w:p>
            <w:pPr>
              <w:spacing w:line="360" w:lineRule="auto"/>
              <w:ind w:left="-2" w:leftChars="-1"/>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t>2分</w:t>
            </w:r>
          </w:p>
        </w:tc>
        <w:tc>
          <w:tcPr>
            <w:tcW w:w="9797" w:type="dxa"/>
            <w:vAlign w:val="center"/>
          </w:tcPr>
          <w:p>
            <w:pPr>
              <w:spacing w:line="30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投标人2018年1月1日至今获得纳税信用等级A级称号的，每有1次得1分，最多得2分；</w:t>
            </w:r>
          </w:p>
          <w:p>
            <w:pPr>
              <w:pStyle w:val="2"/>
              <w:spacing w:line="360" w:lineRule="auto"/>
              <w:rPr>
                <w:rFonts w:hint="default" w:hAnsi="宋体" w:cs="宋体"/>
                <w:color w:val="auto"/>
                <w:highlight w:val="none"/>
              </w:rPr>
            </w:pPr>
            <w:r>
              <w:rPr>
                <w:rFonts w:hAnsi="宋体" w:cs="宋体"/>
                <w:color w:val="auto"/>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spacing w:line="360" w:lineRule="auto"/>
              <w:ind w:left="42" w:leftChars="20" w:right="42" w:rightChars="2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获奖情况</w:t>
            </w:r>
          </w:p>
        </w:tc>
        <w:tc>
          <w:tcPr>
            <w:tcW w:w="709" w:type="dxa"/>
            <w:vAlign w:val="center"/>
          </w:tcPr>
          <w:p>
            <w:pPr>
              <w:spacing w:line="360" w:lineRule="auto"/>
              <w:jc w:val="center"/>
              <w:rPr>
                <w:rFonts w:ascii="宋体" w:hAnsi="宋体" w:eastAsia="宋体" w:cs="宋体"/>
                <w:color w:val="auto"/>
                <w:position w:val="8"/>
                <w:szCs w:val="21"/>
                <w:highlight w:val="none"/>
              </w:rPr>
            </w:pPr>
            <w:r>
              <w:rPr>
                <w:rFonts w:hint="eastAsia" w:ascii="宋体" w:hAnsi="宋体" w:eastAsia="宋体" w:cs="宋体"/>
                <w:color w:val="auto"/>
                <w:position w:val="8"/>
                <w:szCs w:val="21"/>
                <w:highlight w:val="none"/>
              </w:rPr>
              <w:t>3分</w:t>
            </w:r>
          </w:p>
        </w:tc>
        <w:tc>
          <w:tcPr>
            <w:tcW w:w="9797" w:type="dxa"/>
            <w:vAlign w:val="center"/>
          </w:tcPr>
          <w:p>
            <w:p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投标人自 2018 年 1 月 1 日至今，获得国家级、省级、市级建设行政主管部门或行业协会颁发奖项的（包含各类 QC、工法），国家级的每项得3分，省级的每项得2分，市级的每项得1分，本项最高得3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Merge w:val="restart"/>
            <w:vAlign w:val="center"/>
          </w:tcPr>
          <w:p>
            <w:pPr>
              <w:jc w:val="center"/>
              <w:rPr>
                <w:rFonts w:ascii="宋体" w:hAnsi="宋体" w:eastAsia="宋体" w:cs="宋体"/>
                <w:color w:val="auto"/>
                <w:szCs w:val="21"/>
                <w:highlight w:val="none"/>
              </w:rPr>
            </w:pPr>
            <w:r>
              <w:rPr>
                <w:rFonts w:hint="eastAsia" w:ascii="宋体" w:hAnsi="宋体" w:eastAsia="宋体" w:cs="宋体"/>
                <w:color w:val="auto"/>
                <w:spacing w:val="-5"/>
                <w:szCs w:val="21"/>
                <w:highlight w:val="none"/>
              </w:rPr>
              <w:t>拟派本项目团队情况</w:t>
            </w: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3分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项目负责人：</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1、具有建筑工程专业一级注册建造师，得2分；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2、具有工程类工程师高级或以上职称，得1分。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本项最高得3分。</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注：需提供人员相关证书和毕业证书和投标人近1个月（2023年7月）为其购买社保的加盖社会保险基金管理中心印章的《投保单》或《社会保险参保人员证明》复印件，工作经验以本科或专科毕业证发证时间开始计算，不符合或不提供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Merge w:val="continue"/>
            <w:vAlign w:val="center"/>
          </w:tcPr>
          <w:p>
            <w:pPr>
              <w:jc w:val="center"/>
              <w:rPr>
                <w:rFonts w:ascii="宋体" w:hAnsi="宋体" w:eastAsia="宋体" w:cs="宋体"/>
                <w:color w:val="auto"/>
                <w:spacing w:val="-5"/>
                <w:szCs w:val="21"/>
                <w:highlight w:val="none"/>
              </w:rPr>
            </w:pP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2分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技术负责人：</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1、具有工程类工程师高级或以上职称，得1分。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2、具有建筑工程专业二级或以上注册建造师，得1分。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本项最高得2分。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注：需提供人员相关证书和毕业证书和投标人近1个月（2023年7月）为其购买社保的加盖社会保险基金管理中心印章的《投保单》或《社会保险参保人员证明》复印件，工作经验以本科或专科毕业证发证时间开始计算，不符合或不提供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Merge w:val="continue"/>
            <w:vAlign w:val="center"/>
          </w:tcPr>
          <w:p>
            <w:pPr>
              <w:jc w:val="center"/>
              <w:rPr>
                <w:rFonts w:ascii="宋体" w:hAnsi="宋体" w:eastAsia="宋体" w:cs="宋体"/>
                <w:color w:val="auto"/>
                <w:spacing w:val="-5"/>
                <w:szCs w:val="21"/>
                <w:highlight w:val="none"/>
              </w:rPr>
            </w:pP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2分</w:t>
            </w:r>
          </w:p>
        </w:tc>
        <w:tc>
          <w:tcPr>
            <w:tcW w:w="9797" w:type="dxa"/>
            <w:vAlign w:val="center"/>
          </w:tcPr>
          <w:p>
            <w:pPr>
              <w:pStyle w:val="19"/>
              <w:numPr>
                <w:ilvl w:val="255"/>
                <w:numId w:val="0"/>
              </w:numPr>
              <w:autoSpaceDE w:val="0"/>
              <w:autoSpaceDN w:val="0"/>
              <w:adjustRightInd w:val="0"/>
              <w:snapToGrid w:val="0"/>
              <w:rPr>
                <w:color w:val="auto"/>
                <w:highlight w:val="none"/>
              </w:rPr>
            </w:pPr>
            <w:r>
              <w:rPr>
                <w:rFonts w:hint="eastAsia"/>
                <w:color w:val="auto"/>
                <w:highlight w:val="none"/>
              </w:rPr>
              <w:t>团队人员（除项目负责人、技术负责人外）：</w:t>
            </w:r>
          </w:p>
          <w:p>
            <w:pPr>
              <w:pStyle w:val="19"/>
              <w:numPr>
                <w:ilvl w:val="0"/>
                <w:numId w:val="5"/>
              </w:numPr>
              <w:ind w:firstLine="0"/>
              <w:rPr>
                <w:rFonts w:ascii="宋体" w:hAnsi="宋体" w:eastAsia="宋体"/>
                <w:color w:val="auto"/>
                <w:spacing w:val="-5"/>
                <w:szCs w:val="21"/>
                <w:highlight w:val="none"/>
              </w:rPr>
            </w:pPr>
            <w:r>
              <w:rPr>
                <w:rFonts w:hint="eastAsia" w:ascii="宋体" w:hAnsi="宋体" w:eastAsia="宋体"/>
                <w:color w:val="auto"/>
                <w:spacing w:val="-5"/>
                <w:szCs w:val="21"/>
                <w:highlight w:val="none"/>
              </w:rPr>
              <w:t>具有注册电气工程师的，得1分。</w:t>
            </w:r>
          </w:p>
          <w:p>
            <w:pPr>
              <w:pStyle w:val="19"/>
              <w:numPr>
                <w:ilvl w:val="0"/>
                <w:numId w:val="5"/>
              </w:numPr>
              <w:ind w:firstLine="0"/>
              <w:rPr>
                <w:rFonts w:ascii="宋体" w:hAnsi="宋体" w:eastAsia="宋体"/>
                <w:color w:val="auto"/>
                <w:spacing w:val="-5"/>
                <w:szCs w:val="21"/>
                <w:highlight w:val="none"/>
              </w:rPr>
            </w:pPr>
            <w:r>
              <w:rPr>
                <w:rFonts w:hint="eastAsia" w:ascii="宋体" w:hAnsi="宋体" w:eastAsia="宋体"/>
                <w:color w:val="auto"/>
                <w:spacing w:val="-5"/>
                <w:szCs w:val="21"/>
                <w:highlight w:val="none"/>
              </w:rPr>
              <w:t>具有注册消防工程师的，得1分。</w:t>
            </w:r>
          </w:p>
          <w:p>
            <w:pPr>
              <w:pStyle w:val="19"/>
              <w:numPr>
                <w:ilvl w:val="255"/>
                <w:numId w:val="0"/>
              </w:numPr>
              <w:rPr>
                <w:rFonts w:ascii="宋体" w:hAnsi="宋体" w:eastAsia="宋体"/>
                <w:color w:val="auto"/>
                <w:spacing w:val="-5"/>
                <w:szCs w:val="21"/>
                <w:highlight w:val="none"/>
              </w:rPr>
            </w:pPr>
            <w:r>
              <w:rPr>
                <w:rFonts w:hint="eastAsia" w:ascii="宋体" w:hAnsi="宋体" w:eastAsia="宋体"/>
                <w:color w:val="auto"/>
                <w:spacing w:val="-5"/>
                <w:szCs w:val="21"/>
                <w:highlight w:val="none"/>
              </w:rPr>
              <w:t>本项最高得2分。</w:t>
            </w:r>
          </w:p>
          <w:p>
            <w:pPr>
              <w:pStyle w:val="19"/>
              <w:numPr>
                <w:ilvl w:val="255"/>
                <w:numId w:val="0"/>
              </w:numPr>
              <w:rPr>
                <w:rFonts w:ascii="宋体" w:hAnsi="宋体" w:eastAsia="宋体"/>
                <w:color w:val="auto"/>
                <w:spacing w:val="-5"/>
                <w:szCs w:val="21"/>
                <w:highlight w:val="none"/>
              </w:rPr>
            </w:pPr>
            <w:r>
              <w:rPr>
                <w:rFonts w:hint="eastAsia" w:ascii="宋体" w:hAnsi="宋体" w:eastAsia="宋体"/>
                <w:color w:val="auto"/>
                <w:spacing w:val="-5"/>
                <w:szCs w:val="21"/>
                <w:highlight w:val="none"/>
              </w:rPr>
              <w:t>（注：需提供人员相关证书和毕业证书和投标人近1个月（2023年7月）为其购买社保的加盖社会保险基金管理中心印章的《投保单》或《社会保险参保人员证明》复印件，不符合或不提供不得分。）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技术部分</w:t>
            </w:r>
          </w:p>
          <w:p>
            <w:pPr>
              <w:pStyle w:val="5"/>
              <w:ind w:firstLine="0" w:firstLineChars="0"/>
              <w:jc w:val="center"/>
              <w:rPr>
                <w:rFonts w:eastAsia="宋体" w:cs="宋体"/>
                <w:b w:val="0"/>
                <w:bCs/>
                <w:color w:val="auto"/>
                <w:szCs w:val="21"/>
                <w:highlight w:val="none"/>
              </w:rPr>
            </w:pPr>
            <w:r>
              <w:rPr>
                <w:rFonts w:hint="eastAsia" w:eastAsia="宋体" w:cs="宋体"/>
                <w:b w:val="0"/>
                <w:bCs/>
                <w:color w:val="auto"/>
                <w:szCs w:val="21"/>
                <w:highlight w:val="none"/>
              </w:rPr>
              <w:t>（20分）</w:t>
            </w:r>
          </w:p>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项目实施方案</w:t>
            </w:r>
          </w:p>
        </w:tc>
        <w:tc>
          <w:tcPr>
            <w:tcW w:w="709" w:type="dxa"/>
            <w:vAlign w:val="center"/>
          </w:tcPr>
          <w:p>
            <w:pPr>
              <w:autoSpaceDE w:val="0"/>
              <w:autoSpaceDN w:val="0"/>
              <w:adjustRightInd w:val="0"/>
              <w:snapToGrid w:val="0"/>
              <w:rPr>
                <w:rFonts w:ascii="宋体" w:hAnsi="宋体" w:eastAsia="宋体" w:cs="宋体"/>
                <w:color w:val="auto"/>
                <w:position w:val="8"/>
                <w:szCs w:val="21"/>
                <w:highlight w:val="none"/>
              </w:rPr>
            </w:pPr>
            <w:r>
              <w:rPr>
                <w:rFonts w:hint="eastAsia" w:ascii="宋体" w:hAnsi="宋体" w:eastAsia="宋体" w:cs="宋体"/>
                <w:color w:val="auto"/>
                <w:spacing w:val="-5"/>
                <w:szCs w:val="21"/>
                <w:highlight w:val="none"/>
                <w:lang w:val="en-US" w:eastAsia="zh-CN"/>
              </w:rPr>
              <w:t>4</w:t>
            </w:r>
            <w:r>
              <w:rPr>
                <w:rFonts w:hint="eastAsia" w:ascii="宋体" w:hAnsi="宋体" w:eastAsia="宋体" w:cs="宋体"/>
                <w:color w:val="auto"/>
                <w:spacing w:val="-5"/>
                <w:szCs w:val="21"/>
                <w:highlight w:val="none"/>
              </w:rPr>
              <w:t>分</w:t>
            </w:r>
          </w:p>
        </w:tc>
        <w:tc>
          <w:tcPr>
            <w:tcW w:w="9797" w:type="dxa"/>
            <w:vAlign w:val="center"/>
          </w:tcPr>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安全生产管理方案及措施、现场文明施工方案及措施、工期保证方案及措施、方案及承诺、施工现场的清运方案及措施、现场工作人员操作规范实施方案等）、投入本项目机械设备情况：</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1.优：方案内容齐全，措施有效可行、具有针对性，承诺详细具体，能满足本项目需求，得4分；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2.良：方案内容较齐全，措施较有效可行、具有针对性，承诺较详细具体，基本满足本项目需求，得2-3分；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rPr>
              <w:t>0-1</w:t>
            </w:r>
            <w:r>
              <w:rPr>
                <w:rFonts w:hint="eastAsia" w:ascii="宋体" w:hAnsi="宋体" w:eastAsia="宋体" w:cs="宋体"/>
                <w:color w:val="auto"/>
                <w:szCs w:val="21"/>
                <w:highlight w:val="none"/>
              </w:rPr>
              <w:t>分；</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zCs w:val="21"/>
                <w:highlight w:val="none"/>
              </w:rPr>
              <w:t>不提供方案不得分。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对项目的理解程度、重点难点分析情况</w:t>
            </w: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lang w:val="en-US" w:eastAsia="zh-CN"/>
              </w:rPr>
              <w:t>4</w:t>
            </w:r>
            <w:r>
              <w:rPr>
                <w:rFonts w:hint="eastAsia" w:ascii="宋体" w:hAnsi="宋体" w:eastAsia="宋体" w:cs="宋体"/>
                <w:color w:val="auto"/>
                <w:spacing w:val="-5"/>
                <w:szCs w:val="21"/>
                <w:highlight w:val="none"/>
              </w:rPr>
              <w:t>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1、优：对具体项目的理解程度、特点、实施难点、易损多发维修点清楚，有针对性，得</w:t>
            </w:r>
            <w:r>
              <w:rPr>
                <w:rFonts w:hint="eastAsia" w:ascii="宋体" w:hAnsi="宋体" w:eastAsia="宋体" w:cs="宋体"/>
                <w:color w:val="auto"/>
                <w:szCs w:val="21"/>
                <w:highlight w:val="none"/>
              </w:rPr>
              <w:t>4</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2、中：对具体项目的理解程度、特点、实施难点、易损多发维修点较清楚，较有针对性，得</w:t>
            </w:r>
            <w:r>
              <w:rPr>
                <w:rFonts w:hint="eastAsia" w:ascii="宋体" w:hAnsi="宋体" w:eastAsia="宋体" w:cs="宋体"/>
                <w:color w:val="auto"/>
                <w:szCs w:val="21"/>
                <w:highlight w:val="none"/>
              </w:rPr>
              <w:t>2-3</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 xml:space="preserve">3、差：对具体项目的理解程度、特点、实施难点、易损多发维修点了解一般，针对性一般，得0-1分。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pPr>
              <w:autoSpaceDE w:val="0"/>
              <w:autoSpaceDN w:val="0"/>
              <w:adjustRightInd w:val="0"/>
              <w:snapToGrid w:val="0"/>
              <w:rPr>
                <w:rFonts w:ascii="宋体" w:hAnsi="宋体" w:eastAsia="宋体" w:cs="宋体"/>
                <w:color w:val="auto"/>
                <w:szCs w:val="21"/>
                <w:highlight w:val="none"/>
              </w:rPr>
            </w:pP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lang w:val="en-US" w:eastAsia="zh-CN"/>
              </w:rPr>
              <w:t>4</w:t>
            </w:r>
            <w:r>
              <w:rPr>
                <w:rFonts w:hint="eastAsia" w:ascii="宋体" w:hAnsi="宋体" w:eastAsia="宋体" w:cs="宋体"/>
                <w:color w:val="auto"/>
                <w:spacing w:val="-5"/>
                <w:szCs w:val="21"/>
                <w:highlight w:val="none"/>
              </w:rPr>
              <w:t>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1、优：对本服务项目安全生产工作提出具体管理方案，安全防护制度健全，可行性高，能有效保障本服务项目的安全实施，得</w:t>
            </w:r>
            <w:r>
              <w:rPr>
                <w:rFonts w:hint="eastAsia" w:ascii="宋体" w:hAnsi="宋体" w:eastAsia="宋体" w:cs="宋体"/>
                <w:color w:val="auto"/>
                <w:szCs w:val="21"/>
                <w:highlight w:val="none"/>
              </w:rPr>
              <w:t>4</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2、中：对本服务项目安全生产工作提出具体管理方案，安全防护制度可行性较高，基本保障本服务项目的安全实施，得</w:t>
            </w:r>
            <w:r>
              <w:rPr>
                <w:rFonts w:hint="eastAsia" w:ascii="宋体" w:hAnsi="宋体" w:eastAsia="宋体" w:cs="宋体"/>
                <w:color w:val="auto"/>
                <w:szCs w:val="21"/>
                <w:highlight w:val="none"/>
              </w:rPr>
              <w:t>2-3</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 xml:space="preserve">3、差：对本服务项目安全生产工作提出具体管理方案， 安全防护制度可行性较低，得0-1分。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 xml:space="preserve">无提供方案则不得分。 </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pPr>
              <w:autoSpaceDE w:val="0"/>
              <w:autoSpaceDN w:val="0"/>
              <w:adjustRightInd w:val="0"/>
              <w:snapToGrid w:val="0"/>
              <w:rPr>
                <w:rFonts w:ascii="宋体" w:hAnsi="宋体" w:eastAsia="宋体" w:cs="宋体"/>
                <w:color w:val="auto"/>
                <w:szCs w:val="21"/>
                <w:highlight w:val="none"/>
              </w:rPr>
            </w:pP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lang w:val="en-US" w:eastAsia="zh-CN"/>
              </w:rPr>
              <w:t>4</w:t>
            </w:r>
            <w:r>
              <w:rPr>
                <w:rFonts w:hint="eastAsia" w:ascii="宋体" w:hAnsi="宋体" w:eastAsia="宋体" w:cs="宋体"/>
                <w:color w:val="auto"/>
                <w:spacing w:val="-5"/>
                <w:szCs w:val="21"/>
                <w:highlight w:val="none"/>
              </w:rPr>
              <w:t>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rPr>
              <w:t>4</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rPr>
              <w:t>2-3</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 xml:space="preserve">3、差：项目质量措施保证目标不明确、方案简单、可行性较低，质量承诺表述不够清晰、不够合理，得0-1分。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工期提前情况</w:t>
            </w:r>
          </w:p>
        </w:tc>
        <w:tc>
          <w:tcPr>
            <w:tcW w:w="709" w:type="dxa"/>
            <w:vAlign w:val="center"/>
          </w:tcPr>
          <w:p>
            <w:pPr>
              <w:autoSpaceDE w:val="0"/>
              <w:autoSpaceDN w:val="0"/>
              <w:adjustRightInd w:val="0"/>
              <w:snapToGrid w:val="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4分</w:t>
            </w:r>
          </w:p>
        </w:tc>
        <w:tc>
          <w:tcPr>
            <w:tcW w:w="9797" w:type="dxa"/>
            <w:vAlign w:val="center"/>
          </w:tcPr>
          <w:p>
            <w:pPr>
              <w:autoSpaceDE w:val="0"/>
              <w:autoSpaceDN w:val="0"/>
              <w:adjustRightInd w:val="0"/>
              <w:snapToGrid w:val="0"/>
              <w:rPr>
                <w:rFonts w:hint="eastAsia"/>
                <w:color w:val="auto"/>
                <w:highlight w:val="none"/>
                <w:lang w:val="en-US" w:eastAsia="zh-CN"/>
              </w:rPr>
            </w:pPr>
            <w:r>
              <w:rPr>
                <w:rFonts w:hint="eastAsia"/>
                <w:color w:val="auto"/>
                <w:highlight w:val="none"/>
                <w:lang w:eastAsia="zh-CN"/>
              </w:rPr>
              <w:t>投标人承诺</w:t>
            </w:r>
            <w:r>
              <w:rPr>
                <w:rFonts w:hint="eastAsia"/>
                <w:color w:val="auto"/>
                <w:highlight w:val="none"/>
                <w:lang w:val="en-US" w:eastAsia="zh-CN"/>
              </w:rPr>
              <w:t>两个节点</w:t>
            </w:r>
            <w:r>
              <w:rPr>
                <w:rFonts w:hint="eastAsia"/>
                <w:color w:val="auto"/>
                <w:highlight w:val="none"/>
                <w:lang w:eastAsia="zh-CN"/>
              </w:rPr>
              <w:t>工期</w:t>
            </w:r>
            <w:r>
              <w:rPr>
                <w:rFonts w:hint="eastAsia"/>
                <w:color w:val="auto"/>
                <w:highlight w:val="none"/>
                <w:lang w:val="en-US" w:eastAsia="zh-CN"/>
              </w:rPr>
              <w:t>均</w:t>
            </w:r>
            <w:r>
              <w:rPr>
                <w:rFonts w:hint="eastAsia"/>
                <w:color w:val="auto"/>
                <w:highlight w:val="none"/>
                <w:lang w:eastAsia="zh-CN"/>
              </w:rPr>
              <w:t>提前</w:t>
            </w:r>
            <w:r>
              <w:rPr>
                <w:rFonts w:hint="eastAsia"/>
                <w:color w:val="auto"/>
                <w:highlight w:val="none"/>
                <w:lang w:val="en-US" w:eastAsia="zh-CN"/>
              </w:rPr>
              <w:t>10天或以上的，得4分；均</w:t>
            </w:r>
            <w:r>
              <w:rPr>
                <w:rFonts w:hint="eastAsia"/>
                <w:color w:val="auto"/>
                <w:highlight w:val="none"/>
                <w:lang w:eastAsia="zh-CN"/>
              </w:rPr>
              <w:t>提前</w:t>
            </w:r>
            <w:r>
              <w:rPr>
                <w:rFonts w:hint="eastAsia"/>
                <w:color w:val="auto"/>
                <w:highlight w:val="none"/>
                <w:lang w:val="en-US" w:eastAsia="zh-CN"/>
              </w:rPr>
              <w:t>5-9天的，得2分；均提前1-4天的，得1分。两个节点工期均不提前的或只有1个节点工期提前的，不得分。</w:t>
            </w:r>
          </w:p>
          <w:p>
            <w:pPr>
              <w:pStyle w:val="2"/>
              <w:rPr>
                <w:rFonts w:hint="default"/>
                <w:color w:val="auto"/>
                <w:highlight w:val="none"/>
                <w:lang w:val="en-US" w:eastAsia="zh-CN"/>
              </w:rPr>
            </w:pPr>
            <w:r>
              <w:rPr>
                <w:rFonts w:hint="eastAsia"/>
                <w:color w:val="auto"/>
                <w:highlight w:val="none"/>
                <w:lang w:val="en-US" w:eastAsia="zh-CN"/>
              </w:rPr>
              <w:t>注：本项目节点工</w:t>
            </w:r>
            <w:r>
              <w:rPr>
                <w:rFonts w:hint="eastAsia" w:asciiTheme="minorHAnsi" w:hAnsiTheme="minorHAnsi" w:eastAsiaTheme="minorEastAsia" w:cstheme="minorBidi"/>
                <w:color w:val="auto"/>
                <w:szCs w:val="24"/>
                <w:highlight w:val="none"/>
                <w:lang w:val="en-US" w:eastAsia="zh-CN"/>
              </w:rPr>
              <w:t>期为</w:t>
            </w:r>
            <w:r>
              <w:rPr>
                <w:rFonts w:hint="eastAsia" w:asciiTheme="minorHAnsi" w:hAnsiTheme="minorHAnsi" w:eastAsiaTheme="minorEastAsia" w:cstheme="minorBidi"/>
                <w:color w:val="auto"/>
                <w:sz w:val="21"/>
                <w:szCs w:val="24"/>
                <w:highlight w:val="none"/>
              </w:rPr>
              <w:t>2023年10月15日前完成102室、202室装修并交付，2023年12月</w:t>
            </w:r>
            <w:r>
              <w:rPr>
                <w:rFonts w:hint="eastAsia" w:asciiTheme="minorHAnsi" w:hAnsiTheme="minorHAnsi" w:eastAsiaTheme="minorEastAsia" w:cstheme="minorBidi"/>
                <w:color w:val="auto"/>
                <w:sz w:val="21"/>
                <w:szCs w:val="24"/>
                <w:highlight w:val="none"/>
                <w:lang w:eastAsia="zh-CN"/>
              </w:rPr>
              <w:t>7</w:t>
            </w:r>
            <w:r>
              <w:rPr>
                <w:rFonts w:hint="eastAsia" w:asciiTheme="minorHAnsi" w:hAnsiTheme="minorHAnsi" w:eastAsiaTheme="minorEastAsia" w:cstheme="minorBidi"/>
                <w:color w:val="auto"/>
                <w:sz w:val="21"/>
                <w:szCs w:val="24"/>
                <w:highlight w:val="none"/>
              </w:rPr>
              <w:t>日前完成全部工程装修并交付。</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经济部分（60分）</w:t>
            </w:r>
          </w:p>
        </w:tc>
        <w:tc>
          <w:tcPr>
            <w:tcW w:w="1406" w:type="dxa"/>
            <w:vAlign w:val="center"/>
          </w:tcPr>
          <w:p>
            <w:pPr>
              <w:snapToGrid w:val="0"/>
              <w:ind w:left="-2" w:leftChars="-1"/>
              <w:jc w:val="center"/>
              <w:rPr>
                <w:rFonts w:ascii="宋体" w:hAnsi="宋体" w:eastAsia="宋体" w:cs="宋体"/>
                <w:color w:val="auto"/>
                <w:szCs w:val="21"/>
                <w:highlight w:val="none"/>
              </w:rPr>
            </w:pPr>
          </w:p>
          <w:p>
            <w:pPr>
              <w:snapToGrid w:val="0"/>
              <w:ind w:left="-2" w:leftChars="-1"/>
              <w:rPr>
                <w:rFonts w:ascii="宋体" w:hAnsi="宋体" w:eastAsia="宋体" w:cs="宋体"/>
                <w:color w:val="auto"/>
                <w:szCs w:val="21"/>
                <w:highlight w:val="none"/>
              </w:rPr>
            </w:pPr>
            <w:r>
              <w:rPr>
                <w:rFonts w:hint="eastAsia" w:ascii="宋体" w:hAnsi="宋体" w:eastAsia="宋体" w:cs="宋体"/>
                <w:color w:val="auto"/>
                <w:szCs w:val="21"/>
                <w:highlight w:val="none"/>
              </w:rPr>
              <w:t>报价（60分）</w:t>
            </w:r>
          </w:p>
        </w:tc>
        <w:tc>
          <w:tcPr>
            <w:tcW w:w="709" w:type="dxa"/>
            <w:vAlign w:val="center"/>
          </w:tcPr>
          <w:p>
            <w:pPr>
              <w:spacing w:line="220" w:lineRule="exact"/>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60分</w:t>
            </w:r>
          </w:p>
        </w:tc>
        <w:tc>
          <w:tcPr>
            <w:tcW w:w="9797" w:type="dxa"/>
          </w:tcPr>
          <w:p>
            <w:pPr>
              <w:pStyle w:val="2"/>
              <w:rPr>
                <w:rFonts w:hint="default" w:hAnsi="宋体" w:cs="宋体"/>
                <w:color w:val="auto"/>
                <w:highlight w:val="none"/>
              </w:rPr>
            </w:pPr>
            <w:r>
              <w:rPr>
                <w:rFonts w:hAnsi="宋体" w:cs="宋体"/>
                <w:color w:val="auto"/>
                <w:highlight w:val="none"/>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pPr>
              <w:pStyle w:val="2"/>
              <w:rPr>
                <w:rFonts w:hint="default" w:hAnsi="宋体" w:cs="宋体"/>
                <w:color w:val="auto"/>
                <w:highlight w:val="none"/>
              </w:rPr>
            </w:pPr>
            <w:r>
              <w:rPr>
                <w:rFonts w:hAnsi="宋体" w:cs="宋体"/>
                <w:color w:val="auto"/>
                <w:highlight w:val="none"/>
              </w:rPr>
              <w:t>1、投标报价等于基准价为满分60分，高于基准价的1%扣1分，低于基准价的1%扣0.5分，以此类推。最低得分0分。得分保留两位小数。计算公式如下：</w:t>
            </w:r>
          </w:p>
          <w:p>
            <w:pPr>
              <w:pStyle w:val="2"/>
              <w:rPr>
                <w:rFonts w:hint="default" w:hAnsi="宋体" w:cs="宋体"/>
                <w:color w:val="auto"/>
                <w:highlight w:val="none"/>
              </w:rPr>
            </w:pPr>
            <w:r>
              <w:rPr>
                <w:rFonts w:hAnsi="宋体" w:cs="宋体"/>
                <w:color w:val="auto"/>
                <w:highlight w:val="none"/>
              </w:rPr>
              <w:t>2、报价等于基准价的，得分=60。</w:t>
            </w:r>
          </w:p>
          <w:p>
            <w:pPr>
              <w:pStyle w:val="2"/>
              <w:rPr>
                <w:rFonts w:hint="default" w:hAnsi="宋体" w:cs="宋体"/>
                <w:color w:val="auto"/>
                <w:highlight w:val="none"/>
              </w:rPr>
            </w:pPr>
            <w:r>
              <w:rPr>
                <w:rFonts w:hAnsi="宋体" w:cs="宋体"/>
                <w:color w:val="auto"/>
                <w:highlight w:val="none"/>
              </w:rPr>
              <w:t>3、报价高于基准价的，得分=60-[（报价-基准价）/基准价]×100×1</w:t>
            </w:r>
          </w:p>
          <w:p>
            <w:pPr>
              <w:pStyle w:val="2"/>
              <w:rPr>
                <w:rFonts w:hint="default" w:hAnsi="宋体" w:cs="宋体"/>
                <w:color w:val="auto"/>
                <w:highlight w:val="none"/>
              </w:rPr>
            </w:pPr>
            <w:r>
              <w:rPr>
                <w:rFonts w:hAnsi="宋体" w:cs="宋体"/>
                <w:color w:val="auto"/>
                <w:highlight w:val="none"/>
              </w:rPr>
              <w:t>3、报价低于基准价的，得分=60-[（基准价-报价）/基准价]×100×0.5</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709" w:type="dxa"/>
            <w:vAlign w:val="center"/>
          </w:tcPr>
          <w:p>
            <w:pPr>
              <w:spacing w:line="220" w:lineRule="exact"/>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vAlign w:val="center"/>
          </w:tcPr>
          <w:p>
            <w:pPr>
              <w:spacing w:line="220" w:lineRule="exact"/>
              <w:ind w:left="-2" w:leftChars="-1"/>
              <w:rPr>
                <w:rFonts w:ascii="宋体" w:hAnsi="宋体" w:eastAsia="宋体" w:cs="宋体"/>
                <w:color w:val="auto"/>
                <w:szCs w:val="21"/>
                <w:highlight w:val="none"/>
              </w:rPr>
            </w:pPr>
          </w:p>
        </w:tc>
        <w:tc>
          <w:tcPr>
            <w:tcW w:w="240" w:type="dxa"/>
            <w:vAlign w:val="center"/>
          </w:tcPr>
          <w:p>
            <w:pPr>
              <w:spacing w:line="360" w:lineRule="exact"/>
              <w:ind w:left="-2" w:leftChars="-1"/>
              <w:rPr>
                <w:rFonts w:ascii="宋体" w:hAnsi="宋体" w:eastAsia="宋体" w:cs="宋体"/>
                <w:color w:val="auto"/>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rPr>
          <w:rFonts w:ascii="宋体" w:hAnsi="宋体" w:cs="宋体"/>
          <w:color w:val="auto"/>
          <w:szCs w:val="18"/>
          <w:highlight w:val="none"/>
        </w:rPr>
      </w:pPr>
      <w:r>
        <w:rPr>
          <w:rFonts w:hint="eastAsia" w:ascii="宋体" w:hAnsi="宋体" w:cs="宋体"/>
          <w:color w:val="auto"/>
          <w:szCs w:val="18"/>
          <w:highlight w:val="none"/>
        </w:rPr>
        <w:t xml:space="preserve">    本表中所有要求提供的证明资料复印件均需加盖投标人公章。未提供证明资料或提供的证明材料不齐全、不符合要求的，不得分。</w:t>
      </w:r>
    </w:p>
    <w:p>
      <w:pPr>
        <w:pStyle w:val="21"/>
        <w:rPr>
          <w:rFonts w:ascii="宋体" w:hAnsi="宋体" w:cs="宋体"/>
          <w:color w:val="auto"/>
          <w:szCs w:val="21"/>
          <w:highlight w:val="none"/>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广州南沙资产经营集团有限公司、广州南沙建设维护管理有限公司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rPr>
        <w:t>融通大厦9楼、102、202室室内装修工程施工总承包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28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40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63691A39"/>
    <w:multiLevelType w:val="singleLevel"/>
    <w:tmpl w:val="63691A39"/>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7C3F9C"/>
    <w:rsid w:val="02E9680F"/>
    <w:rsid w:val="02F7533D"/>
    <w:rsid w:val="030457ED"/>
    <w:rsid w:val="03562994"/>
    <w:rsid w:val="03CB6D70"/>
    <w:rsid w:val="04364A4F"/>
    <w:rsid w:val="04376975"/>
    <w:rsid w:val="04435BE0"/>
    <w:rsid w:val="044C08C6"/>
    <w:rsid w:val="04E40895"/>
    <w:rsid w:val="051B7598"/>
    <w:rsid w:val="052E78DA"/>
    <w:rsid w:val="059A4101"/>
    <w:rsid w:val="079A3CDA"/>
    <w:rsid w:val="07F66A4C"/>
    <w:rsid w:val="083B43B1"/>
    <w:rsid w:val="08757A2C"/>
    <w:rsid w:val="08A9464F"/>
    <w:rsid w:val="08D505E6"/>
    <w:rsid w:val="08E03A6C"/>
    <w:rsid w:val="09062DA7"/>
    <w:rsid w:val="091F7224"/>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D8481A"/>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6007AF5"/>
    <w:rsid w:val="173D0A89"/>
    <w:rsid w:val="17463991"/>
    <w:rsid w:val="179E3273"/>
    <w:rsid w:val="17E977C8"/>
    <w:rsid w:val="182C4B8E"/>
    <w:rsid w:val="1873680D"/>
    <w:rsid w:val="18E67433"/>
    <w:rsid w:val="18F12637"/>
    <w:rsid w:val="19095239"/>
    <w:rsid w:val="19A846E9"/>
    <w:rsid w:val="19BE3F0C"/>
    <w:rsid w:val="1A5A3C35"/>
    <w:rsid w:val="1A6525DA"/>
    <w:rsid w:val="1AB46DAB"/>
    <w:rsid w:val="1B6C2995"/>
    <w:rsid w:val="1BB630ED"/>
    <w:rsid w:val="1BC44893"/>
    <w:rsid w:val="1BE136FF"/>
    <w:rsid w:val="1C05708F"/>
    <w:rsid w:val="1C307374"/>
    <w:rsid w:val="1C9203A6"/>
    <w:rsid w:val="1E032835"/>
    <w:rsid w:val="1E562810"/>
    <w:rsid w:val="1EB63404"/>
    <w:rsid w:val="1EBD45C4"/>
    <w:rsid w:val="1F1C5732"/>
    <w:rsid w:val="1F584BD1"/>
    <w:rsid w:val="1F7A6193"/>
    <w:rsid w:val="205D447F"/>
    <w:rsid w:val="206E043A"/>
    <w:rsid w:val="20AD4C4C"/>
    <w:rsid w:val="20E35285"/>
    <w:rsid w:val="21424D60"/>
    <w:rsid w:val="215321ED"/>
    <w:rsid w:val="215D5254"/>
    <w:rsid w:val="224A02E7"/>
    <w:rsid w:val="227411DF"/>
    <w:rsid w:val="22934188"/>
    <w:rsid w:val="23EE6B47"/>
    <w:rsid w:val="24856237"/>
    <w:rsid w:val="25053D8A"/>
    <w:rsid w:val="25687B33"/>
    <w:rsid w:val="25791876"/>
    <w:rsid w:val="26236584"/>
    <w:rsid w:val="26826F29"/>
    <w:rsid w:val="26B94C66"/>
    <w:rsid w:val="26EC20B9"/>
    <w:rsid w:val="26FF6942"/>
    <w:rsid w:val="272101A5"/>
    <w:rsid w:val="272B74FA"/>
    <w:rsid w:val="2751149E"/>
    <w:rsid w:val="2837076A"/>
    <w:rsid w:val="2865301D"/>
    <w:rsid w:val="28C86C87"/>
    <w:rsid w:val="29051210"/>
    <w:rsid w:val="296119D7"/>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B57180"/>
    <w:rsid w:val="33113670"/>
    <w:rsid w:val="3411535B"/>
    <w:rsid w:val="34935BA4"/>
    <w:rsid w:val="34A264CA"/>
    <w:rsid w:val="35830B03"/>
    <w:rsid w:val="360F448A"/>
    <w:rsid w:val="3700775A"/>
    <w:rsid w:val="37A26BD4"/>
    <w:rsid w:val="37A33759"/>
    <w:rsid w:val="37AE7FE3"/>
    <w:rsid w:val="37B20151"/>
    <w:rsid w:val="383813C8"/>
    <w:rsid w:val="38417D8A"/>
    <w:rsid w:val="390B4D39"/>
    <w:rsid w:val="39131727"/>
    <w:rsid w:val="392A6A70"/>
    <w:rsid w:val="39731517"/>
    <w:rsid w:val="39F52602"/>
    <w:rsid w:val="39FC703A"/>
    <w:rsid w:val="3A1F234D"/>
    <w:rsid w:val="3AC802EF"/>
    <w:rsid w:val="3B183024"/>
    <w:rsid w:val="3B514788"/>
    <w:rsid w:val="3B6D4312"/>
    <w:rsid w:val="3BB718A6"/>
    <w:rsid w:val="3BBA1D8E"/>
    <w:rsid w:val="3BC04127"/>
    <w:rsid w:val="3C88543E"/>
    <w:rsid w:val="3CB7521C"/>
    <w:rsid w:val="3CE76215"/>
    <w:rsid w:val="3CFF0303"/>
    <w:rsid w:val="3D7619F9"/>
    <w:rsid w:val="3D957982"/>
    <w:rsid w:val="3D96007A"/>
    <w:rsid w:val="3D965718"/>
    <w:rsid w:val="3DF62488"/>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A2655E"/>
    <w:rsid w:val="43120161"/>
    <w:rsid w:val="43420D2F"/>
    <w:rsid w:val="436C5E0D"/>
    <w:rsid w:val="437259B2"/>
    <w:rsid w:val="43952229"/>
    <w:rsid w:val="43F36E83"/>
    <w:rsid w:val="44631084"/>
    <w:rsid w:val="446A549B"/>
    <w:rsid w:val="44755126"/>
    <w:rsid w:val="44800368"/>
    <w:rsid w:val="44E811C0"/>
    <w:rsid w:val="457C68A6"/>
    <w:rsid w:val="45E74C1B"/>
    <w:rsid w:val="46871AD6"/>
    <w:rsid w:val="47025D0E"/>
    <w:rsid w:val="4735560E"/>
    <w:rsid w:val="47413F22"/>
    <w:rsid w:val="4792678F"/>
    <w:rsid w:val="47E03B89"/>
    <w:rsid w:val="481D5A38"/>
    <w:rsid w:val="482B34F2"/>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904DD7"/>
    <w:rsid w:val="4D9C287D"/>
    <w:rsid w:val="4DC04FA6"/>
    <w:rsid w:val="4DC53F66"/>
    <w:rsid w:val="4E2A0E48"/>
    <w:rsid w:val="4FC91A1A"/>
    <w:rsid w:val="5049448C"/>
    <w:rsid w:val="508B10C7"/>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C0EE8"/>
    <w:rsid w:val="55592415"/>
    <w:rsid w:val="55D122F6"/>
    <w:rsid w:val="55D41C4B"/>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C7852D7"/>
    <w:rsid w:val="5C9B134E"/>
    <w:rsid w:val="5CF77B24"/>
    <w:rsid w:val="5D5E6B65"/>
    <w:rsid w:val="5D633297"/>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21244D5"/>
    <w:rsid w:val="62B2296D"/>
    <w:rsid w:val="62B247EF"/>
    <w:rsid w:val="636147EE"/>
    <w:rsid w:val="63DB6B9E"/>
    <w:rsid w:val="65B441A4"/>
    <w:rsid w:val="65D8147F"/>
    <w:rsid w:val="66373494"/>
    <w:rsid w:val="663E17E3"/>
    <w:rsid w:val="66591B82"/>
    <w:rsid w:val="66593A91"/>
    <w:rsid w:val="67D46774"/>
    <w:rsid w:val="68550B65"/>
    <w:rsid w:val="6898637C"/>
    <w:rsid w:val="68B16D7B"/>
    <w:rsid w:val="68BA7003"/>
    <w:rsid w:val="68C531A9"/>
    <w:rsid w:val="691C25EA"/>
    <w:rsid w:val="698555C7"/>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70727FF1"/>
    <w:rsid w:val="70836CF8"/>
    <w:rsid w:val="70CF07C8"/>
    <w:rsid w:val="710F157A"/>
    <w:rsid w:val="71840FD7"/>
    <w:rsid w:val="718C3480"/>
    <w:rsid w:val="71CC7A42"/>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CDB7433"/>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3"/>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next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alloon Text"/>
    <w:basedOn w:val="1"/>
    <w:link w:val="31"/>
    <w:qFormat/>
    <w:uiPriority w:val="0"/>
    <w:rPr>
      <w:sz w:val="18"/>
      <w:szCs w:val="18"/>
    </w:rPr>
  </w:style>
  <w:style w:type="paragraph" w:styleId="10">
    <w:name w:val="footer"/>
    <w:basedOn w:val="1"/>
    <w:link w:val="30"/>
    <w:qFormat/>
    <w:uiPriority w:val="0"/>
    <w:pPr>
      <w:tabs>
        <w:tab w:val="center" w:pos="4153"/>
        <w:tab w:val="right" w:pos="8306"/>
      </w:tabs>
      <w:snapToGrid w:val="0"/>
      <w:jc w:val="left"/>
    </w:pPr>
    <w:rPr>
      <w:sz w:val="18"/>
      <w:szCs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5"/>
    <w:qFormat/>
    <w:uiPriority w:val="0"/>
    <w:rPr>
      <w:rFonts w:hint="default" w:ascii="Times New Roman" w:hAnsi="Times New Roman" w:cs="Times New Roman"/>
    </w:rPr>
  </w:style>
  <w:style w:type="character" w:customStyle="1" w:styleId="27">
    <w:name w:val="15"/>
    <w:basedOn w:val="15"/>
    <w:qFormat/>
    <w:uiPriority w:val="0"/>
    <w:rPr>
      <w:rFonts w:hint="default" w:ascii="Times New Roman" w:hAnsi="Times New Roman" w:cs="Times New Roman"/>
    </w:rPr>
  </w:style>
  <w:style w:type="character" w:customStyle="1" w:styleId="28">
    <w:name w:val="16"/>
    <w:basedOn w:val="15"/>
    <w:qFormat/>
    <w:uiPriority w:val="0"/>
    <w:rPr>
      <w:rFonts w:hint="default" w:ascii="Times New Roman" w:hAnsi="Times New Roman" w:cs="Times New Roman"/>
      <w:color w:val="0000FF"/>
      <w:u w:val="single"/>
    </w:rPr>
  </w:style>
  <w:style w:type="character" w:customStyle="1" w:styleId="29">
    <w:name w:val="页眉 Char"/>
    <w:basedOn w:val="15"/>
    <w:link w:val="11"/>
    <w:qFormat/>
    <w:uiPriority w:val="0"/>
    <w:rPr>
      <w:rFonts w:asciiTheme="minorHAnsi" w:hAnsiTheme="minorHAnsi" w:eastAsiaTheme="minorEastAsia" w:cstheme="minorBidi"/>
      <w:kern w:val="2"/>
      <w:sz w:val="18"/>
      <w:szCs w:val="18"/>
    </w:rPr>
  </w:style>
  <w:style w:type="character" w:customStyle="1" w:styleId="30">
    <w:name w:val="页脚 Char"/>
    <w:basedOn w:val="15"/>
    <w:link w:val="10"/>
    <w:qFormat/>
    <w:uiPriority w:val="0"/>
    <w:rPr>
      <w:rFonts w:asciiTheme="minorHAnsi" w:hAnsiTheme="minorHAnsi" w:eastAsiaTheme="minorEastAsia" w:cstheme="minorBidi"/>
      <w:kern w:val="2"/>
      <w:sz w:val="18"/>
      <w:szCs w:val="18"/>
    </w:rPr>
  </w:style>
  <w:style w:type="character" w:customStyle="1" w:styleId="31">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2"/>
    <w:qFormat/>
    <w:uiPriority w:val="0"/>
    <w:rPr>
      <w:rFonts w:ascii="宋体" w:hAnsi="Courier New"/>
      <w:kern w:val="2"/>
      <w:sz w:val="21"/>
      <w:szCs w:val="21"/>
    </w:rPr>
  </w:style>
  <w:style w:type="character" w:customStyle="1" w:styleId="34">
    <w:name w:val="正文首行缩进 Char"/>
    <w:basedOn w:val="15"/>
    <w:link w:val="13"/>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42</Pages>
  <Words>16213</Words>
  <Characters>17167</Characters>
  <Lines>138</Lines>
  <Paragraphs>38</Paragraphs>
  <TotalTime>13</TotalTime>
  <ScaleCrop>false</ScaleCrop>
  <LinksUpToDate>false</LinksUpToDate>
  <CharactersWithSpaces>18183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2023-08-30T09:22:08Z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