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仿宋_GB2312" w:hAnsi="仿宋_GB2312" w:eastAsia="仿宋_GB2312" w:cs="仿宋_GB2312"/>
          <w:color w:val="000000" w:themeColor="text1"/>
          <w:sz w:val="32"/>
          <w:szCs w:val="32"/>
          <w:lang w:val="zh-CN"/>
          <w14:textFill>
            <w14:solidFill>
              <w14:schemeClr w14:val="tx1"/>
            </w14:solidFill>
          </w14:textFill>
        </w:rPr>
      </w:pPr>
    </w:p>
    <w:p>
      <w:pPr>
        <w:spacing w:line="360" w:lineRule="auto"/>
        <w:ind w:left="720"/>
        <w:rPr>
          <w:rFonts w:ascii="仿宋_GB2312" w:hAnsi="仿宋_GB2312" w:eastAsia="仿宋_GB2312" w:cs="仿宋_GB2312"/>
          <w:color w:val="000000" w:themeColor="text1"/>
          <w14:textFill>
            <w14:solidFill>
              <w14:schemeClr w14:val="tx1"/>
            </w14:solidFill>
          </w14:textFill>
        </w:rPr>
      </w:pPr>
    </w:p>
    <w:p>
      <w:pPr>
        <w:spacing w:line="360" w:lineRule="auto"/>
        <w:jc w:val="center"/>
        <w:rPr>
          <w:rFonts w:hint="eastAsia" w:ascii="黑体" w:hAnsi="黑体" w:eastAsia="黑体" w:cs="黑体"/>
          <w:color w:val="000000"/>
          <w:sz w:val="44"/>
          <w:szCs w:val="44"/>
        </w:rPr>
      </w:pPr>
      <w:r>
        <w:rPr>
          <w:rFonts w:hint="eastAsia" w:ascii="黑体" w:hAnsi="黑体" w:eastAsia="黑体" w:cs="黑体"/>
          <w:color w:val="000000" w:themeColor="text1"/>
          <w:sz w:val="44"/>
          <w:szCs w:val="44"/>
          <w14:textFill>
            <w14:solidFill>
              <w14:schemeClr w14:val="tx1"/>
            </w14:solidFill>
          </w14:textFill>
        </w:rPr>
        <w:t xml:space="preserve"> </w:t>
      </w:r>
      <w:r>
        <w:rPr>
          <w:rFonts w:ascii="黑体" w:hAnsi="黑体" w:eastAsia="黑体" w:cs="黑体"/>
          <w:color w:val="000000" w:themeColor="text1"/>
          <w:sz w:val="44"/>
          <w:szCs w:val="44"/>
          <w14:textFill>
            <w14:solidFill>
              <w14:schemeClr w14:val="tx1"/>
            </w14:solidFill>
          </w14:textFill>
        </w:rPr>
        <w:t xml:space="preserve"> </w:t>
      </w:r>
      <w:r>
        <w:rPr>
          <w:rFonts w:hint="eastAsia" w:ascii="黑体" w:hAnsi="黑体" w:eastAsia="黑体" w:cs="黑体"/>
          <w:color w:val="000000"/>
          <w:sz w:val="44"/>
          <w:szCs w:val="44"/>
        </w:rPr>
        <w:t>南沙区国有企业党员教育示范基地</w:t>
      </w:r>
    </w:p>
    <w:p>
      <w:pPr>
        <w:spacing w:line="360" w:lineRule="auto"/>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sz w:val="44"/>
          <w:szCs w:val="44"/>
        </w:rPr>
        <w:t>提档升级项目</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p>
    <w:p>
      <w:pPr>
        <w:tabs>
          <w:tab w:val="left" w:pos="2160"/>
        </w:tabs>
        <w:spacing w:line="300" w:lineRule="auto"/>
        <w:jc w:val="center"/>
        <w:rPr>
          <w:rFonts w:ascii="宋体-18030" w:hAnsi="宋体-18030" w:eastAsia="宋体-18030" w:cs="宋体-18030"/>
          <w:b/>
          <w:color w:val="000000" w:themeColor="text1"/>
          <w:spacing w:val="120"/>
          <w:sz w:val="84"/>
          <w:szCs w:val="84"/>
          <w14:textFill>
            <w14:solidFill>
              <w14:schemeClr w14:val="tx1"/>
            </w14:solidFill>
          </w14:textFill>
        </w:rPr>
      </w:pPr>
      <w:r>
        <w:rPr>
          <w:rFonts w:hint="eastAsia" w:ascii="宋体-18030" w:hAnsi="宋体-18030" w:eastAsia="宋体-18030" w:cs="宋体-18030"/>
          <w:b/>
          <w:color w:val="000000" w:themeColor="text1"/>
          <w:spacing w:val="120"/>
          <w:position w:val="-2"/>
          <w:sz w:val="84"/>
          <w:szCs w:val="84"/>
          <w14:textFill>
            <w14:solidFill>
              <w14:schemeClr w14:val="tx1"/>
            </w14:solidFill>
          </w14:textFill>
        </w:rPr>
        <w:t>招标文件</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rPr>
          <w:rFonts w:ascii="仿宋_GB2312" w:hAnsi="仿宋_GB2312" w:eastAsia="仿宋_GB2312" w:cs="仿宋_GB2312"/>
          <w:color w:val="000000" w:themeColor="text1"/>
          <w:sz w:val="36"/>
          <w:szCs w:val="36"/>
          <w14:textFill>
            <w14:solidFill>
              <w14:schemeClr w14:val="tx1"/>
            </w14:solidFill>
          </w14:textFill>
        </w:rPr>
      </w:pPr>
    </w:p>
    <w:p>
      <w:pPr>
        <w:pStyle w:val="2"/>
        <w:rPr>
          <w:rFonts w:ascii="仿宋_GB2312" w:hAnsi="仿宋_GB2312" w:eastAsia="仿宋_GB2312" w:cs="仿宋_GB2312"/>
          <w:color w:val="000000" w:themeColor="text1"/>
          <w14:textFill>
            <w14:solidFill>
              <w14:schemeClr w14:val="tx1"/>
            </w14:solidFill>
          </w14:textFill>
        </w:rPr>
      </w:pPr>
    </w:p>
    <w:p>
      <w:pPr>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 xml:space="preserve"> 广州南沙资产经营集团有限公司</w:t>
      </w:r>
    </w:p>
    <w:p>
      <w:pPr>
        <w:jc w:val="center"/>
        <w:rPr>
          <w:rFonts w:ascii="黑体" w:hAnsi="黑体" w:eastAsia="黑体" w:cs="黑体"/>
          <w:color w:val="000000" w:themeColor="text1"/>
          <w:sz w:val="44"/>
          <w:szCs w:val="44"/>
          <w14:textFill>
            <w14:solidFill>
              <w14:schemeClr w14:val="tx1"/>
            </w14:solidFill>
          </w14:textFill>
        </w:rPr>
      </w:pPr>
    </w:p>
    <w:p>
      <w:pPr>
        <w:jc w:val="center"/>
        <w:rPr>
          <w:rFonts w:ascii="黑体" w:hAnsi="黑体" w:eastAsia="黑体" w:cs="黑体"/>
          <w:color w:val="000000" w:themeColor="text1"/>
          <w:sz w:val="44"/>
          <w:szCs w:val="44"/>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1440" w:right="1646" w:bottom="1440" w:left="1620" w:header="851" w:footer="992" w:gutter="0"/>
          <w:cols w:space="720" w:num="1"/>
          <w:docGrid w:type="lines" w:linePitch="312" w:charSpace="0"/>
        </w:sectPr>
      </w:pPr>
      <w:r>
        <w:rPr>
          <w:rFonts w:hint="eastAsia" w:ascii="黑体" w:hAnsi="黑体" w:eastAsia="黑体" w:cs="黑体"/>
          <w:color w:val="000000" w:themeColor="text1"/>
          <w:sz w:val="44"/>
          <w:szCs w:val="44"/>
          <w14:textFill>
            <w14:solidFill>
              <w14:schemeClr w14:val="tx1"/>
            </w14:solidFill>
          </w14:textFill>
        </w:rPr>
        <w:t>2023年</w:t>
      </w:r>
      <w:r>
        <w:rPr>
          <w:rFonts w:hint="eastAsia" w:ascii="黑体" w:hAnsi="黑体" w:eastAsia="黑体" w:cs="黑体"/>
          <w:color w:val="000000" w:themeColor="text1"/>
          <w:sz w:val="44"/>
          <w:szCs w:val="44"/>
          <w:lang w:val="en-US" w:eastAsia="zh-CN"/>
          <w14:textFill>
            <w14:solidFill>
              <w14:schemeClr w14:val="tx1"/>
            </w14:solidFill>
          </w14:textFill>
        </w:rPr>
        <w:t>9</w:t>
      </w:r>
      <w:r>
        <w:rPr>
          <w:rFonts w:hint="eastAsia" w:ascii="黑体" w:hAnsi="黑体" w:eastAsia="黑体" w:cs="黑体"/>
          <w:color w:val="000000" w:themeColor="text1"/>
          <w:sz w:val="44"/>
          <w:szCs w:val="44"/>
          <w14:textFill>
            <w14:solidFill>
              <w14:schemeClr w14:val="tx1"/>
            </w14:solidFill>
          </w14:textFill>
        </w:rPr>
        <w:t>月</w:t>
      </w:r>
    </w:p>
    <w:p>
      <w:pPr>
        <w:spacing w:line="560" w:lineRule="exact"/>
        <w:jc w:val="center"/>
        <w:outlineLvl w:val="0"/>
        <w:rPr>
          <w:rFonts w:ascii="黑体" w:hAnsi="黑体" w:eastAsia="黑体"/>
          <w:b/>
          <w:sz w:val="32"/>
          <w:szCs w:val="32"/>
        </w:rPr>
      </w:pPr>
      <w:r>
        <w:rPr>
          <w:rFonts w:hint="eastAsia" w:ascii="黑体" w:hAnsi="黑体" w:eastAsia="黑体"/>
          <w:b/>
          <w:sz w:val="32"/>
          <w:szCs w:val="32"/>
        </w:rPr>
        <w:t>第一部分  邀 请 函</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广州南沙资产经营集团有限公司现对</w:t>
      </w:r>
      <w:r>
        <w:rPr>
          <w:rFonts w:hint="eastAsia" w:ascii="仿宋_GB2312" w:eastAsia="仿宋_GB2312" w:cs="Times New Roman"/>
          <w:bCs/>
          <w:sz w:val="32"/>
          <w:szCs w:val="32"/>
        </w:rPr>
        <w:t>南沙区国有企业党员教育示范基地提档升级项目</w:t>
      </w:r>
      <w:r>
        <w:rPr>
          <w:rFonts w:hint="eastAsia" w:ascii="仿宋_GB2312" w:hAnsi="仿宋_GB2312" w:eastAsia="仿宋_GB2312" w:cs="仿宋_GB2312"/>
          <w:color w:val="000000" w:themeColor="text1"/>
          <w:sz w:val="32"/>
          <w:szCs w:val="32"/>
          <w14:textFill>
            <w14:solidFill>
              <w14:schemeClr w14:val="tx1"/>
            </w14:solidFill>
          </w14:textFill>
        </w:rPr>
        <w:t>进行邀请招标，欢迎符合资格条件的供应商投标。</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sz w:val="32"/>
          <w:szCs w:val="32"/>
        </w:rPr>
        <w:t>一、项目管理单位：</w:t>
      </w:r>
      <w:r>
        <w:rPr>
          <w:rFonts w:hint="eastAsia" w:ascii="仿宋_GB2312" w:hAnsi="仿宋_GB2312" w:eastAsia="仿宋_GB2312" w:cs="仿宋_GB2312"/>
          <w:color w:val="000000" w:themeColor="text1"/>
          <w:sz w:val="32"/>
          <w:szCs w:val="32"/>
          <w14:textFill>
            <w14:solidFill>
              <w14:schemeClr w14:val="tx1"/>
            </w14:solidFill>
          </w14:textFill>
        </w:rPr>
        <w:t>广州南沙资产经营集团有限公司</w:t>
      </w: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sz w:val="32"/>
          <w:szCs w:val="32"/>
        </w:rPr>
        <w:t>二、项目名称：</w:t>
      </w:r>
      <w:r>
        <w:rPr>
          <w:rFonts w:hint="eastAsia" w:ascii="仿宋_GB2312" w:eastAsia="仿宋_GB2312" w:cs="Times New Roman"/>
          <w:bCs/>
          <w:sz w:val="32"/>
          <w:szCs w:val="32"/>
        </w:rPr>
        <w:t>南沙区国有企业党员教育示范基地提档升级项目</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三、招标内容：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Calibri" w:eastAsia="仿宋_GB2312" w:cs="Times New Roman"/>
          <w:b w:val="0"/>
          <w:bCs/>
          <w:kern w:val="2"/>
          <w:sz w:val="32"/>
          <w:szCs w:val="32"/>
          <w:lang w:val="en-US" w:eastAsia="zh-CN" w:bidi="ar-SA"/>
        </w:rPr>
        <w:t>在南沙区国有企业党员教育示范基地（以下简称示范基地）的基础上进行升级改造，要求对标广州市国企党建基地创建标准，重点突出政治性、创新性、服务性、融合性、示范性，升级改造内容包括但不限于：党建长廊、政治体检区、党建实务区、企业展示区、党群工作区、廉洁教育区、入党宣誓区、多功能培训区、企业文化书屋、红色朗读书屋等十个主要功能区域。</w:t>
      </w:r>
      <w:r>
        <w:rPr>
          <w:rFonts w:hint="eastAsia" w:ascii="仿宋_GB2312" w:hAnsi="仿宋_GB2312" w:eastAsia="仿宋_GB2312" w:cs="仿宋_GB2312"/>
          <w:color w:val="000000" w:themeColor="text1"/>
          <w:sz w:val="32"/>
          <w:szCs w:val="32"/>
          <w14:textFill>
            <w14:solidFill>
              <w14:schemeClr w14:val="tx1"/>
            </w14:solidFill>
          </w14:textFill>
        </w:rPr>
        <w:t xml:space="preserve">具体内容包括：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1、拆除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示范基地指定区域内</w:t>
      </w:r>
      <w:r>
        <w:rPr>
          <w:rFonts w:hint="eastAsia" w:ascii="仿宋_GB2312" w:hAnsi="仿宋_GB2312" w:eastAsia="仿宋_GB2312" w:cs="仿宋_GB2312"/>
          <w:color w:val="000000" w:themeColor="text1"/>
          <w:sz w:val="32"/>
          <w:szCs w:val="32"/>
          <w14:textFill>
            <w14:solidFill>
              <w14:schemeClr w14:val="tx1"/>
            </w14:solidFill>
          </w14:textFill>
        </w:rPr>
        <w:t>原有展示墙体表面内容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根据上述要求</w:t>
      </w:r>
      <w:r>
        <w:rPr>
          <w:rFonts w:hint="eastAsia" w:ascii="仿宋_GB2312" w:hAnsi="仿宋_GB2312" w:eastAsia="仿宋_GB2312" w:cs="仿宋_GB2312"/>
          <w:color w:val="000000" w:themeColor="text1"/>
          <w:sz w:val="32"/>
          <w:szCs w:val="32"/>
          <w14:textFill>
            <w14:solidFill>
              <w14:schemeClr w14:val="tx1"/>
            </w14:solidFill>
          </w14:textFill>
        </w:rPr>
        <w:t>更新内容并对墙面展示形式进行设计、安装及竣工验收后1年的质保期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安装位置为广州市南沙区海滨路171号南沙金融大厦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施工前需对现场做好保护，做好施工区域与非施工区域分隔。对拆除后与施工完成的现场工程垃圾进行清理。</w:t>
      </w:r>
      <w:r>
        <w:rPr>
          <w:rFonts w:hint="eastAsia" w:ascii="仿宋_GB2312" w:hAnsi="仿宋_GB2312" w:eastAsia="仿宋_GB2312" w:cs="仿宋_GB2312"/>
          <w:color w:val="000000" w:themeColor="text1"/>
          <w:sz w:val="32"/>
          <w:szCs w:val="32"/>
          <w:highlight w:val="none"/>
          <w14:textFill>
            <w14:solidFill>
              <w14:schemeClr w14:val="tx1"/>
            </w14:solidFill>
          </w14:textFill>
        </w:rPr>
        <w:t>整体风格偏现代简约风格</w:t>
      </w:r>
      <w:r>
        <w:rPr>
          <w:rFonts w:hint="eastAsia" w:ascii="仿宋_GB2312" w:hAnsi="仿宋_GB2312" w:eastAsia="仿宋_GB2312" w:cs="仿宋_GB2312"/>
          <w:color w:val="000000" w:themeColor="text1"/>
          <w:sz w:val="32"/>
          <w:szCs w:val="32"/>
          <w14:textFill>
            <w14:solidFill>
              <w14:schemeClr w14:val="tx1"/>
            </w14:solidFill>
          </w14:textFill>
        </w:rPr>
        <w:t>，内容展示方式需契合场地精神，关于上墙字体和内容不可涉及侵权。</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2、承包人施工材料的要求：承包人应将各项材料的品牌、品种、规格、数量、参数和颜色等情况以书面形式及样本提交我司确认，待批准后方可实施。</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Times New Roman"/>
          <w:bCs/>
          <w:sz w:val="32"/>
          <w:szCs w:val="32"/>
        </w:rPr>
        <w:t>南沙区国有企业党员教育示范基地提档升级项目</w:t>
      </w:r>
      <w:r>
        <w:rPr>
          <w:rFonts w:hint="eastAsia" w:ascii="仿宋_GB2312" w:hAnsi="仿宋_GB2312" w:eastAsia="仿宋_GB2312" w:cs="仿宋_GB2312"/>
          <w:color w:val="000000" w:themeColor="text1"/>
          <w:sz w:val="32"/>
          <w:szCs w:val="32"/>
          <w14:textFill>
            <w14:solidFill>
              <w14:schemeClr w14:val="tx1"/>
            </w14:solidFill>
          </w14:textFill>
        </w:rPr>
        <w:t>是以招标清单为基础的总价包干，包含设计方案、包人工、包材料、包机械、包质量、包进度、包安全文明安装、包安装配合费、包工期、包安装措施费、包运输、包管理费、包利润、包规费、包风险、包税金等为完成本项目承包工作和服务所需的一切费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详见</w:t>
      </w:r>
      <w:r>
        <w:rPr>
          <w:rFonts w:hint="eastAsia" w:ascii="仿宋_GB2312" w:eastAsia="仿宋_GB2312" w:cs="Times New Roman"/>
          <w:bCs/>
          <w:sz w:val="32"/>
          <w:szCs w:val="32"/>
        </w:rPr>
        <w:t>南沙区国有企业党员教育示范基地</w:t>
      </w:r>
      <w:r>
        <w:rPr>
          <w:rFonts w:hint="eastAsia" w:ascii="仿宋_GB2312" w:hAnsi="仿宋_GB2312" w:eastAsia="仿宋_GB2312" w:cs="仿宋_GB2312"/>
          <w:color w:val="000000" w:themeColor="text1"/>
          <w:sz w:val="32"/>
          <w:szCs w:val="32"/>
          <w14:textFill>
            <w14:solidFill>
              <w14:schemeClr w14:val="tx1"/>
            </w14:solidFill>
          </w14:textFill>
        </w:rPr>
        <w:t>现状平面图（附件二）、招标计价汇总表（附件三）。</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四、工期：</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合同签订后的15个日历天。</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sz w:val="32"/>
          <w:szCs w:val="32"/>
        </w:rPr>
        <w:t>五、投标单位需报送的资料：</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1、在有效期内的《营业执照》（复印件及国家企业信用信息公示系统网站http://gd.gsxt.gov.cn查询营业执照经营范围截图，加盖本单位公章）。</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2、法定代表人委托授权书（原件）。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3、法定代表人证明书（原件）。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4、为本项目设定的安装图、安装方案（原件），包括但不限于：①设计总说明：此项内容应包括对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示范基地提档升级</w:t>
      </w:r>
      <w:r>
        <w:rPr>
          <w:rFonts w:hint="eastAsia" w:ascii="仿宋_GB2312" w:hAnsi="仿宋_GB2312" w:eastAsia="仿宋_GB2312" w:cs="仿宋_GB2312"/>
          <w:color w:val="000000" w:themeColor="text1"/>
          <w:sz w:val="32"/>
          <w:szCs w:val="32"/>
          <w14:textFill>
            <w14:solidFill>
              <w14:schemeClr w14:val="tx1"/>
            </w14:solidFill>
          </w14:textFill>
        </w:rPr>
        <w:t>项目的设计构思、用色理念、动线分析、方案效果图等方面专业设计的说明；以及其它投标人认为有必要说明的内容。②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示范基地提档升级</w:t>
      </w:r>
      <w:r>
        <w:rPr>
          <w:rFonts w:hint="eastAsia" w:ascii="仿宋_GB2312" w:hAnsi="仿宋_GB2312" w:eastAsia="仿宋_GB2312" w:cs="仿宋_GB2312"/>
          <w:color w:val="000000" w:themeColor="text1"/>
          <w:sz w:val="32"/>
          <w:szCs w:val="32"/>
          <w14:textFill>
            <w14:solidFill>
              <w14:schemeClr w14:val="tx1"/>
            </w14:solidFill>
          </w14:textFill>
        </w:rPr>
        <w:t>制作量清单（包括主要材料用量）。③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示范基地</w:t>
      </w:r>
      <w:r>
        <w:rPr>
          <w:rFonts w:hint="eastAsia" w:ascii="仿宋_GB2312" w:hAnsi="仿宋_GB2312" w:eastAsia="仿宋_GB2312" w:cs="仿宋_GB2312"/>
          <w:color w:val="000000" w:themeColor="text1"/>
          <w:sz w:val="32"/>
          <w:szCs w:val="32"/>
          <w14:textFill>
            <w14:solidFill>
              <w14:schemeClr w14:val="tx1"/>
            </w14:solidFill>
          </w14:textFill>
        </w:rPr>
        <w:t>平面功能布置图，标识平面布局尺寸图。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5、投标人未被列入“信用中国”网站(www.creditchina.gov.cn)“失信被执行人或企业经营异常名录或重大税收违法案件当事人名单”(提供</w:t>
      </w:r>
      <w:r>
        <w:rPr>
          <w:rFonts w:hint="eastAsia" w:ascii="仿宋_GB2312" w:hAnsi="仿宋_GB2312" w:eastAsia="仿宋_GB2312" w:cs="仿宋_GB2312"/>
          <w:color w:val="000000" w:themeColor="text1"/>
          <w:sz w:val="32"/>
          <w:szCs w:val="32"/>
          <w:lang w:val="zh-CN"/>
          <w14:textFill>
            <w14:solidFill>
              <w14:schemeClr w14:val="tx1"/>
            </w14:solidFill>
          </w14:textFill>
        </w:rPr>
        <w:t>投标日当天</w:t>
      </w:r>
      <w:r>
        <w:rPr>
          <w:rFonts w:hint="eastAsia" w:ascii="仿宋_GB2312" w:hAnsi="仿宋_GB2312" w:eastAsia="仿宋_GB2312" w:cs="仿宋_GB2312"/>
          <w:color w:val="000000" w:themeColor="text1"/>
          <w:sz w:val="32"/>
          <w:szCs w:val="32"/>
          <w14:textFill>
            <w14:solidFill>
              <w14:schemeClr w14:val="tx1"/>
            </w14:solidFill>
          </w14:textFill>
        </w:rPr>
        <w:t>信用信息查询记录其中一项截图，加盖本单位公章)。</w:t>
      </w:r>
    </w:p>
    <w:p>
      <w:pPr>
        <w:spacing w:line="560" w:lineRule="exact"/>
        <w:ind w:firstLine="640" w:firstLineChars="200"/>
      </w:pPr>
      <w:r>
        <w:rPr>
          <w:rFonts w:hint="eastAsia" w:ascii="仿宋_GB2312" w:hAnsi="仿宋_GB2312" w:eastAsia="仿宋_GB2312" w:cs="仿宋_GB2312"/>
          <w:color w:val="000000" w:themeColor="text1"/>
          <w:sz w:val="32"/>
          <w:szCs w:val="32"/>
          <w14:textFill>
            <w14:solidFill>
              <w14:schemeClr w14:val="tx1"/>
            </w14:solidFill>
          </w14:textFill>
        </w:rPr>
        <w:t>备注：以上资料为复印件的需提供原件备查。</w:t>
      </w:r>
    </w:p>
    <w:p>
      <w:pPr>
        <w:pStyle w:val="7"/>
        <w:spacing w:line="560" w:lineRule="exact"/>
        <w:ind w:firstLine="608"/>
        <w:rPr>
          <w:rFonts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六、招标限价：</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最高限价为20万元。本项目采取总价包干，包一切税费以及明示或暗示的所有一切风险、责任和义务等所有费用。请各投标单位按本项目招标计价汇总表结合项目状况、自身实力和市场因素进行报价。报价不得超过该项投标的最高限价，否则按废标处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投标人报价低于最高限价的</w:t>
      </w: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，须提供所使用制作的原材料（板材、led灯源、广告材料）出厂合格证、质量证明书和性能检验报告，确保非恶意竞标，否则按废标处理。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kern w:val="0"/>
          <w:sz w:val="32"/>
          <w:szCs w:val="32"/>
          <w:shd w:val="clear" w:color="auto" w:fill="FFFFFF"/>
        </w:rPr>
        <w:t>七、招标文件领取：</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广州南沙资产经营集团有限公司网站（http://www.gnao.com.cn）下载。</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kern w:val="0"/>
          <w:sz w:val="32"/>
          <w:szCs w:val="32"/>
          <w:shd w:val="clear" w:color="auto" w:fill="FFFFFF"/>
        </w:rPr>
        <w:t>八、招标信息发布及结果公告网站：</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广州南沙资产经营集团有限公司网站（http://www.gnao.com.cn）。</w:t>
      </w:r>
    </w:p>
    <w:p>
      <w:pPr>
        <w:numPr>
          <w:ilvl w:val="0"/>
          <w:numId w:val="1"/>
        </w:numPr>
        <w:spacing w:line="560" w:lineRule="exact"/>
        <w:ind w:firstLine="640" w:firstLineChars="200"/>
        <w:jc w:val="left"/>
        <w:rPr>
          <w:rFonts w:ascii="黑体" w:hAnsi="黑体" w:eastAsia="黑体" w:cs="黑体"/>
          <w:bCs/>
          <w:color w:val="000000" w:themeColor="text1"/>
          <w:kern w:val="0"/>
          <w:sz w:val="32"/>
          <w:szCs w:val="32"/>
          <w:shd w:val="clear" w:color="auto" w:fill="FFFFFF"/>
          <w14:textFill>
            <w14:solidFill>
              <w14:schemeClr w14:val="tx1"/>
            </w14:solidFill>
          </w14:textFill>
        </w:rPr>
      </w:pPr>
      <w:r>
        <w:rPr>
          <w:rFonts w:hint="eastAsia" w:ascii="黑体" w:hAnsi="黑体" w:eastAsia="黑体" w:cs="黑体"/>
          <w:bCs/>
          <w:color w:val="000000" w:themeColor="text1"/>
          <w:kern w:val="0"/>
          <w:sz w:val="32"/>
          <w:szCs w:val="32"/>
          <w:shd w:val="clear" w:color="auto" w:fill="FFFFFF"/>
          <w14:textFill>
            <w14:solidFill>
              <w14:schemeClr w14:val="tx1"/>
            </w14:solidFill>
          </w14:textFill>
        </w:rPr>
        <w:t>付款方式：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（1）合同签订后，在收到中标人提供的有效合格的增值税专用发票之日后7个工作日内，支付合同总额的40%作为预付款。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（2）货到现场并经招标人验收后，收到有效合格的增值税专用发票之日后7个工作日内，支付合同总额的40%作为进度款。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（3）安装完成经招标人验收合格后，收到有效合格的增值税专用发票之日后7个工作日内支付合同总额的15%作为结算款。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（4）质保期满1年，收到有效合格的增值税专用发票之日后7个工作日内结算合同总额的5%保质金。</w:t>
      </w:r>
    </w:p>
    <w:p>
      <w:pPr>
        <w:tabs>
          <w:tab w:val="left" w:pos="0"/>
        </w:tabs>
        <w:spacing w:line="560" w:lineRule="exact"/>
        <w:ind w:firstLine="640" w:firstLineChars="200"/>
        <w:jc w:val="left"/>
        <w:rPr>
          <w:rFonts w:ascii="仿宋" w:hAnsi="仿宋" w:eastAsia="仿宋" w:cs="宋体"/>
          <w:kern w:val="0"/>
          <w:sz w:val="32"/>
          <w:szCs w:val="32"/>
        </w:rPr>
      </w:pPr>
      <w:r>
        <w:rPr>
          <w:rFonts w:hint="eastAsia" w:ascii="黑体" w:hAnsi="黑体" w:eastAsia="黑体" w:cs="黑体"/>
          <w:sz w:val="32"/>
          <w:szCs w:val="32"/>
        </w:rPr>
        <w:t>十、评标定标原则：</w:t>
      </w:r>
      <w:r>
        <w:rPr>
          <w:rFonts w:hint="eastAsia" w:ascii="仿宋_GB2312" w:hAnsi="仿宋_GB2312" w:eastAsia="仿宋_GB2312" w:cs="仿宋_GB2312"/>
          <w:color w:val="000000" w:themeColor="text1"/>
          <w:sz w:val="32"/>
          <w:szCs w:val="32"/>
          <w14:textFill>
            <w14:solidFill>
              <w14:schemeClr w14:val="tx1"/>
            </w14:solidFill>
          </w14:textFill>
        </w:rPr>
        <w:t>本项目评标办法采用综合评审法。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十一、投标和开标安排：</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（1）投标人应在2023年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日上午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分前将投标文件递交到广州市南沙开发区海滨路171号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南沙</w:t>
      </w:r>
      <w:bookmarkStart w:id="3" w:name="_GoBack"/>
      <w:bookmarkEnd w:id="3"/>
      <w:r>
        <w:rPr>
          <w:rFonts w:hint="eastAsia" w:ascii="仿宋_GB2312" w:hAnsi="仿宋_GB2312" w:eastAsia="仿宋_GB2312" w:cs="仿宋_GB2312"/>
          <w:color w:val="000000" w:themeColor="text1"/>
          <w:sz w:val="32"/>
          <w:szCs w:val="32"/>
          <w14:textFill>
            <w14:solidFill>
              <w14:schemeClr w14:val="tx1"/>
            </w14:solidFill>
          </w14:textFill>
        </w:rPr>
        <w:t>金融大厦11楼风控合规部。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投标联系人：</w:t>
      </w:r>
      <w:r>
        <w:rPr>
          <w:rFonts w:hint="eastAsia" w:ascii="仿宋_GB2312" w:hAnsi="仿宋_GB2312" w:eastAsia="仿宋_GB2312" w:cs="仿宋_GB2312"/>
          <w:color w:val="000000"/>
          <w:sz w:val="32"/>
          <w:szCs w:val="32"/>
        </w:rPr>
        <w:t>陈小姐</w:t>
      </w:r>
      <w:r>
        <w:rPr>
          <w:rFonts w:hint="eastAsia" w:ascii="仿宋_GB2312" w:hAnsi="仿宋_GB2312" w:eastAsia="仿宋_GB2312" w:cs="仿宋_GB2312"/>
          <w:color w:val="000000" w:themeColor="text1"/>
          <w:sz w:val="32"/>
          <w:szCs w:val="32"/>
          <w14:textFill>
            <w14:solidFill>
              <w14:schemeClr w14:val="tx1"/>
            </w14:solidFill>
          </w14:textFill>
        </w:rPr>
        <w:t xml:space="preserve"> 联系电话：</w:t>
      </w:r>
      <w:r>
        <w:rPr>
          <w:rFonts w:hint="eastAsia" w:ascii="仿宋_GB2312" w:hAnsi="仿宋_GB2312" w:eastAsia="仿宋_GB2312" w:cs="仿宋_GB2312"/>
          <w:color w:val="000000"/>
          <w:sz w:val="32"/>
          <w:szCs w:val="32"/>
        </w:rPr>
        <w:t>020-66810073</w:t>
      </w:r>
      <w:r>
        <w:rPr>
          <w:rFonts w:ascii="仿宋_GB2312" w:hAnsi="仿宋_GB2312" w:eastAsia="仿宋_GB2312" w:cs="仿宋_GB2312"/>
          <w:color w:val="000000" w:themeColor="text1"/>
          <w:sz w:val="32"/>
          <w:szCs w:val="32"/>
          <w14:textFill>
            <w14:solidFill>
              <w14:schemeClr w14:val="tx1"/>
            </w14:solidFill>
          </w14:textFill>
        </w:rPr>
        <w:t xml:space="preserve">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（2）开标时间：2023年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日上午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（3）开标地址：广州市南沙区海滨路171号南沙金融大厦18楼1807会议室。投标人参加开标会的须凭身份证入场，受委托人须持授权委托书和本人身份证入场。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560" w:lineRule="exact"/>
        <w:jc w:val="center"/>
        <w:outlineLvl w:val="0"/>
        <w:rPr>
          <w:rFonts w:ascii="黑体" w:hAnsi="黑体" w:eastAsia="黑体"/>
          <w:b/>
          <w:bCs/>
          <w:sz w:val="32"/>
        </w:rPr>
      </w:pPr>
      <w:r>
        <w:rPr>
          <w:rFonts w:hint="eastAsia" w:ascii="黑体" w:hAnsi="黑体" w:eastAsia="黑体"/>
          <w:b/>
          <w:bCs/>
          <w:sz w:val="32"/>
        </w:rPr>
        <w:t>第二部分  投 标 人 须 知</w:t>
      </w:r>
    </w:p>
    <w:p>
      <w:pPr>
        <w:spacing w:line="560" w:lineRule="exact"/>
        <w:ind w:firstLine="157" w:firstLineChars="49"/>
        <w:rPr>
          <w:rFonts w:ascii="黑体" w:hAnsi="黑体" w:eastAsia="黑体"/>
          <w:b/>
          <w:bCs/>
          <w:sz w:val="32"/>
        </w:rPr>
      </w:pPr>
      <w:r>
        <w:rPr>
          <w:rFonts w:hint="eastAsia" w:ascii="楷体_GB2312" w:hAnsi="宋体" w:eastAsia="楷体_GB2312"/>
          <w:b/>
          <w:bCs/>
          <w:sz w:val="32"/>
          <w:szCs w:val="32"/>
        </w:rPr>
        <w:t xml:space="preserve"> </w:t>
      </w:r>
      <w:r>
        <w:rPr>
          <w:rFonts w:hint="eastAsia" w:ascii="黑体" w:hAnsi="黑体" w:eastAsia="黑体"/>
          <w:b/>
          <w:bCs/>
          <w:sz w:val="32"/>
        </w:rPr>
        <w:t xml:space="preserve"> 一、说明</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（一）投标前，投标人必须仔细阅读招标文件。若投标人认为招标文件有模糊或不清之处，立即与广州南沙资产经营集团有限公司进行联系。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联系人：龚先生   联系电话：13430355529</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（二）投标人应承担其编制与递交投标文件所涉及的一切费用，无论投标结果如何，招标人将不对上述费用负任何责任。</w:t>
      </w: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（三）项目内容：</w:t>
      </w:r>
      <w:r>
        <w:rPr>
          <w:rFonts w:hint="eastAsia" w:ascii="仿宋_GB2312" w:eastAsia="仿宋_GB2312" w:cs="Times New Roman"/>
          <w:bCs/>
          <w:sz w:val="32"/>
          <w:szCs w:val="32"/>
        </w:rPr>
        <w:t>南沙区国有企业党员教育示范基地提档升级项目</w:t>
      </w:r>
      <w:r>
        <w:rPr>
          <w:rFonts w:hint="eastAsia" w:ascii="仿宋_GB2312" w:hAnsi="仿宋_GB2312" w:eastAsia="仿宋_GB2312" w:cs="仿宋_GB2312"/>
          <w:color w:val="000000" w:themeColor="text1"/>
          <w:sz w:val="32"/>
          <w:szCs w:val="32"/>
          <w14:textFill>
            <w14:solidFill>
              <w14:schemeClr w14:val="tx1"/>
            </w14:solidFill>
          </w14:textFill>
        </w:rPr>
        <w:t>，见附件三《招标计价汇总表》。</w:t>
      </w:r>
    </w:p>
    <w:p>
      <w:pPr>
        <w:spacing w:line="560" w:lineRule="exact"/>
        <w:ind w:firstLine="482" w:firstLineChars="150"/>
        <w:rPr>
          <w:rFonts w:ascii="黑体" w:hAnsi="黑体" w:eastAsia="黑体"/>
          <w:b/>
          <w:bCs/>
          <w:sz w:val="32"/>
        </w:rPr>
      </w:pPr>
      <w:r>
        <w:rPr>
          <w:rFonts w:hint="eastAsia" w:ascii="楷体_GB2312" w:hAnsi="宋体" w:eastAsia="楷体_GB2312"/>
          <w:b/>
          <w:bCs/>
          <w:sz w:val="32"/>
          <w:szCs w:val="32"/>
        </w:rPr>
        <w:t xml:space="preserve"> </w:t>
      </w:r>
      <w:r>
        <w:rPr>
          <w:rFonts w:hint="eastAsia" w:ascii="黑体" w:hAnsi="黑体" w:eastAsia="黑体"/>
          <w:b/>
          <w:bCs/>
          <w:sz w:val="32"/>
        </w:rPr>
        <w:t>二、投标人资格要求</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（一）具备中华人民共和国境内独立法人资格，能够独立承担民事责任；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（二）投标人具有承接本项目的相应能力，企业经营范围为：</w:t>
      </w:r>
      <w:r>
        <w:rPr>
          <w:rFonts w:hint="eastAsia" w:ascii="仿宋_GB2312" w:hAnsi="仿宋_GB2312" w:eastAsia="仿宋_GB2312" w:cs="仿宋_GB2312"/>
          <w:color w:val="auto"/>
          <w:sz w:val="32"/>
          <w:szCs w:val="32"/>
        </w:rPr>
        <w:t>标识标志牌设计安装服务或广告业。</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（三）本项目不接受联合体报名；</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（四）投标人未被列入“信用中国”网站(www.creditchina.gov.cn)“失信被执行人或企业经营异常名录或重大税收违法案件当事人名单”(提供投标日当天信用信息查询记录其中一项截图，加盖本单位公章)。</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（五）投标人应在招标公告后，3个工作日内到南沙金融大厦进行现场勘查。未按时到现场勘查的投标人，招标人有权拒收其投标文件。</w:t>
      </w:r>
    </w:p>
    <w:p>
      <w:pPr>
        <w:spacing w:line="560" w:lineRule="exact"/>
        <w:ind w:firstLine="640" w:firstLineChars="200"/>
        <w:rPr>
          <w:rFonts w:ascii="仿宋_GB2312" w:hAnsi="宋体" w:eastAsia="仿宋_GB2312"/>
          <w:bCs/>
          <w:sz w:val="32"/>
          <w:szCs w:val="32"/>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现场勘查联系人：龚先生  联系电话：13430355529</w:t>
      </w:r>
      <w:r>
        <w:rPr>
          <w:rFonts w:ascii="仿宋" w:hAnsi="仿宋" w:eastAsia="仿宋"/>
          <w:color w:val="000000" w:themeColor="text1"/>
          <w:sz w:val="32"/>
          <w:szCs w:val="32"/>
          <w14:textFill>
            <w14:solidFill>
              <w14:schemeClr w14:val="tx1"/>
            </w14:solidFill>
          </w14:textFill>
        </w:rPr>
        <w:t xml:space="preserve">  </w:t>
      </w:r>
      <w:r>
        <w:rPr>
          <w:rFonts w:ascii="仿宋_GB2312" w:hAnsi="宋体" w:eastAsia="仿宋_GB2312"/>
          <w:bCs/>
          <w:sz w:val="32"/>
          <w:szCs w:val="32"/>
        </w:rPr>
        <w:t xml:space="preserve">  </w:t>
      </w:r>
    </w:p>
    <w:p>
      <w:pPr>
        <w:spacing w:line="560" w:lineRule="exact"/>
        <w:ind w:firstLine="643" w:firstLineChars="200"/>
        <w:rPr>
          <w:rFonts w:ascii="黑体" w:hAnsi="黑体" w:eastAsia="黑体"/>
          <w:b/>
          <w:bCs/>
          <w:sz w:val="32"/>
        </w:rPr>
      </w:pPr>
      <w:r>
        <w:rPr>
          <w:rFonts w:hint="eastAsia" w:ascii="黑体" w:hAnsi="黑体" w:eastAsia="黑体"/>
          <w:b/>
          <w:bCs/>
          <w:sz w:val="32"/>
        </w:rPr>
        <w:t>三、投标文件的制作与递交</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（一）在投标时，投标人应视为已检阅过招标文件，且同意招标文件中所要求的条款。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（二）投标文件一式伍份：其中正本1份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含电子文件一套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，副本4份，注明“正本”和“副本”字样，正本和副本分别封装，在封口上加盖投标单位的公章。在信封或包装的封面上写明：</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收件人名称及地址:</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投标人名称、地址:</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本公司不接受未按规定密封的投标文件。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（三）本公司对不可抗力事件造成的投标文件的损坏、丢失不承担任何责任。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（四）本公司不接受电报、电话、电传、传真投标。</w:t>
      </w:r>
    </w:p>
    <w:p>
      <w:pPr>
        <w:spacing w:line="560" w:lineRule="exact"/>
        <w:ind w:firstLine="643" w:firstLineChars="200"/>
        <w:rPr>
          <w:rFonts w:ascii="黑体" w:hAnsi="黑体" w:eastAsia="黑体"/>
          <w:b/>
          <w:bCs/>
          <w:sz w:val="32"/>
        </w:rPr>
      </w:pPr>
      <w:r>
        <w:rPr>
          <w:rFonts w:hint="eastAsia" w:ascii="黑体" w:hAnsi="黑体" w:eastAsia="黑体"/>
          <w:b/>
          <w:bCs/>
          <w:sz w:val="32"/>
        </w:rPr>
        <w:t>四、评标定标方法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（一）评标由招标人成立专门评标委员会负责本次</w:t>
      </w:r>
      <w:r>
        <w:rPr>
          <w:rFonts w:hint="eastAsia" w:ascii="仿宋_GB2312" w:eastAsia="仿宋_GB2312" w:cs="Times New Roman"/>
          <w:bCs/>
          <w:sz w:val="32"/>
          <w:szCs w:val="32"/>
        </w:rPr>
        <w:t>南沙区国有企业党员教育示范基地提档升级项目</w:t>
      </w:r>
      <w:r>
        <w:rPr>
          <w:rFonts w:hint="eastAsia" w:ascii="仿宋_GB2312" w:hAnsi="仿宋_GB2312" w:eastAsia="仿宋_GB2312" w:cs="仿宋_GB2312"/>
          <w:color w:val="000000" w:themeColor="text1"/>
          <w:sz w:val="32"/>
          <w:szCs w:val="32"/>
          <w14:textFill>
            <w14:solidFill>
              <w14:schemeClr w14:val="tx1"/>
            </w14:solidFill>
          </w14:textFill>
        </w:rPr>
        <w:t>的评定工作。在南沙资产经营集团评标专家库中随机抽取。</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本项目评标办法采用百分制综合评审法，评标委员会将按“公正、公平、诚信、科学、择优”的原则，根据评标办法，对投标文件进行认真评审，完成评标报告；向招标人报告评审意见，推荐综合得分由高至低排序第一的为第一中标候选人、排序第二的为第二中标候选人，依次类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（三）评标步骤：</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1.符合性审查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标委员会将根据如下各项对投标文件进行符合性审查（见附件四），确定投标文件是否符合要求。符合性审查中的任何一条不符合采购文件规定则视为符合性不通过，只有通过符合性审查的投标文件才可进入报价评审和商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技术</w:t>
      </w:r>
      <w:r>
        <w:rPr>
          <w:rFonts w:hint="eastAsia" w:ascii="仿宋_GB2312" w:hAnsi="仿宋_GB2312" w:eastAsia="仿宋_GB2312" w:cs="仿宋_GB2312"/>
          <w:color w:val="000000" w:themeColor="text1"/>
          <w:sz w:val="32"/>
          <w:szCs w:val="32"/>
          <w14:textFill>
            <w14:solidFill>
              <w14:schemeClr w14:val="tx1"/>
            </w14:solidFill>
          </w14:textFill>
        </w:rPr>
        <w:t>评审。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（1）投标文件密封性：密封；</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（2）投标文件有效性：每页加盖投标单位公章或骑缝章；</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（3）资格证明文件：营业执照复印证加盖公章、投标授权书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法定代表人证明书、法定代表人授权委托书原件；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（4）投标人具有承接本项目的相应能力，企业经营范围为：标识标志牌设计安装服务或广告业；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（5）投标报价不高于投标限价；</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（6）投标人未被列入“信用中国”网站(www.creditchina.gov.cn)“失信被执行人或企业经营异常名录或重大税收违法案件当事人名单”(提供投标日当天信用信息查询记录其中一项截图，加盖本单位公章)。</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（7）投标人按招标文件要求，在规定时间内到现场勘查。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2.综合评审 </w:t>
      </w:r>
    </w:p>
    <w:p>
      <w:pPr>
        <w:spacing w:line="560" w:lineRule="exact"/>
        <w:ind w:firstLine="640" w:firstLineChars="200"/>
        <w:rPr>
          <w:rFonts w:hint="eastAsia" w:ascii="仿宋" w:hAnsi="仿宋" w:eastAsia="仿宋" w:cs="仿宋"/>
          <w:color w:val="auto"/>
          <w:sz w:val="28"/>
          <w:szCs w:val="28"/>
          <w:highlight w:val="none"/>
        </w:rPr>
      </w:pPr>
      <w:r>
        <w:rPr>
          <w:rFonts w:hint="eastAsia" w:ascii="仿宋_GB2312" w:hAnsi="仿宋_GB2312" w:eastAsia="仿宋_GB2312" w:cs="仿宋_GB2312"/>
          <w:color w:val="000000" w:themeColor="text1"/>
          <w:sz w:val="32"/>
          <w:szCs w:val="32"/>
          <w14:textFill>
            <w14:solidFill>
              <w14:schemeClr w14:val="tx1"/>
            </w14:solidFill>
          </w14:textFill>
        </w:rPr>
        <w:t>评标委员会依据招标评分表的要求和各项分值的规定，对投标文件进行评分，满分为100分。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3.中标候选人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标委员会将出具评标报告，按以下规定推荐第一中标候选人、第二中标候选人和第三中标候选人：将各最终得分由高到低顺序排列，综合得分最高的投标人为第一中标候选人，综合得分次高的投标人为第二中标候选人，依次类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如果有两个或两个以上的投标人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综合得分</w:t>
      </w:r>
      <w:r>
        <w:rPr>
          <w:rFonts w:hint="eastAsia" w:ascii="仿宋_GB2312" w:hAnsi="仿宋_GB2312" w:eastAsia="仿宋_GB2312" w:cs="仿宋_GB2312"/>
          <w:color w:val="000000" w:themeColor="text1"/>
          <w:sz w:val="32"/>
          <w:szCs w:val="32"/>
          <w14:textFill>
            <w14:solidFill>
              <w14:schemeClr w14:val="tx1"/>
            </w14:solidFill>
          </w14:textFill>
        </w:rPr>
        <w:t>相同，则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价格</w:t>
      </w:r>
      <w:r>
        <w:rPr>
          <w:rFonts w:hint="eastAsia" w:ascii="仿宋_GB2312" w:hAnsi="仿宋_GB2312" w:eastAsia="仿宋_GB2312" w:cs="仿宋_GB2312"/>
          <w:color w:val="000000" w:themeColor="text1"/>
          <w:sz w:val="32"/>
          <w:szCs w:val="32"/>
          <w14:textFill>
            <w14:solidFill>
              <w14:schemeClr w14:val="tx1"/>
            </w14:solidFill>
          </w14:textFill>
        </w:rPr>
        <w:t>得分较高的投标人排名优先；如果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w:t>
      </w:r>
      <w:r>
        <w:rPr>
          <w:rFonts w:hint="eastAsia" w:ascii="仿宋_GB2312" w:hAnsi="仿宋_GB2312" w:eastAsia="仿宋_GB2312" w:cs="仿宋_GB2312"/>
          <w:color w:val="000000" w:themeColor="text1"/>
          <w:sz w:val="32"/>
          <w:szCs w:val="32"/>
          <w14:textFill>
            <w14:solidFill>
              <w14:schemeClr w14:val="tx1"/>
            </w14:solidFill>
          </w14:textFill>
        </w:rPr>
        <w:t>得分、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价格</w:t>
      </w:r>
      <w:r>
        <w:rPr>
          <w:rFonts w:hint="eastAsia" w:ascii="仿宋_GB2312" w:hAnsi="仿宋_GB2312" w:eastAsia="仿宋_GB2312" w:cs="仿宋_GB2312"/>
          <w:color w:val="000000" w:themeColor="text1"/>
          <w:sz w:val="32"/>
          <w:szCs w:val="32"/>
          <w14:textFill>
            <w14:solidFill>
              <w14:schemeClr w14:val="tx1"/>
            </w14:solidFill>
          </w14:textFill>
        </w:rPr>
        <w:t>得分均相同的投标文件，则由</w:t>
      </w:r>
      <w:r>
        <w:rPr>
          <w:rFonts w:hint="eastAsia" w:ascii="仿宋_GB2312" w:hAnsi="仿宋_GB2312" w:eastAsia="仿宋_GB2312" w:cs="仿宋_GB2312"/>
          <w:color w:val="000000" w:themeColor="text1"/>
          <w:sz w:val="32"/>
          <w:szCs w:val="32"/>
          <w:lang w:eastAsia="zh-CN"/>
          <w14:textFill>
            <w14:solidFill>
              <w14:schemeClr w14:val="tx1"/>
            </w14:solidFill>
          </w14:textFill>
        </w:rPr>
        <w:t>评标</w:t>
      </w:r>
      <w:r>
        <w:rPr>
          <w:rFonts w:hint="eastAsia" w:ascii="仿宋_GB2312" w:hAnsi="仿宋_GB2312" w:eastAsia="仿宋_GB2312" w:cs="仿宋_GB2312"/>
          <w:color w:val="000000" w:themeColor="text1"/>
          <w:sz w:val="32"/>
          <w:szCs w:val="32"/>
          <w14:textFill>
            <w14:solidFill>
              <w14:schemeClr w14:val="tx1"/>
            </w14:solidFill>
          </w14:textFill>
        </w:rPr>
        <w:t>委员会采用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随机</w:t>
      </w:r>
      <w:r>
        <w:rPr>
          <w:rFonts w:hint="eastAsia" w:ascii="仿宋_GB2312" w:hAnsi="仿宋_GB2312" w:eastAsia="仿宋_GB2312" w:cs="仿宋_GB2312"/>
          <w:color w:val="000000" w:themeColor="text1"/>
          <w:sz w:val="32"/>
          <w:szCs w:val="32"/>
          <w14:textFill>
            <w14:solidFill>
              <w14:schemeClr w14:val="tx1"/>
            </w14:solidFill>
          </w14:textFill>
        </w:rPr>
        <w:t>方式，确定中标候选人顺序。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4.其它说明</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投标报价书中有疑问或问题时，可要求投标人提出澄清，但这种澄清不应使其他投标人处于不公平的地位，澄清结果应以书面形式答复。如果有数字表示的小写与大写不一致时，以大写为准。副本与正本不一致时，以正本为准。</w:t>
      </w:r>
    </w:p>
    <w:p>
      <w:pPr>
        <w:spacing w:line="360" w:lineRule="auto"/>
        <w:ind w:firstLine="1606" w:firstLineChars="500"/>
        <w:outlineLvl w:val="0"/>
        <w:rPr>
          <w:rFonts w:ascii="黑体" w:hAnsi="黑体" w:eastAsia="黑体"/>
          <w:b/>
          <w:bCs/>
          <w:sz w:val="32"/>
        </w:rPr>
      </w:pPr>
      <w:r>
        <w:rPr>
          <w:rFonts w:hint="eastAsia" w:ascii="黑体" w:hAnsi="黑体" w:eastAsia="黑体"/>
          <w:b/>
          <w:bCs/>
          <w:sz w:val="32"/>
        </w:rPr>
        <w:t>第三部分    投 标 文 件 格 式</w:t>
      </w:r>
    </w:p>
    <w:p>
      <w:pPr>
        <w:spacing w:line="500" w:lineRule="exact"/>
        <w:jc w:val="center"/>
        <w:outlineLvl w:val="0"/>
        <w:rPr>
          <w:rFonts w:ascii="宋体" w:hAnsi="宋体"/>
          <w:b/>
          <w:bCs/>
          <w:color w:val="000000"/>
          <w:sz w:val="36"/>
          <w:szCs w:val="36"/>
        </w:rPr>
      </w:pPr>
      <w:bookmarkStart w:id="0" w:name="_Toc79834503"/>
      <w:bookmarkStart w:id="1" w:name="_Toc79822206"/>
      <w:bookmarkStart w:id="2" w:name="_Toc79399453"/>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w:t>
      </w:r>
      <w:r>
        <w:rPr>
          <w:rFonts w:hint="eastAsia" w:ascii="宋体"/>
          <w:color w:val="000000"/>
          <w:sz w:val="24"/>
          <w:lang w:eastAsia="zh-CN"/>
        </w:rPr>
        <w:t>、</w:t>
      </w:r>
      <w:r>
        <w:rPr>
          <w:rFonts w:hint="eastAsia" w:ascii="宋体"/>
          <w:color w:val="000000"/>
          <w:sz w:val="24"/>
        </w:rPr>
        <w:t>我们收到贵方</w:t>
      </w:r>
      <w:r>
        <w:rPr>
          <w:rFonts w:hint="eastAsia" w:ascii="宋体"/>
          <w:color w:val="000000"/>
          <w:sz w:val="24"/>
          <w:u w:val="single"/>
        </w:rPr>
        <w:t xml:space="preserve">                              </w:t>
      </w:r>
      <w:r>
        <w:rPr>
          <w:rFonts w:hint="eastAsia" w:ascii="宋体"/>
          <w:color w:val="000000"/>
          <w:sz w:val="24"/>
        </w:rPr>
        <w:t xml:space="preserve"> 的招标邀请。经研究，愿以人民币（大写）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w:t>
      </w:r>
      <w:r>
        <w:rPr>
          <w:rFonts w:hint="eastAsia"/>
          <w:color w:val="000000"/>
          <w:sz w:val="24"/>
          <w:lang w:eastAsia="zh-CN"/>
        </w:rPr>
        <w:t>、</w:t>
      </w:r>
      <w:r>
        <w:rPr>
          <w:rFonts w:hint="eastAsia"/>
          <w:color w:val="000000"/>
          <w:sz w:val="24"/>
        </w:rPr>
        <w:t>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4"/>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b/>
          <w:sz w:val="24"/>
        </w:rPr>
      </w:pPr>
      <w:r>
        <w:rPr>
          <w:rFonts w:hint="eastAsia"/>
          <w:color w:val="000000"/>
          <w:sz w:val="24"/>
        </w:rPr>
        <w:t>备注：投标报价时提交</w:t>
      </w:r>
      <w:r>
        <w:rPr>
          <w:color w:val="000000"/>
          <w:sz w:val="24"/>
        </w:rPr>
        <w:br w:type="page"/>
      </w:r>
      <w:r>
        <w:rPr>
          <w:rFonts w:hint="eastAsia"/>
          <w:b/>
          <w:sz w:val="24"/>
        </w:rPr>
        <w:t>附件一            法定代表人证明书、法定代表人授权委托书（格式）</w:t>
      </w:r>
    </w:p>
    <w:p>
      <w:pPr>
        <w:numPr>
          <w:ilvl w:val="255"/>
          <w:numId w:val="0"/>
        </w:numPr>
        <w:spacing w:line="440" w:lineRule="exact"/>
        <w:rPr>
          <w:rFonts w:ascii="黑体" w:hAnsi="黑体" w:eastAsia="黑体"/>
          <w:sz w:val="28"/>
          <w:szCs w:val="28"/>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hint="default" w:ascii="宋体" w:hAnsi="宋体" w:eastAsia="宋体" w:cs="宋体"/>
          <w:szCs w:val="21"/>
          <w:lang w:val="en-US" w:eastAsia="zh-CN"/>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p>
    <w:p>
      <w:pPr>
        <w:spacing w:line="360" w:lineRule="auto"/>
        <w:ind w:firstLine="840" w:firstLineChars="400"/>
        <w:rPr>
          <w:rFonts w:hint="default" w:ascii="宋体" w:hAnsi="宋体" w:eastAsia="宋体" w:cs="宋体"/>
          <w:szCs w:val="21"/>
          <w:u w:val="single"/>
          <w:lang w:val="en-US" w:eastAsia="zh-CN"/>
        </w:rPr>
      </w:pPr>
      <w:r>
        <w:rPr>
          <w:rFonts w:hint="eastAsia" w:ascii="宋体" w:hAnsi="宋体" w:cs="宋体"/>
          <w:szCs w:val="21"/>
        </w:rPr>
        <w:t>经济性质：</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59264"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10"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wps:txbx>
                        <wps:bodyPr rot="0" vert="horz" wrap="square" lIns="91440" tIns="45720" rIns="91440" bIns="45720" anchor="t" anchorCtr="0" upright="1">
                          <a:noAutofit/>
                        </wps:bodyPr>
                      </wps:wsp>
                      <wps:wsp>
                        <wps:cNvPr id="11"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59264;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4KsswNkAAAAJAQAADwAAAAAAAAABACAAAAAiAAAAZHJzL2Rvd25yZXYueG1sUEsBAhQAFAAA&#10;AAgAh07iQPthdZ7SAgAAewgAAA4AAAAAAAAAAQAgAAAAKAEAAGRycy9lMm9Eb2MueG1sUEsFBgAA&#10;AAAGAAYAWQEAAGwGAAAAAA==&#10;">
                <o:lock v:ext="edit" aspectratio="f"/>
                <v:rect id="Rectangle 3" o:spid="_x0000_s1026" o:spt="1" style="position:absolute;left:1500;top:7300;height:2754;width:4275;"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Rectangle 4" o:spid="_x0000_s1026" o:spt="1" style="position:absolute;left:5956;top:7300;height:2754;width:4289;"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jc w:val="center"/>
        <w:outlineLvl w:val="0"/>
        <w:rPr>
          <w:b/>
          <w:sz w:val="28"/>
          <w:szCs w:val="28"/>
        </w:rPr>
      </w:pPr>
    </w:p>
    <w:p>
      <w:pPr>
        <w:jc w:val="center"/>
        <w:outlineLvl w:val="0"/>
        <w:rPr>
          <w:b/>
          <w:sz w:val="28"/>
          <w:szCs w:val="28"/>
        </w:rPr>
      </w:pPr>
    </w:p>
    <w:p>
      <w:pPr>
        <w:jc w:val="center"/>
        <w:outlineLvl w:val="0"/>
        <w:rPr>
          <w:b/>
          <w:sz w:val="28"/>
          <w:szCs w:val="28"/>
        </w:rPr>
      </w:pPr>
    </w:p>
    <w:p>
      <w:pPr>
        <w:spacing w:line="360" w:lineRule="auto"/>
        <w:jc w:val="center"/>
        <w:outlineLvl w:val="0"/>
        <w:rPr>
          <w:rFonts w:ascii="宋体" w:hAnsi="宋体" w:cs="宋体"/>
          <w:b/>
          <w:sz w:val="32"/>
          <w:szCs w:val="32"/>
        </w:rPr>
      </w:pPr>
    </w:p>
    <w:p>
      <w:pPr>
        <w:spacing w:line="360" w:lineRule="auto"/>
        <w:jc w:val="center"/>
        <w:outlineLvl w:val="0"/>
        <w:rPr>
          <w:rFonts w:ascii="宋体" w:hAnsi="宋体" w:cs="宋体"/>
          <w:b/>
          <w:sz w:val="32"/>
          <w:szCs w:val="32"/>
        </w:rPr>
      </w:pPr>
    </w:p>
    <w:p>
      <w:pPr>
        <w:spacing w:line="360" w:lineRule="auto"/>
        <w:jc w:val="center"/>
        <w:outlineLvl w:val="0"/>
        <w:rPr>
          <w:rFonts w:ascii="宋体" w:hAnsi="宋体" w:cs="宋体"/>
          <w:b/>
          <w:sz w:val="32"/>
          <w:szCs w:val="32"/>
        </w:rPr>
      </w:pPr>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2" name="组合 12"/>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szCs w:val="21"/>
                                </w:rPr>
                              </w:pPr>
                              <w:r>
                                <w:rPr>
                                  <w:rFonts w:hint="eastAsia"/>
                                  <w:szCs w:val="21"/>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wps:txbx>
                        <wps:bodyPr rot="0" vert="horz" wrap="square" lIns="91440" tIns="45720" rIns="91440" bIns="45720" anchor="t" anchorCtr="0" upright="1">
                          <a:noAutofit/>
                        </wps:bodyPr>
                      </wps:wsp>
                      <wps:wsp>
                        <wps:cNvPr id="13"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pPr>
                              <w:r>
                                <w:rPr>
                                  <w:rFonts w:hint="eastAsia"/>
                                  <w:szCs w:val="21"/>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7l8cD2AAAAAkBAAAPAAAAAAAAAAEAIAAAACIAAABkcnMvZG93bnJldi54bWxQSwECFAAUAAAA&#10;CACHTuJAbxnRHtICAAB8CAAADgAAAAAAAAABACAAAAAnAQAAZHJzL2Uyb0RvYy54bWxQSwUGAAAA&#10;AAYABgBZAQAAa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szCs w:val="21"/>
                          </w:rPr>
                        </w:pPr>
                        <w:r>
                          <w:rPr>
                            <w:rFonts w:hint="eastAsia"/>
                            <w:szCs w:val="21"/>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szCs w:val="21"/>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ind w:right="-153" w:rightChars="-73"/>
        <w:outlineLvl w:val="0"/>
        <w:rPr>
          <w:b/>
          <w:bCs/>
          <w:sz w:val="28"/>
          <w:szCs w:val="28"/>
        </w:rPr>
      </w:pPr>
    </w:p>
    <w:p>
      <w:pPr>
        <w:ind w:right="-153" w:rightChars="-73" w:firstLine="10119" w:firstLineChars="3600"/>
        <w:outlineLvl w:val="0"/>
        <w:rPr>
          <w:b/>
          <w:bCs/>
          <w:sz w:val="28"/>
          <w:szCs w:val="28"/>
        </w:rPr>
      </w:pPr>
    </w:p>
    <w:p>
      <w:pPr>
        <w:ind w:right="-153" w:rightChars="-73" w:firstLine="10119" w:firstLineChars="3600"/>
        <w:outlineLvl w:val="0"/>
        <w:rPr>
          <w:b/>
          <w:bCs/>
          <w:sz w:val="28"/>
          <w:szCs w:val="28"/>
        </w:rPr>
      </w:pPr>
    </w:p>
    <w:p>
      <w:pPr>
        <w:ind w:right="-153" w:rightChars="-73"/>
        <w:outlineLvl w:val="0"/>
        <w:rPr>
          <w:b/>
          <w:bCs/>
          <w:sz w:val="28"/>
          <w:szCs w:val="28"/>
        </w:rPr>
      </w:pPr>
      <w:r>
        <w:rPr>
          <w:rFonts w:hint="eastAsia"/>
          <w:b/>
          <w:bCs/>
          <w:sz w:val="28"/>
          <w:szCs w:val="28"/>
        </w:rPr>
        <w:t>附件二：</w:t>
      </w:r>
      <w:r>
        <w:rPr>
          <w:rFonts w:hint="eastAsia" w:ascii="Times New Roman" w:eastAsia="宋体" w:cs="Times New Roman"/>
          <w:b/>
          <w:bCs/>
          <w:color w:val="auto"/>
          <w:sz w:val="28"/>
          <w:szCs w:val="28"/>
        </w:rPr>
        <w:t>南沙区国有企业党员教育示范基地</w:t>
      </w:r>
      <w:r>
        <w:rPr>
          <w:rFonts w:hint="eastAsia"/>
          <w:b/>
          <w:bCs/>
          <w:color w:val="auto"/>
          <w:sz w:val="28"/>
          <w:szCs w:val="28"/>
        </w:rPr>
        <w:t>现状平面图</w:t>
      </w:r>
    </w:p>
    <w:p>
      <w:pPr>
        <w:jc w:val="center"/>
        <w:rPr>
          <w:rFonts w:hint="eastAsia" w:eastAsia="宋体"/>
          <w:b/>
          <w:bCs/>
          <w:sz w:val="28"/>
          <w:szCs w:val="28"/>
          <w:lang w:eastAsia="zh-CN"/>
        </w:rPr>
      </w:pPr>
      <w:r>
        <w:rPr>
          <w:rFonts w:hint="eastAsia" w:eastAsia="宋体"/>
          <w:b/>
          <w:bCs/>
          <w:sz w:val="28"/>
          <w:szCs w:val="28"/>
          <w:lang w:eastAsia="zh-CN"/>
        </w:rPr>
        <w:drawing>
          <wp:inline distT="0" distB="0" distL="114300" distR="114300">
            <wp:extent cx="4746625" cy="8295005"/>
            <wp:effectExtent l="0" t="0" r="15875" b="10795"/>
            <wp:docPr id="2" name="图片 2" descr="现状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现状平面图"/>
                    <pic:cNvPicPr>
                      <a:picLocks noChangeAspect="1"/>
                    </pic:cNvPicPr>
                  </pic:nvPicPr>
                  <pic:blipFill>
                    <a:blip r:embed="rId9"/>
                    <a:stretch>
                      <a:fillRect/>
                    </a:stretch>
                  </pic:blipFill>
                  <pic:spPr>
                    <a:xfrm>
                      <a:off x="0" y="0"/>
                      <a:ext cx="4746625" cy="82950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小标宋简体" w:hAnsi="方正小标宋简体" w:eastAsia="方正小标宋简体" w:cs="方正小标宋简体"/>
          <w:b/>
          <w:bCs/>
          <w:sz w:val="28"/>
          <w:szCs w:val="28"/>
        </w:rPr>
      </w:pPr>
      <w:r>
        <w:rPr>
          <w:rFonts w:hint="eastAsia"/>
          <w:b/>
          <w:bCs/>
          <w:sz w:val="28"/>
          <w:szCs w:val="28"/>
        </w:rPr>
        <w:t>附件三：</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FF0000"/>
          <w:sz w:val="32"/>
          <w:szCs w:val="32"/>
        </w:rPr>
      </w:pPr>
      <w:r>
        <w:rPr>
          <w:rFonts w:hint="eastAsia" w:ascii="仿宋_GB2312" w:eastAsia="仿宋_GB2312" w:cs="Times New Roman"/>
          <w:bCs/>
          <w:sz w:val="32"/>
          <w:szCs w:val="32"/>
        </w:rPr>
        <w:t>南沙区国有企业党员教育示范基地提档升级项目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s="Times New Roman"/>
          <w:bCs/>
          <w:sz w:val="32"/>
          <w:szCs w:val="32"/>
        </w:rPr>
      </w:pPr>
      <w:r>
        <w:rPr>
          <w:rFonts w:hint="eastAsia" w:ascii="仿宋_GB2312" w:eastAsia="仿宋_GB2312" w:cs="Times New Roman"/>
          <w:bCs/>
          <w:sz w:val="32"/>
          <w:szCs w:val="32"/>
        </w:rPr>
        <w:t>招标计价汇总表</w:t>
      </w:r>
    </w:p>
    <w:tbl>
      <w:tblPr>
        <w:tblStyle w:val="14"/>
        <w:tblW w:w="9775" w:type="dxa"/>
        <w:jc w:val="center"/>
        <w:tblLayout w:type="fixed"/>
        <w:tblCellMar>
          <w:top w:w="0" w:type="dxa"/>
          <w:left w:w="0" w:type="dxa"/>
          <w:bottom w:w="0" w:type="dxa"/>
          <w:right w:w="0" w:type="dxa"/>
        </w:tblCellMar>
      </w:tblPr>
      <w:tblGrid>
        <w:gridCol w:w="672"/>
        <w:gridCol w:w="1229"/>
        <w:gridCol w:w="1180"/>
        <w:gridCol w:w="2391"/>
        <w:gridCol w:w="669"/>
        <w:gridCol w:w="607"/>
        <w:gridCol w:w="847"/>
        <w:gridCol w:w="1096"/>
        <w:gridCol w:w="1084"/>
      </w:tblGrid>
      <w:tr>
        <w:tblPrEx>
          <w:tblCellMar>
            <w:top w:w="0" w:type="dxa"/>
            <w:left w:w="0" w:type="dxa"/>
            <w:bottom w:w="0" w:type="dxa"/>
            <w:right w:w="0" w:type="dxa"/>
          </w:tblCellMar>
        </w:tblPrEx>
        <w:trPr>
          <w:trHeight w:val="487" w:hRule="atLeast"/>
          <w:jc w:val="center"/>
        </w:trPr>
        <w:tc>
          <w:tcPr>
            <w:tcW w:w="9775"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南沙区国有企业党员教育示范基地提档升级项目</w:t>
            </w:r>
          </w:p>
        </w:tc>
      </w:tr>
      <w:tr>
        <w:tblPrEx>
          <w:tblCellMar>
            <w:top w:w="0" w:type="dxa"/>
            <w:left w:w="0" w:type="dxa"/>
            <w:bottom w:w="0" w:type="dxa"/>
            <w:right w:w="0" w:type="dxa"/>
          </w:tblCellMar>
        </w:tblPrEx>
        <w:trPr>
          <w:trHeight w:val="4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tcPr>
          <w:p>
            <w:pPr>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b/>
                <w:bCs/>
                <w:szCs w:val="21"/>
              </w:rPr>
              <w:t>序号</w:t>
            </w:r>
          </w:p>
        </w:tc>
        <w:tc>
          <w:tcPr>
            <w:tcW w:w="12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tcPr>
          <w:p>
            <w:pPr>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b/>
                <w:bCs/>
                <w:szCs w:val="21"/>
              </w:rPr>
              <w:t>项目名称</w:t>
            </w:r>
          </w:p>
        </w:tc>
        <w:tc>
          <w:tcPr>
            <w:tcW w:w="11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tcPr>
          <w:p>
            <w:pPr>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b/>
                <w:bCs/>
                <w:szCs w:val="21"/>
              </w:rPr>
              <w:t>规格</w:t>
            </w:r>
          </w:p>
        </w:tc>
        <w:tc>
          <w:tcPr>
            <w:tcW w:w="23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tcPr>
          <w:p>
            <w:pPr>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b/>
                <w:bCs/>
                <w:szCs w:val="21"/>
              </w:rPr>
              <w:t>材质工艺</w:t>
            </w:r>
          </w:p>
        </w:tc>
        <w:tc>
          <w:tcPr>
            <w:tcW w:w="66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tcPr>
          <w:p>
            <w:pPr>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b/>
                <w:bCs/>
                <w:szCs w:val="21"/>
              </w:rPr>
              <w:t>数量</w:t>
            </w:r>
          </w:p>
        </w:tc>
        <w:tc>
          <w:tcPr>
            <w:tcW w:w="6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tcPr>
          <w:p>
            <w:pPr>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b/>
                <w:bCs/>
                <w:szCs w:val="21"/>
              </w:rPr>
              <w:t>单位</w:t>
            </w:r>
          </w:p>
        </w:tc>
        <w:tc>
          <w:tcPr>
            <w:tcW w:w="84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tcPr>
          <w:p>
            <w:pPr>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b/>
                <w:bCs/>
                <w:szCs w:val="21"/>
              </w:rPr>
              <w:t>备注</w:t>
            </w:r>
          </w:p>
        </w:tc>
        <w:tc>
          <w:tcPr>
            <w:tcW w:w="109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单价（元）</w:t>
            </w:r>
          </w:p>
        </w:tc>
        <w:tc>
          <w:tcPr>
            <w:tcW w:w="108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合计（元）</w:t>
            </w:r>
          </w:p>
        </w:tc>
      </w:tr>
      <w:tr>
        <w:tblPrEx>
          <w:tblCellMar>
            <w:top w:w="0" w:type="dxa"/>
            <w:left w:w="0" w:type="dxa"/>
            <w:bottom w:w="0" w:type="dxa"/>
            <w:right w:w="0" w:type="dxa"/>
          </w:tblCellMar>
        </w:tblPrEx>
        <w:trPr>
          <w:trHeight w:val="2403"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形象墙（电梯口）</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墙面：H:2450mm、L:4260mm，内容高于表面&lt;50mm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主体部分:番禺电线2.5平方6m、5厘夹板做底（B1级阻燃以上），表面洪利得腻子粉+多乐士白漆（</w:t>
            </w:r>
            <w:r>
              <w:rPr>
                <w:rFonts w:hint="eastAsia" w:ascii="仿宋_GB2312" w:hAnsi="仿宋_GB2312" w:eastAsia="仿宋_GB2312" w:cs="仿宋_GB2312"/>
                <w:szCs w:val="21"/>
              </w:rPr>
              <w:t>金装5合1）。</w:t>
            </w:r>
          </w:p>
          <w:p>
            <w:pPr>
              <w:spacing w:line="240" w:lineRule="exact"/>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装饰部分：不锈钢/亚克力/仿石纹石板/。覆盖区域：H550mm-800mm、L2000mm-2500mm，侧边厚度2-3cm，冷光灯源发光。</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拆除原基础凸起部分，加盖</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学院介绍墙</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墙面：  L9100mm*H2450mm，内容凸出表面&lt;50mm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墙体主体部分:5250LED冷光灯条15M内、番禺电线2.5平方10m、5厘夹板封开槽位，表面洪利得腻子粉+多乐士白漆（金装5合1）。</w:t>
            </w:r>
          </w:p>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装饰部分：</w:t>
            </w:r>
          </w:p>
          <w:p>
            <w:pPr>
              <w:spacing w:line="240" w:lineRule="exact"/>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1）中间凸起展示面板，采用夹板造型固定凸起50mm，（2）设置测发光文字（标题）厚度1-2cm，正文部分采用油画布UV（精度1080P）覆盖区域区域尺寸：高800mm-1000mm，长度6000mm-8000mm，厚度5cm.（3）开槽预留电视机位置，四周预留手位便于检修。</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szCs w:val="21"/>
              </w:rPr>
              <w:t>拆除原有凸出部分</w:t>
            </w:r>
            <w:r>
              <w:rPr>
                <w:rFonts w:hint="eastAsia" w:ascii="仿宋_GB2312" w:hAnsi="仿宋_GB2312" w:eastAsia="仿宋_GB2312" w:cs="仿宋_GB2312"/>
                <w:szCs w:val="21"/>
                <w:lang w:val="en-US" w:eastAsia="zh-CN"/>
              </w:rPr>
              <w:t>并更新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国有企业</w:t>
            </w:r>
          </w:p>
          <w:p>
            <w:pPr>
              <w:spacing w:line="240" w:lineRule="exact"/>
              <w:jc w:val="center"/>
              <w:rPr>
                <w:rFonts w:hint="default"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szCs w:val="21"/>
              </w:rPr>
              <w:t>党建历程</w:t>
            </w:r>
            <w:r>
              <w:rPr>
                <w:rFonts w:hint="eastAsia" w:ascii="仿宋_GB2312" w:hAnsi="仿宋_GB2312" w:eastAsia="仿宋_GB2312" w:cs="仿宋_GB2312"/>
                <w:szCs w:val="21"/>
                <w:lang w:val="en-US" w:eastAsia="zh-CN"/>
              </w:rPr>
              <w:t>展示墙</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墙面：L6290mm*H2450mm+ L2560mm*H2450mm（外加2扇按压门）</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exact"/>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主体部分：厘夹板+耐福石膏板，内预留电位5250LED冷光灯条15M内、番禺电线2.5平方6m，内置变压器，表面洪利得腻子粉+多乐士白漆（金装5合1）。装饰部分：测发光立体字。覆盖区域高800mm-1100mm,长度800mm-1100mm，侧边厚度3-4cm,内容展示采用油画布表面UV，文字部分：采用发光迷你字，长800-1150mm，高150mm-250m。配备暗门，表面装饰与墙体融为一体L700mm*H1800mm,按压式开门锁。</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拆除原有墙面</w:t>
            </w:r>
            <w:r>
              <w:rPr>
                <w:rFonts w:hint="eastAsia" w:ascii="仿宋_GB2312" w:hAnsi="仿宋_GB2312" w:eastAsia="仿宋_GB2312" w:cs="仿宋_GB2312"/>
                <w:szCs w:val="21"/>
                <w:lang w:val="en-US" w:eastAsia="zh-CN"/>
              </w:rPr>
              <w:t>并更新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3214"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高质量发展墙（原同建国企共筑党建品牌）</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墙面L2230mm*H2450mm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墙体体部分:5250LED冷光灯条2M内、番禺电线2.5平方6m、5厘夹板封开槽位，表面洪利得腻子粉+多乐士白漆（金装5合1）。装饰部分采用夹板组合方式，内容覆盖区域L1800MM-2000MM,H1000mm-1500mm,侧边厚度1-2cm，表面内容可更换式。标题亚克力/PVC立体造型，覆盖区域L350mm-550mm，H200mm-300mm.</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拆除原本墙面并修复</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395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国企简介及党建特色</w:t>
            </w:r>
            <w:r>
              <w:rPr>
                <w:rFonts w:hint="eastAsia" w:ascii="仿宋_GB2312" w:hAnsi="仿宋_GB2312" w:eastAsia="仿宋_GB2312" w:cs="仿宋_GB2312"/>
                <w:szCs w:val="21"/>
                <w:lang w:val="en-US" w:eastAsia="zh-CN"/>
              </w:rPr>
              <w:t>展示</w:t>
            </w:r>
            <w:r>
              <w:rPr>
                <w:rFonts w:hint="eastAsia" w:ascii="仿宋_GB2312" w:hAnsi="仿宋_GB2312" w:eastAsia="仿宋_GB2312" w:cs="仿宋_GB2312"/>
                <w:szCs w:val="21"/>
              </w:rPr>
              <w:t>墙</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墙面L4820mm*H1200mm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墙体体部分:5250LED冷光、番禺电线2.5平方3m、5厘夹板封开槽位，表面洪利得腻子粉+多乐士白漆（金装5合1）。亚克力标语H350mm-600mm,L1000mm-1500mm，高800mm-1000mm,拉布灯箱，白边烤漆，侧边厚度8cm,嵌入式，表面内容1080p以上喷绘，内发光冷光，(展示覆盖区域区间：高1000mm-1200mm,长4000mm-4800mm)，侧边厚度1cm,内置LED光源，预留一体机位置。</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拆除原有墙面更新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资产集团</w:t>
            </w: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介绍墙</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墙面</w:t>
            </w:r>
            <w:r>
              <w:rPr>
                <w:rFonts w:ascii="仿宋_GB2312" w:hAnsi="仿宋_GB2312" w:eastAsia="仿宋_GB2312" w:cs="仿宋_GB2312"/>
                <w:szCs w:val="21"/>
              </w:rPr>
              <w:t>L</w:t>
            </w:r>
            <w:r>
              <w:rPr>
                <w:rFonts w:hint="eastAsia" w:ascii="仿宋_GB2312" w:hAnsi="仿宋_GB2312" w:eastAsia="仿宋_GB2312" w:cs="仿宋_GB2312"/>
                <w:szCs w:val="21"/>
              </w:rPr>
              <w:t>4500mm</w:t>
            </w:r>
            <w:r>
              <w:rPr>
                <w:rFonts w:ascii="仿宋_GB2312" w:hAnsi="仿宋_GB2312" w:eastAsia="仿宋_GB2312" w:cs="仿宋_GB2312"/>
                <w:szCs w:val="21"/>
              </w:rPr>
              <w:t>*H</w:t>
            </w:r>
            <w:r>
              <w:rPr>
                <w:rFonts w:hint="eastAsia" w:ascii="仿宋_GB2312" w:hAnsi="仿宋_GB2312" w:eastAsia="仿宋_GB2312" w:cs="仿宋_GB2312"/>
                <w:szCs w:val="21"/>
              </w:rPr>
              <w:t>1200</w:t>
            </w:r>
            <w:r>
              <w:rPr>
                <w:rFonts w:ascii="仿宋_GB2312" w:hAnsi="仿宋_GB2312" w:eastAsia="仿宋_GB2312" w:cs="仿宋_GB2312"/>
                <w:szCs w:val="21"/>
              </w:rPr>
              <w:t>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灯箱表面软膜面1080</w:t>
            </w:r>
            <w:r>
              <w:rPr>
                <w:rFonts w:ascii="仿宋_GB2312" w:hAnsi="仿宋_GB2312" w:eastAsia="仿宋_GB2312" w:cs="仿宋_GB2312"/>
                <w:szCs w:val="21"/>
              </w:rPr>
              <w:t>p</w:t>
            </w:r>
            <w:r>
              <w:rPr>
                <w:rFonts w:hint="eastAsia" w:ascii="仿宋_GB2312" w:hAnsi="仿宋_GB2312" w:eastAsia="仿宋_GB2312" w:cs="仿宋_GB2312"/>
                <w:szCs w:val="21"/>
              </w:rPr>
              <w:t>高精度喷绘工艺</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替换</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p>
            <w:pPr>
              <w:rPr>
                <w:rFonts w:ascii="Times New Roman" w:hAnsi="Times New Roman" w:eastAsia="宋体" w:cs="Times New Roma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学院制度、课程活动及展影</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L1200mm</w:t>
            </w:r>
            <w:r>
              <w:rPr>
                <w:rFonts w:hint="eastAsia" w:ascii="仿宋_GB2312" w:hAnsi="仿宋_GB2312" w:eastAsia="仿宋_GB2312" w:cs="仿宋_GB2312"/>
                <w:szCs w:val="21"/>
              </w:rPr>
              <w:t>*</w:t>
            </w:r>
            <w:r>
              <w:rPr>
                <w:rFonts w:ascii="仿宋_GB2312" w:hAnsi="仿宋_GB2312" w:eastAsia="仿宋_GB2312" w:cs="仿宋_GB2312"/>
                <w:szCs w:val="21"/>
              </w:rPr>
              <w:t>H</w:t>
            </w:r>
            <w:r>
              <w:rPr>
                <w:rFonts w:hint="eastAsia" w:ascii="仿宋_GB2312" w:hAnsi="仿宋_GB2312" w:eastAsia="仿宋_GB2312" w:cs="仿宋_GB2312"/>
                <w:szCs w:val="21"/>
              </w:rPr>
              <w:t>1200mm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主材：P</w:t>
            </w:r>
            <w:r>
              <w:rPr>
                <w:rFonts w:ascii="仿宋_GB2312" w:hAnsi="仿宋_GB2312" w:eastAsia="仿宋_GB2312" w:cs="仿宋_GB2312"/>
                <w:szCs w:val="21"/>
              </w:rPr>
              <w:t>VC</w:t>
            </w:r>
            <w:r>
              <w:rPr>
                <w:rFonts w:hint="eastAsia" w:ascii="仿宋_GB2312" w:hAnsi="仿宋_GB2312" w:eastAsia="仿宋_GB2312" w:cs="仿宋_GB2312"/>
                <w:szCs w:val="21"/>
              </w:rPr>
              <w:t>+亚克力。工艺：异形裁切</w:t>
            </w:r>
            <w:r>
              <w:rPr>
                <w:rFonts w:ascii="仿宋_GB2312" w:hAnsi="仿宋_GB2312" w:eastAsia="仿宋_GB2312" w:cs="仿宋_GB2312"/>
                <w:szCs w:val="21"/>
              </w:rPr>
              <w:t>PVC</w:t>
            </w:r>
            <w:r>
              <w:rPr>
                <w:rFonts w:hint="eastAsia" w:ascii="仿宋_GB2312" w:hAnsi="仿宋_GB2312" w:eastAsia="仿宋_GB2312" w:cs="仿宋_GB2312"/>
                <w:szCs w:val="21"/>
              </w:rPr>
              <w:t>（5+8）组合覆盖，表面标题采用亚克力立体字。</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拆除原有墙面内容并更新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党建留声机及红色朗读书屋</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覆盖面积20</w:t>
            </w:r>
            <w:r>
              <w:rPr>
                <w:rFonts w:hint="eastAsia" w:ascii="Segoe UI Symbol" w:hAnsi="Segoe UI Symbol" w:eastAsia="仿宋_GB2312" w:cs="Segoe UI Symbol"/>
                <w:szCs w:val="21"/>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主材：P</w:t>
            </w:r>
            <w:r>
              <w:rPr>
                <w:rFonts w:ascii="仿宋_GB2312" w:hAnsi="仿宋_GB2312" w:eastAsia="仿宋_GB2312" w:cs="仿宋_GB2312"/>
                <w:szCs w:val="21"/>
              </w:rPr>
              <w:t>VC</w:t>
            </w:r>
            <w:r>
              <w:rPr>
                <w:rFonts w:hint="eastAsia" w:ascii="仿宋_GB2312" w:hAnsi="仿宋_GB2312" w:eastAsia="仿宋_GB2312" w:cs="仿宋_GB2312"/>
                <w:szCs w:val="21"/>
              </w:rPr>
              <w:t>+亚克力。工艺：异形裁切</w:t>
            </w:r>
            <w:r>
              <w:rPr>
                <w:rFonts w:ascii="仿宋_GB2312" w:hAnsi="仿宋_GB2312" w:eastAsia="仿宋_GB2312" w:cs="仿宋_GB2312"/>
                <w:szCs w:val="21"/>
              </w:rPr>
              <w:t>PVC</w:t>
            </w:r>
            <w:r>
              <w:rPr>
                <w:rFonts w:hint="eastAsia" w:ascii="仿宋_GB2312" w:hAnsi="仿宋_GB2312" w:eastAsia="仿宋_GB2312" w:cs="仿宋_GB2312"/>
                <w:szCs w:val="21"/>
              </w:rPr>
              <w:t>（5+8）组合覆盖，表面标题采用亚克力立体字。</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更新原有墙面内容</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p>
            <w:pPr>
              <w:rPr>
                <w:rFonts w:ascii="Times New Roman" w:hAnsi="Times New Roman" w:eastAsia="宋体" w:cs="Times New Roma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130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三新讲学所宣传卷帘</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窗户位置</w:t>
            </w: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L9750mm*2000mm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主体：手动式卷帘，表面UV，1080P喷绘，半遮蔽式，单件L1000mm-1500mm*H1600mm-2000mm,组合式。</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手动式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233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宣誓及</w:t>
            </w:r>
            <w:r>
              <w:rPr>
                <w:rFonts w:hint="eastAsia" w:ascii="仿宋_GB2312" w:hAnsi="仿宋_GB2312" w:eastAsia="仿宋_GB2312" w:cs="仿宋_GB2312"/>
                <w:szCs w:val="21"/>
                <w:lang w:val="en-US" w:eastAsia="zh-CN"/>
              </w:rPr>
              <w:t>党建</w:t>
            </w:r>
            <w:r>
              <w:rPr>
                <w:rFonts w:hint="eastAsia" w:ascii="仿宋_GB2312" w:hAnsi="仿宋_GB2312" w:eastAsia="仿宋_GB2312" w:cs="仿宋_GB2312"/>
                <w:szCs w:val="21"/>
              </w:rPr>
              <w:t>心愿</w:t>
            </w:r>
            <w:r>
              <w:rPr>
                <w:rFonts w:hint="eastAsia" w:ascii="仿宋_GB2312" w:hAnsi="仿宋_GB2312" w:eastAsia="仿宋_GB2312" w:cs="仿宋_GB2312"/>
                <w:szCs w:val="21"/>
                <w:lang w:val="en-US" w:eastAsia="zh-CN"/>
              </w:rPr>
              <w:t>墙</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活动隔断（面粘贴）L3000mm*H2450mm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主体1：软膜灯箱材质或金属组合方式，表面内容采用便更换方式，固定位可借助天花，覆盖区域L1000mm-2000mm,H2000mm-2300mm。</w:t>
            </w:r>
          </w:p>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主体2：成列形式（造型）常规排列（覆盖区域主材亚克力或木框</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拆除原有的</w:t>
            </w:r>
            <w:r>
              <w:rPr>
                <w:rFonts w:hint="eastAsia" w:ascii="仿宋_GB2312" w:hAnsi="仿宋_GB2312" w:eastAsia="仿宋_GB2312" w:cs="仿宋_GB2312"/>
                <w:szCs w:val="21"/>
                <w:lang w:val="en-US" w:eastAsia="zh-CN"/>
              </w:rPr>
              <w:t>并</w:t>
            </w:r>
            <w:r>
              <w:rPr>
                <w:rFonts w:hint="eastAsia" w:ascii="仿宋_GB2312" w:hAnsi="仿宋_GB2312" w:eastAsia="仿宋_GB2312" w:cs="仿宋_GB2312"/>
                <w:szCs w:val="21"/>
              </w:rPr>
              <w:t>更新。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105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企业文化书屋</w:t>
            </w:r>
            <w:r>
              <w:rPr>
                <w:rFonts w:hint="eastAsia" w:ascii="仿宋_GB2312" w:hAnsi="仿宋_GB2312" w:eastAsia="仿宋_GB2312" w:cs="仿宋_GB2312"/>
                <w:szCs w:val="21"/>
                <w:lang w:val="en-US" w:eastAsia="zh-CN"/>
              </w:rPr>
              <w:t>及书架</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墙面</w:t>
            </w:r>
            <w:r>
              <w:rPr>
                <w:rFonts w:ascii="仿宋_GB2312" w:hAnsi="仿宋_GB2312" w:eastAsia="仿宋_GB2312" w:cs="仿宋_GB2312"/>
                <w:szCs w:val="21"/>
              </w:rPr>
              <w:t>L</w:t>
            </w:r>
            <w:r>
              <w:rPr>
                <w:rFonts w:hint="eastAsia" w:ascii="仿宋_GB2312" w:hAnsi="仿宋_GB2312" w:eastAsia="仿宋_GB2312" w:cs="仿宋_GB2312"/>
                <w:szCs w:val="21"/>
              </w:rPr>
              <w:t>1500</w:t>
            </w:r>
            <w:r>
              <w:rPr>
                <w:rFonts w:ascii="仿宋_GB2312" w:hAnsi="仿宋_GB2312" w:eastAsia="仿宋_GB2312" w:cs="仿宋_GB2312"/>
                <w:szCs w:val="21"/>
              </w:rPr>
              <w:t>mm</w:t>
            </w:r>
            <w:r>
              <w:rPr>
                <w:rFonts w:hint="eastAsia" w:ascii="仿宋_GB2312" w:hAnsi="仿宋_GB2312" w:eastAsia="仿宋_GB2312" w:cs="仿宋_GB2312"/>
                <w:szCs w:val="21"/>
              </w:rPr>
              <w:t>*</w:t>
            </w:r>
            <w:r>
              <w:rPr>
                <w:rFonts w:ascii="仿宋_GB2312" w:hAnsi="仿宋_GB2312" w:eastAsia="仿宋_GB2312" w:cs="仿宋_GB2312"/>
                <w:szCs w:val="21"/>
              </w:rPr>
              <w:t>H</w:t>
            </w:r>
            <w:r>
              <w:rPr>
                <w:rFonts w:hint="eastAsia" w:ascii="仿宋_GB2312" w:hAnsi="仿宋_GB2312" w:eastAsia="仿宋_GB2312" w:cs="仿宋_GB2312"/>
                <w:szCs w:val="21"/>
              </w:rPr>
              <w:t>1200mm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hAnsi="仿宋_GB2312" w:eastAsia="仿宋_GB2312" w:cs="仿宋_GB2312"/>
                <w:szCs w:val="21"/>
              </w:rPr>
            </w:pPr>
            <w:r>
              <w:rPr>
                <w:rFonts w:hint="eastAsia" w:ascii="仿宋_GB2312" w:hAnsi="仿宋_GB2312" w:eastAsia="仿宋_GB2312" w:cs="仿宋_GB2312"/>
                <w:szCs w:val="21"/>
              </w:rPr>
              <w:t>主材：P</w:t>
            </w:r>
            <w:r>
              <w:rPr>
                <w:rFonts w:ascii="仿宋_GB2312" w:hAnsi="仿宋_GB2312" w:eastAsia="仿宋_GB2312" w:cs="仿宋_GB2312"/>
                <w:szCs w:val="21"/>
              </w:rPr>
              <w:t>VC</w:t>
            </w:r>
            <w:r>
              <w:rPr>
                <w:rFonts w:hint="eastAsia" w:ascii="仿宋_GB2312" w:hAnsi="仿宋_GB2312" w:eastAsia="仿宋_GB2312" w:cs="仿宋_GB2312"/>
                <w:szCs w:val="21"/>
              </w:rPr>
              <w:t>+亚克力。工艺：异形裁切</w:t>
            </w:r>
            <w:r>
              <w:rPr>
                <w:rFonts w:ascii="仿宋_GB2312" w:hAnsi="仿宋_GB2312" w:eastAsia="仿宋_GB2312" w:cs="仿宋_GB2312"/>
                <w:szCs w:val="21"/>
              </w:rPr>
              <w:t>PVC</w:t>
            </w:r>
            <w:r>
              <w:rPr>
                <w:rFonts w:hint="eastAsia" w:ascii="仿宋_GB2312" w:hAnsi="仿宋_GB2312" w:eastAsia="仿宋_GB2312" w:cs="仿宋_GB2312"/>
                <w:szCs w:val="21"/>
              </w:rPr>
              <w:t>（5+8）组合覆盖，表面标题采用亚克力立体字。</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拆除原有内容更新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p>
            <w:pPr>
              <w:rPr>
                <w:rFonts w:ascii="Times New Roman" w:hAnsi="Times New Roman" w:eastAsia="宋体" w:cs="Times New Roman"/>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1033"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党支部标准化建设墙</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活动隔断L5660mm*H1170mm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hAnsi="仿宋_GB2312" w:eastAsia="仿宋_GB2312" w:cs="仿宋_GB2312"/>
                <w:szCs w:val="21"/>
              </w:rPr>
            </w:pPr>
            <w:r>
              <w:rPr>
                <w:rFonts w:hint="eastAsia" w:ascii="仿宋_GB2312" w:hAnsi="仿宋_GB2312" w:eastAsia="仿宋_GB2312" w:cs="仿宋_GB2312"/>
                <w:szCs w:val="21"/>
              </w:rPr>
              <w:t>主体透明亚克力3mm-5</w:t>
            </w:r>
            <w:r>
              <w:rPr>
                <w:rFonts w:ascii="仿宋_GB2312" w:hAnsi="仿宋_GB2312" w:eastAsia="仿宋_GB2312" w:cs="仿宋_GB2312"/>
                <w:szCs w:val="21"/>
              </w:rPr>
              <w:t>mm,</w:t>
            </w:r>
            <w:r>
              <w:rPr>
                <w:rFonts w:hint="eastAsia" w:ascii="仿宋_GB2312" w:hAnsi="仿宋_GB2312" w:eastAsia="仿宋_GB2312" w:cs="仿宋_GB2312"/>
                <w:szCs w:val="21"/>
              </w:rPr>
              <w:t>表面内容背面U</w:t>
            </w:r>
            <w:r>
              <w:rPr>
                <w:rFonts w:ascii="仿宋_GB2312" w:hAnsi="仿宋_GB2312" w:eastAsia="仿宋_GB2312" w:cs="仿宋_GB2312"/>
                <w:szCs w:val="21"/>
              </w:rPr>
              <w:t>V</w:t>
            </w:r>
            <w:r>
              <w:rPr>
                <w:rFonts w:hint="eastAsia" w:ascii="仿宋_GB2312" w:hAnsi="仿宋_GB2312" w:eastAsia="仿宋_GB2312" w:cs="仿宋_GB2312"/>
                <w:szCs w:val="21"/>
              </w:rPr>
              <w:t>工艺，加白膜，安装方式：粘贴固定方式</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拆除原有的更新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254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szCs w:val="21"/>
                <w:lang w:val="en-US" w:eastAsia="zh-CN"/>
              </w:rPr>
              <w:t>13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南沙国企政治体检中心主背景墙</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墙面L6020mm*H2450mm*W80mm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主体部分：生态木板厚1-2cm造型尺寸长6300mm-7500mm，高2000mm-2300mm,正面采用玻璃造型四边L</w:t>
            </w:r>
            <w:r>
              <w:rPr>
                <w:rFonts w:ascii="仿宋_GB2312" w:hAnsi="仿宋_GB2312" w:eastAsia="仿宋_GB2312" w:cs="仿宋_GB2312"/>
                <w:szCs w:val="21"/>
              </w:rPr>
              <w:t>ED</w:t>
            </w:r>
            <w:r>
              <w:rPr>
                <w:rFonts w:hint="eastAsia" w:ascii="仿宋_GB2312" w:hAnsi="仿宋_GB2312" w:eastAsia="仿宋_GB2312" w:cs="仿宋_GB2312"/>
                <w:szCs w:val="21"/>
              </w:rPr>
              <w:t>灯源，正文采用铝合金宣传框内容采用1080Puv/烤漆丝印，标题采用测发光立体字工艺。尺寸：宽150mm-250mm，高350mm-550mm。</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拆除原有墙面整面更新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szCs w:val="21"/>
                <w:lang w:val="en-US" w:eastAsia="zh-CN"/>
              </w:rPr>
              <w:t>14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政治体检墙</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墙面L2500mm*H2450mm*W200mm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主体部分：夹板/耐福石膏板/玻璃板，内预留电位5250LED冷光灯条15M内、番禺电线2.5平方6m，内置变压器，表面洪利得腻子粉+多乐士白漆（金装5合1）。尺寸长度2500mm-2600mm,高度2000mm-2300mm，厚度1-2cm，表面烤漆，文字内容展示区域宽400mm-550mm，高650mm-880mm,亚克力喷漆字，厚1-2cm，正文部分PVC表面UV，厚度1-2cm，内容（1080p精度）UV，覆盖区域长1200mm-1500mm，高550mm-1000mm，双面制作。</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拆除原有墙面更新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党史墙</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墙面L2500mm*H2450mm*W200mm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主体部分：夹板/耐福石膏板/玻璃，内预留电位5250LED冷光灯条15M内、番禺电线2.5平方6m，内置变压器，表面洪利得腻子粉+多乐士白漆（金装5合1）。尺寸长度2500mm-2600mm,高度2000mm-2300mm，厚度1-2cm，表面烤漆，文字内容展示区域宽400mm-550mm，高650mm-880mm,亚克力喷漆字，厚1-2cm，正文部分PVC表面UV，厚度1-2cm，内容（1080p精度）UV，覆盖区域长1200mm-1500mm，高550mm-1000mm，双面制作。预留65寸电视机（挂壁式）安装口</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拆除原有墙面更新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廉政教育墙</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zCs w:val="21"/>
              </w:rPr>
              <w:t>墙面L4000mm*H2450mm*内容高于表面&lt;50mm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hAnsi="仿宋_GB2312" w:eastAsia="仿宋_GB2312" w:cs="仿宋_GB2312"/>
              </w:rPr>
            </w:pPr>
            <w:r>
              <w:rPr>
                <w:rFonts w:hint="eastAsia" w:ascii="仿宋_GB2312" w:hAnsi="仿宋_GB2312" w:eastAsia="仿宋_GB2312" w:cs="仿宋_GB2312"/>
                <w:szCs w:val="21"/>
              </w:rPr>
              <w:t>主体部分：表面洪利得腻子粉+多乐士白漆（金装5合1）。，内容油画布U</w:t>
            </w:r>
            <w:r>
              <w:rPr>
                <w:rFonts w:ascii="仿宋_GB2312" w:hAnsi="仿宋_GB2312" w:eastAsia="仿宋_GB2312" w:cs="仿宋_GB2312"/>
                <w:szCs w:val="21"/>
              </w:rPr>
              <w:t>V</w:t>
            </w:r>
            <w:r>
              <w:rPr>
                <w:rFonts w:hint="eastAsia" w:ascii="仿宋_GB2312" w:hAnsi="仿宋_GB2312" w:eastAsia="仿宋_GB2312" w:cs="仿宋_GB2312"/>
                <w:szCs w:val="21"/>
              </w:rPr>
              <w:t>长2800mm-3000mm,高1500mm-2000mm，侧边厚度2-3cm,正文内容PVC表面（1080p精度）覆盖区域1500mm*2000mm,展示区域内部立体字亚克力1-2cm，表面烤漆，覆盖区域高100mm-250mm,长度800mm-1200mm。预留43寸电视机（挂壁式）安装口</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color w:val="000000" w:themeColor="text1"/>
                <w:sz w:val="22"/>
                <w:szCs w:val="22"/>
                <w14:textFill>
                  <w14:solidFill>
                    <w14:schemeClr w14:val="tx1"/>
                  </w14:solidFill>
                </w14:textFill>
              </w:rPr>
            </w:pPr>
            <w:r>
              <w:rPr>
                <w:rFonts w:hint="eastAsia" w:ascii="仿宋_GB2312" w:hAnsi="仿宋_GB2312" w:eastAsia="仿宋_GB2312" w:cs="仿宋_GB2312"/>
                <w:szCs w:val="21"/>
              </w:rPr>
              <w:t>拆除原有墙面基础更新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党工团工作宣传背景墙</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墙面L4060mm*H2450mm*内容高于表面&lt;50mm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主体部分：番禺电线2.5平方6m，内置变压器，表面洪利得腻子粉+多乐士白漆（金装5合1）组合钢化玻璃。文字内容展示区域宽400mm-550mm，高650mm-880mm,亚克力喷漆字，厚1-2cm，正文部分PVC表面UV，厚度1-2cm，内容（1080p精度）UV，覆盖区域长3200mm-4500mm，高550mm-1000mm。</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拆除原有墙面更新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工会展示墙</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墙面L4350mm*H2450mm*内容高于表面&lt;50mm</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rPr>
              <w:t>主体部分：表面洪利得腻子粉+多乐士白漆（金装5合1）。长2800mm-3000mm,高1500mm-2000mm，侧边厚度2-3cm,正文内容PVC表面（1080p精度）覆盖区域1500mm*2000mm,展示区域内部立体字亚克力1-2cm，表面烤漆，覆盖区域高100mm-250mm,长度800mm-1200mm。预留43寸电视机（挂壁式）安装口</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拆除原有墙面更新</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60" w:hRule="atLeast"/>
          <w:jc w:val="center"/>
        </w:trPr>
        <w:tc>
          <w:tcPr>
            <w:tcW w:w="977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r>
      <w:tr>
        <w:tblPrEx>
          <w:tblCellMar>
            <w:top w:w="0" w:type="dxa"/>
            <w:left w:w="0" w:type="dxa"/>
            <w:bottom w:w="0" w:type="dxa"/>
            <w:right w:w="0" w:type="dxa"/>
          </w:tblCellMar>
        </w:tblPrEx>
        <w:trPr>
          <w:trHeight w:val="4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安装服务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安装服务</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广告物料安装</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设计服务</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设计服务</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平面设计+3</w:t>
            </w:r>
            <w:r>
              <w:rPr>
                <w:rFonts w:ascii="仿宋_GB2312" w:hAnsi="仿宋_GB2312" w:eastAsia="仿宋_GB2312" w:cs="仿宋_GB2312"/>
                <w:szCs w:val="21"/>
              </w:rPr>
              <w:t>D</w:t>
            </w:r>
            <w:r>
              <w:rPr>
                <w:rFonts w:hint="eastAsia" w:ascii="仿宋_GB2312" w:hAnsi="仿宋_GB2312" w:eastAsia="仿宋_GB2312" w:cs="仿宋_GB2312"/>
                <w:szCs w:val="21"/>
              </w:rPr>
              <w:t>效果图</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c>
          <w:tcPr>
            <w:tcW w:w="69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合计：大写</w:t>
            </w:r>
            <w:r>
              <w:rPr>
                <w:rFonts w:hint="eastAsia" w:ascii="微软雅黑" w:hAnsi="微软雅黑" w:eastAsia="微软雅黑" w:cs="微软雅黑"/>
                <w:szCs w:val="21"/>
              </w:rPr>
              <w:t xml:space="preserve"> </w:t>
            </w:r>
            <w:r>
              <w:rPr>
                <w:rFonts w:ascii="微软雅黑" w:hAnsi="微软雅黑" w:eastAsia="微软雅黑" w:cs="微软雅黑"/>
                <w:szCs w:val="21"/>
              </w:rPr>
              <w:t xml:space="preserve">  </w:t>
            </w:r>
            <w:r>
              <w:rPr>
                <w:rFonts w:hint="eastAsia" w:ascii="微软雅黑" w:hAnsi="微软雅黑" w:eastAsia="微软雅黑" w:cs="微软雅黑"/>
                <w:szCs w:val="21"/>
              </w:rPr>
              <w:t>元整</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微软雅黑" w:hAnsi="微软雅黑" w:eastAsia="微软雅黑" w:cs="微软雅黑"/>
                <w:szCs w:val="21"/>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仿宋_GB2312" w:hAnsi="仿宋_GB2312" w:eastAsia="仿宋_GB2312" w:cs="仿宋_GB2312"/>
                <w:szCs w:val="21"/>
              </w:rPr>
            </w:pPr>
          </w:p>
        </w:tc>
      </w:tr>
    </w:tbl>
    <w:p>
      <w:pPr>
        <w:pStyle w:val="6"/>
        <w:rPr>
          <w:rFonts w:ascii="仿宋_GB2312" w:hAnsi="仿宋_GB2312" w:eastAsia="仿宋_GB2312" w:cs="仿宋_GB2312"/>
          <w:color w:val="000000" w:themeColor="text1"/>
          <w:sz w:val="24"/>
          <w:szCs w:val="24"/>
          <w14:textFill>
            <w14:solidFill>
              <w14:schemeClr w14:val="tx1"/>
            </w14:solidFill>
          </w14:textFill>
        </w:rPr>
      </w:pPr>
    </w:p>
    <w:p>
      <w:pPr>
        <w:pStyle w:val="6"/>
      </w:pPr>
      <w:r>
        <w:rPr>
          <w:rFonts w:hint="eastAsia" w:ascii="仿宋_GB2312" w:hAnsi="仿宋_GB2312" w:eastAsia="仿宋_GB2312" w:cs="仿宋_GB2312"/>
          <w:color w:val="000000" w:themeColor="text1"/>
          <w:sz w:val="24"/>
          <w:szCs w:val="24"/>
          <w14:textFill>
            <w14:solidFill>
              <w14:schemeClr w14:val="tx1"/>
            </w14:solidFill>
          </w14:textFill>
        </w:rPr>
        <w:t>注：本项目结合自身实力和市场因素进行报价。</w:t>
      </w:r>
      <w:r>
        <w:rPr>
          <w:rFonts w:hint="eastAsia" w:ascii="仿宋_GB2312" w:hAnsi="宋体" w:eastAsia="仿宋_GB2312" w:cs="Arial"/>
          <w:sz w:val="24"/>
        </w:rPr>
        <w:t>总报价不得超过最高限价人民币20万元。该总报价包括：设计、制造、包装、运输、装卸、储存、安装（基础制作）、调试和安装现场协调配合费用，质保期内服务及备品备件发生的所有（含税）费用。</w:t>
      </w:r>
    </w:p>
    <w:p>
      <w:pPr>
        <w:spacing w:line="360" w:lineRule="auto"/>
        <w:ind w:firstLine="3360" w:firstLineChars="1200"/>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报价单位：                                        </w:t>
      </w:r>
    </w:p>
    <w:p>
      <w:pPr>
        <w:spacing w:line="360" w:lineRule="auto"/>
        <w:ind w:firstLine="3920" w:firstLineChars="1400"/>
        <w:jc w:val="left"/>
        <w:rPr>
          <w:rFonts w:ascii="宋体" w:hAnsi="宋体"/>
          <w:b/>
          <w:bCs/>
          <w:sz w:val="30"/>
        </w:rPr>
      </w:pPr>
      <w:r>
        <w:rPr>
          <w:rFonts w:hint="eastAsia" w:ascii="仿宋_GB2312" w:hAnsi="仿宋_GB2312" w:eastAsia="仿宋_GB2312" w:cs="仿宋_GB2312"/>
          <w:bCs/>
          <w:color w:val="000000" w:themeColor="text1"/>
          <w:sz w:val="28"/>
          <w:szCs w:val="28"/>
          <w14:textFill>
            <w14:solidFill>
              <w14:schemeClr w14:val="tx1"/>
            </w14:solidFill>
          </w14:textFill>
        </w:rPr>
        <w:t>日期：</w:t>
      </w:r>
      <w:r>
        <w:rPr>
          <w:rFonts w:ascii="仿宋_GB2312" w:hAnsi="仿宋_GB2312" w:eastAsia="仿宋_GB2312" w:cs="仿宋_GB2312"/>
          <w:bCs/>
          <w:color w:val="000000" w:themeColor="text1"/>
          <w:sz w:val="28"/>
          <w:szCs w:val="28"/>
          <w14:textFill>
            <w14:solidFill>
              <w14:schemeClr w14:val="tx1"/>
            </w14:solidFill>
          </w14:textFill>
        </w:rPr>
        <w:br w:type="page"/>
      </w:r>
    </w:p>
    <w:p>
      <w:pPr>
        <w:widowControl/>
        <w:jc w:val="left"/>
        <w:rPr>
          <w:b/>
          <w:bCs/>
          <w:sz w:val="28"/>
          <w:szCs w:val="28"/>
        </w:rPr>
      </w:pPr>
      <w:r>
        <w:rPr>
          <w:rFonts w:hint="eastAsia"/>
          <w:b/>
          <w:bCs/>
          <w:sz w:val="28"/>
          <w:szCs w:val="28"/>
        </w:rPr>
        <w:t>附件四：</w:t>
      </w:r>
    </w:p>
    <w:tbl>
      <w:tblPr>
        <w:tblStyle w:val="14"/>
        <w:tblW w:w="9545" w:type="dxa"/>
        <w:jc w:val="center"/>
        <w:tblLayout w:type="fixed"/>
        <w:tblCellMar>
          <w:top w:w="0" w:type="dxa"/>
          <w:left w:w="108" w:type="dxa"/>
          <w:bottom w:w="0" w:type="dxa"/>
          <w:right w:w="108" w:type="dxa"/>
        </w:tblCellMar>
      </w:tblPr>
      <w:tblGrid>
        <w:gridCol w:w="768"/>
        <w:gridCol w:w="4350"/>
        <w:gridCol w:w="1492"/>
        <w:gridCol w:w="1421"/>
        <w:gridCol w:w="1514"/>
      </w:tblGrid>
      <w:tr>
        <w:tblPrEx>
          <w:tblCellMar>
            <w:top w:w="0" w:type="dxa"/>
            <w:left w:w="108" w:type="dxa"/>
            <w:bottom w:w="0" w:type="dxa"/>
            <w:right w:w="108" w:type="dxa"/>
          </w:tblCellMar>
        </w:tblPrEx>
        <w:trPr>
          <w:trHeight w:val="660" w:hRule="atLeast"/>
          <w:jc w:val="center"/>
        </w:trPr>
        <w:tc>
          <w:tcPr>
            <w:tcW w:w="9545" w:type="dxa"/>
            <w:gridSpan w:val="5"/>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lang w:bidi="ar"/>
              </w:rPr>
              <w:t>资格符合性审查表</w:t>
            </w:r>
          </w:p>
        </w:tc>
      </w:tr>
      <w:tr>
        <w:tblPrEx>
          <w:tblCellMar>
            <w:top w:w="0" w:type="dxa"/>
            <w:left w:w="108" w:type="dxa"/>
            <w:bottom w:w="0" w:type="dxa"/>
            <w:right w:w="108" w:type="dxa"/>
          </w:tblCellMar>
        </w:tblPrEx>
        <w:trPr>
          <w:trHeight w:val="405" w:hRule="atLeast"/>
          <w:jc w:val="center"/>
        </w:trPr>
        <w:tc>
          <w:tcPr>
            <w:tcW w:w="9545"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项目名称：</w:t>
            </w:r>
            <w:r>
              <w:rPr>
                <w:rFonts w:hint="eastAsia" w:ascii="宋体" w:hAnsi="宋体" w:eastAsia="宋体" w:cs="宋体"/>
                <w:bCs w:val="0"/>
                <w:color w:val="000000"/>
                <w:kern w:val="0"/>
                <w:sz w:val="21"/>
                <w:szCs w:val="21"/>
                <w:lang w:bidi="ar"/>
              </w:rPr>
              <w:t>南沙区国有企业党员教育示范基地提档升级项目</w:t>
            </w:r>
            <w:r>
              <w:rPr>
                <w:rFonts w:hint="eastAsia" w:ascii="宋体" w:hAnsi="宋体" w:cs="宋体"/>
                <w:color w:val="000000"/>
                <w:kern w:val="0"/>
                <w:szCs w:val="21"/>
                <w:lang w:bidi="ar"/>
              </w:rPr>
              <w:t xml:space="preserve">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日期：     年  月  日</w:t>
            </w:r>
          </w:p>
        </w:tc>
      </w:tr>
      <w:tr>
        <w:tblPrEx>
          <w:tblCellMar>
            <w:top w:w="0" w:type="dxa"/>
            <w:left w:w="108" w:type="dxa"/>
            <w:bottom w:w="0" w:type="dxa"/>
            <w:right w:w="108" w:type="dxa"/>
          </w:tblCellMar>
        </w:tblPrEx>
        <w:trPr>
          <w:trHeight w:val="405"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4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审查项目     </w:t>
            </w:r>
          </w:p>
        </w:tc>
        <w:tc>
          <w:tcPr>
            <w:tcW w:w="44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  投标人名称</w:t>
            </w:r>
          </w:p>
        </w:tc>
      </w:tr>
      <w:tr>
        <w:tblPrEx>
          <w:tblCellMar>
            <w:top w:w="0" w:type="dxa"/>
            <w:left w:w="108" w:type="dxa"/>
            <w:bottom w:w="0" w:type="dxa"/>
            <w:right w:w="108" w:type="dxa"/>
          </w:tblCellMar>
        </w:tblPrEx>
        <w:trPr>
          <w:trHeight w:val="52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4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6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投标文件密封性完好。</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56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投标文件每页加盖投标单位公章或骑缝章。</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779"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投标单位营业执照复印件加盖公章，法定代表人证明书及委托授权书原件加盖公章。</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854"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投标人具有承接本项目的相应能力，企业经营范围为：标识标志牌设计安装服务或广告业。</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560"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投标报价不高于投标限价。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1712"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投标人未被列入“信用中国”网站(www.creditchina.gov.cn)“失信被执行人或企业经营异常名录或重大税收违法案件当事人名单”(提供投标日当天信用信息查询记录其中一项截图，加盖本单位公章)。</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714" w:hRule="exac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投标人按招标文件要求，在规定时间内到现场勘查。</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600" w:hRule="atLeast"/>
          <w:jc w:val="center"/>
        </w:trPr>
        <w:tc>
          <w:tcPr>
            <w:tcW w:w="5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结论</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870" w:hRule="atLeast"/>
          <w:jc w:val="center"/>
        </w:trPr>
        <w:tc>
          <w:tcPr>
            <w:tcW w:w="9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备注：每一项目符合的打“○”，不符合的打“×”；所有项目符合为通过，出现一个“×”的结论为不通过。</w:t>
            </w:r>
          </w:p>
        </w:tc>
      </w:tr>
      <w:tr>
        <w:tblPrEx>
          <w:tblCellMar>
            <w:top w:w="0" w:type="dxa"/>
            <w:left w:w="108" w:type="dxa"/>
            <w:bottom w:w="0" w:type="dxa"/>
            <w:right w:w="108" w:type="dxa"/>
          </w:tblCellMar>
        </w:tblPrEx>
        <w:trPr>
          <w:trHeight w:val="640" w:hRule="atLeast"/>
          <w:jc w:val="center"/>
        </w:trPr>
        <w:tc>
          <w:tcPr>
            <w:tcW w:w="9545"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评审专家签名：</w:t>
            </w:r>
          </w:p>
        </w:tc>
      </w:tr>
    </w:tbl>
    <w:p>
      <w:pPr>
        <w:spacing w:before="100" w:beforeAutospacing="1" w:after="100" w:afterAutospacing="1"/>
      </w:pPr>
      <w:r>
        <w:rPr>
          <w:rFonts w:hint="eastAsia"/>
        </w:rPr>
        <w:t xml:space="preserve">          </w:t>
      </w:r>
    </w:p>
    <w:p>
      <w:pPr>
        <w:outlineLvl w:val="0"/>
        <w:rPr>
          <w:b/>
          <w:bCs/>
          <w:sz w:val="28"/>
          <w:szCs w:val="28"/>
        </w:rPr>
      </w:pPr>
    </w:p>
    <w:p>
      <w:pPr>
        <w:outlineLvl w:val="0"/>
        <w:rPr>
          <w:b/>
          <w:bCs/>
          <w:sz w:val="28"/>
          <w:szCs w:val="28"/>
        </w:rPr>
      </w:pPr>
    </w:p>
    <w:p>
      <w:pPr>
        <w:outlineLvl w:val="0"/>
        <w:rPr>
          <w:b/>
          <w:bCs/>
          <w:sz w:val="28"/>
          <w:szCs w:val="28"/>
        </w:rPr>
      </w:pPr>
    </w:p>
    <w:p>
      <w:pPr>
        <w:outlineLvl w:val="0"/>
        <w:rPr>
          <w:b/>
          <w:bCs/>
          <w:sz w:val="28"/>
          <w:szCs w:val="28"/>
        </w:rPr>
      </w:pPr>
    </w:p>
    <w:p>
      <w:pPr>
        <w:outlineLvl w:val="0"/>
        <w:rPr>
          <w:b/>
          <w:bCs/>
          <w:sz w:val="28"/>
          <w:szCs w:val="28"/>
        </w:rPr>
        <w:sectPr>
          <w:pgSz w:w="11906" w:h="16838"/>
          <w:pgMar w:top="1440" w:right="1800" w:bottom="1440" w:left="1800" w:header="851" w:footer="992" w:gutter="0"/>
          <w:cols w:space="425" w:num="1"/>
          <w:docGrid w:type="lines" w:linePitch="312" w:charSpace="0"/>
        </w:sectPr>
      </w:pPr>
    </w:p>
    <w:p>
      <w:pPr>
        <w:outlineLvl w:val="0"/>
        <w:rPr>
          <w:b/>
          <w:bCs/>
          <w:sz w:val="28"/>
          <w:szCs w:val="28"/>
        </w:rPr>
      </w:pPr>
      <w:r>
        <w:rPr>
          <w:rFonts w:hint="eastAsia"/>
          <w:b/>
          <w:bCs/>
          <w:sz w:val="28"/>
          <w:szCs w:val="28"/>
        </w:rPr>
        <w:t>附件五：</w:t>
      </w:r>
    </w:p>
    <w:p>
      <w:pPr>
        <w:spacing w:line="360" w:lineRule="auto"/>
        <w:jc w:val="center"/>
        <w:rPr>
          <w:rFonts w:ascii="方正小标宋简体" w:hAnsi="宋体" w:eastAsia="方正小标宋简体" w:cs="宋体"/>
          <w:sz w:val="36"/>
          <w:szCs w:val="36"/>
        </w:rPr>
      </w:pPr>
      <w:r>
        <w:rPr>
          <w:rFonts w:hint="eastAsia" w:ascii="方正小标宋简体" w:hAnsi="方正小标宋简体" w:eastAsia="方正小标宋简体" w:cs="方正小标宋简体"/>
          <w:sz w:val="36"/>
          <w:szCs w:val="36"/>
          <w:lang w:bidi="ar"/>
        </w:rPr>
        <w:t>综合评审表</w:t>
      </w:r>
    </w:p>
    <w:p>
      <w:pPr>
        <w:jc w:val="left"/>
        <w:rPr>
          <w:rFonts w:ascii="宋体" w:hAnsi="宋体" w:cs="宋体"/>
          <w:color w:val="000000"/>
          <w:kern w:val="0"/>
          <w:szCs w:val="21"/>
          <w:lang w:bidi="ar"/>
        </w:rPr>
      </w:pPr>
      <w:r>
        <w:rPr>
          <w:rFonts w:hint="eastAsia" w:ascii="宋体" w:hAnsi="宋体" w:cs="宋体"/>
          <w:color w:val="000000"/>
          <w:kern w:val="0"/>
          <w:szCs w:val="21"/>
          <w:lang w:bidi="ar"/>
        </w:rPr>
        <w:t>项目名称：</w:t>
      </w:r>
      <w:r>
        <w:rPr>
          <w:rFonts w:hint="eastAsia" w:ascii="宋体" w:hAnsi="宋体" w:eastAsia="宋体" w:cs="宋体"/>
          <w:bCs w:val="0"/>
          <w:color w:val="000000"/>
          <w:kern w:val="0"/>
          <w:sz w:val="21"/>
          <w:szCs w:val="21"/>
          <w:lang w:bidi="ar"/>
        </w:rPr>
        <w:t>南沙区国有企业党员教育示范基地提档升级项目</w:t>
      </w:r>
      <w:r>
        <w:rPr>
          <w:rFonts w:hint="eastAsia" w:ascii="宋体" w:hAnsi="宋体" w:cs="宋体"/>
          <w:color w:val="000000"/>
          <w:kern w:val="0"/>
          <w:szCs w:val="21"/>
          <w:lang w:bidi="ar"/>
        </w:rPr>
        <w:t xml:space="preserve">                                  </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日期：    年  月  日</w:t>
      </w:r>
    </w:p>
    <w:tbl>
      <w:tblPr>
        <w:tblStyle w:val="14"/>
        <w:tblW w:w="14163" w:type="dxa"/>
        <w:jc w:val="center"/>
        <w:tblLayout w:type="fixed"/>
        <w:tblCellMar>
          <w:top w:w="0" w:type="dxa"/>
          <w:left w:w="108" w:type="dxa"/>
          <w:bottom w:w="0" w:type="dxa"/>
          <w:right w:w="108" w:type="dxa"/>
        </w:tblCellMar>
      </w:tblPr>
      <w:tblGrid>
        <w:gridCol w:w="611"/>
        <w:gridCol w:w="1110"/>
        <w:gridCol w:w="1486"/>
        <w:gridCol w:w="6432"/>
        <w:gridCol w:w="693"/>
        <w:gridCol w:w="1327"/>
        <w:gridCol w:w="1226"/>
        <w:gridCol w:w="1278"/>
      </w:tblGrid>
      <w:tr>
        <w:tblPrEx>
          <w:tblCellMar>
            <w:top w:w="0" w:type="dxa"/>
            <w:left w:w="108" w:type="dxa"/>
            <w:bottom w:w="0" w:type="dxa"/>
            <w:right w:w="108" w:type="dxa"/>
          </w:tblCellMar>
        </w:tblPrEx>
        <w:trPr>
          <w:cantSplit/>
          <w:trHeight w:val="337" w:hRule="atLeast"/>
          <w:jc w:val="center"/>
        </w:trPr>
        <w:tc>
          <w:tcPr>
            <w:tcW w:w="611" w:type="dxa"/>
            <w:vMerge w:val="restart"/>
            <w:tcBorders>
              <w:top w:val="single" w:color="000000" w:sz="4" w:space="0"/>
              <w:left w:val="single" w:color="000000" w:sz="4" w:space="0"/>
              <w:right w:val="single" w:color="000000" w:sz="4" w:space="0"/>
            </w:tcBorders>
            <w:vAlign w:val="center"/>
          </w:tcPr>
          <w:p>
            <w:pPr>
              <w:snapToGrid w:val="0"/>
              <w:ind w:left="-2" w:leftChars="-1"/>
              <w:jc w:val="center"/>
              <w:rPr>
                <w:rFonts w:ascii="宋体" w:hAnsi="宋体" w:cs="宋体"/>
                <w:sz w:val="18"/>
                <w:szCs w:val="18"/>
              </w:rPr>
            </w:pPr>
            <w:r>
              <w:rPr>
                <w:rFonts w:hint="eastAsia" w:ascii="宋体" w:hAnsi="宋体" w:cs="宋体"/>
                <w:sz w:val="18"/>
                <w:szCs w:val="18"/>
              </w:rPr>
              <w:t>序号</w:t>
            </w:r>
          </w:p>
        </w:tc>
        <w:tc>
          <w:tcPr>
            <w:tcW w:w="1110" w:type="dxa"/>
            <w:vMerge w:val="restart"/>
            <w:tcBorders>
              <w:top w:val="single" w:color="000000" w:sz="4" w:space="0"/>
              <w:left w:val="single" w:color="000000" w:sz="4" w:space="0"/>
              <w:right w:val="single" w:color="000000" w:sz="4" w:space="0"/>
            </w:tcBorders>
            <w:vAlign w:val="center"/>
          </w:tcPr>
          <w:p>
            <w:pPr>
              <w:snapToGrid w:val="0"/>
              <w:ind w:left="-2" w:leftChars="-1"/>
              <w:jc w:val="center"/>
              <w:rPr>
                <w:rFonts w:ascii="宋体" w:hAnsi="宋体" w:cs="宋体"/>
                <w:sz w:val="18"/>
                <w:szCs w:val="18"/>
              </w:rPr>
            </w:pPr>
            <w:r>
              <w:rPr>
                <w:rFonts w:hint="eastAsia" w:ascii="宋体" w:hAnsi="宋体" w:cs="宋体"/>
                <w:sz w:val="18"/>
                <w:szCs w:val="18"/>
              </w:rPr>
              <w:t>类别</w:t>
            </w:r>
          </w:p>
        </w:tc>
        <w:tc>
          <w:tcPr>
            <w:tcW w:w="1486" w:type="dxa"/>
            <w:vMerge w:val="restart"/>
            <w:tcBorders>
              <w:top w:val="single" w:color="000000" w:sz="4" w:space="0"/>
              <w:left w:val="single" w:color="000000" w:sz="4" w:space="0"/>
              <w:right w:val="single" w:color="000000" w:sz="4" w:space="0"/>
            </w:tcBorders>
            <w:vAlign w:val="center"/>
          </w:tcPr>
          <w:p>
            <w:pPr>
              <w:snapToGrid w:val="0"/>
              <w:ind w:left="-2" w:leftChars="-1"/>
              <w:jc w:val="center"/>
              <w:rPr>
                <w:rFonts w:ascii="宋体" w:hAnsi="宋体" w:cs="宋体"/>
                <w:sz w:val="18"/>
                <w:szCs w:val="18"/>
              </w:rPr>
            </w:pPr>
            <w:r>
              <w:rPr>
                <w:rFonts w:hint="eastAsia" w:ascii="宋体" w:hAnsi="宋体" w:cs="宋体"/>
                <w:sz w:val="18"/>
                <w:szCs w:val="18"/>
              </w:rPr>
              <w:t>审查项目</w:t>
            </w:r>
          </w:p>
        </w:tc>
        <w:tc>
          <w:tcPr>
            <w:tcW w:w="6432" w:type="dxa"/>
            <w:vMerge w:val="restart"/>
            <w:tcBorders>
              <w:top w:val="single" w:color="000000" w:sz="4" w:space="0"/>
              <w:left w:val="single" w:color="000000" w:sz="4" w:space="0"/>
              <w:right w:val="single" w:color="000000" w:sz="4" w:space="0"/>
            </w:tcBorders>
            <w:vAlign w:val="center"/>
          </w:tcPr>
          <w:p>
            <w:pPr>
              <w:snapToGrid w:val="0"/>
              <w:ind w:left="-2" w:leftChars="-1"/>
              <w:jc w:val="center"/>
              <w:rPr>
                <w:rFonts w:ascii="宋体" w:hAnsi="宋体" w:cs="宋体"/>
                <w:sz w:val="18"/>
                <w:szCs w:val="18"/>
              </w:rPr>
            </w:pPr>
            <w:r>
              <w:rPr>
                <w:rFonts w:hint="eastAsia" w:ascii="宋体" w:hAnsi="宋体" w:cs="宋体"/>
                <w:sz w:val="18"/>
                <w:szCs w:val="18"/>
              </w:rPr>
              <w:t>评审细则</w:t>
            </w:r>
          </w:p>
        </w:tc>
        <w:tc>
          <w:tcPr>
            <w:tcW w:w="693" w:type="dxa"/>
            <w:vMerge w:val="restart"/>
            <w:tcBorders>
              <w:top w:val="single" w:color="000000" w:sz="4" w:space="0"/>
              <w:left w:val="single" w:color="000000" w:sz="4" w:space="0"/>
              <w:right w:val="single" w:color="000000" w:sz="4" w:space="0"/>
            </w:tcBorders>
            <w:vAlign w:val="center"/>
          </w:tcPr>
          <w:p>
            <w:pPr>
              <w:snapToGrid w:val="0"/>
              <w:jc w:val="center"/>
              <w:rPr>
                <w:rFonts w:ascii="宋体" w:hAnsi="宋体" w:cs="宋体"/>
                <w:sz w:val="18"/>
                <w:szCs w:val="18"/>
              </w:rPr>
            </w:pPr>
            <w:r>
              <w:rPr>
                <w:rFonts w:hint="eastAsia" w:ascii="宋体" w:hAnsi="宋体" w:cs="宋体"/>
                <w:sz w:val="18"/>
                <w:szCs w:val="18"/>
              </w:rPr>
              <w:t>分值</w:t>
            </w:r>
          </w:p>
        </w:tc>
        <w:tc>
          <w:tcPr>
            <w:tcW w:w="3831" w:type="dxa"/>
            <w:gridSpan w:val="3"/>
            <w:tcBorders>
              <w:top w:val="single" w:color="000000" w:sz="4" w:space="0"/>
              <w:left w:val="single" w:color="000000" w:sz="4" w:space="0"/>
              <w:bottom w:val="single" w:color="000000" w:sz="4" w:space="0"/>
              <w:right w:val="single" w:color="000000" w:sz="4" w:space="0"/>
            </w:tcBorders>
            <w:vAlign w:val="center"/>
          </w:tcPr>
          <w:p>
            <w:pPr>
              <w:snapToGrid w:val="0"/>
              <w:ind w:left="-2" w:leftChars="-1"/>
              <w:jc w:val="center"/>
              <w:rPr>
                <w:rFonts w:ascii="宋体" w:hAnsi="宋体" w:cs="宋体"/>
                <w:sz w:val="18"/>
                <w:szCs w:val="18"/>
              </w:rPr>
            </w:pPr>
            <w:r>
              <w:rPr>
                <w:rFonts w:hint="eastAsia" w:ascii="宋体" w:hAnsi="宋体" w:cs="宋体"/>
                <w:sz w:val="18"/>
                <w:szCs w:val="18"/>
              </w:rPr>
              <w:t>投标人名称</w:t>
            </w:r>
          </w:p>
        </w:tc>
      </w:tr>
      <w:tr>
        <w:tblPrEx>
          <w:tblCellMar>
            <w:top w:w="0" w:type="dxa"/>
            <w:left w:w="108" w:type="dxa"/>
            <w:bottom w:w="0" w:type="dxa"/>
            <w:right w:w="108" w:type="dxa"/>
          </w:tblCellMar>
        </w:tblPrEx>
        <w:trPr>
          <w:cantSplit/>
          <w:trHeight w:val="129" w:hRule="atLeast"/>
          <w:jc w:val="center"/>
        </w:trPr>
        <w:tc>
          <w:tcPr>
            <w:tcW w:w="611" w:type="dxa"/>
            <w:vMerge w:val="continue"/>
            <w:tcBorders>
              <w:left w:val="single" w:color="000000" w:sz="4" w:space="0"/>
              <w:bottom w:val="single" w:color="000000" w:sz="4" w:space="0"/>
              <w:right w:val="single" w:color="000000" w:sz="4" w:space="0"/>
            </w:tcBorders>
            <w:vAlign w:val="center"/>
          </w:tcPr>
          <w:p>
            <w:pPr>
              <w:snapToGrid w:val="0"/>
              <w:ind w:left="-2" w:leftChars="-1"/>
              <w:jc w:val="center"/>
              <w:rPr>
                <w:rFonts w:ascii="宋体" w:hAnsi="宋体" w:cs="宋体"/>
                <w:sz w:val="18"/>
                <w:szCs w:val="18"/>
              </w:rPr>
            </w:pPr>
          </w:p>
        </w:tc>
        <w:tc>
          <w:tcPr>
            <w:tcW w:w="1110" w:type="dxa"/>
            <w:vMerge w:val="continue"/>
            <w:tcBorders>
              <w:left w:val="single" w:color="000000" w:sz="4" w:space="0"/>
              <w:bottom w:val="single" w:color="000000" w:sz="4" w:space="0"/>
              <w:right w:val="single" w:color="000000" w:sz="4" w:space="0"/>
            </w:tcBorders>
            <w:vAlign w:val="center"/>
          </w:tcPr>
          <w:p>
            <w:pPr>
              <w:snapToGrid w:val="0"/>
              <w:ind w:left="-2" w:leftChars="-1"/>
              <w:jc w:val="center"/>
              <w:rPr>
                <w:rFonts w:ascii="宋体" w:hAnsi="宋体" w:cs="宋体"/>
                <w:sz w:val="18"/>
                <w:szCs w:val="18"/>
              </w:rPr>
            </w:pPr>
          </w:p>
        </w:tc>
        <w:tc>
          <w:tcPr>
            <w:tcW w:w="1486" w:type="dxa"/>
            <w:vMerge w:val="continue"/>
            <w:tcBorders>
              <w:left w:val="single" w:color="000000" w:sz="4" w:space="0"/>
              <w:bottom w:val="single" w:color="000000" w:sz="4" w:space="0"/>
              <w:right w:val="single" w:color="000000" w:sz="4" w:space="0"/>
            </w:tcBorders>
            <w:vAlign w:val="center"/>
          </w:tcPr>
          <w:p>
            <w:pPr>
              <w:snapToGrid w:val="0"/>
              <w:ind w:left="-2" w:leftChars="-1"/>
              <w:jc w:val="center"/>
              <w:rPr>
                <w:rFonts w:ascii="宋体" w:hAnsi="宋体" w:cs="宋体"/>
                <w:sz w:val="18"/>
                <w:szCs w:val="18"/>
              </w:rPr>
            </w:pPr>
          </w:p>
        </w:tc>
        <w:tc>
          <w:tcPr>
            <w:tcW w:w="6432" w:type="dxa"/>
            <w:vMerge w:val="continue"/>
            <w:tcBorders>
              <w:left w:val="single" w:color="000000" w:sz="4" w:space="0"/>
              <w:bottom w:val="single" w:color="000000" w:sz="4" w:space="0"/>
              <w:right w:val="single" w:color="000000" w:sz="4" w:space="0"/>
            </w:tcBorders>
            <w:vAlign w:val="center"/>
          </w:tcPr>
          <w:p>
            <w:pPr>
              <w:snapToGrid w:val="0"/>
              <w:ind w:left="-2" w:leftChars="-1"/>
              <w:jc w:val="center"/>
              <w:rPr>
                <w:rFonts w:ascii="宋体" w:hAnsi="宋体" w:cs="宋体"/>
                <w:sz w:val="18"/>
                <w:szCs w:val="18"/>
              </w:rPr>
            </w:pPr>
          </w:p>
        </w:tc>
        <w:tc>
          <w:tcPr>
            <w:tcW w:w="693" w:type="dxa"/>
            <w:vMerge w:val="continue"/>
            <w:tcBorders>
              <w:left w:val="single" w:color="000000" w:sz="4" w:space="0"/>
              <w:bottom w:val="single" w:color="000000" w:sz="4" w:space="0"/>
              <w:right w:val="single" w:color="000000" w:sz="4" w:space="0"/>
            </w:tcBorders>
            <w:vAlign w:val="center"/>
          </w:tcPr>
          <w:p>
            <w:pPr>
              <w:snapToGrid w:val="0"/>
              <w:ind w:left="-2" w:leftChars="-1"/>
              <w:jc w:val="center"/>
              <w:rPr>
                <w:rFonts w:ascii="宋体" w:hAnsi="宋体" w:cs="宋体"/>
                <w:sz w:val="18"/>
                <w:szCs w:val="18"/>
              </w:rPr>
            </w:pPr>
          </w:p>
        </w:tc>
        <w:tc>
          <w:tcPr>
            <w:tcW w:w="1327" w:type="dxa"/>
            <w:tcBorders>
              <w:top w:val="single" w:color="000000" w:sz="4" w:space="0"/>
              <w:left w:val="single" w:color="000000" w:sz="4" w:space="0"/>
              <w:bottom w:val="single" w:color="000000" w:sz="4" w:space="0"/>
              <w:right w:val="single" w:color="000000" w:sz="4" w:space="0"/>
            </w:tcBorders>
            <w:vAlign w:val="center"/>
          </w:tcPr>
          <w:p>
            <w:pPr>
              <w:widowControl/>
              <w:numPr>
                <w:ilvl w:val="255"/>
                <w:numId w:val="0"/>
              </w:numPr>
              <w:tabs>
                <w:tab w:val="left" w:pos="2584"/>
              </w:tabs>
              <w:spacing w:line="400" w:lineRule="exact"/>
              <w:jc w:val="center"/>
              <w:outlineLvl w:val="1"/>
              <w:rPr>
                <w:rFonts w:ascii="宋体" w:hAnsi="宋体" w:cs="宋体"/>
                <w:sz w:val="18"/>
                <w:szCs w:val="18"/>
              </w:rPr>
            </w:pP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numPr>
                <w:ilvl w:val="255"/>
                <w:numId w:val="0"/>
              </w:numPr>
              <w:tabs>
                <w:tab w:val="left" w:pos="2584"/>
              </w:tabs>
              <w:spacing w:line="400" w:lineRule="exact"/>
              <w:jc w:val="center"/>
              <w:outlineLvl w:val="1"/>
              <w:rPr>
                <w:rFonts w:ascii="宋体" w:hAnsi="宋体" w:cs="宋体"/>
                <w:sz w:val="18"/>
                <w:szCs w:val="18"/>
              </w:rPr>
            </w:pP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numPr>
                <w:ilvl w:val="255"/>
                <w:numId w:val="0"/>
              </w:numPr>
              <w:tabs>
                <w:tab w:val="left" w:pos="2584"/>
              </w:tabs>
              <w:spacing w:line="400" w:lineRule="exact"/>
              <w:jc w:val="center"/>
              <w:outlineLvl w:val="1"/>
              <w:rPr>
                <w:rFonts w:ascii="宋体" w:hAnsi="宋体" w:cs="宋体"/>
                <w:sz w:val="18"/>
                <w:szCs w:val="18"/>
              </w:rPr>
            </w:pPr>
          </w:p>
        </w:tc>
      </w:tr>
      <w:tr>
        <w:tblPrEx>
          <w:tblCellMar>
            <w:top w:w="0" w:type="dxa"/>
            <w:left w:w="108" w:type="dxa"/>
            <w:bottom w:w="0" w:type="dxa"/>
            <w:right w:w="108" w:type="dxa"/>
          </w:tblCellMar>
        </w:tblPrEx>
        <w:trPr>
          <w:cantSplit/>
          <w:trHeight w:val="1503" w:hRule="atLeast"/>
          <w:jc w:val="center"/>
        </w:trPr>
        <w:tc>
          <w:tcPr>
            <w:tcW w:w="611" w:type="dxa"/>
            <w:vMerge w:val="restart"/>
            <w:tcBorders>
              <w:top w:val="single" w:color="000000" w:sz="4" w:space="0"/>
              <w:left w:val="single" w:color="000000" w:sz="4" w:space="0"/>
              <w:right w:val="single" w:color="000000" w:sz="4" w:space="0"/>
            </w:tcBorders>
            <w:vAlign w:val="center"/>
          </w:tcPr>
          <w:p>
            <w:pPr>
              <w:snapToGrid w:val="0"/>
              <w:ind w:left="-2" w:leftChars="-1"/>
              <w:jc w:val="center"/>
              <w:rPr>
                <w:rFonts w:ascii="宋体" w:hAnsi="宋体" w:cs="宋体"/>
                <w:sz w:val="18"/>
                <w:szCs w:val="18"/>
              </w:rPr>
            </w:pPr>
            <w:r>
              <w:rPr>
                <w:rFonts w:hint="eastAsia" w:ascii="宋体" w:hAnsi="宋体" w:cs="宋体"/>
                <w:sz w:val="18"/>
                <w:szCs w:val="18"/>
              </w:rPr>
              <w:t>1</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snapToGrid w:val="0"/>
              <w:ind w:left="-2" w:leftChars="-1"/>
              <w:jc w:val="center"/>
              <w:rPr>
                <w:rFonts w:ascii="宋体" w:hAnsi="宋体" w:cs="宋体"/>
                <w:sz w:val="18"/>
                <w:szCs w:val="18"/>
              </w:rPr>
            </w:pPr>
            <w:r>
              <w:rPr>
                <w:rFonts w:hint="eastAsia" w:ascii="宋体" w:hAnsi="宋体" w:cs="宋体"/>
                <w:sz w:val="18"/>
                <w:szCs w:val="18"/>
              </w:rPr>
              <w:t>商务评审部分</w:t>
            </w:r>
          </w:p>
        </w:tc>
        <w:tc>
          <w:tcPr>
            <w:tcW w:w="1486" w:type="dxa"/>
            <w:tcBorders>
              <w:top w:val="single" w:color="000000" w:sz="4" w:space="0"/>
              <w:left w:val="single" w:color="000000" w:sz="4" w:space="0"/>
              <w:bottom w:val="single" w:color="000000" w:sz="4" w:space="0"/>
              <w:right w:val="single" w:color="000000" w:sz="4" w:space="0"/>
            </w:tcBorders>
            <w:vAlign w:val="center"/>
          </w:tcPr>
          <w:p>
            <w:pPr>
              <w:snapToGrid w:val="0"/>
              <w:ind w:left="-2" w:leftChars="-1"/>
              <w:jc w:val="center"/>
              <w:rPr>
                <w:rFonts w:ascii="宋体" w:hAnsi="宋体" w:cs="宋体"/>
                <w:sz w:val="18"/>
                <w:szCs w:val="18"/>
              </w:rPr>
            </w:pPr>
            <w:r>
              <w:rPr>
                <w:rFonts w:hint="eastAsia" w:ascii="宋体" w:hAnsi="宋体" w:cs="宋体"/>
                <w:sz w:val="18"/>
                <w:szCs w:val="18"/>
              </w:rPr>
              <w:t>投标人近3年以来完成的党建主题设计制作类业绩</w:t>
            </w:r>
          </w:p>
        </w:tc>
        <w:tc>
          <w:tcPr>
            <w:tcW w:w="6432"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2" w:leftChars="-1"/>
              <w:jc w:val="left"/>
              <w:rPr>
                <w:rFonts w:ascii="宋体" w:hAnsi="宋体" w:cs="宋体"/>
                <w:sz w:val="18"/>
                <w:szCs w:val="18"/>
              </w:rPr>
            </w:pPr>
            <w:r>
              <w:rPr>
                <w:rFonts w:hint="eastAsia" w:ascii="宋体" w:hAnsi="宋体" w:cs="宋体"/>
                <w:sz w:val="18"/>
                <w:szCs w:val="18"/>
              </w:rPr>
              <w:t>提供党建主题设计制作安装类合同复印件（合同首页、金额页、盖章页）作为证明。合同金额高于20万的，单项业绩每个3分，合同金额低于20万的</w:t>
            </w:r>
            <w:r>
              <w:rPr>
                <w:rFonts w:hint="eastAsia" w:ascii="宋体" w:hAnsi="宋体" w:cs="宋体"/>
                <w:sz w:val="18"/>
                <w:szCs w:val="18"/>
                <w:lang w:eastAsia="zh-CN"/>
              </w:rPr>
              <w:t>，</w:t>
            </w:r>
            <w:r>
              <w:rPr>
                <w:rFonts w:hint="eastAsia" w:ascii="宋体" w:hAnsi="宋体" w:cs="宋体"/>
                <w:sz w:val="18"/>
                <w:szCs w:val="18"/>
              </w:rPr>
              <w:t>单项业绩每</w:t>
            </w:r>
            <w:r>
              <w:rPr>
                <w:rFonts w:hint="eastAsia" w:ascii="宋体" w:hAnsi="宋体" w:cs="宋体"/>
                <w:sz w:val="18"/>
                <w:szCs w:val="18"/>
                <w:lang w:val="en-US" w:eastAsia="zh-CN"/>
              </w:rPr>
              <w:t>个得</w:t>
            </w:r>
            <w:r>
              <w:rPr>
                <w:rFonts w:hint="eastAsia" w:ascii="宋体" w:hAnsi="宋体" w:cs="宋体"/>
                <w:sz w:val="18"/>
                <w:szCs w:val="18"/>
              </w:rPr>
              <w:t>1分</w:t>
            </w:r>
            <w:r>
              <w:rPr>
                <w:rFonts w:hint="eastAsia" w:ascii="宋体" w:hAnsi="宋体" w:cs="宋体"/>
                <w:sz w:val="18"/>
                <w:szCs w:val="18"/>
                <w:lang w:eastAsia="zh-CN"/>
              </w:rPr>
              <w:t>。</w:t>
            </w:r>
            <w:r>
              <w:rPr>
                <w:rFonts w:hint="eastAsia" w:ascii="宋体" w:hAnsi="宋体" w:cs="宋体"/>
                <w:sz w:val="18"/>
                <w:szCs w:val="18"/>
                <w:lang w:val="en-US" w:eastAsia="zh-CN"/>
              </w:rPr>
              <w:t>本项</w:t>
            </w:r>
            <w:r>
              <w:rPr>
                <w:rFonts w:hint="eastAsia" w:ascii="宋体" w:hAnsi="宋体" w:cs="宋体"/>
                <w:sz w:val="18"/>
                <w:szCs w:val="18"/>
              </w:rPr>
              <w:t>最高</w:t>
            </w:r>
            <w:r>
              <w:rPr>
                <w:rFonts w:hint="eastAsia" w:ascii="宋体" w:hAnsi="宋体" w:cs="宋体"/>
                <w:sz w:val="18"/>
                <w:szCs w:val="18"/>
                <w:lang w:val="en-US" w:eastAsia="zh-CN"/>
              </w:rPr>
              <w:t>得</w:t>
            </w:r>
            <w:r>
              <w:rPr>
                <w:rFonts w:hint="eastAsia" w:ascii="宋体" w:hAnsi="宋体" w:cs="宋体"/>
                <w:sz w:val="18"/>
                <w:szCs w:val="18"/>
              </w:rPr>
              <w:t>10分,</w:t>
            </w:r>
            <w:r>
              <w:rPr>
                <w:rFonts w:hint="eastAsia" w:ascii="宋体" w:hAnsi="宋体" w:cs="宋体"/>
                <w:sz w:val="18"/>
                <w:szCs w:val="18"/>
                <w:lang w:val="en-US" w:eastAsia="zh-CN"/>
              </w:rPr>
              <w:t>无相关业绩</w:t>
            </w:r>
            <w:r>
              <w:rPr>
                <w:rFonts w:hint="eastAsia" w:ascii="宋体" w:hAnsi="宋体" w:cs="宋体"/>
                <w:sz w:val="18"/>
                <w:szCs w:val="18"/>
              </w:rPr>
              <w:t>得0分</w:t>
            </w:r>
          </w:p>
        </w:tc>
        <w:tc>
          <w:tcPr>
            <w:tcW w:w="693"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r>
              <w:rPr>
                <w:rFonts w:hint="eastAsia" w:ascii="宋体" w:hAnsi="宋体" w:cs="宋体"/>
                <w:sz w:val="18"/>
                <w:szCs w:val="18"/>
              </w:rPr>
              <w:t>10</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78"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r>
      <w:tr>
        <w:tblPrEx>
          <w:tblCellMar>
            <w:top w:w="0" w:type="dxa"/>
            <w:left w:w="108" w:type="dxa"/>
            <w:bottom w:w="0" w:type="dxa"/>
            <w:right w:w="108" w:type="dxa"/>
          </w:tblCellMar>
        </w:tblPrEx>
        <w:trPr>
          <w:cantSplit/>
          <w:trHeight w:val="1101" w:hRule="atLeast"/>
          <w:jc w:val="center"/>
        </w:trPr>
        <w:tc>
          <w:tcPr>
            <w:tcW w:w="611" w:type="dxa"/>
            <w:vMerge w:val="continue"/>
            <w:tcBorders>
              <w:left w:val="single" w:color="000000" w:sz="4" w:space="0"/>
              <w:right w:val="single" w:color="000000" w:sz="4" w:space="0"/>
            </w:tcBorders>
            <w:vAlign w:val="center"/>
          </w:tcPr>
          <w:p>
            <w:pPr>
              <w:snapToGrid w:val="0"/>
              <w:ind w:left="-2" w:leftChars="-1"/>
              <w:jc w:val="center"/>
              <w:rPr>
                <w:rFonts w:ascii="宋体" w:hAnsi="宋体" w:cs="宋体"/>
                <w:sz w:val="18"/>
                <w:szCs w:val="18"/>
              </w:rPr>
            </w:pPr>
          </w:p>
        </w:tc>
        <w:tc>
          <w:tcPr>
            <w:tcW w:w="1110" w:type="dxa"/>
            <w:vMerge w:val="continue"/>
            <w:tcBorders>
              <w:left w:val="single" w:color="000000" w:sz="4" w:space="0"/>
              <w:right w:val="single" w:color="000000" w:sz="4" w:space="0"/>
            </w:tcBorders>
            <w:vAlign w:val="center"/>
          </w:tcPr>
          <w:p>
            <w:pPr>
              <w:snapToGrid w:val="0"/>
              <w:ind w:left="-2" w:leftChars="-1"/>
              <w:jc w:val="center"/>
              <w:rPr>
                <w:rFonts w:ascii="宋体" w:hAnsi="宋体" w:cs="宋体"/>
                <w:sz w:val="18"/>
                <w:szCs w:val="18"/>
              </w:rPr>
            </w:pPr>
          </w:p>
        </w:tc>
        <w:tc>
          <w:tcPr>
            <w:tcW w:w="1486" w:type="dxa"/>
            <w:tcBorders>
              <w:top w:val="single" w:color="000000" w:sz="4" w:space="0"/>
              <w:left w:val="single" w:color="000000" w:sz="4" w:space="0"/>
              <w:bottom w:val="single" w:color="000000" w:sz="4" w:space="0"/>
              <w:right w:val="single" w:color="000000" w:sz="4" w:space="0"/>
            </w:tcBorders>
            <w:vAlign w:val="center"/>
          </w:tcPr>
          <w:p>
            <w:pPr>
              <w:snapToGrid w:val="0"/>
              <w:ind w:left="-2" w:leftChars="-1"/>
              <w:jc w:val="center"/>
              <w:rPr>
                <w:rFonts w:ascii="宋体" w:hAnsi="宋体" w:cs="宋体"/>
                <w:color w:val="FF0000"/>
                <w:sz w:val="18"/>
                <w:szCs w:val="18"/>
              </w:rPr>
            </w:pPr>
            <w:r>
              <w:rPr>
                <w:rFonts w:hint="eastAsia" w:ascii="宋体" w:hAnsi="宋体" w:cs="宋体"/>
                <w:sz w:val="18"/>
                <w:szCs w:val="18"/>
              </w:rPr>
              <w:t>企业荣誉</w:t>
            </w:r>
          </w:p>
        </w:tc>
        <w:tc>
          <w:tcPr>
            <w:tcW w:w="6432"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2" w:leftChars="-1"/>
              <w:jc w:val="left"/>
              <w:rPr>
                <w:rFonts w:ascii="宋体" w:hAnsi="宋体" w:cs="宋体"/>
                <w:color w:val="FF0000"/>
                <w:sz w:val="18"/>
                <w:szCs w:val="18"/>
              </w:rPr>
            </w:pPr>
            <w:r>
              <w:rPr>
                <w:rFonts w:hint="eastAsia" w:ascii="宋体" w:hAnsi="宋体" w:cs="宋体"/>
                <w:sz w:val="18"/>
                <w:szCs w:val="18"/>
              </w:rPr>
              <w:t>提供企业获得荣誉， 每提供一项得</w:t>
            </w:r>
            <w:r>
              <w:rPr>
                <w:rFonts w:hint="eastAsia" w:ascii="宋体" w:hAnsi="宋体" w:cs="宋体"/>
                <w:sz w:val="18"/>
                <w:szCs w:val="18"/>
                <w:lang w:eastAsia="zh-CN"/>
              </w:rPr>
              <w:t>1</w:t>
            </w:r>
            <w:r>
              <w:rPr>
                <w:rFonts w:hint="eastAsia" w:ascii="宋体" w:hAnsi="宋体" w:cs="宋体"/>
                <w:sz w:val="18"/>
                <w:szCs w:val="18"/>
              </w:rPr>
              <w:t>分，累计最高</w:t>
            </w:r>
            <w:r>
              <w:rPr>
                <w:rFonts w:hint="eastAsia" w:ascii="宋体" w:hAnsi="宋体" w:cs="宋体"/>
                <w:sz w:val="18"/>
                <w:szCs w:val="18"/>
                <w:lang w:eastAsia="zh-CN"/>
              </w:rPr>
              <w:t>5</w:t>
            </w:r>
            <w:r>
              <w:rPr>
                <w:rFonts w:hint="eastAsia" w:ascii="宋体" w:hAnsi="宋体" w:cs="宋体"/>
                <w:sz w:val="18"/>
                <w:szCs w:val="18"/>
              </w:rPr>
              <w:t>分</w:t>
            </w:r>
          </w:p>
        </w:tc>
        <w:tc>
          <w:tcPr>
            <w:tcW w:w="693"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hint="eastAsia" w:ascii="宋体" w:hAnsi="宋体" w:cs="宋体"/>
                <w:color w:val="FF0000"/>
                <w:sz w:val="18"/>
                <w:szCs w:val="18"/>
              </w:rPr>
            </w:pPr>
            <w:r>
              <w:rPr>
                <w:rFonts w:hint="eastAsia" w:ascii="宋体" w:hAnsi="宋体" w:cs="宋体"/>
                <w:sz w:val="18"/>
                <w:szCs w:val="18"/>
                <w:lang w:eastAsia="zh-CN"/>
              </w:rPr>
              <w:t>5</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78"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r>
      <w:tr>
        <w:tblPrEx>
          <w:tblCellMar>
            <w:top w:w="0" w:type="dxa"/>
            <w:left w:w="108" w:type="dxa"/>
            <w:bottom w:w="0" w:type="dxa"/>
            <w:right w:w="108" w:type="dxa"/>
          </w:tblCellMar>
        </w:tblPrEx>
        <w:trPr>
          <w:cantSplit/>
          <w:trHeight w:val="1101" w:hRule="atLeast"/>
          <w:jc w:val="center"/>
        </w:trPr>
        <w:tc>
          <w:tcPr>
            <w:tcW w:w="611" w:type="dxa"/>
            <w:vMerge w:val="continue"/>
            <w:tcBorders>
              <w:left w:val="single" w:color="000000" w:sz="4" w:space="0"/>
              <w:right w:val="single" w:color="000000" w:sz="4" w:space="0"/>
            </w:tcBorders>
            <w:vAlign w:val="center"/>
          </w:tcPr>
          <w:p>
            <w:pPr>
              <w:snapToGrid w:val="0"/>
              <w:ind w:left="-2" w:leftChars="-1"/>
              <w:jc w:val="center"/>
              <w:rPr>
                <w:rFonts w:ascii="宋体" w:hAnsi="宋体" w:cs="宋体"/>
                <w:sz w:val="18"/>
                <w:szCs w:val="18"/>
              </w:rPr>
            </w:pPr>
          </w:p>
        </w:tc>
        <w:tc>
          <w:tcPr>
            <w:tcW w:w="1110" w:type="dxa"/>
            <w:vMerge w:val="continue"/>
            <w:tcBorders>
              <w:left w:val="single" w:color="000000" w:sz="4" w:space="0"/>
              <w:right w:val="single" w:color="000000" w:sz="4" w:space="0"/>
            </w:tcBorders>
            <w:vAlign w:val="center"/>
          </w:tcPr>
          <w:p>
            <w:pPr>
              <w:snapToGrid w:val="0"/>
              <w:ind w:left="-2" w:leftChars="-1"/>
              <w:jc w:val="center"/>
              <w:rPr>
                <w:rFonts w:ascii="宋体" w:hAnsi="宋体" w:cs="宋体"/>
                <w:sz w:val="18"/>
                <w:szCs w:val="18"/>
              </w:rPr>
            </w:pPr>
          </w:p>
        </w:tc>
        <w:tc>
          <w:tcPr>
            <w:tcW w:w="1486" w:type="dxa"/>
            <w:tcBorders>
              <w:top w:val="single" w:color="000000" w:sz="4" w:space="0"/>
              <w:left w:val="single" w:color="000000" w:sz="4" w:space="0"/>
              <w:bottom w:val="single" w:color="000000" w:sz="4" w:space="0"/>
              <w:right w:val="single" w:color="000000" w:sz="4" w:space="0"/>
            </w:tcBorders>
            <w:vAlign w:val="center"/>
          </w:tcPr>
          <w:p>
            <w:pPr>
              <w:snapToGrid w:val="0"/>
              <w:ind w:left="-2" w:leftChars="-1"/>
              <w:jc w:val="center"/>
              <w:rPr>
                <w:rFonts w:hint="eastAsia" w:ascii="宋体" w:hAnsi="宋体" w:cs="宋体"/>
                <w:sz w:val="18"/>
                <w:szCs w:val="18"/>
              </w:rPr>
            </w:pPr>
            <w:r>
              <w:rPr>
                <w:rFonts w:hint="eastAsia" w:ascii="宋体" w:hAnsi="宋体" w:cs="宋体"/>
                <w:sz w:val="18"/>
                <w:szCs w:val="18"/>
              </w:rPr>
              <w:t>企业资质</w:t>
            </w:r>
          </w:p>
        </w:tc>
        <w:tc>
          <w:tcPr>
            <w:tcW w:w="6432"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2" w:leftChars="-1"/>
              <w:jc w:val="left"/>
              <w:rPr>
                <w:rFonts w:hint="eastAsia" w:ascii="宋体" w:hAnsi="宋体" w:cs="宋体"/>
                <w:sz w:val="18"/>
                <w:szCs w:val="18"/>
              </w:rPr>
            </w:pPr>
            <w:r>
              <w:rPr>
                <w:rFonts w:hint="eastAsia" w:ascii="宋体" w:hAnsi="宋体" w:cs="宋体"/>
                <w:sz w:val="18"/>
                <w:szCs w:val="18"/>
              </w:rPr>
              <w:t>提供企业有效期间内的i</w:t>
            </w:r>
            <w:r>
              <w:rPr>
                <w:rFonts w:ascii="宋体" w:hAnsi="宋体" w:cs="宋体"/>
                <w:sz w:val="18"/>
                <w:szCs w:val="18"/>
              </w:rPr>
              <w:t>so</w:t>
            </w:r>
            <w:r>
              <w:rPr>
                <w:rFonts w:hint="eastAsia" w:ascii="宋体" w:hAnsi="宋体" w:cs="宋体"/>
                <w:sz w:val="18"/>
                <w:szCs w:val="18"/>
              </w:rPr>
              <w:t>三体系认证证书（包含质量管理体系认证、环境管理体系认证、职业健康安全管理体系认证）的，提供三体系认证齐全的得</w:t>
            </w:r>
            <w:r>
              <w:rPr>
                <w:rFonts w:hint="eastAsia" w:ascii="宋体" w:hAnsi="宋体" w:cs="宋体"/>
                <w:sz w:val="18"/>
                <w:szCs w:val="18"/>
                <w:lang w:val="en-US" w:eastAsia="zh-CN"/>
              </w:rPr>
              <w:t>10</w:t>
            </w:r>
            <w:r>
              <w:rPr>
                <w:rFonts w:hint="eastAsia" w:ascii="宋体" w:hAnsi="宋体" w:cs="宋体"/>
                <w:sz w:val="18"/>
                <w:szCs w:val="18"/>
              </w:rPr>
              <w:t>分，不齐或没有得0分</w:t>
            </w:r>
          </w:p>
        </w:tc>
        <w:tc>
          <w:tcPr>
            <w:tcW w:w="693"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78"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r>
      <w:tr>
        <w:tblPrEx>
          <w:tblCellMar>
            <w:top w:w="0" w:type="dxa"/>
            <w:left w:w="108" w:type="dxa"/>
            <w:bottom w:w="0" w:type="dxa"/>
            <w:right w:w="108" w:type="dxa"/>
          </w:tblCellMar>
        </w:tblPrEx>
        <w:trPr>
          <w:cantSplit/>
          <w:trHeight w:val="1836" w:hRule="atLeast"/>
          <w:jc w:val="center"/>
        </w:trPr>
        <w:tc>
          <w:tcPr>
            <w:tcW w:w="611" w:type="dxa"/>
            <w:vMerge w:val="continue"/>
            <w:tcBorders>
              <w:left w:val="single" w:color="000000" w:sz="4" w:space="0"/>
              <w:bottom w:val="single" w:color="auto" w:sz="4" w:space="0"/>
              <w:right w:val="single" w:color="000000" w:sz="4" w:space="0"/>
            </w:tcBorders>
            <w:vAlign w:val="center"/>
          </w:tcPr>
          <w:p>
            <w:pPr>
              <w:snapToGrid w:val="0"/>
              <w:ind w:left="-2" w:leftChars="-1"/>
              <w:jc w:val="center"/>
              <w:rPr>
                <w:rFonts w:ascii="宋体" w:hAnsi="宋体" w:cs="宋体"/>
                <w:sz w:val="18"/>
                <w:szCs w:val="18"/>
              </w:rPr>
            </w:pPr>
          </w:p>
        </w:tc>
        <w:tc>
          <w:tcPr>
            <w:tcW w:w="1110" w:type="dxa"/>
            <w:vMerge w:val="continue"/>
            <w:tcBorders>
              <w:left w:val="single" w:color="000000" w:sz="4" w:space="0"/>
              <w:bottom w:val="single" w:color="auto" w:sz="4" w:space="0"/>
              <w:right w:val="single" w:color="000000" w:sz="4" w:space="0"/>
            </w:tcBorders>
            <w:vAlign w:val="center"/>
          </w:tcPr>
          <w:p>
            <w:pPr>
              <w:snapToGrid w:val="0"/>
              <w:ind w:left="-2" w:leftChars="-1"/>
              <w:jc w:val="center"/>
              <w:rPr>
                <w:rFonts w:ascii="宋体" w:hAnsi="宋体" w:cs="宋体"/>
                <w:sz w:val="18"/>
                <w:szCs w:val="18"/>
              </w:rPr>
            </w:pPr>
          </w:p>
        </w:tc>
        <w:tc>
          <w:tcPr>
            <w:tcW w:w="1486" w:type="dxa"/>
            <w:tcBorders>
              <w:top w:val="single" w:color="000000" w:sz="4" w:space="0"/>
              <w:left w:val="single" w:color="000000" w:sz="4" w:space="0"/>
              <w:bottom w:val="single" w:color="000000" w:sz="4" w:space="0"/>
              <w:right w:val="single" w:color="000000" w:sz="4" w:space="0"/>
            </w:tcBorders>
            <w:vAlign w:val="center"/>
          </w:tcPr>
          <w:p>
            <w:pPr>
              <w:snapToGrid w:val="0"/>
              <w:ind w:left="-2" w:leftChars="-1"/>
              <w:jc w:val="center"/>
              <w:rPr>
                <w:rFonts w:ascii="宋体" w:hAnsi="宋体" w:cs="宋体"/>
                <w:sz w:val="18"/>
                <w:szCs w:val="18"/>
              </w:rPr>
            </w:pPr>
            <w:r>
              <w:rPr>
                <w:rFonts w:hint="eastAsia" w:ascii="宋体" w:hAnsi="宋体" w:cs="宋体"/>
                <w:sz w:val="18"/>
                <w:szCs w:val="18"/>
              </w:rPr>
              <w:t>服务响应便利性</w:t>
            </w:r>
          </w:p>
        </w:tc>
        <w:tc>
          <w:tcPr>
            <w:tcW w:w="6432"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2" w:leftChars="-1"/>
              <w:jc w:val="left"/>
              <w:rPr>
                <w:rFonts w:ascii="宋体" w:hAnsi="宋体" w:cs="宋体"/>
                <w:sz w:val="18"/>
                <w:szCs w:val="18"/>
              </w:rPr>
            </w:pPr>
            <w:r>
              <w:rPr>
                <w:rFonts w:hint="eastAsia" w:ascii="宋体" w:hAnsi="宋体" w:cs="宋体"/>
                <w:sz w:val="18"/>
                <w:szCs w:val="18"/>
              </w:rPr>
              <w:t>根据各报价人提供的服务响应便利性横向同比（提供营业执照注册地或租赁办公场地距离采购人所在地的百度地图距离截图，并提供办公场地租赁合同扫描件），距离最优得</w:t>
            </w:r>
            <w:r>
              <w:rPr>
                <w:rFonts w:ascii="宋体" w:hAnsi="宋体" w:cs="宋体"/>
                <w:sz w:val="18"/>
                <w:szCs w:val="18"/>
              </w:rPr>
              <w:t>6</w:t>
            </w:r>
            <w:r>
              <w:rPr>
                <w:rFonts w:hint="eastAsia" w:ascii="宋体" w:hAnsi="宋体" w:cs="宋体"/>
                <w:sz w:val="18"/>
                <w:szCs w:val="18"/>
              </w:rPr>
              <w:t>分，次之得</w:t>
            </w:r>
            <w:r>
              <w:rPr>
                <w:rFonts w:ascii="宋体" w:hAnsi="宋体" w:cs="宋体"/>
                <w:sz w:val="18"/>
                <w:szCs w:val="18"/>
              </w:rPr>
              <w:t>3</w:t>
            </w:r>
            <w:r>
              <w:rPr>
                <w:rFonts w:hint="eastAsia" w:ascii="宋体" w:hAnsi="宋体" w:cs="宋体"/>
                <w:sz w:val="18"/>
                <w:szCs w:val="18"/>
              </w:rPr>
              <w:t>分，差得1分</w:t>
            </w:r>
          </w:p>
        </w:tc>
        <w:tc>
          <w:tcPr>
            <w:tcW w:w="693"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r>
              <w:rPr>
                <w:rFonts w:hint="eastAsia" w:ascii="宋体" w:hAnsi="宋体" w:cs="宋体"/>
                <w:sz w:val="18"/>
                <w:szCs w:val="18"/>
              </w:rPr>
              <w:t>6</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78"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r>
      <w:tr>
        <w:tblPrEx>
          <w:tblCellMar>
            <w:top w:w="0" w:type="dxa"/>
            <w:left w:w="108" w:type="dxa"/>
            <w:bottom w:w="0" w:type="dxa"/>
            <w:right w:w="108" w:type="dxa"/>
          </w:tblCellMar>
        </w:tblPrEx>
        <w:trPr>
          <w:cantSplit/>
          <w:trHeight w:val="1746" w:hRule="atLeast"/>
          <w:jc w:val="center"/>
        </w:trPr>
        <w:tc>
          <w:tcPr>
            <w:tcW w:w="611" w:type="dxa"/>
            <w:vMerge w:val="restart"/>
            <w:tcBorders>
              <w:top w:val="single" w:color="auto" w:sz="4" w:space="0"/>
              <w:left w:val="single" w:color="000000" w:sz="4" w:space="0"/>
              <w:right w:val="single" w:color="000000" w:sz="4" w:space="0"/>
            </w:tcBorders>
            <w:vAlign w:val="center"/>
          </w:tcPr>
          <w:p>
            <w:pPr>
              <w:snapToGrid w:val="0"/>
              <w:ind w:left="-2" w:leftChars="-1"/>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110" w:type="dxa"/>
            <w:vMerge w:val="restart"/>
            <w:tcBorders>
              <w:top w:val="single" w:color="auto" w:sz="4" w:space="0"/>
              <w:left w:val="single" w:color="000000" w:sz="4" w:space="0"/>
              <w:right w:val="single" w:color="000000" w:sz="4" w:space="0"/>
            </w:tcBorders>
            <w:vAlign w:val="center"/>
          </w:tcPr>
          <w:p>
            <w:pPr>
              <w:snapToGrid w:val="0"/>
              <w:ind w:left="-2" w:leftChars="-1"/>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技术评审部分</w:t>
            </w:r>
          </w:p>
        </w:tc>
        <w:tc>
          <w:tcPr>
            <w:tcW w:w="1486" w:type="dxa"/>
            <w:tcBorders>
              <w:top w:val="single" w:color="000000" w:sz="4" w:space="0"/>
              <w:left w:val="single" w:color="000000" w:sz="4" w:space="0"/>
              <w:bottom w:val="single" w:color="000000" w:sz="4" w:space="0"/>
              <w:right w:val="single" w:color="000000" w:sz="4" w:space="0"/>
            </w:tcBorders>
            <w:vAlign w:val="center"/>
          </w:tcPr>
          <w:p>
            <w:pPr>
              <w:snapToGrid w:val="0"/>
              <w:ind w:left="-2" w:leftChars="-1"/>
              <w:jc w:val="center"/>
              <w:rPr>
                <w:rFonts w:ascii="宋体" w:hAnsi="宋体" w:cs="宋体"/>
                <w:sz w:val="18"/>
                <w:szCs w:val="18"/>
              </w:rPr>
            </w:pPr>
            <w:r>
              <w:rPr>
                <w:rFonts w:hint="eastAsia" w:ascii="宋体" w:hAnsi="宋体" w:cs="宋体"/>
                <w:sz w:val="18"/>
                <w:szCs w:val="18"/>
              </w:rPr>
              <w:t>售后服务</w:t>
            </w:r>
          </w:p>
        </w:tc>
        <w:tc>
          <w:tcPr>
            <w:tcW w:w="6432" w:type="dxa"/>
            <w:tcBorders>
              <w:top w:val="single" w:color="000000" w:sz="4" w:space="0"/>
              <w:left w:val="single" w:color="000000" w:sz="4" w:space="0"/>
              <w:bottom w:val="single" w:color="000000" w:sz="4" w:space="0"/>
              <w:right w:val="single" w:color="000000" w:sz="4" w:space="0"/>
            </w:tcBorders>
            <w:vAlign w:val="center"/>
          </w:tcPr>
          <w:p>
            <w:pPr>
              <w:pStyle w:val="6"/>
              <w:spacing w:after="0" w:line="240" w:lineRule="exact"/>
              <w:jc w:val="left"/>
              <w:rPr>
                <w:rFonts w:ascii="宋体" w:hAnsi="宋体" w:cs="宋体"/>
                <w:sz w:val="18"/>
                <w:szCs w:val="18"/>
              </w:rPr>
            </w:pPr>
            <w:r>
              <w:rPr>
                <w:rFonts w:hint="eastAsia" w:ascii="宋体" w:hAnsi="宋体" w:cs="宋体"/>
                <w:sz w:val="18"/>
                <w:szCs w:val="18"/>
              </w:rPr>
              <w:t>深入了解本项目采购要求，并提出科学、合理、可行的售后服务方案的，然后根据各供应商的方案进行横向比较；</w:t>
            </w:r>
          </w:p>
          <w:p>
            <w:pPr>
              <w:pStyle w:val="6"/>
              <w:spacing w:after="0" w:line="240" w:lineRule="exact"/>
              <w:jc w:val="left"/>
              <w:rPr>
                <w:rFonts w:ascii="宋体" w:hAnsi="宋体" w:cs="宋体"/>
                <w:sz w:val="18"/>
                <w:szCs w:val="18"/>
              </w:rPr>
            </w:pPr>
            <w:r>
              <w:rPr>
                <w:rFonts w:hint="eastAsia" w:ascii="宋体" w:hAnsi="宋体" w:cs="宋体"/>
                <w:sz w:val="18"/>
                <w:szCs w:val="18"/>
              </w:rPr>
              <w:t>被评为优的：8分</w:t>
            </w:r>
          </w:p>
          <w:p>
            <w:pPr>
              <w:pStyle w:val="6"/>
              <w:spacing w:after="0" w:line="240" w:lineRule="exact"/>
              <w:jc w:val="left"/>
              <w:rPr>
                <w:rFonts w:ascii="宋体" w:hAnsi="宋体" w:cs="宋体"/>
                <w:sz w:val="18"/>
                <w:szCs w:val="18"/>
              </w:rPr>
            </w:pPr>
            <w:r>
              <w:rPr>
                <w:rFonts w:hint="eastAsia" w:ascii="宋体" w:hAnsi="宋体" w:cs="宋体"/>
                <w:sz w:val="18"/>
                <w:szCs w:val="18"/>
              </w:rPr>
              <w:t>被评为良的：5分</w:t>
            </w:r>
          </w:p>
          <w:p>
            <w:pPr>
              <w:pStyle w:val="6"/>
              <w:spacing w:after="0" w:line="240" w:lineRule="exact"/>
              <w:jc w:val="left"/>
              <w:rPr>
                <w:rFonts w:ascii="宋体" w:hAnsi="宋体" w:cs="宋体"/>
                <w:sz w:val="18"/>
                <w:szCs w:val="18"/>
              </w:rPr>
            </w:pPr>
            <w:r>
              <w:rPr>
                <w:rFonts w:hint="eastAsia" w:ascii="宋体" w:hAnsi="宋体" w:cs="宋体"/>
                <w:sz w:val="18"/>
                <w:szCs w:val="18"/>
              </w:rPr>
              <w:t>被评为一般的：2分</w:t>
            </w:r>
          </w:p>
          <w:p>
            <w:pPr>
              <w:spacing w:line="240" w:lineRule="exact"/>
              <w:ind w:left="-2" w:leftChars="-1"/>
              <w:jc w:val="left"/>
              <w:rPr>
                <w:rFonts w:ascii="宋体" w:hAnsi="宋体" w:cs="宋体"/>
                <w:sz w:val="18"/>
                <w:szCs w:val="18"/>
              </w:rPr>
            </w:pPr>
            <w:r>
              <w:rPr>
                <w:rFonts w:hint="eastAsia" w:ascii="宋体" w:hAnsi="宋体" w:cs="宋体"/>
                <w:sz w:val="18"/>
                <w:szCs w:val="18"/>
              </w:rPr>
              <w:t>被评为差的：0分</w:t>
            </w:r>
          </w:p>
        </w:tc>
        <w:tc>
          <w:tcPr>
            <w:tcW w:w="693"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r>
              <w:rPr>
                <w:rFonts w:hint="eastAsia" w:ascii="宋体" w:hAnsi="宋体" w:cs="宋体"/>
                <w:sz w:val="18"/>
                <w:szCs w:val="18"/>
              </w:rPr>
              <w:t>8</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78"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r>
      <w:tr>
        <w:tblPrEx>
          <w:tblCellMar>
            <w:top w:w="0" w:type="dxa"/>
            <w:left w:w="108" w:type="dxa"/>
            <w:bottom w:w="0" w:type="dxa"/>
            <w:right w:w="108" w:type="dxa"/>
          </w:tblCellMar>
        </w:tblPrEx>
        <w:trPr>
          <w:cantSplit/>
          <w:trHeight w:val="1439" w:hRule="atLeast"/>
          <w:jc w:val="center"/>
        </w:trPr>
        <w:tc>
          <w:tcPr>
            <w:tcW w:w="611" w:type="dxa"/>
            <w:vMerge w:val="continue"/>
            <w:tcBorders>
              <w:left w:val="single" w:color="000000" w:sz="4" w:space="0"/>
              <w:right w:val="single" w:color="000000" w:sz="4" w:space="0"/>
            </w:tcBorders>
            <w:vAlign w:val="center"/>
          </w:tcPr>
          <w:p>
            <w:pPr>
              <w:snapToGrid w:val="0"/>
              <w:ind w:left="-2" w:leftChars="-1"/>
              <w:jc w:val="center"/>
              <w:rPr>
                <w:rFonts w:ascii="宋体" w:hAnsi="宋体" w:cs="宋体"/>
                <w:sz w:val="18"/>
                <w:szCs w:val="18"/>
              </w:rPr>
            </w:pPr>
          </w:p>
        </w:tc>
        <w:tc>
          <w:tcPr>
            <w:tcW w:w="1110" w:type="dxa"/>
            <w:vMerge w:val="continue"/>
            <w:tcBorders>
              <w:left w:val="single" w:color="000000" w:sz="4" w:space="0"/>
              <w:right w:val="single" w:color="000000" w:sz="4" w:space="0"/>
            </w:tcBorders>
            <w:vAlign w:val="center"/>
          </w:tcPr>
          <w:p>
            <w:pPr>
              <w:snapToGrid w:val="0"/>
              <w:ind w:left="-2" w:leftChars="-1"/>
              <w:jc w:val="center"/>
              <w:rPr>
                <w:rFonts w:ascii="宋体" w:hAnsi="宋体" w:cs="宋体"/>
                <w:sz w:val="18"/>
                <w:szCs w:val="18"/>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项目组织、</w:t>
            </w:r>
          </w:p>
          <w:p>
            <w:pPr>
              <w:jc w:val="center"/>
              <w:rPr>
                <w:rFonts w:ascii="宋体" w:hAnsi="宋体" w:cs="宋体"/>
                <w:sz w:val="18"/>
                <w:szCs w:val="18"/>
              </w:rPr>
            </w:pPr>
            <w:r>
              <w:rPr>
                <w:rFonts w:hint="eastAsia" w:ascii="宋体" w:hAnsi="宋体" w:cs="宋体"/>
                <w:sz w:val="18"/>
                <w:szCs w:val="18"/>
              </w:rPr>
              <w:t xml:space="preserve">进度安排、 </w:t>
            </w:r>
          </w:p>
          <w:p>
            <w:pPr>
              <w:snapToGrid w:val="0"/>
              <w:ind w:left="-2" w:leftChars="-1"/>
              <w:jc w:val="center"/>
              <w:rPr>
                <w:rFonts w:ascii="宋体" w:hAnsi="宋体" w:cs="宋体"/>
                <w:sz w:val="18"/>
                <w:szCs w:val="18"/>
              </w:rPr>
            </w:pPr>
            <w:r>
              <w:rPr>
                <w:rFonts w:hint="eastAsia" w:ascii="宋体" w:hAnsi="宋体" w:cs="宋体"/>
                <w:sz w:val="18"/>
                <w:szCs w:val="18"/>
              </w:rPr>
              <w:t>时间点控制</w:t>
            </w:r>
          </w:p>
        </w:tc>
        <w:tc>
          <w:tcPr>
            <w:tcW w:w="643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宋体" w:hAnsi="宋体" w:cs="宋体"/>
                <w:sz w:val="18"/>
                <w:szCs w:val="18"/>
              </w:rPr>
            </w:pPr>
            <w:r>
              <w:rPr>
                <w:rFonts w:hint="eastAsia" w:ascii="宋体" w:hAnsi="宋体" w:cs="宋体"/>
                <w:sz w:val="18"/>
                <w:szCs w:val="18"/>
              </w:rPr>
              <w:t xml:space="preserve">1.项目推进安排合理、完善，时间点合理准确，得6分； </w:t>
            </w:r>
          </w:p>
          <w:p>
            <w:pPr>
              <w:spacing w:line="240" w:lineRule="exact"/>
              <w:jc w:val="left"/>
              <w:rPr>
                <w:rFonts w:ascii="宋体" w:hAnsi="宋体" w:cs="宋体"/>
                <w:sz w:val="18"/>
                <w:szCs w:val="18"/>
              </w:rPr>
            </w:pPr>
            <w:r>
              <w:rPr>
                <w:rFonts w:hint="eastAsia" w:ascii="宋体" w:hAnsi="宋体" w:cs="宋体"/>
                <w:sz w:val="18"/>
                <w:szCs w:val="18"/>
              </w:rPr>
              <w:t xml:space="preserve">2.项目推进安排较为合理、完善，时间点较为合理准确，得3分； </w:t>
            </w:r>
          </w:p>
          <w:p>
            <w:pPr>
              <w:spacing w:line="240" w:lineRule="exact"/>
              <w:jc w:val="left"/>
              <w:rPr>
                <w:rFonts w:ascii="宋体" w:hAnsi="宋体" w:cs="宋体"/>
                <w:sz w:val="18"/>
                <w:szCs w:val="18"/>
              </w:rPr>
            </w:pPr>
            <w:r>
              <w:rPr>
                <w:rFonts w:hint="eastAsia" w:ascii="宋体" w:hAnsi="宋体" w:cs="宋体"/>
                <w:sz w:val="18"/>
                <w:szCs w:val="18"/>
              </w:rPr>
              <w:t>3.项目推进安排不合理、不完善，时间点不合理准确，得 1分；</w:t>
            </w:r>
          </w:p>
          <w:p>
            <w:pPr>
              <w:spacing w:line="240" w:lineRule="exact"/>
              <w:ind w:left="-2" w:leftChars="-1"/>
              <w:jc w:val="left"/>
              <w:rPr>
                <w:rFonts w:ascii="宋体" w:hAnsi="宋体" w:cs="宋体"/>
                <w:sz w:val="18"/>
                <w:szCs w:val="18"/>
              </w:rPr>
            </w:pPr>
            <w:r>
              <w:rPr>
                <w:rFonts w:hint="eastAsia" w:ascii="宋体" w:hAnsi="宋体" w:cs="宋体"/>
                <w:sz w:val="18"/>
                <w:szCs w:val="18"/>
              </w:rPr>
              <w:t>4.无进度安排、时间点控制，得0分。</w:t>
            </w:r>
          </w:p>
        </w:tc>
        <w:tc>
          <w:tcPr>
            <w:tcW w:w="693"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r>
              <w:rPr>
                <w:rFonts w:hint="eastAsia" w:ascii="宋体" w:hAnsi="宋体" w:cs="宋体"/>
                <w:sz w:val="18"/>
                <w:szCs w:val="18"/>
              </w:rPr>
              <w:t>6</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78"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r>
      <w:tr>
        <w:tblPrEx>
          <w:tblCellMar>
            <w:top w:w="0" w:type="dxa"/>
            <w:left w:w="108" w:type="dxa"/>
            <w:bottom w:w="0" w:type="dxa"/>
            <w:right w:w="108" w:type="dxa"/>
          </w:tblCellMar>
        </w:tblPrEx>
        <w:trPr>
          <w:cantSplit/>
          <w:trHeight w:val="1425" w:hRule="atLeast"/>
          <w:jc w:val="center"/>
        </w:trPr>
        <w:tc>
          <w:tcPr>
            <w:tcW w:w="611" w:type="dxa"/>
            <w:vMerge w:val="continue"/>
            <w:tcBorders>
              <w:left w:val="single" w:color="000000" w:sz="4" w:space="0"/>
              <w:right w:val="single" w:color="000000" w:sz="4" w:space="0"/>
            </w:tcBorders>
            <w:vAlign w:val="center"/>
          </w:tcPr>
          <w:p>
            <w:pPr>
              <w:snapToGrid w:val="0"/>
              <w:ind w:left="-2" w:leftChars="-1"/>
              <w:jc w:val="center"/>
              <w:rPr>
                <w:rFonts w:ascii="宋体" w:hAnsi="宋体" w:cs="宋体"/>
                <w:sz w:val="18"/>
                <w:szCs w:val="18"/>
              </w:rPr>
            </w:pPr>
          </w:p>
        </w:tc>
        <w:tc>
          <w:tcPr>
            <w:tcW w:w="1110" w:type="dxa"/>
            <w:vMerge w:val="continue"/>
            <w:tcBorders>
              <w:left w:val="single" w:color="000000" w:sz="4" w:space="0"/>
              <w:right w:val="single" w:color="000000" w:sz="4" w:space="0"/>
            </w:tcBorders>
            <w:vAlign w:val="center"/>
          </w:tcPr>
          <w:p>
            <w:pPr>
              <w:snapToGrid w:val="0"/>
              <w:ind w:left="-2" w:leftChars="-1"/>
              <w:jc w:val="center"/>
              <w:rPr>
                <w:rFonts w:ascii="宋体" w:hAnsi="宋体" w:cs="宋体"/>
                <w:sz w:val="18"/>
                <w:szCs w:val="18"/>
              </w:rPr>
            </w:pPr>
          </w:p>
        </w:tc>
        <w:tc>
          <w:tcPr>
            <w:tcW w:w="1486" w:type="dxa"/>
            <w:tcBorders>
              <w:top w:val="single" w:color="000000" w:sz="4" w:space="0"/>
              <w:left w:val="single" w:color="000000" w:sz="4" w:space="0"/>
              <w:bottom w:val="single" w:color="000000" w:sz="4" w:space="0"/>
              <w:right w:val="single" w:color="000000" w:sz="4" w:space="0"/>
            </w:tcBorders>
            <w:vAlign w:val="center"/>
          </w:tcPr>
          <w:p>
            <w:pPr>
              <w:snapToGrid w:val="0"/>
              <w:ind w:left="-2" w:leftChars="-1"/>
              <w:jc w:val="center"/>
              <w:rPr>
                <w:rFonts w:ascii="宋体" w:hAnsi="宋体" w:cs="宋体"/>
                <w:sz w:val="18"/>
                <w:szCs w:val="18"/>
              </w:rPr>
            </w:pPr>
            <w:r>
              <w:rPr>
                <w:rFonts w:hint="eastAsia" w:ascii="宋体" w:hAnsi="宋体" w:cs="宋体"/>
                <w:sz w:val="18"/>
                <w:szCs w:val="18"/>
              </w:rPr>
              <w:t>设计方案</w:t>
            </w:r>
          </w:p>
        </w:tc>
        <w:tc>
          <w:tcPr>
            <w:tcW w:w="6432" w:type="dxa"/>
            <w:tcBorders>
              <w:top w:val="single" w:color="000000" w:sz="4" w:space="0"/>
              <w:left w:val="single" w:color="000000" w:sz="4" w:space="0"/>
              <w:bottom w:val="single" w:color="000000" w:sz="4" w:space="0"/>
              <w:right w:val="single" w:color="000000" w:sz="4" w:space="0"/>
            </w:tcBorders>
            <w:vAlign w:val="center"/>
          </w:tcPr>
          <w:p>
            <w:pPr>
              <w:spacing w:line="240" w:lineRule="exact"/>
              <w:ind w:left="-2" w:leftChars="-1"/>
              <w:jc w:val="left"/>
              <w:rPr>
                <w:rFonts w:ascii="宋体" w:hAnsi="宋体" w:cs="宋体"/>
                <w:sz w:val="18"/>
                <w:szCs w:val="18"/>
              </w:rPr>
            </w:pPr>
            <w:r>
              <w:rPr>
                <w:rFonts w:hint="eastAsia" w:ascii="宋体" w:hAnsi="宋体" w:cs="宋体"/>
                <w:sz w:val="18"/>
                <w:szCs w:val="18"/>
              </w:rPr>
              <w:t>根据</w:t>
            </w:r>
            <w:r>
              <w:rPr>
                <w:rFonts w:hint="eastAsia" w:ascii="宋体" w:hAnsi="宋体" w:cs="宋体"/>
                <w:sz w:val="18"/>
                <w:szCs w:val="18"/>
                <w:lang w:val="en-US" w:eastAsia="zh-CN"/>
              </w:rPr>
              <w:t>示范基地</w:t>
            </w:r>
            <w:r>
              <w:rPr>
                <w:rFonts w:hint="eastAsia" w:ascii="宋体" w:hAnsi="宋体" w:cs="宋体"/>
                <w:sz w:val="18"/>
                <w:szCs w:val="18"/>
              </w:rPr>
              <w:t>的现场环境和主题考虑，提供一套符合</w:t>
            </w:r>
            <w:r>
              <w:rPr>
                <w:rFonts w:hint="eastAsia" w:ascii="宋体" w:hAnsi="宋体" w:cs="宋体"/>
                <w:sz w:val="18"/>
                <w:szCs w:val="18"/>
                <w:lang w:val="en-US" w:eastAsia="zh-CN"/>
              </w:rPr>
              <w:t>招标人要求</w:t>
            </w:r>
            <w:r>
              <w:rPr>
                <w:rFonts w:hint="eastAsia" w:ascii="宋体" w:hAnsi="宋体" w:cs="宋体"/>
                <w:sz w:val="18"/>
                <w:szCs w:val="18"/>
              </w:rPr>
              <w:t>的设计方案，设计风格需迎合审美，整体风格偏向简约风格（平面效果图、3D效果图、设计理念）根据设计方案的完整性、创意性、合理性进行横向比较；优得25分、良得15分、一般得5分、未提供或不完整的不得分。</w:t>
            </w:r>
          </w:p>
        </w:tc>
        <w:tc>
          <w:tcPr>
            <w:tcW w:w="693"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r>
              <w:rPr>
                <w:rFonts w:hint="eastAsia" w:ascii="宋体" w:hAnsi="宋体" w:cs="宋体"/>
                <w:sz w:val="18"/>
                <w:szCs w:val="18"/>
              </w:rPr>
              <w:t>25</w:t>
            </w:r>
          </w:p>
        </w:tc>
        <w:tc>
          <w:tcPr>
            <w:tcW w:w="1327"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c>
          <w:tcPr>
            <w:tcW w:w="1278" w:type="dxa"/>
            <w:tcBorders>
              <w:top w:val="single" w:color="000000" w:sz="4" w:space="0"/>
              <w:left w:val="single" w:color="000000" w:sz="4" w:space="0"/>
              <w:bottom w:val="single" w:color="000000" w:sz="4" w:space="0"/>
              <w:right w:val="single" w:color="000000" w:sz="4" w:space="0"/>
            </w:tcBorders>
            <w:vAlign w:val="center"/>
          </w:tcPr>
          <w:p>
            <w:pPr>
              <w:spacing w:line="220" w:lineRule="exact"/>
              <w:ind w:left="-2" w:leftChars="-1"/>
              <w:jc w:val="center"/>
              <w:rPr>
                <w:rFonts w:ascii="宋体" w:hAnsi="宋体" w:cs="宋体"/>
                <w:sz w:val="18"/>
                <w:szCs w:val="18"/>
              </w:rPr>
            </w:pPr>
          </w:p>
        </w:tc>
      </w:tr>
      <w:tr>
        <w:tblPrEx>
          <w:tblCellMar>
            <w:top w:w="0" w:type="dxa"/>
            <w:left w:w="108" w:type="dxa"/>
            <w:bottom w:w="0" w:type="dxa"/>
            <w:right w:w="108" w:type="dxa"/>
          </w:tblCellMar>
        </w:tblPrEx>
        <w:trPr>
          <w:cantSplit/>
          <w:trHeight w:val="1655" w:hRule="atLeast"/>
          <w:jc w:val="center"/>
        </w:trPr>
        <w:tc>
          <w:tcPr>
            <w:tcW w:w="61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eastAsia" w:ascii="宋体" w:hAnsi="宋体" w:eastAsia="宋体" w:cs="宋体"/>
                <w:sz w:val="18"/>
                <w:szCs w:val="18"/>
                <w:lang w:eastAsia="zh-CN"/>
              </w:rPr>
            </w:pPr>
            <w:r>
              <w:rPr>
                <w:rFonts w:hint="eastAsia" w:ascii="宋体" w:hAnsi="宋体" w:cs="宋体"/>
                <w:sz w:val="18"/>
                <w:szCs w:val="18"/>
                <w:lang w:val="en-US" w:eastAsia="zh-CN"/>
              </w:rPr>
              <w:t>3</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ascii="宋体" w:hAnsi="宋体" w:cs="宋体"/>
                <w:sz w:val="18"/>
                <w:szCs w:val="18"/>
              </w:rPr>
            </w:pPr>
            <w:r>
              <w:rPr>
                <w:rFonts w:hint="eastAsia" w:ascii="宋体" w:hAnsi="宋体" w:cs="宋体"/>
                <w:sz w:val="18"/>
                <w:szCs w:val="18"/>
              </w:rPr>
              <w:t>价格得分</w:t>
            </w:r>
          </w:p>
        </w:tc>
        <w:tc>
          <w:tcPr>
            <w:tcW w:w="1486" w:type="dxa"/>
            <w:tcBorders>
              <w:top w:val="single" w:color="auto" w:sz="4" w:space="0"/>
              <w:left w:val="nil"/>
              <w:bottom w:val="single" w:color="auto" w:sz="4" w:space="0"/>
              <w:right w:val="single" w:color="auto" w:sz="4" w:space="0"/>
            </w:tcBorders>
            <w:vAlign w:val="center"/>
          </w:tcPr>
          <w:p>
            <w:pPr>
              <w:spacing w:line="400" w:lineRule="atLeast"/>
              <w:jc w:val="center"/>
              <w:rPr>
                <w:rFonts w:ascii="宋体" w:hAnsi="宋体" w:cs="宋体"/>
                <w:sz w:val="18"/>
                <w:szCs w:val="18"/>
              </w:rPr>
            </w:pPr>
            <w:r>
              <w:rPr>
                <w:rFonts w:hint="eastAsia" w:ascii="宋体" w:hAnsi="宋体" w:cs="宋体"/>
                <w:sz w:val="18"/>
                <w:szCs w:val="18"/>
              </w:rPr>
              <w:t>投标报价</w:t>
            </w:r>
          </w:p>
        </w:tc>
        <w:tc>
          <w:tcPr>
            <w:tcW w:w="6432"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N/>
              <w:bidi w:val="0"/>
              <w:spacing w:line="240" w:lineRule="exact"/>
              <w:ind w:firstLine="0" w:firstLineChars="0"/>
              <w:jc w:val="left"/>
              <w:textAlignment w:val="auto"/>
              <w:rPr>
                <w:rFonts w:hint="eastAsia" w:ascii="宋体" w:hAnsi="宋体" w:eastAsia="宋体" w:cs="宋体"/>
                <w:b w:val="0"/>
                <w:bCs w:val="0"/>
                <w:color w:val="auto"/>
                <w:sz w:val="18"/>
                <w:szCs w:val="18"/>
                <w:highlight w:val="none"/>
                <w:lang w:eastAsia="zh-CN"/>
              </w:rPr>
            </w:pPr>
            <w:r>
              <w:rPr>
                <w:rFonts w:hint="eastAsia" w:ascii="宋体" w:hAnsi="宋体" w:cs="宋体"/>
                <w:sz w:val="18"/>
                <w:szCs w:val="18"/>
                <w:lang w:val="en-US" w:eastAsia="zh-CN"/>
              </w:rPr>
              <w:t>以</w:t>
            </w:r>
            <w:r>
              <w:rPr>
                <w:rFonts w:hint="eastAsia" w:ascii="宋体" w:hAnsi="宋体" w:cs="宋体"/>
                <w:sz w:val="18"/>
                <w:szCs w:val="18"/>
              </w:rPr>
              <w:t>通过本项目资格</w:t>
            </w:r>
            <w:r>
              <w:rPr>
                <w:rFonts w:hint="eastAsia" w:ascii="宋体" w:hAnsi="宋体" w:cs="宋体"/>
                <w:sz w:val="18"/>
                <w:szCs w:val="18"/>
                <w:lang w:val="en-US" w:eastAsia="zh-CN"/>
              </w:rPr>
              <w:t>符合性审</w:t>
            </w:r>
            <w:r>
              <w:rPr>
                <w:rFonts w:hint="eastAsia" w:ascii="宋体" w:hAnsi="宋体" w:cs="宋体"/>
                <w:sz w:val="18"/>
                <w:szCs w:val="18"/>
              </w:rPr>
              <w:t>查</w:t>
            </w:r>
            <w:r>
              <w:rPr>
                <w:rFonts w:hint="eastAsia" w:ascii="宋体" w:hAnsi="宋体" w:cs="宋体"/>
                <w:sz w:val="18"/>
                <w:szCs w:val="18"/>
                <w:lang w:val="en-US" w:eastAsia="zh-CN"/>
              </w:rPr>
              <w:t>的所有投标人投标报价的算术平均值作</w:t>
            </w:r>
            <w:r>
              <w:rPr>
                <w:rFonts w:hint="eastAsia" w:ascii="宋体" w:hAnsi="宋体" w:cs="宋体"/>
                <w:sz w:val="18"/>
                <w:szCs w:val="18"/>
              </w:rPr>
              <w:t>为基准价，</w:t>
            </w:r>
            <w:r>
              <w:rPr>
                <w:rFonts w:hint="eastAsia" w:ascii="宋体" w:hAnsi="宋体" w:cs="宋体"/>
                <w:sz w:val="18"/>
                <w:szCs w:val="18"/>
                <w:lang w:val="en-US" w:eastAsia="zh-CN"/>
              </w:rPr>
              <w:t>投标报价等于基准价的为</w:t>
            </w:r>
            <w:r>
              <w:rPr>
                <w:rFonts w:hint="eastAsia" w:ascii="宋体" w:hAnsi="宋体" w:cs="宋体"/>
                <w:sz w:val="18"/>
                <w:szCs w:val="18"/>
              </w:rPr>
              <w:t>满分</w:t>
            </w:r>
            <w:r>
              <w:rPr>
                <w:rFonts w:hint="eastAsia" w:ascii="宋体" w:hAnsi="宋体" w:cs="宋体"/>
                <w:sz w:val="18"/>
                <w:szCs w:val="18"/>
                <w:lang w:val="en-US" w:eastAsia="zh-CN"/>
              </w:rPr>
              <w:t>30分</w:t>
            </w:r>
            <w:r>
              <w:rPr>
                <w:rFonts w:hint="eastAsia" w:ascii="宋体" w:hAnsi="宋体" w:cs="宋体"/>
                <w:sz w:val="18"/>
                <w:szCs w:val="18"/>
              </w:rPr>
              <w:t>。</w:t>
            </w:r>
            <w:r>
              <w:rPr>
                <w:rFonts w:hint="eastAsia" w:ascii="宋体" w:hAnsi="宋体" w:eastAsia="宋体" w:cs="宋体"/>
                <w:b w:val="0"/>
                <w:bCs w:val="0"/>
                <w:color w:val="auto"/>
                <w:sz w:val="18"/>
                <w:szCs w:val="18"/>
                <w:highlight w:val="none"/>
              </w:rPr>
              <w:t>高于基准价的1%扣</w:t>
            </w:r>
            <w:r>
              <w:rPr>
                <w:rFonts w:hint="eastAsia" w:ascii="宋体" w:hAnsi="宋体" w:eastAsia="宋体" w:cs="宋体"/>
                <w:b w:val="0"/>
                <w:bCs w:val="0"/>
                <w:color w:val="auto"/>
                <w:sz w:val="18"/>
                <w:szCs w:val="18"/>
                <w:highlight w:val="none"/>
                <w:lang w:val="en-US" w:eastAsia="zh-CN"/>
              </w:rPr>
              <w:t>1</w:t>
            </w:r>
            <w:r>
              <w:rPr>
                <w:rFonts w:hint="eastAsia" w:ascii="宋体" w:hAnsi="宋体" w:eastAsia="宋体" w:cs="宋体"/>
                <w:b w:val="0"/>
                <w:bCs w:val="0"/>
                <w:color w:val="auto"/>
                <w:sz w:val="18"/>
                <w:szCs w:val="18"/>
                <w:highlight w:val="none"/>
              </w:rPr>
              <w:t>分，低于基准价的1%扣</w:t>
            </w:r>
            <w:r>
              <w:rPr>
                <w:rFonts w:hint="eastAsia" w:ascii="宋体" w:hAnsi="宋体" w:eastAsia="宋体" w:cs="宋体"/>
                <w:b w:val="0"/>
                <w:bCs w:val="0"/>
                <w:color w:val="auto"/>
                <w:sz w:val="18"/>
                <w:szCs w:val="18"/>
                <w:highlight w:val="none"/>
                <w:lang w:val="en-US" w:eastAsia="zh-CN"/>
              </w:rPr>
              <w:t>0.5</w:t>
            </w:r>
            <w:r>
              <w:rPr>
                <w:rFonts w:hint="eastAsia" w:ascii="宋体" w:hAnsi="宋体" w:eastAsia="宋体" w:cs="宋体"/>
                <w:b w:val="0"/>
                <w:bCs w:val="0"/>
                <w:color w:val="auto"/>
                <w:sz w:val="18"/>
                <w:szCs w:val="18"/>
                <w:highlight w:val="none"/>
              </w:rPr>
              <w:t>分，以此类推。最低得分0分。得分保留两位小数。</w:t>
            </w:r>
            <w:r>
              <w:rPr>
                <w:rFonts w:hint="eastAsia" w:ascii="宋体" w:hAnsi="宋体" w:eastAsia="宋体" w:cs="宋体"/>
                <w:b w:val="0"/>
                <w:bCs w:val="0"/>
                <w:color w:val="auto"/>
                <w:sz w:val="18"/>
                <w:szCs w:val="18"/>
                <w:highlight w:val="none"/>
                <w:lang w:eastAsia="zh-CN"/>
              </w:rPr>
              <w:t>计算公式如下：</w:t>
            </w:r>
          </w:p>
          <w:p>
            <w:pPr>
              <w:pageBreakBefore w:val="0"/>
              <w:widowControl w:val="0"/>
              <w:numPr>
                <w:ilvl w:val="-1"/>
                <w:numId w:val="0"/>
              </w:numPr>
              <w:kinsoku/>
              <w:wordWrap/>
              <w:overflowPunct/>
              <w:topLinePunct w:val="0"/>
              <w:autoSpaceDN/>
              <w:bidi w:val="0"/>
              <w:spacing w:line="24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1.报价等于基准价的，得分=30。</w:t>
            </w:r>
          </w:p>
          <w:p>
            <w:pPr>
              <w:pageBreakBefore w:val="0"/>
              <w:widowControl w:val="0"/>
              <w:numPr>
                <w:ilvl w:val="-1"/>
                <w:numId w:val="0"/>
              </w:numPr>
              <w:kinsoku/>
              <w:wordWrap/>
              <w:overflowPunct/>
              <w:topLinePunct w:val="0"/>
              <w:autoSpaceDN/>
              <w:bidi w:val="0"/>
              <w:spacing w:line="240" w:lineRule="exact"/>
              <w:jc w:val="left"/>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2.报价高于基准价的，得分=30-[（报价-基准价）/基准价]×100×1</w:t>
            </w:r>
          </w:p>
          <w:p>
            <w:pPr>
              <w:spacing w:line="240" w:lineRule="exact"/>
              <w:jc w:val="left"/>
              <w:rPr>
                <w:rFonts w:ascii="宋体" w:hAnsi="宋体" w:cs="宋体"/>
                <w:sz w:val="18"/>
                <w:szCs w:val="18"/>
              </w:rPr>
            </w:pPr>
            <w:r>
              <w:rPr>
                <w:rFonts w:hint="eastAsia" w:ascii="宋体" w:hAnsi="宋体" w:eastAsia="宋体" w:cs="宋体"/>
                <w:b w:val="0"/>
                <w:bCs w:val="0"/>
                <w:color w:val="auto"/>
                <w:sz w:val="18"/>
                <w:szCs w:val="18"/>
                <w:highlight w:val="none"/>
                <w:lang w:val="en-US" w:eastAsia="zh-CN"/>
              </w:rPr>
              <w:t>3.报价低于基准价的，得分=30-[（基准价-报价）/基准价]×100×0.5</w:t>
            </w:r>
          </w:p>
        </w:tc>
        <w:tc>
          <w:tcPr>
            <w:tcW w:w="693" w:type="dxa"/>
            <w:tcBorders>
              <w:top w:val="single" w:color="auto" w:sz="4" w:space="0"/>
              <w:left w:val="nil"/>
              <w:bottom w:val="single" w:color="auto" w:sz="4" w:space="0"/>
              <w:right w:val="single" w:color="auto" w:sz="4" w:space="0"/>
            </w:tcBorders>
            <w:vAlign w:val="center"/>
          </w:tcPr>
          <w:p>
            <w:pPr>
              <w:spacing w:line="400" w:lineRule="atLeast"/>
              <w:jc w:val="center"/>
              <w:rPr>
                <w:rFonts w:ascii="宋体" w:hAnsi="宋体" w:cs="宋体"/>
                <w:sz w:val="18"/>
                <w:szCs w:val="18"/>
              </w:rPr>
            </w:pPr>
            <w:r>
              <w:rPr>
                <w:rFonts w:hint="eastAsia" w:ascii="宋体" w:hAnsi="宋体" w:cs="宋体"/>
                <w:sz w:val="18"/>
                <w:szCs w:val="18"/>
              </w:rPr>
              <w:t>30</w:t>
            </w:r>
          </w:p>
        </w:tc>
        <w:tc>
          <w:tcPr>
            <w:tcW w:w="1327" w:type="dxa"/>
            <w:tcBorders>
              <w:top w:val="single" w:color="auto" w:sz="4" w:space="0"/>
              <w:left w:val="nil"/>
              <w:bottom w:val="single" w:color="auto" w:sz="4" w:space="0"/>
              <w:right w:val="single" w:color="auto" w:sz="4" w:space="0"/>
            </w:tcBorders>
            <w:vAlign w:val="center"/>
          </w:tcPr>
          <w:p>
            <w:pPr>
              <w:spacing w:line="400" w:lineRule="atLeast"/>
              <w:jc w:val="center"/>
              <w:rPr>
                <w:rFonts w:ascii="宋体" w:hAnsi="宋体" w:cs="宋体"/>
                <w:sz w:val="18"/>
                <w:szCs w:val="18"/>
              </w:rPr>
            </w:pPr>
          </w:p>
        </w:tc>
        <w:tc>
          <w:tcPr>
            <w:tcW w:w="1226" w:type="dxa"/>
            <w:tcBorders>
              <w:top w:val="single" w:color="auto" w:sz="4" w:space="0"/>
              <w:left w:val="nil"/>
              <w:bottom w:val="single" w:color="auto" w:sz="4" w:space="0"/>
              <w:right w:val="single" w:color="auto" w:sz="4" w:space="0"/>
            </w:tcBorders>
            <w:vAlign w:val="center"/>
          </w:tcPr>
          <w:p>
            <w:pPr>
              <w:spacing w:line="400" w:lineRule="atLeast"/>
              <w:jc w:val="center"/>
              <w:rPr>
                <w:rFonts w:ascii="宋体" w:hAnsi="宋体" w:cs="宋体"/>
                <w:sz w:val="18"/>
                <w:szCs w:val="18"/>
              </w:rPr>
            </w:pPr>
          </w:p>
        </w:tc>
        <w:tc>
          <w:tcPr>
            <w:tcW w:w="1278" w:type="dxa"/>
            <w:tcBorders>
              <w:top w:val="single" w:color="auto" w:sz="4" w:space="0"/>
              <w:left w:val="nil"/>
              <w:bottom w:val="single" w:color="auto" w:sz="4" w:space="0"/>
              <w:right w:val="single" w:color="auto" w:sz="4" w:space="0"/>
            </w:tcBorders>
            <w:vAlign w:val="center"/>
          </w:tcPr>
          <w:p>
            <w:pPr>
              <w:spacing w:line="400" w:lineRule="atLeast"/>
              <w:jc w:val="center"/>
              <w:rPr>
                <w:rFonts w:ascii="宋体" w:hAnsi="宋体" w:cs="宋体"/>
                <w:sz w:val="18"/>
                <w:szCs w:val="18"/>
              </w:rPr>
            </w:pPr>
          </w:p>
        </w:tc>
      </w:tr>
      <w:tr>
        <w:tblPrEx>
          <w:tblCellMar>
            <w:top w:w="0" w:type="dxa"/>
            <w:left w:w="108" w:type="dxa"/>
            <w:bottom w:w="0" w:type="dxa"/>
            <w:right w:w="108" w:type="dxa"/>
          </w:tblCellMar>
        </w:tblPrEx>
        <w:trPr>
          <w:cantSplit/>
          <w:trHeight w:val="693" w:hRule="atLeast"/>
          <w:jc w:val="center"/>
        </w:trPr>
        <w:tc>
          <w:tcPr>
            <w:tcW w:w="9639" w:type="dxa"/>
            <w:gridSpan w:val="4"/>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s="宋体"/>
                <w:sz w:val="18"/>
                <w:szCs w:val="18"/>
              </w:rPr>
            </w:pPr>
            <w:r>
              <w:rPr>
                <w:rFonts w:hint="eastAsia" w:ascii="宋体" w:hAnsi="宋体" w:cs="宋体"/>
                <w:sz w:val="18"/>
                <w:szCs w:val="18"/>
              </w:rPr>
              <w:t>综合总得分</w:t>
            </w:r>
          </w:p>
        </w:tc>
        <w:tc>
          <w:tcPr>
            <w:tcW w:w="693" w:type="dxa"/>
            <w:tcBorders>
              <w:top w:val="single" w:color="auto" w:sz="4" w:space="0"/>
              <w:left w:val="nil"/>
              <w:bottom w:val="single" w:color="auto" w:sz="4" w:space="0"/>
              <w:right w:val="single" w:color="auto" w:sz="4" w:space="0"/>
            </w:tcBorders>
            <w:vAlign w:val="center"/>
          </w:tcPr>
          <w:p>
            <w:pPr>
              <w:spacing w:line="400" w:lineRule="atLeast"/>
              <w:jc w:val="center"/>
              <w:rPr>
                <w:rFonts w:ascii="宋体" w:hAnsi="宋体" w:cs="宋体"/>
                <w:sz w:val="18"/>
                <w:szCs w:val="18"/>
              </w:rPr>
            </w:pPr>
          </w:p>
        </w:tc>
        <w:tc>
          <w:tcPr>
            <w:tcW w:w="1327" w:type="dxa"/>
            <w:tcBorders>
              <w:top w:val="single" w:color="auto" w:sz="4" w:space="0"/>
              <w:left w:val="nil"/>
              <w:bottom w:val="single" w:color="auto" w:sz="4" w:space="0"/>
              <w:right w:val="single" w:color="auto" w:sz="4" w:space="0"/>
            </w:tcBorders>
            <w:vAlign w:val="center"/>
          </w:tcPr>
          <w:p>
            <w:pPr>
              <w:spacing w:line="400" w:lineRule="atLeast"/>
              <w:jc w:val="center"/>
              <w:rPr>
                <w:rFonts w:ascii="宋体" w:hAnsi="宋体" w:cs="宋体"/>
                <w:sz w:val="18"/>
                <w:szCs w:val="18"/>
              </w:rPr>
            </w:pPr>
          </w:p>
        </w:tc>
        <w:tc>
          <w:tcPr>
            <w:tcW w:w="1226" w:type="dxa"/>
            <w:tcBorders>
              <w:top w:val="single" w:color="auto" w:sz="4" w:space="0"/>
              <w:left w:val="nil"/>
              <w:bottom w:val="single" w:color="auto" w:sz="4" w:space="0"/>
              <w:right w:val="single" w:color="auto" w:sz="4" w:space="0"/>
            </w:tcBorders>
            <w:vAlign w:val="center"/>
          </w:tcPr>
          <w:p>
            <w:pPr>
              <w:spacing w:line="400" w:lineRule="atLeast"/>
              <w:jc w:val="center"/>
              <w:rPr>
                <w:rFonts w:ascii="宋体" w:hAnsi="宋体" w:cs="宋体"/>
                <w:sz w:val="18"/>
                <w:szCs w:val="18"/>
              </w:rPr>
            </w:pPr>
          </w:p>
        </w:tc>
        <w:tc>
          <w:tcPr>
            <w:tcW w:w="1278" w:type="dxa"/>
            <w:tcBorders>
              <w:top w:val="single" w:color="auto" w:sz="4" w:space="0"/>
              <w:left w:val="nil"/>
              <w:bottom w:val="single" w:color="auto" w:sz="4" w:space="0"/>
              <w:right w:val="single" w:color="auto" w:sz="4" w:space="0"/>
            </w:tcBorders>
            <w:vAlign w:val="center"/>
          </w:tcPr>
          <w:p>
            <w:pPr>
              <w:spacing w:line="400" w:lineRule="atLeast"/>
              <w:jc w:val="center"/>
              <w:rPr>
                <w:rFonts w:ascii="宋体" w:hAnsi="宋体" w:cs="宋体"/>
                <w:sz w:val="18"/>
                <w:szCs w:val="18"/>
              </w:rPr>
            </w:pPr>
          </w:p>
        </w:tc>
      </w:tr>
    </w:tbl>
    <w:p>
      <w:pPr>
        <w:widowControl/>
        <w:numPr>
          <w:ilvl w:val="255"/>
          <w:numId w:val="0"/>
        </w:numPr>
        <w:tabs>
          <w:tab w:val="left" w:pos="2584"/>
        </w:tabs>
        <w:jc w:val="left"/>
        <w:outlineLvl w:val="1"/>
        <w:rPr>
          <w:rFonts w:ascii="宋体" w:hAnsi="宋体" w:cs="宋体"/>
          <w:szCs w:val="21"/>
        </w:rPr>
      </w:pPr>
    </w:p>
    <w:p>
      <w:pPr>
        <w:widowControl/>
        <w:numPr>
          <w:ilvl w:val="255"/>
          <w:numId w:val="0"/>
        </w:numPr>
        <w:tabs>
          <w:tab w:val="left" w:pos="2584"/>
        </w:tabs>
        <w:jc w:val="left"/>
      </w:pPr>
      <w:r>
        <w:rPr>
          <w:rFonts w:hint="eastAsia" w:ascii="宋体" w:hAnsi="宋体" w:cs="宋体"/>
          <w:szCs w:val="21"/>
        </w:rPr>
        <w:t>评审专家签名：</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86"/>
    <w:family w:val="auto"/>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Style w:val="17"/>
                            </w:rPr>
                          </w:pPr>
                          <w:r>
                            <w:fldChar w:fldCharType="begin"/>
                          </w:r>
                          <w:r>
                            <w:rPr>
                              <w:rStyle w:val="17"/>
                            </w:rPr>
                            <w:instrText xml:space="preserve">PAGE  </w:instrText>
                          </w:r>
                          <w:r>
                            <w:fldChar w:fldCharType="separate"/>
                          </w:r>
                          <w:r>
                            <w:rPr>
                              <w:rStyle w:val="17"/>
                            </w:rP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AFD1D"/>
    <w:multiLevelType w:val="singleLevel"/>
    <w:tmpl w:val="F34AFD1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jYzQ0YWRhMGEzZjE2YjcyMzhkMjgxMjM2MTlmYjAifQ=="/>
  </w:docVars>
  <w:rsids>
    <w:rsidRoot w:val="00497396"/>
    <w:rsid w:val="000617F6"/>
    <w:rsid w:val="00086F38"/>
    <w:rsid w:val="000E43D9"/>
    <w:rsid w:val="00181A67"/>
    <w:rsid w:val="002249B0"/>
    <w:rsid w:val="002537DD"/>
    <w:rsid w:val="002D0D3F"/>
    <w:rsid w:val="00325A0D"/>
    <w:rsid w:val="0034649F"/>
    <w:rsid w:val="003656C6"/>
    <w:rsid w:val="003B0567"/>
    <w:rsid w:val="004644D6"/>
    <w:rsid w:val="00497396"/>
    <w:rsid w:val="004B4D7E"/>
    <w:rsid w:val="00512D05"/>
    <w:rsid w:val="0055485B"/>
    <w:rsid w:val="005D603F"/>
    <w:rsid w:val="006A4433"/>
    <w:rsid w:val="00754A98"/>
    <w:rsid w:val="00754E89"/>
    <w:rsid w:val="007A29B9"/>
    <w:rsid w:val="007B0454"/>
    <w:rsid w:val="007F2F9B"/>
    <w:rsid w:val="00820B83"/>
    <w:rsid w:val="009027FD"/>
    <w:rsid w:val="00A25ED9"/>
    <w:rsid w:val="00A3186C"/>
    <w:rsid w:val="00A33C41"/>
    <w:rsid w:val="00A4286F"/>
    <w:rsid w:val="00A7412B"/>
    <w:rsid w:val="00AD01B2"/>
    <w:rsid w:val="00AF6DAA"/>
    <w:rsid w:val="00B0373F"/>
    <w:rsid w:val="00BB115F"/>
    <w:rsid w:val="00BC30AF"/>
    <w:rsid w:val="00BD7974"/>
    <w:rsid w:val="00C0244A"/>
    <w:rsid w:val="00C270A6"/>
    <w:rsid w:val="00C625C7"/>
    <w:rsid w:val="00CC799C"/>
    <w:rsid w:val="00CE2B72"/>
    <w:rsid w:val="00CE76EE"/>
    <w:rsid w:val="00EA4780"/>
    <w:rsid w:val="00ED5A22"/>
    <w:rsid w:val="06C20ADF"/>
    <w:rsid w:val="06F07919"/>
    <w:rsid w:val="06F07DFC"/>
    <w:rsid w:val="094C38CB"/>
    <w:rsid w:val="09DE2288"/>
    <w:rsid w:val="0C2D6580"/>
    <w:rsid w:val="0D100A67"/>
    <w:rsid w:val="0D477410"/>
    <w:rsid w:val="0DB21BF0"/>
    <w:rsid w:val="15373F3C"/>
    <w:rsid w:val="156452CB"/>
    <w:rsid w:val="15830E6E"/>
    <w:rsid w:val="17C47414"/>
    <w:rsid w:val="185A3660"/>
    <w:rsid w:val="18A64F67"/>
    <w:rsid w:val="18E12B64"/>
    <w:rsid w:val="1AB16087"/>
    <w:rsid w:val="1AEE197A"/>
    <w:rsid w:val="1F2F0B90"/>
    <w:rsid w:val="21A2430B"/>
    <w:rsid w:val="22487CF4"/>
    <w:rsid w:val="24C42EA1"/>
    <w:rsid w:val="27F21951"/>
    <w:rsid w:val="28D63384"/>
    <w:rsid w:val="295E67EC"/>
    <w:rsid w:val="29E60310"/>
    <w:rsid w:val="2AD309BF"/>
    <w:rsid w:val="2B6360E7"/>
    <w:rsid w:val="2CED6937"/>
    <w:rsid w:val="30D651BA"/>
    <w:rsid w:val="333424AB"/>
    <w:rsid w:val="33CB5FF0"/>
    <w:rsid w:val="34C4613C"/>
    <w:rsid w:val="353F1F4D"/>
    <w:rsid w:val="354C3FF7"/>
    <w:rsid w:val="37571612"/>
    <w:rsid w:val="3BD610C4"/>
    <w:rsid w:val="3C5F1558"/>
    <w:rsid w:val="3CEE5934"/>
    <w:rsid w:val="3D236BCA"/>
    <w:rsid w:val="3E194709"/>
    <w:rsid w:val="40BB4DE9"/>
    <w:rsid w:val="41E467E8"/>
    <w:rsid w:val="420B2708"/>
    <w:rsid w:val="461730AC"/>
    <w:rsid w:val="462A47C2"/>
    <w:rsid w:val="466F44DB"/>
    <w:rsid w:val="46851546"/>
    <w:rsid w:val="47663EF4"/>
    <w:rsid w:val="47733A40"/>
    <w:rsid w:val="496A1874"/>
    <w:rsid w:val="4C206BEA"/>
    <w:rsid w:val="4E845E9A"/>
    <w:rsid w:val="4EC33E0F"/>
    <w:rsid w:val="51C02B8C"/>
    <w:rsid w:val="53A230E5"/>
    <w:rsid w:val="546878D6"/>
    <w:rsid w:val="55950627"/>
    <w:rsid w:val="583724BD"/>
    <w:rsid w:val="5A541765"/>
    <w:rsid w:val="5BB86F08"/>
    <w:rsid w:val="5C471B76"/>
    <w:rsid w:val="5E3F58D7"/>
    <w:rsid w:val="619A4BD2"/>
    <w:rsid w:val="650236B6"/>
    <w:rsid w:val="65823605"/>
    <w:rsid w:val="679D1141"/>
    <w:rsid w:val="69992CD3"/>
    <w:rsid w:val="6A112190"/>
    <w:rsid w:val="6A362CE6"/>
    <w:rsid w:val="6C13111B"/>
    <w:rsid w:val="6DB500A1"/>
    <w:rsid w:val="70451A06"/>
    <w:rsid w:val="70906960"/>
    <w:rsid w:val="72A66B4E"/>
    <w:rsid w:val="745943F3"/>
    <w:rsid w:val="76A649AD"/>
    <w:rsid w:val="78126CDB"/>
    <w:rsid w:val="78EA354B"/>
    <w:rsid w:val="791A05D1"/>
    <w:rsid w:val="7A6B4D1D"/>
    <w:rsid w:val="7B75796A"/>
    <w:rsid w:val="7CEC3871"/>
    <w:rsid w:val="7EFC5CE5"/>
    <w:rsid w:val="7F100E32"/>
    <w:rsid w:val="7F39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style>
  <w:style w:type="paragraph" w:styleId="5">
    <w:name w:val="Body Text 3"/>
    <w:basedOn w:val="1"/>
    <w:link w:val="29"/>
    <w:semiHidden/>
    <w:unhideWhenUsed/>
    <w:qFormat/>
    <w:uiPriority w:val="99"/>
    <w:pPr>
      <w:spacing w:after="120"/>
    </w:pPr>
    <w:rPr>
      <w:sz w:val="16"/>
      <w:szCs w:val="16"/>
    </w:rPr>
  </w:style>
  <w:style w:type="paragraph" w:styleId="6">
    <w:name w:val="Body Text"/>
    <w:basedOn w:val="1"/>
    <w:link w:val="23"/>
    <w:unhideWhenUsed/>
    <w:qFormat/>
    <w:uiPriority w:val="0"/>
    <w:pPr>
      <w:spacing w:after="120"/>
    </w:pPr>
  </w:style>
  <w:style w:type="paragraph" w:styleId="7">
    <w:name w:val="Plain Text"/>
    <w:basedOn w:val="1"/>
    <w:next w:val="1"/>
    <w:link w:val="25"/>
    <w:qFormat/>
    <w:uiPriority w:val="0"/>
    <w:rPr>
      <w:rFonts w:ascii="宋体" w:cs="Courier New" w:hAnsiTheme="minorHAnsi" w:eastAsiaTheme="minorEastAsia"/>
      <w:szCs w:val="21"/>
    </w:rPr>
  </w:style>
  <w:style w:type="paragraph" w:styleId="8">
    <w:name w:val="Date"/>
    <w:basedOn w:val="1"/>
    <w:next w:val="1"/>
    <w:link w:val="32"/>
    <w:qFormat/>
    <w:uiPriority w:val="0"/>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Theme="minorHAnsi" w:hAnsiTheme="minorHAnsi" w:eastAsiaTheme="minorEastAsia" w:cstheme="minorBidi"/>
      <w:szCs w:val="24"/>
    </w:rPr>
  </w:style>
  <w:style w:type="paragraph" w:styleId="12">
    <w:name w:val="Body Text Indent 3"/>
    <w:basedOn w:val="1"/>
    <w:link w:val="28"/>
    <w:qFormat/>
    <w:uiPriority w:val="0"/>
    <w:pPr>
      <w:spacing w:after="120"/>
      <w:ind w:left="420" w:leftChars="200"/>
    </w:pPr>
    <w:rPr>
      <w:sz w:val="16"/>
      <w:szCs w:val="16"/>
    </w:rPr>
  </w:style>
  <w:style w:type="paragraph" w:styleId="13">
    <w:name w:val="toc 2"/>
    <w:basedOn w:val="1"/>
    <w:next w:val="1"/>
    <w:qFormat/>
    <w:uiPriority w:val="0"/>
    <w:pPr>
      <w:ind w:left="520"/>
      <w:jc w:val="left"/>
    </w:pPr>
    <w:rPr>
      <w:rFonts w:eastAsiaTheme="minorEastAsia" w:cstheme="minorBidi"/>
      <w:smallCaps/>
      <w:sz w:val="20"/>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0"/>
    <w:rPr>
      <w:color w:val="777777"/>
      <w:u w:val="none"/>
    </w:rPr>
  </w:style>
  <w:style w:type="character" w:styleId="19">
    <w:name w:val="annotation reference"/>
    <w:basedOn w:val="16"/>
    <w:qFormat/>
    <w:uiPriority w:val="0"/>
    <w:rPr>
      <w:sz w:val="21"/>
      <w:szCs w:val="21"/>
    </w:rPr>
  </w:style>
  <w:style w:type="character" w:customStyle="1" w:styleId="20">
    <w:name w:val="页眉 字符"/>
    <w:basedOn w:val="16"/>
    <w:link w:val="10"/>
    <w:qFormat/>
    <w:uiPriority w:val="0"/>
    <w:rPr>
      <w:sz w:val="18"/>
      <w:szCs w:val="18"/>
    </w:rPr>
  </w:style>
  <w:style w:type="character" w:customStyle="1" w:styleId="21">
    <w:name w:val="页脚 字符"/>
    <w:basedOn w:val="16"/>
    <w:link w:val="9"/>
    <w:qFormat/>
    <w:uiPriority w:val="99"/>
    <w:rPr>
      <w:sz w:val="18"/>
      <w:szCs w:val="18"/>
    </w:rPr>
  </w:style>
  <w:style w:type="character" w:customStyle="1" w:styleId="22">
    <w:name w:val="标题 1 字符"/>
    <w:basedOn w:val="16"/>
    <w:link w:val="2"/>
    <w:qFormat/>
    <w:uiPriority w:val="99"/>
    <w:rPr>
      <w:rFonts w:ascii="Times New Roman" w:hAnsi="Times New Roman" w:eastAsia="宋体" w:cs="Times New Roman"/>
      <w:b/>
      <w:bCs/>
      <w:kern w:val="44"/>
      <w:sz w:val="44"/>
      <w:szCs w:val="44"/>
    </w:rPr>
  </w:style>
  <w:style w:type="character" w:customStyle="1" w:styleId="23">
    <w:name w:val="正文文本 字符"/>
    <w:basedOn w:val="16"/>
    <w:link w:val="6"/>
    <w:qFormat/>
    <w:uiPriority w:val="0"/>
    <w:rPr>
      <w:rFonts w:ascii="Times New Roman" w:hAnsi="Times New Roman" w:eastAsia="宋体" w:cs="Times New Roman"/>
      <w:szCs w:val="20"/>
    </w:rPr>
  </w:style>
  <w:style w:type="character" w:customStyle="1" w:styleId="24">
    <w:name w:val="标题 2 字符"/>
    <w:basedOn w:val="16"/>
    <w:link w:val="3"/>
    <w:semiHidden/>
    <w:qFormat/>
    <w:uiPriority w:val="9"/>
    <w:rPr>
      <w:rFonts w:asciiTheme="majorHAnsi" w:hAnsiTheme="majorHAnsi" w:eastAsiaTheme="majorEastAsia" w:cstheme="majorBidi"/>
      <w:b/>
      <w:bCs/>
      <w:sz w:val="32"/>
      <w:szCs w:val="32"/>
    </w:rPr>
  </w:style>
  <w:style w:type="character" w:customStyle="1" w:styleId="25">
    <w:name w:val="纯文本 字符"/>
    <w:basedOn w:val="16"/>
    <w:link w:val="7"/>
    <w:qFormat/>
    <w:uiPriority w:val="0"/>
    <w:rPr>
      <w:rFonts w:ascii="宋体" w:cs="Courier New"/>
      <w:szCs w:val="21"/>
    </w:rPr>
  </w:style>
  <w:style w:type="character" w:customStyle="1" w:styleId="26">
    <w:name w:val="批注文字 字符"/>
    <w:basedOn w:val="16"/>
    <w:link w:val="4"/>
    <w:qFormat/>
    <w:uiPriority w:val="0"/>
    <w:rPr>
      <w:rFonts w:ascii="Times New Roman" w:hAnsi="Times New Roman" w:eastAsia="宋体" w:cs="Times New Roman"/>
      <w:szCs w:val="20"/>
    </w:rPr>
  </w:style>
  <w:style w:type="paragraph" w:styleId="27">
    <w:name w:val="List Paragraph"/>
    <w:basedOn w:val="1"/>
    <w:qFormat/>
    <w:uiPriority w:val="99"/>
    <w:pPr>
      <w:ind w:firstLine="420" w:firstLineChars="200"/>
    </w:pPr>
  </w:style>
  <w:style w:type="character" w:customStyle="1" w:styleId="28">
    <w:name w:val="正文文本缩进 3 字符"/>
    <w:basedOn w:val="16"/>
    <w:link w:val="12"/>
    <w:qFormat/>
    <w:uiPriority w:val="0"/>
    <w:rPr>
      <w:rFonts w:ascii="Times New Roman" w:hAnsi="Times New Roman" w:eastAsia="宋体" w:cs="Times New Roman"/>
      <w:sz w:val="16"/>
      <w:szCs w:val="16"/>
    </w:rPr>
  </w:style>
  <w:style w:type="character" w:customStyle="1" w:styleId="29">
    <w:name w:val="正文文本 3 字符"/>
    <w:basedOn w:val="16"/>
    <w:link w:val="5"/>
    <w:semiHidden/>
    <w:qFormat/>
    <w:uiPriority w:val="99"/>
    <w:rPr>
      <w:rFonts w:ascii="Times New Roman" w:hAnsi="Times New Roman" w:eastAsia="宋体" w:cs="Times New Roman"/>
      <w:sz w:val="16"/>
      <w:szCs w:val="16"/>
    </w:rPr>
  </w:style>
  <w:style w:type="character" w:customStyle="1" w:styleId="30">
    <w:name w:val="font41"/>
    <w:basedOn w:val="16"/>
    <w:qFormat/>
    <w:uiPriority w:val="0"/>
    <w:rPr>
      <w:rFonts w:hint="eastAsia" w:ascii="宋体" w:hAnsi="宋体" w:eastAsia="宋体" w:cs="宋体"/>
      <w:color w:val="000000"/>
      <w:sz w:val="21"/>
      <w:szCs w:val="21"/>
      <w:u w:val="none"/>
      <w:vertAlign w:val="superscript"/>
    </w:rPr>
  </w:style>
  <w:style w:type="character" w:customStyle="1" w:styleId="31">
    <w:name w:val="p141"/>
    <w:qFormat/>
    <w:uiPriority w:val="0"/>
    <w:rPr>
      <w:sz w:val="21"/>
      <w:szCs w:val="21"/>
    </w:rPr>
  </w:style>
  <w:style w:type="character" w:customStyle="1" w:styleId="32">
    <w:name w:val="日期 字符"/>
    <w:basedOn w:val="16"/>
    <w:link w:val="8"/>
    <w:qFormat/>
    <w:uiPriority w:val="0"/>
    <w:rPr>
      <w:rFonts w:ascii="Times New Roman" w:hAnsi="Times New Roman" w:eastAsia="宋体" w:cs="Times New Roman"/>
      <w:szCs w:val="20"/>
    </w:rPr>
  </w:style>
  <w:style w:type="paragraph" w:customStyle="1" w:styleId="33">
    <w:name w:val="修订1"/>
    <w:hidden/>
    <w:semiHidden/>
    <w:qFormat/>
    <w:uiPriority w:val="99"/>
    <w:rPr>
      <w:rFonts w:ascii="Times New Roman" w:hAnsi="Times New Roman" w:eastAsia="宋体" w:cs="Times New Roman"/>
      <w:kern w:val="2"/>
      <w:sz w:val="21"/>
      <w:lang w:val="en-US" w:eastAsia="zh-CN" w:bidi="ar-SA"/>
    </w:rPr>
  </w:style>
  <w:style w:type="paragraph" w:customStyle="1" w:styleId="34">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A9793-8905-4BA4-9006-F484AF34357D}">
  <ds:schemaRefs/>
</ds:datastoreItem>
</file>

<file path=docProps/app.xml><?xml version="1.0" encoding="utf-8"?>
<Properties xmlns="http://schemas.openxmlformats.org/officeDocument/2006/extended-properties" xmlns:vt="http://schemas.openxmlformats.org/officeDocument/2006/docPropsVTypes">
  <Template>Normal</Template>
  <Pages>28</Pages>
  <Words>1802</Words>
  <Characters>10275</Characters>
  <Lines>85</Lines>
  <Paragraphs>24</Paragraphs>
  <TotalTime>9</TotalTime>
  <ScaleCrop>false</ScaleCrop>
  <LinksUpToDate>false</LinksUpToDate>
  <CharactersWithSpaces>12053</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2022-12-07T18:19:00Z</dcterms:created>
  <dc:creator>陈 小华</dc:creator>
  <cp:lastModifiedBy>jh</cp:lastModifiedBy>
  <cp:lastPrinted>2022-12-20T03:00:00Z</cp:lastPrinted>
  <dcterms:modified xsi:type="dcterms:W3CDTF">2023-09-04T09:01:01Z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1C0D82581EA84210BC37CEE0CAB80860</vt:lpwstr>
  </property>
</Properties>
</file>