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南沙金融大厦第11层1109房招租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南沙金融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大厦位于广州市南沙区金融大厦第11层1109房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地址：广州市南沙区海滨路171号金融大厦第11层1109房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南沙金融大厦第11层1109房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</w:t>
      </w:r>
      <w:r>
        <w:rPr>
          <w:rFonts w:hint="eastAsia" w:ascii="宋体" w:hAnsi="宋体"/>
          <w:sz w:val="24"/>
          <w:lang w:val="en-US" w:eastAsia="zh-CN"/>
        </w:rPr>
        <w:t>金融类</w:t>
      </w:r>
      <w:r>
        <w:rPr>
          <w:rFonts w:hint="eastAsia" w:ascii="宋体" w:hAnsi="宋体"/>
          <w:sz w:val="24"/>
        </w:rPr>
        <w:t>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90元/平方米/月，物业费30元/平方米/月；从第二年起每年在上一年度基础上递增5%。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中标后保证金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10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19 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10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19 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南沙区金融大厦第11层1109房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广州市南沙区海滨路171号金融大厦第11层1109房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广州市南沙区海滨路171号金融大厦第11层1109房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g1NDA4Mjc1NDQ5MWU2MGFhNzc2OTg5ZGJiZTgifQ=="/>
  </w:docVars>
  <w:rsids>
    <w:rsidRoot w:val="2E2221AF"/>
    <w:rsid w:val="00434DBB"/>
    <w:rsid w:val="00B62FD8"/>
    <w:rsid w:val="00C6734E"/>
    <w:rsid w:val="01F839D7"/>
    <w:rsid w:val="025F28B4"/>
    <w:rsid w:val="02CE719B"/>
    <w:rsid w:val="03346E41"/>
    <w:rsid w:val="04E42897"/>
    <w:rsid w:val="05B46924"/>
    <w:rsid w:val="063F2992"/>
    <w:rsid w:val="08C530C6"/>
    <w:rsid w:val="0EC97A2E"/>
    <w:rsid w:val="0EEA6919"/>
    <w:rsid w:val="0EF16699"/>
    <w:rsid w:val="0F6A2065"/>
    <w:rsid w:val="12F91BFA"/>
    <w:rsid w:val="15413C70"/>
    <w:rsid w:val="18197833"/>
    <w:rsid w:val="190743F1"/>
    <w:rsid w:val="1AFD4181"/>
    <w:rsid w:val="1B4F3B97"/>
    <w:rsid w:val="1BE4712D"/>
    <w:rsid w:val="1D394795"/>
    <w:rsid w:val="202F3EDE"/>
    <w:rsid w:val="224116B0"/>
    <w:rsid w:val="22713E42"/>
    <w:rsid w:val="252612DC"/>
    <w:rsid w:val="254F434E"/>
    <w:rsid w:val="25503432"/>
    <w:rsid w:val="255F5373"/>
    <w:rsid w:val="26B1517F"/>
    <w:rsid w:val="27E51841"/>
    <w:rsid w:val="29905856"/>
    <w:rsid w:val="2AEC52A5"/>
    <w:rsid w:val="2E2221AF"/>
    <w:rsid w:val="2E242F9C"/>
    <w:rsid w:val="310F3B96"/>
    <w:rsid w:val="34232812"/>
    <w:rsid w:val="354928B6"/>
    <w:rsid w:val="37991DE9"/>
    <w:rsid w:val="3A6105FF"/>
    <w:rsid w:val="3B710E3B"/>
    <w:rsid w:val="3C2878AB"/>
    <w:rsid w:val="3CF540B8"/>
    <w:rsid w:val="3D167257"/>
    <w:rsid w:val="3E0D09D4"/>
    <w:rsid w:val="3FD00F64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E5D278A"/>
    <w:rsid w:val="4F8A1848"/>
    <w:rsid w:val="4FA52DA9"/>
    <w:rsid w:val="50860981"/>
    <w:rsid w:val="537174E2"/>
    <w:rsid w:val="55A81DBB"/>
    <w:rsid w:val="570255F2"/>
    <w:rsid w:val="57213A17"/>
    <w:rsid w:val="59895F1E"/>
    <w:rsid w:val="5CD208FF"/>
    <w:rsid w:val="5DC818E3"/>
    <w:rsid w:val="61662C05"/>
    <w:rsid w:val="61B61EE9"/>
    <w:rsid w:val="61C76BF7"/>
    <w:rsid w:val="626E35CE"/>
    <w:rsid w:val="62E2498D"/>
    <w:rsid w:val="64A0303B"/>
    <w:rsid w:val="66854E39"/>
    <w:rsid w:val="6743095E"/>
    <w:rsid w:val="67814AD5"/>
    <w:rsid w:val="683E1633"/>
    <w:rsid w:val="68414006"/>
    <w:rsid w:val="69736E66"/>
    <w:rsid w:val="6AB36E22"/>
    <w:rsid w:val="6B777044"/>
    <w:rsid w:val="6C9F0F87"/>
    <w:rsid w:val="6D2C6360"/>
    <w:rsid w:val="6D4F2FD0"/>
    <w:rsid w:val="6DAE41D1"/>
    <w:rsid w:val="6FA27465"/>
    <w:rsid w:val="70641E93"/>
    <w:rsid w:val="71AC12FE"/>
    <w:rsid w:val="742E39AA"/>
    <w:rsid w:val="75E15FAD"/>
    <w:rsid w:val="78895A6A"/>
    <w:rsid w:val="7A515AEB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2442</Characters>
  <Lines>0</Lines>
  <Paragraphs>0</Paragraphs>
  <TotalTime>19</TotalTime>
  <ScaleCrop>false</ScaleCrop>
  <LinksUpToDate>false</LinksUpToDate>
  <CharactersWithSpaces>2634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admin</cp:lastModifiedBy>
  <cp:lastPrinted>2022-11-28T03:50:00Z</cp:lastPrinted>
  <dcterms:modified xsi:type="dcterms:W3CDTF">2023-09-22T07:12:35Z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3C625B159B5C4306BF4B93EC2B8491C9_13</vt:lpwstr>
  </property>
</Properties>
</file>