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jc w:val="center"/>
        <w:rPr>
          <w:rFonts w:hint="eastAsia" w:eastAsia="宋体"/>
          <w:color w:val="auto"/>
          <w:highlight w:val="none"/>
          <w:lang w:eastAsia="zh-CN"/>
        </w:rPr>
      </w:pPr>
      <w:r>
        <w:rPr>
          <w:rFonts w:hint="eastAsia" w:ascii="宋体" w:hAnsi="宋体" w:eastAsia="宋体" w:cs="宋体"/>
          <w:b/>
          <w:color w:val="auto"/>
          <w:sz w:val="44"/>
          <w:szCs w:val="44"/>
          <w:highlight w:val="none"/>
          <w:lang w:eastAsia="zh-CN"/>
        </w:rPr>
        <w:t>湿地景区南门区域（渔政大楼）变压器增容项目施工（第二次）</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hint="eastAsia" w:ascii="宋体" w:hAnsi="宋体" w:eastAsia="宋体" w:cs="宋体"/>
          <w:color w:val="auto"/>
          <w:sz w:val="32"/>
          <w:szCs w:val="32"/>
          <w:highlight w:val="none"/>
          <w:lang w:val="en-US" w:eastAsia="zh-CN"/>
        </w:rPr>
      </w:pP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期：2023年</w:t>
      </w:r>
      <w:r>
        <w:rPr>
          <w:rFonts w:hint="eastAsia" w:ascii="宋体" w:hAnsi="宋体" w:eastAsia="宋体" w:cs="宋体"/>
          <w:b/>
          <w:color w:val="auto"/>
          <w:sz w:val="32"/>
          <w:szCs w:val="32"/>
          <w:highlight w:val="none"/>
          <w:lang w:val="en-US" w:eastAsia="zh-CN"/>
        </w:rPr>
        <w:t>10</w:t>
      </w:r>
      <w:r>
        <w:rPr>
          <w:rFonts w:hint="eastAsia" w:ascii="宋体" w:hAnsi="宋体" w:eastAsia="宋体" w:cs="宋体"/>
          <w:b/>
          <w:color w:val="auto"/>
          <w:sz w:val="32"/>
          <w:szCs w:val="32"/>
          <w:highlight w:val="none"/>
        </w:rPr>
        <w:t>月</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rPr>
              <w:color w:val="auto"/>
              <w:highlight w:val="none"/>
            </w:rPr>
          </w:pPr>
          <w:r>
            <w:rPr>
              <w:rFonts w:hint="eastAsia" w:asciiTheme="minorEastAsia" w:hAnsiTheme="minorEastAsia" w:cstheme="minorEastAsia"/>
              <w:color w:val="auto"/>
              <w:sz w:val="24"/>
              <w:highlight w:val="none"/>
            </w:rPr>
            <w:fldChar w:fldCharType="end"/>
          </w:r>
        </w:p>
      </w:sdtContent>
    </w:sdt>
    <w:p>
      <w:pPr>
        <w:pStyle w:val="14"/>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7"/>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湿地景区南门区域（渔政大楼）变压器增容项目施工</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广东省广州市南沙区</w:t>
            </w:r>
            <w:r>
              <w:rPr>
                <w:rFonts w:hint="eastAsia" w:ascii="宋体" w:hAnsi="宋体" w:eastAsia="宋体" w:cs="宋体"/>
                <w:color w:val="auto"/>
                <w:szCs w:val="21"/>
                <w:highlight w:val="none"/>
                <w:lang w:eastAsia="zh-CN"/>
              </w:rPr>
              <w:t>湿地公园景区</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Cs/>
                <w:color w:val="auto"/>
                <w:kern w:val="0"/>
                <w:sz w:val="21"/>
                <w:szCs w:val="21"/>
                <w:highlight w:val="none"/>
                <w:lang w:eastAsia="zh-CN"/>
              </w:rPr>
              <w:t>为保证</w:t>
            </w:r>
            <w:r>
              <w:rPr>
                <w:rFonts w:hint="eastAsia" w:ascii="宋体" w:hAnsi="宋体" w:eastAsia="宋体" w:cs="宋体"/>
                <w:bCs/>
                <w:color w:val="auto"/>
                <w:kern w:val="0"/>
                <w:sz w:val="21"/>
                <w:szCs w:val="21"/>
                <w:highlight w:val="none"/>
                <w:u w:val="none"/>
                <w:lang w:val="en-US" w:eastAsia="zh-CN"/>
              </w:rPr>
              <w:t>湿地景区南门区域（渔政大楼）的正常用电，拟将南沙十九涌现有315KVA变压器拆除，新建800KVA箱变。</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综合单价包干，工程量按实结算，</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color w:val="auto"/>
                <w:highlight w:val="none"/>
              </w:rPr>
              <w:t>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工程投资</w:t>
            </w:r>
            <w:r>
              <w:rPr>
                <w:rFonts w:hint="eastAsia" w:ascii="宋体" w:hAnsi="宋体" w:eastAsia="宋体" w:cs="宋体"/>
                <w:color w:val="auto"/>
                <w:highlight w:val="none"/>
              </w:rPr>
              <w:t>约</w:t>
            </w:r>
            <w:r>
              <w:rPr>
                <w:rFonts w:hint="eastAsia" w:ascii="宋体" w:hAnsi="宋体" w:eastAsia="宋体" w:cs="宋体"/>
                <w:color w:val="auto"/>
                <w:highlight w:val="none"/>
                <w:lang w:val="en-US" w:eastAsia="zh-CN"/>
              </w:rPr>
              <w:t>200</w:t>
            </w:r>
            <w:r>
              <w:rPr>
                <w:rFonts w:hint="eastAsia" w:ascii="宋体" w:hAnsi="宋体" w:eastAsia="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3"/>
              <w:widowControl/>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eastAsia="zh-CN"/>
              </w:rPr>
              <w:t>项目建设内容包括</w:t>
            </w:r>
            <w:r>
              <w:rPr>
                <w:rFonts w:hint="eastAsia" w:ascii="宋体" w:hAnsi="宋体" w:eastAsia="宋体" w:cs="宋体"/>
                <w:b w:val="0"/>
                <w:bCs/>
                <w:color w:val="auto"/>
                <w:sz w:val="21"/>
                <w:szCs w:val="21"/>
                <w:highlight w:val="none"/>
                <w:lang w:val="en-US" w:eastAsia="zh-CN"/>
              </w:rPr>
              <w:t>但不限于：</w:t>
            </w:r>
            <w:r>
              <w:rPr>
                <w:rFonts w:hint="eastAsia" w:ascii="宋体" w:hAnsi="宋体" w:eastAsia="宋体" w:cs="宋体"/>
                <w:b w:val="0"/>
                <w:bCs/>
                <w:color w:val="auto"/>
                <w:sz w:val="21"/>
                <w:szCs w:val="21"/>
                <w:highlight w:val="none"/>
                <w:lang w:eastAsia="zh-CN"/>
              </w:rPr>
              <w:t>建造</w:t>
            </w:r>
            <w:r>
              <w:rPr>
                <w:rFonts w:hint="eastAsia" w:ascii="宋体" w:hAnsi="宋体" w:eastAsia="宋体" w:cs="宋体"/>
                <w:b w:val="0"/>
                <w:bCs/>
                <w:color w:val="auto"/>
                <w:sz w:val="21"/>
                <w:szCs w:val="21"/>
                <w:highlight w:val="none"/>
                <w:lang w:val="en-US" w:eastAsia="zh-CN"/>
              </w:rPr>
              <w:t>箱变基础、电缆沟，安装箱变、户外高压断路器，铺设高低压电缆，协助申报停送电计划、报装等，最终以实际工程量清单和图纸为准。</w:t>
            </w:r>
            <w:r>
              <w:rPr>
                <w:rFonts w:hint="eastAsia" w:ascii="宋体" w:hAnsi="宋体" w:eastAsia="宋体" w:cs="宋体"/>
                <w:color w:val="auto"/>
                <w:szCs w:val="21"/>
                <w:highlight w:val="none"/>
              </w:rPr>
              <w:t>投标人需按招标文件、图纸规范等要求进行施工，如设计图纸有调整时，必须服从要求调整。</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节点</w:t>
            </w:r>
            <w:r>
              <w:rPr>
                <w:rFonts w:hint="eastAsia" w:ascii="宋体" w:hAnsi="宋体" w:eastAsia="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line="360" w:lineRule="auto"/>
              <w:ind w:firstLine="0" w:firstLineChars="0"/>
              <w:jc w:val="left"/>
              <w:rPr>
                <w:rFonts w:hint="eastAsia" w:ascii="宋体" w:hAnsi="宋体" w:eastAsia="宋体" w:cs="宋体"/>
                <w:color w:val="auto"/>
                <w:szCs w:val="21"/>
                <w:highlight w:val="none"/>
                <w:lang w:val="en-US" w:eastAsia="zh-CN"/>
              </w:rPr>
            </w:pPr>
            <w:r>
              <w:rPr>
                <w:rFonts w:hint="eastAsia" w:ascii="宋体" w:hAnsi="宋体" w:eastAsia="宋体" w:cs="宋体"/>
                <w:b w:val="0"/>
                <w:bCs/>
                <w:color w:val="auto"/>
                <w:sz w:val="21"/>
                <w:szCs w:val="21"/>
                <w:highlight w:val="none"/>
                <w:lang w:val="en-US" w:eastAsia="zh-CN"/>
              </w:rPr>
              <w:t>2023年12月10日前完工，2023年12月30日前验收合格送电</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 w:val="0"/>
                <w:bCs/>
                <w:color w:val="auto"/>
                <w:sz w:val="21"/>
                <w:szCs w:val="21"/>
                <w:highlight w:val="none"/>
              </w:rPr>
              <w:t>投标人具有</w:t>
            </w:r>
            <w:r>
              <w:rPr>
                <w:rFonts w:hint="eastAsia" w:ascii="宋体" w:hAnsi="宋体" w:eastAsia="宋体" w:cs="宋体"/>
                <w:bCs/>
                <w:color w:val="auto"/>
                <w:sz w:val="21"/>
                <w:szCs w:val="21"/>
                <w:highlight w:val="none"/>
                <w:u w:val="none"/>
                <w:lang w:val="en-US" w:eastAsia="zh-CN"/>
              </w:rPr>
              <w:t>电力</w:t>
            </w:r>
            <w:r>
              <w:rPr>
                <w:rFonts w:hint="eastAsia" w:ascii="宋体" w:hAnsi="宋体" w:eastAsia="宋体" w:cs="宋体"/>
                <w:bCs/>
                <w:color w:val="auto"/>
                <w:sz w:val="21"/>
                <w:szCs w:val="21"/>
                <w:highlight w:val="none"/>
                <w:u w:val="none"/>
              </w:rPr>
              <w:t>工程</w:t>
            </w:r>
            <w:r>
              <w:rPr>
                <w:rFonts w:hint="eastAsia" w:ascii="宋体" w:hAnsi="宋体" w:eastAsia="宋体" w:cs="宋体"/>
                <w:bCs/>
                <w:color w:val="auto"/>
                <w:sz w:val="21"/>
                <w:szCs w:val="21"/>
                <w:highlight w:val="none"/>
                <w:u w:val="none"/>
                <w:lang w:val="en-US" w:eastAsia="zh-CN"/>
              </w:rPr>
              <w:t>施工总</w:t>
            </w:r>
            <w:r>
              <w:rPr>
                <w:rFonts w:hint="eastAsia" w:ascii="宋体" w:hAnsi="宋体" w:eastAsia="宋体" w:cs="宋体"/>
                <w:bCs/>
                <w:color w:val="auto"/>
                <w:sz w:val="21"/>
                <w:szCs w:val="21"/>
                <w:highlight w:val="none"/>
                <w:u w:val="none"/>
              </w:rPr>
              <w:t>承包</w:t>
            </w:r>
            <w:r>
              <w:rPr>
                <w:rFonts w:hint="eastAsia" w:ascii="宋体" w:hAnsi="宋体" w:eastAsia="宋体" w:cs="宋体"/>
                <w:bCs/>
                <w:color w:val="auto"/>
                <w:sz w:val="21"/>
                <w:szCs w:val="21"/>
                <w:highlight w:val="none"/>
                <w:u w:val="none"/>
                <w:lang w:val="en-US" w:eastAsia="zh-CN"/>
              </w:rPr>
              <w:t>三</w:t>
            </w:r>
            <w:r>
              <w:rPr>
                <w:rFonts w:hint="eastAsia" w:ascii="宋体" w:hAnsi="宋体" w:eastAsia="宋体" w:cs="宋体"/>
                <w:bCs/>
                <w:color w:val="auto"/>
                <w:sz w:val="21"/>
                <w:szCs w:val="21"/>
                <w:highlight w:val="none"/>
                <w:u w:val="none"/>
              </w:rPr>
              <w:t>级或以上资质（</w:t>
            </w:r>
            <w:r>
              <w:rPr>
                <w:rFonts w:hint="eastAsia" w:ascii="宋体" w:hAnsi="宋体" w:eastAsia="宋体" w:cs="宋体"/>
                <w:bCs/>
                <w:color w:val="auto"/>
                <w:sz w:val="21"/>
                <w:szCs w:val="21"/>
                <w:highlight w:val="none"/>
                <w:u w:val="none"/>
                <w:lang w:val="en-US" w:eastAsia="zh-CN"/>
              </w:rPr>
              <w:t>或输变电工程专业承包三级或以上资质</w:t>
            </w:r>
            <w:r>
              <w:rPr>
                <w:rFonts w:hint="eastAsia" w:ascii="宋体" w:hAnsi="宋体" w:eastAsia="宋体" w:cs="宋体"/>
                <w:bCs/>
                <w:color w:val="auto"/>
                <w:sz w:val="21"/>
                <w:szCs w:val="21"/>
                <w:highlight w:val="none"/>
                <w:u w:val="none"/>
              </w:rPr>
              <w:t>）</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具有</w:t>
            </w:r>
            <w:r>
              <w:rPr>
                <w:rFonts w:hint="eastAsia" w:ascii="宋体" w:hAnsi="宋体" w:eastAsia="宋体" w:cs="宋体"/>
                <w:bCs/>
                <w:color w:val="auto"/>
                <w:sz w:val="21"/>
                <w:szCs w:val="21"/>
                <w:highlight w:val="none"/>
                <w:u w:val="none"/>
              </w:rPr>
              <w:t>《承装（修、试）电力设施许可证》承装类五级或以上资质并</w:t>
            </w:r>
            <w:r>
              <w:rPr>
                <w:rFonts w:hint="eastAsia" w:ascii="宋体" w:hAnsi="宋体" w:eastAsia="宋体" w:cs="宋体"/>
                <w:bCs/>
                <w:color w:val="auto"/>
                <w:sz w:val="21"/>
                <w:szCs w:val="21"/>
                <w:highlight w:val="none"/>
                <w:u w:val="none"/>
                <w:lang w:val="en-US" w:eastAsia="zh-CN"/>
              </w:rPr>
              <w:t>持</w:t>
            </w:r>
            <w:r>
              <w:rPr>
                <w:rFonts w:hint="eastAsia" w:ascii="宋体" w:hAnsi="宋体" w:eastAsia="宋体" w:cs="宋体"/>
                <w:bCs/>
                <w:color w:val="auto"/>
                <w:sz w:val="21"/>
                <w:szCs w:val="21"/>
                <w:highlight w:val="none"/>
                <w:u w:val="none"/>
              </w:rPr>
              <w:t>有建设行政主管部门颁发的安全生产许可证</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rPr>
                <w:rFonts w:hint="eastAsia" w:ascii="宋体" w:hAnsi="宋体" w:eastAsia="宋体" w:cs="宋体"/>
                <w:color w:val="auto"/>
                <w:highlight w:val="none"/>
              </w:rPr>
            </w:pPr>
            <w:r>
              <w:rPr>
                <w:rFonts w:ascii="宋体" w:hAnsi="宋体" w:eastAsia="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widowControl/>
              <w:spacing w:after="0" w:line="360" w:lineRule="auto"/>
              <w:ind w:firstLine="0"/>
              <w:jc w:val="center"/>
              <w:rPr>
                <w:rFonts w:hint="eastAsia" w:ascii="宋体" w:hAnsi="宋体" w:eastAsia="宋体" w:cs="宋体"/>
                <w:color w:val="auto"/>
                <w:highlight w:val="none"/>
              </w:rPr>
            </w:pP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Next w:val="0"/>
              <w:keepLines w:val="0"/>
              <w:pageBreakBefore w:val="0"/>
              <w:widowControl/>
              <w:numPr>
                <w:ilvl w:val="-1"/>
                <w:numId w:val="0"/>
              </w:numPr>
              <w:kinsoku/>
              <w:wordWrap/>
              <w:overflowPunct/>
              <w:bidi w:val="0"/>
              <w:spacing w:line="360" w:lineRule="auto"/>
              <w:ind w:left="0" w:right="0" w:firstLine="0" w:firstLineChars="0"/>
              <w:textAlignment w:val="auto"/>
              <w:rPr>
                <w:rFonts w:hint="eastAsia" w:ascii="宋体" w:hAnsi="宋体" w:eastAsia="宋体" w:cs="宋体"/>
                <w:b w:val="0"/>
                <w:bCs/>
                <w:color w:val="auto"/>
                <w:sz w:val="21"/>
                <w:szCs w:val="21"/>
                <w:highlight w:val="none"/>
                <w:u w:val="none"/>
              </w:rPr>
            </w:pPr>
            <w:r>
              <w:rPr>
                <w:rFonts w:hint="eastAsia" w:ascii="宋体" w:hAnsi="宋体" w:eastAsia="宋体" w:cs="宋体"/>
                <w:b w:val="0"/>
                <w:bCs/>
                <w:color w:val="auto"/>
                <w:sz w:val="21"/>
                <w:szCs w:val="21"/>
                <w:highlight w:val="none"/>
                <w:u w:val="none"/>
                <w:lang w:val="en-US" w:eastAsia="zh-CN"/>
              </w:rPr>
              <w:t>1、</w:t>
            </w:r>
            <w:r>
              <w:rPr>
                <w:rFonts w:hint="eastAsia" w:ascii="宋体" w:hAnsi="宋体" w:eastAsia="宋体" w:cs="宋体"/>
                <w:b w:val="0"/>
                <w:bCs/>
                <w:color w:val="auto"/>
                <w:sz w:val="21"/>
                <w:szCs w:val="21"/>
                <w:highlight w:val="none"/>
                <w:u w:val="none"/>
              </w:rPr>
              <w:t>投标人拟担任本工程项目负责人的人员为：</w:t>
            </w:r>
            <w:r>
              <w:rPr>
                <w:rFonts w:hint="eastAsia" w:ascii="宋体" w:hAnsi="宋体" w:eastAsia="宋体" w:cs="宋体"/>
                <w:bCs/>
                <w:color w:val="auto"/>
                <w:sz w:val="21"/>
                <w:szCs w:val="21"/>
                <w:highlight w:val="none"/>
                <w:u w:val="none"/>
              </w:rPr>
              <w:t>机电工程专业二级（或以上）注册建造师，且在投标人单位注册</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rPr>
              <w:t>且持有在有效期内的项目负责人安全生产考核合格证（B类）或建筑施工企业项目负责人安全生产考核合格证书</w:t>
            </w:r>
            <w:r>
              <w:rPr>
                <w:rFonts w:hint="eastAsia" w:ascii="宋体" w:hAnsi="宋体" w:eastAsia="宋体" w:cs="宋体"/>
                <w:b w:val="0"/>
                <w:bCs/>
                <w:color w:val="auto"/>
                <w:sz w:val="21"/>
                <w:szCs w:val="21"/>
                <w:highlight w:val="none"/>
                <w:u w:val="none"/>
              </w:rPr>
              <w:t>。</w:t>
            </w:r>
          </w:p>
          <w:p>
            <w:pPr>
              <w:widowControl/>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b w:val="0"/>
                <w:bCs/>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招标控制价为</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val="0"/>
                <w:sz w:val="21"/>
                <w:szCs w:val="21"/>
                <w:lang w:val="en-US" w:eastAsia="zh-CN"/>
              </w:rPr>
              <w:t>1670630.96</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，其中：</w:t>
            </w:r>
          </w:p>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eastAsia="zh-CN"/>
              </w:rPr>
              <w:t>绿色施工安全防护措施费</w:t>
            </w:r>
            <w:r>
              <w:rPr>
                <w:rFonts w:hint="eastAsia" w:ascii="宋体" w:hAnsi="宋体" w:eastAsia="宋体" w:cs="宋体"/>
                <w:b w:val="0"/>
                <w:bCs/>
                <w:color w:val="auto"/>
                <w:sz w:val="21"/>
                <w:szCs w:val="21"/>
                <w:highlight w:val="none"/>
                <w:lang w:val="en-US" w:eastAsia="zh-CN"/>
              </w:rPr>
              <w:t>为¥52387.67</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固定值</w:t>
            </w:r>
            <w:r>
              <w:rPr>
                <w:rFonts w:hint="eastAsia" w:ascii="宋体" w:hAnsi="宋体" w:eastAsia="宋体" w:cs="宋体"/>
                <w:b w:val="0"/>
                <w:bCs/>
                <w:color w:val="auto"/>
                <w:sz w:val="21"/>
                <w:szCs w:val="21"/>
                <w:highlight w:val="none"/>
                <w:lang w:eastAsia="zh-CN"/>
              </w:rPr>
              <w:t>）；</w:t>
            </w:r>
          </w:p>
          <w:p>
            <w:pPr>
              <w:pStyle w:val="2"/>
              <w:keepNext w:val="0"/>
              <w:keepLines w:val="0"/>
              <w:pageBreakBefore w:val="0"/>
              <w:widowControl/>
              <w:kinsoku/>
              <w:wordWrap/>
              <w:overflowPunct/>
              <w:bidi w:val="0"/>
              <w:spacing w:line="360" w:lineRule="auto"/>
              <w:ind w:left="0" w:right="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暂估价</w:t>
            </w:r>
            <w:r>
              <w:rPr>
                <w:rFonts w:hint="eastAsia" w:ascii="宋体" w:hAnsi="宋体" w:eastAsia="宋体" w:cs="宋体"/>
                <w:b w:val="0"/>
                <w:bCs/>
                <w:color w:val="auto"/>
                <w:sz w:val="21"/>
                <w:szCs w:val="21"/>
                <w:highlight w:val="none"/>
                <w:lang w:val="en-US" w:eastAsia="zh-CN"/>
              </w:rPr>
              <w:t>¥40000.00元，内容为：计量用电能表、计量用电流互感器、计量用电压互感器、负荷管理终端、配变监测计量终端、表箱(不含统建小区用表箱) 、计量柜、统建小区表箱</w:t>
            </w:r>
            <w:r>
              <w:rPr>
                <w:rFonts w:hint="eastAsia" w:ascii="宋体" w:hAnsi="宋体" w:eastAsia="宋体" w:cs="宋体"/>
                <w:b w:val="0"/>
                <w:bCs/>
                <w:color w:val="auto"/>
                <w:sz w:val="21"/>
                <w:szCs w:val="21"/>
                <w:highlight w:val="none"/>
                <w:lang w:eastAsia="zh-CN"/>
              </w:rPr>
              <w:t>。</w:t>
            </w:r>
          </w:p>
          <w:p>
            <w:pPr>
              <w:pStyle w:val="2"/>
              <w:widowControl/>
              <w:spacing w:line="360" w:lineRule="auto"/>
              <w:ind w:firstLine="420" w:firstLineChars="200"/>
              <w:rPr>
                <w:rFonts w:hint="eastAsia" w:ascii="宋体" w:hAnsi="宋体" w:eastAsia="宋体" w:cs="宋体"/>
                <w:color w:val="auto"/>
                <w:highlight w:val="none"/>
              </w:rPr>
            </w:pPr>
            <w:r>
              <w:rPr>
                <w:rFonts w:ascii="宋体" w:hAnsi="宋体" w:eastAsia="宋体" w:cs="宋体"/>
                <w:color w:val="auto"/>
                <w:highlight w:val="none"/>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rPr>
            </w:pPr>
            <w:r>
              <w:rPr>
                <w:rFonts w:hint="eastAsia"/>
              </w:rPr>
              <w:t>1、金额：人民币壹万元。</w:t>
            </w:r>
          </w:p>
          <w:p>
            <w:pPr>
              <w:numPr>
                <w:ilvl w:val="-1"/>
                <w:numId w:val="0"/>
              </w:numPr>
              <w:adjustRightInd w:val="0"/>
              <w:snapToGrid w:val="0"/>
              <w:spacing w:line="360" w:lineRule="auto"/>
              <w:rPr>
                <w:rFonts w:hint="eastAsia"/>
              </w:rPr>
            </w:pPr>
            <w:r>
              <w:rPr>
                <w:rFonts w:hint="eastAsia"/>
              </w:rPr>
              <w:t>2、缴纳方式：银行转账。</w:t>
            </w:r>
          </w:p>
          <w:p>
            <w:pPr>
              <w:numPr>
                <w:ilvl w:val="-1"/>
                <w:numId w:val="0"/>
              </w:numPr>
              <w:adjustRightInd w:val="0"/>
              <w:snapToGrid w:val="0"/>
              <w:spacing w:line="360" w:lineRule="auto"/>
              <w:rPr>
                <w:rFonts w:hint="eastAsia"/>
              </w:rPr>
            </w:pPr>
            <w:r>
              <w:rPr>
                <w:rFonts w:hint="eastAsia"/>
                <w:lang w:val="en-US" w:eastAsia="zh-CN"/>
              </w:rPr>
              <w:t>3、</w:t>
            </w:r>
            <w:r>
              <w:rPr>
                <w:rFonts w:hint="eastAsia"/>
              </w:rPr>
              <w:t>账户名称：广州南沙建设维护管理有限公司</w:t>
            </w:r>
          </w:p>
          <w:p>
            <w:pPr>
              <w:numPr>
                <w:ilvl w:val="-1"/>
                <w:numId w:val="0"/>
              </w:numPr>
              <w:adjustRightInd w:val="0"/>
              <w:snapToGrid w:val="0"/>
              <w:spacing w:line="360" w:lineRule="auto"/>
              <w:rPr>
                <w:rFonts w:hint="eastAsia"/>
              </w:rPr>
            </w:pPr>
            <w:r>
              <w:rPr>
                <w:rFonts w:hint="eastAsia"/>
                <w:lang w:val="en-US" w:eastAsia="zh-CN"/>
              </w:rPr>
              <w:t>4、</w:t>
            </w:r>
            <w:r>
              <w:rPr>
                <w:rFonts w:hint="eastAsia"/>
              </w:rPr>
              <w:t xml:space="preserve">开户银行：中国工商银行广东自由贸易试验区南沙分行 </w:t>
            </w:r>
          </w:p>
          <w:p>
            <w:pPr>
              <w:numPr>
                <w:ilvl w:val="-1"/>
                <w:numId w:val="0"/>
              </w:numPr>
              <w:adjustRightInd w:val="0"/>
              <w:snapToGrid w:val="0"/>
              <w:spacing w:line="360" w:lineRule="auto"/>
              <w:rPr>
                <w:rFonts w:hint="eastAsia"/>
              </w:rPr>
            </w:pPr>
            <w:r>
              <w:rPr>
                <w:rFonts w:hint="eastAsia"/>
                <w:lang w:val="en-US" w:eastAsia="zh-CN"/>
              </w:rPr>
              <w:t>5、</w:t>
            </w:r>
            <w:r>
              <w:rPr>
                <w:rFonts w:hint="eastAsia"/>
              </w:rPr>
              <w:t>账号：3602056909200030855</w:t>
            </w:r>
          </w:p>
          <w:p>
            <w:pPr>
              <w:numPr>
                <w:ilvl w:val="-1"/>
                <w:numId w:val="0"/>
              </w:numPr>
              <w:adjustRightInd w:val="0"/>
              <w:snapToGrid w:val="0"/>
              <w:spacing w:line="360" w:lineRule="auto"/>
              <w:rPr>
                <w:rFonts w:hint="eastAsia"/>
              </w:rPr>
            </w:pPr>
            <w:r>
              <w:rPr>
                <w:rFonts w:hint="eastAsia"/>
                <w:lang w:val="en-US" w:eastAsia="zh-CN"/>
              </w:rPr>
              <w:t>6、</w:t>
            </w:r>
            <w:r>
              <w:rPr>
                <w:rFonts w:hint="eastAsia"/>
              </w:rPr>
              <w:t>缴纳时间：投标单位须在2023年</w:t>
            </w:r>
            <w:r>
              <w:rPr>
                <w:rFonts w:hint="eastAsia"/>
                <w:lang w:val="en-US" w:eastAsia="zh-CN"/>
              </w:rPr>
              <w:t>10</w:t>
            </w:r>
            <w:r>
              <w:rPr>
                <w:rFonts w:hint="eastAsia"/>
              </w:rPr>
              <w:t>月</w:t>
            </w:r>
            <w:r>
              <w:rPr>
                <w:rFonts w:hint="eastAsia"/>
                <w:lang w:val="en-US" w:eastAsia="zh-CN"/>
              </w:rPr>
              <w:t>18</w:t>
            </w:r>
            <w:r>
              <w:rPr>
                <w:rFonts w:hint="eastAsia"/>
              </w:rPr>
              <w:t>日（星期</w:t>
            </w:r>
            <w:r>
              <w:rPr>
                <w:rFonts w:hint="eastAsia"/>
                <w:lang w:eastAsia="zh-CN"/>
              </w:rPr>
              <w:t>三</w:t>
            </w:r>
            <w:r>
              <w:rPr>
                <w:rFonts w:hint="eastAsia"/>
              </w:rPr>
              <w:t>）17时00分前以投标人转出【汇款时</w:t>
            </w:r>
            <w:r>
              <w:rPr>
                <w:rFonts w:hint="eastAsia"/>
                <w:lang w:eastAsia="zh-CN"/>
              </w:rPr>
              <w:t>注明</w:t>
            </w:r>
            <w:r>
              <w:rPr>
                <w:rFonts w:hint="eastAsia"/>
              </w:rPr>
              <w:t>：</w:t>
            </w:r>
            <w:r>
              <w:rPr>
                <w:rFonts w:hint="eastAsia"/>
                <w:lang w:eastAsia="zh-CN"/>
              </w:rPr>
              <w:t>湿地景区南门区域（渔政大楼）变压器增容项目施工（第二次）</w:t>
            </w:r>
            <w:r>
              <w:rPr>
                <w:rFonts w:hint="eastAsia"/>
              </w:rPr>
              <w:t>投标保证金】</w:t>
            </w:r>
          </w:p>
          <w:p>
            <w:pPr>
              <w:pStyle w:val="2"/>
              <w:rPr>
                <w:rFonts w:hint="default" w:eastAsia="宋体"/>
                <w:lang w:val="en-US" w:eastAsia="zh-CN"/>
              </w:rPr>
            </w:pPr>
            <w:r>
              <w:rPr>
                <w:rFonts w:hint="eastAsia" w:hAnsi="宋体" w:cs="宋体"/>
                <w:color w:val="auto"/>
                <w:szCs w:val="21"/>
                <w:highlight w:val="none"/>
                <w:lang w:val="en-US" w:eastAsia="zh-CN"/>
              </w:rPr>
              <w:t>7、投标保证金在2023年11月初原路退回投标单位缴款账户。</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提交地点：广州市南沙区金融大厦1807会议室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投标时间：2023年</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时00分至2023年</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时30分前。</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开标时间：2023年</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地点：广州市南沙区金融大厦1807会议室</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11.9参与本项目的人员一览表及证明文件（按招标文件第3章格式填写）。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11.10项目负责人相关经验及业绩（按招标文件第3章格式填写）。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11.11报价表（含报价清单）。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w:t>
      </w:r>
      <w:r>
        <w:rPr>
          <w:rFonts w:hAnsi="宋体" w:cs="宋体"/>
          <w:color w:val="auto"/>
          <w:sz w:val="24"/>
          <w:highlight w:val="none"/>
        </w:rPr>
        <w:t>投标申请人声明</w:t>
      </w:r>
      <w:r>
        <w:rPr>
          <w:rFonts w:hint="eastAsia" w:ascii="宋体" w:hAnsi="宋体" w:eastAsia="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11.13 投标文件电子版（刻录光盘或提供U盘，需为公司盖章版本</w:t>
      </w:r>
      <w:r>
        <w:rPr>
          <w:rFonts w:hint="eastAsia" w:hAnsi="宋体" w:cs="宋体"/>
          <w:color w:val="auto"/>
          <w:sz w:val="24"/>
          <w:highlight w:val="none"/>
          <w:lang w:eastAsia="zh-CN"/>
        </w:rPr>
        <w:t>；</w:t>
      </w:r>
      <w:r>
        <w:rPr>
          <w:rFonts w:hint="eastAsia" w:ascii="宋体" w:hAnsi="宋体" w:eastAsia="宋体" w:cs="宋体"/>
          <w:color w:val="auto"/>
          <w:sz w:val="24"/>
          <w:highlight w:val="none"/>
        </w:rPr>
        <w:t>含报价清单</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pPr>
        <w:pStyle w:val="2"/>
        <w:ind w:firstLine="480" w:firstLineChars="200"/>
        <w:rPr>
          <w:rFonts w:hint="default" w:hAnsi="宋体" w:cs="宋体"/>
          <w:color w:val="auto"/>
          <w:sz w:val="24"/>
          <w:highlight w:val="none"/>
        </w:rPr>
      </w:pPr>
      <w:r>
        <w:rPr>
          <w:rFonts w:hAnsi="宋体" w:cs="宋体"/>
          <w:color w:val="auto"/>
          <w:sz w:val="24"/>
          <w:highlight w:val="none"/>
        </w:rPr>
        <w:t>11.14</w:t>
      </w:r>
      <w:r>
        <w:rPr>
          <w:rFonts w:hint="eastAsia" w:ascii="宋体" w:hAnsi="宋体" w:eastAsia="宋体" w:cs="宋体"/>
          <w:color w:val="auto"/>
          <w:sz w:val="24"/>
          <w:highlight w:val="none"/>
        </w:rPr>
        <w:t>技术标文件（独立成册）</w:t>
      </w:r>
      <w:r>
        <w:rPr>
          <w:rFonts w:hAnsi="宋体" w:cs="宋体"/>
          <w:color w:val="auto"/>
          <w:sz w:val="24"/>
          <w:highlight w:val="none"/>
        </w:rPr>
        <w:t>。</w:t>
      </w:r>
    </w:p>
    <w:p>
      <w:pPr>
        <w:pStyle w:val="2"/>
        <w:ind w:firstLine="480" w:firstLineChars="200"/>
        <w:rPr>
          <w:rFonts w:hint="eastAsia" w:hAnsi="宋体" w:eastAsia="宋体" w:cs="宋体"/>
          <w:color w:val="auto"/>
          <w:sz w:val="24"/>
          <w:highlight w:val="none"/>
          <w:lang w:val="en-US" w:eastAsia="zh-CN"/>
        </w:rPr>
      </w:pPr>
      <w:r>
        <w:rPr>
          <w:rFonts w:hAnsi="宋体" w:cs="宋体"/>
          <w:color w:val="auto"/>
          <w:sz w:val="24"/>
          <w:highlight w:val="none"/>
        </w:rPr>
        <w:t>11.15施工组织方案</w:t>
      </w:r>
      <w:r>
        <w:rPr>
          <w:rFonts w:hint="eastAsia" w:hAnsi="宋体" w:cs="宋体"/>
          <w:color w:val="auto"/>
          <w:sz w:val="24"/>
          <w:highlight w:val="none"/>
          <w:lang w:eastAsia="zh-CN"/>
        </w:rPr>
        <w:t>。</w:t>
      </w:r>
    </w:p>
    <w:p>
      <w:pPr>
        <w:pStyle w:val="2"/>
        <w:ind w:firstLine="480" w:firstLineChars="200"/>
        <w:rPr>
          <w:rFonts w:hint="default" w:hAnsi="宋体" w:cs="宋体"/>
          <w:color w:val="auto"/>
          <w:sz w:val="24"/>
          <w:highlight w:val="none"/>
        </w:rPr>
      </w:pPr>
      <w:r>
        <w:rPr>
          <w:rFonts w:hAnsi="宋体" w:cs="宋体"/>
          <w:color w:val="auto"/>
          <w:sz w:val="24"/>
          <w:highlight w:val="none"/>
        </w:rPr>
        <w:t>11.16投标人认为需要提供的其他文件。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4"/>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widowControl/>
        <w:numPr>
          <w:ilvl w:val="0"/>
          <w:numId w:val="2"/>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14"/>
        <w:widowControl/>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rPr>
          <w:color w:val="auto"/>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rPr>
          <w:rFonts w:ascii="宋体" w:hAnsi="宋体" w:eastAsia="宋体" w:cs="宋体"/>
          <w:b/>
          <w:color w:val="auto"/>
          <w:sz w:val="30"/>
          <w:szCs w:val="30"/>
          <w:highlight w:val="none"/>
        </w:rPr>
      </w:pPr>
    </w:p>
    <w:p>
      <w:pPr>
        <w:numPr>
          <w:ilvl w:val="0"/>
          <w:numId w:val="3"/>
        </w:numPr>
        <w:jc w:val="left"/>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项目概况</w:t>
      </w:r>
    </w:p>
    <w:p>
      <w:pPr>
        <w:ind w:firstLine="614" w:firstLineChars="192"/>
        <w:jc w:val="left"/>
        <w:rPr>
          <w:rFonts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kern w:val="0"/>
          <w:sz w:val="32"/>
          <w:szCs w:val="32"/>
          <w:highlight w:val="none"/>
          <w:lang w:eastAsia="zh-CN"/>
        </w:rPr>
        <w:t>为保证</w:t>
      </w:r>
      <w:r>
        <w:rPr>
          <w:rFonts w:hint="eastAsia" w:ascii="仿宋_GB2312" w:hAnsi="仿宋_GB2312" w:eastAsia="仿宋_GB2312" w:cs="仿宋_GB2312"/>
          <w:bCs/>
          <w:color w:val="auto"/>
          <w:kern w:val="0"/>
          <w:sz w:val="32"/>
          <w:szCs w:val="32"/>
          <w:highlight w:val="none"/>
          <w:u w:val="none"/>
          <w:lang w:val="en-US" w:eastAsia="zh-CN"/>
        </w:rPr>
        <w:t>湿地景区南门区域（渔政大楼）的正常用电，拟将南沙十九涌现有315KVA变压器增容至800KVA</w:t>
      </w:r>
      <w:r>
        <w:rPr>
          <w:rFonts w:hint="eastAsia" w:ascii="仿宋_GB2312" w:hAnsi="仿宋_GB2312" w:eastAsia="仿宋_GB2312" w:cs="仿宋_GB2312"/>
          <w:bCs/>
          <w:color w:val="auto"/>
          <w:kern w:val="0"/>
          <w:sz w:val="32"/>
          <w:szCs w:val="32"/>
          <w:highlight w:val="none"/>
          <w:lang w:val="en-US" w:eastAsia="zh-CN"/>
        </w:rPr>
        <w:t>。</w:t>
      </w:r>
      <w:r>
        <w:rPr>
          <w:rFonts w:hint="eastAsia" w:ascii="仿宋_GB2312" w:hAnsi="仿宋_GB2312" w:eastAsia="仿宋_GB2312" w:cs="仿宋_GB2312"/>
          <w:b w:val="0"/>
          <w:bCs/>
          <w:color w:val="auto"/>
          <w:sz w:val="32"/>
          <w:szCs w:val="32"/>
          <w:highlight w:val="none"/>
          <w:lang w:eastAsia="zh-CN"/>
        </w:rPr>
        <w:t>项目总投资约</w:t>
      </w:r>
      <w:r>
        <w:rPr>
          <w:rFonts w:hint="eastAsia" w:ascii="仿宋_GB2312" w:hAnsi="仿宋_GB2312" w:eastAsia="仿宋_GB2312" w:cs="仿宋_GB2312"/>
          <w:b w:val="0"/>
          <w:bCs/>
          <w:color w:val="auto"/>
          <w:sz w:val="32"/>
          <w:szCs w:val="32"/>
          <w:highlight w:val="none"/>
          <w:lang w:val="en-US" w:eastAsia="zh-CN"/>
        </w:rPr>
        <w:t>200万元</w:t>
      </w:r>
      <w:r>
        <w:rPr>
          <w:rFonts w:hint="eastAsia" w:ascii="仿宋_GB2312" w:hAnsi="仿宋_GB2312" w:eastAsia="仿宋_GB2312" w:cs="仿宋_GB2312"/>
          <w:color w:val="auto"/>
          <w:sz w:val="32"/>
          <w:szCs w:val="32"/>
          <w:highlight w:val="none"/>
        </w:rPr>
        <w:t>。</w:t>
      </w:r>
    </w:p>
    <w:p>
      <w:pPr>
        <w:ind w:firstLine="643" w:firstLineChars="200"/>
        <w:rPr>
          <w:rFonts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rPr>
        <w:t>二、招标范围</w:t>
      </w:r>
    </w:p>
    <w:p>
      <w:pPr>
        <w:pStyle w:val="23"/>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项目建设内容包括</w:t>
      </w:r>
      <w:r>
        <w:rPr>
          <w:rFonts w:hint="eastAsia" w:ascii="仿宋_GB2312" w:hAnsi="仿宋_GB2312" w:eastAsia="仿宋_GB2312" w:cs="仿宋_GB2312"/>
          <w:b w:val="0"/>
          <w:bCs/>
          <w:color w:val="auto"/>
          <w:sz w:val="32"/>
          <w:szCs w:val="32"/>
          <w:highlight w:val="none"/>
          <w:lang w:val="en-US" w:eastAsia="zh-CN"/>
        </w:rPr>
        <w:t>但不限于：</w:t>
      </w:r>
      <w:r>
        <w:rPr>
          <w:rFonts w:hint="eastAsia" w:ascii="仿宋_GB2312" w:hAnsi="仿宋_GB2312" w:eastAsia="仿宋_GB2312" w:cs="仿宋_GB2312"/>
          <w:b w:val="0"/>
          <w:bCs/>
          <w:color w:val="auto"/>
          <w:sz w:val="32"/>
          <w:szCs w:val="32"/>
          <w:highlight w:val="none"/>
          <w:lang w:eastAsia="zh-CN"/>
        </w:rPr>
        <w:t>建造综合配电房、</w:t>
      </w:r>
      <w:r>
        <w:rPr>
          <w:rFonts w:hint="eastAsia" w:ascii="仿宋_GB2312" w:hAnsi="仿宋_GB2312" w:eastAsia="仿宋_GB2312" w:cs="仿宋_GB2312"/>
          <w:b w:val="0"/>
          <w:bCs/>
          <w:color w:val="auto"/>
          <w:sz w:val="32"/>
          <w:szCs w:val="32"/>
          <w:highlight w:val="none"/>
          <w:lang w:val="en-US" w:eastAsia="zh-CN"/>
        </w:rPr>
        <w:t>缆沟，安装调试变压器、高低压电柜、线缆，铺设低压出线电缆，协助申报停送电计划、报装等，最终以实际工程量清单和图纸为准</w:t>
      </w:r>
      <w:r>
        <w:rPr>
          <w:rFonts w:hint="eastAsia" w:ascii="仿宋_GB2312" w:hAnsi="仿宋_GB2312" w:eastAsia="仿宋_GB2312" w:cs="仿宋_GB2312"/>
          <w:color w:val="auto"/>
          <w:sz w:val="32"/>
          <w:szCs w:val="32"/>
          <w:highlight w:val="none"/>
        </w:rPr>
        <w:t>。</w:t>
      </w:r>
    </w:p>
    <w:p>
      <w:pPr>
        <w:pStyle w:val="23"/>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投标人需按招标文件、图纸规范等要求进行施工，如设计图纸有调整时，必须服从要求调整</w:t>
      </w:r>
      <w:r>
        <w:rPr>
          <w:rFonts w:hint="eastAsia" w:ascii="仿宋_GB2312" w:hAnsi="仿宋_GB2312" w:eastAsia="仿宋_GB2312" w:cs="仿宋_GB2312"/>
          <w:color w:val="auto"/>
          <w:sz w:val="32"/>
          <w:szCs w:val="32"/>
          <w:highlight w:val="none"/>
        </w:rPr>
        <w:t>。</w:t>
      </w:r>
    </w:p>
    <w:p>
      <w:pPr>
        <w:ind w:firstLine="480" w:firstLineChars="200"/>
        <w:rPr>
          <w:rFonts w:asciiTheme="minorEastAsia" w:hAnsiTheme="minorEastAsia" w:cstheme="minorEastAsia"/>
          <w:color w:val="auto"/>
          <w:kern w:val="0"/>
          <w:sz w:val="24"/>
          <w:highlight w:val="none"/>
        </w:rPr>
      </w:pPr>
    </w:p>
    <w:p>
      <w:pP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湿地景区南门区域（渔政大楼）变压器增容项目施工</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湿地景区南门区域（渔政大楼）变压器增容项目施工</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90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9"/>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560" w:lineRule="exact"/>
        <w:jc w:val="lef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湿地景区南门区域（渔政大楼）变压器增容项目施工</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822703"/>
      <w:bookmarkEnd w:id="11"/>
      <w:bookmarkStart w:id="12" w:name="_Toc197235848"/>
      <w:bookmarkEnd w:id="12"/>
      <w:bookmarkStart w:id="13" w:name="_Toc415728297"/>
      <w:bookmarkEnd w:id="13"/>
      <w:bookmarkStart w:id="14" w:name="_Toc196036941"/>
      <w:bookmarkEnd w:id="14"/>
      <w:bookmarkStart w:id="15" w:name="_Toc459403394"/>
      <w:bookmarkEnd w:id="15"/>
      <w:bookmarkStart w:id="16" w:name="_Toc199647675"/>
      <w:bookmarkEnd w:id="16"/>
      <w:bookmarkStart w:id="17" w:name="_Toc415833503"/>
      <w:bookmarkEnd w:id="17"/>
      <w:bookmarkStart w:id="18" w:name="_Toc196037097"/>
      <w:bookmarkEnd w:id="18"/>
      <w:bookmarkStart w:id="19" w:name="_Toc196130013"/>
      <w:bookmarkEnd w:id="19"/>
      <w:bookmarkStart w:id="20" w:name="_Toc196130110"/>
      <w:bookmarkEnd w:id="20"/>
      <w:bookmarkStart w:id="21" w:name="_Toc326909213"/>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7"/>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326909214"/>
      <w:bookmarkEnd w:id="24"/>
      <w:bookmarkStart w:id="25" w:name="_Toc415833504"/>
      <w:bookmarkEnd w:id="25"/>
      <w:bookmarkStart w:id="26" w:name="_Toc199647676"/>
      <w:bookmarkEnd w:id="26"/>
      <w:bookmarkStart w:id="27" w:name="_Toc196130014"/>
      <w:bookmarkEnd w:id="27"/>
      <w:bookmarkStart w:id="28" w:name="_Toc197235849"/>
      <w:bookmarkEnd w:id="28"/>
      <w:bookmarkStart w:id="29" w:name="_Toc196036942"/>
      <w:bookmarkEnd w:id="29"/>
      <w:bookmarkStart w:id="30" w:name="_Toc196130111"/>
      <w:bookmarkEnd w:id="30"/>
      <w:bookmarkStart w:id="31" w:name="_Toc196037098"/>
      <w:bookmarkEnd w:id="31"/>
      <w:bookmarkStart w:id="32" w:name="_Toc415728298"/>
      <w:bookmarkEnd w:id="32"/>
      <w:bookmarkStart w:id="33" w:name="_Toc459403395"/>
      <w:bookmarkEnd w:id="33"/>
      <w:bookmarkStart w:id="34" w:name="_Toc462911099"/>
    </w:p>
    <w:bookmarkEnd w:id="34"/>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拟在本项目任职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2、项目负责人必须附执业证书及资格证书、身份证、职称证书及业绩等证明材料（复印件，加盖单位公章）。</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9"/>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7"/>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lang w:eastAsia="zh-CN"/>
              </w:rPr>
              <w:t>湿地景区南门区域（渔政大楼）变压器增容项目施工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hint="eastAsia" w:ascii="宋体" w:hAnsi="宋体" w:cs="宋体" w:eastAsiaTheme="minorEastAsia"/>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绿色施工安全防护措施费</w:t>
            </w:r>
            <w:r>
              <w:rPr>
                <w:rFonts w:hint="eastAsia" w:ascii="宋体" w:hAnsi="宋体" w:cs="宋体"/>
                <w:bCs/>
                <w:color w:val="auto"/>
                <w:szCs w:val="21"/>
                <w:highlight w:val="none"/>
              </w:rPr>
              <w:t>为</w:t>
            </w:r>
            <w:r>
              <w:rPr>
                <w:rFonts w:hint="eastAsia" w:ascii="宋体" w:hAnsi="宋体" w:cs="宋体" w:eastAsiaTheme="minorEastAsia"/>
                <w:b w:val="0"/>
                <w:bCs/>
                <w:color w:val="auto"/>
                <w:sz w:val="21"/>
                <w:szCs w:val="21"/>
                <w:highlight w:val="none"/>
                <w:lang w:val="en-US" w:eastAsia="zh-CN"/>
              </w:rPr>
              <w:t>52387.67</w:t>
            </w:r>
            <w:r>
              <w:rPr>
                <w:rFonts w:hint="eastAsia" w:ascii="宋体" w:hAnsi="宋体" w:cs="宋体"/>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其中：</w:t>
            </w:r>
            <w:r>
              <w:rPr>
                <w:rFonts w:hint="eastAsia" w:ascii="宋体" w:hAnsi="宋体" w:cs="宋体"/>
                <w:b w:val="0"/>
                <w:bCs/>
                <w:color w:val="auto"/>
                <w:sz w:val="21"/>
                <w:szCs w:val="21"/>
                <w:highlight w:val="none"/>
                <w:lang w:eastAsia="zh-CN"/>
              </w:rPr>
              <w:t>暂估价</w:t>
            </w:r>
            <w:r>
              <w:rPr>
                <w:rFonts w:hint="eastAsia" w:ascii="宋体" w:hAnsi="宋体" w:cs="宋体"/>
                <w:bCs/>
                <w:color w:val="auto"/>
                <w:szCs w:val="21"/>
                <w:highlight w:val="none"/>
              </w:rPr>
              <w:t>为</w:t>
            </w:r>
            <w:r>
              <w:rPr>
                <w:rFonts w:hint="eastAsia" w:ascii="宋体" w:hAnsi="宋体" w:cs="宋体" w:eastAsiaTheme="minorEastAsia"/>
                <w:b w:val="0"/>
                <w:bCs/>
                <w:color w:val="auto"/>
                <w:sz w:val="21"/>
                <w:szCs w:val="21"/>
                <w:highlight w:val="none"/>
                <w:lang w:val="en-US" w:eastAsia="zh-CN"/>
              </w:rPr>
              <w:t>40000.00</w:t>
            </w:r>
            <w:r>
              <w:rPr>
                <w:rFonts w:hint="eastAsia" w:ascii="宋体" w:hAnsi="宋体" w:cs="宋体"/>
                <w:bCs/>
                <w:color w:val="auto"/>
                <w:szCs w:val="21"/>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210" w:firstLineChars="100"/>
        <w:rPr>
          <w:rFonts w:hint="default" w:hAnsi="宋体" w:cs="宋体"/>
          <w:bCs/>
          <w:color w:val="auto"/>
          <w:highlight w:val="none"/>
        </w:rPr>
      </w:pPr>
      <w:r>
        <w:rPr>
          <w:rFonts w:hAnsi="宋体" w:cs="宋体"/>
          <w:bCs/>
          <w:color w:val="auto"/>
          <w:highlight w:val="none"/>
        </w:rPr>
        <w:t>（2）投标单位自行报价，投标总报价不能超过招标控制价，否则按废标处理。小数点后保留二位小数，第三位小数四舍五入。</w:t>
      </w: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2"/>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pPr>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6"/>
        <w:widowControl/>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附件4 图纸（另附）</w:t>
      </w:r>
    </w:p>
    <w:p>
      <w:pPr>
        <w:pStyle w:val="26"/>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附件5 工程量清单（另附）</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7"/>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8"/>
        <w:tblW w:w="1255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724"/>
        <w:gridCol w:w="529"/>
        <w:gridCol w:w="807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Align w:val="center"/>
          </w:tcPr>
          <w:p>
            <w:pPr>
              <w:spacing w:line="360" w:lineRule="exact"/>
              <w:jc w:val="center"/>
              <w:rPr>
                <w:rFonts w:ascii="宋体" w:hAnsi="宋体"/>
                <w:b/>
                <w:sz w:val="28"/>
                <w:szCs w:val="28"/>
                <w:highlight w:val="none"/>
                <w:vertAlign w:val="baseline"/>
              </w:rPr>
            </w:pPr>
            <w:r>
              <w:rPr>
                <w:rFonts w:hint="eastAsia"/>
                <w:szCs w:val="21"/>
                <w:highlight w:val="none"/>
              </w:rPr>
              <w:t>评分项目</w:t>
            </w:r>
          </w:p>
        </w:tc>
        <w:tc>
          <w:tcPr>
            <w:tcW w:w="0" w:type="auto"/>
            <w:vAlign w:val="center"/>
          </w:tcPr>
          <w:p>
            <w:pPr>
              <w:spacing w:line="360" w:lineRule="exact"/>
              <w:jc w:val="center"/>
              <w:rPr>
                <w:rFonts w:ascii="宋体" w:hAnsi="宋体"/>
                <w:b/>
                <w:sz w:val="28"/>
                <w:szCs w:val="28"/>
                <w:highlight w:val="none"/>
                <w:vertAlign w:val="baseline"/>
              </w:rPr>
            </w:pPr>
            <w:r>
              <w:rPr>
                <w:rFonts w:hint="eastAsia"/>
                <w:szCs w:val="21"/>
                <w:highlight w:val="none"/>
              </w:rPr>
              <w:t>评分内容</w:t>
            </w:r>
          </w:p>
        </w:tc>
        <w:tc>
          <w:tcPr>
            <w:tcW w:w="0" w:type="auto"/>
            <w:vAlign w:val="center"/>
          </w:tcPr>
          <w:p>
            <w:pPr>
              <w:spacing w:line="360" w:lineRule="exact"/>
              <w:jc w:val="center"/>
              <w:rPr>
                <w:rFonts w:ascii="宋体" w:hAnsi="宋体"/>
                <w:b/>
                <w:sz w:val="28"/>
                <w:szCs w:val="28"/>
                <w:highlight w:val="none"/>
                <w:vertAlign w:val="baseline"/>
              </w:rPr>
            </w:pPr>
            <w:r>
              <w:rPr>
                <w:rFonts w:hint="eastAsia"/>
                <w:szCs w:val="21"/>
                <w:highlight w:val="none"/>
              </w:rPr>
              <w:t>分值</w:t>
            </w:r>
          </w:p>
        </w:tc>
        <w:tc>
          <w:tcPr>
            <w:tcW w:w="8100" w:type="dxa"/>
            <w:vAlign w:val="center"/>
          </w:tcPr>
          <w:p>
            <w:pPr>
              <w:spacing w:line="360" w:lineRule="exact"/>
              <w:jc w:val="center"/>
              <w:rPr>
                <w:rFonts w:ascii="宋体" w:hAnsi="宋体"/>
                <w:b/>
                <w:sz w:val="28"/>
                <w:szCs w:val="28"/>
                <w:highlight w:val="none"/>
                <w:vertAlign w:val="baseline"/>
              </w:rPr>
            </w:pPr>
            <w:r>
              <w:rPr>
                <w:rFonts w:hint="eastAsia"/>
                <w:szCs w:val="21"/>
                <w:highlight w:val="none"/>
              </w:rPr>
              <w:t>评审标准</w:t>
            </w:r>
          </w:p>
        </w:tc>
        <w:tc>
          <w:tcPr>
            <w:tcW w:w="690" w:type="dxa"/>
            <w:vAlign w:val="center"/>
          </w:tcPr>
          <w:p>
            <w:pPr>
              <w:spacing w:line="360" w:lineRule="exact"/>
              <w:jc w:val="center"/>
              <w:rPr>
                <w:rFonts w:hint="eastAsia" w:eastAsia="宋体"/>
                <w:szCs w:val="21"/>
                <w:highlight w:val="none"/>
                <w:lang w:val="en-US" w:eastAsia="zh-CN"/>
              </w:rPr>
            </w:pPr>
            <w:r>
              <w:rPr>
                <w:rFonts w:hint="eastAsia"/>
                <w:szCs w:val="21"/>
                <w:highlight w:val="none"/>
                <w:lang w:val="en-US" w:eastAsia="zh-CN"/>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0" w:type="auto"/>
            <w:vMerge w:val="restart"/>
            <w:vAlign w:val="center"/>
          </w:tcPr>
          <w:p>
            <w:pPr>
              <w:spacing w:line="360" w:lineRule="exact"/>
              <w:jc w:val="center"/>
              <w:rPr>
                <w:rFonts w:hint="eastAsia" w:ascii="宋体" w:hAnsi="宋体" w:cs="宋体"/>
                <w:b w:val="0"/>
                <w:sz w:val="21"/>
                <w:szCs w:val="21"/>
                <w:highlight w:val="none"/>
                <w:vertAlign w:val="baseline"/>
                <w:lang w:eastAsia="zh-CN"/>
              </w:rPr>
            </w:pPr>
            <w:r>
              <w:rPr>
                <w:rFonts w:hint="eastAsia" w:ascii="宋体" w:hAnsi="宋体" w:cs="宋体"/>
                <w:b w:val="0"/>
                <w:sz w:val="21"/>
                <w:szCs w:val="21"/>
                <w:highlight w:val="none"/>
                <w:vertAlign w:val="baseline"/>
                <w:lang w:eastAsia="zh-CN"/>
              </w:rPr>
              <w:t>商务部分</w:t>
            </w:r>
          </w:p>
          <w:p>
            <w:pPr>
              <w:spacing w:line="360" w:lineRule="exact"/>
              <w:jc w:val="center"/>
              <w:rPr>
                <w:rFonts w:hint="eastAsia" w:ascii="Calibri" w:hAnsi="Calibri"/>
                <w:b w:val="0"/>
                <w:sz w:val="21"/>
                <w:szCs w:val="21"/>
                <w:highlight w:val="none"/>
                <w:vertAlign w:val="baseline"/>
              </w:rPr>
            </w:pPr>
            <w:r>
              <w:rPr>
                <w:rFonts w:hint="eastAsia" w:ascii="宋体" w:hAnsi="宋体" w:cs="宋体"/>
                <w:b w:val="0"/>
                <w:sz w:val="21"/>
                <w:szCs w:val="21"/>
                <w:highlight w:val="none"/>
                <w:vertAlign w:val="baseline"/>
              </w:rPr>
              <w:t>（</w:t>
            </w:r>
            <w:r>
              <w:rPr>
                <w:rFonts w:hint="eastAsia" w:ascii="宋体" w:hAnsi="宋体" w:cs="宋体"/>
                <w:b w:val="0"/>
                <w:sz w:val="21"/>
                <w:szCs w:val="21"/>
                <w:highlight w:val="none"/>
                <w:vertAlign w:val="baseline"/>
                <w:lang w:val="en-US" w:eastAsia="zh-CN"/>
              </w:rPr>
              <w:t>15</w:t>
            </w:r>
            <w:r>
              <w:rPr>
                <w:rFonts w:hint="eastAsia" w:ascii="宋体" w:hAnsi="宋体" w:cs="宋体"/>
                <w:b w:val="0"/>
                <w:sz w:val="21"/>
                <w:szCs w:val="21"/>
                <w:highlight w:val="none"/>
                <w:vertAlign w:val="baseline"/>
              </w:rPr>
              <w:t>分）</w:t>
            </w: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b w:val="0"/>
                <w:sz w:val="21"/>
                <w:szCs w:val="21"/>
                <w:highlight w:val="none"/>
                <w:vertAlign w:val="baseline"/>
                <w:lang w:val="en-US" w:eastAsia="zh-CN"/>
              </w:rPr>
              <w:t>认证体系</w:t>
            </w:r>
          </w:p>
        </w:tc>
        <w:tc>
          <w:tcPr>
            <w:tcW w:w="0" w:type="auto"/>
            <w:vAlign w:val="center"/>
          </w:tcPr>
          <w:p>
            <w:pPr>
              <w:spacing w:line="360" w:lineRule="exact"/>
              <w:jc w:val="center"/>
              <w:rPr>
                <w:rFonts w:hint="eastAsia" w:ascii="宋体" w:hAnsi="宋体" w:cs="宋体"/>
                <w:b w:val="0"/>
                <w:sz w:val="21"/>
                <w:szCs w:val="21"/>
                <w:highlight w:val="none"/>
                <w:vertAlign w:val="baseline"/>
              </w:rPr>
            </w:pPr>
            <w:r>
              <w:rPr>
                <w:rFonts w:hint="eastAsia" w:ascii="宋体" w:hAnsi="宋体" w:eastAsia="宋体" w:cs="宋体"/>
                <w:b w:val="0"/>
                <w:sz w:val="21"/>
                <w:szCs w:val="21"/>
                <w:highlight w:val="none"/>
                <w:vertAlign w:val="baseline"/>
                <w:lang w:eastAsia="zh-CN"/>
              </w:rPr>
              <w:t>3</w:t>
            </w:r>
          </w:p>
        </w:tc>
        <w:tc>
          <w:tcPr>
            <w:tcW w:w="8100" w:type="dxa"/>
            <w:vAlign w:val="center"/>
          </w:tcPr>
          <w:p>
            <w:pPr>
              <w:pStyle w:val="45"/>
              <w:wordWrap w:val="0"/>
              <w:topLinePunct/>
              <w:adjustRightInd w:val="0"/>
              <w:spacing w:line="360" w:lineRule="exact"/>
              <w:rPr>
                <w:rFonts w:hint="eastAsia" w:ascii="宋体" w:hAnsi="宋体" w:eastAsia="宋体" w:cs="宋体"/>
                <w:b w:val="0"/>
                <w:bCs w:val="0"/>
                <w:kern w:val="0"/>
                <w:szCs w:val="21"/>
                <w:highlight w:val="none"/>
              </w:rPr>
            </w:pPr>
            <w:r>
              <w:rPr>
                <w:rFonts w:hint="eastAsia" w:ascii="宋体" w:hAnsi="宋体" w:eastAsia="宋体" w:cs="宋体"/>
                <w:kern w:val="0"/>
                <w:szCs w:val="21"/>
                <w:highlight w:val="none"/>
              </w:rPr>
              <w:t>投标人具有有效的质量管理体系认证证书、环境管理体系认证证书、职业健康安全管理体系认证证书，每</w:t>
            </w:r>
            <w:r>
              <w:rPr>
                <w:rFonts w:hint="eastAsia" w:ascii="宋体" w:hAnsi="宋体" w:cs="宋体"/>
                <w:kern w:val="0"/>
                <w:szCs w:val="21"/>
                <w:highlight w:val="none"/>
                <w:lang w:val="en-US" w:eastAsia="zh-CN"/>
              </w:rPr>
              <w:t>提供</w:t>
            </w:r>
            <w:r>
              <w:rPr>
                <w:rFonts w:hint="eastAsia" w:ascii="宋体" w:hAnsi="宋体" w:eastAsia="宋体" w:cs="宋体"/>
                <w:kern w:val="0"/>
                <w:szCs w:val="21"/>
                <w:highlight w:val="none"/>
              </w:rPr>
              <w:t>一</w:t>
            </w:r>
            <w:r>
              <w:rPr>
                <w:rFonts w:hint="eastAsia" w:ascii="宋体" w:hAnsi="宋体" w:eastAsia="宋体" w:cs="宋体"/>
                <w:b w:val="0"/>
                <w:bCs w:val="0"/>
                <w:kern w:val="0"/>
                <w:szCs w:val="21"/>
                <w:highlight w:val="none"/>
              </w:rPr>
              <w:t>个证书</w:t>
            </w:r>
            <w:r>
              <w:rPr>
                <w:rFonts w:hint="eastAsia" w:ascii="宋体" w:hAnsi="宋体" w:eastAsia="宋体" w:cs="宋体"/>
                <w:b w:val="0"/>
                <w:bCs w:val="0"/>
                <w:kern w:val="0"/>
                <w:szCs w:val="21"/>
                <w:highlight w:val="none"/>
                <w:shd w:val="clear"/>
                <w:lang w:val="en-US" w:eastAsia="zh-CN"/>
              </w:rPr>
              <w:t>得1</w:t>
            </w:r>
            <w:r>
              <w:rPr>
                <w:rFonts w:hint="eastAsia" w:ascii="宋体" w:hAnsi="宋体" w:eastAsia="宋体" w:cs="宋体"/>
                <w:b w:val="0"/>
                <w:bCs w:val="0"/>
                <w:kern w:val="0"/>
                <w:szCs w:val="21"/>
                <w:highlight w:val="none"/>
                <w:shd w:val="clear"/>
              </w:rPr>
              <w:t>分</w:t>
            </w:r>
            <w:r>
              <w:rPr>
                <w:rFonts w:hint="eastAsia" w:ascii="宋体" w:hAnsi="宋体" w:eastAsia="宋体" w:cs="宋体"/>
                <w:b w:val="0"/>
                <w:bCs w:val="0"/>
                <w:kern w:val="0"/>
                <w:szCs w:val="21"/>
                <w:highlight w:val="none"/>
              </w:rPr>
              <w:t>。本项最高</w:t>
            </w:r>
            <w:r>
              <w:rPr>
                <w:rFonts w:hint="eastAsia" w:ascii="宋体" w:hAnsi="宋体" w:eastAsia="宋体" w:cs="宋体"/>
                <w:b w:val="0"/>
                <w:bCs w:val="0"/>
                <w:kern w:val="0"/>
                <w:szCs w:val="21"/>
                <w:highlight w:val="none"/>
                <w:shd w:val="clear"/>
              </w:rPr>
              <w:t>得</w:t>
            </w:r>
            <w:r>
              <w:rPr>
                <w:rFonts w:hint="eastAsia" w:ascii="宋体" w:hAnsi="宋体" w:eastAsia="宋体" w:cs="宋体"/>
                <w:b w:val="0"/>
                <w:bCs w:val="0"/>
                <w:kern w:val="0"/>
                <w:szCs w:val="21"/>
                <w:highlight w:val="none"/>
                <w:shd w:val="clear"/>
                <w:lang w:val="en-US" w:eastAsia="zh-CN"/>
              </w:rPr>
              <w:t>3</w:t>
            </w:r>
            <w:r>
              <w:rPr>
                <w:rFonts w:hint="eastAsia" w:ascii="宋体" w:hAnsi="宋体" w:eastAsia="宋体" w:cs="宋体"/>
                <w:b w:val="0"/>
                <w:bCs w:val="0"/>
                <w:kern w:val="0"/>
                <w:szCs w:val="21"/>
                <w:highlight w:val="none"/>
                <w:shd w:val="clear"/>
              </w:rPr>
              <w:t>分</w:t>
            </w:r>
            <w:r>
              <w:rPr>
                <w:rFonts w:hint="eastAsia" w:ascii="宋体" w:hAnsi="宋体" w:eastAsia="宋体" w:cs="宋体"/>
                <w:b w:val="0"/>
                <w:bCs w:val="0"/>
                <w:kern w:val="0"/>
                <w:szCs w:val="21"/>
                <w:highlight w:val="none"/>
              </w:rPr>
              <w:t>。</w:t>
            </w:r>
          </w:p>
          <w:p>
            <w:pPr>
              <w:pStyle w:val="45"/>
              <w:wordWrap w:val="0"/>
              <w:topLinePunct/>
              <w:autoSpaceDE w:val="0"/>
              <w:autoSpaceDN w:val="0"/>
              <w:adjustRightInd w:val="0"/>
              <w:rPr>
                <w:rFonts w:hint="eastAsia" w:ascii="宋体" w:hAnsi="宋体" w:cs="宋体"/>
                <w:b w:val="0"/>
                <w:kern w:val="0"/>
                <w:sz w:val="21"/>
                <w:szCs w:val="21"/>
                <w:highlight w:val="none"/>
                <w:vertAlign w:val="baseline"/>
              </w:rPr>
            </w:pPr>
            <w:r>
              <w:rPr>
                <w:rFonts w:hint="eastAsia" w:ascii="宋体" w:hAnsi="宋体" w:eastAsia="宋体" w:cs="宋体"/>
                <w:b w:val="0"/>
                <w:bCs w:val="0"/>
                <w:kern w:val="0"/>
                <w:szCs w:val="21"/>
                <w:highlight w:val="none"/>
              </w:rPr>
              <w:t>注：</w:t>
            </w:r>
            <w:r>
              <w:rPr>
                <w:rFonts w:hint="eastAsia" w:ascii="宋体" w:hAnsi="宋体" w:eastAsia="宋体" w:cs="宋体"/>
                <w:b w:val="0"/>
                <w:bCs w:val="0"/>
                <w:kern w:val="0"/>
                <w:sz w:val="21"/>
                <w:szCs w:val="21"/>
                <w:highlight w:val="none"/>
              </w:rPr>
              <w:t>（须提供</w:t>
            </w:r>
            <w:r>
              <w:rPr>
                <w:rFonts w:hint="eastAsia" w:ascii="宋体" w:hAnsi="宋体" w:eastAsia="宋体" w:cs="宋体"/>
                <w:b w:val="0"/>
                <w:bCs w:val="0"/>
                <w:kern w:val="0"/>
                <w:sz w:val="21"/>
                <w:szCs w:val="21"/>
                <w:highlight w:val="none"/>
                <w:lang w:val="en-US" w:eastAsia="zh-CN"/>
              </w:rPr>
              <w:t>以上有效期内的</w:t>
            </w:r>
            <w:r>
              <w:rPr>
                <w:rFonts w:hint="eastAsia" w:ascii="宋体" w:hAnsi="宋体" w:eastAsia="宋体" w:cs="宋体"/>
                <w:b w:val="0"/>
                <w:bCs w:val="0"/>
                <w:kern w:val="0"/>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kern w:val="0"/>
                <w:sz w:val="21"/>
                <w:szCs w:val="21"/>
                <w:highlight w:val="none"/>
                <w:lang w:eastAsia="zh-CN"/>
              </w:rPr>
              <w:t>，</w:t>
            </w:r>
            <w:r>
              <w:rPr>
                <w:rFonts w:hint="eastAsia" w:ascii="宋体" w:hAnsi="宋体" w:eastAsia="宋体" w:cs="宋体"/>
                <w:b w:val="0"/>
                <w:bCs w:val="0"/>
                <w:kern w:val="0"/>
                <w:sz w:val="21"/>
                <w:szCs w:val="21"/>
                <w:highlight w:val="none"/>
                <w:lang w:val="en-US" w:eastAsia="zh-CN"/>
              </w:rPr>
              <w:t>否则不得分。</w:t>
            </w:r>
            <w:r>
              <w:rPr>
                <w:rFonts w:hint="eastAsia" w:ascii="宋体" w:hAnsi="宋体" w:eastAsia="宋体" w:cs="宋体"/>
                <w:b w:val="0"/>
                <w:bCs w:val="0"/>
                <w:kern w:val="0"/>
                <w:sz w:val="21"/>
                <w:szCs w:val="21"/>
                <w:highlight w:val="none"/>
              </w:rPr>
              <w:t>）</w:t>
            </w:r>
          </w:p>
        </w:tc>
        <w:tc>
          <w:tcPr>
            <w:tcW w:w="690" w:type="dxa"/>
            <w:vAlign w:val="center"/>
          </w:tcPr>
          <w:p>
            <w:pPr>
              <w:pStyle w:val="45"/>
              <w:wordWrap w:val="0"/>
              <w:topLinePunct/>
              <w:autoSpaceDE w:val="0"/>
              <w:autoSpaceDN w:val="0"/>
              <w:adjustRightInd w:val="0"/>
              <w:rPr>
                <w:rFonts w:hint="eastAsia" w:ascii="宋体" w:hAnsi="宋体" w:eastAsia="宋体" w:cs="宋体"/>
                <w:b w:val="0"/>
                <w:bCs w:val="0"/>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0" w:type="auto"/>
            <w:vMerge w:val="continue"/>
            <w:vAlign w:val="center"/>
          </w:tcPr>
          <w:p>
            <w:pPr>
              <w:spacing w:line="360" w:lineRule="exact"/>
              <w:jc w:val="center"/>
              <w:rPr>
                <w:rFonts w:hint="eastAsia" w:ascii="Calibri" w:hAnsi="Calibri"/>
                <w:b w:val="0"/>
                <w:sz w:val="21"/>
                <w:szCs w:val="21"/>
                <w:highlight w:val="none"/>
                <w:vertAlign w:val="baseline"/>
              </w:rPr>
            </w:pP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ascii="Calibri" w:hAnsi="Calibri"/>
                <w:b w:val="0"/>
                <w:sz w:val="21"/>
                <w:szCs w:val="21"/>
                <w:highlight w:val="none"/>
                <w:vertAlign w:val="baseline"/>
              </w:rPr>
              <w:t>企业业绩</w:t>
            </w:r>
          </w:p>
        </w:tc>
        <w:tc>
          <w:tcPr>
            <w:tcW w:w="0" w:type="auto"/>
            <w:vAlign w:val="center"/>
          </w:tcPr>
          <w:p>
            <w:pPr>
              <w:spacing w:line="360" w:lineRule="exact"/>
              <w:jc w:val="center"/>
              <w:rPr>
                <w:rFonts w:hint="default" w:ascii="宋体" w:hAnsi="宋体" w:cs="宋体"/>
                <w:b w:val="0"/>
                <w:sz w:val="21"/>
                <w:szCs w:val="21"/>
                <w:highlight w:val="none"/>
                <w:vertAlign w:val="baseline"/>
                <w:lang w:val="en-US"/>
              </w:rPr>
            </w:pPr>
            <w:r>
              <w:rPr>
                <w:rFonts w:hint="eastAsia" w:ascii="宋体" w:hAnsi="宋体" w:cs="宋体"/>
                <w:sz w:val="21"/>
                <w:szCs w:val="21"/>
                <w:highlight w:val="none"/>
                <w:lang w:val="en-US" w:eastAsia="zh-CN"/>
              </w:rPr>
              <w:t>5</w:t>
            </w:r>
          </w:p>
        </w:tc>
        <w:tc>
          <w:tcPr>
            <w:tcW w:w="8100" w:type="dxa"/>
            <w:vAlign w:val="center"/>
          </w:tcPr>
          <w:p>
            <w:pPr>
              <w:pStyle w:val="45"/>
              <w:wordWrap w:val="0"/>
              <w:topLinePunct/>
              <w:autoSpaceDE w:val="0"/>
              <w:autoSpaceDN w:val="0"/>
              <w:adjustRightInd w:val="0"/>
              <w:spacing w:line="360" w:lineRule="exact"/>
              <w:jc w:val="left"/>
              <w:rPr>
                <w:rFonts w:hint="eastAsia" w:ascii="Calibri" w:hAnsi="Calibri" w:eastAsia="宋体" w:cs="Times New Roman"/>
                <w:b w:val="0"/>
                <w:sz w:val="21"/>
                <w:szCs w:val="21"/>
                <w:highlight w:val="none"/>
                <w:vertAlign w:val="baseline"/>
                <w:lang w:eastAsia="zh-CN"/>
              </w:rPr>
            </w:pPr>
            <w:r>
              <w:rPr>
                <w:rFonts w:hint="eastAsia" w:ascii="宋体" w:hAnsi="宋体" w:cs="宋体"/>
                <w:kern w:val="0"/>
                <w:szCs w:val="21"/>
                <w:highlight w:val="none"/>
              </w:rPr>
              <w:t>投标人201</w:t>
            </w:r>
            <w:r>
              <w:rPr>
                <w:rFonts w:hint="eastAsia" w:ascii="宋体" w:hAnsi="宋体" w:cs="宋体"/>
                <w:kern w:val="0"/>
                <w:szCs w:val="21"/>
                <w:highlight w:val="none"/>
                <w:lang w:val="en-US" w:eastAsia="zh-CN"/>
              </w:rPr>
              <w:t>9</w:t>
            </w:r>
            <w:r>
              <w:rPr>
                <w:rFonts w:hint="eastAsia" w:ascii="宋体" w:hAnsi="宋体" w:cs="宋体"/>
                <w:kern w:val="0"/>
                <w:szCs w:val="21"/>
                <w:highlight w:val="none"/>
              </w:rPr>
              <w:t>年1月1日以来承接的</w:t>
            </w:r>
            <w:r>
              <w:rPr>
                <w:rFonts w:hint="eastAsia" w:ascii="宋体" w:hAnsi="宋体" w:cs="宋体"/>
                <w:kern w:val="0"/>
                <w:szCs w:val="21"/>
                <w:highlight w:val="none"/>
                <w:lang w:val="en-US" w:eastAsia="zh-CN"/>
              </w:rPr>
              <w:t>电力建筑</w:t>
            </w:r>
            <w:r>
              <w:rPr>
                <w:rFonts w:hint="eastAsia" w:ascii="宋体" w:hAnsi="宋体" w:cs="宋体"/>
                <w:kern w:val="0"/>
                <w:szCs w:val="21"/>
                <w:highlight w:val="none"/>
              </w:rPr>
              <w:t>工程</w:t>
            </w: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或电气工程专业</w:t>
            </w:r>
            <w:r>
              <w:rPr>
                <w:rFonts w:hint="eastAsia" w:ascii="宋体" w:hAnsi="宋体" w:cs="宋体"/>
                <w:kern w:val="0"/>
                <w:szCs w:val="21"/>
                <w:highlight w:val="none"/>
                <w:lang w:eastAsia="zh-CN"/>
              </w:rPr>
              <w:t>）</w:t>
            </w:r>
            <w:r>
              <w:rPr>
                <w:rFonts w:hint="eastAsia" w:ascii="宋体" w:hAnsi="宋体" w:cs="宋体"/>
                <w:kern w:val="0"/>
                <w:szCs w:val="21"/>
                <w:highlight w:val="none"/>
              </w:rPr>
              <w:t>类项目业绩，每提供一项得</w:t>
            </w:r>
            <w:r>
              <w:rPr>
                <w:rFonts w:hint="eastAsia" w:ascii="宋体" w:hAnsi="宋体" w:cs="宋体"/>
                <w:kern w:val="0"/>
                <w:szCs w:val="21"/>
                <w:highlight w:val="none"/>
                <w:lang w:val="en-US" w:eastAsia="zh-CN"/>
              </w:rPr>
              <w:t>1</w:t>
            </w:r>
            <w:r>
              <w:rPr>
                <w:rFonts w:hint="eastAsia" w:ascii="宋体" w:hAnsi="宋体" w:cs="宋体"/>
                <w:kern w:val="0"/>
                <w:szCs w:val="21"/>
                <w:highlight w:val="none"/>
              </w:rPr>
              <w:t>分，最高得</w:t>
            </w:r>
            <w:r>
              <w:rPr>
                <w:rFonts w:hint="eastAsia" w:ascii="宋体" w:hAnsi="宋体" w:cs="宋体"/>
                <w:kern w:val="0"/>
                <w:szCs w:val="21"/>
                <w:highlight w:val="none"/>
                <w:lang w:val="en-US" w:eastAsia="zh-CN"/>
              </w:rPr>
              <w:t>5</w:t>
            </w:r>
            <w:r>
              <w:rPr>
                <w:rFonts w:hint="eastAsia" w:ascii="宋体" w:hAnsi="宋体" w:cs="宋体"/>
                <w:kern w:val="0"/>
                <w:szCs w:val="21"/>
                <w:highlight w:val="none"/>
              </w:rPr>
              <w:t>分。</w:t>
            </w:r>
            <w:r>
              <w:rPr>
                <w:rFonts w:hint="eastAsia" w:ascii="宋体" w:hAnsi="宋体" w:cs="宋体"/>
                <w:kern w:val="0"/>
                <w:szCs w:val="21"/>
                <w:highlight w:val="none"/>
                <w:lang w:val="en-US" w:eastAsia="zh-CN"/>
              </w:rPr>
              <w:t>注：</w:t>
            </w:r>
            <w:r>
              <w:rPr>
                <w:rFonts w:hint="eastAsia" w:ascii="宋体" w:hAnsi="宋体" w:cs="宋体"/>
                <w:kern w:val="0"/>
                <w:szCs w:val="21"/>
                <w:highlight w:val="none"/>
              </w:rPr>
              <w:t>以合同签订时间为准，</w:t>
            </w:r>
            <w:r>
              <w:rPr>
                <w:rFonts w:hint="eastAsia" w:ascii="宋体" w:hAnsi="宋体" w:cs="宋体"/>
                <w:kern w:val="0"/>
                <w:szCs w:val="21"/>
                <w:highlight w:val="none"/>
                <w:lang w:eastAsia="zh-CN"/>
              </w:rPr>
              <w:t>需</w:t>
            </w:r>
            <w:r>
              <w:rPr>
                <w:rFonts w:hint="eastAsia" w:ascii="宋体" w:hAnsi="宋体" w:cs="宋体"/>
                <w:kern w:val="0"/>
                <w:szCs w:val="21"/>
                <w:highlight w:val="none"/>
              </w:rPr>
              <w:t>提供合同</w:t>
            </w:r>
            <w:r>
              <w:rPr>
                <w:rFonts w:hint="eastAsia" w:ascii="宋体" w:hAnsi="宋体" w:cs="宋体"/>
                <w:kern w:val="0"/>
                <w:szCs w:val="21"/>
                <w:highlight w:val="none"/>
                <w:lang w:val="en-US" w:eastAsia="zh-CN"/>
              </w:rPr>
              <w:t>关键页</w:t>
            </w:r>
            <w:r>
              <w:rPr>
                <w:rFonts w:hint="eastAsia" w:ascii="宋体" w:hAnsi="宋体" w:cs="宋体"/>
                <w:kern w:val="0"/>
                <w:szCs w:val="21"/>
                <w:highlight w:val="none"/>
              </w:rPr>
              <w:t>复印件加盖投标人公章</w:t>
            </w:r>
            <w:r>
              <w:rPr>
                <w:rFonts w:hint="eastAsia" w:ascii="宋体" w:hAnsi="宋体" w:cs="宋体"/>
                <w:kern w:val="0"/>
                <w:szCs w:val="21"/>
                <w:highlight w:val="none"/>
                <w:lang w:eastAsia="zh-CN"/>
              </w:rPr>
              <w:t>，</w:t>
            </w:r>
            <w:r>
              <w:rPr>
                <w:rFonts w:hint="eastAsia" w:ascii="宋体" w:hAnsi="宋体" w:eastAsia="宋体" w:cs="宋体"/>
                <w:kern w:val="0"/>
                <w:szCs w:val="21"/>
                <w:highlight w:val="none"/>
              </w:rPr>
              <w:t>不提供、提供不全的不得分</w:t>
            </w:r>
            <w:r>
              <w:rPr>
                <w:rFonts w:hint="eastAsia" w:ascii="宋体" w:hAnsi="宋体" w:cs="宋体"/>
                <w:kern w:val="0"/>
                <w:szCs w:val="21"/>
                <w:highlight w:val="none"/>
                <w:lang w:eastAsia="zh-CN"/>
              </w:rPr>
              <w:t>。</w:t>
            </w:r>
          </w:p>
        </w:tc>
        <w:tc>
          <w:tcPr>
            <w:tcW w:w="690" w:type="dxa"/>
            <w:vAlign w:val="center"/>
          </w:tcPr>
          <w:p>
            <w:pPr>
              <w:pStyle w:val="45"/>
              <w:wordWrap w:val="0"/>
              <w:topLinePunct/>
              <w:autoSpaceDE w:val="0"/>
              <w:autoSpaceDN w:val="0"/>
              <w:adjustRightInd w:val="0"/>
              <w:spacing w:line="360" w:lineRule="exact"/>
              <w:jc w:val="left"/>
              <w:rPr>
                <w:rFonts w:hint="eastAsia" w:ascii="宋体" w:hAnsi="宋体" w:cs="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0" w:type="auto"/>
            <w:vMerge w:val="continue"/>
            <w:vAlign w:val="center"/>
          </w:tcPr>
          <w:p>
            <w:pPr>
              <w:spacing w:line="360" w:lineRule="exact"/>
              <w:jc w:val="center"/>
              <w:rPr>
                <w:rFonts w:hint="eastAsia" w:ascii="Calibri" w:hAnsi="Calibri"/>
                <w:b w:val="0"/>
                <w:sz w:val="21"/>
                <w:szCs w:val="21"/>
                <w:highlight w:val="none"/>
                <w:vertAlign w:val="baseline"/>
              </w:rPr>
            </w:pP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ascii="Calibri" w:hAnsi="Calibri" w:cs="Times New Roman"/>
                <w:b w:val="0"/>
                <w:sz w:val="21"/>
                <w:szCs w:val="21"/>
                <w:highlight w:val="none"/>
                <w:vertAlign w:val="baseline"/>
              </w:rPr>
              <w:t>财务情况</w:t>
            </w:r>
          </w:p>
        </w:tc>
        <w:tc>
          <w:tcPr>
            <w:tcW w:w="0" w:type="auto"/>
            <w:vAlign w:val="center"/>
          </w:tcPr>
          <w:p>
            <w:pPr>
              <w:spacing w:line="360" w:lineRule="exact"/>
              <w:jc w:val="center"/>
              <w:rPr>
                <w:rFonts w:hint="eastAsia" w:ascii="宋体" w:hAnsi="宋体" w:cs="宋体"/>
                <w:b w:val="0"/>
                <w:sz w:val="21"/>
                <w:szCs w:val="21"/>
                <w:highlight w:val="none"/>
                <w:vertAlign w:val="baseline"/>
              </w:rPr>
            </w:pPr>
            <w:r>
              <w:rPr>
                <w:rFonts w:hint="eastAsia" w:ascii="宋体" w:hAnsi="宋体" w:cs="宋体"/>
                <w:szCs w:val="21"/>
                <w:highlight w:val="none"/>
                <w:lang w:val="en-US" w:eastAsia="zh-CN"/>
              </w:rPr>
              <w:t>3</w:t>
            </w:r>
          </w:p>
        </w:tc>
        <w:tc>
          <w:tcPr>
            <w:tcW w:w="8100" w:type="dxa"/>
            <w:vAlign w:val="center"/>
          </w:tcPr>
          <w:p>
            <w:pPr>
              <w:spacing w:line="360" w:lineRule="exact"/>
              <w:jc w:val="left"/>
              <w:rPr>
                <w:rFonts w:hint="eastAsia" w:ascii="Calibri" w:hAnsi="Calibri"/>
                <w:b w:val="0"/>
                <w:sz w:val="21"/>
                <w:szCs w:val="21"/>
                <w:highlight w:val="none"/>
                <w:vertAlign w:val="baseline"/>
              </w:rPr>
            </w:pPr>
            <w:r>
              <w:rPr>
                <w:rFonts w:ascii="宋体" w:hAnsi="宋体" w:cs="宋体"/>
                <w:color w:val="000000" w:themeColor="text1"/>
                <w:highlight w:val="none"/>
              </w:rPr>
              <w:t>投标人近三年（20</w:t>
            </w:r>
            <w:r>
              <w:rPr>
                <w:rFonts w:hint="eastAsia" w:ascii="宋体" w:hAnsi="宋体" w:cs="宋体"/>
                <w:color w:val="000000" w:themeColor="text1"/>
                <w:highlight w:val="none"/>
                <w:lang w:val="en-US" w:eastAsia="zh-CN"/>
              </w:rPr>
              <w:t>20</w:t>
            </w:r>
            <w:r>
              <w:rPr>
                <w:rFonts w:ascii="宋体" w:hAnsi="宋体" w:cs="宋体"/>
                <w:color w:val="000000" w:themeColor="text1"/>
                <w:highlight w:val="none"/>
              </w:rPr>
              <w:t>、20</w:t>
            </w:r>
            <w:r>
              <w:rPr>
                <w:rFonts w:hint="eastAsia" w:ascii="宋体" w:hAnsi="宋体" w:cs="宋体"/>
                <w:color w:val="000000" w:themeColor="text1"/>
                <w:highlight w:val="none"/>
                <w:lang w:val="en-US" w:eastAsia="zh-CN"/>
              </w:rPr>
              <w:t>21</w:t>
            </w:r>
            <w:r>
              <w:rPr>
                <w:rFonts w:ascii="宋体" w:hAnsi="宋体" w:cs="宋体"/>
                <w:color w:val="000000" w:themeColor="text1"/>
                <w:highlight w:val="none"/>
              </w:rPr>
              <w:t>、</w:t>
            </w:r>
            <w:r>
              <w:rPr>
                <w:rFonts w:hint="eastAsia" w:ascii="宋体" w:hAnsi="宋体" w:cs="宋体"/>
                <w:color w:val="000000" w:themeColor="text1"/>
                <w:highlight w:val="none"/>
                <w:lang w:val="en-US" w:eastAsia="zh-CN"/>
              </w:rPr>
              <w:t>2022</w:t>
            </w:r>
            <w:r>
              <w:rPr>
                <w:rFonts w:ascii="宋体" w:hAnsi="宋体" w:cs="宋体"/>
                <w:color w:val="000000" w:themeColor="text1"/>
                <w:highlight w:val="none"/>
              </w:rPr>
              <w:t>年）的财务情况，①其中3年均盈利的，得</w:t>
            </w:r>
            <w:r>
              <w:rPr>
                <w:rFonts w:hint="eastAsia" w:ascii="宋体" w:hAnsi="宋体" w:cs="宋体"/>
                <w:color w:val="000000" w:themeColor="text1"/>
                <w:highlight w:val="none"/>
                <w:lang w:val="en-US" w:eastAsia="zh-CN"/>
              </w:rPr>
              <w:t>3</w:t>
            </w:r>
            <w:r>
              <w:rPr>
                <w:rFonts w:ascii="宋体" w:hAnsi="宋体" w:cs="宋体"/>
                <w:color w:val="000000" w:themeColor="text1"/>
                <w:highlight w:val="none"/>
              </w:rPr>
              <w:t>分；②其他情况不得分。本项最高得</w:t>
            </w:r>
            <w:r>
              <w:rPr>
                <w:rFonts w:hint="eastAsia" w:ascii="宋体" w:hAnsi="宋体" w:cs="宋体"/>
                <w:color w:val="000000" w:themeColor="text1"/>
                <w:highlight w:val="none"/>
                <w:lang w:val="en-US" w:eastAsia="zh-CN"/>
              </w:rPr>
              <w:t>3</w:t>
            </w:r>
            <w:r>
              <w:rPr>
                <w:rFonts w:ascii="宋体" w:hAnsi="宋体" w:cs="宋体"/>
                <w:color w:val="000000" w:themeColor="text1"/>
                <w:highlight w:val="none"/>
              </w:rPr>
              <w:t>分。</w:t>
            </w:r>
            <w:r>
              <w:rPr>
                <w:rFonts w:hint="eastAsia" w:ascii="宋体" w:hAnsi="宋体" w:cs="宋体"/>
                <w:color w:val="000000" w:themeColor="text1"/>
                <w:highlight w:val="none"/>
              </w:rPr>
              <w:t>注：</w:t>
            </w:r>
            <w:r>
              <w:rPr>
                <w:rFonts w:ascii="宋体" w:hAnsi="宋体" w:cs="宋体"/>
                <w:color w:val="000000" w:themeColor="text1"/>
                <w:highlight w:val="none"/>
              </w:rPr>
              <w:t>以投标人提供会计师事务所审计的财务报表复印件统计的数据作为评审依据。</w:t>
            </w:r>
          </w:p>
        </w:tc>
        <w:tc>
          <w:tcPr>
            <w:tcW w:w="690" w:type="dxa"/>
            <w:vAlign w:val="center"/>
          </w:tcPr>
          <w:p>
            <w:pPr>
              <w:spacing w:line="360" w:lineRule="exact"/>
              <w:jc w:val="left"/>
              <w:rPr>
                <w:rFonts w:ascii="宋体" w:hAnsi="宋体" w:cs="宋体"/>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0" w:type="auto"/>
            <w:vMerge w:val="continue"/>
            <w:vAlign w:val="center"/>
          </w:tcPr>
          <w:p>
            <w:pPr>
              <w:spacing w:line="360" w:lineRule="exact"/>
              <w:jc w:val="center"/>
              <w:rPr>
                <w:rFonts w:hint="eastAsia" w:ascii="Calibri" w:hAnsi="Calibri"/>
                <w:b w:val="0"/>
                <w:sz w:val="21"/>
                <w:szCs w:val="21"/>
                <w:highlight w:val="none"/>
                <w:vertAlign w:val="baseline"/>
              </w:rPr>
            </w:pPr>
          </w:p>
        </w:tc>
        <w:tc>
          <w:tcPr>
            <w:tcW w:w="0" w:type="auto"/>
            <w:vAlign w:val="center"/>
          </w:tcPr>
          <w:p>
            <w:pPr>
              <w:spacing w:line="360" w:lineRule="exact"/>
              <w:jc w:val="center"/>
              <w:rPr>
                <w:rFonts w:hint="eastAsia" w:ascii="Calibri" w:hAnsi="Calibri"/>
                <w:b w:val="0"/>
                <w:sz w:val="21"/>
                <w:szCs w:val="21"/>
                <w:highlight w:val="none"/>
                <w:vertAlign w:val="baseline"/>
              </w:rPr>
            </w:pPr>
            <w:r>
              <w:rPr>
                <w:rFonts w:hint="eastAsia" w:ascii="Calibri" w:hAnsi="Calibri" w:cs="Times New Roman"/>
                <w:b w:val="0"/>
                <w:sz w:val="21"/>
                <w:szCs w:val="21"/>
                <w:highlight w:val="none"/>
                <w:vertAlign w:val="baseline"/>
              </w:rPr>
              <w:t>拟投入项目管理机构及人员情况</w:t>
            </w:r>
          </w:p>
        </w:tc>
        <w:tc>
          <w:tcPr>
            <w:tcW w:w="0" w:type="auto"/>
            <w:vAlign w:val="center"/>
          </w:tcPr>
          <w:p>
            <w:pPr>
              <w:spacing w:line="360" w:lineRule="exact"/>
              <w:jc w:val="center"/>
              <w:rPr>
                <w:rFonts w:hint="eastAsia" w:ascii="宋体" w:hAnsi="宋体" w:cs="宋体"/>
                <w:b w:val="0"/>
                <w:sz w:val="21"/>
                <w:szCs w:val="21"/>
                <w:highlight w:val="none"/>
                <w:vertAlign w:val="baseline"/>
              </w:rPr>
            </w:pPr>
            <w:r>
              <w:rPr>
                <w:rFonts w:hint="eastAsia" w:ascii="宋体" w:hAnsi="宋体" w:eastAsia="宋体" w:cs="宋体"/>
                <w:sz w:val="21"/>
                <w:szCs w:val="21"/>
                <w:highlight w:val="none"/>
                <w:lang w:val="en-US" w:eastAsia="zh-CN"/>
              </w:rPr>
              <w:t>4</w:t>
            </w:r>
          </w:p>
        </w:tc>
        <w:tc>
          <w:tcPr>
            <w:tcW w:w="8100" w:type="dxa"/>
            <w:vAlign w:val="center"/>
          </w:tcPr>
          <w:p>
            <w:pPr>
              <w:jc w:val="left"/>
              <w:rPr>
                <w:rFonts w:hint="eastAsia" w:ascii="宋体" w:hAnsi="宋体" w:cs="宋体"/>
                <w:szCs w:val="2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1</w:t>
            </w:r>
            <w:r>
              <w:rPr>
                <w:rFonts w:hint="eastAsia" w:ascii="宋体" w:hAnsi="宋体" w:cs="宋体"/>
                <w:szCs w:val="21"/>
                <w:highlight w:val="none"/>
                <w:lang w:eastAsia="zh-CN"/>
              </w:rPr>
              <w:t>）</w:t>
            </w:r>
            <w:r>
              <w:rPr>
                <w:rFonts w:hint="eastAsia" w:ascii="宋体" w:hAnsi="宋体" w:cs="宋体"/>
                <w:szCs w:val="21"/>
                <w:highlight w:val="none"/>
              </w:rPr>
              <w:t>技术负责人：具有工程类中级或以上工程师职称证书的，得</w:t>
            </w:r>
            <w:r>
              <w:rPr>
                <w:rFonts w:hint="eastAsia" w:ascii="宋体" w:hAnsi="宋体" w:cs="宋体"/>
                <w:szCs w:val="21"/>
                <w:highlight w:val="none"/>
                <w:lang w:val="en-US" w:eastAsia="zh-CN"/>
              </w:rPr>
              <w:t>2</w:t>
            </w:r>
            <w:r>
              <w:rPr>
                <w:rFonts w:hint="eastAsia" w:ascii="宋体" w:hAnsi="宋体" w:cs="宋体"/>
                <w:szCs w:val="21"/>
                <w:highlight w:val="none"/>
              </w:rPr>
              <w:t>分；</w:t>
            </w:r>
          </w:p>
          <w:p>
            <w:pPr>
              <w:spacing w:line="240" w:lineRule="auto"/>
              <w:jc w:val="left"/>
              <w:rPr>
                <w:rFonts w:hint="eastAsia" w:ascii="宋体" w:hAnsi="宋体" w:cs="宋体"/>
                <w:color w:val="000000" w:themeColor="text1"/>
                <w:highlight w:val="none"/>
              </w:rPr>
            </w:pPr>
            <w:r>
              <w:rPr>
                <w:rFonts w:hint="eastAsia" w:ascii="宋体" w:hAnsi="宋体" w:cs="宋体"/>
                <w:szCs w:val="21"/>
                <w:highlight w:val="none"/>
                <w:lang w:eastAsia="zh-CN"/>
              </w:rPr>
              <w:t>（</w:t>
            </w:r>
            <w:r>
              <w:rPr>
                <w:rFonts w:hint="eastAsia" w:ascii="宋体" w:hAnsi="宋体" w:cs="宋体"/>
                <w:szCs w:val="21"/>
                <w:highlight w:val="none"/>
                <w:lang w:val="en-US" w:eastAsia="zh-CN"/>
              </w:rPr>
              <w:t>2</w:t>
            </w:r>
            <w:r>
              <w:rPr>
                <w:rFonts w:hint="eastAsia" w:ascii="宋体" w:hAnsi="宋体" w:cs="宋体"/>
                <w:szCs w:val="21"/>
                <w:highlight w:val="none"/>
                <w:lang w:eastAsia="zh-CN"/>
              </w:rPr>
              <w:t>）</w:t>
            </w:r>
            <w:r>
              <w:rPr>
                <w:rFonts w:hint="eastAsia" w:ascii="宋体" w:hAnsi="宋体" w:cs="宋体"/>
                <w:szCs w:val="21"/>
                <w:highlight w:val="none"/>
              </w:rPr>
              <w:t>工程造价负责人：</w:t>
            </w:r>
            <w:r>
              <w:rPr>
                <w:rFonts w:hint="eastAsia" w:ascii="宋体" w:hAnsi="宋体" w:cs="宋体"/>
                <w:color w:val="000000" w:themeColor="text1"/>
                <w:highlight w:val="none"/>
              </w:rPr>
              <w:t>同时具备二级（或以上）的注册造价工程师及二级（或以上）等级的注册建造师的，得2分。</w:t>
            </w:r>
          </w:p>
          <w:p>
            <w:pPr>
              <w:spacing w:line="240" w:lineRule="auto"/>
              <w:jc w:val="left"/>
              <w:rPr>
                <w:rFonts w:hint="eastAsia" w:ascii="Calibri" w:hAnsi="Calibri"/>
                <w:b w:val="0"/>
                <w:sz w:val="21"/>
                <w:szCs w:val="21"/>
                <w:highlight w:val="none"/>
                <w:vertAlign w:val="baseline"/>
              </w:rPr>
            </w:pPr>
            <w:r>
              <w:rPr>
                <w:rFonts w:hint="eastAsia" w:ascii="宋体" w:hAnsi="宋体" w:cs="宋体"/>
                <w:color w:val="000000" w:themeColor="text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个月（</w:t>
            </w:r>
            <w:r>
              <w:rPr>
                <w:rFonts w:hint="eastAsia" w:ascii="宋体" w:hAnsi="宋体" w:eastAsia="宋体" w:cs="宋体"/>
                <w:b w:val="0"/>
                <w:bCs w:val="0"/>
                <w:color w:val="auto"/>
                <w:kern w:val="2"/>
                <w:sz w:val="21"/>
                <w:szCs w:val="21"/>
                <w:highlight w:val="none"/>
              </w:rPr>
              <w:t>截止投标当月的上一月份</w:t>
            </w:r>
            <w:r>
              <w:rPr>
                <w:rFonts w:hint="eastAsia" w:ascii="宋体" w:hAnsi="宋体" w:eastAsia="宋体" w:cs="宋体"/>
                <w:b w:val="0"/>
                <w:bCs w:val="0"/>
                <w:color w:val="auto"/>
                <w:sz w:val="21"/>
                <w:szCs w:val="21"/>
                <w:highlight w:val="none"/>
              </w:rPr>
              <w:t>）有效的社会保险证明文件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90" w:type="dxa"/>
            <w:vAlign w:val="center"/>
          </w:tcPr>
          <w:p>
            <w:pPr>
              <w:spacing w:line="240" w:lineRule="auto"/>
              <w:jc w:val="left"/>
              <w:rPr>
                <w:rFonts w:hint="eastAsia" w:ascii="宋体" w:hAnsi="宋体" w:cs="宋体"/>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0" w:type="auto"/>
            <w:vMerge w:val="restart"/>
            <w:vAlign w:val="center"/>
          </w:tcPr>
          <w:p>
            <w:pPr>
              <w:spacing w:line="360" w:lineRule="exact"/>
              <w:jc w:val="center"/>
              <w:rPr>
                <w:rFonts w:hint="eastAsia"/>
                <w:lang w:eastAsia="zh-CN"/>
              </w:rPr>
            </w:pPr>
            <w:r>
              <w:rPr>
                <w:rFonts w:hint="eastAsia"/>
                <w:lang w:eastAsia="zh-CN"/>
              </w:rPr>
              <w:t>技术部分</w:t>
            </w:r>
          </w:p>
          <w:p>
            <w:pPr>
              <w:spacing w:line="360" w:lineRule="exact"/>
              <w:jc w:val="center"/>
              <w:rPr>
                <w:rFonts w:hint="eastAsia"/>
              </w:rPr>
            </w:pPr>
            <w:r>
              <w:rPr>
                <w:rFonts w:hint="eastAsia"/>
              </w:rPr>
              <w:t>（</w:t>
            </w:r>
            <w:r>
              <w:rPr>
                <w:rFonts w:hint="eastAsia"/>
                <w:lang w:val="en-US" w:eastAsia="zh-CN"/>
              </w:rPr>
              <w:t>25</w:t>
            </w:r>
            <w:r>
              <w:rPr>
                <w:rFonts w:hint="eastAsia"/>
              </w:rPr>
              <w:t>分）</w:t>
            </w:r>
          </w:p>
          <w:p>
            <w:pPr>
              <w:pStyle w:val="23"/>
              <w:rPr>
                <w:rFonts w:hint="eastAsia"/>
              </w:rPr>
            </w:pPr>
          </w:p>
        </w:tc>
        <w:tc>
          <w:tcPr>
            <w:tcW w:w="0" w:type="auto"/>
            <w:vAlign w:val="center"/>
          </w:tcPr>
          <w:p>
            <w:pPr>
              <w:spacing w:line="360" w:lineRule="exact"/>
              <w:jc w:val="center"/>
              <w:rPr>
                <w:rFonts w:hint="eastAsia" w:ascii="Calibri" w:hAnsi="Calibri" w:eastAsia="宋体" w:cs="Times New Roman"/>
                <w:b w:val="0"/>
                <w:sz w:val="21"/>
                <w:szCs w:val="21"/>
                <w:highlight w:val="none"/>
                <w:vertAlign w:val="baseline"/>
                <w:lang w:eastAsia="zh-CN"/>
              </w:rPr>
            </w:pPr>
            <w:r>
              <w:rPr>
                <w:rFonts w:hint="eastAsia" w:ascii="Calibri" w:hAnsi="Calibri" w:cs="Times New Roman"/>
                <w:b w:val="0"/>
                <w:sz w:val="21"/>
                <w:szCs w:val="21"/>
                <w:highlight w:val="none"/>
                <w:vertAlign w:val="baseline"/>
              </w:rPr>
              <w:t>施工组织方案</w:t>
            </w:r>
            <w:r>
              <w:rPr>
                <w:rFonts w:hint="eastAsia" w:cs="Times New Roman"/>
                <w:b w:val="0"/>
                <w:sz w:val="21"/>
                <w:szCs w:val="21"/>
                <w:highlight w:val="none"/>
                <w:vertAlign w:val="baseline"/>
                <w:lang w:eastAsia="zh-CN"/>
              </w:rPr>
              <w:t>、</w:t>
            </w:r>
            <w:r>
              <w:rPr>
                <w:rFonts w:hint="eastAsia" w:ascii="宋体" w:hAnsi="宋体" w:cs="宋体"/>
                <w:szCs w:val="21"/>
                <w:highlight w:val="none"/>
                <w:lang w:val="en-US" w:eastAsia="zh-CN"/>
              </w:rPr>
              <w:t>施工</w:t>
            </w:r>
            <w:r>
              <w:rPr>
                <w:rFonts w:hint="eastAsia" w:ascii="宋体" w:hAnsi="宋体" w:cs="宋体"/>
                <w:szCs w:val="21"/>
                <w:highlight w:val="none"/>
              </w:rPr>
              <w:t>进度控制措施</w:t>
            </w:r>
          </w:p>
        </w:tc>
        <w:tc>
          <w:tcPr>
            <w:tcW w:w="0" w:type="auto"/>
            <w:vAlign w:val="center"/>
          </w:tcPr>
          <w:p>
            <w:pPr>
              <w:spacing w:line="360" w:lineRule="exact"/>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5</w:t>
            </w:r>
          </w:p>
        </w:tc>
        <w:tc>
          <w:tcPr>
            <w:tcW w:w="8100" w:type="dxa"/>
            <w:vAlign w:val="center"/>
          </w:tcPr>
          <w:p>
            <w:pPr>
              <w:spacing w:line="360" w:lineRule="exact"/>
              <w:jc w:val="left"/>
              <w:rPr>
                <w:rFonts w:hint="eastAsia" w:ascii="宋体" w:hAnsi="宋体" w:cs="宋体"/>
                <w:szCs w:val="21"/>
                <w:highlight w:val="none"/>
                <w:lang w:eastAsia="zh-CN"/>
              </w:rPr>
            </w:pPr>
            <w:r>
              <w:rPr>
                <w:rFonts w:hint="eastAsia" w:ascii="宋体" w:hAnsi="宋体" w:cs="宋体"/>
                <w:color w:val="000000" w:themeColor="text1"/>
                <w:highlight w:val="none"/>
              </w:rPr>
              <w:t>项目前期和总体施工组织方案内容的完整性，施工流程的条理清晰度，方案组织的科学性，项目目标是否满足招标文件要求</w:t>
            </w:r>
            <w:r>
              <w:rPr>
                <w:rFonts w:hint="eastAsia" w:ascii="宋体" w:hAnsi="宋体" w:cs="宋体"/>
                <w:color w:val="000000" w:themeColor="text1"/>
                <w:highlight w:val="none"/>
                <w:lang w:eastAsia="zh-CN"/>
              </w:rPr>
              <w:t>；</w:t>
            </w:r>
            <w:r>
              <w:rPr>
                <w:rFonts w:hint="eastAsia" w:ascii="宋体" w:hAnsi="宋体" w:cs="宋体"/>
                <w:szCs w:val="21"/>
                <w:highlight w:val="none"/>
              </w:rPr>
              <w:t>在保证质量、安全、文明施工的前提下，切实保障项目实施进度。提供保障项目实施进度的措施</w:t>
            </w:r>
            <w:r>
              <w:rPr>
                <w:rFonts w:hint="eastAsia" w:ascii="宋体" w:hAnsi="宋体" w:cs="宋体"/>
                <w:szCs w:val="21"/>
                <w:highlight w:val="none"/>
                <w:lang w:eastAsia="zh-CN"/>
              </w:rPr>
              <w:t>。</w:t>
            </w:r>
          </w:p>
          <w:p>
            <w:pPr>
              <w:spacing w:line="360" w:lineRule="exact"/>
              <w:jc w:val="left"/>
              <w:rPr>
                <w:rFonts w:hint="eastAsia" w:ascii="宋体" w:hAnsi="宋体" w:eastAsia="宋体" w:cs="宋体"/>
                <w:color w:val="000000" w:themeColor="text1"/>
                <w:highlight w:val="none"/>
                <w:lang w:eastAsia="zh-CN"/>
              </w:rPr>
            </w:pPr>
            <w:r>
              <w:rPr>
                <w:rFonts w:hint="default" w:ascii="宋体" w:hAnsi="宋体" w:cs="宋体"/>
                <w:szCs w:val="21"/>
                <w:highlight w:val="none"/>
              </w:rPr>
              <w:t>优：</w:t>
            </w: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分；良：[</w:t>
            </w:r>
            <w:r>
              <w:rPr>
                <w:rFonts w:hint="eastAsia" w:ascii="宋体" w:hAnsi="宋体" w:cs="宋体"/>
                <w:szCs w:val="21"/>
                <w:highlight w:val="none"/>
                <w:lang w:val="en-US" w:eastAsia="zh-CN"/>
              </w:rPr>
              <w:t>4-3]</w:t>
            </w:r>
            <w:r>
              <w:rPr>
                <w:rFonts w:hint="eastAsia" w:ascii="宋体" w:hAnsi="宋体" w:cs="宋体"/>
                <w:szCs w:val="21"/>
                <w:highlight w:val="none"/>
              </w:rPr>
              <w:t>分；</w:t>
            </w:r>
            <w:r>
              <w:rPr>
                <w:rFonts w:hint="eastAsia" w:ascii="宋体" w:hAnsi="宋体" w:cs="宋体"/>
                <w:szCs w:val="21"/>
                <w:highlight w:val="none"/>
                <w:lang w:val="en-US" w:eastAsia="zh-CN"/>
              </w:rPr>
              <w:t>差</w:t>
            </w:r>
            <w:r>
              <w:rPr>
                <w:rFonts w:hint="eastAsia" w:ascii="宋体" w:hAnsi="宋体" w:cs="宋体"/>
                <w:szCs w:val="21"/>
                <w:highlight w:val="none"/>
              </w:rPr>
              <w:t>：[</w:t>
            </w:r>
            <w:r>
              <w:rPr>
                <w:rFonts w:hint="eastAsia" w:ascii="宋体" w:hAnsi="宋体" w:cs="宋体"/>
                <w:szCs w:val="21"/>
                <w:highlight w:val="none"/>
                <w:lang w:val="en-US" w:eastAsia="zh-CN"/>
              </w:rPr>
              <w:t>2-1]</w:t>
            </w:r>
            <w:r>
              <w:rPr>
                <w:rFonts w:hint="eastAsia" w:ascii="宋体" w:hAnsi="宋体" w:cs="宋体"/>
                <w:szCs w:val="21"/>
                <w:highlight w:val="none"/>
              </w:rPr>
              <w:t>分。</w:t>
            </w:r>
            <w:r>
              <w:rPr>
                <w:rFonts w:hint="eastAsia" w:ascii="宋体" w:hAnsi="宋体" w:eastAsia="宋体" w:cs="宋体"/>
                <w:szCs w:val="21"/>
                <w:highlight w:val="none"/>
                <w:lang w:val="en-US" w:eastAsia="zh-CN"/>
              </w:rPr>
              <w:t>不提供方案不得分</w:t>
            </w:r>
            <w:r>
              <w:rPr>
                <w:rFonts w:hint="eastAsia" w:ascii="宋体" w:hAnsi="宋体" w:cs="宋体"/>
                <w:sz w:val="18"/>
                <w:szCs w:val="18"/>
                <w:highlight w:val="none"/>
                <w:lang w:val="en-US" w:eastAsia="zh-CN"/>
              </w:rPr>
              <w:t>。</w:t>
            </w:r>
          </w:p>
        </w:tc>
        <w:tc>
          <w:tcPr>
            <w:tcW w:w="690" w:type="dxa"/>
            <w:vAlign w:val="center"/>
          </w:tcPr>
          <w:p>
            <w:pPr>
              <w:spacing w:line="360" w:lineRule="exact"/>
              <w:jc w:val="left"/>
              <w:rPr>
                <w:rFonts w:hint="eastAsia" w:ascii="宋体" w:hAnsi="宋体" w:cs="宋体"/>
                <w:color w:val="000000" w:themeColor="text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vMerge w:val="continue"/>
            <w:vAlign w:val="center"/>
          </w:tcPr>
          <w:p>
            <w:pPr>
              <w:spacing w:line="360" w:lineRule="exact"/>
              <w:jc w:val="left"/>
              <w:rPr>
                <w:rFonts w:hint="eastAsia" w:ascii="宋体" w:hAnsi="宋体" w:cs="宋体"/>
                <w:b w:val="0"/>
                <w:sz w:val="21"/>
                <w:szCs w:val="21"/>
                <w:highlight w:val="none"/>
                <w:vertAlign w:val="baseline"/>
              </w:rPr>
            </w:pPr>
          </w:p>
        </w:tc>
        <w:tc>
          <w:tcPr>
            <w:tcW w:w="0" w:type="auto"/>
            <w:vAlign w:val="center"/>
          </w:tcPr>
          <w:p>
            <w:pPr>
              <w:spacing w:line="240" w:lineRule="auto"/>
              <w:jc w:val="center"/>
              <w:rPr>
                <w:rFonts w:hint="eastAsia" w:ascii="宋体" w:hAnsi="宋体" w:eastAsia="宋体" w:cs="宋体"/>
                <w:b w:val="0"/>
                <w:sz w:val="21"/>
                <w:szCs w:val="21"/>
                <w:highlight w:val="none"/>
                <w:vertAlign w:val="baseline"/>
                <w:lang w:eastAsia="zh-CN"/>
              </w:rPr>
            </w:pPr>
            <w:r>
              <w:rPr>
                <w:rFonts w:hint="eastAsia" w:ascii="宋体" w:hAnsi="宋体" w:cs="宋体"/>
                <w:b w:val="0"/>
                <w:color w:val="auto"/>
                <w:sz w:val="21"/>
                <w:szCs w:val="21"/>
                <w:highlight w:val="none"/>
                <w:vertAlign w:val="baseline"/>
              </w:rPr>
              <w:t>安全防护、文明施工措施</w:t>
            </w:r>
            <w:r>
              <w:rPr>
                <w:rFonts w:hint="eastAsia" w:ascii="宋体" w:hAnsi="宋体" w:cs="宋体"/>
                <w:b w:val="0"/>
                <w:color w:val="auto"/>
                <w:sz w:val="21"/>
                <w:szCs w:val="21"/>
                <w:highlight w:val="none"/>
                <w:vertAlign w:val="baseline"/>
                <w:lang w:eastAsia="zh-CN"/>
              </w:rPr>
              <w:t>、</w:t>
            </w:r>
            <w:r>
              <w:rPr>
                <w:rFonts w:hint="eastAsia" w:ascii="宋体" w:hAnsi="宋体" w:cs="宋体"/>
                <w:szCs w:val="21"/>
                <w:highlight w:val="none"/>
              </w:rPr>
              <w:t>质量控制措施</w:t>
            </w:r>
          </w:p>
        </w:tc>
        <w:tc>
          <w:tcPr>
            <w:tcW w:w="0" w:type="auto"/>
            <w:vAlign w:val="center"/>
          </w:tcPr>
          <w:p>
            <w:pPr>
              <w:spacing w:line="360" w:lineRule="exact"/>
              <w:jc w:val="center"/>
              <w:rPr>
                <w:rFonts w:hint="default" w:ascii="宋体" w:hAnsi="宋体" w:cs="宋体"/>
                <w:b w:val="0"/>
                <w:sz w:val="21"/>
                <w:szCs w:val="21"/>
                <w:highlight w:val="none"/>
                <w:vertAlign w:val="baseline"/>
              </w:rPr>
            </w:pPr>
            <w:r>
              <w:rPr>
                <w:rFonts w:hint="eastAsia" w:ascii="宋体" w:hAnsi="宋体" w:cs="宋体"/>
                <w:b w:val="0"/>
                <w:sz w:val="21"/>
                <w:szCs w:val="21"/>
                <w:highlight w:val="none"/>
                <w:vertAlign w:val="baseline"/>
                <w:lang w:val="en-US" w:eastAsia="zh-CN"/>
              </w:rPr>
              <w:t>5</w:t>
            </w:r>
          </w:p>
        </w:tc>
        <w:tc>
          <w:tcPr>
            <w:tcW w:w="8100" w:type="dxa"/>
            <w:vAlign w:val="center"/>
          </w:tcPr>
          <w:p>
            <w:pPr>
              <w:jc w:val="left"/>
              <w:rPr>
                <w:rFonts w:hint="eastAsia" w:ascii="宋体" w:hAnsi="宋体" w:cs="宋体"/>
                <w:szCs w:val="21"/>
                <w:highlight w:val="none"/>
              </w:rPr>
            </w:pPr>
            <w:r>
              <w:rPr>
                <w:rFonts w:hint="default" w:ascii="宋体" w:hAnsi="宋体" w:cs="宋体"/>
                <w:szCs w:val="21"/>
                <w:highlight w:val="none"/>
              </w:rPr>
              <w:t>加强制度化、标准化和精细化管理，尽量降低施工作业对周边的影响，提供安全控制措施</w:t>
            </w:r>
            <w:r>
              <w:rPr>
                <w:rFonts w:hint="eastAsia" w:ascii="宋体" w:hAnsi="宋体" w:cs="宋体"/>
                <w:szCs w:val="21"/>
                <w:highlight w:val="none"/>
                <w:lang w:eastAsia="zh-CN"/>
              </w:rPr>
              <w:t>；</w:t>
            </w:r>
            <w:r>
              <w:rPr>
                <w:rFonts w:hint="eastAsia" w:ascii="宋体" w:hAnsi="宋体" w:cs="宋体"/>
                <w:szCs w:val="21"/>
                <w:highlight w:val="none"/>
              </w:rPr>
              <w:t>确保项目质量达到工程建设标准和国家相关部门验收规范。提供工程实施设计施工的全过程质量控制及保证措施。</w:t>
            </w:r>
          </w:p>
          <w:p>
            <w:pPr>
              <w:spacing w:line="240" w:lineRule="auto"/>
              <w:jc w:val="left"/>
              <w:rPr>
                <w:rFonts w:hint="eastAsia" w:ascii="宋体" w:hAnsi="宋体" w:cs="宋体"/>
                <w:b w:val="0"/>
                <w:sz w:val="21"/>
                <w:szCs w:val="21"/>
                <w:highlight w:val="none"/>
                <w:vertAlign w:val="baseline"/>
              </w:rPr>
            </w:pPr>
            <w:r>
              <w:rPr>
                <w:rFonts w:hint="default" w:ascii="宋体" w:hAnsi="宋体" w:cs="宋体"/>
                <w:szCs w:val="21"/>
                <w:highlight w:val="none"/>
              </w:rPr>
              <w:t>优：</w:t>
            </w:r>
            <w:r>
              <w:rPr>
                <w:rFonts w:hint="eastAsia" w:ascii="宋体" w:hAnsi="宋体" w:cs="宋体"/>
                <w:szCs w:val="21"/>
                <w:highlight w:val="none"/>
                <w:lang w:val="en-US" w:eastAsia="zh-CN"/>
              </w:rPr>
              <w:t>5</w:t>
            </w:r>
            <w:r>
              <w:rPr>
                <w:rFonts w:hint="eastAsia" w:ascii="宋体" w:hAnsi="宋体" w:cs="宋体"/>
                <w:szCs w:val="21"/>
                <w:highlight w:val="none"/>
              </w:rPr>
              <w:t>分；良：[</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分；</w:t>
            </w:r>
            <w:r>
              <w:rPr>
                <w:rFonts w:hint="eastAsia" w:ascii="宋体" w:hAnsi="宋体" w:cs="宋体"/>
                <w:szCs w:val="21"/>
                <w:highlight w:val="none"/>
                <w:lang w:val="en-US" w:eastAsia="zh-CN"/>
              </w:rPr>
              <w:t>差</w:t>
            </w: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分</w:t>
            </w:r>
            <w:r>
              <w:rPr>
                <w:rFonts w:hint="default" w:ascii="宋体" w:hAnsi="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cs="宋体"/>
                <w:sz w:val="18"/>
                <w:szCs w:val="18"/>
                <w:highlight w:val="none"/>
                <w:lang w:val="en-US" w:eastAsia="zh-CN"/>
              </w:rPr>
              <w:t>。</w:t>
            </w:r>
          </w:p>
        </w:tc>
        <w:tc>
          <w:tcPr>
            <w:tcW w:w="690" w:type="dxa"/>
            <w:vAlign w:val="center"/>
          </w:tcPr>
          <w:p>
            <w:pPr>
              <w:spacing w:line="240" w:lineRule="auto"/>
              <w:jc w:val="left"/>
              <w:rPr>
                <w:rFonts w:hint="default"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pPr>
              <w:spacing w:line="240" w:lineRule="auto"/>
              <w:jc w:val="left"/>
              <w:rPr>
                <w:rFonts w:hint="eastAsia" w:ascii="宋体" w:hAnsi="宋体" w:cs="宋体"/>
                <w:b w:val="0"/>
                <w:sz w:val="21"/>
                <w:szCs w:val="21"/>
                <w:highlight w:val="none"/>
                <w:vertAlign w:val="baseline"/>
              </w:rPr>
            </w:pPr>
          </w:p>
        </w:tc>
        <w:tc>
          <w:tcPr>
            <w:tcW w:w="0" w:type="auto"/>
            <w:vAlign w:val="center"/>
          </w:tcPr>
          <w:p>
            <w:pPr>
              <w:spacing w:line="240" w:lineRule="auto"/>
              <w:jc w:val="center"/>
              <w:rPr>
                <w:rFonts w:hint="eastAsia" w:ascii="宋体" w:hAnsi="宋体" w:cs="宋体"/>
                <w:szCs w:val="21"/>
                <w:highlight w:val="none"/>
              </w:rPr>
            </w:pPr>
            <w:r>
              <w:rPr>
                <w:rFonts w:hint="eastAsia" w:ascii="宋体" w:hAnsi="宋体" w:cs="宋体"/>
                <w:szCs w:val="21"/>
                <w:highlight w:val="none"/>
              </w:rPr>
              <w:t>应急处理措施、预案以及抵抗风险的措施</w:t>
            </w:r>
          </w:p>
        </w:tc>
        <w:tc>
          <w:tcPr>
            <w:tcW w:w="0" w:type="auto"/>
            <w:vAlign w:val="center"/>
          </w:tcPr>
          <w:p>
            <w:pPr>
              <w:spacing w:line="360" w:lineRule="exact"/>
              <w:jc w:val="center"/>
              <w:rPr>
                <w:rFonts w:hint="default" w:ascii="宋体" w:hAnsi="宋体" w:eastAsia="宋体" w:cs="宋体"/>
                <w:b w:val="0"/>
                <w:sz w:val="21"/>
                <w:szCs w:val="21"/>
                <w:highlight w:val="none"/>
                <w:vertAlign w:val="baseline"/>
                <w:lang w:val="en-US" w:eastAsia="zh-CN"/>
              </w:rPr>
            </w:pPr>
            <w:r>
              <w:rPr>
                <w:rFonts w:hint="eastAsia" w:ascii="宋体" w:hAnsi="宋体" w:cs="宋体"/>
                <w:b w:val="0"/>
                <w:sz w:val="21"/>
                <w:szCs w:val="21"/>
                <w:highlight w:val="none"/>
                <w:vertAlign w:val="baseline"/>
                <w:lang w:val="en-US" w:eastAsia="zh-CN"/>
              </w:rPr>
              <w:t>5</w:t>
            </w:r>
          </w:p>
        </w:tc>
        <w:tc>
          <w:tcPr>
            <w:tcW w:w="8100" w:type="dxa"/>
            <w:vAlign w:val="center"/>
          </w:tcPr>
          <w:p>
            <w:pPr>
              <w:spacing w:line="240" w:lineRule="auto"/>
              <w:jc w:val="left"/>
              <w:rPr>
                <w:rFonts w:hint="eastAsia" w:ascii="宋体" w:hAnsi="宋体" w:eastAsia="宋体" w:cs="宋体"/>
                <w:color w:val="auto"/>
                <w:kern w:val="2"/>
                <w:szCs w:val="21"/>
                <w:highlight w:val="none"/>
              </w:rPr>
            </w:pPr>
            <w:r>
              <w:rPr>
                <w:rFonts w:hint="eastAsia" w:ascii="宋体" w:hAnsi="宋体" w:eastAsia="宋体" w:cs="宋体"/>
                <w:color w:val="auto"/>
                <w:kern w:val="2"/>
                <w:szCs w:val="21"/>
                <w:highlight w:val="none"/>
              </w:rPr>
              <w:t>投标人对本项目制定的特性、台风、暴雨等天气影响等特殊情况制定的应急处置方案，包括传达机制、人员和设备调配、责任分工等进行评审：</w:t>
            </w:r>
          </w:p>
          <w:p>
            <w:pPr>
              <w:spacing w:line="240" w:lineRule="auto"/>
              <w:jc w:val="left"/>
              <w:rPr>
                <w:rFonts w:hint="eastAsia" w:ascii="宋体" w:hAnsi="宋体" w:eastAsia="宋体" w:cs="宋体"/>
                <w:kern w:val="2"/>
                <w:sz w:val="21"/>
                <w:szCs w:val="21"/>
                <w:highlight w:val="none"/>
                <w:lang w:val="en-US" w:eastAsia="zh-CN" w:bidi="ar-SA"/>
              </w:rPr>
            </w:pPr>
            <w:r>
              <w:rPr>
                <w:rFonts w:hint="default" w:ascii="宋体" w:hAnsi="宋体" w:cs="宋体"/>
                <w:szCs w:val="21"/>
                <w:highlight w:val="none"/>
              </w:rPr>
              <w:t>优：</w:t>
            </w:r>
            <w:r>
              <w:rPr>
                <w:rFonts w:hint="eastAsia" w:ascii="宋体" w:hAnsi="宋体" w:cs="宋体"/>
                <w:szCs w:val="21"/>
                <w:highlight w:val="none"/>
                <w:lang w:val="en-US" w:eastAsia="zh-CN"/>
              </w:rPr>
              <w:t>5</w:t>
            </w:r>
            <w:r>
              <w:rPr>
                <w:rFonts w:hint="eastAsia" w:ascii="宋体" w:hAnsi="宋体" w:cs="宋体"/>
                <w:szCs w:val="21"/>
                <w:highlight w:val="none"/>
              </w:rPr>
              <w:t>分；良：[</w:t>
            </w:r>
            <w:r>
              <w:rPr>
                <w:rFonts w:hint="eastAsia" w:ascii="宋体" w:hAnsi="宋体" w:cs="宋体"/>
                <w:szCs w:val="21"/>
                <w:highlight w:val="none"/>
                <w:lang w:val="en-US" w:eastAsia="zh-CN"/>
              </w:rPr>
              <w:t>4</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分；</w:t>
            </w:r>
            <w:r>
              <w:rPr>
                <w:rFonts w:hint="eastAsia" w:ascii="宋体" w:hAnsi="宋体" w:cs="宋体"/>
                <w:szCs w:val="21"/>
                <w:highlight w:val="none"/>
                <w:lang w:val="en-US" w:eastAsia="zh-CN"/>
              </w:rPr>
              <w:t>差</w:t>
            </w: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分</w:t>
            </w:r>
            <w:r>
              <w:rPr>
                <w:rFonts w:hint="default" w:ascii="宋体" w:hAnsi="宋体" w:cs="宋体"/>
                <w:szCs w:val="21"/>
                <w:highlight w:val="none"/>
              </w:rPr>
              <w:t>。</w:t>
            </w:r>
            <w:r>
              <w:rPr>
                <w:rFonts w:hint="eastAsia" w:ascii="宋体" w:hAnsi="宋体" w:eastAsia="宋体" w:cs="宋体"/>
                <w:szCs w:val="21"/>
                <w:highlight w:val="none"/>
                <w:lang w:val="en-US" w:eastAsia="zh-CN"/>
              </w:rPr>
              <w:t>不提供方案不得分</w:t>
            </w:r>
            <w:r>
              <w:rPr>
                <w:rFonts w:hint="eastAsia" w:ascii="宋体" w:hAnsi="宋体" w:cs="宋体"/>
                <w:sz w:val="18"/>
                <w:szCs w:val="18"/>
                <w:highlight w:val="none"/>
                <w:lang w:val="en-US" w:eastAsia="zh-CN"/>
              </w:rPr>
              <w:t>。</w:t>
            </w:r>
          </w:p>
        </w:tc>
        <w:tc>
          <w:tcPr>
            <w:tcW w:w="690" w:type="dxa"/>
            <w:vAlign w:val="center"/>
          </w:tcPr>
          <w:p>
            <w:pPr>
              <w:spacing w:line="240" w:lineRule="auto"/>
              <w:jc w:val="left"/>
              <w:rPr>
                <w:rFonts w:hint="eastAsia" w:ascii="宋体" w:hAnsi="宋体" w:eastAsia="宋体" w:cs="宋体"/>
                <w:color w:val="auto"/>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vAlign w:val="center"/>
          </w:tcPr>
          <w:p>
            <w:pPr>
              <w:spacing w:line="240" w:lineRule="auto"/>
              <w:jc w:val="left"/>
              <w:rPr>
                <w:rFonts w:hint="eastAsia" w:ascii="宋体" w:hAnsi="宋体" w:cs="宋体"/>
                <w:b w:val="0"/>
                <w:sz w:val="21"/>
                <w:szCs w:val="21"/>
                <w:highlight w:val="none"/>
                <w:vertAlign w:val="baseline"/>
              </w:rPr>
            </w:pPr>
          </w:p>
        </w:tc>
        <w:tc>
          <w:tcPr>
            <w:tcW w:w="0" w:type="auto"/>
            <w:vAlign w:val="center"/>
          </w:tcPr>
          <w:p>
            <w:pPr>
              <w:spacing w:line="240" w:lineRule="auto"/>
              <w:jc w:val="center"/>
              <w:rPr>
                <w:rFonts w:hint="default" w:eastAsia="宋体"/>
                <w:szCs w:val="21"/>
                <w:highlight w:val="none"/>
                <w:lang w:val="en-US" w:eastAsia="zh-CN"/>
              </w:rPr>
            </w:pPr>
            <w:r>
              <w:rPr>
                <w:rFonts w:hint="eastAsia"/>
                <w:szCs w:val="21"/>
                <w:highlight w:val="none"/>
                <w:lang w:val="en-US" w:eastAsia="zh-CN"/>
              </w:rPr>
              <w:t>项目工期</w:t>
            </w:r>
          </w:p>
        </w:tc>
        <w:tc>
          <w:tcPr>
            <w:tcW w:w="0" w:type="auto"/>
            <w:vAlign w:val="center"/>
          </w:tcPr>
          <w:p>
            <w:pPr>
              <w:spacing w:line="360" w:lineRule="exact"/>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10</w:t>
            </w:r>
          </w:p>
        </w:tc>
        <w:tc>
          <w:tcPr>
            <w:tcW w:w="8100" w:type="dxa"/>
            <w:vAlign w:val="center"/>
          </w:tcPr>
          <w:p>
            <w:pPr>
              <w:spacing w:line="240" w:lineRule="auto"/>
              <w:jc w:val="left"/>
              <w:rPr>
                <w:rFonts w:hint="default" w:ascii="宋体" w:hAnsi="宋体" w:eastAsia="宋体" w:cs="宋体"/>
                <w:kern w:val="2"/>
                <w:szCs w:val="21"/>
                <w:highlight w:val="none"/>
                <w:lang w:val="en-US" w:eastAsia="zh-CN"/>
              </w:rPr>
            </w:pPr>
            <w:r>
              <w:rPr>
                <w:rFonts w:hint="eastAsia" w:ascii="宋体" w:hAnsi="宋体" w:cs="宋体"/>
                <w:kern w:val="2"/>
                <w:szCs w:val="21"/>
                <w:highlight w:val="none"/>
                <w:lang w:val="en-US" w:eastAsia="zh-CN"/>
              </w:rPr>
              <w:t>本项目工期为2023年12月10日前完工，2023年12月30日前验收合格送电。投标人承诺项目工期均提前的，每提前一天加1分，以此累加，</w:t>
            </w:r>
            <w:r>
              <w:rPr>
                <w:rFonts w:hint="eastAsia" w:ascii="宋体" w:hAnsi="宋体" w:cs="宋体"/>
                <w:szCs w:val="21"/>
                <w:highlight w:val="none"/>
                <w:lang w:eastAsia="zh-CN"/>
              </w:rPr>
              <w:t>最多得</w:t>
            </w:r>
            <w:r>
              <w:rPr>
                <w:rFonts w:hint="eastAsia" w:ascii="宋体" w:hAnsi="宋体" w:cs="宋体"/>
                <w:szCs w:val="21"/>
                <w:highlight w:val="none"/>
                <w:lang w:val="en-US" w:eastAsia="zh-CN"/>
              </w:rPr>
              <w:t>10分</w:t>
            </w:r>
            <w:r>
              <w:rPr>
                <w:rFonts w:hint="default" w:ascii="宋体" w:hAnsi="宋体" w:cs="宋体"/>
                <w:szCs w:val="21"/>
                <w:highlight w:val="none"/>
              </w:rPr>
              <w:t>。</w:t>
            </w:r>
            <w:r>
              <w:rPr>
                <w:rFonts w:hint="eastAsia" w:ascii="宋体" w:hAnsi="宋体" w:eastAsia="宋体" w:cs="宋体"/>
                <w:szCs w:val="21"/>
                <w:highlight w:val="none"/>
                <w:lang w:val="en-US" w:eastAsia="zh-CN"/>
              </w:rPr>
              <w:t>需提供</w:t>
            </w:r>
            <w:r>
              <w:rPr>
                <w:rFonts w:hint="eastAsia" w:ascii="宋体" w:hAnsi="宋体" w:cs="宋体"/>
                <w:szCs w:val="21"/>
                <w:highlight w:val="none"/>
                <w:lang w:val="en-US" w:eastAsia="zh-CN"/>
              </w:rPr>
              <w:t>项目工期承诺函，否则</w:t>
            </w:r>
            <w:r>
              <w:rPr>
                <w:rFonts w:hint="eastAsia" w:ascii="宋体" w:hAnsi="宋体" w:eastAsia="宋体" w:cs="宋体"/>
                <w:szCs w:val="21"/>
                <w:highlight w:val="none"/>
                <w:lang w:val="en-US" w:eastAsia="zh-CN"/>
              </w:rPr>
              <w:t>不得分</w:t>
            </w:r>
            <w:r>
              <w:rPr>
                <w:rFonts w:hint="eastAsia" w:ascii="宋体" w:hAnsi="宋体" w:cs="宋体"/>
                <w:sz w:val="18"/>
                <w:szCs w:val="18"/>
                <w:highlight w:val="none"/>
                <w:lang w:val="en-US" w:eastAsia="zh-CN"/>
              </w:rPr>
              <w:t>。</w:t>
            </w:r>
          </w:p>
        </w:tc>
        <w:tc>
          <w:tcPr>
            <w:tcW w:w="690"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42" w:type="dxa"/>
            <w:vAlign w:val="center"/>
          </w:tcPr>
          <w:p>
            <w:pPr>
              <w:snapToGrid w:val="0"/>
              <w:ind w:left="-2" w:leftChars="-1"/>
              <w:jc w:val="center"/>
              <w:rPr>
                <w:rFonts w:hint="eastAsia" w:ascii="宋体" w:hAnsi="宋体" w:cs="宋体"/>
                <w:b w:val="0"/>
                <w:sz w:val="21"/>
                <w:szCs w:val="21"/>
                <w:highlight w:val="none"/>
                <w:vertAlign w:val="baseline"/>
              </w:rPr>
            </w:pPr>
            <w:r>
              <w:rPr>
                <w:rFonts w:hint="eastAsia" w:ascii="宋体" w:hAnsi="宋体" w:eastAsia="宋体" w:cs="宋体"/>
                <w:color w:val="auto"/>
                <w:szCs w:val="21"/>
                <w:highlight w:val="none"/>
              </w:rPr>
              <w:t>经济部分（60分）</w:t>
            </w:r>
          </w:p>
        </w:tc>
        <w:tc>
          <w:tcPr>
            <w:tcW w:w="1728" w:type="dxa"/>
            <w:vAlign w:val="center"/>
          </w:tcPr>
          <w:p>
            <w:pPr>
              <w:snapToGrid w:val="0"/>
              <w:ind w:left="-2" w:leftChars="-1"/>
              <w:jc w:val="center"/>
              <w:rPr>
                <w:rFonts w:ascii="宋体" w:hAnsi="宋体" w:eastAsia="宋体" w:cs="宋体"/>
                <w:color w:val="auto"/>
                <w:szCs w:val="21"/>
                <w:highlight w:val="none"/>
              </w:rPr>
            </w:pPr>
          </w:p>
          <w:p>
            <w:pPr>
              <w:snapToGrid w:val="0"/>
              <w:ind w:left="-2" w:leftChars="-1"/>
              <w:rPr>
                <w:rFonts w:hint="eastAsia"/>
                <w:szCs w:val="21"/>
                <w:highlight w:val="none"/>
                <w:lang w:val="en-US" w:eastAsia="zh-CN"/>
              </w:rPr>
            </w:pPr>
            <w:r>
              <w:rPr>
                <w:rFonts w:hint="eastAsia" w:ascii="宋体" w:hAnsi="宋体" w:eastAsia="宋体" w:cs="宋体"/>
                <w:color w:val="auto"/>
                <w:szCs w:val="21"/>
                <w:highlight w:val="none"/>
              </w:rPr>
              <w:t>报价（60分）</w:t>
            </w:r>
          </w:p>
        </w:tc>
        <w:tc>
          <w:tcPr>
            <w:tcW w:w="496" w:type="dxa"/>
            <w:vAlign w:val="center"/>
          </w:tcPr>
          <w:p>
            <w:pPr>
              <w:spacing w:line="220" w:lineRule="exact"/>
              <w:ind w:left="-2" w:leftChars="-1"/>
              <w:jc w:val="center"/>
              <w:rPr>
                <w:rFonts w:hint="eastAsia"/>
                <w:szCs w:val="21"/>
                <w:highlight w:val="none"/>
                <w:lang w:val="en-US" w:eastAsia="zh-CN"/>
              </w:rPr>
            </w:pPr>
            <w:r>
              <w:rPr>
                <w:rFonts w:hint="eastAsia" w:ascii="宋体" w:hAnsi="宋体" w:eastAsia="宋体" w:cs="宋体"/>
                <w:color w:val="auto"/>
                <w:szCs w:val="21"/>
                <w:highlight w:val="none"/>
              </w:rPr>
              <w:t>60</w:t>
            </w:r>
          </w:p>
        </w:tc>
        <w:tc>
          <w:tcPr>
            <w:tcW w:w="8100" w:type="dxa"/>
            <w:vAlign w:val="top"/>
          </w:tcPr>
          <w:p>
            <w:pPr>
              <w:pStyle w:val="2"/>
              <w:rPr>
                <w:rFonts w:hint="default" w:hAnsi="宋体" w:cs="宋体"/>
                <w:color w:val="auto"/>
                <w:highlight w:val="none"/>
              </w:rPr>
            </w:pPr>
            <w:r>
              <w:rPr>
                <w:rFonts w:hAnsi="宋体" w:cs="宋体"/>
                <w:color w:val="auto"/>
                <w:highlight w:val="none"/>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p>
          <w:p>
            <w:pPr>
              <w:pStyle w:val="2"/>
              <w:rPr>
                <w:rFonts w:hint="default" w:hAnsi="宋体" w:cs="宋体"/>
                <w:color w:val="auto"/>
                <w:highlight w:val="none"/>
              </w:rPr>
            </w:pPr>
            <w:r>
              <w:rPr>
                <w:rFonts w:hAnsi="宋体" w:cs="宋体"/>
                <w:color w:val="auto"/>
                <w:highlight w:val="none"/>
              </w:rPr>
              <w:t>投标报价等于基准价为满分60分，高于基准价的1%扣1分，低于基准价的1%扣0.5分，以此类推。最低得分0分。得分保留两位小数。计算公式如下：</w:t>
            </w:r>
          </w:p>
          <w:p>
            <w:pPr>
              <w:pStyle w:val="2"/>
              <w:rPr>
                <w:rFonts w:hint="default" w:hAnsi="宋体" w:cs="宋体"/>
                <w:color w:val="auto"/>
                <w:highlight w:val="none"/>
              </w:rPr>
            </w:pPr>
            <w:r>
              <w:rPr>
                <w:rFonts w:hint="eastAsia" w:hAnsi="宋体" w:cs="宋体"/>
                <w:color w:val="auto"/>
                <w:highlight w:val="none"/>
                <w:lang w:eastAsia="zh-CN"/>
              </w:rPr>
              <w:t>1</w:t>
            </w:r>
            <w:r>
              <w:rPr>
                <w:rFonts w:hAnsi="宋体" w:cs="宋体"/>
                <w:color w:val="auto"/>
                <w:highlight w:val="none"/>
              </w:rPr>
              <w:t>、报价等于基准价的，得分=60</w:t>
            </w:r>
          </w:p>
          <w:p>
            <w:pPr>
              <w:pStyle w:val="2"/>
              <w:rPr>
                <w:rFonts w:hint="default" w:hAnsi="宋体" w:cs="宋体"/>
                <w:color w:val="auto"/>
                <w:highlight w:val="none"/>
              </w:rPr>
            </w:pPr>
            <w:r>
              <w:rPr>
                <w:rFonts w:hint="eastAsia" w:hAnsi="宋体" w:cs="宋体"/>
                <w:color w:val="auto"/>
                <w:highlight w:val="none"/>
                <w:lang w:eastAsia="zh-CN"/>
              </w:rPr>
              <w:t>2</w:t>
            </w:r>
            <w:r>
              <w:rPr>
                <w:rFonts w:hAnsi="宋体" w:cs="宋体"/>
                <w:color w:val="auto"/>
                <w:highlight w:val="none"/>
              </w:rPr>
              <w:t>、报价高于基准价的，得分=60-[（报价-基准价）/基准价]×100×1</w:t>
            </w:r>
          </w:p>
          <w:p>
            <w:pPr>
              <w:pStyle w:val="2"/>
              <w:rPr>
                <w:rFonts w:hint="eastAsia" w:ascii="宋体" w:hAnsi="宋体" w:cs="宋体"/>
                <w:kern w:val="2"/>
                <w:szCs w:val="21"/>
                <w:highlight w:val="none"/>
                <w:lang w:val="en-US" w:eastAsia="zh-CN"/>
              </w:rPr>
            </w:pPr>
            <w:r>
              <w:rPr>
                <w:rFonts w:hint="eastAsia" w:hAnsi="宋体" w:cs="宋体"/>
                <w:color w:val="auto"/>
                <w:highlight w:val="none"/>
                <w:lang w:eastAsia="zh-CN"/>
              </w:rPr>
              <w:t>3</w:t>
            </w:r>
            <w:r>
              <w:rPr>
                <w:rFonts w:hAnsi="宋体" w:cs="宋体"/>
                <w:color w:val="auto"/>
                <w:highlight w:val="none"/>
              </w:rPr>
              <w:t>、报价低于基准价的，得分=60-[（基准价-报价）/基准价]×100×0.5</w:t>
            </w:r>
          </w:p>
        </w:tc>
        <w:tc>
          <w:tcPr>
            <w:tcW w:w="690" w:type="dxa"/>
            <w:vAlign w:val="center"/>
          </w:tcPr>
          <w:p>
            <w:pPr>
              <w:spacing w:line="240" w:lineRule="auto"/>
              <w:jc w:val="left"/>
              <w:rPr>
                <w:rFonts w:hint="eastAsia" w:ascii="宋体" w:hAnsi="宋体" w:eastAsia="宋体" w:cs="宋体"/>
                <w:kern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270" w:type="dxa"/>
            <w:gridSpan w:val="2"/>
            <w:vAlign w:val="center"/>
          </w:tcPr>
          <w:p>
            <w:pPr>
              <w:jc w:val="center"/>
              <w:rPr>
                <w:rFonts w:hint="eastAsia"/>
                <w:szCs w:val="21"/>
                <w:highlight w:val="none"/>
                <w:lang w:val="en-US" w:eastAsia="zh-CN"/>
              </w:rPr>
            </w:pPr>
            <w:r>
              <w:rPr>
                <w:rFonts w:hint="eastAsia" w:ascii="宋体" w:hAnsi="宋体" w:eastAsia="宋体" w:cs="宋体"/>
                <w:color w:val="auto"/>
                <w:szCs w:val="21"/>
                <w:highlight w:val="none"/>
              </w:rPr>
              <w:t>合计</w:t>
            </w:r>
          </w:p>
        </w:tc>
        <w:tc>
          <w:tcPr>
            <w:tcW w:w="496" w:type="dxa"/>
            <w:vAlign w:val="center"/>
          </w:tcPr>
          <w:p>
            <w:pPr>
              <w:spacing w:line="220" w:lineRule="exact"/>
              <w:ind w:left="-2" w:leftChars="-1"/>
              <w:jc w:val="center"/>
              <w:rPr>
                <w:rFonts w:hint="eastAsia"/>
                <w:szCs w:val="21"/>
                <w:highlight w:val="none"/>
                <w:lang w:val="en-US" w:eastAsia="zh-CN"/>
              </w:rPr>
            </w:pPr>
            <w:r>
              <w:rPr>
                <w:rFonts w:hint="eastAsia" w:ascii="宋体" w:hAnsi="宋体" w:eastAsia="宋体" w:cs="宋体"/>
                <w:color w:val="auto"/>
                <w:szCs w:val="21"/>
                <w:highlight w:val="none"/>
              </w:rPr>
              <w:t>100</w:t>
            </w:r>
          </w:p>
        </w:tc>
        <w:tc>
          <w:tcPr>
            <w:tcW w:w="8100" w:type="dxa"/>
            <w:vAlign w:val="center"/>
          </w:tcPr>
          <w:p>
            <w:pPr>
              <w:spacing w:line="220" w:lineRule="exact"/>
              <w:ind w:left="-2" w:leftChars="-1"/>
              <w:rPr>
                <w:rFonts w:hint="eastAsia" w:ascii="宋体" w:hAnsi="宋体" w:cs="宋体"/>
                <w:kern w:val="2"/>
                <w:szCs w:val="21"/>
                <w:highlight w:val="none"/>
                <w:lang w:val="en-US" w:eastAsia="zh-CN"/>
              </w:rPr>
            </w:pPr>
          </w:p>
        </w:tc>
        <w:tc>
          <w:tcPr>
            <w:tcW w:w="690" w:type="dxa"/>
            <w:vAlign w:val="center"/>
          </w:tcPr>
          <w:p>
            <w:pPr>
              <w:spacing w:line="240" w:lineRule="auto"/>
              <w:jc w:val="left"/>
              <w:rPr>
                <w:rFonts w:hint="eastAsia" w:ascii="宋体" w:hAnsi="宋体" w:eastAsia="宋体" w:cs="宋体"/>
                <w:kern w:val="2"/>
                <w:szCs w:val="21"/>
                <w:highlight w:val="none"/>
              </w:rPr>
            </w:pPr>
          </w:p>
        </w:tc>
      </w:tr>
    </w:tbl>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napToGrid w:val="0"/>
        <w:rPr>
          <w:rFonts w:ascii="宋体" w:hAnsi="宋体" w:cs="宋体"/>
          <w:color w:val="auto"/>
          <w:szCs w:val="18"/>
          <w:highlight w:val="none"/>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pStyle w:val="25"/>
        <w:rPr>
          <w:rFonts w:ascii="宋体" w:hAnsi="宋体" w:cs="宋体"/>
          <w:color w:val="auto"/>
          <w:szCs w:val="21"/>
          <w:highlight w:val="none"/>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rPr>
        <w:t xml:space="preserve">   </w:t>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广州南沙湿地旅游发展有限公司</w:t>
      </w:r>
      <w:r>
        <w:rPr>
          <w:rFonts w:hint="eastAsia" w:ascii="宋体" w:hAnsi="宋体" w:eastAsia="宋体"/>
          <w:color w:val="auto"/>
          <w:sz w:val="24"/>
          <w:szCs w:val="24"/>
          <w:highlight w:val="none"/>
          <w:u w:val="single"/>
        </w:rPr>
        <w:t xml:space="preserve">、广州南沙建设维护管理有限公司 </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lang w:eastAsia="zh-CN"/>
        </w:rPr>
        <w:t>湿地景区南门区域（渔政大楼）变压器增容项目施工</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，本公司保证上述单位不参加本次投标</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28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40</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0000002"/>
    <w:multiLevelType w:val="multilevel"/>
    <w:tmpl w:val="00000002"/>
    <w:lvl w:ilvl="0" w:tentative="0">
      <w:start w:val="1"/>
      <w:numFmt w:val="decimal"/>
      <w:pStyle w:val="15"/>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71BD1A65"/>
    <w:multiLevelType w:val="singleLevel"/>
    <w:tmpl w:val="71BD1A65"/>
    <w:lvl w:ilvl="0" w:tentative="0">
      <w:start w:val="1"/>
      <w:numFmt w:val="chineseCounting"/>
      <w:suff w:val="nothing"/>
      <w:lvlText w:val="%1、"/>
      <w:lvlJc w:val="left"/>
      <w:rPr>
        <w:rFonts w:hint="eastAsia"/>
      </w:rPr>
    </w:lvl>
  </w:abstractNum>
  <w:abstractNum w:abstractNumId="3">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trackRevisions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3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269C8"/>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1F3E"/>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7C3F9C"/>
    <w:rsid w:val="02E9680F"/>
    <w:rsid w:val="02F7533D"/>
    <w:rsid w:val="030457ED"/>
    <w:rsid w:val="03562994"/>
    <w:rsid w:val="03CB6D70"/>
    <w:rsid w:val="04364A4F"/>
    <w:rsid w:val="04376975"/>
    <w:rsid w:val="04435BE0"/>
    <w:rsid w:val="044C08C6"/>
    <w:rsid w:val="04E40895"/>
    <w:rsid w:val="051B7598"/>
    <w:rsid w:val="052E78DA"/>
    <w:rsid w:val="059A4101"/>
    <w:rsid w:val="079A3CDA"/>
    <w:rsid w:val="07F66A4C"/>
    <w:rsid w:val="08393BA7"/>
    <w:rsid w:val="083B43B1"/>
    <w:rsid w:val="08757A2C"/>
    <w:rsid w:val="08A9464F"/>
    <w:rsid w:val="08D505E6"/>
    <w:rsid w:val="08E03A6C"/>
    <w:rsid w:val="09062DA7"/>
    <w:rsid w:val="091F7224"/>
    <w:rsid w:val="09577D3C"/>
    <w:rsid w:val="0967478B"/>
    <w:rsid w:val="09A667E8"/>
    <w:rsid w:val="0A31358E"/>
    <w:rsid w:val="0A621C44"/>
    <w:rsid w:val="0B372B92"/>
    <w:rsid w:val="0BFF40FB"/>
    <w:rsid w:val="0C855B7E"/>
    <w:rsid w:val="0C87037B"/>
    <w:rsid w:val="0CF74903"/>
    <w:rsid w:val="0E1B10A8"/>
    <w:rsid w:val="0E80564C"/>
    <w:rsid w:val="0E8C2C83"/>
    <w:rsid w:val="0EA03B8A"/>
    <w:rsid w:val="0EAC0C18"/>
    <w:rsid w:val="0EB25F9A"/>
    <w:rsid w:val="0EB83A78"/>
    <w:rsid w:val="0ED8481A"/>
    <w:rsid w:val="0F263AB3"/>
    <w:rsid w:val="0F8D0176"/>
    <w:rsid w:val="0FD73768"/>
    <w:rsid w:val="10A4638E"/>
    <w:rsid w:val="10AB649B"/>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35274A"/>
    <w:rsid w:val="14452035"/>
    <w:rsid w:val="1448567A"/>
    <w:rsid w:val="145B3800"/>
    <w:rsid w:val="14725C9B"/>
    <w:rsid w:val="15B036FB"/>
    <w:rsid w:val="16007AF5"/>
    <w:rsid w:val="16E55626"/>
    <w:rsid w:val="173D0A89"/>
    <w:rsid w:val="17463991"/>
    <w:rsid w:val="179E3273"/>
    <w:rsid w:val="17E977C8"/>
    <w:rsid w:val="182C4B8E"/>
    <w:rsid w:val="1873680D"/>
    <w:rsid w:val="18E67433"/>
    <w:rsid w:val="18F12637"/>
    <w:rsid w:val="19095239"/>
    <w:rsid w:val="19A846E9"/>
    <w:rsid w:val="19BE3F0C"/>
    <w:rsid w:val="1A5A3C35"/>
    <w:rsid w:val="1A6525DA"/>
    <w:rsid w:val="1AB46DAB"/>
    <w:rsid w:val="1B6C2995"/>
    <w:rsid w:val="1BB630ED"/>
    <w:rsid w:val="1BC44893"/>
    <w:rsid w:val="1BE136FF"/>
    <w:rsid w:val="1C05708F"/>
    <w:rsid w:val="1C307374"/>
    <w:rsid w:val="1C9203A6"/>
    <w:rsid w:val="1D6E44CC"/>
    <w:rsid w:val="1D7F1C04"/>
    <w:rsid w:val="1E032835"/>
    <w:rsid w:val="1E562810"/>
    <w:rsid w:val="1EB63404"/>
    <w:rsid w:val="1EBD45C4"/>
    <w:rsid w:val="1F1C5732"/>
    <w:rsid w:val="1F584BD1"/>
    <w:rsid w:val="1F7A6193"/>
    <w:rsid w:val="200E0A62"/>
    <w:rsid w:val="205D447F"/>
    <w:rsid w:val="206E043A"/>
    <w:rsid w:val="20AD4C4C"/>
    <w:rsid w:val="20E35285"/>
    <w:rsid w:val="21424D60"/>
    <w:rsid w:val="215321ED"/>
    <w:rsid w:val="215D5254"/>
    <w:rsid w:val="224A02E7"/>
    <w:rsid w:val="227411DF"/>
    <w:rsid w:val="22934188"/>
    <w:rsid w:val="23EE6B47"/>
    <w:rsid w:val="24856237"/>
    <w:rsid w:val="24DD793C"/>
    <w:rsid w:val="25053D8A"/>
    <w:rsid w:val="25687B33"/>
    <w:rsid w:val="25791876"/>
    <w:rsid w:val="26236584"/>
    <w:rsid w:val="26826F29"/>
    <w:rsid w:val="26B94C66"/>
    <w:rsid w:val="26EC20B9"/>
    <w:rsid w:val="26EC46E5"/>
    <w:rsid w:val="26FF6942"/>
    <w:rsid w:val="272101A5"/>
    <w:rsid w:val="272B74FA"/>
    <w:rsid w:val="2751149E"/>
    <w:rsid w:val="2837076A"/>
    <w:rsid w:val="2865301D"/>
    <w:rsid w:val="28C86C87"/>
    <w:rsid w:val="29051210"/>
    <w:rsid w:val="296119D7"/>
    <w:rsid w:val="2A446D64"/>
    <w:rsid w:val="2A97100B"/>
    <w:rsid w:val="2AFF2542"/>
    <w:rsid w:val="2B401296"/>
    <w:rsid w:val="2B5D2502"/>
    <w:rsid w:val="2B7B3A0B"/>
    <w:rsid w:val="2BAE6875"/>
    <w:rsid w:val="2BEC17AE"/>
    <w:rsid w:val="2C0B6D4E"/>
    <w:rsid w:val="2C1B0D4A"/>
    <w:rsid w:val="2C5357E2"/>
    <w:rsid w:val="2C842E83"/>
    <w:rsid w:val="2CD5279B"/>
    <w:rsid w:val="2D0635AD"/>
    <w:rsid w:val="2D691CC1"/>
    <w:rsid w:val="2D907150"/>
    <w:rsid w:val="2DD717BA"/>
    <w:rsid w:val="2DDB1EBF"/>
    <w:rsid w:val="2DE71DA9"/>
    <w:rsid w:val="2DF963B5"/>
    <w:rsid w:val="2E6C5CB5"/>
    <w:rsid w:val="2EC40C57"/>
    <w:rsid w:val="2EE433BF"/>
    <w:rsid w:val="2EED69CE"/>
    <w:rsid w:val="2F740E9D"/>
    <w:rsid w:val="2F777046"/>
    <w:rsid w:val="2F9B6BBA"/>
    <w:rsid w:val="2FE96F27"/>
    <w:rsid w:val="2FEA73B1"/>
    <w:rsid w:val="30136E93"/>
    <w:rsid w:val="30334755"/>
    <w:rsid w:val="30EC6390"/>
    <w:rsid w:val="311233CC"/>
    <w:rsid w:val="3152520E"/>
    <w:rsid w:val="31B57180"/>
    <w:rsid w:val="33062754"/>
    <w:rsid w:val="33113670"/>
    <w:rsid w:val="3411535B"/>
    <w:rsid w:val="34935BA4"/>
    <w:rsid w:val="34A264CA"/>
    <w:rsid w:val="34FA131A"/>
    <w:rsid w:val="35830B03"/>
    <w:rsid w:val="360F448A"/>
    <w:rsid w:val="3700775A"/>
    <w:rsid w:val="37A26BD4"/>
    <w:rsid w:val="37A33759"/>
    <w:rsid w:val="37AE7FE3"/>
    <w:rsid w:val="37B20151"/>
    <w:rsid w:val="37F52A06"/>
    <w:rsid w:val="383813C8"/>
    <w:rsid w:val="38417D8A"/>
    <w:rsid w:val="390B4D39"/>
    <w:rsid w:val="39131727"/>
    <w:rsid w:val="392A6A70"/>
    <w:rsid w:val="39731517"/>
    <w:rsid w:val="39F52602"/>
    <w:rsid w:val="39FC703A"/>
    <w:rsid w:val="3A1F234D"/>
    <w:rsid w:val="3AC802EF"/>
    <w:rsid w:val="3B183024"/>
    <w:rsid w:val="3B514788"/>
    <w:rsid w:val="3B6D4312"/>
    <w:rsid w:val="3BB718A6"/>
    <w:rsid w:val="3BBA1D8E"/>
    <w:rsid w:val="3BC04127"/>
    <w:rsid w:val="3C88543E"/>
    <w:rsid w:val="3CB7521C"/>
    <w:rsid w:val="3CE76215"/>
    <w:rsid w:val="3CFF0303"/>
    <w:rsid w:val="3D7619F9"/>
    <w:rsid w:val="3D957982"/>
    <w:rsid w:val="3D96007A"/>
    <w:rsid w:val="3D965718"/>
    <w:rsid w:val="3DF62488"/>
    <w:rsid w:val="3DF7194C"/>
    <w:rsid w:val="3E817133"/>
    <w:rsid w:val="3EDC25BB"/>
    <w:rsid w:val="3EF30213"/>
    <w:rsid w:val="3F4915A0"/>
    <w:rsid w:val="3F5F332B"/>
    <w:rsid w:val="3F641BC2"/>
    <w:rsid w:val="3F8502F8"/>
    <w:rsid w:val="3FBE56FE"/>
    <w:rsid w:val="3FD704B2"/>
    <w:rsid w:val="403B7AF1"/>
    <w:rsid w:val="405854B3"/>
    <w:rsid w:val="408D1DBF"/>
    <w:rsid w:val="409313F9"/>
    <w:rsid w:val="40B7508E"/>
    <w:rsid w:val="40CA2819"/>
    <w:rsid w:val="41EC3A6C"/>
    <w:rsid w:val="42A2655E"/>
    <w:rsid w:val="43120161"/>
    <w:rsid w:val="43420D2F"/>
    <w:rsid w:val="436C5E0D"/>
    <w:rsid w:val="437259B2"/>
    <w:rsid w:val="43952229"/>
    <w:rsid w:val="43F36E83"/>
    <w:rsid w:val="44631084"/>
    <w:rsid w:val="446A549B"/>
    <w:rsid w:val="44755126"/>
    <w:rsid w:val="44800368"/>
    <w:rsid w:val="44E26451"/>
    <w:rsid w:val="44E811C0"/>
    <w:rsid w:val="457C68A6"/>
    <w:rsid w:val="45E74C1B"/>
    <w:rsid w:val="46871AD6"/>
    <w:rsid w:val="47025D0E"/>
    <w:rsid w:val="4735560E"/>
    <w:rsid w:val="47413F22"/>
    <w:rsid w:val="477359B5"/>
    <w:rsid w:val="4792678F"/>
    <w:rsid w:val="47E03B89"/>
    <w:rsid w:val="47E250E6"/>
    <w:rsid w:val="481D5A38"/>
    <w:rsid w:val="482B34F2"/>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477F24"/>
    <w:rsid w:val="4FC91A1A"/>
    <w:rsid w:val="5049448C"/>
    <w:rsid w:val="508B10C7"/>
    <w:rsid w:val="50DB6247"/>
    <w:rsid w:val="51531E87"/>
    <w:rsid w:val="51552F81"/>
    <w:rsid w:val="51AB2104"/>
    <w:rsid w:val="525A7F6F"/>
    <w:rsid w:val="52760C06"/>
    <w:rsid w:val="52A35200"/>
    <w:rsid w:val="52C2143B"/>
    <w:rsid w:val="530E35F9"/>
    <w:rsid w:val="531A11E6"/>
    <w:rsid w:val="53427976"/>
    <w:rsid w:val="53A07C03"/>
    <w:rsid w:val="53A63423"/>
    <w:rsid w:val="53B638D1"/>
    <w:rsid w:val="54386D63"/>
    <w:rsid w:val="54A36172"/>
    <w:rsid w:val="54BC0EE8"/>
    <w:rsid w:val="55592415"/>
    <w:rsid w:val="55D122F6"/>
    <w:rsid w:val="55D41C4B"/>
    <w:rsid w:val="5702252D"/>
    <w:rsid w:val="572444C0"/>
    <w:rsid w:val="576D49E8"/>
    <w:rsid w:val="578F5987"/>
    <w:rsid w:val="57B957CF"/>
    <w:rsid w:val="57DA583E"/>
    <w:rsid w:val="594F1692"/>
    <w:rsid w:val="59566C52"/>
    <w:rsid w:val="597674DD"/>
    <w:rsid w:val="5A416E84"/>
    <w:rsid w:val="5AAF5CCA"/>
    <w:rsid w:val="5B6E68B8"/>
    <w:rsid w:val="5B6F6839"/>
    <w:rsid w:val="5B8D6C19"/>
    <w:rsid w:val="5BAA698D"/>
    <w:rsid w:val="5BC65072"/>
    <w:rsid w:val="5BCE61FA"/>
    <w:rsid w:val="5C7852D7"/>
    <w:rsid w:val="5C9B134E"/>
    <w:rsid w:val="5CF77B24"/>
    <w:rsid w:val="5D5E6B65"/>
    <w:rsid w:val="5D633297"/>
    <w:rsid w:val="5DAA1580"/>
    <w:rsid w:val="5DF14932"/>
    <w:rsid w:val="5DFF04E8"/>
    <w:rsid w:val="5E1A6FB5"/>
    <w:rsid w:val="5E7A3CE2"/>
    <w:rsid w:val="5E960581"/>
    <w:rsid w:val="5F355496"/>
    <w:rsid w:val="5F8349F8"/>
    <w:rsid w:val="5F865CD7"/>
    <w:rsid w:val="5F925D77"/>
    <w:rsid w:val="5FDC4484"/>
    <w:rsid w:val="60BA0556"/>
    <w:rsid w:val="60F61E20"/>
    <w:rsid w:val="618B1EF3"/>
    <w:rsid w:val="61A7533B"/>
    <w:rsid w:val="61FC4B9F"/>
    <w:rsid w:val="621244D5"/>
    <w:rsid w:val="62B2296D"/>
    <w:rsid w:val="62B247EF"/>
    <w:rsid w:val="635E4552"/>
    <w:rsid w:val="636147EE"/>
    <w:rsid w:val="63DB6B9E"/>
    <w:rsid w:val="642D7291"/>
    <w:rsid w:val="65652A5B"/>
    <w:rsid w:val="65B441A4"/>
    <w:rsid w:val="65C03100"/>
    <w:rsid w:val="65D8147F"/>
    <w:rsid w:val="66373494"/>
    <w:rsid w:val="663E17E3"/>
    <w:rsid w:val="66591B82"/>
    <w:rsid w:val="66593A91"/>
    <w:rsid w:val="675B4115"/>
    <w:rsid w:val="67D46774"/>
    <w:rsid w:val="68550B65"/>
    <w:rsid w:val="68572B2F"/>
    <w:rsid w:val="6898637C"/>
    <w:rsid w:val="68B16D7B"/>
    <w:rsid w:val="68BA7003"/>
    <w:rsid w:val="68C531A9"/>
    <w:rsid w:val="6917406C"/>
    <w:rsid w:val="691C25EA"/>
    <w:rsid w:val="698555C7"/>
    <w:rsid w:val="6B601D2D"/>
    <w:rsid w:val="6BF6265F"/>
    <w:rsid w:val="6C281E78"/>
    <w:rsid w:val="6C307E68"/>
    <w:rsid w:val="6C3A341E"/>
    <w:rsid w:val="6C920572"/>
    <w:rsid w:val="6DB227E4"/>
    <w:rsid w:val="6DBE1759"/>
    <w:rsid w:val="6DC31ECB"/>
    <w:rsid w:val="6E307289"/>
    <w:rsid w:val="6E656845"/>
    <w:rsid w:val="6F2A4AF9"/>
    <w:rsid w:val="6F471F5D"/>
    <w:rsid w:val="6F563B40"/>
    <w:rsid w:val="6F891280"/>
    <w:rsid w:val="6F8E74DB"/>
    <w:rsid w:val="6F977CB5"/>
    <w:rsid w:val="70727FF1"/>
    <w:rsid w:val="70836CF8"/>
    <w:rsid w:val="70CF07C8"/>
    <w:rsid w:val="710F157A"/>
    <w:rsid w:val="71137471"/>
    <w:rsid w:val="71840FD7"/>
    <w:rsid w:val="718C3480"/>
    <w:rsid w:val="71CC7A42"/>
    <w:rsid w:val="721D56A4"/>
    <w:rsid w:val="72987FCC"/>
    <w:rsid w:val="72BF7C4E"/>
    <w:rsid w:val="72F3401B"/>
    <w:rsid w:val="731416B4"/>
    <w:rsid w:val="736C262E"/>
    <w:rsid w:val="73712518"/>
    <w:rsid w:val="738A0204"/>
    <w:rsid w:val="738E7AB2"/>
    <w:rsid w:val="73AA787E"/>
    <w:rsid w:val="73EF0074"/>
    <w:rsid w:val="74624F7D"/>
    <w:rsid w:val="74B72A06"/>
    <w:rsid w:val="7546516B"/>
    <w:rsid w:val="75AF555B"/>
    <w:rsid w:val="763204BA"/>
    <w:rsid w:val="767D2F83"/>
    <w:rsid w:val="76F3488A"/>
    <w:rsid w:val="77281C38"/>
    <w:rsid w:val="7741229E"/>
    <w:rsid w:val="781828A1"/>
    <w:rsid w:val="781C3DC0"/>
    <w:rsid w:val="784A356A"/>
    <w:rsid w:val="78780B98"/>
    <w:rsid w:val="788E06C1"/>
    <w:rsid w:val="78D76423"/>
    <w:rsid w:val="78D86E43"/>
    <w:rsid w:val="79566D81"/>
    <w:rsid w:val="79B10E72"/>
    <w:rsid w:val="79E02BD8"/>
    <w:rsid w:val="7A2B55F9"/>
    <w:rsid w:val="7A3458D0"/>
    <w:rsid w:val="7A4B048B"/>
    <w:rsid w:val="7A7C35B8"/>
    <w:rsid w:val="7A96669D"/>
    <w:rsid w:val="7AC70013"/>
    <w:rsid w:val="7B2368A0"/>
    <w:rsid w:val="7B672810"/>
    <w:rsid w:val="7B681B66"/>
    <w:rsid w:val="7C561F60"/>
    <w:rsid w:val="7C6B2EC5"/>
    <w:rsid w:val="7C831CEC"/>
    <w:rsid w:val="7CDB7433"/>
    <w:rsid w:val="7D3E11F9"/>
    <w:rsid w:val="7DDF7DDD"/>
    <w:rsid w:val="7E300909"/>
    <w:rsid w:val="7E3A59BF"/>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7"/>
    <w:qFormat/>
    <w:uiPriority w:val="0"/>
    <w:rPr>
      <w:rFonts w:hint="eastAsia" w:ascii="宋体" w:hAnsi="Courier New" w:eastAsia="宋体" w:cs="Times New Roman"/>
      <w:szCs w:val="21"/>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next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Body Text Indent"/>
    <w:basedOn w:val="1"/>
    <w:qFormat/>
    <w:uiPriority w:val="0"/>
    <w:pPr>
      <w:spacing w:after="120" w:afterLines="0" w:afterAutospacing="0"/>
      <w:ind w:left="420" w:leftChars="200"/>
    </w:pPr>
  </w:style>
  <w:style w:type="paragraph" w:styleId="10">
    <w:name w:val="Balloon Text"/>
    <w:basedOn w:val="1"/>
    <w:link w:val="35"/>
    <w:qFormat/>
    <w:uiPriority w:val="0"/>
    <w:rPr>
      <w:sz w:val="18"/>
      <w:szCs w:val="18"/>
    </w:rPr>
  </w:style>
  <w:style w:type="paragraph" w:styleId="11">
    <w:name w:val="footer"/>
    <w:basedOn w:val="1"/>
    <w:link w:val="34"/>
    <w:qFormat/>
    <w:uiPriority w:val="0"/>
    <w:pPr>
      <w:tabs>
        <w:tab w:val="center" w:pos="4153"/>
        <w:tab w:val="right" w:pos="8306"/>
      </w:tabs>
      <w:snapToGrid w:val="0"/>
      <w:jc w:val="left"/>
    </w:pPr>
    <w:rPr>
      <w:sz w:val="18"/>
      <w:szCs w:val="18"/>
    </w:rPr>
  </w:style>
  <w:style w:type="paragraph" w:styleId="12">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8"/>
    <w:qFormat/>
    <w:uiPriority w:val="0"/>
    <w:pPr>
      <w:spacing w:beforeAutospacing="1" w:after="120"/>
      <w:ind w:firstLine="420"/>
    </w:pPr>
    <w:rPr>
      <w:rFonts w:ascii="Times New Roman" w:hAnsi="Times New Roman" w:eastAsia="宋体" w:cs="Times New Roman"/>
      <w:szCs w:val="21"/>
    </w:rPr>
  </w:style>
  <w:style w:type="paragraph" w:styleId="15">
    <w:name w:val="Body Text First Indent 2"/>
    <w:basedOn w:val="9"/>
    <w:next w:val="16"/>
    <w:qFormat/>
    <w:uiPriority w:val="0"/>
    <w:pPr>
      <w:numPr>
        <w:ilvl w:val="0"/>
        <w:numId w:val="1"/>
      </w:numPr>
      <w:ind w:firstLine="420"/>
    </w:pPr>
  </w:style>
  <w:style w:type="paragraph" w:customStyle="1" w:styleId="16">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样式 小四 行距: 1.5 倍行距"/>
    <w:basedOn w:val="1"/>
    <w:qFormat/>
    <w:uiPriority w:val="0"/>
    <w:pPr>
      <w:ind w:firstLine="480"/>
    </w:pPr>
    <w:rPr>
      <w:rFonts w:cs="宋体"/>
    </w:rPr>
  </w:style>
  <w:style w:type="paragraph" w:customStyle="1" w:styleId="24">
    <w:name w:val="表格文字"/>
    <w:basedOn w:val="1"/>
    <w:qFormat/>
    <w:uiPriority w:val="0"/>
    <w:pPr>
      <w:spacing w:before="25" w:after="25"/>
      <w:jc w:val="left"/>
    </w:pPr>
    <w:rPr>
      <w:bCs/>
      <w:spacing w:val="10"/>
      <w:kern w:val="0"/>
      <w:sz w:val="24"/>
    </w:rPr>
  </w:style>
  <w:style w:type="paragraph" w:customStyle="1" w:styleId="25">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qFormat/>
    <w:uiPriority w:val="0"/>
    <w:pPr>
      <w:ind w:firstLine="420" w:firstLineChars="200"/>
    </w:pPr>
    <w:rPr>
      <w:rFonts w:ascii="Calibri" w:hAnsi="Calibri" w:eastAsia="宋体" w:cs="Times New Roman"/>
      <w:szCs w:val="21"/>
    </w:rPr>
  </w:style>
  <w:style w:type="paragraph" w:customStyle="1" w:styleId="29">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qFormat/>
    <w:uiPriority w:val="0"/>
    <w:rPr>
      <w:rFonts w:hint="default" w:ascii="Times New Roman" w:hAnsi="Times New Roman" w:cs="Times New Roman"/>
    </w:rPr>
  </w:style>
  <w:style w:type="character" w:customStyle="1" w:styleId="31">
    <w:name w:val="15"/>
    <w:basedOn w:val="19"/>
    <w:qFormat/>
    <w:uiPriority w:val="0"/>
    <w:rPr>
      <w:rFonts w:hint="default" w:ascii="Times New Roman" w:hAnsi="Times New Roman" w:cs="Times New Roman"/>
    </w:rPr>
  </w:style>
  <w:style w:type="character" w:customStyle="1" w:styleId="32">
    <w:name w:val="16"/>
    <w:basedOn w:val="19"/>
    <w:qFormat/>
    <w:uiPriority w:val="0"/>
    <w:rPr>
      <w:rFonts w:hint="default" w:ascii="Times New Roman" w:hAnsi="Times New Roman" w:cs="Times New Roman"/>
      <w:color w:val="0000FF"/>
      <w:u w:val="single"/>
    </w:rPr>
  </w:style>
  <w:style w:type="character" w:customStyle="1" w:styleId="33">
    <w:name w:val="页眉 Char"/>
    <w:basedOn w:val="19"/>
    <w:link w:val="12"/>
    <w:qFormat/>
    <w:uiPriority w:val="0"/>
    <w:rPr>
      <w:rFonts w:asciiTheme="minorHAnsi" w:hAnsiTheme="minorHAnsi" w:eastAsiaTheme="minorEastAsia" w:cstheme="minorBidi"/>
      <w:kern w:val="2"/>
      <w:sz w:val="18"/>
      <w:szCs w:val="18"/>
    </w:rPr>
  </w:style>
  <w:style w:type="character" w:customStyle="1" w:styleId="34">
    <w:name w:val="页脚 Char"/>
    <w:basedOn w:val="19"/>
    <w:link w:val="11"/>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0"/>
    <w:qFormat/>
    <w:uiPriority w:val="0"/>
    <w:rPr>
      <w:rFonts w:asciiTheme="minorHAnsi" w:hAnsiTheme="minorHAnsi" w:eastAsiaTheme="minorEastAsia" w:cstheme="minorBidi"/>
      <w:kern w:val="2"/>
      <w:sz w:val="18"/>
      <w:szCs w:val="18"/>
    </w:rPr>
  </w:style>
  <w:style w:type="paragraph" w:customStyle="1" w:styleId="36">
    <w:name w:val="WPSOffice手动目录 1"/>
    <w:qFormat/>
    <w:uiPriority w:val="0"/>
    <w:rPr>
      <w:rFonts w:ascii="Times New Roman" w:hAnsi="Times New Roman" w:eastAsia="宋体" w:cs="Times New Roman"/>
      <w:lang w:val="en-US" w:eastAsia="zh-CN" w:bidi="ar-SA"/>
    </w:rPr>
  </w:style>
  <w:style w:type="character" w:customStyle="1" w:styleId="37">
    <w:name w:val="纯文本 Char"/>
    <w:link w:val="2"/>
    <w:qFormat/>
    <w:uiPriority w:val="0"/>
    <w:rPr>
      <w:rFonts w:ascii="宋体" w:hAnsi="Courier New"/>
      <w:kern w:val="2"/>
      <w:sz w:val="21"/>
      <w:szCs w:val="21"/>
    </w:rPr>
  </w:style>
  <w:style w:type="character" w:customStyle="1" w:styleId="38">
    <w:name w:val="正文首行缩进 Char"/>
    <w:basedOn w:val="19"/>
    <w:link w:val="14"/>
    <w:qFormat/>
    <w:uiPriority w:val="0"/>
    <w:rPr>
      <w:kern w:val="2"/>
      <w:sz w:val="21"/>
      <w:szCs w:val="21"/>
    </w:rPr>
  </w:style>
  <w:style w:type="paragraph" w:styleId="39">
    <w:name w:val="List Paragraph"/>
    <w:basedOn w:val="1"/>
    <w:unhideWhenUsed/>
    <w:qFormat/>
    <w:uiPriority w:val="99"/>
    <w:pPr>
      <w:ind w:firstLine="420" w:firstLineChars="200"/>
    </w:pPr>
  </w:style>
  <w:style w:type="paragraph" w:customStyle="1" w:styleId="4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qFormat/>
    <w:uiPriority w:val="0"/>
    <w:pPr>
      <w:ind w:left="4094" w:right="607" w:firstLine="0"/>
      <w:jc w:val="center"/>
    </w:pPr>
  </w:style>
  <w:style w:type="character" w:customStyle="1" w:styleId="42">
    <w:name w:val="c Char1"/>
    <w:link w:val="43"/>
    <w:qFormat/>
    <w:uiPriority w:val="0"/>
    <w:rPr>
      <w:rFonts w:eastAsia="仿宋_GB2312" w:cs="宋体"/>
      <w:sz w:val="28"/>
    </w:rPr>
  </w:style>
  <w:style w:type="paragraph" w:customStyle="1" w:styleId="43">
    <w:name w:val="c"/>
    <w:basedOn w:val="1"/>
    <w:link w:val="42"/>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4">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5">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27DD8-2C91-4F08-A38B-BE48ACCCE22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15148</Words>
  <Characters>16024</Characters>
  <Lines>138</Lines>
  <Paragraphs>38</Paragraphs>
  <TotalTime>3</TotalTime>
  <ScaleCrop>false</ScaleCrop>
  <LinksUpToDate>false</LinksUpToDate>
  <CharactersWithSpaces>17006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2023-10-13T06:19:57Z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