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auto"/>
          <w:kern w:val="0"/>
          <w:sz w:val="44"/>
          <w:szCs w:val="44"/>
          <w:highlight w:val="none"/>
        </w:rPr>
      </w:pPr>
    </w:p>
    <w:p>
      <w:pPr>
        <w:jc w:val="center"/>
        <w:rPr>
          <w:rFonts w:ascii="宋体" w:hAnsi="宋体" w:cs="宋体"/>
          <w:b/>
          <w:color w:val="auto"/>
          <w:kern w:val="0"/>
          <w:sz w:val="44"/>
          <w:szCs w:val="44"/>
          <w:highlight w:val="none"/>
        </w:rPr>
      </w:pPr>
    </w:p>
    <w:p>
      <w:pPr>
        <w:jc w:val="center"/>
        <w:rPr>
          <w:rFonts w:ascii="宋体" w:hAnsi="宋体" w:cs="宋体"/>
          <w:b/>
          <w:color w:val="auto"/>
          <w:kern w:val="0"/>
          <w:sz w:val="44"/>
          <w:szCs w:val="44"/>
          <w:highlight w:val="none"/>
        </w:rPr>
      </w:pPr>
    </w:p>
    <w:p>
      <w:pPr>
        <w:jc w:val="center"/>
        <w:rPr>
          <w:rFonts w:ascii="黑体" w:eastAsia="黑体"/>
          <w:color w:val="auto"/>
          <w:sz w:val="72"/>
          <w:szCs w:val="72"/>
          <w:highlight w:val="none"/>
        </w:rPr>
      </w:pPr>
      <w:r>
        <w:rPr>
          <w:rFonts w:hint="eastAsia" w:ascii="方正小标宋简体" w:hAnsi="方正小标宋简体" w:eastAsia="方正小标宋简体" w:cs="方正小标宋简体"/>
          <w:sz w:val="44"/>
          <w:szCs w:val="44"/>
          <w:lang w:val="en-US" w:eastAsia="zh-CN"/>
        </w:rPr>
        <w:t>南沙前锋水乡一、二涌项目围蔽工程</w:t>
      </w:r>
    </w:p>
    <w:p>
      <w:pPr>
        <w:jc w:val="center"/>
        <w:rPr>
          <w:rFonts w:ascii="黑体" w:eastAsia="黑体"/>
          <w:color w:val="auto"/>
          <w:sz w:val="72"/>
          <w:szCs w:val="72"/>
          <w:highlight w:val="none"/>
        </w:rPr>
      </w:pPr>
    </w:p>
    <w:p>
      <w:pPr>
        <w:jc w:val="center"/>
        <w:rPr>
          <w:rFonts w:ascii="黑体" w:eastAsia="黑体"/>
          <w:color w:val="auto"/>
          <w:sz w:val="72"/>
          <w:szCs w:val="72"/>
          <w:highlight w:val="none"/>
        </w:rPr>
      </w:pPr>
    </w:p>
    <w:p>
      <w:pPr>
        <w:jc w:val="center"/>
        <w:rPr>
          <w:rFonts w:ascii="黑体" w:eastAsia="黑体"/>
          <w:color w:val="auto"/>
          <w:sz w:val="84"/>
          <w:szCs w:val="84"/>
          <w:highlight w:val="none"/>
        </w:rPr>
      </w:pPr>
    </w:p>
    <w:p>
      <w:pPr>
        <w:jc w:val="center"/>
        <w:rPr>
          <w:rFonts w:ascii="黑体" w:eastAsia="黑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招 标 公 告</w:t>
      </w:r>
    </w:p>
    <w:p>
      <w:pPr>
        <w:jc w:val="center"/>
        <w:rPr>
          <w:rStyle w:val="21"/>
          <w:rFonts w:ascii="楷体_GB2312" w:hAnsi="楷体_GB2312" w:eastAsia="楷体_GB2312"/>
          <w:color w:val="auto"/>
          <w:sz w:val="48"/>
          <w:highlight w:val="none"/>
        </w:rPr>
      </w:pPr>
    </w:p>
    <w:p>
      <w:pPr>
        <w:jc w:val="center"/>
        <w:rPr>
          <w:rFonts w:ascii="楷体_GB2312" w:eastAsia="楷体_GB2312"/>
          <w:color w:val="auto"/>
          <w:sz w:val="32"/>
          <w:szCs w:val="32"/>
          <w:highlight w:val="none"/>
        </w:rPr>
      </w:pPr>
    </w:p>
    <w:p>
      <w:pPr>
        <w:spacing w:line="400" w:lineRule="exact"/>
        <w:jc w:val="center"/>
        <w:rPr>
          <w:color w:val="auto"/>
          <w:highlight w:val="none"/>
        </w:rPr>
      </w:pPr>
    </w:p>
    <w:p>
      <w:pPr>
        <w:spacing w:line="400" w:lineRule="exact"/>
        <w:jc w:val="both"/>
        <w:rPr>
          <w:color w:val="auto"/>
          <w:highlight w:val="none"/>
        </w:rPr>
      </w:pPr>
    </w:p>
    <w:p>
      <w:pPr>
        <w:spacing w:line="400" w:lineRule="exact"/>
        <w:jc w:val="center"/>
        <w:rPr>
          <w:color w:val="auto"/>
          <w:highlight w:val="none"/>
        </w:rPr>
      </w:pPr>
    </w:p>
    <w:p>
      <w:pPr>
        <w:spacing w:line="400" w:lineRule="exact"/>
        <w:jc w:val="center"/>
        <w:rPr>
          <w:color w:val="auto"/>
          <w:highlight w:val="none"/>
        </w:rPr>
      </w:pP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业主</w:t>
      </w:r>
      <w:r>
        <w:rPr>
          <w:rFonts w:hint="eastAsia" w:ascii="仿宋_GB2312" w:hAnsi="仿宋_GB2312" w:eastAsia="仿宋_GB2312" w:cs="仿宋_GB2312"/>
          <w:b/>
          <w:color w:val="auto"/>
          <w:sz w:val="32"/>
          <w:szCs w:val="32"/>
          <w:highlight w:val="none"/>
        </w:rPr>
        <w:t>单位</w:t>
      </w:r>
      <w:r>
        <w:rPr>
          <w:rFonts w:hint="eastAsia" w:ascii="仿宋_GB2312" w:hAnsi="仿宋_GB2312" w:eastAsia="仿宋_GB2312" w:cs="仿宋_GB2312"/>
          <w:b/>
          <w:color w:val="auto"/>
          <w:sz w:val="32"/>
          <w:szCs w:val="32"/>
          <w:highlight w:val="none"/>
          <w:lang w:eastAsia="zh-CN"/>
        </w:rPr>
        <w:t>：广州南沙科技投资有限公司</w:t>
      </w:r>
    </w:p>
    <w:p>
      <w:pPr>
        <w:tabs>
          <w:tab w:val="left" w:pos="7067"/>
        </w:tabs>
        <w:spacing w:line="360" w:lineRule="auto"/>
        <w:ind w:firstLine="1606" w:firstLineChars="50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t>日    期：二〇二</w:t>
      </w:r>
      <w:r>
        <w:rPr>
          <w:rFonts w:hint="eastAsia" w:ascii="仿宋_GB2312" w:hAnsi="仿宋_GB2312" w:eastAsia="仿宋_GB2312" w:cs="仿宋_GB2312"/>
          <w:b/>
          <w:color w:val="auto"/>
          <w:sz w:val="32"/>
          <w:szCs w:val="32"/>
          <w:highlight w:val="none"/>
          <w:lang w:val="en-US" w:eastAsia="zh-CN"/>
        </w:rPr>
        <w:t>三</w:t>
      </w:r>
      <w:r>
        <w:rPr>
          <w:rFonts w:hint="eastAsia" w:ascii="仿宋_GB2312" w:hAnsi="仿宋_GB2312" w:eastAsia="仿宋_GB2312" w:cs="仿宋_GB2312"/>
          <w:b/>
          <w:color w:val="auto"/>
          <w:sz w:val="32"/>
          <w:szCs w:val="32"/>
          <w:highlight w:val="none"/>
          <w:lang w:eastAsia="zh-CN"/>
        </w:rPr>
        <w:t>年</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lang w:eastAsia="zh-CN"/>
        </w:rPr>
        <w:t>月</w:t>
      </w:r>
    </w:p>
    <w:p>
      <w:pPr>
        <w:pStyle w:val="9"/>
        <w:ind w:firstLine="405"/>
        <w:jc w:val="center"/>
        <w:rPr>
          <w:b/>
          <w:color w:val="auto"/>
          <w:sz w:val="32"/>
          <w:szCs w:val="32"/>
          <w:highlight w:val="none"/>
        </w:rPr>
        <w:sectPr>
          <w:headerReference r:id="rId3" w:type="default"/>
          <w:endnotePr>
            <w:numFmt w:val="decimal"/>
          </w:endnotePr>
          <w:pgSz w:w="11906" w:h="16838"/>
          <w:pgMar w:top="1361" w:right="1304" w:bottom="1247" w:left="1304" w:header="851" w:footer="992" w:gutter="0"/>
          <w:cols w:space="720" w:num="1"/>
          <w:docGrid w:type="lines" w:linePitch="312" w:charSpace="0"/>
        </w:sectPr>
      </w:pPr>
    </w:p>
    <w:p>
      <w:pPr>
        <w:spacing w:line="360" w:lineRule="auto"/>
        <w:jc w:val="center"/>
        <w:outlineLvl w:val="0"/>
        <w:rPr>
          <w:rFonts w:ascii="方正小标宋简体" w:hAnsi="方正小标宋简体" w:eastAsia="方正小标宋简体" w:cs="方正小标宋简体"/>
          <w:b/>
          <w:kern w:val="44"/>
          <w:sz w:val="44"/>
          <w:szCs w:val="44"/>
        </w:rPr>
      </w:pPr>
      <w:bookmarkStart w:id="0" w:name="_Toc12707"/>
      <w:r>
        <w:rPr>
          <w:rFonts w:hint="eastAsia" w:ascii="方正小标宋简体" w:hAnsi="方正小标宋简体" w:eastAsia="方正小标宋简体" w:cs="方正小标宋简体"/>
          <w:b/>
          <w:kern w:val="44"/>
          <w:sz w:val="44"/>
          <w:szCs w:val="44"/>
        </w:rPr>
        <w:t>第一章招标公告</w:t>
      </w:r>
      <w:bookmarkEnd w:id="0"/>
    </w:p>
    <w:p>
      <w:pPr>
        <w:pStyle w:val="9"/>
        <w:jc w:val="center"/>
        <w:rPr>
          <w:rFonts w:cs="宋体"/>
          <w:sz w:val="24"/>
        </w:rPr>
      </w:pPr>
      <w:r>
        <w:rPr>
          <w:rFonts w:hint="eastAsia" w:ascii="方正小标宋简体" w:hAnsi="方正小标宋简体" w:eastAsia="方正小标宋简体" w:cs="方正小标宋简体"/>
          <w:b/>
          <w:sz w:val="44"/>
          <w:szCs w:val="44"/>
          <w:u w:val="none"/>
        </w:rPr>
        <w:t>南沙前锋水乡一、二涌项目围蔽工程                     邀请招标公告</w:t>
      </w:r>
    </w:p>
    <w:p>
      <w:pPr>
        <w:spacing w:before="157" w:beforeLines="5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项目安全围蔽管理需求</w:t>
      </w:r>
      <w:r>
        <w:rPr>
          <w:rFonts w:hint="eastAsia" w:ascii="仿宋_GB2312" w:hAnsi="仿宋_GB2312" w:eastAsia="仿宋_GB2312" w:cs="仿宋_GB2312"/>
          <w:sz w:val="32"/>
          <w:szCs w:val="32"/>
        </w:rPr>
        <w:t>，广州南沙科技投资有限公司现对南沙前锋水乡一、二涌项目围蔽工程进行邀请招标，选定项目施工总承包单位。</w:t>
      </w:r>
    </w:p>
    <w:p>
      <w:pPr>
        <w:widowControl/>
        <w:numPr>
          <w:ilvl w:val="0"/>
          <w:numId w:val="1"/>
        </w:numPr>
        <w:adjustRightInd w:val="0"/>
        <w:snapToGrid w:val="0"/>
        <w:spacing w:before="157" w:beforeLines="50" w:line="360" w:lineRule="auto"/>
        <w:ind w:firstLine="720"/>
        <w:outlineLvl w:val="1"/>
        <w:rPr>
          <w:rFonts w:ascii="仿宋_GB2312" w:hAnsi="仿宋_GB2312" w:eastAsia="仿宋_GB2312" w:cs="仿宋_GB2312"/>
          <w:bCs/>
          <w:sz w:val="32"/>
          <w:szCs w:val="32"/>
          <w:u w:val="single"/>
        </w:rPr>
      </w:pPr>
      <w:bookmarkStart w:id="1" w:name="_Toc24043"/>
      <w:bookmarkStart w:id="2" w:name="_Toc9886"/>
      <w:bookmarkStart w:id="3" w:name="_Toc24361"/>
      <w:bookmarkStart w:id="4" w:name="_Toc1170"/>
      <w:r>
        <w:rPr>
          <w:rFonts w:hint="eastAsia" w:ascii="仿宋_GB2312" w:hAnsi="仿宋_GB2312" w:eastAsia="仿宋_GB2312" w:cs="仿宋_GB2312"/>
          <w:b/>
          <w:sz w:val="32"/>
          <w:szCs w:val="32"/>
        </w:rPr>
        <w:t>项目概况：</w:t>
      </w:r>
      <w:bookmarkEnd w:id="1"/>
      <w:bookmarkEnd w:id="2"/>
      <w:bookmarkEnd w:id="3"/>
      <w:bookmarkEnd w:id="4"/>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1.工程名称</w:t>
      </w:r>
      <w:r>
        <w:rPr>
          <w:rFonts w:hint="eastAsia" w:ascii="仿宋_GB2312" w:hAnsi="仿宋_GB2312" w:eastAsia="仿宋_GB2312" w:cs="仿宋_GB2312"/>
          <w:sz w:val="32"/>
          <w:szCs w:val="32"/>
        </w:rPr>
        <w:t>：南沙前锋水乡一、二涌项目围蔽工程</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2.业主单位：</w:t>
      </w:r>
      <w:r>
        <w:rPr>
          <w:rFonts w:hint="eastAsia" w:ascii="仿宋_GB2312" w:hAnsi="仿宋_GB2312" w:eastAsia="仿宋_GB2312" w:cs="仿宋_GB2312"/>
          <w:sz w:val="32"/>
          <w:szCs w:val="32"/>
        </w:rPr>
        <w:t>广州南沙科技投资有限公司</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3.联系人：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p>
    <w:p>
      <w:pPr>
        <w:spacing w:line="360" w:lineRule="auto"/>
        <w:ind w:firstLine="643"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4.施工地点：</w:t>
      </w:r>
      <w:r>
        <w:rPr>
          <w:rFonts w:hint="eastAsia" w:ascii="仿宋_GB2312" w:hAnsi="仿宋_GB2312" w:eastAsia="仿宋_GB2312" w:cs="仿宋_GB2312"/>
          <w:sz w:val="32"/>
          <w:szCs w:val="32"/>
        </w:rPr>
        <w:t>广州市南沙区珠江街道前锋社区居委一二涌</w:t>
      </w:r>
      <w:r>
        <w:rPr>
          <w:rFonts w:hint="eastAsia" w:ascii="仿宋_GB2312" w:hAnsi="仿宋_GB2312" w:eastAsia="仿宋_GB2312" w:cs="仿宋_GB2312"/>
          <w:sz w:val="32"/>
          <w:szCs w:val="32"/>
          <w:lang w:eastAsia="zh-CN"/>
        </w:rPr>
        <w:t>。</w:t>
      </w:r>
    </w:p>
    <w:p>
      <w:pPr>
        <w:widowControl/>
        <w:numPr>
          <w:ilvl w:val="-1"/>
          <w:numId w:val="0"/>
        </w:numPr>
        <w:adjustRightInd w:val="0"/>
        <w:snapToGrid w:val="0"/>
        <w:spacing w:line="360" w:lineRule="auto"/>
        <w:ind w:left="0" w:leftChars="0" w:firstLine="643" w:firstLineChars="200"/>
        <w:outlineLvl w:val="1"/>
        <w:rPr>
          <w:rFonts w:ascii="仿宋_GB2312" w:hAnsi="仿宋_GB2312" w:eastAsia="仿宋_GB2312" w:cs="仿宋_GB2312"/>
          <w:b/>
          <w:sz w:val="32"/>
          <w:szCs w:val="32"/>
        </w:rPr>
      </w:pPr>
      <w:bookmarkStart w:id="5" w:name="_Toc21951"/>
      <w:bookmarkStart w:id="6" w:name="_Toc28035"/>
      <w:bookmarkStart w:id="7" w:name="_Toc15352"/>
      <w:bookmarkStart w:id="8" w:name="_Toc5144"/>
      <w:bookmarkStart w:id="9" w:name="_Toc25863"/>
      <w:bookmarkStart w:id="10" w:name="_Toc7071"/>
      <w:r>
        <w:rPr>
          <w:rFonts w:hint="eastAsia" w:ascii="仿宋_GB2312" w:hAnsi="仿宋_GB2312" w:eastAsia="仿宋_GB2312" w:cs="仿宋_GB2312"/>
          <w:b/>
          <w:sz w:val="32"/>
          <w:szCs w:val="32"/>
          <w:lang w:val="en-US" w:eastAsia="zh-CN"/>
        </w:rPr>
        <w:t>二、</w:t>
      </w:r>
      <w:r>
        <w:rPr>
          <w:rFonts w:hint="eastAsia" w:ascii="仿宋_GB2312" w:hAnsi="仿宋_GB2312" w:eastAsia="仿宋_GB2312" w:cs="仿宋_GB2312"/>
          <w:b/>
          <w:sz w:val="32"/>
          <w:szCs w:val="32"/>
        </w:rPr>
        <w:t>围蔽需求</w:t>
      </w:r>
      <w:bookmarkEnd w:id="5"/>
      <w:bookmarkEnd w:id="6"/>
      <w:bookmarkEnd w:id="7"/>
      <w:bookmarkEnd w:id="8"/>
      <w:r>
        <w:rPr>
          <w:rFonts w:hint="eastAsia" w:ascii="仿宋_GB2312" w:hAnsi="仿宋_GB2312" w:eastAsia="仿宋_GB2312" w:cs="仿宋_GB2312"/>
          <w:b/>
          <w:sz w:val="32"/>
          <w:szCs w:val="32"/>
        </w:rPr>
        <w:t>、</w:t>
      </w:r>
      <w:r>
        <w:rPr>
          <w:rFonts w:hint="eastAsia" w:ascii="仿宋_GB2312" w:hAnsi="仿宋_GB2312" w:eastAsia="仿宋_GB2312" w:cs="仿宋_GB2312"/>
          <w:b/>
          <w:bCs/>
          <w:sz w:val="32"/>
          <w:szCs w:val="32"/>
        </w:rPr>
        <w:t>招标范围、招标单价和限价</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围蔽需求</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1.围蔽原则：</w:t>
      </w:r>
      <w:r>
        <w:rPr>
          <w:rFonts w:hint="eastAsia" w:ascii="仿宋_GB2312" w:hAnsi="仿宋_GB2312" w:eastAsia="仿宋_GB2312" w:cs="仿宋_GB2312"/>
          <w:sz w:val="32"/>
          <w:szCs w:val="32"/>
        </w:rPr>
        <w:t>经济适用。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2.围蔽内容：</w:t>
      </w:r>
      <w:r>
        <w:rPr>
          <w:rFonts w:hint="eastAsia" w:ascii="仿宋_GB2312" w:hAnsi="仿宋_GB2312" w:eastAsia="仿宋_GB2312" w:cs="仿宋_GB2312"/>
          <w:sz w:val="32"/>
          <w:szCs w:val="32"/>
        </w:rPr>
        <w:t>围蔽已征收房屋首层的窗和门和物业外围，外围高度2米。</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3.围蔽目标：</w:t>
      </w:r>
      <w:r>
        <w:rPr>
          <w:rFonts w:hint="eastAsia" w:ascii="仿宋_GB2312" w:hAnsi="仿宋_GB2312" w:eastAsia="仿宋_GB2312" w:cs="仿宋_GB2312"/>
          <w:sz w:val="32"/>
          <w:szCs w:val="32"/>
        </w:rPr>
        <w:t>预防闲杂人员进入已征收物业范围，规避安全隐患。（目的是使外面的闲杂人员进不去，保障安全）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4.围蔽材料建议：</w:t>
      </w:r>
      <w:r>
        <w:rPr>
          <w:rFonts w:hint="eastAsia" w:ascii="仿宋_GB2312" w:hAnsi="仿宋_GB2312" w:eastAsia="仿宋_GB2312" w:cs="仿宋_GB2312"/>
          <w:sz w:val="32"/>
          <w:szCs w:val="32"/>
        </w:rPr>
        <w:t>房屋门窗围蔽材质建议是彩钢铁皮/彩钢瓦（选用材料326</w:t>
      </w:r>
      <w:r>
        <w:rPr>
          <w:rFonts w:hint="eastAsia" w:ascii="宋体" w:hAnsi="宋体" w:cs="宋体"/>
          <w:sz w:val="32"/>
          <w:szCs w:val="32"/>
        </w:rPr>
        <w:t>＃</w:t>
      </w:r>
      <w:r>
        <w:rPr>
          <w:rFonts w:hint="eastAsia" w:ascii="仿宋_GB2312" w:hAnsi="仿宋_GB2312" w:eastAsia="仿宋_GB2312" w:cs="仿宋_GB2312"/>
          <w:sz w:val="32"/>
          <w:szCs w:val="32"/>
        </w:rPr>
        <w:t>）。物业外围建议采用3*3的镀锌角铁做门框架封波浪纹彩钢板或毛板（材料厚度不低于0.4mm），围蔽完成的物业需保障业主可随时进入，需装合页、锁扣和门锁；（备注：如对房屋外围进行围蔽即可达到阻挡效果，则该物业里面门窗无需再围蔽，另如有物业门窗未拆除，则无需围蔽。）</w:t>
      </w:r>
    </w:p>
    <w:p>
      <w:pPr>
        <w:spacing w:line="360" w:lineRule="auto"/>
        <w:ind w:firstLine="420" w:firstLineChars="200"/>
        <w:rPr>
          <w:rFonts w:ascii="仿宋_GB2312" w:hAnsi="仿宋_GB2312" w:eastAsia="仿宋_GB2312" w:cs="仿宋_GB2312"/>
          <w:sz w:val="32"/>
          <w:szCs w:val="32"/>
        </w:rPr>
      </w:pPr>
      <w:r>
        <w:rPr>
          <w:rFonts w:hint="eastAsia"/>
        </w:rPr>
        <w:drawing>
          <wp:inline distT="0" distB="0" distL="114300" distR="114300">
            <wp:extent cx="5276850" cy="4260850"/>
            <wp:effectExtent l="0" t="0" r="6350" b="6350"/>
            <wp:docPr id="2" name="图片 2" descr="微信截图_202309191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919113451"/>
                    <pic:cNvPicPr>
                      <a:picLocks noChangeAspect="1"/>
                    </pic:cNvPicPr>
                  </pic:nvPicPr>
                  <pic:blipFill>
                    <a:blip r:embed="rId6"/>
                    <a:stretch>
                      <a:fillRect/>
                    </a:stretch>
                  </pic:blipFill>
                  <pic:spPr>
                    <a:xfrm>
                      <a:off x="0" y="0"/>
                      <a:ext cx="5276850" cy="4260850"/>
                    </a:xfrm>
                    <a:prstGeom prst="rect">
                      <a:avLst/>
                    </a:prstGeom>
                  </pic:spPr>
                </pic:pic>
              </a:graphicData>
            </a:graphic>
          </wp:inline>
        </w:drawing>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5.工程量：</w:t>
      </w:r>
      <w:r>
        <w:rPr>
          <w:rFonts w:hint="eastAsia" w:ascii="仿宋_GB2312" w:hAnsi="仿宋_GB2312" w:eastAsia="仿宋_GB2312" w:cs="仿宋_GB2312"/>
          <w:sz w:val="32"/>
          <w:szCs w:val="32"/>
        </w:rPr>
        <w:t>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outlineLvl w:val="2"/>
        <w:rPr>
          <w:rFonts w:ascii="仿宋_GB2312" w:hAnsi="仿宋_GB2312" w:eastAsia="仿宋_GB2312" w:cs="仿宋_GB2312"/>
          <w:sz w:val="32"/>
          <w:szCs w:val="32"/>
        </w:rPr>
      </w:pPr>
      <w:bookmarkStart w:id="11" w:name="_Toc24786"/>
      <w:bookmarkStart w:id="12" w:name="_Toc27638"/>
      <w:r>
        <w:rPr>
          <w:rFonts w:hint="eastAsia" w:ascii="仿宋_GB2312" w:hAnsi="仿宋_GB2312" w:eastAsia="仿宋_GB2312" w:cs="仿宋_GB2312"/>
          <w:b/>
          <w:bCs/>
          <w:sz w:val="32"/>
          <w:szCs w:val="32"/>
        </w:rPr>
        <w:t>6.围蔽高度：</w:t>
      </w:r>
      <w:r>
        <w:rPr>
          <w:rFonts w:hint="eastAsia" w:ascii="仿宋_GB2312" w:hAnsi="仿宋_GB2312" w:eastAsia="仿宋_GB2312" w:cs="仿宋_GB2312"/>
          <w:sz w:val="32"/>
          <w:szCs w:val="32"/>
        </w:rPr>
        <w:t>2米。</w:t>
      </w:r>
      <w:bookmarkEnd w:id="11"/>
      <w:bookmarkEnd w:id="12"/>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7.报价方式：</w:t>
      </w:r>
      <w:r>
        <w:rPr>
          <w:rFonts w:hint="eastAsia" w:ascii="仿宋_GB2312" w:hAnsi="仿宋_GB2312" w:eastAsia="仿宋_GB2312" w:cs="仿宋_GB2312"/>
          <w:sz w:val="32"/>
          <w:szCs w:val="32"/>
        </w:rPr>
        <w:t>按平方报价，价格结构组成为：封门费、封窗费、封外围费。以项目单独按平方报单价。（单价含人工费、材料费、安装费、加工费、运输费、税费、维保费等所有费用。）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8.维保期：</w:t>
      </w:r>
      <w:r>
        <w:rPr>
          <w:rFonts w:hint="eastAsia" w:ascii="仿宋_GB2312" w:hAnsi="仿宋_GB2312" w:eastAsia="仿宋_GB2312" w:cs="仿宋_GB2312"/>
          <w:sz w:val="32"/>
          <w:szCs w:val="32"/>
        </w:rPr>
        <w:t>二年。</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9.现场围蔽物业识别方式：</w:t>
      </w:r>
      <w:r>
        <w:rPr>
          <w:rFonts w:hint="eastAsia" w:ascii="仿宋_GB2312" w:hAnsi="仿宋_GB2312" w:eastAsia="仿宋_GB2312" w:cs="仿宋_GB2312"/>
          <w:sz w:val="32"/>
          <w:szCs w:val="32"/>
        </w:rPr>
        <w:t>如下图</w:t>
      </w:r>
    </w:p>
    <w:p>
      <w:pPr>
        <w:spacing w:before="155" w:line="221" w:lineRule="auto"/>
        <w:jc w:val="left"/>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741295" cy="1315720"/>
            <wp:effectExtent l="0" t="0" r="1905" b="5080"/>
            <wp:docPr id="8" name="图片 8"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26153855"/>
                    <pic:cNvPicPr>
                      <a:picLocks noChangeAspect="1"/>
                    </pic:cNvPicPr>
                  </pic:nvPicPr>
                  <pic:blipFill>
                    <a:blip r:embed="rId7"/>
                    <a:stretch>
                      <a:fillRect/>
                    </a:stretch>
                  </pic:blipFill>
                  <pic:spPr>
                    <a:xfrm>
                      <a:off x="0" y="0"/>
                      <a:ext cx="2741295" cy="1315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92225" cy="2655570"/>
            <wp:effectExtent l="0" t="0" r="11430" b="3175"/>
            <wp:docPr id="13" name="图片 13"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708"/>
                    <pic:cNvPicPr>
                      <a:picLocks noChangeAspect="1"/>
                    </pic:cNvPicPr>
                  </pic:nvPicPr>
                  <pic:blipFill>
                    <a:blip r:embed="rId8"/>
                    <a:srcRect l="34590" b="-736"/>
                    <a:stretch>
                      <a:fillRect/>
                    </a:stretch>
                  </pic:blipFill>
                  <pic:spPr>
                    <a:xfrm rot="16200000">
                      <a:off x="0" y="0"/>
                      <a:ext cx="1292225" cy="2655570"/>
                    </a:xfrm>
                    <a:prstGeom prst="rect">
                      <a:avLst/>
                    </a:prstGeom>
                  </pic:spPr>
                </pic:pic>
              </a:graphicData>
            </a:graphic>
          </wp:inline>
        </w:drawing>
      </w:r>
    </w:p>
    <w:p>
      <w:pPr>
        <w:spacing w:before="0" w:line="360" w:lineRule="auto"/>
        <w:ind w:firstLine="595" w:firstLineChars="200"/>
        <w:jc w:val="left"/>
        <w:rPr>
          <w:rFonts w:ascii="仿宋_GB2312" w:hAnsi="仿宋_GB2312" w:eastAsia="仿宋_GB2312" w:cs="仿宋_GB2312"/>
          <w:b/>
          <w:bCs/>
          <w:spacing w:val="-12"/>
          <w:sz w:val="32"/>
          <w:szCs w:val="32"/>
        </w:rPr>
      </w:pPr>
      <w:r>
        <w:rPr>
          <w:rFonts w:hint="eastAsia" w:ascii="仿宋_GB2312" w:hAnsi="仿宋_GB2312" w:eastAsia="仿宋_GB2312" w:cs="仿宋_GB2312"/>
          <w:b/>
          <w:bCs/>
          <w:spacing w:val="-12"/>
          <w:sz w:val="32"/>
          <w:szCs w:val="32"/>
        </w:rPr>
        <w:t>10.现场实景：</w:t>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64530" cy="3474720"/>
            <wp:effectExtent l="0" t="0" r="1270" b="5080"/>
            <wp:docPr id="12" name="图片 12"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30728125011"/>
                    <pic:cNvPicPr>
                      <a:picLocks noChangeAspect="1"/>
                    </pic:cNvPicPr>
                  </pic:nvPicPr>
                  <pic:blipFill>
                    <a:blip r:embed="rId9"/>
                    <a:stretch>
                      <a:fillRect/>
                    </a:stretch>
                  </pic:blipFill>
                  <pic:spPr>
                    <a:xfrm>
                      <a:off x="0" y="0"/>
                      <a:ext cx="5764530" cy="3474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5271135" cy="2454275"/>
            <wp:effectExtent l="0" t="0" r="12065" b="9525"/>
            <wp:docPr id="10" name="图片 10"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728121129"/>
                    <pic:cNvPicPr>
                      <a:picLocks noChangeAspect="1"/>
                    </pic:cNvPicPr>
                  </pic:nvPicPr>
                  <pic:blipFill>
                    <a:blip r:embed="rId10"/>
                    <a:stretch>
                      <a:fillRect/>
                    </a:stretch>
                  </pic:blipFill>
                  <pic:spPr>
                    <a:xfrm>
                      <a:off x="0" y="0"/>
                      <a:ext cx="5271135" cy="2454275"/>
                    </a:xfrm>
                    <a:prstGeom prst="rect">
                      <a:avLst/>
                    </a:prstGeom>
                  </pic:spPr>
                </pic:pic>
              </a:graphicData>
            </a:graphic>
          </wp:inline>
        </w:drawing>
      </w:r>
    </w:p>
    <w:p>
      <w:pPr>
        <w:pStyle w:val="2"/>
        <w:ind w:firstLine="0"/>
      </w:pPr>
      <w:r>
        <w:rPr>
          <w:rFonts w:hint="eastAsia"/>
        </w:rPr>
        <w:drawing>
          <wp:inline distT="0" distB="0" distL="114300" distR="114300">
            <wp:extent cx="6289040" cy="2647315"/>
            <wp:effectExtent l="0" t="0" r="10160" b="6985"/>
            <wp:docPr id="11" name="图片 11"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222"/>
                    <pic:cNvPicPr>
                      <a:picLocks noChangeAspect="1"/>
                    </pic:cNvPicPr>
                  </pic:nvPicPr>
                  <pic:blipFill>
                    <a:blip r:embed="rId11"/>
                    <a:stretch>
                      <a:fillRect/>
                    </a:stretch>
                  </pic:blipFill>
                  <pic:spPr>
                    <a:xfrm>
                      <a:off x="0" y="0"/>
                      <a:ext cx="6289040" cy="2647315"/>
                    </a:xfrm>
                    <a:prstGeom prst="rect">
                      <a:avLst/>
                    </a:prstGeom>
                  </pic:spPr>
                </pic:pic>
              </a:graphicData>
            </a:graphic>
          </wp:inline>
        </w:drawing>
      </w:r>
      <w:r>
        <w:rPr>
          <w:rFonts w:hint="eastAsia"/>
        </w:rPr>
        <w:drawing>
          <wp:inline distT="0" distB="0" distL="114300" distR="114300">
            <wp:extent cx="6068060" cy="2705100"/>
            <wp:effectExtent l="0" t="0" r="2540" b="0"/>
            <wp:docPr id="7" name="图片 7"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发发"/>
                    <pic:cNvPicPr>
                      <a:picLocks noChangeAspect="1"/>
                    </pic:cNvPicPr>
                  </pic:nvPicPr>
                  <pic:blipFill>
                    <a:blip r:embed="rId12"/>
                    <a:stretch>
                      <a:fillRect/>
                    </a:stretch>
                  </pic:blipFill>
                  <pic:spPr>
                    <a:xfrm>
                      <a:off x="0" y="0"/>
                      <a:ext cx="6068060" cy="270510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89930" cy="3860165"/>
            <wp:effectExtent l="0" t="0" r="1270" b="635"/>
            <wp:docPr id="14" name="图片 14" descr="DJI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0850"/>
                    <pic:cNvPicPr>
                      <a:picLocks noChangeAspect="1"/>
                    </pic:cNvPicPr>
                  </pic:nvPicPr>
                  <pic:blipFill>
                    <a:blip r:embed="rId13"/>
                    <a:stretch>
                      <a:fillRect/>
                    </a:stretch>
                  </pic:blipFill>
                  <pic:spPr>
                    <a:xfrm>
                      <a:off x="0" y="0"/>
                      <a:ext cx="5789930" cy="3860165"/>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2139315" cy="2853690"/>
            <wp:effectExtent l="0" t="0" r="3810" b="6985"/>
            <wp:docPr id="15" name="图片 15"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05"/>
                    <pic:cNvPicPr>
                      <a:picLocks noChangeAspect="1"/>
                    </pic:cNvPicPr>
                  </pic:nvPicPr>
                  <pic:blipFill>
                    <a:blip r:embed="rId14"/>
                    <a:stretch>
                      <a:fillRect/>
                    </a:stretch>
                  </pic:blipFill>
                  <pic:spPr>
                    <a:xfrm rot="16200000">
                      <a:off x="0" y="0"/>
                      <a:ext cx="2139315" cy="2853690"/>
                    </a:xfrm>
                    <a:prstGeom prst="rect">
                      <a:avLst/>
                    </a:prstGeom>
                  </pic:spPr>
                </pic:pic>
              </a:graphicData>
            </a:graphic>
          </wp:inline>
        </w:drawing>
      </w:r>
      <w:r>
        <w:rPr>
          <w:rFonts w:hint="eastAsia" w:ascii="仿宋_GB2312" w:hAnsi="仿宋_GB2312" w:eastAsia="仿宋_GB2312" w:cs="仿宋_GB2312"/>
          <w:spacing w:val="-12"/>
          <w:sz w:val="28"/>
          <w:szCs w:val="28"/>
          <w:lang w:val="en-US" w:eastAsia="zh-CN"/>
        </w:rPr>
        <w:t xml:space="preserve"> </w:t>
      </w:r>
      <w:r>
        <w:rPr>
          <w:rFonts w:hint="eastAsia" w:ascii="仿宋_GB2312" w:hAnsi="仿宋_GB2312" w:eastAsia="仿宋_GB2312" w:cs="仿宋_GB2312"/>
          <w:spacing w:val="-12"/>
          <w:sz w:val="28"/>
          <w:szCs w:val="28"/>
        </w:rPr>
        <w:drawing>
          <wp:inline distT="0" distB="0" distL="114300" distR="114300">
            <wp:extent cx="2143760" cy="2859405"/>
            <wp:effectExtent l="0" t="0" r="10795" b="2540"/>
            <wp:docPr id="4" name="图片 4"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696"/>
                    <pic:cNvPicPr>
                      <a:picLocks noChangeAspect="1"/>
                    </pic:cNvPicPr>
                  </pic:nvPicPr>
                  <pic:blipFill>
                    <a:blip r:embed="rId15"/>
                    <a:stretch>
                      <a:fillRect/>
                    </a:stretch>
                  </pic:blipFill>
                  <pic:spPr>
                    <a:xfrm rot="16200000">
                      <a:off x="0" y="0"/>
                      <a:ext cx="2143760" cy="285940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96745" cy="2528570"/>
            <wp:effectExtent l="0" t="0" r="8255" b="11430"/>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6"/>
                    <a:stretch>
                      <a:fillRect/>
                    </a:stretch>
                  </pic:blipFill>
                  <pic:spPr>
                    <a:xfrm>
                      <a:off x="0" y="0"/>
                      <a:ext cx="1896745" cy="2528570"/>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2493010" cy="3324860"/>
            <wp:effectExtent l="0" t="0" r="2540" b="8890"/>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17"/>
                    <a:stretch>
                      <a:fillRect/>
                    </a:stretch>
                  </pic:blipFill>
                  <pic:spPr>
                    <a:xfrm rot="16200000">
                      <a:off x="0" y="0"/>
                      <a:ext cx="2493010" cy="3324860"/>
                    </a:xfrm>
                    <a:prstGeom prst="rect">
                      <a:avLst/>
                    </a:prstGeom>
                  </pic:spPr>
                </pic:pic>
              </a:graphicData>
            </a:graphic>
          </wp:inline>
        </w:drawing>
      </w:r>
    </w:p>
    <w:p>
      <w:pPr>
        <w:spacing w:line="360" w:lineRule="auto"/>
        <w:ind w:firstLine="643"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11.现场勘察对接人：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r>
        <w:rPr>
          <w:rFonts w:hint="eastAsia" w:ascii="仿宋_GB2312" w:hAnsi="仿宋_GB2312" w:eastAsia="仿宋_GB2312" w:cs="仿宋_GB2312"/>
          <w:sz w:val="32"/>
          <w:szCs w:val="32"/>
          <w:lang w:eastAsia="zh-CN"/>
        </w:rPr>
        <w:t>。</w:t>
      </w:r>
    </w:p>
    <w:p>
      <w:pPr>
        <w:pStyle w:val="2"/>
        <w:rPr>
          <w:b/>
          <w:bCs/>
        </w:rPr>
      </w:pPr>
      <w:r>
        <w:rPr>
          <w:rFonts w:hint="eastAsia" w:ascii="仿宋_GB2312" w:hAnsi="仿宋_GB2312" w:cs="仿宋_GB2312"/>
          <w:b/>
          <w:bCs/>
          <w:sz w:val="32"/>
          <w:szCs w:val="32"/>
        </w:rPr>
        <w:t>（二）招标范围</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（三）招标单价和限价</w:t>
      </w:r>
    </w:p>
    <w:p>
      <w:pPr>
        <w:spacing w:line="360" w:lineRule="auto"/>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sz w:val="32"/>
          <w:szCs w:val="32"/>
        </w:rPr>
        <w:t>综合单价包干；以招标公布的工程量清单为基础，结合项目内需围蔽物业的实际情况确定实际围蔽内容；合同结算价以经业主确认的现场实际围蔽的工程量乘以中标合同单价，最终结算价以双方审定金额为准。完成本项目招标范围内所有物业围蔽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p>
      <w:pPr>
        <w:spacing w:line="360" w:lineRule="auto"/>
        <w:ind w:firstLine="640" w:firstLineChars="200"/>
        <w:jc w:val="left"/>
        <w:outlineLvl w:val="2"/>
        <w:rPr>
          <w:rFonts w:ascii="仿宋_GB2312" w:hAnsi="仿宋_GB2312" w:eastAsia="仿宋_GB2312" w:cs="仿宋_GB2312"/>
          <w:sz w:val="32"/>
          <w:szCs w:val="32"/>
        </w:rPr>
      </w:pPr>
      <w:bookmarkStart w:id="13" w:name="_Toc13006"/>
      <w:bookmarkStart w:id="14" w:name="_Toc6940"/>
      <w:r>
        <w:rPr>
          <w:rFonts w:hint="eastAsia" w:ascii="仿宋_GB2312" w:hAnsi="仿宋_GB2312" w:eastAsia="仿宋_GB2312" w:cs="仿宋_GB2312"/>
          <w:sz w:val="32"/>
          <w:szCs w:val="32"/>
        </w:rPr>
        <w:t>2.最高投标限价：35万元。</w:t>
      </w:r>
      <w:bookmarkEnd w:id="13"/>
      <w:bookmarkEnd w:id="14"/>
    </w:p>
    <w:p>
      <w:pPr>
        <w:spacing w:line="360" w:lineRule="auto"/>
        <w:ind w:firstLine="643" w:firstLineChars="200"/>
        <w:jc w:val="left"/>
        <w:outlineLvl w:val="1"/>
        <w:rPr>
          <w:rFonts w:ascii="仿宋_GB2312" w:hAnsi="仿宋_GB2312" w:eastAsia="仿宋_GB2312" w:cs="仿宋_GB2312"/>
          <w:sz w:val="32"/>
          <w:szCs w:val="32"/>
          <w:u w:val="single"/>
        </w:rPr>
      </w:pPr>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9"/>
      <w:bookmarkEnd w:id="10"/>
    </w:p>
    <w:p>
      <w:pPr>
        <w:spacing w:line="360" w:lineRule="auto"/>
        <w:ind w:firstLine="643" w:firstLineChars="200"/>
        <w:outlineLvl w:val="0"/>
        <w:rPr>
          <w:rFonts w:ascii="仿宋_GB2312" w:hAnsi="仿宋_GB2312" w:eastAsia="仿宋_GB2312" w:cs="仿宋_GB2312"/>
          <w:sz w:val="32"/>
          <w:szCs w:val="32"/>
        </w:rPr>
      </w:pPr>
      <w:bookmarkStart w:id="15" w:name="_Toc28432"/>
      <w:bookmarkStart w:id="16" w:name="_Toc23060"/>
      <w:bookmarkStart w:id="17" w:name="_Toc14520"/>
      <w:bookmarkStart w:id="18" w:name="_Toc19078"/>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15"/>
      <w:bookmarkEnd w:id="16"/>
      <w:bookmarkEnd w:id="17"/>
      <w:bookmarkEnd w:id="18"/>
    </w:p>
    <w:p>
      <w:pPr>
        <w:spacing w:line="360" w:lineRule="auto"/>
        <w:ind w:firstLine="720" w:firstLineChars="224"/>
        <w:outlineLvl w:val="0"/>
        <w:rPr>
          <w:rFonts w:ascii="仿宋_GB2312" w:hAnsi="仿宋_GB2312" w:eastAsia="仿宋_GB2312" w:cs="仿宋_GB2312"/>
          <w:sz w:val="32"/>
          <w:szCs w:val="32"/>
          <w:highlight w:val="none"/>
          <w:u w:val="single"/>
        </w:rPr>
      </w:pPr>
      <w:bookmarkStart w:id="19" w:name="_Toc19634"/>
      <w:bookmarkStart w:id="20" w:name="_Toc14653"/>
      <w:bookmarkStart w:id="21" w:name="_Toc10954"/>
      <w:bookmarkStart w:id="22" w:name="_Toc22548"/>
      <w:bookmarkStart w:id="23" w:name="_Toc558"/>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2023年10月</w:t>
      </w:r>
      <w:r>
        <w:rPr>
          <w:rFonts w:hint="eastAsia" w:ascii="仿宋_GB2312" w:hAnsi="仿宋_GB2312" w:eastAsia="仿宋_GB2312" w:cs="仿宋_GB2312"/>
          <w:sz w:val="32"/>
          <w:szCs w:val="32"/>
          <w:highlight w:val="none"/>
          <w:u w:val="single"/>
          <w:lang w:val="en-US" w:eastAsia="zh-CN"/>
        </w:rPr>
        <w:t>18</w:t>
      </w:r>
      <w:r>
        <w:rPr>
          <w:rFonts w:hint="eastAsia" w:ascii="仿宋_GB2312" w:hAnsi="仿宋_GB2312" w:eastAsia="仿宋_GB2312" w:cs="仿宋_GB2312"/>
          <w:sz w:val="32"/>
          <w:szCs w:val="32"/>
          <w:highlight w:val="none"/>
          <w:u w:val="single"/>
        </w:rPr>
        <w:t xml:space="preserve">日至 2023年 10月 </w:t>
      </w:r>
      <w:r>
        <w:rPr>
          <w:rFonts w:hint="eastAsia" w:ascii="仿宋_GB2312" w:hAnsi="仿宋_GB2312" w:eastAsia="仿宋_GB2312" w:cs="仿宋_GB2312"/>
          <w:sz w:val="32"/>
          <w:szCs w:val="32"/>
          <w:highlight w:val="none"/>
          <w:u w:val="single"/>
          <w:lang w:val="en-US" w:eastAsia="zh-CN"/>
        </w:rPr>
        <w:t>23</w:t>
      </w:r>
      <w:r>
        <w:rPr>
          <w:rFonts w:hint="eastAsia" w:ascii="仿宋_GB2312" w:hAnsi="仿宋_GB2312" w:eastAsia="仿宋_GB2312" w:cs="仿宋_GB2312"/>
          <w:sz w:val="32"/>
          <w:szCs w:val="32"/>
          <w:highlight w:val="none"/>
          <w:u w:val="single"/>
        </w:rPr>
        <w:t xml:space="preserve"> 日</w:t>
      </w:r>
    </w:p>
    <w:p>
      <w:pPr>
        <w:spacing w:line="360" w:lineRule="auto"/>
        <w:ind w:firstLine="643" w:firstLineChars="200"/>
        <w:outlineLvl w:val="2"/>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2.递交投标文件时间和交标地点：</w:t>
      </w:r>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2023年10月19日9时00分至</w:t>
      </w:r>
      <w:r>
        <w:rPr>
          <w:rFonts w:hint="eastAsia" w:ascii="仿宋_GB2312" w:hAnsi="仿宋_GB2312" w:eastAsia="仿宋_GB2312" w:cs="仿宋_GB2312"/>
          <w:sz w:val="32"/>
          <w:szCs w:val="32"/>
          <w:highlight w:val="none"/>
          <w:u w:val="single"/>
        </w:rPr>
        <w:t>2023年 10月</w:t>
      </w:r>
      <w:r>
        <w:rPr>
          <w:rFonts w:hint="eastAsia" w:ascii="仿宋_GB2312" w:hAnsi="仿宋_GB2312" w:eastAsia="仿宋_GB2312" w:cs="仿宋_GB2312"/>
          <w:sz w:val="32"/>
          <w:szCs w:val="32"/>
          <w:highlight w:val="none"/>
          <w:u w:val="single"/>
          <w:lang w:val="en-US" w:eastAsia="zh-CN"/>
        </w:rPr>
        <w:t>24</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9</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2023年10月</w:t>
      </w:r>
      <w:r>
        <w:rPr>
          <w:rFonts w:hint="eastAsia" w:ascii="仿宋_GB2312" w:hAnsi="仿宋_GB2312" w:eastAsia="仿宋_GB2312" w:cs="仿宋_GB2312"/>
          <w:color w:val="auto"/>
          <w:sz w:val="32"/>
          <w:szCs w:val="32"/>
          <w:highlight w:val="none"/>
          <w:u w:val="single"/>
          <w:lang w:val="en-US" w:eastAsia="zh-CN"/>
        </w:rPr>
        <w:t>24</w:t>
      </w:r>
      <w:r>
        <w:rPr>
          <w:rFonts w:hint="eastAsia" w:ascii="仿宋_GB2312" w:hAnsi="仿宋_GB2312" w:eastAsia="仿宋_GB2312" w:cs="仿宋_GB2312"/>
          <w:color w:val="auto"/>
          <w:sz w:val="32"/>
          <w:szCs w:val="32"/>
          <w:highlight w:val="none"/>
          <w:u w:val="single"/>
        </w:rPr>
        <w:t>日10:00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r>
        <w:rPr>
          <w:rFonts w:hint="eastAsia" w:ascii="仿宋_GB2312" w:hAnsi="仿宋_GB2312" w:eastAsia="仿宋_GB2312" w:cs="仿宋_GB2312"/>
          <w:color w:val="auto"/>
          <w:sz w:val="32"/>
          <w:szCs w:val="32"/>
          <w:highlight w:val="none"/>
          <w:u w:val="single"/>
          <w:lang w:eastAsia="zh-CN"/>
        </w:rPr>
        <w:t>。</w:t>
      </w:r>
    </w:p>
    <w:bookmarkEnd w:id="19"/>
    <w:bookmarkEnd w:id="20"/>
    <w:bookmarkEnd w:id="21"/>
    <w:p>
      <w:pPr>
        <w:spacing w:line="360" w:lineRule="auto"/>
        <w:ind w:firstLine="643"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5.其它：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22"/>
      <w:bookmarkEnd w:id="23"/>
      <w:bookmarkStart w:id="24" w:name="_Toc24027"/>
      <w:bookmarkStart w:id="25" w:name="_Toc29522"/>
      <w:bookmarkStart w:id="26" w:name="_Toc28711"/>
    </w:p>
    <w:p>
      <w:pPr>
        <w:spacing w:line="360" w:lineRule="auto"/>
        <w:ind w:firstLine="643" w:firstLineChars="200"/>
        <w:outlineLvl w:val="2"/>
        <w:rPr>
          <w:rFonts w:ascii="仿宋_GB2312" w:hAnsi="仿宋_GB2312" w:eastAsia="仿宋_GB2312" w:cs="仿宋_GB2312"/>
          <w:b/>
          <w:sz w:val="32"/>
          <w:szCs w:val="32"/>
        </w:rPr>
      </w:pPr>
      <w:bookmarkStart w:id="27" w:name="_Toc21661"/>
      <w:r>
        <w:rPr>
          <w:rFonts w:hint="eastAsia" w:ascii="仿宋_GB2312" w:hAnsi="仿宋_GB2312" w:eastAsia="仿宋_GB2312" w:cs="仿宋_GB2312"/>
          <w:b/>
          <w:sz w:val="32"/>
          <w:szCs w:val="32"/>
        </w:rPr>
        <w:t>五、邀请招标文件获取及办理投标登记手续：</w:t>
      </w:r>
      <w:bookmarkEnd w:id="24"/>
      <w:bookmarkEnd w:id="25"/>
      <w:bookmarkEnd w:id="26"/>
      <w:bookmarkEnd w:id="2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hint="eastAsia" w:ascii="仿宋_GB2312" w:hAnsi="仿宋_GB2312" w:eastAsia="仿宋_GB2312" w:cs="仿宋_GB2312"/>
          <w:sz w:val="32"/>
          <w:szCs w:val="32"/>
        </w:rPr>
      </w:pPr>
      <w:bookmarkStart w:id="28" w:name="_Toc27456"/>
      <w:r>
        <w:rPr>
          <w:rFonts w:hint="eastAsia" w:ascii="仿宋_GB2312" w:hAnsi="仿宋_GB2312" w:eastAsia="仿宋_GB2312" w:cs="仿宋_GB2312"/>
          <w:sz w:val="32"/>
          <w:szCs w:val="32"/>
        </w:rPr>
        <w:t>2.办理投标登记手续：</w:t>
      </w:r>
      <w:bookmarkEnd w:id="28"/>
    </w:p>
    <w:p>
      <w:pPr>
        <w:spacing w:line="360" w:lineRule="auto"/>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numPr>
          <w:ilvl w:val="0"/>
          <w:numId w:val="0"/>
        </w:num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上述资料由投标单位办理投标登记手续时提交一份。投标单位必须保证所提交资料</w:t>
      </w:r>
      <w:r>
        <w:rPr>
          <w:rFonts w:hint="eastAsia" w:ascii="仿宋_GB2312" w:hAnsi="仿宋_GB2312" w:eastAsia="仿宋_GB2312" w:cs="仿宋_GB2312"/>
          <w:sz w:val="32"/>
          <w:szCs w:val="32"/>
          <w:lang w:val="en-US" w:eastAsia="zh-CN"/>
        </w:rPr>
        <w:t>合法、</w:t>
      </w:r>
      <w:r>
        <w:rPr>
          <w:rFonts w:hint="eastAsia" w:ascii="仿宋_GB2312" w:hAnsi="仿宋_GB2312" w:eastAsia="仿宋_GB2312" w:cs="仿宋_GB2312"/>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29" w:name="_Toc4167"/>
      <w:bookmarkStart w:id="30" w:name="_Toc524"/>
      <w:bookmarkStart w:id="31" w:name="_Toc3685"/>
      <w:bookmarkStart w:id="32" w:name="_Toc31154"/>
      <w:r>
        <w:rPr>
          <w:rFonts w:hint="eastAsia" w:ascii="仿宋_GB2312" w:hAnsi="仿宋_GB2312" w:eastAsia="仿宋_GB2312" w:cs="仿宋_GB2312"/>
          <w:b/>
          <w:sz w:val="32"/>
          <w:szCs w:val="32"/>
        </w:rPr>
        <w:t>六、投标人合格条件：</w:t>
      </w:r>
      <w:bookmarkEnd w:id="29"/>
      <w:bookmarkEnd w:id="30"/>
      <w:bookmarkEnd w:id="31"/>
      <w:bookmarkEnd w:id="32"/>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1.投标人参加投标的意思表达清楚，投标人代表被授权有效。</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2.投标人均具有独立法人资格，按国家法律经营。</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3.经营范围：投标人经营范围需满足施工要求，包括但不限于建筑装饰、装修等；（提供营业执照）</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4.施工经验：投标人需提供已完成围蔽工程项目案例。（提供至少一个围蔽施工案例）。</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5.投标人需针对本围蔽工程，设立工作小组，设项目负责人、安全管理员及施工员，保障工程有序、安全、科学进行。</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6.投标人已按照附件一的内容签署盖章的《投标申请人声明》。</w:t>
      </w:r>
    </w:p>
    <w:p>
      <w:pPr>
        <w:spacing w:line="360" w:lineRule="auto"/>
        <w:ind w:firstLine="716" w:firstLineChars="224"/>
        <w:jc w:val="left"/>
        <w:rPr>
          <w:rFonts w:ascii="仿宋_GB2312" w:hAnsi="仿宋_GB2312" w:eastAsia="仿宋_GB2312" w:cs="仿宋_GB2312"/>
          <w:sz w:val="32"/>
          <w:szCs w:val="32"/>
        </w:rPr>
      </w:pPr>
      <w:bookmarkStart w:id="33" w:name="_Toc249846223"/>
      <w:bookmarkStart w:id="34" w:name="_Toc253143216"/>
      <w:bookmarkStart w:id="35" w:name="_Toc249845968"/>
      <w:bookmarkStart w:id="36" w:name="_Toc266093545"/>
      <w:bookmarkStart w:id="37" w:name="_Toc245023997"/>
      <w:bookmarkStart w:id="38" w:name="_Toc266881397"/>
      <w:r>
        <w:rPr>
          <w:rFonts w:hint="eastAsia" w:ascii="仿宋_GB2312" w:hAnsi="仿宋_GB2312" w:eastAsia="仿宋_GB2312" w:cs="仿宋_GB2312"/>
          <w:sz w:val="32"/>
          <w:szCs w:val="32"/>
        </w:rPr>
        <w:t>7.关于联合体投标：</w:t>
      </w:r>
      <w:bookmarkEnd w:id="33"/>
      <w:bookmarkEnd w:id="34"/>
      <w:bookmarkEnd w:id="35"/>
      <w:bookmarkEnd w:id="36"/>
      <w:bookmarkEnd w:id="37"/>
      <w:bookmarkEnd w:id="38"/>
      <w:r>
        <w:rPr>
          <w:rFonts w:hint="eastAsia" w:ascii="仿宋_GB2312" w:hAnsi="仿宋_GB2312" w:eastAsia="仿宋_GB2312" w:cs="仿宋_GB2312"/>
          <w:sz w:val="32"/>
          <w:szCs w:val="32"/>
        </w:rPr>
        <w:t>不接受联合体投标。</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8.投标人必须在招标人指定的时间和地址办理投标登记手续。</w:t>
      </w:r>
    </w:p>
    <w:p>
      <w:pPr>
        <w:spacing w:line="360" w:lineRule="auto"/>
        <w:ind w:firstLine="716" w:firstLineChars="2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投标人未被列入“信用中国”网站(www.creditchina.gov.cn)“失信被执行人或重大税收违法失信主体”记录名单；不处于中国政府采购网(www.ccgp.gov.cn)“政府采购严重违法失信行为记录名单”中的禁止参加政府采购活动期间。</w:t>
      </w:r>
      <w:bookmarkStart w:id="39" w:name="_Toc249846224"/>
      <w:bookmarkStart w:id="40" w:name="_Toc245023998"/>
      <w:bookmarkStart w:id="41" w:name="_Toc266881398"/>
      <w:bookmarkStart w:id="42" w:name="_Toc253143217"/>
      <w:bookmarkStart w:id="43" w:name="_Toc266093546"/>
      <w:bookmarkStart w:id="44" w:name="_Toc249845969"/>
    </w:p>
    <w:p>
      <w:pPr>
        <w:spacing w:line="360" w:lineRule="auto"/>
        <w:ind w:firstLine="643" w:firstLineChars="200"/>
        <w:rPr>
          <w:rFonts w:ascii="仿宋_GB2312" w:hAnsi="仿宋_GB2312" w:eastAsia="仿宋_GB2312" w:cs="仿宋_GB2312"/>
          <w:bCs/>
          <w:sz w:val="32"/>
          <w:szCs w:val="32"/>
          <w:shd w:val="clear" w:color="auto" w:fill="FFFFFF"/>
        </w:rPr>
      </w:pPr>
      <w:r>
        <w:rPr>
          <w:rFonts w:hint="eastAsia" w:ascii="仿宋_GB2312" w:hAnsi="仿宋_GB2312" w:eastAsia="仿宋_GB2312" w:cs="仿宋_GB2312"/>
          <w:b/>
          <w:sz w:val="32"/>
          <w:szCs w:val="32"/>
        </w:rPr>
        <w:t>七、</w:t>
      </w:r>
      <w:bookmarkEnd w:id="39"/>
      <w:bookmarkEnd w:id="40"/>
      <w:bookmarkEnd w:id="41"/>
      <w:bookmarkEnd w:id="42"/>
      <w:bookmarkEnd w:id="43"/>
      <w:bookmarkEnd w:id="44"/>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643"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643" w:firstLineChars="200"/>
        <w:rPr>
          <w:rFonts w:ascii="仿宋_GB2312" w:hAnsi="仿宋_GB2312" w:eastAsia="仿宋_GB2312" w:cs="仿宋_GB2312"/>
          <w:kern w:val="0"/>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sz w:val="32"/>
          <w:szCs w:val="32"/>
          <w:shd w:val="clear" w:color="auto" w:fill="FFFFFF"/>
        </w:rPr>
        <w:t>中标结果将在</w:t>
      </w:r>
      <w:r>
        <w:rPr>
          <w:rFonts w:hint="eastAsia" w:ascii="仿宋_GB2312" w:hAnsi="仿宋_GB2312" w:eastAsia="仿宋_GB2312" w:cs="仿宋_GB2312"/>
          <w:sz w:val="32"/>
          <w:szCs w:val="32"/>
          <w:u w:val="single"/>
          <w:shd w:val="clear" w:color="auto" w:fill="FFFFFF"/>
        </w:rPr>
        <w:t xml:space="preserve">广州南沙资产经营集团有限公司网站 </w:t>
      </w:r>
      <w:r>
        <w:rPr>
          <w:rFonts w:hint="eastAsia" w:ascii="仿宋_GB2312" w:hAnsi="仿宋_GB2312" w:eastAsia="仿宋_GB2312" w:cs="仿宋_GB2312"/>
          <w:sz w:val="32"/>
          <w:szCs w:val="32"/>
          <w:shd w:val="clear" w:color="auto" w:fill="FFFFFF"/>
        </w:rPr>
        <w:t>公示</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公示时间不得少于</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日</w:t>
      </w:r>
      <w:r>
        <w:rPr>
          <w:rFonts w:hint="eastAsia" w:ascii="仿宋_GB2312" w:hAnsi="仿宋_GB2312" w:eastAsia="仿宋_GB2312" w:cs="仿宋_GB2312"/>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45" w:name="_Toc10494"/>
      <w:bookmarkStart w:id="46" w:name="_Toc8888"/>
      <w:r>
        <w:rPr>
          <w:rFonts w:hint="eastAsia" w:ascii="仿宋_GB2312" w:hAnsi="仿宋_GB2312" w:eastAsia="仿宋_GB2312" w:cs="仿宋_GB2312"/>
          <w:b/>
          <w:bCs/>
          <w:kern w:val="0"/>
          <w:sz w:val="32"/>
          <w:szCs w:val="32"/>
        </w:rPr>
        <w:t>八、其他事项</w:t>
      </w:r>
      <w:bookmarkEnd w:id="45"/>
      <w:r>
        <w:rPr>
          <w:rFonts w:hint="eastAsia" w:ascii="仿宋_GB2312" w:hAnsi="仿宋_GB2312" w:eastAsia="仿宋_GB2312" w:cs="仿宋_GB2312"/>
          <w:b/>
          <w:bCs/>
          <w:kern w:val="0"/>
          <w:sz w:val="32"/>
          <w:szCs w:val="32"/>
        </w:rPr>
        <w:t>：</w:t>
      </w:r>
      <w:bookmarkEnd w:id="46"/>
    </w:p>
    <w:p>
      <w:pPr>
        <w:spacing w:line="360" w:lineRule="auto"/>
        <w:ind w:firstLine="640" w:firstLineChars="2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640" w:firstLineChars="200"/>
        <w:outlineLvl w:val="2"/>
        <w:rPr>
          <w:rFonts w:hint="eastAsia" w:ascii="仿宋_GB2312" w:hAnsi="仿宋_GB2312" w:eastAsia="仿宋_GB2312" w:cs="仿宋_GB2312"/>
          <w:bCs/>
          <w:kern w:val="0"/>
          <w:sz w:val="32"/>
          <w:szCs w:val="32"/>
        </w:rPr>
      </w:pPr>
      <w:bookmarkStart w:id="47" w:name="_Toc2117"/>
      <w:r>
        <w:rPr>
          <w:rFonts w:hint="eastAsia" w:ascii="仿宋_GB2312" w:hAnsi="仿宋_GB2312" w:eastAsia="仿宋_GB2312" w:cs="仿宋_GB2312"/>
          <w:bCs/>
          <w:kern w:val="0"/>
          <w:sz w:val="32"/>
          <w:szCs w:val="32"/>
        </w:rPr>
        <w:t>2.关于异议及投诉：</w:t>
      </w:r>
      <w:bookmarkEnd w:id="47"/>
    </w:p>
    <w:p>
      <w:pPr>
        <w:spacing w:line="360" w:lineRule="auto"/>
        <w:ind w:firstLine="640" w:firstLineChars="200"/>
        <w:jc w:val="left"/>
        <w:outlineLvl w:val="2"/>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工程招投标活动一年。同时，招标人将提请建设行政主管部门，并按《中华人民共和国招标投标法实施条例》、《工程建设项目招标投标活动投诉处理办法》等严肃处理，同时将记录到招标人的诚信评价系统。</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业主单位：广州南沙科技投资有限公司</w:t>
      </w:r>
    </w:p>
    <w:p>
      <w:pPr>
        <w:snapToGrid w:val="0"/>
        <w:spacing w:line="360" w:lineRule="auto"/>
        <w:ind w:firstLine="5440" w:firstLineChars="1700"/>
        <w:jc w:val="left"/>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日期：</w:t>
      </w:r>
      <w:r>
        <w:rPr>
          <w:rFonts w:hint="eastAsia" w:ascii="仿宋_GB2312" w:hAnsi="仿宋_GB2312" w:eastAsia="仿宋_GB2312" w:cs="仿宋_GB2312"/>
          <w:color w:val="auto"/>
          <w:sz w:val="32"/>
          <w:szCs w:val="32"/>
          <w:highlight w:val="none"/>
        </w:rPr>
        <w:t>2023年</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 xml:space="preserve"> 日</w:t>
      </w:r>
    </w:p>
    <w:p>
      <w:pPr>
        <w:snapToGrid w:val="0"/>
        <w:spacing w:line="360" w:lineRule="auto"/>
        <w:jc w:val="left"/>
        <w:rPr>
          <w:rFonts w:ascii="仿宋_GB2312" w:hAnsi="仿宋_GB2312" w:eastAsia="仿宋_GB2312" w:cs="仿宋_GB2312"/>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bookmarkStart w:id="48" w:name="_Toc23734"/>
      <w:bookmarkStart w:id="49" w:name="_Toc27130"/>
      <w:bookmarkStart w:id="50" w:name="_Toc11983"/>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kern w:val="0"/>
          <w:sz w:val="32"/>
          <w:szCs w:val="32"/>
        </w:rPr>
      </w:pPr>
      <w:bookmarkStart w:id="62" w:name="_GoBack"/>
      <w:bookmarkEnd w:id="62"/>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48"/>
      <w:bookmarkEnd w:id="49"/>
      <w:bookmarkEnd w:id="50"/>
      <w:bookmarkStart w:id="51"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52" w:name="_Toc25213"/>
      <w:bookmarkStart w:id="53" w:name="_Toc8179"/>
      <w:bookmarkStart w:id="54" w:name="_Toc6985"/>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1"/>
      <w:bookmarkEnd w:id="52"/>
      <w:bookmarkEnd w:id="53"/>
      <w:bookmarkEnd w:id="54"/>
    </w:p>
    <w:p>
      <w:pPr>
        <w:pStyle w:val="36"/>
        <w:snapToGrid w:val="0"/>
        <w:ind w:firstLine="640" w:firstLineChars="20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36"/>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36"/>
        <w:ind w:firstLine="640" w:firstLineChars="200"/>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36"/>
        <w:ind w:firstLine="640" w:firstLineChars="200"/>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36"/>
        <w:ind w:firstLine="640" w:firstLineChars="200"/>
        <w:outlineLvl w:val="1"/>
        <w:rPr>
          <w:rFonts w:hAnsi="仿宋_GB2312" w:cs="仿宋_GB2312"/>
          <w:color w:val="auto"/>
          <w:szCs w:val="32"/>
        </w:rPr>
      </w:pPr>
      <w:bookmarkStart w:id="55" w:name="_Toc2641"/>
      <w:bookmarkStart w:id="56" w:name="_Toc15364"/>
      <w:bookmarkStart w:id="57" w:name="_Toc28603"/>
      <w:r>
        <w:rPr>
          <w:rFonts w:hint="eastAsia" w:hAnsi="仿宋_GB2312" w:cs="仿宋_GB2312"/>
          <w:color w:val="auto"/>
          <w:szCs w:val="32"/>
        </w:rPr>
        <w:t>三、本公司不存在下列情形之一：</w:t>
      </w:r>
      <w:bookmarkEnd w:id="55"/>
      <w:bookmarkEnd w:id="56"/>
      <w:bookmarkEnd w:id="57"/>
    </w:p>
    <w:p>
      <w:pPr>
        <w:pStyle w:val="36"/>
        <w:ind w:firstLine="640" w:firstLineChars="200"/>
        <w:outlineLvl w:val="2"/>
        <w:rPr>
          <w:rFonts w:hAnsi="仿宋_GB2312" w:cs="仿宋_GB2312"/>
          <w:color w:val="auto"/>
          <w:szCs w:val="32"/>
        </w:rPr>
      </w:pPr>
      <w:bookmarkStart w:id="58" w:name="_Toc26847"/>
      <w:bookmarkStart w:id="59" w:name="_Toc24996"/>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58"/>
      <w:bookmarkEnd w:id="59"/>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为本项目监理人或者与本项目监理人存在隶属关系或者其他利害关系；</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为本标段的代建人；</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为本标段提供招标代理服务的；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与本标段的监理人或代建人或招标代理机构同为一个法定代表人的；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与本标段的监理人或代建人或招标代理机构互相控股或参股的；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与本标段的监理人或代建人或招标代理机构相互任职或工作的；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与本标段的检测机构有隶属关系或者其他利害关系；</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 xml:space="preserve">与招标人存在利害关系且可能影响招标公正性；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 xml:space="preserve">与本标段的其他投标人为同一个单位负责人；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 xml:space="preserve">与本标段的其他投标人存在控股、管理关系；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12.</w:t>
      </w:r>
      <w:r>
        <w:rPr>
          <w:rFonts w:hint="eastAsia" w:hAnsi="仿宋_GB2312" w:cs="仿宋_GB2312"/>
          <w:color w:val="auto"/>
          <w:szCs w:val="32"/>
        </w:rPr>
        <w:t xml:space="preserve">被依法暂停或取消投标资格的； </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13.</w:t>
      </w:r>
      <w:r>
        <w:rPr>
          <w:rFonts w:hint="eastAsia" w:hAnsi="仿宋_GB2312" w:cs="仿宋_GB2312"/>
          <w:color w:val="auto"/>
          <w:szCs w:val="32"/>
        </w:rPr>
        <w:t>被责令停产停业、暂扣或者吊销许可证、暂扣或者吊销执照的；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14.</w:t>
      </w:r>
      <w:r>
        <w:rPr>
          <w:rFonts w:hint="eastAsia" w:hAnsi="仿宋_GB2312" w:cs="仿宋_GB2312"/>
          <w:color w:val="auto"/>
          <w:szCs w:val="32"/>
        </w:rPr>
        <w:t>进入清算程序，或被宣布破产，或其他丧失履约能力的情形；</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15.</w:t>
      </w:r>
      <w:r>
        <w:rPr>
          <w:rFonts w:hint="eastAsia" w:hAnsi="仿宋_GB2312" w:cs="仿宋_GB2312"/>
          <w:color w:val="auto"/>
          <w:szCs w:val="32"/>
        </w:rPr>
        <w:t>在最近三年内有骗取中标或严重违约或重大工程质量问题的；</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16.</w:t>
      </w:r>
      <w:r>
        <w:rPr>
          <w:rFonts w:hint="eastAsia" w:hAnsi="仿宋_GB2312" w:cs="仿宋_GB2312"/>
          <w:color w:val="auto"/>
          <w:szCs w:val="32"/>
        </w:rPr>
        <w:t>被工商行政管理机关在全国企业信用信息公示系统中列入严重违法失信企业名单；</w:t>
      </w:r>
    </w:p>
    <w:p>
      <w:pPr>
        <w:pStyle w:val="36"/>
        <w:ind w:firstLine="640" w:firstLineChars="200"/>
        <w:jc w:val="left"/>
        <w:rPr>
          <w:rFonts w:hAnsi="仿宋_GB2312" w:cs="仿宋_GB2312"/>
          <w:color w:val="auto"/>
          <w:szCs w:val="32"/>
        </w:rPr>
      </w:pPr>
      <w:r>
        <w:rPr>
          <w:rFonts w:hint="eastAsia" w:hAnsi="仿宋_GB2312" w:cs="仿宋_GB2312"/>
          <w:color w:val="auto"/>
          <w:szCs w:val="32"/>
          <w:lang w:val="en-US" w:eastAsia="zh-CN"/>
        </w:rPr>
        <w:t>17.</w:t>
      </w:r>
      <w:r>
        <w:rPr>
          <w:rFonts w:hint="eastAsia" w:hAnsi="仿宋_GB2312" w:cs="仿宋_GB2312"/>
          <w:color w:val="auto"/>
          <w:szCs w:val="32"/>
        </w:rPr>
        <w:t>被最高人民法院在“信用中国”网站或各级信用信息共享平台中列入失信被执行人名单；</w:t>
      </w:r>
    </w:p>
    <w:p>
      <w:pPr>
        <w:pStyle w:val="36"/>
        <w:ind w:firstLine="640" w:firstLineChars="200"/>
        <w:rPr>
          <w:rFonts w:hAnsi="仿宋_GB2312" w:cs="仿宋_GB2312"/>
          <w:color w:val="auto"/>
          <w:szCs w:val="32"/>
        </w:rPr>
      </w:pPr>
      <w:r>
        <w:rPr>
          <w:rFonts w:hint="eastAsia" w:hAnsi="仿宋_GB2312" w:cs="仿宋_GB2312"/>
          <w:color w:val="auto"/>
          <w:szCs w:val="32"/>
          <w:lang w:val="en-US" w:eastAsia="zh-CN"/>
        </w:rPr>
        <w:t>18.</w:t>
      </w:r>
      <w:r>
        <w:rPr>
          <w:rFonts w:hint="eastAsia" w:hAnsi="仿宋_GB2312" w:cs="仿宋_GB2312"/>
          <w:color w:val="auto"/>
          <w:szCs w:val="32"/>
        </w:rPr>
        <w:t>在近三年内投标人或其法定代表人、拟委派的负责人有行贿犯罪行为的；</w:t>
      </w:r>
    </w:p>
    <w:p>
      <w:pPr>
        <w:pStyle w:val="36"/>
        <w:ind w:firstLine="640" w:firstLineChars="200"/>
        <w:outlineLvl w:val="2"/>
        <w:rPr>
          <w:rFonts w:hAnsi="仿宋_GB2312" w:cs="仿宋_GB2312"/>
          <w:color w:val="auto"/>
          <w:szCs w:val="32"/>
        </w:rPr>
      </w:pPr>
      <w:bookmarkStart w:id="60" w:name="_Toc16472"/>
      <w:bookmarkStart w:id="61" w:name="_Toc9643"/>
      <w:r>
        <w:rPr>
          <w:rFonts w:hint="eastAsia" w:hAnsi="仿宋_GB2312" w:cs="仿宋_GB2312"/>
          <w:color w:val="auto"/>
          <w:szCs w:val="32"/>
          <w:lang w:val="en-US" w:eastAsia="zh-CN"/>
        </w:rPr>
        <w:t>19.</w:t>
      </w:r>
      <w:r>
        <w:rPr>
          <w:rFonts w:hint="eastAsia" w:hAnsi="仿宋_GB2312" w:cs="仿宋_GB2312"/>
          <w:color w:val="auto"/>
          <w:szCs w:val="32"/>
        </w:rPr>
        <w:t>法律法规规定的其他情形。</w:t>
      </w:r>
      <w:bookmarkEnd w:id="60"/>
      <w:bookmarkEnd w:id="61"/>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五、本公司承诺，切实落实《住房城乡建设部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w:t>
      </w:r>
    </w:p>
    <w:p>
      <w:pPr>
        <w:pStyle w:val="36"/>
        <w:ind w:firstLine="640" w:firstLineChars="200"/>
        <w:jc w:val="left"/>
        <w:rPr>
          <w:rFonts w:hAnsi="仿宋_GB2312" w:cs="仿宋_GB2312"/>
          <w:color w:val="auto"/>
          <w:szCs w:val="32"/>
        </w:rPr>
      </w:pPr>
      <w:r>
        <w:rPr>
          <w:rFonts w:hint="eastAsia" w:hAnsi="仿宋_GB2312" w:cs="仿宋_GB2312"/>
          <w:color w:val="auto"/>
          <w:szCs w:val="32"/>
        </w:rPr>
        <w:t>六、与本公司单位负责人为同一人或者与本公司存在控股、管理关系的其他单位包括：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36"/>
        <w:ind w:firstLine="640" w:firstLineChars="200"/>
        <w:rPr>
          <w:rFonts w:hAnsi="仿宋_GB2312" w:cs="仿宋_GB2312"/>
          <w:color w:val="auto"/>
          <w:szCs w:val="32"/>
        </w:rPr>
      </w:pPr>
      <w:r>
        <w:rPr>
          <w:rFonts w:hint="eastAsia" w:hAnsi="仿宋_GB2312" w:cs="仿宋_GB2312"/>
          <w:color w:val="auto"/>
          <w:szCs w:val="32"/>
        </w:rPr>
        <w:t>七、本公司拟委派专职安全员兼任本项目围蔽工程的工地余泥渣土运输与排放管理员，严格遵守围蔽工程余泥渣土运输与排放管理制度，执行“一不准进、三不准出”规定，选择合法的余泥渣土运输单位及排放点。</w:t>
      </w:r>
    </w:p>
    <w:p>
      <w:pPr>
        <w:pStyle w:val="36"/>
        <w:ind w:firstLine="640" w:firstLineChars="200"/>
        <w:rPr>
          <w:rFonts w:hAnsi="仿宋_GB2312" w:cs="仿宋_GB2312"/>
          <w:color w:val="auto"/>
          <w:szCs w:val="32"/>
        </w:rPr>
      </w:pPr>
      <w:r>
        <w:rPr>
          <w:rFonts w:hint="eastAsia" w:hAnsi="仿宋_GB2312" w:cs="仿宋_GB2312"/>
          <w:color w:val="auto"/>
          <w:szCs w:val="32"/>
        </w:rPr>
        <w:t>八、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36"/>
        <w:ind w:firstLine="640" w:firstLineChars="200"/>
        <w:rPr>
          <w:rFonts w:hAnsi="仿宋_GB2312" w:cs="仿宋_GB2312"/>
          <w:color w:val="auto"/>
          <w:szCs w:val="32"/>
        </w:rPr>
      </w:pPr>
      <w:r>
        <w:rPr>
          <w:rFonts w:hint="eastAsia" w:hAnsi="仿宋_GB2312" w:cs="仿宋_GB2312"/>
          <w:color w:val="auto"/>
          <w:szCs w:val="32"/>
        </w:rPr>
        <w:t>九、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36"/>
        <w:ind w:firstLine="640" w:firstLineChars="200"/>
        <w:rPr>
          <w:rFonts w:hint="eastAsia" w:hAnsi="仿宋_GB2312" w:cs="仿宋_GB2312"/>
          <w:color w:val="auto"/>
          <w:szCs w:val="32"/>
        </w:rPr>
      </w:pPr>
    </w:p>
    <w:p>
      <w:pPr>
        <w:pStyle w:val="36"/>
        <w:ind w:firstLine="640" w:firstLineChars="200"/>
        <w:rPr>
          <w:rFonts w:hAnsi="仿宋_GB2312" w:cs="仿宋_GB2312"/>
          <w:color w:val="auto"/>
          <w:szCs w:val="32"/>
        </w:rPr>
      </w:pPr>
      <w:r>
        <w:rPr>
          <w:rFonts w:hint="eastAsia" w:hAnsi="仿宋_GB2312" w:cs="仿宋_GB2312"/>
          <w:color w:val="auto"/>
          <w:szCs w:val="32"/>
        </w:rPr>
        <w:t>特此声明。</w:t>
      </w:r>
    </w:p>
    <w:p>
      <w:pPr>
        <w:pStyle w:val="35"/>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36"/>
        <w:ind w:firstLine="0"/>
        <w:rPr>
          <w:rFonts w:hAnsi="仿宋_GB2312" w:cs="仿宋_GB2312"/>
          <w:color w:val="auto"/>
          <w:szCs w:val="32"/>
        </w:rPr>
      </w:pPr>
      <w:r>
        <w:rPr>
          <w:rFonts w:hint="eastAsia" w:hAnsi="仿宋_GB2312" w:cs="仿宋_GB2312"/>
          <w:color w:val="auto"/>
          <w:szCs w:val="32"/>
        </w:rPr>
        <w:t xml:space="preserve">                             法定代表人签字：</w:t>
      </w:r>
    </w:p>
    <w:p>
      <w:pPr>
        <w:pStyle w:val="36"/>
        <w:ind w:firstLine="0"/>
        <w:rPr>
          <w:rFonts w:hAnsi="仿宋_GB2312" w:cs="仿宋_GB2312"/>
          <w:color w:val="auto"/>
          <w:szCs w:val="32"/>
        </w:rPr>
      </w:pPr>
      <w:r>
        <w:rPr>
          <w:rFonts w:hint="eastAsia" w:hAnsi="仿宋_GB2312" w:cs="仿宋_GB2312"/>
          <w:color w:val="auto"/>
          <w:szCs w:val="32"/>
        </w:rPr>
        <w:t xml:space="preserve">                             项目负责人签字:</w:t>
      </w:r>
    </w:p>
    <w:p>
      <w:pPr>
        <w:pStyle w:val="36"/>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36"/>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注：招标人应当要求投标人的项目负责人 和技术负责人签字。</w:t>
      </w:r>
    </w:p>
    <w:p>
      <w:pPr>
        <w:spacing w:line="360" w:lineRule="auto"/>
        <w:jc w:val="center"/>
        <w:outlineLvl w:val="0"/>
        <w:rPr>
          <w:rFonts w:ascii="方正小标宋简体" w:hAnsi="方正小标宋简体" w:eastAsia="方正小标宋简体" w:cs="方正小标宋简体"/>
          <w:b/>
          <w:bCs/>
          <w:kern w:val="44"/>
          <w:sz w:val="44"/>
          <w:szCs w:val="44"/>
        </w:rPr>
      </w:pPr>
    </w:p>
    <w:p>
      <w:pPr>
        <w:keepNext w:val="0"/>
        <w:keepLines w:val="0"/>
        <w:pageBreakBefore w:val="0"/>
        <w:kinsoku/>
        <w:wordWrap/>
        <w:overflowPunct/>
        <w:topLinePunct w:val="0"/>
        <w:autoSpaceDE/>
        <w:autoSpaceDN/>
        <w:bidi w:val="0"/>
        <w:spacing w:line="360" w:lineRule="auto"/>
        <w:ind w:left="0" w:right="0"/>
        <w:textAlignment w:val="auto"/>
        <w:rPr>
          <w:rFonts w:hint="eastAsia" w:ascii="仿宋_GB2312" w:hAnsi="仿宋_GB2312" w:eastAsia="仿宋_GB2312" w:cs="仿宋_GB2312"/>
          <w:color w:val="auto"/>
          <w:sz w:val="32"/>
          <w:szCs w:val="32"/>
          <w:highlight w:val="none"/>
        </w:rPr>
      </w:pPr>
    </w:p>
    <w:sectPr>
      <w:footerReference r:id="rId4" w:type="default"/>
      <w:endnotePr>
        <w:numFmt w:val="decimal"/>
      </w:endnotePr>
      <w:pgSz w:w="11906" w:h="16838"/>
      <w:pgMar w:top="1247" w:right="1247" w:bottom="1247" w:left="124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rPr>
        <w:rStyle w:val="16"/>
      </w:rPr>
      <w:instrText xml:space="preserve"> PAGE </w:instrText>
    </w:r>
    <w:r>
      <w:fldChar w:fldCharType="separate"/>
    </w:r>
    <w:r>
      <w:rPr>
        <w:rStyle w:val="16"/>
      </w:rPr>
      <w:t>11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98371B"/>
    <w:multiLevelType w:val="singleLevel"/>
    <w:tmpl w:val="1898371B"/>
    <w:lvl w:ilvl="0" w:tentative="0">
      <w:start w:val="1"/>
      <w:numFmt w:val="chineseCounting"/>
      <w:suff w:val="nothing"/>
      <w:lvlText w:val="%1、"/>
      <w:lvlJc w:val="left"/>
      <w:rPr>
        <w:rFonts w:hint="eastAsia"/>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00DC6403"/>
    <w:rsid w:val="00004E26"/>
    <w:rsid w:val="00013870"/>
    <w:rsid w:val="00013E6B"/>
    <w:rsid w:val="00025AC9"/>
    <w:rsid w:val="000309A3"/>
    <w:rsid w:val="00034EAC"/>
    <w:rsid w:val="00043404"/>
    <w:rsid w:val="00046224"/>
    <w:rsid w:val="00051DDC"/>
    <w:rsid w:val="000532C0"/>
    <w:rsid w:val="000549AC"/>
    <w:rsid w:val="0006423F"/>
    <w:rsid w:val="00086EEE"/>
    <w:rsid w:val="00093C8F"/>
    <w:rsid w:val="000943FA"/>
    <w:rsid w:val="000A763D"/>
    <w:rsid w:val="000B00BF"/>
    <w:rsid w:val="000B20BC"/>
    <w:rsid w:val="000B379D"/>
    <w:rsid w:val="000B5D67"/>
    <w:rsid w:val="000C19FD"/>
    <w:rsid w:val="000C4173"/>
    <w:rsid w:val="000D1BC8"/>
    <w:rsid w:val="000D28CB"/>
    <w:rsid w:val="000D6E5E"/>
    <w:rsid w:val="000D716F"/>
    <w:rsid w:val="000E071B"/>
    <w:rsid w:val="000E54D4"/>
    <w:rsid w:val="000F1359"/>
    <w:rsid w:val="000F41C8"/>
    <w:rsid w:val="00104AED"/>
    <w:rsid w:val="00107259"/>
    <w:rsid w:val="001115EF"/>
    <w:rsid w:val="00125B4A"/>
    <w:rsid w:val="00130455"/>
    <w:rsid w:val="00132227"/>
    <w:rsid w:val="001416C6"/>
    <w:rsid w:val="001473C2"/>
    <w:rsid w:val="0015540C"/>
    <w:rsid w:val="00163C08"/>
    <w:rsid w:val="00164606"/>
    <w:rsid w:val="0016734C"/>
    <w:rsid w:val="00170D75"/>
    <w:rsid w:val="0017249F"/>
    <w:rsid w:val="0018467D"/>
    <w:rsid w:val="00187B9A"/>
    <w:rsid w:val="00195269"/>
    <w:rsid w:val="00195A7E"/>
    <w:rsid w:val="001A3DE0"/>
    <w:rsid w:val="001A7585"/>
    <w:rsid w:val="001B2EAA"/>
    <w:rsid w:val="001B6255"/>
    <w:rsid w:val="001C1C3A"/>
    <w:rsid w:val="001C61A8"/>
    <w:rsid w:val="001D1393"/>
    <w:rsid w:val="001D77DF"/>
    <w:rsid w:val="001F086D"/>
    <w:rsid w:val="00204D32"/>
    <w:rsid w:val="00212099"/>
    <w:rsid w:val="0021366C"/>
    <w:rsid w:val="002157BF"/>
    <w:rsid w:val="00221757"/>
    <w:rsid w:val="002224A5"/>
    <w:rsid w:val="00231CD2"/>
    <w:rsid w:val="00233869"/>
    <w:rsid w:val="00241219"/>
    <w:rsid w:val="00241ABD"/>
    <w:rsid w:val="00241BA9"/>
    <w:rsid w:val="00250233"/>
    <w:rsid w:val="00253E42"/>
    <w:rsid w:val="00253F10"/>
    <w:rsid w:val="0026042B"/>
    <w:rsid w:val="00260956"/>
    <w:rsid w:val="00264BBF"/>
    <w:rsid w:val="002712BD"/>
    <w:rsid w:val="002741D4"/>
    <w:rsid w:val="002A3C81"/>
    <w:rsid w:val="002A4528"/>
    <w:rsid w:val="002A4C3B"/>
    <w:rsid w:val="002A7B8C"/>
    <w:rsid w:val="002B320B"/>
    <w:rsid w:val="002E2BFF"/>
    <w:rsid w:val="002F2A2C"/>
    <w:rsid w:val="002F7559"/>
    <w:rsid w:val="002F7C4A"/>
    <w:rsid w:val="00303E00"/>
    <w:rsid w:val="00304655"/>
    <w:rsid w:val="003154BA"/>
    <w:rsid w:val="003173CA"/>
    <w:rsid w:val="0032152D"/>
    <w:rsid w:val="003233C9"/>
    <w:rsid w:val="003236B1"/>
    <w:rsid w:val="00324F75"/>
    <w:rsid w:val="00333E7C"/>
    <w:rsid w:val="00334F87"/>
    <w:rsid w:val="00337018"/>
    <w:rsid w:val="0034355A"/>
    <w:rsid w:val="003445EC"/>
    <w:rsid w:val="003454BB"/>
    <w:rsid w:val="003659AC"/>
    <w:rsid w:val="0037201F"/>
    <w:rsid w:val="003775D0"/>
    <w:rsid w:val="003816A9"/>
    <w:rsid w:val="003A0269"/>
    <w:rsid w:val="003A464D"/>
    <w:rsid w:val="003A62C7"/>
    <w:rsid w:val="003A636E"/>
    <w:rsid w:val="003B2984"/>
    <w:rsid w:val="003B628C"/>
    <w:rsid w:val="003C0A9C"/>
    <w:rsid w:val="003C5860"/>
    <w:rsid w:val="003C7152"/>
    <w:rsid w:val="003D2562"/>
    <w:rsid w:val="003F198E"/>
    <w:rsid w:val="003F4C7D"/>
    <w:rsid w:val="0040314B"/>
    <w:rsid w:val="004136A0"/>
    <w:rsid w:val="004232C7"/>
    <w:rsid w:val="00433414"/>
    <w:rsid w:val="00436FD5"/>
    <w:rsid w:val="004473A9"/>
    <w:rsid w:val="00452AA2"/>
    <w:rsid w:val="004534CD"/>
    <w:rsid w:val="00480D38"/>
    <w:rsid w:val="00482F4E"/>
    <w:rsid w:val="00496BB0"/>
    <w:rsid w:val="004B351A"/>
    <w:rsid w:val="004B3ED0"/>
    <w:rsid w:val="004C1BE4"/>
    <w:rsid w:val="004C61CF"/>
    <w:rsid w:val="004D0B74"/>
    <w:rsid w:val="004D6156"/>
    <w:rsid w:val="004F172C"/>
    <w:rsid w:val="004F27F2"/>
    <w:rsid w:val="004F48EE"/>
    <w:rsid w:val="005043AF"/>
    <w:rsid w:val="00511D89"/>
    <w:rsid w:val="00514EDC"/>
    <w:rsid w:val="0052159F"/>
    <w:rsid w:val="00525BA5"/>
    <w:rsid w:val="00526E32"/>
    <w:rsid w:val="00531AB9"/>
    <w:rsid w:val="0054676C"/>
    <w:rsid w:val="00550E62"/>
    <w:rsid w:val="00555A9E"/>
    <w:rsid w:val="005623FD"/>
    <w:rsid w:val="00566249"/>
    <w:rsid w:val="005767AC"/>
    <w:rsid w:val="005818F8"/>
    <w:rsid w:val="00582E90"/>
    <w:rsid w:val="0058686E"/>
    <w:rsid w:val="00595175"/>
    <w:rsid w:val="005A21E9"/>
    <w:rsid w:val="005A2CE8"/>
    <w:rsid w:val="005A71B8"/>
    <w:rsid w:val="005B3050"/>
    <w:rsid w:val="005B5F43"/>
    <w:rsid w:val="005D0E79"/>
    <w:rsid w:val="005E42DD"/>
    <w:rsid w:val="005F7567"/>
    <w:rsid w:val="00613CE6"/>
    <w:rsid w:val="0061519C"/>
    <w:rsid w:val="00617B9A"/>
    <w:rsid w:val="006220AC"/>
    <w:rsid w:val="0062769F"/>
    <w:rsid w:val="006338DF"/>
    <w:rsid w:val="00637284"/>
    <w:rsid w:val="0064319A"/>
    <w:rsid w:val="00643C26"/>
    <w:rsid w:val="00646A42"/>
    <w:rsid w:val="00657621"/>
    <w:rsid w:val="0065786E"/>
    <w:rsid w:val="00661DD7"/>
    <w:rsid w:val="00671929"/>
    <w:rsid w:val="00695116"/>
    <w:rsid w:val="006A1643"/>
    <w:rsid w:val="006A1A90"/>
    <w:rsid w:val="006B1401"/>
    <w:rsid w:val="006C2349"/>
    <w:rsid w:val="006C3FB7"/>
    <w:rsid w:val="006C5A5D"/>
    <w:rsid w:val="006C72E8"/>
    <w:rsid w:val="006D0E8C"/>
    <w:rsid w:val="006E1C44"/>
    <w:rsid w:val="006F0023"/>
    <w:rsid w:val="006F0572"/>
    <w:rsid w:val="006F11AE"/>
    <w:rsid w:val="006F13C1"/>
    <w:rsid w:val="006F7532"/>
    <w:rsid w:val="00702407"/>
    <w:rsid w:val="0071568D"/>
    <w:rsid w:val="00715AB6"/>
    <w:rsid w:val="00717836"/>
    <w:rsid w:val="00722FB2"/>
    <w:rsid w:val="00732F7E"/>
    <w:rsid w:val="0074344B"/>
    <w:rsid w:val="00752557"/>
    <w:rsid w:val="00752E81"/>
    <w:rsid w:val="00753ACC"/>
    <w:rsid w:val="007560F1"/>
    <w:rsid w:val="00757587"/>
    <w:rsid w:val="0076656C"/>
    <w:rsid w:val="00771D34"/>
    <w:rsid w:val="0078565B"/>
    <w:rsid w:val="007902FF"/>
    <w:rsid w:val="00792E74"/>
    <w:rsid w:val="00797BA3"/>
    <w:rsid w:val="007B094F"/>
    <w:rsid w:val="007B5D92"/>
    <w:rsid w:val="007C3742"/>
    <w:rsid w:val="007C4D87"/>
    <w:rsid w:val="007D104E"/>
    <w:rsid w:val="007E2255"/>
    <w:rsid w:val="007E5D68"/>
    <w:rsid w:val="007E6158"/>
    <w:rsid w:val="007E7647"/>
    <w:rsid w:val="007F0604"/>
    <w:rsid w:val="007F214B"/>
    <w:rsid w:val="007F4DE7"/>
    <w:rsid w:val="007F55A5"/>
    <w:rsid w:val="007F6005"/>
    <w:rsid w:val="00800733"/>
    <w:rsid w:val="00813AB1"/>
    <w:rsid w:val="00817993"/>
    <w:rsid w:val="008263D6"/>
    <w:rsid w:val="0084633F"/>
    <w:rsid w:val="00855275"/>
    <w:rsid w:val="00856B73"/>
    <w:rsid w:val="008623A0"/>
    <w:rsid w:val="00864F58"/>
    <w:rsid w:val="008845D5"/>
    <w:rsid w:val="008852E0"/>
    <w:rsid w:val="00894723"/>
    <w:rsid w:val="0089558D"/>
    <w:rsid w:val="008C447E"/>
    <w:rsid w:val="008D3548"/>
    <w:rsid w:val="008E06D7"/>
    <w:rsid w:val="00916266"/>
    <w:rsid w:val="00916CD1"/>
    <w:rsid w:val="00925B30"/>
    <w:rsid w:val="0093112E"/>
    <w:rsid w:val="00932DA9"/>
    <w:rsid w:val="009410B3"/>
    <w:rsid w:val="0094461E"/>
    <w:rsid w:val="00951F29"/>
    <w:rsid w:val="00952D81"/>
    <w:rsid w:val="00962956"/>
    <w:rsid w:val="009672E4"/>
    <w:rsid w:val="00971CEB"/>
    <w:rsid w:val="009727A3"/>
    <w:rsid w:val="009818C7"/>
    <w:rsid w:val="00997700"/>
    <w:rsid w:val="009A2FBF"/>
    <w:rsid w:val="009A33DB"/>
    <w:rsid w:val="009A5F35"/>
    <w:rsid w:val="009A7B36"/>
    <w:rsid w:val="009C03E7"/>
    <w:rsid w:val="009C19A7"/>
    <w:rsid w:val="009D1D1D"/>
    <w:rsid w:val="009D21BB"/>
    <w:rsid w:val="009E11C0"/>
    <w:rsid w:val="009E13D2"/>
    <w:rsid w:val="009E5274"/>
    <w:rsid w:val="009F249D"/>
    <w:rsid w:val="009F3034"/>
    <w:rsid w:val="009F52F8"/>
    <w:rsid w:val="009F5E80"/>
    <w:rsid w:val="00A06FBB"/>
    <w:rsid w:val="00A112FB"/>
    <w:rsid w:val="00A21368"/>
    <w:rsid w:val="00A223D6"/>
    <w:rsid w:val="00A304F6"/>
    <w:rsid w:val="00A424CA"/>
    <w:rsid w:val="00A569D3"/>
    <w:rsid w:val="00A659F6"/>
    <w:rsid w:val="00A936E5"/>
    <w:rsid w:val="00A97FF6"/>
    <w:rsid w:val="00AA1550"/>
    <w:rsid w:val="00AB0217"/>
    <w:rsid w:val="00AB16B2"/>
    <w:rsid w:val="00AB45DC"/>
    <w:rsid w:val="00AC7699"/>
    <w:rsid w:val="00AD4725"/>
    <w:rsid w:val="00AD47E0"/>
    <w:rsid w:val="00AD5A0B"/>
    <w:rsid w:val="00AD5EA1"/>
    <w:rsid w:val="00AD67C5"/>
    <w:rsid w:val="00AD7919"/>
    <w:rsid w:val="00AE5573"/>
    <w:rsid w:val="00AF6E43"/>
    <w:rsid w:val="00B00584"/>
    <w:rsid w:val="00B010CF"/>
    <w:rsid w:val="00B0111A"/>
    <w:rsid w:val="00B104E3"/>
    <w:rsid w:val="00B12D27"/>
    <w:rsid w:val="00B12E91"/>
    <w:rsid w:val="00B132EA"/>
    <w:rsid w:val="00B20A21"/>
    <w:rsid w:val="00B305F3"/>
    <w:rsid w:val="00B32634"/>
    <w:rsid w:val="00B344CA"/>
    <w:rsid w:val="00B350EF"/>
    <w:rsid w:val="00B465DD"/>
    <w:rsid w:val="00B50931"/>
    <w:rsid w:val="00B5177A"/>
    <w:rsid w:val="00B523B0"/>
    <w:rsid w:val="00B64F42"/>
    <w:rsid w:val="00B81239"/>
    <w:rsid w:val="00B81B2B"/>
    <w:rsid w:val="00BA003E"/>
    <w:rsid w:val="00BA1DB2"/>
    <w:rsid w:val="00BB0D73"/>
    <w:rsid w:val="00BB5435"/>
    <w:rsid w:val="00BB55BA"/>
    <w:rsid w:val="00BB7D89"/>
    <w:rsid w:val="00BC0C19"/>
    <w:rsid w:val="00BC4343"/>
    <w:rsid w:val="00BC64A8"/>
    <w:rsid w:val="00BC7B2C"/>
    <w:rsid w:val="00BC7C87"/>
    <w:rsid w:val="00BD19D0"/>
    <w:rsid w:val="00BD3626"/>
    <w:rsid w:val="00BD3B92"/>
    <w:rsid w:val="00BD5E5F"/>
    <w:rsid w:val="00BD7249"/>
    <w:rsid w:val="00BD7968"/>
    <w:rsid w:val="00BE34C6"/>
    <w:rsid w:val="00BF062B"/>
    <w:rsid w:val="00BF7961"/>
    <w:rsid w:val="00C00CFF"/>
    <w:rsid w:val="00C01130"/>
    <w:rsid w:val="00C06209"/>
    <w:rsid w:val="00C32F04"/>
    <w:rsid w:val="00C37525"/>
    <w:rsid w:val="00C51830"/>
    <w:rsid w:val="00C533ED"/>
    <w:rsid w:val="00C57594"/>
    <w:rsid w:val="00C63DE2"/>
    <w:rsid w:val="00C668DA"/>
    <w:rsid w:val="00C726AF"/>
    <w:rsid w:val="00C833DA"/>
    <w:rsid w:val="00C95EF2"/>
    <w:rsid w:val="00CB6E12"/>
    <w:rsid w:val="00CB7B4D"/>
    <w:rsid w:val="00CC0858"/>
    <w:rsid w:val="00CC2851"/>
    <w:rsid w:val="00CC573E"/>
    <w:rsid w:val="00CC67BA"/>
    <w:rsid w:val="00CD150C"/>
    <w:rsid w:val="00CD7ECE"/>
    <w:rsid w:val="00CE0643"/>
    <w:rsid w:val="00CE248A"/>
    <w:rsid w:val="00CE3BE2"/>
    <w:rsid w:val="00CE7CB2"/>
    <w:rsid w:val="00D02CF5"/>
    <w:rsid w:val="00D063C8"/>
    <w:rsid w:val="00D13309"/>
    <w:rsid w:val="00D15F66"/>
    <w:rsid w:val="00D20A12"/>
    <w:rsid w:val="00D263F3"/>
    <w:rsid w:val="00D302C0"/>
    <w:rsid w:val="00D352FD"/>
    <w:rsid w:val="00D500A2"/>
    <w:rsid w:val="00D57E4F"/>
    <w:rsid w:val="00D64BDD"/>
    <w:rsid w:val="00D72975"/>
    <w:rsid w:val="00D75947"/>
    <w:rsid w:val="00D8144A"/>
    <w:rsid w:val="00DA5843"/>
    <w:rsid w:val="00DC3454"/>
    <w:rsid w:val="00DC6403"/>
    <w:rsid w:val="00DE2F90"/>
    <w:rsid w:val="00DE4911"/>
    <w:rsid w:val="00DF0733"/>
    <w:rsid w:val="00DF0FCE"/>
    <w:rsid w:val="00DF68CE"/>
    <w:rsid w:val="00DF693E"/>
    <w:rsid w:val="00E03A03"/>
    <w:rsid w:val="00E05816"/>
    <w:rsid w:val="00E06DF5"/>
    <w:rsid w:val="00E07667"/>
    <w:rsid w:val="00E22158"/>
    <w:rsid w:val="00E34EDC"/>
    <w:rsid w:val="00E520C1"/>
    <w:rsid w:val="00E530CE"/>
    <w:rsid w:val="00E64FCA"/>
    <w:rsid w:val="00E66D92"/>
    <w:rsid w:val="00E76BA4"/>
    <w:rsid w:val="00E801B6"/>
    <w:rsid w:val="00EA6239"/>
    <w:rsid w:val="00EB6F49"/>
    <w:rsid w:val="00EC1168"/>
    <w:rsid w:val="00EC3929"/>
    <w:rsid w:val="00ED4D8C"/>
    <w:rsid w:val="00ED6BFD"/>
    <w:rsid w:val="00EE01AE"/>
    <w:rsid w:val="00EF0CCD"/>
    <w:rsid w:val="00EF42F8"/>
    <w:rsid w:val="00EF4AA7"/>
    <w:rsid w:val="00EF7C79"/>
    <w:rsid w:val="00F057BC"/>
    <w:rsid w:val="00F14DF9"/>
    <w:rsid w:val="00F208A3"/>
    <w:rsid w:val="00F21741"/>
    <w:rsid w:val="00F245DB"/>
    <w:rsid w:val="00F27850"/>
    <w:rsid w:val="00F30190"/>
    <w:rsid w:val="00F305E0"/>
    <w:rsid w:val="00F32213"/>
    <w:rsid w:val="00F4253E"/>
    <w:rsid w:val="00F50438"/>
    <w:rsid w:val="00F50BB7"/>
    <w:rsid w:val="00F52C51"/>
    <w:rsid w:val="00F56306"/>
    <w:rsid w:val="00F604E7"/>
    <w:rsid w:val="00F61333"/>
    <w:rsid w:val="00F73B62"/>
    <w:rsid w:val="00F77BB6"/>
    <w:rsid w:val="00F8035D"/>
    <w:rsid w:val="00F83C0C"/>
    <w:rsid w:val="00F85131"/>
    <w:rsid w:val="00F8642D"/>
    <w:rsid w:val="00FB02A2"/>
    <w:rsid w:val="00FB1C70"/>
    <w:rsid w:val="00FB5E30"/>
    <w:rsid w:val="00FC20D7"/>
    <w:rsid w:val="00FC43B0"/>
    <w:rsid w:val="00FC74E4"/>
    <w:rsid w:val="00FD1D87"/>
    <w:rsid w:val="00FD2367"/>
    <w:rsid w:val="00FD59A3"/>
    <w:rsid w:val="00FE03DD"/>
    <w:rsid w:val="00FF5305"/>
    <w:rsid w:val="01004DAD"/>
    <w:rsid w:val="01030B42"/>
    <w:rsid w:val="0122253E"/>
    <w:rsid w:val="0189178A"/>
    <w:rsid w:val="01A86044"/>
    <w:rsid w:val="02023858"/>
    <w:rsid w:val="022C17BB"/>
    <w:rsid w:val="02511214"/>
    <w:rsid w:val="0294251F"/>
    <w:rsid w:val="02BF486B"/>
    <w:rsid w:val="02D7673E"/>
    <w:rsid w:val="02FB5B81"/>
    <w:rsid w:val="035D13B8"/>
    <w:rsid w:val="038333BD"/>
    <w:rsid w:val="03CC0010"/>
    <w:rsid w:val="03F5114A"/>
    <w:rsid w:val="041D53CF"/>
    <w:rsid w:val="046C0592"/>
    <w:rsid w:val="05175D89"/>
    <w:rsid w:val="05197563"/>
    <w:rsid w:val="055D51A9"/>
    <w:rsid w:val="05A353D9"/>
    <w:rsid w:val="05CB1589"/>
    <w:rsid w:val="0601161F"/>
    <w:rsid w:val="06120EF8"/>
    <w:rsid w:val="062C4F09"/>
    <w:rsid w:val="063576A1"/>
    <w:rsid w:val="064553B9"/>
    <w:rsid w:val="06661D48"/>
    <w:rsid w:val="06995D10"/>
    <w:rsid w:val="06B718AA"/>
    <w:rsid w:val="06CD2144"/>
    <w:rsid w:val="06E443D3"/>
    <w:rsid w:val="071B70F7"/>
    <w:rsid w:val="0773711B"/>
    <w:rsid w:val="07984C72"/>
    <w:rsid w:val="07A26448"/>
    <w:rsid w:val="07B942C4"/>
    <w:rsid w:val="0822604D"/>
    <w:rsid w:val="08411FCF"/>
    <w:rsid w:val="08456335"/>
    <w:rsid w:val="086D2411"/>
    <w:rsid w:val="08D57F0F"/>
    <w:rsid w:val="08DE7D4C"/>
    <w:rsid w:val="09022A39"/>
    <w:rsid w:val="09274A20"/>
    <w:rsid w:val="09413C8E"/>
    <w:rsid w:val="095475DD"/>
    <w:rsid w:val="095E3D1E"/>
    <w:rsid w:val="099D1BD0"/>
    <w:rsid w:val="09CC14E6"/>
    <w:rsid w:val="09ED45A6"/>
    <w:rsid w:val="0A071BD6"/>
    <w:rsid w:val="0A1127A5"/>
    <w:rsid w:val="0B49429C"/>
    <w:rsid w:val="0B620EE9"/>
    <w:rsid w:val="0B8D5667"/>
    <w:rsid w:val="0C0543AF"/>
    <w:rsid w:val="0C085ED2"/>
    <w:rsid w:val="0C2065D3"/>
    <w:rsid w:val="0C3B3F19"/>
    <w:rsid w:val="0C7D4DDB"/>
    <w:rsid w:val="0CC542CD"/>
    <w:rsid w:val="0CFA536B"/>
    <w:rsid w:val="0D8D2241"/>
    <w:rsid w:val="0DB04AC2"/>
    <w:rsid w:val="0E061F96"/>
    <w:rsid w:val="0E170691"/>
    <w:rsid w:val="0E1C71C1"/>
    <w:rsid w:val="0E2266D0"/>
    <w:rsid w:val="0E333297"/>
    <w:rsid w:val="0F166857"/>
    <w:rsid w:val="0F3F4DD0"/>
    <w:rsid w:val="0FC13541"/>
    <w:rsid w:val="100C1E88"/>
    <w:rsid w:val="10197FD4"/>
    <w:rsid w:val="102A1268"/>
    <w:rsid w:val="10384F18"/>
    <w:rsid w:val="10466ED0"/>
    <w:rsid w:val="10734036"/>
    <w:rsid w:val="10842C8D"/>
    <w:rsid w:val="10916459"/>
    <w:rsid w:val="11596B55"/>
    <w:rsid w:val="11642F84"/>
    <w:rsid w:val="12BF00AD"/>
    <w:rsid w:val="13172A77"/>
    <w:rsid w:val="138D4727"/>
    <w:rsid w:val="13ED0666"/>
    <w:rsid w:val="145C7FAF"/>
    <w:rsid w:val="14A5037D"/>
    <w:rsid w:val="157106EE"/>
    <w:rsid w:val="15DF6D44"/>
    <w:rsid w:val="15E057F9"/>
    <w:rsid w:val="1629503C"/>
    <w:rsid w:val="163A0355"/>
    <w:rsid w:val="163C5853"/>
    <w:rsid w:val="164C43D7"/>
    <w:rsid w:val="164E100C"/>
    <w:rsid w:val="16926C54"/>
    <w:rsid w:val="16ED3654"/>
    <w:rsid w:val="177607D5"/>
    <w:rsid w:val="17877E71"/>
    <w:rsid w:val="17912518"/>
    <w:rsid w:val="179F49AC"/>
    <w:rsid w:val="17D634FB"/>
    <w:rsid w:val="189150F3"/>
    <w:rsid w:val="18967883"/>
    <w:rsid w:val="18B05A84"/>
    <w:rsid w:val="18C6750E"/>
    <w:rsid w:val="18DC5682"/>
    <w:rsid w:val="191F1437"/>
    <w:rsid w:val="19DA7332"/>
    <w:rsid w:val="19EC6A39"/>
    <w:rsid w:val="1A751CCE"/>
    <w:rsid w:val="1AB56459"/>
    <w:rsid w:val="1AD217D3"/>
    <w:rsid w:val="1B2B6F43"/>
    <w:rsid w:val="1B516ABF"/>
    <w:rsid w:val="1B5604F1"/>
    <w:rsid w:val="1BBD748F"/>
    <w:rsid w:val="1C012248"/>
    <w:rsid w:val="1C0607B2"/>
    <w:rsid w:val="1C1843DD"/>
    <w:rsid w:val="1C22230B"/>
    <w:rsid w:val="1C356831"/>
    <w:rsid w:val="1C8D5200"/>
    <w:rsid w:val="1CA164DC"/>
    <w:rsid w:val="1CC902DC"/>
    <w:rsid w:val="1CE5374E"/>
    <w:rsid w:val="1CEF1CD0"/>
    <w:rsid w:val="1CFF3907"/>
    <w:rsid w:val="1CFF559E"/>
    <w:rsid w:val="1D142987"/>
    <w:rsid w:val="1D1D7E62"/>
    <w:rsid w:val="1D5C71A3"/>
    <w:rsid w:val="1DFB1AA5"/>
    <w:rsid w:val="1E01508B"/>
    <w:rsid w:val="1E5C2575"/>
    <w:rsid w:val="1E8C4893"/>
    <w:rsid w:val="1EE3321B"/>
    <w:rsid w:val="1F263FFF"/>
    <w:rsid w:val="1F3E2E8F"/>
    <w:rsid w:val="1FF6208D"/>
    <w:rsid w:val="2102376A"/>
    <w:rsid w:val="212B74A9"/>
    <w:rsid w:val="214A0F8D"/>
    <w:rsid w:val="21B54F59"/>
    <w:rsid w:val="21C20A0E"/>
    <w:rsid w:val="22AF715D"/>
    <w:rsid w:val="22DD71AC"/>
    <w:rsid w:val="22F120E9"/>
    <w:rsid w:val="23332EB5"/>
    <w:rsid w:val="234D69CA"/>
    <w:rsid w:val="23F452DF"/>
    <w:rsid w:val="249842BD"/>
    <w:rsid w:val="24A51BA5"/>
    <w:rsid w:val="25052A66"/>
    <w:rsid w:val="250671B1"/>
    <w:rsid w:val="250D40EA"/>
    <w:rsid w:val="25165DDE"/>
    <w:rsid w:val="253D42A6"/>
    <w:rsid w:val="25482840"/>
    <w:rsid w:val="25536928"/>
    <w:rsid w:val="256900F9"/>
    <w:rsid w:val="25843C6E"/>
    <w:rsid w:val="25A92133"/>
    <w:rsid w:val="25DC1D4B"/>
    <w:rsid w:val="25E216F4"/>
    <w:rsid w:val="261F3460"/>
    <w:rsid w:val="26B55A8F"/>
    <w:rsid w:val="26DB63D5"/>
    <w:rsid w:val="270C62BF"/>
    <w:rsid w:val="2726338C"/>
    <w:rsid w:val="27485E34"/>
    <w:rsid w:val="27765C68"/>
    <w:rsid w:val="278B24B5"/>
    <w:rsid w:val="27E2468D"/>
    <w:rsid w:val="2867067F"/>
    <w:rsid w:val="28705726"/>
    <w:rsid w:val="28850C5D"/>
    <w:rsid w:val="29017B6B"/>
    <w:rsid w:val="2906420A"/>
    <w:rsid w:val="291B051C"/>
    <w:rsid w:val="291C3F69"/>
    <w:rsid w:val="297515A3"/>
    <w:rsid w:val="298000A1"/>
    <w:rsid w:val="29987E43"/>
    <w:rsid w:val="29A67494"/>
    <w:rsid w:val="29B876A9"/>
    <w:rsid w:val="2A6E041B"/>
    <w:rsid w:val="2A727E28"/>
    <w:rsid w:val="2A796EAC"/>
    <w:rsid w:val="2A7A2C8C"/>
    <w:rsid w:val="2A8F5635"/>
    <w:rsid w:val="2AC34354"/>
    <w:rsid w:val="2AE64DA5"/>
    <w:rsid w:val="2B134A2E"/>
    <w:rsid w:val="2B20200C"/>
    <w:rsid w:val="2B5D3862"/>
    <w:rsid w:val="2B7E547A"/>
    <w:rsid w:val="2B8230F3"/>
    <w:rsid w:val="2C2B15F3"/>
    <w:rsid w:val="2C664910"/>
    <w:rsid w:val="2C6E0E3A"/>
    <w:rsid w:val="2CA80DBE"/>
    <w:rsid w:val="2D1D5CF2"/>
    <w:rsid w:val="2D413FE6"/>
    <w:rsid w:val="2DBB74F5"/>
    <w:rsid w:val="2DDE22BD"/>
    <w:rsid w:val="2E00063F"/>
    <w:rsid w:val="2E450F62"/>
    <w:rsid w:val="2E671117"/>
    <w:rsid w:val="2E9B657A"/>
    <w:rsid w:val="2F187EAF"/>
    <w:rsid w:val="2F662C24"/>
    <w:rsid w:val="2F6B6A23"/>
    <w:rsid w:val="2F9815E4"/>
    <w:rsid w:val="2FAA7D40"/>
    <w:rsid w:val="2FB90ADC"/>
    <w:rsid w:val="2FC63312"/>
    <w:rsid w:val="300D774B"/>
    <w:rsid w:val="3016476E"/>
    <w:rsid w:val="304415EA"/>
    <w:rsid w:val="30D64907"/>
    <w:rsid w:val="30E2391E"/>
    <w:rsid w:val="31A351E2"/>
    <w:rsid w:val="31BD0221"/>
    <w:rsid w:val="31CA2A97"/>
    <w:rsid w:val="31E777DB"/>
    <w:rsid w:val="32BE6B9B"/>
    <w:rsid w:val="32BF24E3"/>
    <w:rsid w:val="32CB7F4E"/>
    <w:rsid w:val="32E313DE"/>
    <w:rsid w:val="32E70E43"/>
    <w:rsid w:val="32F47C26"/>
    <w:rsid w:val="33646EDC"/>
    <w:rsid w:val="336B43A1"/>
    <w:rsid w:val="336C1EC1"/>
    <w:rsid w:val="33713099"/>
    <w:rsid w:val="343B14EB"/>
    <w:rsid w:val="346F40E9"/>
    <w:rsid w:val="34A61AC0"/>
    <w:rsid w:val="34B071F7"/>
    <w:rsid w:val="34F911D5"/>
    <w:rsid w:val="34FE7B98"/>
    <w:rsid w:val="350D0DB6"/>
    <w:rsid w:val="356C563A"/>
    <w:rsid w:val="35C037B2"/>
    <w:rsid w:val="35C644DF"/>
    <w:rsid w:val="364147E3"/>
    <w:rsid w:val="36937ED8"/>
    <w:rsid w:val="369A7725"/>
    <w:rsid w:val="36C327F9"/>
    <w:rsid w:val="374F0524"/>
    <w:rsid w:val="37874B00"/>
    <w:rsid w:val="37B027FC"/>
    <w:rsid w:val="37E014E1"/>
    <w:rsid w:val="383D1D67"/>
    <w:rsid w:val="38D3619C"/>
    <w:rsid w:val="38E876F6"/>
    <w:rsid w:val="396637F9"/>
    <w:rsid w:val="397D66DD"/>
    <w:rsid w:val="398D5E6D"/>
    <w:rsid w:val="39965D68"/>
    <w:rsid w:val="399D008D"/>
    <w:rsid w:val="39D771C9"/>
    <w:rsid w:val="3A2E20B5"/>
    <w:rsid w:val="3A471164"/>
    <w:rsid w:val="3A836CD7"/>
    <w:rsid w:val="3AC84A28"/>
    <w:rsid w:val="3B902C2D"/>
    <w:rsid w:val="3B95258E"/>
    <w:rsid w:val="3BA63825"/>
    <w:rsid w:val="3BF1111E"/>
    <w:rsid w:val="3BF74783"/>
    <w:rsid w:val="3C521A3F"/>
    <w:rsid w:val="3D566F67"/>
    <w:rsid w:val="3D5D3F08"/>
    <w:rsid w:val="3E191D4C"/>
    <w:rsid w:val="3E340F62"/>
    <w:rsid w:val="3E3B0E18"/>
    <w:rsid w:val="3E484743"/>
    <w:rsid w:val="3E5B1AEE"/>
    <w:rsid w:val="3EF1191C"/>
    <w:rsid w:val="3EF62F65"/>
    <w:rsid w:val="3F3D71E5"/>
    <w:rsid w:val="3F521947"/>
    <w:rsid w:val="3FA02F3D"/>
    <w:rsid w:val="3FC20C48"/>
    <w:rsid w:val="3FE970EC"/>
    <w:rsid w:val="40375EE2"/>
    <w:rsid w:val="40420E5A"/>
    <w:rsid w:val="40690EBA"/>
    <w:rsid w:val="409A5CE5"/>
    <w:rsid w:val="40AD4623"/>
    <w:rsid w:val="40AD4BF8"/>
    <w:rsid w:val="40AD6FA9"/>
    <w:rsid w:val="40B67104"/>
    <w:rsid w:val="40BF704C"/>
    <w:rsid w:val="41062A87"/>
    <w:rsid w:val="418204C7"/>
    <w:rsid w:val="419E4433"/>
    <w:rsid w:val="41A42068"/>
    <w:rsid w:val="41B3623A"/>
    <w:rsid w:val="41F705F5"/>
    <w:rsid w:val="4267703E"/>
    <w:rsid w:val="427C546F"/>
    <w:rsid w:val="42806B8B"/>
    <w:rsid w:val="42EB30B5"/>
    <w:rsid w:val="43B47D2B"/>
    <w:rsid w:val="43B7257E"/>
    <w:rsid w:val="43F31495"/>
    <w:rsid w:val="44112AE7"/>
    <w:rsid w:val="44485106"/>
    <w:rsid w:val="445702DB"/>
    <w:rsid w:val="447A4A68"/>
    <w:rsid w:val="44B27E14"/>
    <w:rsid w:val="44C411FA"/>
    <w:rsid w:val="45141224"/>
    <w:rsid w:val="454552C9"/>
    <w:rsid w:val="455A54BB"/>
    <w:rsid w:val="45FD4187"/>
    <w:rsid w:val="4615400D"/>
    <w:rsid w:val="46184551"/>
    <w:rsid w:val="461D62B2"/>
    <w:rsid w:val="46273016"/>
    <w:rsid w:val="46754385"/>
    <w:rsid w:val="46C73D39"/>
    <w:rsid w:val="46D27639"/>
    <w:rsid w:val="46E22759"/>
    <w:rsid w:val="46EE6920"/>
    <w:rsid w:val="46F07D78"/>
    <w:rsid w:val="47830769"/>
    <w:rsid w:val="478329E6"/>
    <w:rsid w:val="47F877AA"/>
    <w:rsid w:val="481978C1"/>
    <w:rsid w:val="48375667"/>
    <w:rsid w:val="48377450"/>
    <w:rsid w:val="483B1322"/>
    <w:rsid w:val="486D01AA"/>
    <w:rsid w:val="486F1E9D"/>
    <w:rsid w:val="488851FA"/>
    <w:rsid w:val="48BD0F90"/>
    <w:rsid w:val="48C5790B"/>
    <w:rsid w:val="48D22EDE"/>
    <w:rsid w:val="48FB467F"/>
    <w:rsid w:val="49230DB0"/>
    <w:rsid w:val="4946009D"/>
    <w:rsid w:val="497B4F19"/>
    <w:rsid w:val="49C16D01"/>
    <w:rsid w:val="49C43392"/>
    <w:rsid w:val="4A0C571F"/>
    <w:rsid w:val="4A91409C"/>
    <w:rsid w:val="4AA730DC"/>
    <w:rsid w:val="4ACF221B"/>
    <w:rsid w:val="4AED6223"/>
    <w:rsid w:val="4B872B3A"/>
    <w:rsid w:val="4BAC2A0B"/>
    <w:rsid w:val="4BAF7B69"/>
    <w:rsid w:val="4C25682E"/>
    <w:rsid w:val="4C423741"/>
    <w:rsid w:val="4C9763E0"/>
    <w:rsid w:val="4CAE708B"/>
    <w:rsid w:val="4CB33267"/>
    <w:rsid w:val="4CDE6BAF"/>
    <w:rsid w:val="4D3431DC"/>
    <w:rsid w:val="4DF27860"/>
    <w:rsid w:val="4E0840DE"/>
    <w:rsid w:val="4E4C5328"/>
    <w:rsid w:val="4EB534E8"/>
    <w:rsid w:val="4EB72535"/>
    <w:rsid w:val="4EE65C32"/>
    <w:rsid w:val="4EEE5AA6"/>
    <w:rsid w:val="4F1129BD"/>
    <w:rsid w:val="4F2546C9"/>
    <w:rsid w:val="4F33184B"/>
    <w:rsid w:val="4F443B3E"/>
    <w:rsid w:val="4F5B641E"/>
    <w:rsid w:val="4F7848A5"/>
    <w:rsid w:val="4F9D7782"/>
    <w:rsid w:val="4FF02F20"/>
    <w:rsid w:val="500E34BA"/>
    <w:rsid w:val="502108A8"/>
    <w:rsid w:val="507371B3"/>
    <w:rsid w:val="50FB0104"/>
    <w:rsid w:val="514B1109"/>
    <w:rsid w:val="51744496"/>
    <w:rsid w:val="51B01E30"/>
    <w:rsid w:val="51BA4525"/>
    <w:rsid w:val="51BC5640"/>
    <w:rsid w:val="51CB62F5"/>
    <w:rsid w:val="5231793A"/>
    <w:rsid w:val="52622DE3"/>
    <w:rsid w:val="52A07B0A"/>
    <w:rsid w:val="52A321B5"/>
    <w:rsid w:val="5334319E"/>
    <w:rsid w:val="533504C9"/>
    <w:rsid w:val="53B537EB"/>
    <w:rsid w:val="53E60C86"/>
    <w:rsid w:val="53FD0290"/>
    <w:rsid w:val="542C7886"/>
    <w:rsid w:val="546332D9"/>
    <w:rsid w:val="5476514A"/>
    <w:rsid w:val="549619F6"/>
    <w:rsid w:val="54EE63BF"/>
    <w:rsid w:val="552E4C3F"/>
    <w:rsid w:val="55BC1B8B"/>
    <w:rsid w:val="55F9531C"/>
    <w:rsid w:val="561359D4"/>
    <w:rsid w:val="561F0691"/>
    <w:rsid w:val="562D02B0"/>
    <w:rsid w:val="56CD7106"/>
    <w:rsid w:val="56DE61F4"/>
    <w:rsid w:val="56E457CC"/>
    <w:rsid w:val="5749278A"/>
    <w:rsid w:val="575778D4"/>
    <w:rsid w:val="578339CF"/>
    <w:rsid w:val="58081EF2"/>
    <w:rsid w:val="58D95A5D"/>
    <w:rsid w:val="58EB4F8E"/>
    <w:rsid w:val="58EC3BCD"/>
    <w:rsid w:val="58EF7A7F"/>
    <w:rsid w:val="59000089"/>
    <w:rsid w:val="59401795"/>
    <w:rsid w:val="59682604"/>
    <w:rsid w:val="598C6341"/>
    <w:rsid w:val="59A85620"/>
    <w:rsid w:val="59B136B5"/>
    <w:rsid w:val="5A2E2F63"/>
    <w:rsid w:val="5A7D7092"/>
    <w:rsid w:val="5A9203F5"/>
    <w:rsid w:val="5AE74481"/>
    <w:rsid w:val="5B120E1D"/>
    <w:rsid w:val="5B57636B"/>
    <w:rsid w:val="5B887D5B"/>
    <w:rsid w:val="5BD13614"/>
    <w:rsid w:val="5BFD6DD2"/>
    <w:rsid w:val="5C56190B"/>
    <w:rsid w:val="5CD1780B"/>
    <w:rsid w:val="5DA0758D"/>
    <w:rsid w:val="5DBF64B7"/>
    <w:rsid w:val="5DD565C1"/>
    <w:rsid w:val="5E084988"/>
    <w:rsid w:val="5E3C4E50"/>
    <w:rsid w:val="5FBA32FE"/>
    <w:rsid w:val="610452EC"/>
    <w:rsid w:val="613D5781"/>
    <w:rsid w:val="61645568"/>
    <w:rsid w:val="6165490D"/>
    <w:rsid w:val="619E0218"/>
    <w:rsid w:val="61A63AFA"/>
    <w:rsid w:val="620769DF"/>
    <w:rsid w:val="62E972B1"/>
    <w:rsid w:val="62EA7244"/>
    <w:rsid w:val="62FC249E"/>
    <w:rsid w:val="630B1438"/>
    <w:rsid w:val="63273020"/>
    <w:rsid w:val="63732E8D"/>
    <w:rsid w:val="63BD108B"/>
    <w:rsid w:val="63C549EF"/>
    <w:rsid w:val="63E220BC"/>
    <w:rsid w:val="63E646FB"/>
    <w:rsid w:val="63FA0C12"/>
    <w:rsid w:val="64517B88"/>
    <w:rsid w:val="647941B9"/>
    <w:rsid w:val="64C818B1"/>
    <w:rsid w:val="65642A4A"/>
    <w:rsid w:val="65EC3539"/>
    <w:rsid w:val="6600255B"/>
    <w:rsid w:val="661F3BB0"/>
    <w:rsid w:val="664B00BF"/>
    <w:rsid w:val="66587BBE"/>
    <w:rsid w:val="666C1984"/>
    <w:rsid w:val="66701D49"/>
    <w:rsid w:val="66865344"/>
    <w:rsid w:val="66AB2AE5"/>
    <w:rsid w:val="66D70D38"/>
    <w:rsid w:val="66E14E69"/>
    <w:rsid w:val="66FD34EF"/>
    <w:rsid w:val="671C6F97"/>
    <w:rsid w:val="672F485A"/>
    <w:rsid w:val="67425C9B"/>
    <w:rsid w:val="67657623"/>
    <w:rsid w:val="676C342A"/>
    <w:rsid w:val="678B6139"/>
    <w:rsid w:val="678F45D8"/>
    <w:rsid w:val="67A630D7"/>
    <w:rsid w:val="6803677E"/>
    <w:rsid w:val="689174E5"/>
    <w:rsid w:val="68927DA1"/>
    <w:rsid w:val="689B0505"/>
    <w:rsid w:val="68B16D80"/>
    <w:rsid w:val="690B4BC5"/>
    <w:rsid w:val="690C0FED"/>
    <w:rsid w:val="69234E09"/>
    <w:rsid w:val="693A0FD5"/>
    <w:rsid w:val="69C355FC"/>
    <w:rsid w:val="6A063ACB"/>
    <w:rsid w:val="6A1F0B7F"/>
    <w:rsid w:val="6A2A7F80"/>
    <w:rsid w:val="6A4F1AA6"/>
    <w:rsid w:val="6A666116"/>
    <w:rsid w:val="6A697DC4"/>
    <w:rsid w:val="6A816BDE"/>
    <w:rsid w:val="6B944372"/>
    <w:rsid w:val="6C067157"/>
    <w:rsid w:val="6C611242"/>
    <w:rsid w:val="6C7768E3"/>
    <w:rsid w:val="6C8D5F9A"/>
    <w:rsid w:val="6CB24D95"/>
    <w:rsid w:val="6CD14066"/>
    <w:rsid w:val="6CD65400"/>
    <w:rsid w:val="6CEA6EED"/>
    <w:rsid w:val="6D5A3276"/>
    <w:rsid w:val="6D873DCA"/>
    <w:rsid w:val="6D903330"/>
    <w:rsid w:val="6DA25EEA"/>
    <w:rsid w:val="6DC777E9"/>
    <w:rsid w:val="6DE7369B"/>
    <w:rsid w:val="6DEC4153"/>
    <w:rsid w:val="6DEF5C7C"/>
    <w:rsid w:val="6E2D1998"/>
    <w:rsid w:val="6E353752"/>
    <w:rsid w:val="6E485C7E"/>
    <w:rsid w:val="6EA11F27"/>
    <w:rsid w:val="6EB25EEE"/>
    <w:rsid w:val="6EC437C4"/>
    <w:rsid w:val="6EE32DAC"/>
    <w:rsid w:val="6F39257A"/>
    <w:rsid w:val="6F735BDB"/>
    <w:rsid w:val="6F855291"/>
    <w:rsid w:val="70517319"/>
    <w:rsid w:val="705954D7"/>
    <w:rsid w:val="706A1FAC"/>
    <w:rsid w:val="70974AC6"/>
    <w:rsid w:val="70C142C7"/>
    <w:rsid w:val="70EE101F"/>
    <w:rsid w:val="70F63534"/>
    <w:rsid w:val="70FE2BC4"/>
    <w:rsid w:val="71173AA3"/>
    <w:rsid w:val="71326D2A"/>
    <w:rsid w:val="71483643"/>
    <w:rsid w:val="71680AE0"/>
    <w:rsid w:val="71AA1C71"/>
    <w:rsid w:val="71B47029"/>
    <w:rsid w:val="71E81D3B"/>
    <w:rsid w:val="71F2355A"/>
    <w:rsid w:val="7210413A"/>
    <w:rsid w:val="726319CC"/>
    <w:rsid w:val="72BD6280"/>
    <w:rsid w:val="72BF1E77"/>
    <w:rsid w:val="72DC145C"/>
    <w:rsid w:val="7309353A"/>
    <w:rsid w:val="73171C00"/>
    <w:rsid w:val="733C2543"/>
    <w:rsid w:val="73407947"/>
    <w:rsid w:val="734C5ECC"/>
    <w:rsid w:val="73CF0695"/>
    <w:rsid w:val="745B1D72"/>
    <w:rsid w:val="74BD64D6"/>
    <w:rsid w:val="74FB5878"/>
    <w:rsid w:val="750B116F"/>
    <w:rsid w:val="754233B3"/>
    <w:rsid w:val="75765CBC"/>
    <w:rsid w:val="75A50944"/>
    <w:rsid w:val="75D65090"/>
    <w:rsid w:val="76113AEC"/>
    <w:rsid w:val="763906BB"/>
    <w:rsid w:val="76965D14"/>
    <w:rsid w:val="76B71ACC"/>
    <w:rsid w:val="76BF0084"/>
    <w:rsid w:val="76EE77C9"/>
    <w:rsid w:val="770F524E"/>
    <w:rsid w:val="77186ED0"/>
    <w:rsid w:val="773B11DE"/>
    <w:rsid w:val="77442883"/>
    <w:rsid w:val="779D659C"/>
    <w:rsid w:val="779E12F4"/>
    <w:rsid w:val="77E038AD"/>
    <w:rsid w:val="77EC560D"/>
    <w:rsid w:val="78067BFE"/>
    <w:rsid w:val="782C0771"/>
    <w:rsid w:val="78332F95"/>
    <w:rsid w:val="785E4BC8"/>
    <w:rsid w:val="786B14A2"/>
    <w:rsid w:val="78751A8A"/>
    <w:rsid w:val="787C20D7"/>
    <w:rsid w:val="788C20F2"/>
    <w:rsid w:val="78C66BF7"/>
    <w:rsid w:val="78F351F9"/>
    <w:rsid w:val="78FA61FE"/>
    <w:rsid w:val="78FB4C2D"/>
    <w:rsid w:val="791135D0"/>
    <w:rsid w:val="791E0FC4"/>
    <w:rsid w:val="79D24DFF"/>
    <w:rsid w:val="79D356BC"/>
    <w:rsid w:val="79EF422C"/>
    <w:rsid w:val="7A046294"/>
    <w:rsid w:val="7A793A06"/>
    <w:rsid w:val="7AD77653"/>
    <w:rsid w:val="7B0B3DAD"/>
    <w:rsid w:val="7B1B2082"/>
    <w:rsid w:val="7B312B15"/>
    <w:rsid w:val="7B4056BC"/>
    <w:rsid w:val="7B61206E"/>
    <w:rsid w:val="7B68300F"/>
    <w:rsid w:val="7BA8012D"/>
    <w:rsid w:val="7BAD3DB7"/>
    <w:rsid w:val="7C53602D"/>
    <w:rsid w:val="7C5B7D97"/>
    <w:rsid w:val="7C7A27A4"/>
    <w:rsid w:val="7C873D6F"/>
    <w:rsid w:val="7C962A1F"/>
    <w:rsid w:val="7D560A57"/>
    <w:rsid w:val="7D5B4FF4"/>
    <w:rsid w:val="7D6776E0"/>
    <w:rsid w:val="7D893026"/>
    <w:rsid w:val="7D9A31A9"/>
    <w:rsid w:val="7DA73074"/>
    <w:rsid w:val="7DD42F08"/>
    <w:rsid w:val="7DF61596"/>
    <w:rsid w:val="7E1B3D5A"/>
    <w:rsid w:val="7E411280"/>
    <w:rsid w:val="7E5D4B45"/>
    <w:rsid w:val="7EC605D3"/>
    <w:rsid w:val="7F080939"/>
    <w:rsid w:val="7F2F5FA7"/>
    <w:rsid w:val="7F8A7EC4"/>
    <w:rsid w:val="7FD15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3">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4">
    <w:name w:val="annotation text"/>
    <w:basedOn w:val="1"/>
    <w:link w:val="26"/>
    <w:qFormat/>
    <w:uiPriority w:val="0"/>
    <w:pPr>
      <w:jc w:val="left"/>
    </w:pPr>
    <w:rPr>
      <w:rFonts w:ascii="Calibri" w:hAnsi="Calibri"/>
      <w:kern w:val="0"/>
      <w:sz w:val="20"/>
      <w:szCs w:val="20"/>
    </w:rPr>
  </w:style>
  <w:style w:type="paragraph" w:styleId="5">
    <w:name w:val="Plain Text"/>
    <w:basedOn w:val="1"/>
    <w:next w:val="1"/>
    <w:link w:val="31"/>
    <w:qFormat/>
    <w:uiPriority w:val="0"/>
    <w:rPr>
      <w:rFonts w:ascii="宋体" w:hAnsi="Courier New"/>
      <w:szCs w:val="24"/>
    </w:rPr>
  </w:style>
  <w:style w:type="paragraph" w:styleId="6">
    <w:name w:val="Balloon Text"/>
    <w:basedOn w:val="1"/>
    <w:link w:val="33"/>
    <w:qFormat/>
    <w:uiPriority w:val="0"/>
    <w:rPr>
      <w:sz w:val="18"/>
      <w:szCs w:val="18"/>
    </w:rPr>
  </w:style>
  <w:style w:type="paragraph" w:styleId="7">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Body Text 2"/>
    <w:basedOn w:val="1"/>
    <w:qFormat/>
    <w:uiPriority w:val="0"/>
    <w:rPr>
      <w:rFonts w:ascii="宋体" w:hAnsi="宋体"/>
      <w:kern w:val="0"/>
      <w:sz w:val="20"/>
      <w:szCs w:val="24"/>
      <w:u w:val="single"/>
    </w:rPr>
  </w:style>
  <w:style w:type="paragraph" w:styleId="10">
    <w:name w:val="Normal (Web)"/>
    <w:basedOn w:val="1"/>
    <w:unhideWhenUsed/>
    <w:qFormat/>
    <w:uiPriority w:val="99"/>
    <w:rPr>
      <w:sz w:val="24"/>
      <w:szCs w:val="24"/>
    </w:rPr>
  </w:style>
  <w:style w:type="paragraph" w:styleId="11">
    <w:name w:val="annotation subject"/>
    <w:basedOn w:val="4"/>
    <w:next w:val="4"/>
    <w:link w:val="28"/>
    <w:qFormat/>
    <w:uiPriority w:val="0"/>
    <w:rPr>
      <w:rFonts w:ascii="Times New Roman" w:hAnsi="Times New Roman"/>
      <w:b/>
      <w:bCs/>
      <w:kern w:val="2"/>
      <w:sz w:val="21"/>
      <w:szCs w:val="22"/>
    </w:rPr>
  </w:style>
  <w:style w:type="table" w:styleId="13">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qFormat/>
    <w:uiPriority w:val="0"/>
    <w:rPr>
      <w:color w:val="000000"/>
      <w:u w:val="none"/>
    </w:rPr>
  </w:style>
  <w:style w:type="character" w:styleId="18">
    <w:name w:val="HTML Definition"/>
    <w:basedOn w:val="14"/>
    <w:qFormat/>
    <w:uiPriority w:val="0"/>
    <w:rPr>
      <w:i/>
    </w:rPr>
  </w:style>
  <w:style w:type="character" w:styleId="19">
    <w:name w:val="Hyperlink"/>
    <w:qFormat/>
    <w:uiPriority w:val="0"/>
    <w:rPr>
      <w:color w:val="000000"/>
      <w:u w:val="none"/>
    </w:rPr>
  </w:style>
  <w:style w:type="character" w:styleId="20">
    <w:name w:val="HTML Code"/>
    <w:basedOn w:val="14"/>
    <w:qFormat/>
    <w:uiPriority w:val="0"/>
    <w:rPr>
      <w:rFonts w:hint="default" w:ascii="Consolas" w:hAnsi="Consolas" w:eastAsia="Consolas" w:cs="Consolas"/>
      <w:color w:val="C7254E"/>
      <w:sz w:val="21"/>
      <w:szCs w:val="21"/>
      <w:bdr w:val="single" w:color="E1E1E1" w:sz="4" w:space="0"/>
      <w:shd w:val="clear" w:color="auto" w:fill="F9F2F4"/>
    </w:rPr>
  </w:style>
  <w:style w:type="character" w:styleId="21">
    <w:name w:val="annotation reference"/>
    <w:qFormat/>
    <w:uiPriority w:val="0"/>
    <w:rPr>
      <w:sz w:val="21"/>
      <w:szCs w:val="21"/>
    </w:rPr>
  </w:style>
  <w:style w:type="character" w:styleId="22">
    <w:name w:val="HTML Keyboard"/>
    <w:basedOn w:val="14"/>
    <w:qFormat/>
    <w:uiPriority w:val="0"/>
    <w:rPr>
      <w:rFonts w:ascii="Consolas" w:hAnsi="Consolas" w:eastAsia="Consolas" w:cs="Consolas"/>
      <w:color w:val="FFFFFF"/>
      <w:sz w:val="21"/>
      <w:szCs w:val="21"/>
      <w:shd w:val="clear" w:color="auto" w:fill="333333"/>
    </w:rPr>
  </w:style>
  <w:style w:type="character" w:styleId="23">
    <w:name w:val="HTML Sample"/>
    <w:basedOn w:val="14"/>
    <w:qFormat/>
    <w:uiPriority w:val="0"/>
    <w:rPr>
      <w:rFonts w:hint="default" w:ascii="Consolas" w:hAnsi="Consolas" w:eastAsia="Consolas" w:cs="Consolas"/>
      <w:sz w:val="21"/>
      <w:szCs w:val="21"/>
    </w:rPr>
  </w:style>
  <w:style w:type="character" w:customStyle="1" w:styleId="24">
    <w:name w:val="hover40"/>
    <w:basedOn w:val="14"/>
    <w:qFormat/>
    <w:uiPriority w:val="0"/>
  </w:style>
  <w:style w:type="character" w:customStyle="1" w:styleId="25">
    <w:name w:val="times1"/>
    <w:qFormat/>
    <w:uiPriority w:val="0"/>
    <w:rPr>
      <w:color w:val="CDCDCD"/>
      <w:bdr w:val="single" w:color="CDCDCD" w:sz="6" w:space="0"/>
      <w:shd w:val="clear" w:color="auto" w:fill="EFEFEF"/>
    </w:rPr>
  </w:style>
  <w:style w:type="character" w:customStyle="1" w:styleId="26">
    <w:name w:val="批注文字 Char"/>
    <w:basedOn w:val="14"/>
    <w:link w:val="4"/>
    <w:qFormat/>
    <w:uiPriority w:val="0"/>
  </w:style>
  <w:style w:type="character" w:customStyle="1" w:styleId="27">
    <w:name w:val="纯文本 Char"/>
    <w:qFormat/>
    <w:uiPriority w:val="0"/>
    <w:rPr>
      <w:rFonts w:ascii="宋体" w:hAnsi="Courier New" w:cs="Courier New"/>
      <w:kern w:val="2"/>
      <w:sz w:val="21"/>
      <w:szCs w:val="21"/>
    </w:rPr>
  </w:style>
  <w:style w:type="character" w:customStyle="1" w:styleId="28">
    <w:name w:val="批注主题 Char"/>
    <w:link w:val="11"/>
    <w:qFormat/>
    <w:uiPriority w:val="0"/>
    <w:rPr>
      <w:b/>
      <w:bCs/>
      <w:kern w:val="2"/>
      <w:sz w:val="21"/>
      <w:szCs w:val="22"/>
    </w:rPr>
  </w:style>
  <w:style w:type="character" w:customStyle="1" w:styleId="29">
    <w:name w:val="hover36"/>
    <w:basedOn w:val="14"/>
    <w:qFormat/>
    <w:uiPriority w:val="0"/>
  </w:style>
  <w:style w:type="character" w:customStyle="1" w:styleId="30">
    <w:name w:val="times"/>
    <w:qFormat/>
    <w:uiPriority w:val="0"/>
    <w:rPr>
      <w:color w:val="3399FF"/>
      <w:bdr w:val="single" w:color="D1EDF8" w:sz="6" w:space="0"/>
      <w:shd w:val="clear" w:color="auto" w:fill="EAF9FF"/>
    </w:rPr>
  </w:style>
  <w:style w:type="character" w:customStyle="1" w:styleId="31">
    <w:name w:val="纯文本 Char1"/>
    <w:link w:val="5"/>
    <w:qFormat/>
    <w:locked/>
    <w:uiPriority w:val="0"/>
    <w:rPr>
      <w:rFonts w:ascii="宋体" w:hAnsi="Courier New"/>
      <w:kern w:val="2"/>
      <w:sz w:val="21"/>
      <w:szCs w:val="24"/>
    </w:rPr>
  </w:style>
  <w:style w:type="character" w:customStyle="1" w:styleId="32">
    <w:name w:val="hover42"/>
    <w:basedOn w:val="14"/>
    <w:qFormat/>
    <w:uiPriority w:val="0"/>
  </w:style>
  <w:style w:type="character" w:customStyle="1" w:styleId="33">
    <w:name w:val="批注框文本 Char"/>
    <w:link w:val="6"/>
    <w:qFormat/>
    <w:uiPriority w:val="0"/>
    <w:rPr>
      <w:kern w:val="2"/>
      <w:sz w:val="18"/>
      <w:szCs w:val="18"/>
    </w:rPr>
  </w:style>
  <w:style w:type="character" w:customStyle="1" w:styleId="34">
    <w:name w:val="hover41"/>
    <w:basedOn w:val="14"/>
    <w:qFormat/>
    <w:uiPriority w:val="0"/>
  </w:style>
  <w:style w:type="paragraph" w:customStyle="1" w:styleId="35">
    <w:name w:val="发文落款"/>
    <w:basedOn w:val="36"/>
    <w:qFormat/>
    <w:uiPriority w:val="0"/>
    <w:pPr>
      <w:ind w:left="4094" w:right="607" w:firstLine="0"/>
      <w:jc w:val="center"/>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
    <w:name w:val="a1"/>
    <w:basedOn w:val="1"/>
    <w:qFormat/>
    <w:uiPriority w:val="0"/>
    <w:pPr>
      <w:widowControl/>
      <w:jc w:val="left"/>
    </w:pPr>
    <w:rPr>
      <w:rFonts w:ascii="宋体" w:hAnsi="宋体" w:cs="宋体"/>
      <w:kern w:val="0"/>
      <w:sz w:val="24"/>
      <w:szCs w:val="24"/>
    </w:rPr>
  </w:style>
  <w:style w:type="paragraph" w:styleId="39">
    <w:name w:val="List Paragraph"/>
    <w:basedOn w:val="1"/>
    <w:qFormat/>
    <w:uiPriority w:val="99"/>
    <w:pPr>
      <w:ind w:firstLine="420" w:firstLineChars="200"/>
    </w:pPr>
  </w:style>
  <w:style w:type="character" w:customStyle="1" w:styleId="40">
    <w:name w:val="title21"/>
    <w:basedOn w:val="14"/>
    <w:qFormat/>
    <w:uiPriority w:val="0"/>
  </w:style>
  <w:style w:type="character" w:customStyle="1" w:styleId="41">
    <w:name w:val="username"/>
    <w:basedOn w:val="14"/>
    <w:qFormat/>
    <w:uiPriority w:val="0"/>
  </w:style>
  <w:style w:type="paragraph" w:customStyle="1" w:styleId="42">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5145</Words>
  <Characters>5446</Characters>
  <Lines>66</Lines>
  <Paragraphs>18</Paragraphs>
  <TotalTime>0</TotalTime>
  <ScaleCrop>false</ScaleCrop>
  <LinksUpToDate>false</LinksUpToDate>
  <CharactersWithSpaces>5698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2020-02-17T08:34:00Z</dcterms:created>
  <dcterms:modified xsi:type="dcterms:W3CDTF">2023-10-18T09:05:52Z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D3481DD1D0174CF9921682EB15132305_13</vt:lpwstr>
  </property>
</Properties>
</file>