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bookmarkStart w:id="41" w:name="_GoBack"/>
      <w:bookmarkEnd w:id="41"/>
    </w:p>
    <w:p>
      <w:pPr>
        <w:jc w:val="center"/>
        <w:rPr>
          <w:rFonts w:eastAsia="宋体"/>
          <w:color w:val="auto"/>
          <w:highlight w:val="none"/>
        </w:rPr>
      </w:pPr>
      <w:r>
        <w:rPr>
          <w:rFonts w:hint="eastAsia" w:ascii="宋体" w:hAnsi="宋体" w:eastAsia="宋体" w:cs="宋体"/>
          <w:b/>
          <w:color w:val="auto"/>
          <w:sz w:val="44"/>
          <w:szCs w:val="44"/>
          <w:highlight w:val="none"/>
        </w:rPr>
        <w:t>南沙芦湾村新林楼重建工程二次供水（智慧泵房）施工</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9"/>
        <w:rPr>
          <w:rFonts w:hint="default" w:hAnsi="宋体" w:cs="宋体"/>
          <w:color w:val="auto"/>
          <w:sz w:val="72"/>
          <w:szCs w:val="72"/>
          <w:highlight w:val="none"/>
        </w:rPr>
      </w:pPr>
    </w:p>
    <w:p>
      <w:pPr>
        <w:rPr>
          <w:color w:val="auto"/>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招标人：广州南沙经发投资有限公司（业主单位）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期：2023年10月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color w:val="auto"/>
              <w:highlight w:val="none"/>
            </w:rPr>
            <w:fldChar w:fldCharType="begin"/>
          </w:r>
          <w:r>
            <w:rPr>
              <w:color w:val="auto"/>
              <w:highlight w:val="none"/>
            </w:rPr>
            <w:instrText xml:space="preserve"> HYPERLINK \l "_Toc13302" </w:instrText>
          </w:r>
          <w:r>
            <w:rPr>
              <w:rFonts w:hint="eastAsia"/>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color w:val="auto"/>
              <w:highlight w:val="none"/>
            </w:rPr>
            <w:fldChar w:fldCharType="begin"/>
          </w:r>
          <w:r>
            <w:rPr>
              <w:color w:val="auto"/>
              <w:highlight w:val="none"/>
            </w:rPr>
            <w:instrText xml:space="preserve"> HYPERLINK \l "_Toc1632" </w:instrText>
          </w:r>
          <w:r>
            <w:rPr>
              <w:rFonts w:hint="eastAsia"/>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color w:val="auto"/>
              <w:highlight w:val="none"/>
            </w:rPr>
            <w:fldChar w:fldCharType="begin"/>
          </w:r>
          <w:r>
            <w:rPr>
              <w:color w:val="auto"/>
              <w:highlight w:val="none"/>
            </w:rPr>
            <w:instrText xml:space="preserve"> HYPERLINK \l "_Toc27492" </w:instrText>
          </w:r>
          <w:r>
            <w:rPr>
              <w:rFonts w:hint="eastAsia"/>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color w:val="auto"/>
              <w:highlight w:val="none"/>
            </w:rPr>
            <w:fldChar w:fldCharType="begin"/>
          </w:r>
          <w:r>
            <w:rPr>
              <w:color w:val="auto"/>
              <w:highlight w:val="none"/>
            </w:rPr>
            <w:instrText xml:space="preserve"> HYPERLINK \l "_Toc30913" </w:instrText>
          </w:r>
          <w:r>
            <w:rPr>
              <w:rFonts w:hint="eastAsia"/>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asciiTheme="minorEastAsia" w:hAnsiTheme="minorEastAsia" w:eastAsiaTheme="minorEastAsia" w:cstheme="minorEastAsia"/>
              <w:color w:val="auto"/>
              <w:sz w:val="24"/>
              <w:szCs w:val="24"/>
              <w:highlight w:val="none"/>
            </w:rPr>
            <w:t>27</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color w:val="auto"/>
              <w:highlight w:val="none"/>
            </w:rPr>
            <w:fldChar w:fldCharType="begin"/>
          </w:r>
          <w:r>
            <w:rPr>
              <w:color w:val="auto"/>
              <w:highlight w:val="none"/>
            </w:rPr>
            <w:instrText xml:space="preserve"> HYPERLINK \l "_Toc26593" </w:instrText>
          </w:r>
          <w:r>
            <w:rPr>
              <w:rFonts w:hint="eastAsia"/>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asciiTheme="minorEastAsia" w:hAnsiTheme="minorEastAsia" w:eastAsiaTheme="minorEastAsia" w:cstheme="minorEastAsia"/>
              <w:color w:val="auto"/>
              <w:sz w:val="24"/>
              <w:szCs w:val="24"/>
              <w:highlight w:val="none"/>
            </w:rPr>
            <w:t>34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5"/>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6"/>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南沙芦湾村新林楼重建工程二次供水（智慧泵房）施工</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w:t>
            </w:r>
          </w:p>
          <w:p>
            <w:pPr>
              <w:pStyle w:val="15"/>
              <w:widowControl/>
              <w:spacing w:after="0" w:line="360" w:lineRule="auto"/>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广东省广州市南沙区芦湾村内，北邻石街上路，东临芦湾东路</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ascii="宋体" w:hAnsi="宋体" w:cs="宋体"/>
                <w:color w:val="auto"/>
                <w:highlight w:val="none"/>
              </w:rPr>
            </w:pPr>
            <w:r>
              <w:rPr>
                <w:rFonts w:hint="eastAsia" w:ascii="宋体" w:hAnsi="宋体" w:cs="宋体"/>
                <w:color w:val="auto"/>
                <w:highlight w:val="none"/>
              </w:rPr>
              <w:t>项目位于广州市南沙区芦湾村内，</w:t>
            </w:r>
            <w:r>
              <w:rPr>
                <w:rFonts w:hint="eastAsia" w:ascii="宋体" w:hAnsi="宋体" w:cs="宋体"/>
                <w:color w:val="auto"/>
                <w:highlight w:val="none"/>
                <w:lang w:val="zh-CN" w:bidi="ar"/>
              </w:rPr>
              <w:t>项目地块上现有建筑为一栋单体南北错层住宅楼，南面八层，北面九层，一至八层为住宅，无地下室，建筑总面积3523.4㎡，</w:t>
            </w:r>
            <w:r>
              <w:rPr>
                <w:rFonts w:hint="eastAsia" w:ascii="宋体" w:hAnsi="宋体" w:cs="宋体"/>
                <w:color w:val="auto"/>
                <w:highlight w:val="none"/>
              </w:rPr>
              <w:t>拟进行拆除重建为</w:t>
            </w:r>
            <w:r>
              <w:rPr>
                <w:rFonts w:hint="eastAsia" w:ascii="宋体" w:hAnsi="宋体" w:cs="宋体"/>
                <w:color w:val="auto"/>
                <w:highlight w:val="none"/>
                <w:lang w:val="zh-CN" w:bidi="ar"/>
              </w:rPr>
              <w:t>一栋平层单体楼，楼高八层</w:t>
            </w:r>
            <w:r>
              <w:rPr>
                <w:rFonts w:hint="eastAsia" w:ascii="宋体" w:hAnsi="宋体" w:cs="宋体"/>
                <w:color w:val="auto"/>
                <w:highlight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ascii="宋体" w:hAnsi="宋体" w:cs="宋体"/>
                <w:color w:val="auto"/>
                <w:highlight w:val="none"/>
              </w:rPr>
            </w:pPr>
            <w:r>
              <w:rPr>
                <w:rFonts w:hint="eastAsia" w:ascii="宋体" w:hAnsi="宋体" w:cs="宋体"/>
                <w:color w:val="auto"/>
                <w:highlight w:val="none"/>
              </w:rPr>
              <w:t>固定综合单价包干，工程量按实结算，绿色施工安全防护措施费固定总价包干。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ascii="宋体" w:hAnsi="宋体" w:cs="宋体"/>
                <w:color w:val="auto"/>
                <w:highlight w:val="none"/>
              </w:rPr>
            </w:pPr>
            <w:r>
              <w:rPr>
                <w:rFonts w:hint="eastAsia" w:ascii="宋体" w:hAnsi="宋体" w:cs="宋体"/>
                <w:color w:val="auto"/>
                <w:highlight w:val="none"/>
              </w:rPr>
              <w:t>工程投资额</w:t>
            </w:r>
            <w:r>
              <w:rPr>
                <w:rFonts w:hint="eastAsia" w:ascii="宋体" w:hAnsi="宋体" w:cs="宋体"/>
                <w:color w:val="auto"/>
                <w:highlight w:val="none"/>
                <w:lang w:eastAsia="zh-CN"/>
              </w:rPr>
              <w:t>约</w:t>
            </w:r>
            <w:r>
              <w:rPr>
                <w:rFonts w:hint="eastAsia" w:ascii="宋体" w:hAnsi="宋体" w:cs="宋体"/>
                <w:color w:val="auto"/>
                <w:highlight w:val="none"/>
                <w:lang w:bidi="ar"/>
              </w:rPr>
              <w:t>2218</w:t>
            </w:r>
            <w:r>
              <w:rPr>
                <w:rFonts w:hint="eastAsia" w:ascii="宋体" w:hAnsi="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2"/>
              <w:spacing w:line="360" w:lineRule="auto"/>
              <w:ind w:firstLine="420" w:firstLineChars="200"/>
              <w:rPr>
                <w:rFonts w:ascii="宋体" w:hAnsi="宋体" w:eastAsia="宋体"/>
                <w:color w:val="auto"/>
                <w:szCs w:val="21"/>
                <w:highlight w:val="none"/>
              </w:rPr>
            </w:pPr>
            <w:r>
              <w:rPr>
                <w:rFonts w:hint="eastAsia" w:ascii="宋体" w:hAnsi="宋体" w:eastAsia="宋体" w:cs="宋体"/>
                <w:color w:val="auto"/>
                <w:sz w:val="21"/>
                <w:szCs w:val="21"/>
                <w:highlight w:val="none"/>
              </w:rPr>
              <w:t>建设内容包括智慧泵房室外箱体、恒压变频给水泵组、数据集成及辅助设施安装，管道敷设，水箱安装，通水验收</w:t>
            </w:r>
            <w:r>
              <w:rPr>
                <w:rFonts w:hint="eastAsia" w:ascii="宋体" w:hAnsi="宋体" w:eastAsia="宋体" w:cs="宋体"/>
                <w:color w:val="auto"/>
                <w:sz w:val="21"/>
                <w:szCs w:val="21"/>
                <w:highlight w:val="none"/>
                <w:lang w:eastAsia="zh-CN"/>
              </w:rPr>
              <w:t>，配合项目财评审查资料编制整理</w:t>
            </w:r>
            <w:r>
              <w:rPr>
                <w:rFonts w:hint="eastAsia" w:ascii="宋体" w:hAnsi="宋体" w:eastAsia="宋体" w:cs="宋体"/>
                <w:color w:val="auto"/>
                <w:sz w:val="21"/>
                <w:szCs w:val="21"/>
                <w:highlight w:val="none"/>
              </w:rPr>
              <w:t>等</w:t>
            </w:r>
            <w:r>
              <w:rPr>
                <w:rFonts w:hint="eastAsia" w:ascii="宋体" w:hAnsi="宋体" w:eastAsia="宋体"/>
                <w:color w:val="auto"/>
                <w:szCs w:val="21"/>
                <w:highlight w:val="none"/>
              </w:rPr>
              <w:t>，具体以实际施工图纸、工程量清单为准。</w:t>
            </w:r>
          </w:p>
          <w:p>
            <w:pPr>
              <w:pStyle w:val="22"/>
              <w:widowControl/>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投标人需按招标文件、图纸、规范、</w:t>
            </w:r>
            <w:r>
              <w:rPr>
                <w:rFonts w:hint="eastAsia" w:ascii="宋体" w:hAnsi="宋体" w:eastAsia="宋体"/>
                <w:color w:val="auto"/>
                <w:szCs w:val="21"/>
                <w:highlight w:val="none"/>
                <w:lang w:eastAsia="zh-CN"/>
              </w:rPr>
              <w:t>南粤</w:t>
            </w:r>
            <w:r>
              <w:rPr>
                <w:rFonts w:hint="eastAsia" w:ascii="宋体" w:hAnsi="宋体" w:eastAsia="宋体"/>
                <w:color w:val="auto"/>
                <w:szCs w:val="21"/>
                <w:highlight w:val="none"/>
              </w:rPr>
              <w:t>水务公司图纸审查意见等要求进行施工，如设计图纸有调整时，必须服从要求调整。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ascii="宋体" w:hAnsi="宋体" w:eastAsia="宋体" w:cs="宋体"/>
                <w:color w:val="auto"/>
                <w:szCs w:val="21"/>
                <w:highlight w:val="none"/>
              </w:rPr>
            </w:pPr>
            <w:r>
              <w:rPr>
                <w:rFonts w:hint="eastAsia" w:ascii="宋体" w:hAnsi="宋体" w:eastAsia="宋体" w:cs="宋体"/>
                <w:color w:val="auto"/>
                <w:sz w:val="21"/>
                <w:szCs w:val="21"/>
                <w:highlight w:val="none"/>
              </w:rPr>
              <w:t>暂定2023年11月</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0日开工，2023年12月</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日前完工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2024年1月30日前通过</w:t>
            </w:r>
            <w:r>
              <w:rPr>
                <w:rFonts w:hint="eastAsia" w:ascii="宋体" w:hAnsi="宋体" w:eastAsia="宋体" w:cs="宋体"/>
                <w:color w:val="auto"/>
                <w:sz w:val="21"/>
                <w:szCs w:val="21"/>
                <w:highlight w:val="none"/>
              </w:rPr>
              <w:t>验收</w:t>
            </w: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ascii="宋体" w:hAnsi="宋体" w:cs="宋体"/>
                <w:color w:val="auto"/>
                <w:highlight w:val="none"/>
              </w:rPr>
            </w:pPr>
            <w:r>
              <w:rPr>
                <w:rFonts w:hint="eastAsia" w:ascii="宋体" w:hAnsi="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ascii="宋体" w:hAnsi="宋体" w:cs="宋体"/>
                <w:color w:val="auto"/>
                <w:highlight w:val="none"/>
              </w:rPr>
            </w:pPr>
            <w:r>
              <w:rPr>
                <w:rFonts w:hint="eastAsia" w:ascii="宋体" w:hAnsi="宋体" w:cs="宋体"/>
                <w:color w:val="auto"/>
                <w:highlight w:val="none"/>
              </w:rPr>
              <w:t>投标人具有市政公用工程施工总承包三级（或以上）资质</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spacing w:line="360" w:lineRule="auto"/>
              <w:rPr>
                <w:rFonts w:hint="default" w:hAnsi="宋体" w:cs="宋体"/>
                <w:color w:val="auto"/>
                <w:highlight w:val="none"/>
              </w:rPr>
            </w:pPr>
            <w:r>
              <w:rPr>
                <w:rFonts w:hAnsi="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5"/>
              <w:widowControl/>
              <w:spacing w:after="0" w:line="360" w:lineRule="auto"/>
              <w:ind w:firstLine="0"/>
              <w:jc w:val="center"/>
              <w:rPr>
                <w:rFonts w:ascii="宋体" w:hAnsi="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1、投标人委派的项目负责人为市政公用工程专业二级或以上注册建造师。</w:t>
            </w:r>
          </w:p>
          <w:p>
            <w:pPr>
              <w:pStyle w:val="22"/>
              <w:spacing w:line="360" w:lineRule="auto"/>
              <w:ind w:firstLine="0"/>
              <w:rPr>
                <w:rFonts w:ascii="宋体" w:hAnsi="宋体" w:eastAsia="宋体"/>
                <w:color w:val="auto"/>
                <w:szCs w:val="21"/>
                <w:highlight w:val="none"/>
              </w:rPr>
            </w:pPr>
            <w:r>
              <w:rPr>
                <w:rFonts w:hint="eastAsia" w:ascii="宋体" w:hAnsi="宋体" w:eastAsia="宋体"/>
                <w:color w:val="auto"/>
                <w:szCs w:val="21"/>
                <w:highlight w:val="none"/>
              </w:rPr>
              <w:t>2、投标人委派的技术负责人具有工程类工程师中级或以上职称。项目负责人和技术负责人不能为同一人。</w:t>
            </w:r>
          </w:p>
          <w:p>
            <w:pPr>
              <w:widowControl/>
              <w:spacing w:line="360" w:lineRule="auto"/>
              <w:rPr>
                <w:rFonts w:ascii="宋体" w:hAnsi="宋体" w:eastAsia="宋体" w:cs="宋体"/>
                <w:color w:val="auto"/>
                <w:szCs w:val="21"/>
                <w:highlight w:val="none"/>
              </w:rPr>
            </w:pP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Autospacing="0" w:after="0" w:line="360" w:lineRule="auto"/>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Autospacing="0" w:after="0" w:line="360" w:lineRule="auto"/>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420" w:firstLineChars="200"/>
              <w:rPr>
                <w:rFonts w:hint="eastAsia" w:hAnsi="宋体" w:cs="宋体"/>
                <w:color w:val="auto"/>
                <w:highlight w:val="none"/>
              </w:rPr>
            </w:pPr>
            <w:r>
              <w:rPr>
                <w:rFonts w:hint="eastAsia" w:ascii="宋体" w:hAnsi="宋体" w:eastAsia="宋体" w:cs="宋体"/>
                <w:color w:val="auto"/>
                <w:sz w:val="21"/>
                <w:szCs w:val="21"/>
                <w:highlight w:val="none"/>
              </w:rPr>
              <w:t>招标控制价为¥</w:t>
            </w:r>
            <w:r>
              <w:rPr>
                <w:rFonts w:hint="eastAsia" w:ascii="宋体" w:hAnsi="宋体" w:eastAsia="宋体" w:cs="宋体"/>
                <w:b w:val="0"/>
                <w:bCs w:val="0"/>
                <w:color w:val="auto"/>
                <w:sz w:val="21"/>
                <w:szCs w:val="21"/>
                <w:highlight w:val="none"/>
                <w:lang w:val="en-US" w:eastAsia="zh-CN"/>
              </w:rPr>
              <w:t>992825.57</w:t>
            </w:r>
            <w:r>
              <w:rPr>
                <w:rFonts w:hint="eastAsia" w:ascii="宋体" w:hAnsi="宋体" w:eastAsia="宋体" w:cs="宋体"/>
                <w:color w:val="auto"/>
                <w:sz w:val="21"/>
                <w:szCs w:val="21"/>
                <w:highlight w:val="none"/>
              </w:rPr>
              <w:t>元，其中，绿色施工安全防护措施费为¥</w:t>
            </w:r>
            <w:r>
              <w:rPr>
                <w:rFonts w:hint="eastAsia" w:ascii="宋体" w:hAnsi="宋体" w:eastAsia="宋体" w:cs="宋体"/>
                <w:color w:val="auto"/>
                <w:sz w:val="21"/>
                <w:szCs w:val="21"/>
                <w:highlight w:val="none"/>
                <w:lang w:bidi="ar"/>
              </w:rPr>
              <w:t>2180.32</w:t>
            </w:r>
            <w:r>
              <w:rPr>
                <w:rFonts w:hint="eastAsia" w:ascii="宋体" w:hAnsi="宋体" w:eastAsia="宋体" w:cs="宋体"/>
                <w:color w:val="auto"/>
                <w:sz w:val="21"/>
                <w:szCs w:val="21"/>
                <w:highlight w:val="none"/>
              </w:rPr>
              <w:t>元（固定值）</w:t>
            </w:r>
            <w:r>
              <w:rPr>
                <w:rFonts w:hAnsi="宋体" w:cs="宋体"/>
                <w:color w:val="auto"/>
                <w:highlight w:val="none"/>
              </w:rPr>
              <w:t>。</w:t>
            </w:r>
          </w:p>
          <w:p>
            <w:pPr>
              <w:pStyle w:val="9"/>
              <w:widowControl/>
              <w:spacing w:line="360" w:lineRule="auto"/>
              <w:ind w:firstLine="420" w:firstLineChars="200"/>
              <w:rPr>
                <w:rFonts w:hint="default" w:hAnsi="宋体" w:cs="宋体"/>
                <w:color w:val="auto"/>
                <w:highlight w:val="none"/>
              </w:rPr>
            </w:pPr>
            <w:r>
              <w:rPr>
                <w:rFonts w:hAnsi="宋体" w:cs="宋体"/>
                <w:color w:val="auto"/>
                <w:highlight w:val="none"/>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ascii="宋体" w:hAnsi="宋体" w:cs="宋体"/>
                <w:color w:val="auto"/>
                <w:highlight w:val="none"/>
              </w:rPr>
            </w:pPr>
            <w:r>
              <w:rPr>
                <w:rFonts w:hint="eastAsia" w:ascii="宋体" w:hAnsi="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pPr>
              <w:numPr>
                <w:ilvl w:val="255"/>
                <w:numId w:val="0"/>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pPr>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pPr>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pPr>
              <w:numPr>
                <w:ilvl w:val="0"/>
                <w:numId w:val="1"/>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缴纳时间：投标单位须在2023年1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）17时00分前以投标人转出【汇款时备注：</w:t>
            </w:r>
            <w:r>
              <w:rPr>
                <w:rFonts w:hint="eastAsia" w:ascii="宋体" w:hAnsi="宋体" w:eastAsia="宋体" w:cs="宋体"/>
                <w:color w:val="auto"/>
                <w:szCs w:val="21"/>
                <w:highlight w:val="none"/>
                <w:lang w:eastAsia="zh-CN"/>
              </w:rPr>
              <w:t>南沙芦湾村新林楼重建工程二次供水（智慧泵房）施工</w:t>
            </w:r>
            <w:r>
              <w:rPr>
                <w:rFonts w:hint="eastAsia" w:ascii="宋体" w:hAnsi="宋体" w:eastAsia="宋体" w:cs="宋体"/>
                <w:color w:val="auto"/>
                <w:szCs w:val="21"/>
                <w:highlight w:val="none"/>
              </w:rPr>
              <w:t>投标保证金】</w:t>
            </w:r>
          </w:p>
          <w:p>
            <w:pPr>
              <w:numPr>
                <w:ilvl w:val="255"/>
                <w:numId w:val="0"/>
              </w:numPr>
              <w:adjustRightInd w:val="0"/>
              <w:snapToGrid w:val="0"/>
              <w:spacing w:line="360" w:lineRule="auto"/>
              <w:rPr>
                <w:rFonts w:ascii="宋体" w:hAnsi="宋体" w:eastAsia="宋体" w:cs="宋体"/>
                <w:color w:val="auto"/>
                <w:szCs w:val="21"/>
                <w:highlight w:val="none"/>
              </w:rPr>
            </w:pP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5"/>
              <w:widowControl/>
              <w:spacing w:after="0" w:line="360" w:lineRule="auto"/>
              <w:ind w:firstLine="0"/>
              <w:rPr>
                <w:rFonts w:ascii="宋体" w:hAnsi="宋体" w:cs="宋体"/>
                <w:color w:val="auto"/>
                <w:highlight w:val="none"/>
              </w:rPr>
            </w:pPr>
            <w:r>
              <w:rPr>
                <w:rFonts w:hint="eastAsia" w:ascii="宋体" w:hAnsi="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5"/>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5"/>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提交地点：广州市南沙区金融大厦1807会议室</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投标时间：2023年1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五</w:t>
            </w:r>
            <w:r>
              <w:rPr>
                <w:rFonts w:hint="eastAsia" w:ascii="宋体" w:hAnsi="宋体" w:eastAsia="宋体" w:cs="宋体"/>
                <w:color w:val="auto"/>
                <w:szCs w:val="21"/>
                <w:highlight w:val="none"/>
              </w:rPr>
              <w:t>）09时00分至2023年1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五</w:t>
            </w:r>
            <w:r>
              <w:rPr>
                <w:rFonts w:hint="eastAsia" w:ascii="宋体" w:hAnsi="宋体" w:eastAsia="宋体" w:cs="宋体"/>
                <w:color w:val="auto"/>
                <w:szCs w:val="21"/>
                <w:highlight w:val="none"/>
              </w:rPr>
              <w:t>）09时30分前。</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开标时间：2023年1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五</w:t>
            </w:r>
            <w:r>
              <w:rPr>
                <w:rFonts w:hint="eastAsia" w:ascii="宋体" w:hAnsi="宋体" w:eastAsia="宋体" w:cs="宋体"/>
                <w:color w:val="auto"/>
                <w:szCs w:val="21"/>
                <w:highlight w:val="none"/>
              </w:rPr>
              <w:t>）09时30分</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地点：广州市南沙区金融大厦1807会议室</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5"/>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rPr>
        <w:t>广州南沙经发投资有限公司、广州南沙建设维护管理有限公司。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5"/>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5"/>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5"/>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11.12技术标文件（独立成册）。</w:t>
      </w:r>
    </w:p>
    <w:p>
      <w:pPr>
        <w:pStyle w:val="9"/>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投标文件电子版（刻录光盘或提供U盘，需为公司盖章版本；含报价清单软件版文件）。</w:t>
      </w:r>
    </w:p>
    <w:p>
      <w:pPr>
        <w:pStyle w:val="9"/>
        <w:ind w:firstLine="480" w:firstLineChars="200"/>
        <w:rPr>
          <w:rFonts w:hint="default" w:hAnsi="宋体" w:cs="宋体"/>
          <w:color w:val="auto"/>
          <w:sz w:val="24"/>
          <w:highlight w:val="none"/>
        </w:rPr>
      </w:pPr>
      <w:r>
        <w:rPr>
          <w:rFonts w:hAnsi="宋体" w:cs="宋体"/>
          <w:color w:val="auto"/>
          <w:sz w:val="24"/>
          <w:highlight w:val="none"/>
        </w:rPr>
        <w:t>11.14投标申请人声明。</w:t>
      </w:r>
    </w:p>
    <w:p>
      <w:pPr>
        <w:pStyle w:val="9"/>
        <w:ind w:firstLine="480" w:firstLineChars="200"/>
        <w:rPr>
          <w:rFonts w:hint="default" w:hAnsi="宋体" w:cs="宋体"/>
          <w:color w:val="auto"/>
          <w:sz w:val="24"/>
          <w:highlight w:val="none"/>
        </w:rPr>
      </w:pPr>
      <w:r>
        <w:rPr>
          <w:rFonts w:hAnsi="宋体" w:cs="宋体"/>
          <w:color w:val="auto"/>
          <w:sz w:val="24"/>
          <w:highlight w:val="none"/>
        </w:rPr>
        <w:t>11.15施工组织方案。</w:t>
      </w:r>
    </w:p>
    <w:p>
      <w:pPr>
        <w:pStyle w:val="9"/>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5"/>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5"/>
        <w:widowControl/>
        <w:numPr>
          <w:ilvl w:val="0"/>
          <w:numId w:val="2"/>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15"/>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项目位于广州市南沙区芦湾村内，</w:t>
      </w:r>
      <w:r>
        <w:rPr>
          <w:rFonts w:hint="eastAsia" w:ascii="仿宋_GB2312" w:hAnsi="仿宋_GB2312" w:eastAsia="仿宋_GB2312" w:cs="仿宋_GB2312"/>
          <w:color w:val="auto"/>
          <w:sz w:val="32"/>
          <w:szCs w:val="32"/>
          <w:highlight w:val="none"/>
          <w:lang w:val="zh-CN" w:bidi="ar"/>
        </w:rPr>
        <w:t>项目地块上现有建筑为一栋单体南北错层住宅楼，南面八层，北面九层，一至八层为住宅，无地下室，建筑总面积3523.4㎡，</w:t>
      </w:r>
      <w:r>
        <w:rPr>
          <w:rFonts w:hint="eastAsia" w:ascii="仿宋_GB2312" w:hAnsi="仿宋_GB2312" w:eastAsia="仿宋_GB2312" w:cs="仿宋_GB2312"/>
          <w:color w:val="auto"/>
          <w:sz w:val="32"/>
          <w:szCs w:val="32"/>
          <w:highlight w:val="none"/>
        </w:rPr>
        <w:t>拟进行拆除重建为</w:t>
      </w:r>
      <w:r>
        <w:rPr>
          <w:rFonts w:hint="eastAsia" w:ascii="仿宋_GB2312" w:hAnsi="仿宋_GB2312" w:eastAsia="仿宋_GB2312" w:cs="仿宋_GB2312"/>
          <w:color w:val="auto"/>
          <w:sz w:val="32"/>
          <w:szCs w:val="32"/>
          <w:highlight w:val="none"/>
          <w:lang w:val="zh-CN" w:bidi="ar"/>
        </w:rPr>
        <w:t>一栋平层单体楼，楼高八层</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bidi="ar"/>
        </w:rPr>
        <w:t>工程投资</w:t>
      </w:r>
      <w:r>
        <w:rPr>
          <w:rFonts w:hint="eastAsia" w:ascii="仿宋_GB2312" w:hAnsi="仿宋_GB2312" w:eastAsia="仿宋_GB2312" w:cs="仿宋_GB2312"/>
          <w:color w:val="auto"/>
          <w:sz w:val="32"/>
          <w:szCs w:val="32"/>
          <w:highlight w:val="none"/>
          <w:lang w:eastAsia="zh-CN" w:bidi="ar"/>
        </w:rPr>
        <w:t>额</w:t>
      </w:r>
      <w:r>
        <w:rPr>
          <w:rFonts w:hint="eastAsia" w:ascii="仿宋_GB2312" w:hAnsi="仿宋_GB2312" w:eastAsia="仿宋_GB2312" w:cs="仿宋_GB2312"/>
          <w:color w:val="auto"/>
          <w:sz w:val="32"/>
          <w:szCs w:val="32"/>
          <w:highlight w:val="none"/>
          <w:lang w:bidi="ar"/>
        </w:rPr>
        <w:t>约2218万元</w:t>
      </w:r>
      <w:r>
        <w:rPr>
          <w:rFonts w:hint="eastAsia" w:ascii="仿宋_GB2312" w:hAnsi="仿宋_GB2312" w:eastAsia="仿宋_GB2312" w:cs="仿宋_GB2312"/>
          <w:color w:val="auto"/>
          <w:sz w:val="32"/>
          <w:szCs w:val="32"/>
          <w:highlight w:val="none"/>
        </w:rPr>
        <w:t>。</w:t>
      </w:r>
    </w:p>
    <w:p>
      <w:pP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pPr>
        <w:pStyle w:val="22"/>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建设内容包括智慧泵房室外箱体、恒压变频给水泵组、数据集成及辅助设施安装，管道敷设，水箱安装，通水验收</w:t>
      </w:r>
      <w:r>
        <w:rPr>
          <w:rFonts w:hint="eastAsia" w:ascii="仿宋_GB2312" w:hAnsi="仿宋_GB2312" w:eastAsia="仿宋_GB2312" w:cs="仿宋_GB2312"/>
          <w:color w:val="auto"/>
          <w:sz w:val="32"/>
          <w:szCs w:val="32"/>
          <w:highlight w:val="none"/>
          <w:lang w:eastAsia="zh-CN"/>
        </w:rPr>
        <w:t>，配合项目财评审查资料编制整理</w:t>
      </w:r>
      <w:r>
        <w:rPr>
          <w:rFonts w:hint="eastAsia" w:ascii="仿宋_GB2312" w:hAnsi="仿宋_GB2312" w:eastAsia="仿宋_GB2312" w:cs="仿宋_GB2312"/>
          <w:color w:val="auto"/>
          <w:sz w:val="32"/>
          <w:szCs w:val="32"/>
          <w:highlight w:val="none"/>
        </w:rPr>
        <w:t>等，具体以实际施工图纸、工程量清单为准。</w:t>
      </w:r>
    </w:p>
    <w:p>
      <w:pPr>
        <w:pStyle w:val="22"/>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具体以实际施工图纸、工程量清单为准。</w:t>
      </w:r>
      <w:r>
        <w:rPr>
          <w:rFonts w:hint="eastAsia" w:ascii="仿宋_GB2312" w:hAnsi="仿宋_GB2312" w:eastAsia="仿宋_GB2312" w:cs="仿宋_GB2312"/>
          <w:color w:val="auto"/>
          <w:kern w:val="0"/>
          <w:sz w:val="32"/>
          <w:szCs w:val="32"/>
          <w:highlight w:val="none"/>
        </w:rPr>
        <w:t>投标人需按招标文件、图纸规范、</w:t>
      </w:r>
      <w:r>
        <w:rPr>
          <w:rFonts w:hint="eastAsia" w:ascii="仿宋_GB2312" w:hAnsi="仿宋_GB2312" w:eastAsia="仿宋_GB2312" w:cs="仿宋_GB2312"/>
          <w:color w:val="auto"/>
          <w:kern w:val="0"/>
          <w:sz w:val="32"/>
          <w:szCs w:val="32"/>
          <w:highlight w:val="none"/>
          <w:lang w:eastAsia="zh-CN"/>
        </w:rPr>
        <w:t>南粤</w:t>
      </w:r>
      <w:r>
        <w:rPr>
          <w:rFonts w:hint="eastAsia" w:ascii="仿宋_GB2312" w:hAnsi="仿宋_GB2312" w:eastAsia="仿宋_GB2312" w:cs="仿宋_GB2312"/>
          <w:color w:val="auto"/>
          <w:kern w:val="0"/>
          <w:sz w:val="32"/>
          <w:szCs w:val="32"/>
          <w:highlight w:val="none"/>
        </w:rPr>
        <w:t>水务公司图纸审查意见等要求进行施工，如设计图纸有调整时，必须服从要求调整</w:t>
      </w:r>
      <w:r>
        <w:rPr>
          <w:rFonts w:hint="eastAsia" w:ascii="仿宋_GB2312" w:hAnsi="仿宋_GB2312" w:eastAsia="仿宋_GB2312" w:cs="仿宋_GB2312"/>
          <w:color w:val="auto"/>
          <w:sz w:val="32"/>
          <w:szCs w:val="32"/>
          <w:highlight w:val="none"/>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rPr>
        <w:t>广州南沙经发投资有限公司、广州南沙建设维护管理有限公司：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南沙芦湾村新林楼重建工程二次供水（智慧泵房）施工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南沙芦湾村新林楼重建工程二次供水（智慧泵房）施工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rPr>
        <w:t>广州南沙经发投资有限公司、广州南沙建设维护管理有限公司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5"/>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7"/>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7"/>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7"/>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7"/>
        <w:widowControl/>
        <w:ind w:firstLine="618"/>
        <w:rPr>
          <w:b/>
          <w:color w:val="auto"/>
          <w:sz w:val="30"/>
          <w:szCs w:val="30"/>
          <w:highlight w:val="none"/>
        </w:rPr>
      </w:pPr>
      <w:r>
        <w:rPr>
          <w:b/>
          <w:color w:val="auto"/>
          <w:sz w:val="30"/>
          <w:szCs w:val="30"/>
          <w:highlight w:val="none"/>
        </w:rPr>
        <w:t xml:space="preserve"> </w:t>
      </w:r>
    </w:p>
    <w:p>
      <w:pPr>
        <w:pStyle w:val="27"/>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7"/>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7"/>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5"/>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5"/>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7"/>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rPr>
        <w:t>广州南沙经发投资有限公司、广州南沙建设维护管理有限公司</w:t>
      </w:r>
    </w:p>
    <w:p>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南沙芦湾村新林楼重建工程二次供水（智慧泵房）施工</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833503"/>
      <w:bookmarkEnd w:id="11"/>
      <w:bookmarkStart w:id="12" w:name="_Toc196036941"/>
      <w:bookmarkEnd w:id="12"/>
      <w:bookmarkStart w:id="13" w:name="_Toc196130013"/>
      <w:bookmarkEnd w:id="13"/>
      <w:bookmarkStart w:id="14" w:name="_Toc199647675"/>
      <w:bookmarkEnd w:id="14"/>
      <w:bookmarkStart w:id="15" w:name="_Toc415728297"/>
      <w:bookmarkEnd w:id="15"/>
      <w:bookmarkStart w:id="16" w:name="_Toc326909213"/>
      <w:bookmarkEnd w:id="16"/>
      <w:bookmarkStart w:id="17" w:name="_Toc196037097"/>
      <w:bookmarkEnd w:id="17"/>
      <w:bookmarkStart w:id="18" w:name="_Toc459403394"/>
      <w:bookmarkEnd w:id="18"/>
      <w:bookmarkStart w:id="19" w:name="_Toc196130110"/>
      <w:bookmarkEnd w:id="19"/>
      <w:bookmarkStart w:id="20" w:name="_Toc41822703"/>
      <w:bookmarkEnd w:id="20"/>
      <w:bookmarkStart w:id="21" w:name="_Toc197235848"/>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6"/>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111"/>
      <w:bookmarkEnd w:id="24"/>
      <w:bookmarkStart w:id="25" w:name="_Toc415833504"/>
      <w:bookmarkEnd w:id="25"/>
      <w:bookmarkStart w:id="26" w:name="_Toc196130014"/>
      <w:bookmarkEnd w:id="26"/>
      <w:bookmarkStart w:id="27" w:name="_Toc415728298"/>
      <w:bookmarkEnd w:id="27"/>
      <w:bookmarkStart w:id="28" w:name="_Toc196037098"/>
      <w:bookmarkEnd w:id="28"/>
      <w:bookmarkStart w:id="29" w:name="_Toc459403395"/>
      <w:bookmarkEnd w:id="29"/>
      <w:bookmarkStart w:id="30" w:name="_Toc196036942"/>
      <w:bookmarkEnd w:id="30"/>
      <w:bookmarkStart w:id="31" w:name="_Toc197235849"/>
      <w:bookmarkEnd w:id="31"/>
      <w:bookmarkStart w:id="32" w:name="_Toc326909214"/>
      <w:bookmarkEnd w:id="32"/>
      <w:bookmarkStart w:id="33" w:name="_Toc199647676"/>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7"/>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6"/>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南沙芦湾村新林楼重建工程二次供水（智慧泵房）施工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ascii="宋体" w:hAnsi="宋体" w:eastAsia="宋体" w:cs="宋体"/>
                <w:bCs/>
                <w:color w:val="auto"/>
                <w:szCs w:val="21"/>
                <w:highlight w:val="none"/>
              </w:rPr>
            </w:pPr>
            <w:r>
              <w:rPr>
                <w:rFonts w:hint="eastAsia" w:ascii="宋体" w:hAnsi="宋体" w:cs="宋体"/>
                <w:bCs/>
                <w:color w:val="auto"/>
                <w:szCs w:val="21"/>
                <w:highlight w:val="none"/>
              </w:rPr>
              <w:t>其中：绿色施工安全防护措施费为</w:t>
            </w:r>
            <w:r>
              <w:rPr>
                <w:rFonts w:hint="eastAsia" w:ascii="宋体" w:hAnsi="宋体" w:cs="宋体" w:eastAsiaTheme="minorEastAsia"/>
                <w:bCs/>
                <w:color w:val="auto"/>
                <w:sz w:val="21"/>
                <w:szCs w:val="21"/>
                <w:highlight w:val="none"/>
                <w:lang w:bidi="ar"/>
              </w:rPr>
              <w:t>2180.32</w:t>
            </w:r>
            <w:r>
              <w:rPr>
                <w:rFonts w:hint="eastAsia" w:ascii="宋体" w:hAnsi="宋体" w:cs="宋体"/>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4"/>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4"/>
        <w:widowControl/>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4"/>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24"/>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附件4 图纸（另附）</w:t>
      </w:r>
    </w:p>
    <w:p>
      <w:pPr>
        <w:pStyle w:val="24"/>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6"/>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项目负责人、技术负责人资质符合要求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6"/>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vAlign w:val="center"/>
          </w:tcPr>
          <w:p>
            <w:pPr>
              <w:snapToGrid w:val="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firstLine="0" w:firstLineChars="0"/>
              <w:jc w:val="center"/>
              <w:rPr>
                <w:rFonts w:eastAsia="宋体" w:cs="宋体"/>
                <w:b w:val="0"/>
                <w:bCs/>
                <w:color w:val="auto"/>
                <w:szCs w:val="21"/>
                <w:highlight w:val="none"/>
              </w:rPr>
            </w:pPr>
            <w:r>
              <w:rPr>
                <w:rFonts w:hint="eastAsia" w:eastAsia="宋体" w:cs="宋体"/>
                <w:b w:val="0"/>
                <w:bCs/>
                <w:color w:val="auto"/>
                <w:szCs w:val="21"/>
                <w:highlight w:val="none"/>
              </w:rPr>
              <w:t>（20分）</w:t>
            </w:r>
          </w:p>
          <w:p>
            <w:pPr>
              <w:snapToGrid w:val="0"/>
              <w:ind w:left="-2" w:leftChars="-1"/>
              <w:jc w:val="center"/>
              <w:rPr>
                <w:rFonts w:ascii="宋体" w:hAnsi="宋体" w:eastAsia="宋体" w:cs="宋体"/>
                <w:color w:val="auto"/>
                <w:szCs w:val="21"/>
                <w:highlight w:val="none"/>
              </w:rPr>
            </w:pPr>
          </w:p>
        </w:tc>
        <w:tc>
          <w:tcPr>
            <w:tcW w:w="1406" w:type="dxa"/>
            <w:vAlign w:val="center"/>
          </w:tcPr>
          <w:p>
            <w:pPr>
              <w:widowControl/>
              <w:ind w:left="-42" w:right="-61"/>
              <w:jc w:val="center"/>
              <w:rPr>
                <w:rFonts w:ascii="宋体" w:hAnsi="宋体" w:eastAsia="宋体" w:cs="宋体"/>
                <w:color w:val="auto"/>
                <w:szCs w:val="21"/>
                <w:highlight w:val="none"/>
              </w:rPr>
            </w:pPr>
            <w:r>
              <w:rPr>
                <w:rFonts w:hint="eastAsia" w:ascii="宋体" w:hAnsi="宋体" w:eastAsia="宋体" w:cs="宋体"/>
                <w:color w:val="auto"/>
                <w:szCs w:val="21"/>
                <w:highlight w:val="none"/>
              </w:rPr>
              <w:t>企业业绩</w:t>
            </w: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rPr>
              <w:t>分</w:t>
            </w:r>
          </w:p>
        </w:tc>
        <w:tc>
          <w:tcPr>
            <w:tcW w:w="9797" w:type="dxa"/>
            <w:vAlign w:val="center"/>
          </w:tcPr>
          <w:p>
            <w:pPr>
              <w:pStyle w:val="2"/>
              <w:snapToGrid w:val="0"/>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投标人2018年1月1日至今承接过</w:t>
            </w: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万元或以上的供水工程施工业绩的，每有一个项目业绩得1分，本项最高得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 xml:space="preserve">分。 </w:t>
            </w:r>
          </w:p>
          <w:p>
            <w:pPr>
              <w:pStyle w:val="2"/>
              <w:jc w:val="left"/>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rPr>
              <w:t>注：需提供合同关键页复印件（体现施工内容及金额的页面、盖章页等</w:t>
            </w:r>
            <w:r>
              <w:rPr>
                <w:rFonts w:hint="eastAsia" w:ascii="宋体" w:hAnsi="宋体" w:cs="宋体"/>
                <w:color w:val="auto"/>
                <w:szCs w:val="21"/>
                <w:highlight w:val="none"/>
                <w:lang w:eastAsia="zh-CN"/>
              </w:rPr>
              <w:t>。若非独立供水工程施工业绩，则以总合同内的供水工程分项内容为准</w:t>
            </w:r>
            <w:r>
              <w:rPr>
                <w:rFonts w:hint="eastAsia" w:ascii="宋体" w:hAnsi="宋体" w:eastAsia="宋体" w:cs="宋体"/>
                <w:color w:val="auto"/>
                <w:szCs w:val="21"/>
                <w:highlight w:val="none"/>
              </w:rPr>
              <w:t>），不提供、提供不全或专家无法认定的不得分，业绩时间以合同签订时间为准。</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snapToGrid w:val="0"/>
              <w:spacing w:line="360" w:lineRule="auto"/>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纳税信用</w:t>
            </w:r>
          </w:p>
        </w:tc>
        <w:tc>
          <w:tcPr>
            <w:tcW w:w="709" w:type="dxa"/>
            <w:vAlign w:val="center"/>
          </w:tcPr>
          <w:p>
            <w:pPr>
              <w:spacing w:line="360" w:lineRule="auto"/>
              <w:ind w:left="-2" w:leftChars="-1"/>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t>2分</w:t>
            </w:r>
          </w:p>
        </w:tc>
        <w:tc>
          <w:tcPr>
            <w:tcW w:w="9797" w:type="dxa"/>
            <w:vAlign w:val="center"/>
          </w:tcPr>
          <w:p>
            <w:pPr>
              <w:spacing w:line="30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投标人2018年1月1日至今获得纳税信用等级A级称号的，每有1次得1分，最多得2分；</w:t>
            </w:r>
          </w:p>
          <w:p>
            <w:pPr>
              <w:pStyle w:val="9"/>
              <w:spacing w:line="360" w:lineRule="auto"/>
              <w:rPr>
                <w:rFonts w:hint="default" w:hAnsi="宋体" w:cs="宋体"/>
                <w:color w:val="auto"/>
                <w:highlight w:val="none"/>
              </w:rPr>
            </w:pPr>
            <w:r>
              <w:rPr>
                <w:rFonts w:hAnsi="宋体" w:cs="宋体"/>
                <w:color w:val="auto"/>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spacing w:line="360" w:lineRule="auto"/>
              <w:ind w:left="42" w:leftChars="20" w:right="42" w:rightChars="2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获奖情况</w:t>
            </w:r>
          </w:p>
        </w:tc>
        <w:tc>
          <w:tcPr>
            <w:tcW w:w="709" w:type="dxa"/>
            <w:vAlign w:val="center"/>
          </w:tcPr>
          <w:p>
            <w:pPr>
              <w:spacing w:line="360" w:lineRule="auto"/>
              <w:jc w:val="center"/>
              <w:rPr>
                <w:rFonts w:ascii="宋体" w:hAnsi="宋体" w:eastAsia="宋体" w:cs="宋体"/>
                <w:color w:val="auto"/>
                <w:position w:val="8"/>
                <w:szCs w:val="21"/>
                <w:highlight w:val="none"/>
              </w:rPr>
            </w:pPr>
            <w:r>
              <w:rPr>
                <w:rFonts w:hint="eastAsia" w:ascii="宋体" w:hAnsi="宋体" w:eastAsia="宋体" w:cs="宋体"/>
                <w:color w:val="auto"/>
                <w:position w:val="8"/>
                <w:szCs w:val="21"/>
                <w:highlight w:val="none"/>
              </w:rPr>
              <w:t>3分</w:t>
            </w:r>
          </w:p>
        </w:tc>
        <w:tc>
          <w:tcPr>
            <w:tcW w:w="9797" w:type="dxa"/>
            <w:vAlign w:val="center"/>
          </w:tcPr>
          <w:p>
            <w:p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投标人自 2018 年 1 月 1 日至今，获得国家级、省级、市级建设行政主管部门或行业协会颁发奖项的，国家级的每项得3分，省级的每项得2分，市级的每项得1分，本项最高得3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Merge w:val="restart"/>
            <w:vAlign w:val="center"/>
          </w:tcPr>
          <w:p>
            <w:pPr>
              <w:jc w:val="center"/>
              <w:rPr>
                <w:rFonts w:ascii="宋体" w:hAnsi="宋体" w:eastAsia="宋体" w:cs="宋体"/>
                <w:color w:val="auto"/>
                <w:szCs w:val="21"/>
                <w:highlight w:val="none"/>
              </w:rPr>
            </w:pPr>
            <w:r>
              <w:rPr>
                <w:rFonts w:hint="eastAsia" w:ascii="宋体" w:hAnsi="宋体" w:eastAsia="宋体" w:cs="宋体"/>
                <w:color w:val="auto"/>
                <w:spacing w:val="-5"/>
                <w:szCs w:val="21"/>
                <w:highlight w:val="none"/>
              </w:rPr>
              <w:t>拟派本项目团队情况</w:t>
            </w: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3分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项目负责人：</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1、具有市政公用工程专业一级注册建造师，得2分；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2、具有工程类工程师高级或以上职称，得1分。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本项最高得3分。</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注：需提供人员相关证书和毕业证书和投标人近1个月（2023年9月）为其购买社保的加盖社会保险基金管理中心印章的《投保单》或《社会保险参保人员证明》复印件，工作经验以本科或专科毕业证发证时间开始计算，不符合或不提供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Merge w:val="continue"/>
            <w:vAlign w:val="center"/>
          </w:tcPr>
          <w:p>
            <w:pPr>
              <w:jc w:val="center"/>
              <w:rPr>
                <w:rFonts w:ascii="宋体" w:hAnsi="宋体" w:eastAsia="宋体" w:cs="宋体"/>
                <w:color w:val="auto"/>
                <w:spacing w:val="-5"/>
                <w:szCs w:val="21"/>
                <w:highlight w:val="none"/>
              </w:rPr>
            </w:pP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2分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技术负责人：</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1、具有工程类工程师高级或以上职称，得1分。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2、具有市政公用工程专业二级或以上注册建造师，得1分。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本项最高得2分。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注：需提供人员相关证书和毕业证书和投标人近1个月（2023年9月）为其购买社保的加盖社会保险基金管理中心印章的《投保单》或《社会保险参保人员证明》复印件，工作经验以本科或专科毕业证发证时间开始计算，不符合或不提供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技术部分</w:t>
            </w:r>
          </w:p>
          <w:p>
            <w:pPr>
              <w:pStyle w:val="5"/>
              <w:ind w:firstLine="0" w:firstLineChars="0"/>
              <w:jc w:val="center"/>
              <w:rPr>
                <w:rFonts w:eastAsia="宋体" w:cs="宋体"/>
                <w:b w:val="0"/>
                <w:bCs/>
                <w:color w:val="auto"/>
                <w:szCs w:val="21"/>
                <w:highlight w:val="none"/>
              </w:rPr>
            </w:pPr>
            <w:r>
              <w:rPr>
                <w:rFonts w:hint="eastAsia" w:eastAsia="宋体" w:cs="宋体"/>
                <w:b w:val="0"/>
                <w:bCs/>
                <w:color w:val="auto"/>
                <w:szCs w:val="21"/>
                <w:highlight w:val="none"/>
              </w:rPr>
              <w:t>（20分）</w:t>
            </w:r>
          </w:p>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项目实施方案</w:t>
            </w:r>
          </w:p>
        </w:tc>
        <w:tc>
          <w:tcPr>
            <w:tcW w:w="709" w:type="dxa"/>
            <w:vAlign w:val="center"/>
          </w:tcPr>
          <w:p>
            <w:pPr>
              <w:autoSpaceDE w:val="0"/>
              <w:autoSpaceDN w:val="0"/>
              <w:adjustRightInd w:val="0"/>
              <w:snapToGrid w:val="0"/>
              <w:rPr>
                <w:rFonts w:ascii="宋体" w:hAnsi="宋体" w:eastAsia="宋体" w:cs="宋体"/>
                <w:color w:val="auto"/>
                <w:position w:val="8"/>
                <w:szCs w:val="21"/>
                <w:highlight w:val="none"/>
              </w:rPr>
            </w:pPr>
            <w:r>
              <w:rPr>
                <w:rFonts w:hint="eastAsia" w:ascii="宋体" w:hAnsi="宋体" w:eastAsia="宋体" w:cs="宋体"/>
                <w:color w:val="auto"/>
                <w:spacing w:val="-5"/>
                <w:szCs w:val="21"/>
                <w:highlight w:val="none"/>
              </w:rPr>
              <w:t>5分</w:t>
            </w:r>
          </w:p>
        </w:tc>
        <w:tc>
          <w:tcPr>
            <w:tcW w:w="9797" w:type="dxa"/>
            <w:vAlign w:val="center"/>
          </w:tcPr>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安全生产管理方案及措施、现场文明施工方案及措施、工期保证方案及措施、方案及承诺、施工现场的清运方案及措施、现场工作人员操作规范实施方案等）：</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1.优：方案内容齐全，措施有效可行、具有针对性，承诺详细具体，能满足本项目需求，得4-5分；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2.良：方案内容较齐全，措施较有效可行、具有针对性，承诺较详细具体，基本满足本项目需求，得2-3分；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rPr>
              <w:t>0-1</w:t>
            </w:r>
            <w:r>
              <w:rPr>
                <w:rFonts w:hint="eastAsia" w:ascii="宋体" w:hAnsi="宋体" w:eastAsia="宋体" w:cs="宋体"/>
                <w:color w:val="auto"/>
                <w:szCs w:val="21"/>
                <w:highlight w:val="none"/>
              </w:rPr>
              <w:t>分；</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zCs w:val="21"/>
                <w:highlight w:val="none"/>
              </w:rPr>
              <w:t>不提供方案不得分。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对项目的理解程度、重点难点分析情况</w:t>
            </w: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5分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1、优：对具体项目的理解程度、特点、实施难点、易损多发维修点清楚，有针对性，得</w:t>
            </w:r>
            <w:r>
              <w:rPr>
                <w:rFonts w:hint="eastAsia" w:ascii="宋体" w:hAnsi="宋体" w:eastAsia="宋体" w:cs="宋体"/>
                <w:color w:val="auto"/>
                <w:szCs w:val="21"/>
                <w:highlight w:val="none"/>
              </w:rPr>
              <w:t>4-5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2、中：对具体项目的理解程度、特点、实施难点、易损多发维修点较清楚，较有针对性，得</w:t>
            </w:r>
            <w:r>
              <w:rPr>
                <w:rFonts w:hint="eastAsia" w:ascii="宋体" w:hAnsi="宋体" w:eastAsia="宋体" w:cs="宋体"/>
                <w:color w:val="auto"/>
                <w:szCs w:val="21"/>
                <w:highlight w:val="none"/>
              </w:rPr>
              <w:t>2-3</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 xml:space="preserve">3、差：对具体项目的理解程度、特点、实施难点、易损多发维修点了解一般，针对性一般，得0-1分。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pPr>
              <w:autoSpaceDE w:val="0"/>
              <w:autoSpaceDN w:val="0"/>
              <w:adjustRightInd w:val="0"/>
              <w:snapToGrid w:val="0"/>
              <w:rPr>
                <w:rFonts w:ascii="宋体" w:hAnsi="宋体" w:eastAsia="宋体" w:cs="宋体"/>
                <w:color w:val="auto"/>
                <w:szCs w:val="21"/>
                <w:highlight w:val="none"/>
              </w:rPr>
            </w:pP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5分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1、优：对本服务项目安全生产工作提出具体管理方案，安全防护制度健全，可行性高，能有效保障本服务项目的安全实施，得</w:t>
            </w:r>
            <w:r>
              <w:rPr>
                <w:rFonts w:hint="eastAsia" w:ascii="宋体" w:hAnsi="宋体" w:eastAsia="宋体" w:cs="宋体"/>
                <w:color w:val="auto"/>
                <w:szCs w:val="21"/>
                <w:highlight w:val="none"/>
              </w:rPr>
              <w:t>4-5</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2、中：对本服务项目安全生产工作提出具体管理方案，安全防护制度可行性较高，基本保障本服务项目的安全实施，得</w:t>
            </w:r>
            <w:r>
              <w:rPr>
                <w:rFonts w:hint="eastAsia" w:ascii="宋体" w:hAnsi="宋体" w:eastAsia="宋体" w:cs="宋体"/>
                <w:color w:val="auto"/>
                <w:szCs w:val="21"/>
                <w:highlight w:val="none"/>
              </w:rPr>
              <w:t>2-3</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 xml:space="preserve">3、差：对本服务项目安全生产工作提出具体管理方案， 安全防护制度可行性较低，得0-1分。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 xml:space="preserve">无提供方案则不得分。 </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pPr>
              <w:autoSpaceDE w:val="0"/>
              <w:autoSpaceDN w:val="0"/>
              <w:adjustRightInd w:val="0"/>
              <w:snapToGrid w:val="0"/>
              <w:rPr>
                <w:rFonts w:ascii="宋体" w:hAnsi="宋体" w:eastAsia="宋体" w:cs="宋体"/>
                <w:color w:val="auto"/>
                <w:szCs w:val="21"/>
                <w:highlight w:val="none"/>
              </w:rPr>
            </w:pP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5分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rPr>
              <w:t>4-5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rPr>
              <w:t>2-3</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 xml:space="preserve">3、差：项目质量措施保证目标不明确、方案简单、可行性较低，质量承诺表述不够清晰、不够合理，得0-1分。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经济部分（60分）</w:t>
            </w:r>
          </w:p>
        </w:tc>
        <w:tc>
          <w:tcPr>
            <w:tcW w:w="1406" w:type="dxa"/>
            <w:vAlign w:val="center"/>
          </w:tcPr>
          <w:p>
            <w:pPr>
              <w:snapToGrid w:val="0"/>
              <w:ind w:left="-2" w:leftChars="-1"/>
              <w:jc w:val="center"/>
              <w:rPr>
                <w:rFonts w:ascii="宋体" w:hAnsi="宋体" w:eastAsia="宋体" w:cs="宋体"/>
                <w:color w:val="auto"/>
                <w:szCs w:val="21"/>
                <w:highlight w:val="none"/>
              </w:rPr>
            </w:pPr>
          </w:p>
          <w:p>
            <w:pPr>
              <w:snapToGrid w:val="0"/>
              <w:ind w:left="-2" w:leftChars="-1"/>
              <w:rPr>
                <w:rFonts w:ascii="宋体" w:hAnsi="宋体" w:eastAsia="宋体" w:cs="宋体"/>
                <w:color w:val="auto"/>
                <w:szCs w:val="21"/>
                <w:highlight w:val="none"/>
              </w:rPr>
            </w:pPr>
            <w:r>
              <w:rPr>
                <w:rFonts w:hint="eastAsia" w:ascii="宋体" w:hAnsi="宋体" w:eastAsia="宋体" w:cs="宋体"/>
                <w:color w:val="auto"/>
                <w:szCs w:val="21"/>
                <w:highlight w:val="none"/>
              </w:rPr>
              <w:t>报价（60分）</w:t>
            </w:r>
          </w:p>
        </w:tc>
        <w:tc>
          <w:tcPr>
            <w:tcW w:w="709" w:type="dxa"/>
            <w:vAlign w:val="center"/>
          </w:tcPr>
          <w:p>
            <w:pPr>
              <w:spacing w:line="220" w:lineRule="exact"/>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60分</w:t>
            </w:r>
          </w:p>
        </w:tc>
        <w:tc>
          <w:tcPr>
            <w:tcW w:w="9797" w:type="dxa"/>
          </w:tcPr>
          <w:p>
            <w:pPr>
              <w:pStyle w:val="9"/>
              <w:rPr>
                <w:rFonts w:hint="default" w:hAnsi="宋体" w:cs="宋体"/>
                <w:color w:val="auto"/>
                <w:highlight w:val="none"/>
              </w:rPr>
            </w:pPr>
            <w:r>
              <w:rPr>
                <w:rFonts w:hAnsi="宋体" w:cs="宋体"/>
                <w:color w:val="auto"/>
                <w:highlight w:val="none"/>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pPr>
              <w:pStyle w:val="9"/>
              <w:rPr>
                <w:rFonts w:hint="default" w:hAnsi="宋体" w:cs="宋体"/>
                <w:color w:val="auto"/>
                <w:highlight w:val="none"/>
              </w:rPr>
            </w:pPr>
            <w:r>
              <w:rPr>
                <w:rFonts w:hAnsi="宋体" w:cs="宋体"/>
                <w:color w:val="auto"/>
                <w:highlight w:val="none"/>
              </w:rPr>
              <w:t>投标报价等于基准价为满分60分，高于基准价的1%扣1分，低于基准价的1%扣0.5分，以此类推。最低得分0分。得分保留两位小数。计算公式如下：</w:t>
            </w:r>
          </w:p>
          <w:p>
            <w:pPr>
              <w:pStyle w:val="9"/>
              <w:rPr>
                <w:rFonts w:hint="default" w:hAnsi="宋体" w:cs="宋体"/>
                <w:color w:val="auto"/>
                <w:highlight w:val="none"/>
              </w:rPr>
            </w:pPr>
            <w:r>
              <w:rPr>
                <w:rFonts w:hAnsi="宋体" w:cs="宋体"/>
                <w:color w:val="auto"/>
                <w:highlight w:val="none"/>
              </w:rPr>
              <w:t>1、报价等于基准价的，得分=60</w:t>
            </w:r>
          </w:p>
          <w:p>
            <w:pPr>
              <w:pStyle w:val="9"/>
              <w:rPr>
                <w:rFonts w:hint="default" w:hAnsi="宋体" w:cs="宋体"/>
                <w:color w:val="auto"/>
                <w:highlight w:val="none"/>
              </w:rPr>
            </w:pPr>
            <w:r>
              <w:rPr>
                <w:rFonts w:hAnsi="宋体" w:cs="宋体"/>
                <w:color w:val="auto"/>
                <w:highlight w:val="none"/>
              </w:rPr>
              <w:t>2、报价高于基准价的，得分=60-[（报价-基准价）/基准价]×100×1</w:t>
            </w:r>
          </w:p>
          <w:p>
            <w:pPr>
              <w:pStyle w:val="9"/>
              <w:rPr>
                <w:rFonts w:hint="default" w:hAnsi="宋体" w:cs="宋体"/>
                <w:color w:val="auto"/>
                <w:highlight w:val="none"/>
              </w:rPr>
            </w:pPr>
            <w:r>
              <w:rPr>
                <w:rFonts w:hAnsi="宋体" w:cs="宋体"/>
                <w:color w:val="auto"/>
                <w:highlight w:val="none"/>
              </w:rPr>
              <w:t>3、报价低于基准价的，得分=60-[（基准价-报价）/基准价]×100×0.5</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709" w:type="dxa"/>
            <w:vAlign w:val="center"/>
          </w:tcPr>
          <w:p>
            <w:pPr>
              <w:spacing w:line="220" w:lineRule="exact"/>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vAlign w:val="center"/>
          </w:tcPr>
          <w:p>
            <w:pPr>
              <w:spacing w:line="220" w:lineRule="exact"/>
              <w:ind w:left="-2" w:leftChars="-1"/>
              <w:rPr>
                <w:rFonts w:ascii="宋体" w:hAnsi="宋体" w:eastAsia="宋体" w:cs="宋体"/>
                <w:color w:val="auto"/>
                <w:szCs w:val="21"/>
                <w:highlight w:val="none"/>
              </w:rPr>
            </w:pPr>
          </w:p>
        </w:tc>
        <w:tc>
          <w:tcPr>
            <w:tcW w:w="240" w:type="dxa"/>
            <w:vAlign w:val="center"/>
          </w:tcPr>
          <w:p>
            <w:pPr>
              <w:spacing w:line="360" w:lineRule="exact"/>
              <w:ind w:left="-2" w:leftChars="-1"/>
              <w:rPr>
                <w:rFonts w:ascii="宋体" w:hAnsi="宋体" w:eastAsia="宋体" w:cs="宋体"/>
                <w:color w:val="auto"/>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rPr>
          <w:rFonts w:ascii="宋体" w:hAnsi="宋体" w:cs="宋体"/>
          <w:color w:val="auto"/>
          <w:szCs w:val="18"/>
          <w:highlight w:val="none"/>
        </w:rPr>
      </w:pPr>
      <w:r>
        <w:rPr>
          <w:rFonts w:hint="eastAsia" w:ascii="宋体" w:hAnsi="宋体" w:cs="宋体"/>
          <w:color w:val="auto"/>
          <w:szCs w:val="18"/>
          <w:highlight w:val="none"/>
        </w:rPr>
        <w:t xml:space="preserve">    本表中所有要求提供的证明资料复印件均需加盖投标人公章。未提供证明资料或提供的证明材料不齐全、不符合要求的，不得分。</w:t>
      </w:r>
    </w:p>
    <w:p>
      <w:pPr>
        <w:pStyle w:val="2"/>
        <w:rPr>
          <w:rFonts w:ascii="宋体" w:hAnsi="宋体" w:cs="宋体"/>
          <w:color w:val="auto"/>
          <w:szCs w:val="21"/>
          <w:highlight w:val="none"/>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8"/>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广州南沙经发投资有限公司、广州南沙建设维护管理有限公司 </w:t>
      </w:r>
    </w:p>
    <w:p>
      <w:pPr>
        <w:pStyle w:val="38"/>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南沙芦湾村新林楼重建工程二次供水（智慧泵房）施工</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8"/>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，本公司保证上述单位不参加本次投标。（注：本条由投标人如实填写，如有，应列出全部满足招标公告资质要求的相关单位的名称；如无，则填写“无”。）</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9"/>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8"/>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8"/>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11430" b="6350"/>
              <wp:wrapNone/>
              <wp:docPr id="3" name="文本框 3"/>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wps:spPr>
                    <wps:txbx>
                      <w:txbxContent>
                        <w:p>
                          <w:pPr>
                            <w:pStyle w:val="11"/>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bGRr0QAAAAIBAAAPAAAAAAAAAAEAIAAAACIAAABkcnMvZG93bnJldi54bWxQSwECFAAUAAAA&#10;CACHTuJA4oSfyi4CAABSBAAADgAAAAAAAAABACAAAAAgAQAAZHJzL2Uyb0RvYy54bWxQSwUGAAAA&#10;AAYABgBZAQAAwA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4" name="文本框 4"/>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txbx>
                      <w:txbxContent>
                        <w:p>
                          <w:pPr>
                            <w:pStyle w:val="11"/>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F4ko0gAAAAMBAAAPAAAAAAAAAAEAIAAAACIAAABkcnMvZG93bnJldi54bWxQSwECFAAU&#10;AAAACACHTuJArkQ1qjACAABTBAAADgAAAAAAAAABACAAAAAh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71BD1A65"/>
    <w:multiLevelType w:val="singleLevel"/>
    <w:tmpl w:val="71BD1A65"/>
    <w:lvl w:ilvl="0" w:tentative="0">
      <w:start w:val="1"/>
      <w:numFmt w:val="chineseCounting"/>
      <w:suff w:val="nothing"/>
      <w:lvlText w:val="%1、"/>
      <w:lvlJc w:val="left"/>
      <w:rPr>
        <w:rFonts w:hint="eastAsia"/>
      </w:rPr>
    </w:lvl>
  </w:abstractNum>
  <w:abstractNum w:abstractNumId="3">
    <w:nsid w:val="7A7B36A8"/>
    <w:multiLevelType w:val="singleLevel"/>
    <w:tmpl w:val="7A7B36A8"/>
    <w:lvl w:ilvl="0" w:tentative="0">
      <w:start w:val="33"/>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13E59"/>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125BE"/>
    <w:rsid w:val="00247343"/>
    <w:rsid w:val="002B1295"/>
    <w:rsid w:val="002B764E"/>
    <w:rsid w:val="002D7B13"/>
    <w:rsid w:val="00313CD1"/>
    <w:rsid w:val="003B47E8"/>
    <w:rsid w:val="003D0F57"/>
    <w:rsid w:val="003D34A6"/>
    <w:rsid w:val="0040578E"/>
    <w:rsid w:val="00407F49"/>
    <w:rsid w:val="00456C93"/>
    <w:rsid w:val="00464100"/>
    <w:rsid w:val="0048290C"/>
    <w:rsid w:val="004B2C05"/>
    <w:rsid w:val="004D6177"/>
    <w:rsid w:val="00522521"/>
    <w:rsid w:val="00524AD0"/>
    <w:rsid w:val="005269C8"/>
    <w:rsid w:val="00553FDF"/>
    <w:rsid w:val="00571117"/>
    <w:rsid w:val="005A19E6"/>
    <w:rsid w:val="005C4427"/>
    <w:rsid w:val="00641255"/>
    <w:rsid w:val="00646FE0"/>
    <w:rsid w:val="0065458C"/>
    <w:rsid w:val="0065720F"/>
    <w:rsid w:val="00664314"/>
    <w:rsid w:val="00697CBD"/>
    <w:rsid w:val="006A18B1"/>
    <w:rsid w:val="006D7EB2"/>
    <w:rsid w:val="006E42E3"/>
    <w:rsid w:val="006E6FB6"/>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522B9"/>
    <w:rsid w:val="008567EC"/>
    <w:rsid w:val="008822E1"/>
    <w:rsid w:val="00896001"/>
    <w:rsid w:val="008C667C"/>
    <w:rsid w:val="008F47DB"/>
    <w:rsid w:val="008F491E"/>
    <w:rsid w:val="00945378"/>
    <w:rsid w:val="009538E5"/>
    <w:rsid w:val="009A31D3"/>
    <w:rsid w:val="009B4E73"/>
    <w:rsid w:val="009C14AA"/>
    <w:rsid w:val="009C50DE"/>
    <w:rsid w:val="009D0B60"/>
    <w:rsid w:val="009E4EFF"/>
    <w:rsid w:val="00A04FB5"/>
    <w:rsid w:val="00A05D0A"/>
    <w:rsid w:val="00A14DC5"/>
    <w:rsid w:val="00A24C22"/>
    <w:rsid w:val="00A25753"/>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CE148F"/>
    <w:rsid w:val="00D06D88"/>
    <w:rsid w:val="00D0796B"/>
    <w:rsid w:val="00D50CF1"/>
    <w:rsid w:val="00D56D45"/>
    <w:rsid w:val="00D603A5"/>
    <w:rsid w:val="00D650B3"/>
    <w:rsid w:val="00D85D6D"/>
    <w:rsid w:val="00D91F3E"/>
    <w:rsid w:val="00D95217"/>
    <w:rsid w:val="00D95E37"/>
    <w:rsid w:val="00DD64C1"/>
    <w:rsid w:val="00DD686E"/>
    <w:rsid w:val="00DF620B"/>
    <w:rsid w:val="00E14E87"/>
    <w:rsid w:val="00E222D9"/>
    <w:rsid w:val="00E32FBB"/>
    <w:rsid w:val="00E714C2"/>
    <w:rsid w:val="00E85F0E"/>
    <w:rsid w:val="00EB6658"/>
    <w:rsid w:val="00EC3FB8"/>
    <w:rsid w:val="00EC75BF"/>
    <w:rsid w:val="00EE23EE"/>
    <w:rsid w:val="00EF5506"/>
    <w:rsid w:val="00F0253C"/>
    <w:rsid w:val="00F15754"/>
    <w:rsid w:val="00F358B9"/>
    <w:rsid w:val="00F52D3A"/>
    <w:rsid w:val="00F5751A"/>
    <w:rsid w:val="00F72550"/>
    <w:rsid w:val="00F90CF2"/>
    <w:rsid w:val="00FC1D3C"/>
    <w:rsid w:val="00FC3484"/>
    <w:rsid w:val="00FF33A0"/>
    <w:rsid w:val="00FF76D9"/>
    <w:rsid w:val="01E200EE"/>
    <w:rsid w:val="025A13E2"/>
    <w:rsid w:val="027C3F9C"/>
    <w:rsid w:val="02E9680F"/>
    <w:rsid w:val="02F7533D"/>
    <w:rsid w:val="030457ED"/>
    <w:rsid w:val="03562994"/>
    <w:rsid w:val="03CB6D70"/>
    <w:rsid w:val="04364A4F"/>
    <w:rsid w:val="04376975"/>
    <w:rsid w:val="04435BE0"/>
    <w:rsid w:val="044C08C6"/>
    <w:rsid w:val="049C0B25"/>
    <w:rsid w:val="04E40895"/>
    <w:rsid w:val="051B7598"/>
    <w:rsid w:val="052E78DA"/>
    <w:rsid w:val="059A4101"/>
    <w:rsid w:val="079A3CDA"/>
    <w:rsid w:val="07F66A4C"/>
    <w:rsid w:val="083B43B1"/>
    <w:rsid w:val="08757A2C"/>
    <w:rsid w:val="08A9464F"/>
    <w:rsid w:val="08D505E6"/>
    <w:rsid w:val="08E03A6C"/>
    <w:rsid w:val="09062DA7"/>
    <w:rsid w:val="091F7224"/>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D8481A"/>
    <w:rsid w:val="0EF40828"/>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6007AF5"/>
    <w:rsid w:val="173D0A89"/>
    <w:rsid w:val="17463991"/>
    <w:rsid w:val="179E3273"/>
    <w:rsid w:val="17E977C8"/>
    <w:rsid w:val="182C4B8E"/>
    <w:rsid w:val="1873680D"/>
    <w:rsid w:val="18E67433"/>
    <w:rsid w:val="18F12637"/>
    <w:rsid w:val="19095239"/>
    <w:rsid w:val="19A846E9"/>
    <w:rsid w:val="19BE3F0C"/>
    <w:rsid w:val="1A5A3C35"/>
    <w:rsid w:val="1A6525DA"/>
    <w:rsid w:val="1AB46DAB"/>
    <w:rsid w:val="1B6C2995"/>
    <w:rsid w:val="1BB630ED"/>
    <w:rsid w:val="1BC44893"/>
    <w:rsid w:val="1BE136FF"/>
    <w:rsid w:val="1C05708F"/>
    <w:rsid w:val="1C307374"/>
    <w:rsid w:val="1C9203A6"/>
    <w:rsid w:val="1E032835"/>
    <w:rsid w:val="1E562810"/>
    <w:rsid w:val="1EB63404"/>
    <w:rsid w:val="1EBD45C4"/>
    <w:rsid w:val="1F1C5732"/>
    <w:rsid w:val="1F584BD1"/>
    <w:rsid w:val="1F7A6193"/>
    <w:rsid w:val="205D447F"/>
    <w:rsid w:val="206E043A"/>
    <w:rsid w:val="207B4905"/>
    <w:rsid w:val="20AD4C4C"/>
    <w:rsid w:val="20E35285"/>
    <w:rsid w:val="21424D60"/>
    <w:rsid w:val="215321ED"/>
    <w:rsid w:val="215D5254"/>
    <w:rsid w:val="224A02E7"/>
    <w:rsid w:val="227411DF"/>
    <w:rsid w:val="22934188"/>
    <w:rsid w:val="23897339"/>
    <w:rsid w:val="23EE6B47"/>
    <w:rsid w:val="24856237"/>
    <w:rsid w:val="25053D8A"/>
    <w:rsid w:val="25687B33"/>
    <w:rsid w:val="25791876"/>
    <w:rsid w:val="25FF71FF"/>
    <w:rsid w:val="26236584"/>
    <w:rsid w:val="26826F29"/>
    <w:rsid w:val="26B94C66"/>
    <w:rsid w:val="26EC20B9"/>
    <w:rsid w:val="26FF6942"/>
    <w:rsid w:val="272101A5"/>
    <w:rsid w:val="272B74FA"/>
    <w:rsid w:val="2751149E"/>
    <w:rsid w:val="2837076A"/>
    <w:rsid w:val="2865301D"/>
    <w:rsid w:val="28C86C87"/>
    <w:rsid w:val="29051210"/>
    <w:rsid w:val="296119D7"/>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B57180"/>
    <w:rsid w:val="33113670"/>
    <w:rsid w:val="3411535B"/>
    <w:rsid w:val="34935BA4"/>
    <w:rsid w:val="34A264CA"/>
    <w:rsid w:val="35830B03"/>
    <w:rsid w:val="360F448A"/>
    <w:rsid w:val="3700775A"/>
    <w:rsid w:val="37A26BD4"/>
    <w:rsid w:val="37A33759"/>
    <w:rsid w:val="37AE7FE3"/>
    <w:rsid w:val="37B20151"/>
    <w:rsid w:val="3821393E"/>
    <w:rsid w:val="383813C8"/>
    <w:rsid w:val="38417D8A"/>
    <w:rsid w:val="390B4D39"/>
    <w:rsid w:val="39131727"/>
    <w:rsid w:val="392A6A70"/>
    <w:rsid w:val="39731517"/>
    <w:rsid w:val="39F52602"/>
    <w:rsid w:val="39FC703A"/>
    <w:rsid w:val="3A1F234D"/>
    <w:rsid w:val="3AC802EF"/>
    <w:rsid w:val="3B183024"/>
    <w:rsid w:val="3B514788"/>
    <w:rsid w:val="3B6D4312"/>
    <w:rsid w:val="3BB718A6"/>
    <w:rsid w:val="3BBA1D8E"/>
    <w:rsid w:val="3BC04127"/>
    <w:rsid w:val="3C88543E"/>
    <w:rsid w:val="3CB7521C"/>
    <w:rsid w:val="3CE76215"/>
    <w:rsid w:val="3CFF0303"/>
    <w:rsid w:val="3D7619F9"/>
    <w:rsid w:val="3D957982"/>
    <w:rsid w:val="3D96007A"/>
    <w:rsid w:val="3D965718"/>
    <w:rsid w:val="3DF62488"/>
    <w:rsid w:val="3E817133"/>
    <w:rsid w:val="3EDC25BB"/>
    <w:rsid w:val="3F4915A0"/>
    <w:rsid w:val="3F5F332B"/>
    <w:rsid w:val="3F641BC2"/>
    <w:rsid w:val="3F8502F8"/>
    <w:rsid w:val="3FBE56FE"/>
    <w:rsid w:val="3FD704B2"/>
    <w:rsid w:val="403B7AF1"/>
    <w:rsid w:val="405854B3"/>
    <w:rsid w:val="408D1DBF"/>
    <w:rsid w:val="409313F9"/>
    <w:rsid w:val="40B7508E"/>
    <w:rsid w:val="40CA2819"/>
    <w:rsid w:val="414C2F42"/>
    <w:rsid w:val="41EC3A6C"/>
    <w:rsid w:val="42A2655E"/>
    <w:rsid w:val="43120161"/>
    <w:rsid w:val="43420D2F"/>
    <w:rsid w:val="436C5E0D"/>
    <w:rsid w:val="437259B2"/>
    <w:rsid w:val="43952229"/>
    <w:rsid w:val="43F36E83"/>
    <w:rsid w:val="44631084"/>
    <w:rsid w:val="446A549B"/>
    <w:rsid w:val="44755126"/>
    <w:rsid w:val="44800368"/>
    <w:rsid w:val="44E811C0"/>
    <w:rsid w:val="457C68A6"/>
    <w:rsid w:val="45E74C1B"/>
    <w:rsid w:val="46871AD6"/>
    <w:rsid w:val="47025D0E"/>
    <w:rsid w:val="4735560E"/>
    <w:rsid w:val="47413F22"/>
    <w:rsid w:val="4792678F"/>
    <w:rsid w:val="47E03B89"/>
    <w:rsid w:val="481D5A38"/>
    <w:rsid w:val="482B34F2"/>
    <w:rsid w:val="487975A7"/>
    <w:rsid w:val="48E17BF2"/>
    <w:rsid w:val="48E72086"/>
    <w:rsid w:val="49732ED5"/>
    <w:rsid w:val="498D2142"/>
    <w:rsid w:val="499C01CA"/>
    <w:rsid w:val="49EF5898"/>
    <w:rsid w:val="4A1079FD"/>
    <w:rsid w:val="4A1D620C"/>
    <w:rsid w:val="4A2D4613"/>
    <w:rsid w:val="4ACC6DEF"/>
    <w:rsid w:val="4AED722D"/>
    <w:rsid w:val="4B3D40BA"/>
    <w:rsid w:val="4BC136D0"/>
    <w:rsid w:val="4BE6796C"/>
    <w:rsid w:val="4BF328A0"/>
    <w:rsid w:val="4C2E17B4"/>
    <w:rsid w:val="4C372CAF"/>
    <w:rsid w:val="4C81677F"/>
    <w:rsid w:val="4D195C1E"/>
    <w:rsid w:val="4D904DD7"/>
    <w:rsid w:val="4D9C287D"/>
    <w:rsid w:val="4DC04FA6"/>
    <w:rsid w:val="4DC53F66"/>
    <w:rsid w:val="4E2A0E48"/>
    <w:rsid w:val="4E7E46B8"/>
    <w:rsid w:val="4FC91A1A"/>
    <w:rsid w:val="5049448C"/>
    <w:rsid w:val="508B10C7"/>
    <w:rsid w:val="50DB6247"/>
    <w:rsid w:val="51531E87"/>
    <w:rsid w:val="51552F81"/>
    <w:rsid w:val="51AB2104"/>
    <w:rsid w:val="525A7F6F"/>
    <w:rsid w:val="52760C06"/>
    <w:rsid w:val="52A35200"/>
    <w:rsid w:val="52C2143B"/>
    <w:rsid w:val="530E35F9"/>
    <w:rsid w:val="531A11E6"/>
    <w:rsid w:val="53427976"/>
    <w:rsid w:val="53A07C03"/>
    <w:rsid w:val="53A63423"/>
    <w:rsid w:val="53B638D1"/>
    <w:rsid w:val="53BA5821"/>
    <w:rsid w:val="54386D63"/>
    <w:rsid w:val="54A36172"/>
    <w:rsid w:val="54BC0EE8"/>
    <w:rsid w:val="55592415"/>
    <w:rsid w:val="55D122F6"/>
    <w:rsid w:val="55D41C4B"/>
    <w:rsid w:val="5702252D"/>
    <w:rsid w:val="572444C0"/>
    <w:rsid w:val="576D49E8"/>
    <w:rsid w:val="57B957CF"/>
    <w:rsid w:val="57DA583E"/>
    <w:rsid w:val="588418A2"/>
    <w:rsid w:val="594F1692"/>
    <w:rsid w:val="59566C52"/>
    <w:rsid w:val="597674DD"/>
    <w:rsid w:val="59E940B2"/>
    <w:rsid w:val="5A416E84"/>
    <w:rsid w:val="5AAF5CCA"/>
    <w:rsid w:val="5B6E68B8"/>
    <w:rsid w:val="5B6F6839"/>
    <w:rsid w:val="5B8D6C19"/>
    <w:rsid w:val="5BAA698D"/>
    <w:rsid w:val="5BC65072"/>
    <w:rsid w:val="5BCE61FA"/>
    <w:rsid w:val="5C7852D7"/>
    <w:rsid w:val="5C9B134E"/>
    <w:rsid w:val="5CF77B24"/>
    <w:rsid w:val="5D5E6B65"/>
    <w:rsid w:val="5D633297"/>
    <w:rsid w:val="5DAA1580"/>
    <w:rsid w:val="5DF14932"/>
    <w:rsid w:val="5DFF04E8"/>
    <w:rsid w:val="5E1A6FB5"/>
    <w:rsid w:val="5E7A3CE2"/>
    <w:rsid w:val="5E960581"/>
    <w:rsid w:val="5F355496"/>
    <w:rsid w:val="5F724B4A"/>
    <w:rsid w:val="5F8349F8"/>
    <w:rsid w:val="5F865CD7"/>
    <w:rsid w:val="5F925D77"/>
    <w:rsid w:val="5FDC4484"/>
    <w:rsid w:val="60BA0556"/>
    <w:rsid w:val="60F61E20"/>
    <w:rsid w:val="6189617B"/>
    <w:rsid w:val="618B1EF3"/>
    <w:rsid w:val="61A7533B"/>
    <w:rsid w:val="621244D5"/>
    <w:rsid w:val="62B2296D"/>
    <w:rsid w:val="62B247EF"/>
    <w:rsid w:val="636147EE"/>
    <w:rsid w:val="63DB6B9E"/>
    <w:rsid w:val="652A37D1"/>
    <w:rsid w:val="65B441A4"/>
    <w:rsid w:val="65D8147F"/>
    <w:rsid w:val="66373494"/>
    <w:rsid w:val="663E17E3"/>
    <w:rsid w:val="66591B82"/>
    <w:rsid w:val="66593A91"/>
    <w:rsid w:val="67D46774"/>
    <w:rsid w:val="68550B65"/>
    <w:rsid w:val="6898637C"/>
    <w:rsid w:val="68B16D7B"/>
    <w:rsid w:val="68BA7003"/>
    <w:rsid w:val="68C531A9"/>
    <w:rsid w:val="691C25EA"/>
    <w:rsid w:val="698555C7"/>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70727FF1"/>
    <w:rsid w:val="70836CF8"/>
    <w:rsid w:val="70CF07C8"/>
    <w:rsid w:val="710F157A"/>
    <w:rsid w:val="71840FD7"/>
    <w:rsid w:val="718C3480"/>
    <w:rsid w:val="71CC7A42"/>
    <w:rsid w:val="721D56A4"/>
    <w:rsid w:val="72600832"/>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41229E"/>
    <w:rsid w:val="77731007"/>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0663E0"/>
    <w:rsid w:val="7B1B79EC"/>
    <w:rsid w:val="7B2368A0"/>
    <w:rsid w:val="7B672810"/>
    <w:rsid w:val="7B681B66"/>
    <w:rsid w:val="7C561F60"/>
    <w:rsid w:val="7C610269"/>
    <w:rsid w:val="7C6B2EC5"/>
    <w:rsid w:val="7C831CEC"/>
    <w:rsid w:val="7CDB7433"/>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_Style 3"/>
    <w:qFormat/>
    <w:uiPriority w:val="1"/>
    <w:pPr>
      <w:widowControl w:val="0"/>
      <w:jc w:val="both"/>
    </w:pPr>
    <w:rPr>
      <w:rFonts w:ascii="Calibri" w:hAnsi="Calibri" w:eastAsia="宋体" w:cs="Times New Roman"/>
      <w:kern w:val="2"/>
      <w:sz w:val="21"/>
      <w:szCs w:val="22"/>
      <w:lang w:val="en-US" w:eastAsia="zh-CN" w:bidi="ar-SA"/>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next w:val="1"/>
    <w:qFormat/>
    <w:uiPriority w:val="0"/>
    <w:pPr>
      <w:ind w:firstLine="420"/>
    </w:pPr>
    <w:rPr>
      <w:rFonts w:ascii="Times New Roman" w:hAnsi="Times New Roman" w:eastAsia="宋体" w:cs="Times New Roman"/>
      <w:szCs w:val="20"/>
    </w:rPr>
  </w:style>
  <w:style w:type="paragraph" w:styleId="7">
    <w:name w:val="annotation text"/>
    <w:basedOn w:val="1"/>
    <w:link w:val="42"/>
    <w:semiHidden/>
    <w:unhideWhenUsed/>
    <w:qFormat/>
    <w:uiPriority w:val="0"/>
    <w:pPr>
      <w:jc w:val="left"/>
    </w:pPr>
  </w:style>
  <w:style w:type="paragraph" w:styleId="8">
    <w:name w:val="Body Text"/>
    <w:basedOn w:val="1"/>
    <w:qFormat/>
    <w:uiPriority w:val="0"/>
  </w:style>
  <w:style w:type="paragraph" w:styleId="9">
    <w:name w:val="Plain Text"/>
    <w:basedOn w:val="1"/>
    <w:next w:val="1"/>
    <w:link w:val="35"/>
    <w:qFormat/>
    <w:uiPriority w:val="0"/>
    <w:rPr>
      <w:rFonts w:hint="eastAsia" w:ascii="宋体" w:hAnsi="Courier New" w:eastAsia="宋体" w:cs="Times New Roman"/>
      <w:szCs w:val="21"/>
    </w:rPr>
  </w:style>
  <w:style w:type="paragraph" w:styleId="10">
    <w:name w:val="Balloon Text"/>
    <w:basedOn w:val="1"/>
    <w:link w:val="33"/>
    <w:qFormat/>
    <w:uiPriority w:val="0"/>
    <w:rPr>
      <w:sz w:val="18"/>
      <w:szCs w:val="18"/>
    </w:rPr>
  </w:style>
  <w:style w:type="paragraph" w:styleId="11">
    <w:name w:val="footer"/>
    <w:basedOn w:val="1"/>
    <w:link w:val="32"/>
    <w:qFormat/>
    <w:uiPriority w:val="0"/>
    <w:pPr>
      <w:tabs>
        <w:tab w:val="center" w:pos="4153"/>
        <w:tab w:val="right" w:pos="8306"/>
      </w:tabs>
      <w:snapToGrid w:val="0"/>
      <w:jc w:val="left"/>
    </w:pPr>
    <w:rPr>
      <w:sz w:val="18"/>
      <w:szCs w:val="18"/>
    </w:rPr>
  </w:style>
  <w:style w:type="paragraph" w:styleId="12">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annotation subject"/>
    <w:basedOn w:val="7"/>
    <w:next w:val="7"/>
    <w:link w:val="43"/>
    <w:semiHidden/>
    <w:unhideWhenUsed/>
    <w:qFormat/>
    <w:uiPriority w:val="0"/>
    <w:rPr>
      <w:b/>
      <w:bCs/>
    </w:rPr>
  </w:style>
  <w:style w:type="paragraph" w:styleId="15">
    <w:name w:val="Body Text First Indent"/>
    <w:basedOn w:val="8"/>
    <w:link w:val="36"/>
    <w:qFormat/>
    <w:uiPriority w:val="0"/>
    <w:pPr>
      <w:spacing w:beforeAutospacing="1" w:after="120"/>
      <w:ind w:firstLine="420"/>
    </w:pPr>
    <w:rPr>
      <w:rFonts w:ascii="Times New Roman" w:hAnsi="Times New Roman" w:eastAsia="宋体" w:cs="Times New Roman"/>
      <w:szCs w:val="21"/>
    </w:rPr>
  </w:style>
  <w:style w:type="character" w:styleId="18">
    <w:name w:val="page number"/>
    <w:basedOn w:val="17"/>
    <w:qFormat/>
    <w:uiPriority w:val="0"/>
  </w:style>
  <w:style w:type="character" w:styleId="19">
    <w:name w:val="FollowedHyperlink"/>
    <w:basedOn w:val="17"/>
    <w:qFormat/>
    <w:uiPriority w:val="0"/>
    <w:rPr>
      <w:color w:val="0000FF"/>
      <w:u w:val="single"/>
    </w:rPr>
  </w:style>
  <w:style w:type="character" w:styleId="20">
    <w:name w:val="Hyperlink"/>
    <w:basedOn w:val="17"/>
    <w:qFormat/>
    <w:uiPriority w:val="0"/>
    <w:rPr>
      <w:color w:val="0000FF"/>
      <w:u w:val="single"/>
    </w:rPr>
  </w:style>
  <w:style w:type="character" w:styleId="21">
    <w:name w:val="annotation reference"/>
    <w:basedOn w:val="17"/>
    <w:semiHidden/>
    <w:unhideWhenUsed/>
    <w:qFormat/>
    <w:uiPriority w:val="0"/>
    <w:rPr>
      <w:sz w:val="21"/>
      <w:szCs w:val="21"/>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5">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6">
    <w:name w:val="列出段落1"/>
    <w:basedOn w:val="1"/>
    <w:qFormat/>
    <w:uiPriority w:val="0"/>
    <w:pPr>
      <w:ind w:firstLine="420" w:firstLineChars="200"/>
    </w:pPr>
    <w:rPr>
      <w:rFonts w:ascii="Calibri" w:hAnsi="Calibri" w:eastAsia="宋体" w:cs="Times New Roman"/>
      <w:szCs w:val="21"/>
    </w:rPr>
  </w:style>
  <w:style w:type="paragraph" w:customStyle="1" w:styleId="27">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8">
    <w:name w:val="10"/>
    <w:basedOn w:val="17"/>
    <w:qFormat/>
    <w:uiPriority w:val="0"/>
    <w:rPr>
      <w:rFonts w:hint="default" w:ascii="Times New Roman" w:hAnsi="Times New Roman" w:cs="Times New Roman"/>
    </w:rPr>
  </w:style>
  <w:style w:type="character" w:customStyle="1" w:styleId="29">
    <w:name w:val="15"/>
    <w:basedOn w:val="17"/>
    <w:qFormat/>
    <w:uiPriority w:val="0"/>
    <w:rPr>
      <w:rFonts w:hint="default" w:ascii="Times New Roman" w:hAnsi="Times New Roman" w:cs="Times New Roman"/>
    </w:rPr>
  </w:style>
  <w:style w:type="character" w:customStyle="1" w:styleId="30">
    <w:name w:val="16"/>
    <w:basedOn w:val="17"/>
    <w:qFormat/>
    <w:uiPriority w:val="0"/>
    <w:rPr>
      <w:rFonts w:hint="default" w:ascii="Times New Roman" w:hAnsi="Times New Roman" w:cs="Times New Roman"/>
      <w:color w:val="0000FF"/>
      <w:u w:val="single"/>
    </w:rPr>
  </w:style>
  <w:style w:type="character" w:customStyle="1" w:styleId="31">
    <w:name w:val="页眉 Char"/>
    <w:basedOn w:val="17"/>
    <w:link w:val="12"/>
    <w:qFormat/>
    <w:uiPriority w:val="0"/>
    <w:rPr>
      <w:rFonts w:asciiTheme="minorHAnsi" w:hAnsiTheme="minorHAnsi" w:eastAsiaTheme="minorEastAsia" w:cstheme="minorBidi"/>
      <w:kern w:val="2"/>
      <w:sz w:val="18"/>
      <w:szCs w:val="18"/>
    </w:rPr>
  </w:style>
  <w:style w:type="character" w:customStyle="1" w:styleId="32">
    <w:name w:val="页脚 Char"/>
    <w:basedOn w:val="17"/>
    <w:link w:val="11"/>
    <w:qFormat/>
    <w:uiPriority w:val="0"/>
    <w:rPr>
      <w:rFonts w:asciiTheme="minorHAnsi" w:hAnsiTheme="minorHAnsi" w:eastAsiaTheme="minorEastAsia" w:cstheme="minorBidi"/>
      <w:kern w:val="2"/>
      <w:sz w:val="18"/>
      <w:szCs w:val="18"/>
    </w:rPr>
  </w:style>
  <w:style w:type="character" w:customStyle="1" w:styleId="33">
    <w:name w:val="批注框文本 Char"/>
    <w:basedOn w:val="17"/>
    <w:link w:val="10"/>
    <w:qFormat/>
    <w:uiPriority w:val="0"/>
    <w:rPr>
      <w:rFonts w:asciiTheme="minorHAnsi" w:hAnsiTheme="minorHAnsi" w:eastAsiaTheme="minorEastAsia" w:cstheme="minorBidi"/>
      <w:kern w:val="2"/>
      <w:sz w:val="18"/>
      <w:szCs w:val="18"/>
    </w:rPr>
  </w:style>
  <w:style w:type="paragraph" w:customStyle="1" w:styleId="34">
    <w:name w:val="WPSOffice手动目录 1"/>
    <w:qFormat/>
    <w:uiPriority w:val="0"/>
    <w:rPr>
      <w:rFonts w:ascii="Times New Roman" w:hAnsi="Times New Roman" w:eastAsia="宋体" w:cs="Times New Roman"/>
      <w:lang w:val="en-US" w:eastAsia="zh-CN" w:bidi="ar-SA"/>
    </w:rPr>
  </w:style>
  <w:style w:type="character" w:customStyle="1" w:styleId="35">
    <w:name w:val="纯文本 Char"/>
    <w:link w:val="9"/>
    <w:qFormat/>
    <w:uiPriority w:val="0"/>
    <w:rPr>
      <w:rFonts w:ascii="宋体" w:hAnsi="Courier New"/>
      <w:kern w:val="2"/>
      <w:sz w:val="21"/>
      <w:szCs w:val="21"/>
    </w:rPr>
  </w:style>
  <w:style w:type="character" w:customStyle="1" w:styleId="36">
    <w:name w:val="正文首行缩进 Char"/>
    <w:basedOn w:val="17"/>
    <w:link w:val="15"/>
    <w:qFormat/>
    <w:uiPriority w:val="0"/>
    <w:rPr>
      <w:kern w:val="2"/>
      <w:sz w:val="21"/>
      <w:szCs w:val="21"/>
    </w:rPr>
  </w:style>
  <w:style w:type="paragraph" w:styleId="37">
    <w:name w:val="List Paragraph"/>
    <w:basedOn w:val="1"/>
    <w:unhideWhenUsed/>
    <w:qFormat/>
    <w:uiPriority w:val="99"/>
    <w:pPr>
      <w:ind w:firstLine="420" w:firstLineChars="200"/>
    </w:pPr>
  </w:style>
  <w:style w:type="paragraph" w:customStyle="1" w:styleId="38">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9">
    <w:name w:val="发文落款"/>
    <w:basedOn w:val="38"/>
    <w:qFormat/>
    <w:uiPriority w:val="0"/>
    <w:pPr>
      <w:ind w:left="4094" w:right="607" w:firstLine="0"/>
      <w:jc w:val="center"/>
    </w:pPr>
  </w:style>
  <w:style w:type="character" w:customStyle="1" w:styleId="40">
    <w:name w:val="c Char1"/>
    <w:link w:val="41"/>
    <w:qFormat/>
    <w:uiPriority w:val="0"/>
    <w:rPr>
      <w:rFonts w:eastAsia="仿宋_GB2312" w:cs="宋体"/>
      <w:sz w:val="28"/>
    </w:rPr>
  </w:style>
  <w:style w:type="paragraph" w:customStyle="1" w:styleId="41">
    <w:name w:val="c"/>
    <w:basedOn w:val="1"/>
    <w:link w:val="40"/>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2">
    <w:name w:val="批注文字 Char"/>
    <w:basedOn w:val="17"/>
    <w:link w:val="7"/>
    <w:semiHidden/>
    <w:qFormat/>
    <w:uiPriority w:val="0"/>
    <w:rPr>
      <w:rFonts w:asciiTheme="minorHAnsi" w:hAnsiTheme="minorHAnsi" w:eastAsiaTheme="minorEastAsia" w:cstheme="minorBidi"/>
      <w:kern w:val="2"/>
      <w:sz w:val="21"/>
      <w:szCs w:val="24"/>
    </w:rPr>
  </w:style>
  <w:style w:type="character" w:customStyle="1" w:styleId="43">
    <w:name w:val="批注主题 Char"/>
    <w:basedOn w:val="42"/>
    <w:link w:val="14"/>
    <w:semiHidden/>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9DE260-0436-4227-9340-1C565E08C3A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2840</Words>
  <Characters>16192</Characters>
  <Lines>134</Lines>
  <Paragraphs>37</Paragraphs>
  <TotalTime>1</TotalTime>
  <ScaleCrop>false</ScaleCrop>
  <LinksUpToDate>false</LinksUpToDate>
  <CharactersWithSpaces>18995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2023-09-28T01:41:00Z</dcterms:created>
  <dc:creator>李晓晨</dc:creator>
  <cp:lastModifiedBy>Lenovo</cp:lastModifiedBy>
  <cp:lastPrinted>2023-09-28T01:24:00Z</cp:lastPrinted>
  <dcterms:modified xsi:type="dcterms:W3CDTF">2023-10-30T07:25:26Z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6F8842E353744852BDC4E3C1A0BD38D3</vt:lpwstr>
  </property>
</Properties>
</file>