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color w:val="auto"/>
          <w:highlight w:val="none"/>
        </w:rPr>
      </w:pPr>
      <w:r>
        <w:rPr>
          <w:rFonts w:hint="eastAsia" w:ascii="宋体" w:hAnsi="宋体" w:eastAsia="宋体" w:cs="宋体"/>
          <w:b/>
          <w:color w:val="auto"/>
          <w:sz w:val="44"/>
          <w:szCs w:val="44"/>
          <w:highlight w:val="none"/>
          <w:lang w:eastAsia="zh-CN"/>
        </w:rPr>
        <w:t>南沙联检大楼（新）房屋结构安全性及抗震鉴定</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广州南沙经发投资有限公司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11月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南沙联检大楼（新）房屋结构安全性及抗震鉴定</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广州南沙开发区进港大道与港前大道交叉口西南面地段</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jc w:val="left"/>
              <w:rPr>
                <w:rFonts w:hint="eastAsia" w:ascii="宋体" w:hAnsi="宋体" w:eastAsia="宋体" w:cs="宋体"/>
                <w:color w:val="auto"/>
                <w:szCs w:val="21"/>
                <w:highlight w:val="none"/>
                <w:u w:val="none"/>
                <w:lang w:eastAsia="zh-CN"/>
              </w:rPr>
            </w:pPr>
            <w:r>
              <w:rPr>
                <w:rFonts w:hint="eastAsia" w:ascii="宋体" w:hAnsi="宋体" w:eastAsia="宋体" w:cs="宋体"/>
                <w:color w:val="auto"/>
                <w:sz w:val="21"/>
                <w:szCs w:val="21"/>
                <w:highlight w:val="none"/>
              </w:rPr>
              <w:t>南沙联检大楼位于广州南沙开发区进港大道与港前大道交叉口西南面地段，分为联检大楼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新），包括南北楼，</w:t>
            </w:r>
            <w:r>
              <w:rPr>
                <w:rFonts w:hint="eastAsia" w:ascii="宋体" w:hAnsi="宋体" w:eastAsia="宋体" w:cs="宋体"/>
                <w:color w:val="auto"/>
                <w:sz w:val="21"/>
                <w:szCs w:val="21"/>
                <w:highlight w:val="none"/>
              </w:rPr>
              <w:t>建筑面积约24327</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平方米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联检大楼</w:t>
            </w:r>
            <w:r>
              <w:rPr>
                <w:rFonts w:hint="eastAsia" w:ascii="宋体" w:hAnsi="宋体" w:eastAsia="宋体" w:cs="宋体"/>
                <w:color w:val="auto"/>
                <w:sz w:val="21"/>
                <w:szCs w:val="21"/>
                <w:highlight w:val="none"/>
                <w:lang w:eastAsia="zh-CN"/>
              </w:rPr>
              <w:t>（旧），</w:t>
            </w:r>
            <w:r>
              <w:rPr>
                <w:rFonts w:hint="eastAsia" w:ascii="宋体" w:hAnsi="宋体" w:eastAsia="宋体" w:cs="宋体"/>
                <w:color w:val="auto"/>
                <w:sz w:val="21"/>
                <w:szCs w:val="21"/>
                <w:highlight w:val="none"/>
                <w:lang w:val="en-US" w:eastAsia="zh-CN"/>
              </w:rPr>
              <w:t>包括</w:t>
            </w:r>
            <w:r>
              <w:rPr>
                <w:rFonts w:hint="eastAsia" w:ascii="宋体" w:hAnsi="宋体" w:eastAsia="宋体" w:cs="宋体"/>
                <w:color w:val="auto"/>
                <w:sz w:val="21"/>
                <w:szCs w:val="21"/>
                <w:highlight w:val="none"/>
              </w:rPr>
              <w:t>海关大楼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三检大楼、边检大楼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建筑面积约5913平方米。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单价包干，工程量按实结算。</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符合国家</w:t>
            </w:r>
            <w:r>
              <w:rPr>
                <w:rFonts w:hint="eastAsia" w:ascii="宋体" w:hAnsi="宋体" w:eastAsia="宋体" w:cs="宋体"/>
                <w:bCs w:val="0"/>
                <w:color w:val="auto"/>
                <w:kern w:val="2"/>
                <w:sz w:val="21"/>
                <w:szCs w:val="21"/>
                <w:highlight w:val="none"/>
                <w:shd w:val="clear" w:color="auto" w:fill="auto"/>
                <w:lang w:eastAsia="zh-CN" w:bidi="ar-SA"/>
              </w:rPr>
              <w:t>《民用建筑可靠性鉴定标准》《建筑抗震鉴定标准》的相关</w:t>
            </w:r>
            <w:r>
              <w:rPr>
                <w:rFonts w:hint="eastAsia" w:ascii="宋体" w:hAnsi="宋体" w:eastAsia="宋体" w:cs="宋体"/>
                <w:bCs w:val="0"/>
                <w:color w:val="auto"/>
                <w:kern w:val="2"/>
                <w:sz w:val="21"/>
                <w:szCs w:val="21"/>
                <w:highlight w:val="none"/>
                <w:shd w:val="clear" w:color="auto" w:fill="auto"/>
                <w:lang w:bidi="ar-SA"/>
              </w:rPr>
              <w:t>规范</w:t>
            </w:r>
            <w:r>
              <w:rPr>
                <w:rFonts w:hint="eastAsia" w:ascii="宋体" w:hAnsi="宋体" w:eastAsia="宋体" w:cs="宋体"/>
                <w:bCs w:val="0"/>
                <w:color w:val="auto"/>
                <w:kern w:val="2"/>
                <w:sz w:val="21"/>
                <w:szCs w:val="21"/>
                <w:highlight w:val="none"/>
                <w:shd w:val="clear" w:color="auto" w:fill="auto"/>
                <w:lang w:eastAsia="zh-CN" w:bidi="ar-SA"/>
              </w:rPr>
              <w:t>要求。</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numPr>
                <w:ilvl w:val="-1"/>
                <w:numId w:val="0"/>
              </w:num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color w:val="auto"/>
                <w:spacing w:val="0"/>
                <w:sz w:val="21"/>
                <w:szCs w:val="21"/>
                <w:highlight w:val="none"/>
                <w:lang w:val="en-US" w:eastAsia="zh-CN"/>
              </w:rPr>
              <w:t>为确定</w:t>
            </w:r>
            <w:r>
              <w:rPr>
                <w:rFonts w:hint="eastAsia" w:ascii="宋体" w:hAnsi="宋体" w:eastAsia="宋体" w:cs="宋体"/>
                <w:color w:val="auto"/>
                <w:sz w:val="21"/>
                <w:szCs w:val="21"/>
                <w:highlight w:val="none"/>
                <w:lang w:eastAsia="zh-CN"/>
              </w:rPr>
              <w:t>南沙联检大楼（新）房屋现状结构安全性</w:t>
            </w:r>
            <w:r>
              <w:rPr>
                <w:rFonts w:hint="eastAsia" w:ascii="宋体" w:hAnsi="宋体" w:eastAsia="宋体" w:cs="宋体"/>
                <w:color w:val="auto"/>
                <w:sz w:val="21"/>
                <w:szCs w:val="21"/>
                <w:highlight w:val="none"/>
                <w:lang w:val="en-US" w:eastAsia="zh-CN"/>
              </w:rPr>
              <w:t>状况，进行</w:t>
            </w:r>
            <w:r>
              <w:rPr>
                <w:rFonts w:hint="eastAsia" w:ascii="宋体" w:hAnsi="宋体" w:eastAsia="宋体" w:cs="宋体"/>
                <w:color w:val="auto"/>
                <w:sz w:val="21"/>
                <w:szCs w:val="21"/>
                <w:highlight w:val="none"/>
                <w:lang w:eastAsia="zh-CN"/>
              </w:rPr>
              <w:t>房屋结构安全性及抗震鉴定，</w:t>
            </w:r>
            <w:r>
              <w:rPr>
                <w:rFonts w:hint="eastAsia" w:ascii="宋体" w:hAnsi="宋体" w:eastAsia="宋体" w:cs="宋体"/>
                <w:bCs/>
                <w:color w:val="auto"/>
                <w:sz w:val="21"/>
                <w:szCs w:val="21"/>
                <w:highlight w:val="none"/>
                <w:lang w:eastAsia="zh-CN"/>
              </w:rPr>
              <w:t>具体工作包括</w:t>
            </w:r>
            <w:r>
              <w:rPr>
                <w:rFonts w:hint="eastAsia" w:ascii="宋体" w:hAnsi="宋体" w:eastAsia="宋体" w:cs="宋体"/>
                <w:bCs/>
                <w:color w:val="auto"/>
                <w:sz w:val="21"/>
                <w:szCs w:val="21"/>
                <w:highlight w:val="none"/>
                <w:lang w:val="en-US" w:eastAsia="zh-CN"/>
              </w:rPr>
              <w:t>但不限于</w:t>
            </w:r>
            <w:r>
              <w:rPr>
                <w:rFonts w:hint="eastAsia" w:ascii="宋体" w:hAnsi="宋体" w:eastAsia="宋体" w:cs="宋体"/>
                <w:bCs/>
                <w:color w:val="auto"/>
                <w:sz w:val="21"/>
                <w:szCs w:val="21"/>
                <w:highlight w:val="none"/>
                <w:lang w:eastAsia="zh-CN"/>
              </w:rPr>
              <w:t>：</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收集相关地质资料、设计图纸、施工资料及调查房屋的使用历史等。</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对房屋进行现场测量，绘制（或复核）结构平面图。</w:t>
            </w:r>
          </w:p>
          <w:p>
            <w:pPr>
              <w:pStyle w:val="19"/>
              <w:numPr>
                <w:ilvl w:val="0"/>
                <w:numId w:val="1"/>
              </w:num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现场查勘及现场取样检测工作</w:t>
            </w:r>
            <w:r>
              <w:rPr>
                <w:rFonts w:hint="eastAsia" w:ascii="宋体" w:hAnsi="宋体" w:eastAsia="宋体" w:cs="宋体"/>
                <w:bCs/>
                <w:color w:val="auto"/>
                <w:sz w:val="21"/>
                <w:szCs w:val="21"/>
                <w:highlight w:val="none"/>
                <w:lang w:eastAsia="zh-CN"/>
              </w:rPr>
              <w:t>（含地基基础、上部承重结构、围护系统、现场</w:t>
            </w:r>
            <w:r>
              <w:rPr>
                <w:rFonts w:hint="eastAsia" w:ascii="宋体" w:hAnsi="宋体" w:eastAsia="宋体" w:cs="宋体"/>
                <w:color w:val="auto"/>
                <w:sz w:val="21"/>
                <w:szCs w:val="21"/>
                <w:highlight w:val="none"/>
              </w:rPr>
              <w:t>鉴定产生的孔洞修复</w:t>
            </w:r>
            <w:r>
              <w:rPr>
                <w:rFonts w:hint="eastAsia" w:ascii="宋体" w:hAnsi="宋体" w:eastAsia="宋体" w:cs="宋体"/>
                <w:color w:val="auto"/>
                <w:sz w:val="21"/>
                <w:szCs w:val="21"/>
                <w:highlight w:val="none"/>
                <w:lang w:eastAsia="zh-CN"/>
              </w:rPr>
              <w:t>等</w:t>
            </w:r>
            <w:r>
              <w:rPr>
                <w:rFonts w:hint="eastAsia" w:ascii="宋体" w:hAnsi="宋体" w:eastAsia="宋体" w:cs="宋体"/>
                <w:bCs/>
                <w:color w:val="auto"/>
                <w:sz w:val="21"/>
                <w:szCs w:val="21"/>
                <w:highlight w:val="none"/>
                <w:lang w:eastAsia="zh-CN"/>
              </w:rPr>
              <w:t>）。</w:t>
            </w:r>
          </w:p>
          <w:p>
            <w:pPr>
              <w:pStyle w:val="19"/>
              <w:widowControl/>
              <w:numPr>
                <w:ilvl w:val="0"/>
                <w:numId w:val="1"/>
              </w:numPr>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检测数据分析及鉴定报告编写</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outlineLvl w:val="0"/>
              <w:rPr>
                <w:rFonts w:hint="eastAsia"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总工期</w:t>
            </w:r>
            <w:r>
              <w:rPr>
                <w:rFonts w:hint="eastAsia" w:ascii="宋体" w:hAnsi="宋体" w:eastAsia="宋体" w:cs="宋体"/>
                <w:bCs w:val="0"/>
                <w:color w:val="auto"/>
                <w:sz w:val="21"/>
                <w:szCs w:val="21"/>
                <w:highlight w:val="none"/>
                <w:lang w:eastAsia="zh-CN"/>
              </w:rPr>
              <w:t>暂定</w:t>
            </w:r>
            <w:r>
              <w:rPr>
                <w:rFonts w:hint="eastAsia" w:ascii="宋体" w:hAnsi="宋体" w:eastAsia="宋体" w:cs="宋体"/>
                <w:bCs w:val="0"/>
                <w:color w:val="auto"/>
                <w:sz w:val="21"/>
                <w:szCs w:val="21"/>
                <w:highlight w:val="none"/>
              </w:rPr>
              <w:t>为</w:t>
            </w:r>
            <w:r>
              <w:rPr>
                <w:rFonts w:hint="eastAsia" w:ascii="宋体" w:hAnsi="宋体" w:eastAsia="宋体" w:cs="宋体"/>
                <w:bCs w:val="0"/>
                <w:color w:val="auto"/>
                <w:sz w:val="21"/>
                <w:szCs w:val="21"/>
                <w:highlight w:val="none"/>
                <w:lang w:eastAsia="zh-CN"/>
              </w:rPr>
              <w:t>5</w:t>
            </w:r>
            <w:r>
              <w:rPr>
                <w:rFonts w:hint="eastAsia" w:ascii="宋体" w:hAnsi="宋体" w:eastAsia="宋体" w:cs="宋体"/>
                <w:bCs w:val="0"/>
                <w:color w:val="auto"/>
                <w:sz w:val="21"/>
                <w:szCs w:val="21"/>
                <w:highlight w:val="none"/>
                <w:lang w:val="en-US" w:eastAsia="zh-CN"/>
              </w:rPr>
              <w:t>0</w:t>
            </w:r>
            <w:r>
              <w:rPr>
                <w:rFonts w:hint="eastAsia" w:ascii="宋体" w:hAnsi="宋体" w:eastAsia="宋体" w:cs="宋体"/>
                <w:bCs w:val="0"/>
                <w:color w:val="auto"/>
                <w:sz w:val="21"/>
                <w:szCs w:val="21"/>
                <w:highlight w:val="none"/>
              </w:rPr>
              <w:t>个</w:t>
            </w:r>
            <w:r>
              <w:rPr>
                <w:rFonts w:hint="eastAsia" w:ascii="宋体" w:hAnsi="宋体" w:eastAsia="宋体" w:cs="宋体"/>
                <w:bCs w:val="0"/>
                <w:color w:val="auto"/>
                <w:sz w:val="21"/>
                <w:szCs w:val="21"/>
                <w:highlight w:val="none"/>
                <w:lang w:val="en-US" w:eastAsia="zh-CN"/>
              </w:rPr>
              <w:t>日历天</w:t>
            </w:r>
            <w:r>
              <w:rPr>
                <w:rFonts w:hint="eastAsia" w:ascii="宋体" w:hAnsi="宋体" w:eastAsia="宋体" w:cs="宋体"/>
                <w:bCs w:val="0"/>
                <w:color w:val="auto"/>
                <w:sz w:val="21"/>
                <w:szCs w:val="21"/>
                <w:highlight w:val="none"/>
              </w:rPr>
              <w:t>，其中：</w:t>
            </w:r>
          </w:p>
          <w:p>
            <w:pPr>
              <w:spacing w:line="360" w:lineRule="auto"/>
              <w:ind w:firstLine="0"/>
              <w:outlineLvl w:val="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t>1、现场查勘及现场取样检测工作：</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0个</w:t>
            </w:r>
            <w:r>
              <w:rPr>
                <w:rFonts w:hint="eastAsia" w:ascii="宋体" w:hAnsi="宋体" w:eastAsia="宋体" w:cs="宋体"/>
                <w:bCs w:val="0"/>
                <w:color w:val="auto"/>
                <w:sz w:val="21"/>
                <w:szCs w:val="21"/>
                <w:highlight w:val="none"/>
                <w:lang w:val="en-US" w:eastAsia="zh-CN"/>
              </w:rPr>
              <w:t>日历天内完成</w:t>
            </w:r>
            <w:r>
              <w:rPr>
                <w:rFonts w:hint="eastAsia" w:ascii="宋体" w:hAnsi="宋体" w:eastAsia="宋体" w:cs="宋体"/>
                <w:color w:val="auto"/>
                <w:sz w:val="21"/>
                <w:szCs w:val="21"/>
                <w:highlight w:val="none"/>
              </w:rPr>
              <w:t>（视现场情况由</w:t>
            </w:r>
            <w:r>
              <w:rPr>
                <w:rFonts w:hint="eastAsia" w:ascii="宋体" w:hAnsi="宋体" w:eastAsia="宋体" w:cs="宋体"/>
                <w:color w:val="auto"/>
                <w:sz w:val="21"/>
                <w:szCs w:val="21"/>
                <w:highlight w:val="none"/>
                <w:lang w:eastAsia="zh-CN"/>
              </w:rPr>
              <w:t>招标人、投标人</w:t>
            </w:r>
            <w:r>
              <w:rPr>
                <w:rFonts w:hint="eastAsia" w:ascii="宋体" w:hAnsi="宋体" w:eastAsia="宋体" w:cs="宋体"/>
                <w:color w:val="auto"/>
                <w:sz w:val="21"/>
                <w:szCs w:val="21"/>
                <w:highlight w:val="none"/>
              </w:rPr>
              <w:t>共同协商而定）；</w:t>
            </w:r>
          </w:p>
          <w:p>
            <w:pPr>
              <w:widowControl/>
              <w:spacing w:line="360" w:lineRule="auto"/>
              <w:ind w:firstLine="0" w:firstLineChars="0"/>
              <w:outlineLvl w:val="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2、检测数据分析及鉴定报告编写：</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lang w:val="en-US" w:eastAsia="zh-CN"/>
              </w:rPr>
              <w:t>0个</w:t>
            </w:r>
            <w:r>
              <w:rPr>
                <w:rFonts w:hint="eastAsia" w:ascii="宋体" w:hAnsi="宋体" w:eastAsia="宋体" w:cs="宋体"/>
                <w:bCs w:val="0"/>
                <w:color w:val="auto"/>
                <w:sz w:val="21"/>
                <w:szCs w:val="21"/>
                <w:highlight w:val="none"/>
                <w:lang w:val="en-US" w:eastAsia="zh-CN"/>
              </w:rPr>
              <w:t>日历天内完成</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i w:val="0"/>
                <w:iCs w:val="0"/>
                <w:caps w:val="0"/>
                <w:color w:val="auto"/>
                <w:spacing w:val="0"/>
                <w:sz w:val="21"/>
                <w:szCs w:val="21"/>
                <w:highlight w:val="none"/>
                <w:shd w:val="clear" w:color="auto" w:fill="auto"/>
              </w:rPr>
              <w:t>已在市级或区级房屋行政主管部门办理</w:t>
            </w:r>
            <w:r>
              <w:rPr>
                <w:rFonts w:hint="eastAsia" w:ascii="宋体" w:hAnsi="宋体" w:eastAsia="宋体" w:cs="宋体"/>
                <w:i w:val="0"/>
                <w:iCs w:val="0"/>
                <w:caps w:val="0"/>
                <w:color w:val="auto"/>
                <w:spacing w:val="0"/>
                <w:sz w:val="21"/>
                <w:szCs w:val="21"/>
                <w:highlight w:val="none"/>
                <w:shd w:val="clear" w:color="auto" w:fill="auto"/>
                <w:lang w:eastAsia="zh-CN"/>
              </w:rPr>
              <w:t>房屋鉴定相关</w:t>
            </w:r>
            <w:r>
              <w:rPr>
                <w:rFonts w:hint="eastAsia" w:ascii="宋体" w:hAnsi="宋体" w:eastAsia="宋体" w:cs="宋体"/>
                <w:i w:val="0"/>
                <w:iCs w:val="0"/>
                <w:caps w:val="0"/>
                <w:color w:val="auto"/>
                <w:spacing w:val="0"/>
                <w:sz w:val="21"/>
                <w:szCs w:val="21"/>
                <w:highlight w:val="none"/>
                <w:shd w:val="clear" w:color="auto" w:fill="auto"/>
              </w:rPr>
              <w:t>备案</w:t>
            </w:r>
            <w:r>
              <w:rPr>
                <w:rFonts w:hint="eastAsia" w:ascii="宋体" w:hAnsi="宋体" w:eastAsia="宋体" w:cs="宋体"/>
                <w:i w:val="0"/>
                <w:iCs w:val="0"/>
                <w:caps w:val="0"/>
                <w:color w:val="auto"/>
                <w:spacing w:val="0"/>
                <w:sz w:val="21"/>
                <w:szCs w:val="21"/>
                <w:highlight w:val="none"/>
                <w:shd w:val="clear" w:color="auto" w:fill="auto"/>
                <w:lang w:eastAsia="zh-CN"/>
              </w:rPr>
              <w:t>手续</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项目</w:t>
            </w:r>
            <w:r>
              <w:rPr>
                <w:rFonts w:hint="eastAsia" w:ascii="宋体" w:hAnsi="宋体" w:eastAsia="宋体" w:cs="宋体"/>
                <w:color w:val="auto"/>
                <w:highlight w:val="none"/>
              </w:rPr>
              <w:t>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spacing w:line="360" w:lineRule="auto"/>
              <w:ind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为二级（或以上）注册</w:t>
            </w:r>
            <w:r>
              <w:rPr>
                <w:rFonts w:hint="eastAsia" w:ascii="宋体" w:hAnsi="宋体" w:eastAsia="宋体" w:cs="宋体"/>
                <w:i w:val="0"/>
                <w:iCs w:val="0"/>
                <w:caps w:val="0"/>
                <w:color w:val="auto"/>
                <w:spacing w:val="0"/>
                <w:sz w:val="21"/>
                <w:szCs w:val="21"/>
                <w:highlight w:val="none"/>
                <w:shd w:val="clear" w:color="auto" w:fill="auto"/>
                <w:lang w:eastAsia="zh-CN"/>
              </w:rPr>
              <w:t>结构工程师，或具有结构相关专业</w:t>
            </w:r>
            <w:r>
              <w:rPr>
                <w:rFonts w:hint="eastAsia" w:ascii="宋体" w:hAnsi="宋体" w:eastAsia="宋体" w:cs="宋体"/>
                <w:i w:val="0"/>
                <w:iCs w:val="0"/>
                <w:caps w:val="0"/>
                <w:color w:val="auto"/>
                <w:spacing w:val="0"/>
                <w:sz w:val="21"/>
                <w:szCs w:val="21"/>
                <w:highlight w:val="none"/>
                <w:shd w:val="clear" w:color="auto" w:fill="auto"/>
                <w:lang w:val="en-US" w:eastAsia="zh-CN"/>
              </w:rPr>
              <w:t>中级（或以上）</w:t>
            </w:r>
            <w:r>
              <w:rPr>
                <w:rFonts w:hint="eastAsia" w:ascii="宋体" w:hAnsi="宋体" w:eastAsia="宋体" w:cs="宋体"/>
                <w:i w:val="0"/>
                <w:iCs w:val="0"/>
                <w:caps w:val="0"/>
                <w:color w:val="auto"/>
                <w:spacing w:val="0"/>
                <w:sz w:val="21"/>
                <w:szCs w:val="21"/>
                <w:highlight w:val="none"/>
                <w:shd w:val="clear" w:color="auto" w:fill="auto"/>
                <w:lang w:eastAsia="zh-CN"/>
              </w:rPr>
              <w:t>工程师职称</w:t>
            </w:r>
            <w:r>
              <w:rPr>
                <w:rFonts w:hint="eastAsia" w:ascii="宋体" w:hAnsi="宋体" w:eastAsia="宋体" w:cs="宋体"/>
                <w:color w:val="auto"/>
                <w:sz w:val="21"/>
                <w:szCs w:val="21"/>
                <w:highlight w:val="none"/>
                <w:lang w:eastAsia="zh-CN"/>
              </w:rPr>
              <w:t>。</w:t>
            </w:r>
          </w:p>
          <w:p>
            <w:pPr>
              <w:pStyle w:val="19"/>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具有工程师中级或以上职称。项目负责人和技术负责人不能为同一人。</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房屋结构安全性及抗震鉴定费收费单价限价为20元/㎡，鉴定面积暂定为</w:t>
            </w:r>
            <w:r>
              <w:rPr>
                <w:rFonts w:hint="eastAsia" w:ascii="宋体" w:hAnsi="宋体" w:cs="宋体"/>
                <w:color w:val="auto"/>
                <w:sz w:val="21"/>
                <w:szCs w:val="21"/>
                <w:highlight w:val="none"/>
              </w:rPr>
              <w:t>24327</w:t>
            </w:r>
            <w:r>
              <w:rPr>
                <w:rFonts w:hint="eastAsia" w:ascii="宋体" w:hAnsi="宋体" w:cs="宋体"/>
                <w:color w:val="auto"/>
                <w:sz w:val="21"/>
                <w:szCs w:val="21"/>
                <w:highlight w:val="none"/>
                <w:lang w:val="en-US" w:eastAsia="zh-CN"/>
              </w:rPr>
              <w:t>.24</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总价</w:t>
            </w:r>
            <w:r>
              <w:rPr>
                <w:rFonts w:hint="eastAsia" w:ascii="宋体" w:hAnsi="宋体" w:eastAsia="宋体" w:cs="宋体"/>
                <w:color w:val="auto"/>
                <w:sz w:val="21"/>
                <w:szCs w:val="21"/>
                <w:highlight w:val="none"/>
              </w:rPr>
              <w:t>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lang w:val="en-US" w:eastAsia="zh-CN"/>
              </w:rPr>
              <w:t>486544.80</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p>
          <w:p>
            <w:pPr>
              <w:pStyle w:val="2"/>
              <w:widowControl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lang w:val="en-US" w:eastAsia="zh-CN" w:bidi="ar-SA"/>
              </w:rPr>
              <w:t>投标单位自行报价，单价报价不能超过</w:t>
            </w:r>
            <w:r>
              <w:rPr>
                <w:rFonts w:hint="eastAsia" w:ascii="宋体" w:hAnsi="宋体" w:eastAsia="宋体" w:cs="宋体"/>
                <w:b w:val="0"/>
                <w:bCs w:val="0"/>
                <w:color w:val="auto"/>
                <w:sz w:val="21"/>
                <w:szCs w:val="21"/>
                <w:highlight w:val="none"/>
                <w:lang w:val="en-US" w:eastAsia="zh-CN"/>
              </w:rPr>
              <w:t>收费单价限价，</w:t>
            </w:r>
            <w:r>
              <w:rPr>
                <w:rFonts w:hint="eastAsia" w:ascii="宋体" w:hAnsi="宋体" w:eastAsia="宋体" w:cs="宋体"/>
                <w:color w:val="auto"/>
                <w:kern w:val="2"/>
                <w:sz w:val="21"/>
                <w:szCs w:val="21"/>
                <w:highlight w:val="none"/>
                <w:lang w:val="en-US" w:eastAsia="zh-CN" w:bidi="ar-SA"/>
              </w:rPr>
              <w:t>投标总报价不能超过招标总价控制价，否则按废标处理。小数点后保留二位小数，第三位小数四舍五入。</w:t>
            </w:r>
            <w:r>
              <w:rPr>
                <w:rFonts w:hint="eastAsia" w:ascii="宋体" w:hAnsi="宋体" w:eastAsia="宋体" w:cs="宋体"/>
                <w:color w:val="auto"/>
                <w:sz w:val="21"/>
                <w:szCs w:val="21"/>
                <w:highlight w:val="none"/>
              </w:rPr>
              <w:t>最终鉴定费用结算价以实际鉴定面积和</w:t>
            </w:r>
            <w:r>
              <w:rPr>
                <w:rFonts w:hint="eastAsia" w:ascii="宋体" w:hAnsi="宋体" w:eastAsia="宋体" w:cs="宋体"/>
                <w:color w:val="auto"/>
                <w:sz w:val="21"/>
                <w:szCs w:val="21"/>
                <w:highlight w:val="none"/>
                <w:lang w:eastAsia="zh-CN"/>
              </w:rPr>
              <w:t>中标</w:t>
            </w:r>
            <w:r>
              <w:rPr>
                <w:rFonts w:hint="eastAsia" w:ascii="宋体" w:hAnsi="宋体" w:eastAsia="宋体" w:cs="宋体"/>
                <w:color w:val="auto"/>
                <w:sz w:val="21"/>
                <w:szCs w:val="21"/>
                <w:highlight w:val="none"/>
              </w:rPr>
              <w:t>单价计算得出</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、金额：人民币</w:t>
            </w:r>
            <w:r>
              <w:rPr>
                <w:rFonts w:hint="eastAsia" w:ascii="宋体" w:hAnsi="宋体" w:eastAsia="宋体" w:cs="宋体"/>
                <w:color w:val="auto"/>
                <w:sz w:val="21"/>
                <w:szCs w:val="21"/>
                <w:highlight w:val="none"/>
                <w:lang w:val="en-US"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0"/>
                <w:numId w:val="2"/>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0"/>
                <w:numId w:val="2"/>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0"/>
                <w:numId w:val="2"/>
              </w:numPr>
              <w:adjustRightInd w:val="0"/>
              <w:snapToGri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2"/>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11月8</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南沙联检大楼（新）房屋结构安全性及抗震鉴定</w:t>
            </w:r>
            <w:r>
              <w:rPr>
                <w:rFonts w:hint="eastAsia" w:ascii="宋体" w:hAnsi="宋体" w:eastAsia="宋体" w:cs="宋体"/>
                <w:color w:val="auto"/>
                <w:sz w:val="21"/>
                <w:szCs w:val="21"/>
                <w:highlight w:val="none"/>
              </w:rPr>
              <w:t>投标保证金】</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提交地点：广州市南沙区环市大道中富汇街3号楼7楼会议室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11月9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地点：广州市南沙区环市大道中富汇街3号楼7楼会议室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2"/>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2"/>
        <w:ind w:firstLine="480" w:firstLineChars="200"/>
        <w:rPr>
          <w:rFonts w:hint="eastAsia" w:ascii="宋体" w:hAnsi="宋体" w:cs="宋体"/>
          <w:color w:val="auto"/>
          <w:sz w:val="24"/>
          <w:highlight w:val="none"/>
          <w:lang w:eastAsia="zh-CN"/>
        </w:rPr>
      </w:pPr>
      <w:r>
        <w:rPr>
          <w:rFonts w:hint="eastAsia" w:hAnsi="宋体" w:cs="宋体"/>
          <w:color w:val="auto"/>
          <w:sz w:val="24"/>
          <w:highlight w:val="none"/>
          <w:lang w:val="en-US" w:eastAsia="zh-CN"/>
        </w:rPr>
        <w:t>11.15</w:t>
      </w:r>
      <w:r>
        <w:rPr>
          <w:rFonts w:hint="eastAsia" w:hAnsi="宋体" w:cs="宋体"/>
          <w:color w:val="auto"/>
          <w:sz w:val="24"/>
          <w:highlight w:val="none"/>
          <w:lang w:eastAsia="zh-CN"/>
        </w:rPr>
        <w:t>项目实施</w:t>
      </w:r>
      <w:r>
        <w:rPr>
          <w:rFonts w:hint="eastAsia" w:ascii="宋体" w:hAnsi="宋体" w:cs="宋体"/>
          <w:color w:val="auto"/>
          <w:sz w:val="24"/>
          <w:highlight w:val="none"/>
          <w:lang w:eastAsia="zh-CN"/>
        </w:rPr>
        <w:t>方案</w:t>
      </w:r>
      <w:r>
        <w:rPr>
          <w:rFonts w:hint="eastAsia" w:hAnsi="宋体" w:cs="宋体"/>
          <w:color w:val="auto"/>
          <w:sz w:val="24"/>
          <w:highlight w:val="none"/>
          <w:lang w:eastAsia="zh-CN"/>
        </w:rPr>
        <w:t>。</w:t>
      </w:r>
    </w:p>
    <w:p>
      <w:pPr>
        <w:pStyle w:val="2"/>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bookmarkStart w:id="41" w:name="_GoBack"/>
      <w:bookmarkEnd w:id="41"/>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4"/>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ind w:firstLine="640" w:firstLineChars="200"/>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南沙联检大楼位于广州南沙开发区进港大道与港前大道交叉口西南面地段，分为联检大楼</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新），包括南北楼，</w:t>
      </w:r>
      <w:r>
        <w:rPr>
          <w:rFonts w:hint="eastAsia" w:ascii="仿宋_GB2312" w:hAnsi="仿宋_GB2312" w:eastAsia="仿宋_GB2312" w:cs="仿宋_GB2312"/>
          <w:color w:val="auto"/>
          <w:sz w:val="32"/>
          <w:szCs w:val="32"/>
          <w:highlight w:val="none"/>
        </w:rPr>
        <w:t>建筑面积约24327</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平方米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联检大楼</w:t>
      </w:r>
      <w:r>
        <w:rPr>
          <w:rFonts w:hint="eastAsia" w:ascii="仿宋_GB2312" w:hAnsi="仿宋_GB2312" w:eastAsia="仿宋_GB2312" w:cs="仿宋_GB2312"/>
          <w:color w:val="auto"/>
          <w:sz w:val="32"/>
          <w:szCs w:val="32"/>
          <w:highlight w:val="none"/>
          <w:lang w:eastAsia="zh-CN"/>
        </w:rPr>
        <w:t>（旧），</w:t>
      </w:r>
      <w:r>
        <w:rPr>
          <w:rFonts w:hint="eastAsia" w:ascii="仿宋_GB2312" w:hAnsi="仿宋_GB2312" w:eastAsia="仿宋_GB2312" w:cs="仿宋_GB2312"/>
          <w:color w:val="auto"/>
          <w:sz w:val="32"/>
          <w:szCs w:val="32"/>
          <w:highlight w:val="none"/>
          <w:lang w:val="en-US" w:eastAsia="zh-CN"/>
        </w:rPr>
        <w:t>包括</w:t>
      </w:r>
      <w:r>
        <w:rPr>
          <w:rFonts w:hint="eastAsia" w:ascii="仿宋_GB2312" w:hAnsi="仿宋_GB2312" w:eastAsia="仿宋_GB2312" w:cs="仿宋_GB2312"/>
          <w:color w:val="auto"/>
          <w:sz w:val="32"/>
          <w:szCs w:val="32"/>
          <w:highlight w:val="none"/>
        </w:rPr>
        <w:t>海关大楼</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三检大楼、边检大楼</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建筑面积约5913平方米。</w:t>
      </w:r>
    </w:p>
    <w:p>
      <w:pPr>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19"/>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pacing w:val="0"/>
          <w:sz w:val="32"/>
          <w:szCs w:val="32"/>
          <w:highlight w:val="none"/>
          <w:lang w:val="en-US" w:eastAsia="zh-CN"/>
        </w:rPr>
        <w:t>为确定</w:t>
      </w:r>
      <w:r>
        <w:rPr>
          <w:rFonts w:hint="eastAsia" w:ascii="仿宋_GB2312" w:hAnsi="仿宋_GB2312" w:eastAsia="仿宋_GB2312" w:cs="仿宋_GB2312"/>
          <w:color w:val="auto"/>
          <w:sz w:val="32"/>
          <w:szCs w:val="32"/>
          <w:highlight w:val="none"/>
          <w:lang w:eastAsia="zh-CN"/>
        </w:rPr>
        <w:t>南沙联检大楼（新）房屋现状结构安全性</w:t>
      </w:r>
      <w:r>
        <w:rPr>
          <w:rFonts w:hint="eastAsia" w:ascii="仿宋_GB2312" w:hAnsi="仿宋_GB2312" w:eastAsia="仿宋_GB2312" w:cs="仿宋_GB2312"/>
          <w:color w:val="auto"/>
          <w:sz w:val="32"/>
          <w:szCs w:val="32"/>
          <w:highlight w:val="none"/>
          <w:lang w:val="en-US" w:eastAsia="zh-CN"/>
        </w:rPr>
        <w:t>状况，进行</w:t>
      </w:r>
      <w:r>
        <w:rPr>
          <w:rFonts w:hint="eastAsia" w:ascii="仿宋_GB2312" w:hAnsi="仿宋_GB2312" w:eastAsia="仿宋_GB2312" w:cs="仿宋_GB2312"/>
          <w:color w:val="auto"/>
          <w:sz w:val="32"/>
          <w:szCs w:val="32"/>
          <w:highlight w:val="none"/>
          <w:lang w:eastAsia="zh-CN"/>
        </w:rPr>
        <w:t>房屋结构安全性及抗震鉴定，</w:t>
      </w:r>
      <w:r>
        <w:rPr>
          <w:rFonts w:hint="eastAsia" w:ascii="仿宋_GB2312" w:hAnsi="仿宋_GB2312" w:eastAsia="仿宋_GB2312" w:cs="仿宋_GB2312"/>
          <w:bCs/>
          <w:color w:val="auto"/>
          <w:sz w:val="32"/>
          <w:szCs w:val="32"/>
          <w:highlight w:val="none"/>
          <w:lang w:eastAsia="zh-CN"/>
        </w:rPr>
        <w:t>具体工作包括</w:t>
      </w:r>
      <w:r>
        <w:rPr>
          <w:rFonts w:hint="eastAsia" w:ascii="仿宋_GB2312" w:hAnsi="仿宋_GB2312" w:eastAsia="仿宋_GB2312" w:cs="仿宋_GB2312"/>
          <w:bCs/>
          <w:color w:val="auto"/>
          <w:sz w:val="32"/>
          <w:szCs w:val="32"/>
          <w:highlight w:val="none"/>
          <w:lang w:val="en-US" w:eastAsia="zh-CN"/>
        </w:rPr>
        <w:t>但不限于</w:t>
      </w:r>
      <w:r>
        <w:rPr>
          <w:rFonts w:hint="eastAsia" w:ascii="仿宋_GB2312" w:hAnsi="仿宋_GB2312" w:eastAsia="仿宋_GB2312" w:cs="仿宋_GB2312"/>
          <w:bCs/>
          <w:color w:val="auto"/>
          <w:sz w:val="32"/>
          <w:szCs w:val="32"/>
          <w:highlight w:val="none"/>
          <w:lang w:eastAsia="zh-CN"/>
        </w:rPr>
        <w:t>：</w:t>
      </w:r>
    </w:p>
    <w:p>
      <w:pPr>
        <w:pStyle w:val="19"/>
        <w:numPr>
          <w:ilvl w:val="0"/>
          <w:numId w:val="5"/>
        </w:numPr>
        <w:ind w:firstLine="640" w:firstLineChars="200"/>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收集相关地质资料、设计图纸、施工资料及调查房屋的使用历史等。</w:t>
      </w:r>
    </w:p>
    <w:p>
      <w:pPr>
        <w:pStyle w:val="19"/>
        <w:numPr>
          <w:ilvl w:val="0"/>
          <w:numId w:val="5"/>
        </w:numPr>
        <w:ind w:firstLine="640" w:firstLineChars="200"/>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对房屋进行现场测量，绘制（或复核）结构平面图。</w:t>
      </w:r>
    </w:p>
    <w:p>
      <w:pPr>
        <w:pStyle w:val="19"/>
        <w:numPr>
          <w:ilvl w:val="0"/>
          <w:numId w:val="5"/>
        </w:numPr>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现场查勘及现场取样检测工作</w:t>
      </w:r>
      <w:r>
        <w:rPr>
          <w:rFonts w:hint="eastAsia" w:ascii="仿宋_GB2312" w:hAnsi="仿宋_GB2312" w:eastAsia="仿宋_GB2312" w:cs="仿宋_GB2312"/>
          <w:bCs/>
          <w:color w:val="auto"/>
          <w:sz w:val="32"/>
          <w:szCs w:val="32"/>
          <w:highlight w:val="none"/>
          <w:lang w:eastAsia="zh-CN"/>
        </w:rPr>
        <w:t>（含地基基础、上部承重结构、围护系统、现场</w:t>
      </w:r>
      <w:r>
        <w:rPr>
          <w:rFonts w:hint="eastAsia" w:ascii="仿宋_GB2312" w:hAnsi="仿宋_GB2312" w:eastAsia="仿宋_GB2312" w:cs="仿宋_GB2312"/>
          <w:color w:val="auto"/>
          <w:sz w:val="32"/>
          <w:szCs w:val="32"/>
          <w:highlight w:val="none"/>
        </w:rPr>
        <w:t>鉴定产生的孔洞修复</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bCs/>
          <w:color w:val="auto"/>
          <w:sz w:val="32"/>
          <w:szCs w:val="32"/>
          <w:highlight w:val="none"/>
          <w:lang w:eastAsia="zh-CN"/>
        </w:rPr>
        <w:t>）。</w:t>
      </w:r>
    </w:p>
    <w:p>
      <w:pPr>
        <w:pStyle w:val="19"/>
        <w:numPr>
          <w:ilvl w:val="0"/>
          <w:numId w:val="5"/>
        </w:numPr>
        <w:ind w:firstLine="640" w:firstLineChars="200"/>
        <w:rPr>
          <w:rFonts w:hint="eastAsia" w:ascii="仿宋_GB2312" w:hAnsi="仿宋_GB2312" w:eastAsia="仿宋_GB2312" w:cs="仿宋_GB2312"/>
          <w:color w:val="auto"/>
          <w:spacing w:val="0"/>
          <w:sz w:val="32"/>
          <w:szCs w:val="32"/>
          <w:highlight w:val="none"/>
          <w:lang w:val="en-US" w:eastAsia="zh-CN"/>
        </w:rPr>
      </w:pPr>
      <w:r>
        <w:rPr>
          <w:rFonts w:hint="eastAsia" w:ascii="仿宋_GB2312" w:hAnsi="仿宋_GB2312" w:eastAsia="仿宋_GB2312" w:cs="仿宋_GB2312"/>
          <w:color w:val="auto"/>
          <w:sz w:val="32"/>
          <w:szCs w:val="32"/>
          <w:highlight w:val="none"/>
        </w:rPr>
        <w:t>检测数据分析及鉴定报告编写</w:t>
      </w:r>
      <w:r>
        <w:rPr>
          <w:rFonts w:hint="eastAsia" w:ascii="仿宋_GB2312" w:hAnsi="仿宋_GB2312" w:eastAsia="仿宋_GB2312" w:cs="仿宋_GB2312"/>
          <w:color w:val="auto"/>
          <w:sz w:val="32"/>
          <w:szCs w:val="32"/>
          <w:highlight w:val="none"/>
          <w:lang w:eastAsia="zh-CN"/>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南沙联检大楼（新）房屋结构安全性及抗震鉴定</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南沙联检大楼（新）房屋结构安全性及抗震鉴定</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widowControl/>
        <w:ind w:firstLine="618"/>
        <w:rPr>
          <w:b/>
          <w:color w:val="auto"/>
          <w:sz w:val="30"/>
          <w:szCs w:val="30"/>
          <w:highlight w:val="none"/>
        </w:rPr>
      </w:pPr>
      <w:r>
        <w:rPr>
          <w:b/>
          <w:color w:val="auto"/>
          <w:sz w:val="30"/>
          <w:szCs w:val="30"/>
          <w:highlight w:val="none"/>
        </w:rPr>
        <w:t xml:space="preserve"> </w:t>
      </w:r>
    </w:p>
    <w:p>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南沙联检大楼（新）房屋结构安全性及抗震鉴定</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9647675"/>
      <w:bookmarkEnd w:id="11"/>
      <w:bookmarkStart w:id="12" w:name="_Toc197235848"/>
      <w:bookmarkEnd w:id="12"/>
      <w:bookmarkStart w:id="13" w:name="_Toc326909213"/>
      <w:bookmarkEnd w:id="13"/>
      <w:bookmarkStart w:id="14" w:name="_Toc41822703"/>
      <w:bookmarkEnd w:id="14"/>
      <w:bookmarkStart w:id="15" w:name="_Toc415728297"/>
      <w:bookmarkEnd w:id="15"/>
      <w:bookmarkStart w:id="16" w:name="_Toc459403394"/>
      <w:bookmarkEnd w:id="16"/>
      <w:bookmarkStart w:id="17" w:name="_Toc196036941"/>
      <w:bookmarkEnd w:id="17"/>
      <w:bookmarkStart w:id="18" w:name="_Toc196037097"/>
      <w:bookmarkEnd w:id="18"/>
      <w:bookmarkStart w:id="19" w:name="_Toc196130110"/>
      <w:bookmarkEnd w:id="19"/>
      <w:bookmarkStart w:id="20" w:name="_Toc415833503"/>
      <w:bookmarkEnd w:id="20"/>
      <w:bookmarkStart w:id="21" w:name="_Toc1961300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833504"/>
      <w:bookmarkEnd w:id="24"/>
      <w:bookmarkStart w:id="25" w:name="_Toc415728298"/>
      <w:bookmarkEnd w:id="25"/>
      <w:bookmarkStart w:id="26" w:name="_Toc196037098"/>
      <w:bookmarkEnd w:id="26"/>
      <w:bookmarkStart w:id="27" w:name="_Toc326909214"/>
      <w:bookmarkEnd w:id="27"/>
      <w:bookmarkStart w:id="28" w:name="_Toc196130014"/>
      <w:bookmarkEnd w:id="28"/>
      <w:bookmarkStart w:id="29" w:name="_Toc197235849"/>
      <w:bookmarkEnd w:id="29"/>
      <w:bookmarkStart w:id="30" w:name="_Toc196130111"/>
      <w:bookmarkEnd w:id="30"/>
      <w:bookmarkStart w:id="31" w:name="_Toc459403395"/>
      <w:bookmarkEnd w:id="31"/>
      <w:bookmarkStart w:id="32" w:name="_Toc199647676"/>
      <w:bookmarkEnd w:id="32"/>
      <w:bookmarkStart w:id="33" w:name="_Toc196036942"/>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南沙联检大楼（新）房屋结构安全性及抗震鉴定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投标单价</w:t>
            </w:r>
          </w:p>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pStyle w:val="2"/>
              <w:autoSpaceDE w:val="0"/>
              <w:autoSpaceDN w:val="0"/>
              <w:adjustRightInd w:val="0"/>
              <w:snapToGrid w:val="0"/>
              <w:spacing w:line="360" w:lineRule="auto"/>
              <w:jc w:val="left"/>
              <w:rPr>
                <w:rFonts w:hint="eastAsia" w:ascii="宋体" w:eastAsia="宋体" w:cs="Times New Roman"/>
                <w:color w:val="auto"/>
                <w:highlight w:val="none"/>
                <w:lang w:val="en-US" w:eastAsia="zh-CN"/>
              </w:rPr>
            </w:pPr>
            <w:r>
              <w:rPr>
                <w:rFonts w:hint="eastAsia"/>
                <w:color w:val="auto"/>
                <w:highlight w:val="none"/>
              </w:rPr>
              <w:t>小写：</w:t>
            </w:r>
            <w:r>
              <w:rPr>
                <w:rFonts w:hint="eastAsia"/>
                <w:color w:val="auto"/>
                <w:highlight w:val="none"/>
                <w:lang w:val="en-US" w:eastAsia="zh-CN"/>
              </w:rPr>
              <w:t xml:space="preserve">                                      </w:t>
            </w:r>
            <w:r>
              <w:rPr>
                <w:rFonts w:hint="eastAsia" w:ascii="宋体" w:eastAsia="宋体" w:cs="Times New Roman"/>
                <w:color w:val="auto"/>
                <w:highlight w:val="none"/>
                <w:lang w:val="en-US" w:eastAsia="zh-CN"/>
              </w:rPr>
              <w:t>元/</w:t>
            </w:r>
            <w:r>
              <w:rPr>
                <w:rFonts w:hint="eastAsia" w:ascii="宋体" w:hAnsi="Courier New" w:eastAsia="宋体" w:cs="Times New Roman"/>
                <w:b w:val="0"/>
                <w:bCs w:val="0"/>
                <w:color w:val="auto"/>
                <w:sz w:val="21"/>
                <w:szCs w:val="21"/>
                <w:highlight w:val="none"/>
                <w:lang w:val="en-US" w:eastAsia="zh-CN"/>
              </w:rPr>
              <w:t>㎡</w:t>
            </w:r>
          </w:p>
          <w:p>
            <w:pPr>
              <w:pStyle w:val="2"/>
              <w:autoSpaceDE w:val="0"/>
              <w:autoSpaceDN w:val="0"/>
              <w:adjustRightInd w:val="0"/>
              <w:snapToGrid w:val="0"/>
              <w:spacing w:line="360" w:lineRule="auto"/>
              <w:jc w:val="both"/>
              <w:rPr>
                <w:rFonts w:hint="default"/>
                <w:color w:val="auto"/>
                <w:highlight w:val="none"/>
                <w:lang w:val="en-US" w:eastAsia="zh-CN"/>
              </w:rPr>
            </w:pPr>
            <w:r>
              <w:rPr>
                <w:rFonts w:hint="eastAsia" w:ascii="宋体" w:eastAsia="宋体" w:cs="Times New Roman"/>
                <w:color w:val="auto"/>
                <w:highlight w:val="none"/>
              </w:rPr>
              <w:t>大写：</w:t>
            </w:r>
            <w:r>
              <w:rPr>
                <w:rFonts w:hint="eastAsia" w:ascii="宋体" w:eastAsia="宋体" w:cs="Times New Roman"/>
                <w:color w:val="auto"/>
                <w:highlight w:val="none"/>
                <w:lang w:val="en-US" w:eastAsia="zh-CN"/>
              </w:rPr>
              <w:t xml:space="preserve">                                      元/</w:t>
            </w:r>
            <w:r>
              <w:rPr>
                <w:rFonts w:hint="eastAsia" w:ascii="宋体" w:hAnsi="Courier New" w:eastAsia="宋体"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p>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eastAsia"/>
                <w:color w:val="auto"/>
                <w:highlight w:val="none"/>
                <w:lang w:val="en-US" w:eastAsia="zh-CN"/>
              </w:rPr>
            </w:pPr>
            <w:r>
              <w:rPr>
                <w:rFonts w:hint="eastAsia"/>
                <w:color w:val="auto"/>
                <w:highlight w:val="none"/>
              </w:rPr>
              <w:t>小写：</w:t>
            </w:r>
            <w:r>
              <w:rPr>
                <w:rFonts w:hint="eastAsia"/>
                <w:color w:val="auto"/>
                <w:highlight w:val="none"/>
                <w:lang w:val="en-US" w:eastAsia="zh-CN"/>
              </w:rPr>
              <w:t xml:space="preserve">                                      元</w:t>
            </w:r>
          </w:p>
          <w:p>
            <w:pPr>
              <w:pStyle w:val="2"/>
              <w:spacing w:line="360" w:lineRule="auto"/>
              <w:rPr>
                <w:rFonts w:hint="eastAsia"/>
                <w:color w:val="auto"/>
                <w:highlight w:val="none"/>
                <w:lang w:val="en-US" w:eastAsia="zh-CN"/>
              </w:rPr>
            </w:pPr>
            <w:r>
              <w:rPr>
                <w:rFonts w:hint="eastAsia"/>
                <w:color w:val="auto"/>
                <w:highlight w:val="none"/>
              </w:rPr>
              <w:t>大写：</w:t>
            </w:r>
            <w:r>
              <w:rPr>
                <w:rFonts w:hint="eastAsia"/>
                <w:color w:val="auto"/>
                <w:highlight w:val="none"/>
                <w:lang w:val="en-US" w:eastAsia="zh-CN"/>
              </w:rPr>
              <w:t xml:space="preserve">                                      元</w:t>
            </w:r>
          </w:p>
          <w:p>
            <w:pPr>
              <w:spacing w:line="360" w:lineRule="auto"/>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val="0"/>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投标单位自行报价，单价报价不能超过</w:t>
      </w:r>
      <w:r>
        <w:rPr>
          <w:rFonts w:hint="eastAsia" w:ascii="宋体" w:hAnsi="宋体" w:eastAsia="宋体" w:cs="宋体"/>
          <w:b w:val="0"/>
          <w:bCs/>
          <w:color w:val="auto"/>
          <w:sz w:val="21"/>
          <w:szCs w:val="21"/>
          <w:highlight w:val="none"/>
          <w:lang w:val="en-US" w:eastAsia="zh-CN"/>
        </w:rPr>
        <w:t>收费单价限价，</w:t>
      </w:r>
      <w:r>
        <w:rPr>
          <w:rFonts w:hint="eastAsia" w:ascii="宋体" w:hAnsi="宋体" w:eastAsia="宋体" w:cs="宋体"/>
          <w:bCs/>
          <w:color w:val="auto"/>
          <w:kern w:val="2"/>
          <w:sz w:val="21"/>
          <w:szCs w:val="21"/>
          <w:highlight w:val="none"/>
          <w:lang w:val="en-US" w:eastAsia="zh-CN" w:bidi="ar-SA"/>
        </w:rPr>
        <w:t>投标总报价不能超过招标</w:t>
      </w:r>
      <w:r>
        <w:rPr>
          <w:rFonts w:hint="eastAsia" w:hAnsi="宋体" w:cs="宋体"/>
          <w:bCs/>
          <w:color w:val="auto"/>
          <w:kern w:val="2"/>
          <w:sz w:val="21"/>
          <w:szCs w:val="21"/>
          <w:highlight w:val="none"/>
          <w:lang w:val="en-US" w:eastAsia="zh-CN" w:bidi="ar-SA"/>
        </w:rPr>
        <w:t>总价</w:t>
      </w:r>
      <w:r>
        <w:rPr>
          <w:rFonts w:hint="eastAsia" w:ascii="宋体" w:hAnsi="宋体" w:eastAsia="宋体" w:cs="宋体"/>
          <w:bCs/>
          <w:color w:val="auto"/>
          <w:kern w:val="2"/>
          <w:sz w:val="21"/>
          <w:szCs w:val="21"/>
          <w:highlight w:val="none"/>
          <w:lang w:val="en-US" w:eastAsia="zh-CN" w:bidi="ar-SA"/>
        </w:rPr>
        <w:t>控制价，否则按废标处理。小数点后保留二位小数，第三位小数四舍五入。</w:t>
      </w:r>
      <w:r>
        <w:rPr>
          <w:rFonts w:hint="eastAsia" w:ascii="宋体" w:hAnsi="宋体" w:eastAsia="宋体" w:cs="宋体"/>
          <w:bCs/>
          <w:color w:val="auto"/>
          <w:sz w:val="21"/>
          <w:szCs w:val="21"/>
          <w:highlight w:val="none"/>
        </w:rPr>
        <w:t>最终鉴定费用结算价以实际鉴定面积和</w:t>
      </w:r>
      <w:r>
        <w:rPr>
          <w:rFonts w:hint="eastAsia" w:ascii="宋体" w:hAnsi="宋体" w:eastAsia="宋体" w:cs="宋体"/>
          <w:bCs/>
          <w:color w:val="auto"/>
          <w:sz w:val="21"/>
          <w:szCs w:val="21"/>
          <w:highlight w:val="none"/>
          <w:lang w:eastAsia="zh-CN"/>
        </w:rPr>
        <w:t>中标</w:t>
      </w:r>
      <w:r>
        <w:rPr>
          <w:rFonts w:hint="eastAsia" w:ascii="宋体" w:hAnsi="宋体" w:eastAsia="宋体" w:cs="宋体"/>
          <w:bCs/>
          <w:color w:val="auto"/>
          <w:sz w:val="21"/>
          <w:szCs w:val="21"/>
          <w:highlight w:val="none"/>
        </w:rPr>
        <w:t>单价计算得出</w:t>
      </w:r>
      <w:r>
        <w:rPr>
          <w:rFonts w:hint="eastAsia" w:ascii="宋体" w:hAnsi="宋体" w:eastAsia="宋体" w:cs="宋体"/>
          <w:bCs/>
          <w:color w:val="auto"/>
          <w:sz w:val="21"/>
          <w:szCs w:val="21"/>
          <w:highlight w:val="none"/>
          <w:lang w:eastAsia="zh-CN"/>
        </w:rPr>
        <w:t>。</w:t>
      </w:r>
    </w:p>
    <w:p>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noWrap w:val="0"/>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4</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noWrap w:val="0"/>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noWrap w:val="0"/>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12</w:t>
            </w:r>
            <w:r>
              <w:rPr>
                <w:rFonts w:hint="eastAsia" w:ascii="宋体" w:hAnsi="宋体" w:eastAsia="宋体" w:cs="宋体"/>
                <w:color w:val="auto"/>
                <w:kern w:val="0"/>
                <w:szCs w:val="21"/>
                <w:highlight w:val="none"/>
              </w:rPr>
              <w:t>分</w:t>
            </w:r>
          </w:p>
        </w:tc>
        <w:tc>
          <w:tcPr>
            <w:tcW w:w="9797" w:type="dxa"/>
            <w:noWrap w:val="0"/>
            <w:vAlign w:val="center"/>
          </w:tcPr>
          <w:p>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投标人2018年1月1日至今承接过30万或以上的房屋鉴定相关业绩的，每有一个项目业绩得2分，本项最高得12分。 </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（体现工作内容及费用的页面、盖章页等）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noWrap w:val="0"/>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noWrap w:val="0"/>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napToGrid w:val="0"/>
              <w:spacing w:line="36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noWrap w:val="0"/>
            <w:vAlign w:val="center"/>
          </w:tcPr>
          <w:p>
            <w:pPr>
              <w:spacing w:line="36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5分</w:t>
            </w:r>
          </w:p>
        </w:tc>
        <w:tc>
          <w:tcPr>
            <w:tcW w:w="9797" w:type="dxa"/>
            <w:noWrap w:val="0"/>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pPr>
              <w:pStyle w:val="2"/>
              <w:spacing w:line="36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spacing w:line="36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获奖情况</w:t>
            </w:r>
          </w:p>
        </w:tc>
        <w:tc>
          <w:tcPr>
            <w:tcW w:w="709" w:type="dxa"/>
            <w:noWrap w:val="0"/>
            <w:vAlign w:val="center"/>
          </w:tcPr>
          <w:p>
            <w:pPr>
              <w:spacing w:line="36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6分</w:t>
            </w:r>
          </w:p>
        </w:tc>
        <w:tc>
          <w:tcPr>
            <w:tcW w:w="9797" w:type="dxa"/>
            <w:noWrap w:val="0"/>
            <w:vAlign w:val="center"/>
          </w:tcPr>
          <w:p>
            <w:pPr>
              <w:adjustRightInd w:val="0"/>
              <w:snapToGrid w:val="0"/>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Cs w:val="21"/>
                <w:highlight w:val="none"/>
              </w:rPr>
              <w:t>投标人自 201</w:t>
            </w:r>
            <w:r>
              <w:rPr>
                <w:rFonts w:hint="eastAsia" w:ascii="宋体" w:hAnsi="宋体" w:eastAsia="宋体" w:cs="宋体"/>
                <w:color w:val="auto"/>
                <w:kern w:val="2"/>
                <w:szCs w:val="21"/>
                <w:highlight w:val="none"/>
                <w:lang w:val="en-US" w:eastAsia="zh-CN"/>
              </w:rPr>
              <w:t>8</w:t>
            </w:r>
            <w:r>
              <w:rPr>
                <w:rFonts w:hint="eastAsia" w:ascii="宋体" w:hAnsi="宋体" w:eastAsia="宋体" w:cs="宋体"/>
                <w:color w:val="auto"/>
                <w:kern w:val="2"/>
                <w:szCs w:val="21"/>
                <w:highlight w:val="none"/>
              </w:rPr>
              <w:t xml:space="preserve"> 年 1 月 1 日至今</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获得</w:t>
            </w:r>
            <w:r>
              <w:rPr>
                <w:rFonts w:hint="eastAsia" w:ascii="宋体" w:hAnsi="宋体" w:eastAsia="宋体" w:cs="宋体"/>
                <w:color w:val="auto"/>
                <w:kern w:val="2"/>
                <w:szCs w:val="21"/>
                <w:highlight w:val="none"/>
                <w:lang w:eastAsia="zh-CN"/>
              </w:rPr>
              <w:t>国家级、</w:t>
            </w:r>
            <w:r>
              <w:rPr>
                <w:rFonts w:hint="eastAsia" w:ascii="宋体" w:hAnsi="宋体" w:eastAsia="宋体" w:cs="宋体"/>
                <w:color w:val="auto"/>
                <w:kern w:val="2"/>
                <w:szCs w:val="21"/>
                <w:highlight w:val="none"/>
              </w:rPr>
              <w:t>省级</w:t>
            </w:r>
            <w:r>
              <w:rPr>
                <w:rFonts w:hint="eastAsia" w:ascii="宋体" w:hAnsi="宋体" w:eastAsia="宋体" w:cs="宋体"/>
                <w:color w:val="auto"/>
                <w:kern w:val="2"/>
                <w:szCs w:val="21"/>
                <w:highlight w:val="none"/>
                <w:lang w:eastAsia="zh-CN"/>
              </w:rPr>
              <w:t>、</w:t>
            </w:r>
            <w:r>
              <w:rPr>
                <w:rFonts w:hint="eastAsia" w:ascii="宋体" w:hAnsi="宋体" w:eastAsia="宋体" w:cs="宋体"/>
                <w:color w:val="auto"/>
                <w:kern w:val="2"/>
                <w:szCs w:val="21"/>
                <w:highlight w:val="none"/>
              </w:rPr>
              <w:t>市级建设行政主管部门或行业协会颁发奖项的，</w:t>
            </w:r>
            <w:r>
              <w:rPr>
                <w:rFonts w:hint="eastAsia" w:ascii="宋体" w:hAnsi="宋体" w:eastAsia="宋体" w:cs="宋体"/>
                <w:color w:val="auto"/>
                <w:kern w:val="2"/>
                <w:szCs w:val="21"/>
                <w:highlight w:val="none"/>
                <w:lang w:eastAsia="zh-CN"/>
              </w:rPr>
              <w:t>国家级的</w:t>
            </w:r>
            <w:r>
              <w:rPr>
                <w:rFonts w:hint="eastAsia" w:ascii="宋体" w:hAnsi="宋体" w:eastAsia="宋体" w:cs="宋体"/>
                <w:color w:val="auto"/>
                <w:kern w:val="2"/>
                <w:szCs w:val="21"/>
                <w:highlight w:val="none"/>
              </w:rPr>
              <w:t>每项得</w:t>
            </w:r>
            <w:r>
              <w:rPr>
                <w:rFonts w:hint="eastAsia" w:ascii="宋体" w:hAnsi="宋体" w:eastAsia="宋体" w:cs="宋体"/>
                <w:color w:val="auto"/>
                <w:kern w:val="2"/>
                <w:szCs w:val="21"/>
                <w:highlight w:val="none"/>
                <w:lang w:val="en-US" w:eastAsia="zh-CN"/>
              </w:rPr>
              <w:t>3</w:t>
            </w:r>
            <w:r>
              <w:rPr>
                <w:rFonts w:hint="eastAsia" w:ascii="宋体" w:hAnsi="宋体" w:eastAsia="宋体" w:cs="宋体"/>
                <w:color w:val="auto"/>
                <w:kern w:val="2"/>
                <w:szCs w:val="21"/>
                <w:highlight w:val="none"/>
              </w:rPr>
              <w:t>分，</w:t>
            </w:r>
            <w:r>
              <w:rPr>
                <w:rFonts w:hint="eastAsia" w:ascii="宋体" w:hAnsi="宋体" w:eastAsia="宋体" w:cs="宋体"/>
                <w:color w:val="auto"/>
                <w:kern w:val="2"/>
                <w:szCs w:val="21"/>
                <w:highlight w:val="none"/>
                <w:lang w:eastAsia="zh-CN"/>
              </w:rPr>
              <w:t>省级的每项得</w:t>
            </w:r>
            <w:r>
              <w:rPr>
                <w:rFonts w:hint="eastAsia" w:ascii="宋体" w:hAnsi="宋体" w:eastAsia="宋体" w:cs="宋体"/>
                <w:color w:val="auto"/>
                <w:kern w:val="2"/>
                <w:szCs w:val="21"/>
                <w:highlight w:val="none"/>
                <w:lang w:val="en-US" w:eastAsia="zh-CN"/>
              </w:rPr>
              <w:t>2分，市级的每项得1分，</w:t>
            </w:r>
            <w:r>
              <w:rPr>
                <w:rFonts w:hint="eastAsia" w:ascii="宋体" w:hAnsi="宋体" w:eastAsia="宋体" w:cs="宋体"/>
                <w:color w:val="auto"/>
                <w:kern w:val="2"/>
                <w:szCs w:val="21"/>
                <w:highlight w:val="none"/>
              </w:rPr>
              <w:t>本项最高得</w:t>
            </w:r>
            <w:r>
              <w:rPr>
                <w:rFonts w:hint="eastAsia" w:ascii="宋体" w:hAnsi="宋体" w:eastAsia="宋体" w:cs="宋体"/>
                <w:color w:val="auto"/>
                <w:kern w:val="2"/>
                <w:szCs w:val="21"/>
                <w:highlight w:val="none"/>
                <w:lang w:val="en-US" w:eastAsia="zh-CN"/>
              </w:rPr>
              <w:t>6</w:t>
            </w:r>
            <w:r>
              <w:rPr>
                <w:rFonts w:hint="eastAsia" w:ascii="宋体" w:hAnsi="宋体" w:eastAsia="宋体" w:cs="宋体"/>
                <w:color w:val="auto"/>
                <w:kern w:val="2"/>
                <w:szCs w:val="21"/>
                <w:highlight w:val="none"/>
              </w:rPr>
              <w:t xml:space="preserve">分。注：①颁发单位包括行政区政府、建设行政主管部门或行业协会；②获奖时间以获奖证书颁发时间或网上公示获奖时间为准；③需提供获奖证书复印件或网上公示获奖页面截图凭证、得奖项目不重复记分。 </w:t>
            </w:r>
          </w:p>
        </w:tc>
        <w:tc>
          <w:tcPr>
            <w:tcW w:w="240" w:type="dxa"/>
            <w:noWrap w:val="0"/>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具有</w:t>
            </w:r>
            <w:r>
              <w:rPr>
                <w:rFonts w:hint="eastAsia" w:ascii="宋体" w:hAnsi="宋体" w:eastAsia="宋体" w:cs="宋体"/>
                <w:color w:val="auto"/>
                <w:spacing w:val="-5"/>
                <w:sz w:val="21"/>
                <w:szCs w:val="21"/>
                <w:highlight w:val="none"/>
                <w:lang w:eastAsia="zh-CN"/>
              </w:rPr>
              <w:t>一级注册</w:t>
            </w:r>
            <w:r>
              <w:rPr>
                <w:rFonts w:hint="eastAsia" w:ascii="宋体" w:hAnsi="宋体" w:eastAsia="宋体" w:cs="宋体"/>
                <w:i w:val="0"/>
                <w:iCs w:val="0"/>
                <w:caps w:val="0"/>
                <w:color w:val="auto"/>
                <w:spacing w:val="-5"/>
                <w:sz w:val="21"/>
                <w:szCs w:val="21"/>
                <w:highlight w:val="none"/>
                <w:shd w:val="clear" w:color="auto" w:fill="auto"/>
                <w:lang w:eastAsia="zh-CN"/>
              </w:rPr>
              <w:t>结构工程师的</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color="auto" w:fill="auto"/>
                <w:lang w:val="en-US" w:eastAsia="zh-CN"/>
              </w:rPr>
              <w:t>得3分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i w:val="0"/>
                <w:iCs w:val="0"/>
                <w:caps w:val="0"/>
                <w:color w:val="auto"/>
                <w:spacing w:val="-5"/>
                <w:sz w:val="21"/>
                <w:szCs w:val="21"/>
                <w:highlight w:val="none"/>
                <w:shd w:val="clear"/>
                <w:lang w:val="en-US" w:eastAsia="zh-CN"/>
              </w:rPr>
              <w:t>2、</w:t>
            </w:r>
            <w:r>
              <w:rPr>
                <w:rFonts w:hint="eastAsia" w:ascii="宋体" w:hAnsi="宋体" w:eastAsia="宋体" w:cs="宋体"/>
                <w:i w:val="0"/>
                <w:iCs w:val="0"/>
                <w:caps w:val="0"/>
                <w:color w:val="auto"/>
                <w:spacing w:val="-5"/>
                <w:sz w:val="21"/>
                <w:szCs w:val="21"/>
                <w:highlight w:val="none"/>
                <w:shd w:val="clear" w:color="auto" w:fill="auto"/>
                <w:lang w:eastAsia="zh-CN"/>
              </w:rPr>
              <w:t>具有</w:t>
            </w:r>
            <w:r>
              <w:rPr>
                <w:rFonts w:hint="eastAsia" w:ascii="宋体" w:hAnsi="宋体" w:eastAsia="宋体" w:cs="宋体"/>
                <w:i w:val="0"/>
                <w:iCs w:val="0"/>
                <w:caps w:val="0"/>
                <w:color w:val="auto"/>
                <w:spacing w:val="-5"/>
                <w:sz w:val="21"/>
                <w:szCs w:val="21"/>
                <w:highlight w:val="none"/>
                <w:shd w:val="clear" w:color="auto" w:fill="auto"/>
              </w:rPr>
              <w:t>工程</w:t>
            </w:r>
            <w:r>
              <w:rPr>
                <w:rFonts w:hint="eastAsia" w:ascii="宋体" w:hAnsi="宋体" w:eastAsia="宋体" w:cs="宋体"/>
                <w:i w:val="0"/>
                <w:iCs w:val="0"/>
                <w:caps w:val="0"/>
                <w:color w:val="auto"/>
                <w:spacing w:val="-5"/>
                <w:sz w:val="21"/>
                <w:szCs w:val="21"/>
                <w:highlight w:val="none"/>
                <w:shd w:val="clear" w:color="auto" w:fill="auto"/>
                <w:lang w:eastAsia="zh-CN"/>
              </w:rPr>
              <w:t>类相关专业</w:t>
            </w:r>
            <w:r>
              <w:rPr>
                <w:rFonts w:hint="eastAsia" w:ascii="宋体" w:hAnsi="宋体" w:eastAsia="宋体" w:cs="宋体"/>
                <w:color w:val="auto"/>
                <w:spacing w:val="-5"/>
                <w:sz w:val="21"/>
                <w:szCs w:val="21"/>
                <w:highlight w:val="none"/>
                <w:lang w:val="en-US" w:eastAsia="zh-CN"/>
              </w:rPr>
              <w:t>高</w:t>
            </w:r>
            <w:r>
              <w:rPr>
                <w:rFonts w:hint="eastAsia" w:ascii="宋体" w:hAnsi="宋体" w:eastAsia="宋体" w:cs="宋体"/>
                <w:color w:val="auto"/>
                <w:spacing w:val="-5"/>
                <w:sz w:val="21"/>
                <w:szCs w:val="21"/>
                <w:highlight w:val="none"/>
                <w:lang w:eastAsia="zh-CN"/>
              </w:rPr>
              <w:t>级或以上工程师职称的，得</w:t>
            </w:r>
            <w:r>
              <w:rPr>
                <w:rFonts w:hint="eastAsia" w:ascii="宋体" w:hAnsi="宋体" w:eastAsia="宋体" w:cs="宋体"/>
                <w:color w:val="auto"/>
                <w:spacing w:val="-5"/>
                <w:sz w:val="21"/>
                <w:szCs w:val="21"/>
                <w:highlight w:val="none"/>
                <w:lang w:val="en-US" w:eastAsia="zh-CN"/>
              </w:rPr>
              <w:t>2分；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lang w:val="en-US"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lang w:val="en-US" w:eastAsia="zh-CN"/>
              </w:rPr>
              <w:t>7</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vMerge w:val="continue"/>
            <w:noWrap w:val="0"/>
            <w:vAlign w:val="center"/>
          </w:tcPr>
          <w:p>
            <w:pPr>
              <w:jc w:val="center"/>
              <w:rPr>
                <w:rFonts w:hint="eastAsia" w:ascii="宋体" w:hAnsi="宋体" w:eastAsia="宋体" w:cs="宋体"/>
                <w:color w:val="auto"/>
                <w:spacing w:val="-5"/>
                <w:szCs w:val="21"/>
                <w:highlight w:val="none"/>
              </w:rPr>
            </w:pPr>
          </w:p>
        </w:tc>
        <w:tc>
          <w:tcPr>
            <w:tcW w:w="709" w:type="dxa"/>
            <w:noWrap w:val="0"/>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7分</w:t>
            </w:r>
          </w:p>
        </w:tc>
        <w:tc>
          <w:tcPr>
            <w:tcW w:w="9797" w:type="dxa"/>
            <w:noWrap w:val="0"/>
            <w:vAlign w:val="center"/>
          </w:tcPr>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autoSpaceDE w:val="0"/>
              <w:autoSpaceDN w:val="0"/>
              <w:adjustRightInd w:val="0"/>
              <w:snapToGrid w:val="0"/>
              <w:spacing w:line="240" w:lineRule="auto"/>
              <w:rPr>
                <w:rFonts w:hint="eastAsia" w:ascii="宋体" w:hAnsi="宋体" w:eastAsia="宋体" w:cs="宋体"/>
                <w:color w:val="auto"/>
                <w:spacing w:val="-5"/>
                <w:szCs w:val="21"/>
                <w:highlight w:val="none"/>
                <w:shd w:val="clear" w:color="auto" w:fill="auto"/>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i w:val="0"/>
                <w:iCs w:val="0"/>
                <w:caps w:val="0"/>
                <w:color w:val="auto"/>
                <w:spacing w:val="-5"/>
                <w:sz w:val="21"/>
                <w:szCs w:val="21"/>
                <w:highlight w:val="none"/>
                <w:shd w:val="clear" w:color="auto" w:fill="auto"/>
              </w:rPr>
              <w:t>工程</w:t>
            </w:r>
            <w:r>
              <w:rPr>
                <w:rFonts w:hint="eastAsia" w:ascii="宋体" w:hAnsi="宋体" w:eastAsia="宋体" w:cs="宋体"/>
                <w:i w:val="0"/>
                <w:iCs w:val="0"/>
                <w:caps w:val="0"/>
                <w:color w:val="auto"/>
                <w:spacing w:val="-5"/>
                <w:sz w:val="21"/>
                <w:szCs w:val="21"/>
                <w:highlight w:val="none"/>
                <w:shd w:val="clear" w:color="auto" w:fill="auto"/>
                <w:lang w:eastAsia="zh-CN"/>
              </w:rPr>
              <w:t>类相关专业</w:t>
            </w:r>
            <w:r>
              <w:rPr>
                <w:rFonts w:hint="eastAsia" w:ascii="宋体" w:hAnsi="宋体" w:eastAsia="宋体" w:cs="宋体"/>
                <w:color w:val="auto"/>
                <w:spacing w:val="-5"/>
                <w:sz w:val="21"/>
                <w:szCs w:val="21"/>
                <w:highlight w:val="none"/>
                <w:lang w:eastAsia="zh-CN"/>
              </w:rPr>
              <w:t>高级或以上工程师职称的，</w:t>
            </w:r>
            <w:r>
              <w:rPr>
                <w:rFonts w:hint="eastAsia" w:ascii="宋体" w:hAnsi="宋体" w:eastAsia="宋体" w:cs="宋体"/>
                <w:color w:val="auto"/>
                <w:spacing w:val="-5"/>
                <w:szCs w:val="21"/>
                <w:highlight w:val="none"/>
                <w:shd w:val="clear" w:color="auto" w:fill="auto"/>
                <w:lang w:val="en-US" w:eastAsia="zh-CN"/>
              </w:rPr>
              <w:t>得3分；</w:t>
            </w:r>
          </w:p>
          <w:p>
            <w:pPr>
              <w:autoSpaceDE w:val="0"/>
              <w:autoSpaceDN w:val="0"/>
              <w:adjustRightInd w:val="0"/>
              <w:snapToGrid w:val="0"/>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 w:val="21"/>
                <w:szCs w:val="21"/>
                <w:highlight w:val="none"/>
                <w:lang w:val="en-US" w:eastAsia="zh-CN"/>
              </w:rPr>
              <w:t>2、具有二级（或以上）</w:t>
            </w:r>
            <w:r>
              <w:rPr>
                <w:rFonts w:hint="eastAsia" w:ascii="宋体" w:hAnsi="宋体" w:eastAsia="宋体" w:cs="宋体"/>
                <w:color w:val="auto"/>
                <w:spacing w:val="-5"/>
                <w:sz w:val="21"/>
                <w:szCs w:val="21"/>
                <w:highlight w:val="none"/>
                <w:lang w:eastAsia="zh-CN"/>
              </w:rPr>
              <w:t>注册</w:t>
            </w:r>
            <w:r>
              <w:rPr>
                <w:rFonts w:hint="eastAsia" w:ascii="宋体" w:hAnsi="宋体" w:eastAsia="宋体" w:cs="宋体"/>
                <w:i w:val="0"/>
                <w:iCs w:val="0"/>
                <w:caps w:val="0"/>
                <w:color w:val="auto"/>
                <w:spacing w:val="-5"/>
                <w:sz w:val="21"/>
                <w:szCs w:val="21"/>
                <w:highlight w:val="none"/>
                <w:shd w:val="clear" w:color="auto" w:fill="auto"/>
                <w:lang w:eastAsia="zh-CN"/>
              </w:rPr>
              <w:t>结构工程师的</w:t>
            </w:r>
            <w:r>
              <w:rPr>
                <w:rFonts w:hint="eastAsia" w:ascii="宋体" w:hAnsi="宋体" w:eastAsia="宋体" w:cs="宋体"/>
                <w:color w:val="auto"/>
                <w:spacing w:val="-5"/>
                <w:sz w:val="21"/>
                <w:szCs w:val="21"/>
                <w:highlight w:val="none"/>
                <w:lang w:eastAsia="zh-CN"/>
              </w:rPr>
              <w:t>，得</w:t>
            </w:r>
            <w:r>
              <w:rPr>
                <w:rFonts w:hint="eastAsia" w:ascii="宋体" w:hAnsi="宋体" w:eastAsia="宋体" w:cs="宋体"/>
                <w:color w:val="auto"/>
                <w:spacing w:val="-5"/>
                <w:sz w:val="21"/>
                <w:szCs w:val="21"/>
                <w:highlight w:val="none"/>
                <w:lang w:val="en-US" w:eastAsia="zh-CN"/>
              </w:rPr>
              <w:t>2分；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3、具有</w:t>
            </w:r>
            <w:r>
              <w:rPr>
                <w:rFonts w:hint="eastAsia" w:ascii="宋体" w:hAnsi="宋体" w:eastAsia="宋体" w:cs="宋体"/>
                <w:color w:val="auto"/>
                <w:spacing w:val="-5"/>
                <w:szCs w:val="21"/>
                <w:highlight w:val="none"/>
              </w:rPr>
              <w:t>工作经验</w:t>
            </w: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年或以上，</w:t>
            </w:r>
            <w:r>
              <w:rPr>
                <w:rFonts w:hint="eastAsia" w:ascii="宋体" w:hAnsi="宋体" w:eastAsia="宋体" w:cs="宋体"/>
                <w:color w:val="auto"/>
                <w:spacing w:val="-5"/>
                <w:szCs w:val="21"/>
                <w:highlight w:val="none"/>
                <w:shd w:val="clear" w:color="auto" w:fill="auto"/>
              </w:rPr>
              <w:t>得</w:t>
            </w:r>
            <w:r>
              <w:rPr>
                <w:rFonts w:hint="eastAsia" w:ascii="宋体" w:hAnsi="宋体" w:eastAsia="宋体" w:cs="宋体"/>
                <w:color w:val="auto"/>
                <w:spacing w:val="-5"/>
                <w:szCs w:val="21"/>
                <w:highlight w:val="none"/>
                <w:shd w:val="clear" w:color="auto" w:fill="auto"/>
                <w:lang w:val="en-US" w:eastAsia="zh-CN"/>
              </w:rPr>
              <w:t>2</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shd w:val="clear" w:color="auto" w:fill="auto"/>
                <w:lang w:eastAsia="zh-CN"/>
              </w:rPr>
              <w:t>。</w:t>
            </w:r>
          </w:p>
          <w:p>
            <w:p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color="auto" w:fill="auto"/>
              </w:rPr>
              <w:t>高</w:t>
            </w:r>
            <w:r>
              <w:rPr>
                <w:rFonts w:hint="eastAsia" w:ascii="宋体" w:hAnsi="宋体" w:eastAsia="宋体" w:cs="宋体"/>
                <w:color w:val="auto"/>
                <w:spacing w:val="-5"/>
                <w:szCs w:val="21"/>
                <w:highlight w:val="none"/>
                <w:shd w:val="clear" w:color="auto" w:fill="auto"/>
                <w:lang w:eastAsia="zh-CN"/>
              </w:rPr>
              <w:t>得</w:t>
            </w:r>
            <w:r>
              <w:rPr>
                <w:rFonts w:hint="eastAsia" w:ascii="宋体" w:hAnsi="宋体" w:eastAsia="宋体" w:cs="宋体"/>
                <w:color w:val="auto"/>
                <w:spacing w:val="-5"/>
                <w:szCs w:val="21"/>
                <w:highlight w:val="none"/>
                <w:shd w:val="clear" w:color="auto" w:fill="auto"/>
                <w:lang w:val="en-US" w:eastAsia="zh-CN"/>
              </w:rPr>
              <w:t>7</w:t>
            </w:r>
            <w:r>
              <w:rPr>
                <w:rFonts w:hint="eastAsia" w:ascii="宋体" w:hAnsi="宋体" w:eastAsia="宋体" w:cs="宋体"/>
                <w:color w:val="auto"/>
                <w:spacing w:val="-5"/>
                <w:szCs w:val="21"/>
                <w:highlight w:val="none"/>
                <w:shd w:val="clear" w:color="auto" w:fill="auto"/>
              </w:rPr>
              <w:t>分</w:t>
            </w:r>
            <w:r>
              <w:rPr>
                <w:rFonts w:hint="eastAsia" w:ascii="宋体" w:hAnsi="宋体" w:eastAsia="宋体" w:cs="宋体"/>
                <w:color w:val="auto"/>
                <w:spacing w:val="-5"/>
                <w:szCs w:val="21"/>
                <w:highlight w:val="none"/>
              </w:rPr>
              <w:t>。</w:t>
            </w:r>
          </w:p>
          <w:p>
            <w:pPr>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）为其购买社保的加盖社会保险基金管理中心印章的《投保单》或《社会保险参保人员证明》复印件，工作经验以</w:t>
            </w:r>
            <w:r>
              <w:rPr>
                <w:rFonts w:hint="eastAsia" w:ascii="宋体" w:hAnsi="宋体" w:eastAsia="宋体" w:cs="宋体"/>
                <w:color w:val="auto"/>
                <w:spacing w:val="-5"/>
                <w:szCs w:val="21"/>
                <w:highlight w:val="none"/>
                <w:lang w:eastAsia="zh-CN"/>
              </w:rPr>
              <w:t>本科或专科</w:t>
            </w:r>
            <w:r>
              <w:rPr>
                <w:rFonts w:hint="eastAsia" w:ascii="宋体" w:hAnsi="宋体" w:eastAsia="宋体" w:cs="宋体"/>
                <w:color w:val="auto"/>
                <w:spacing w:val="-5"/>
                <w:szCs w:val="21"/>
                <w:highlight w:val="none"/>
              </w:rPr>
              <w:t>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3</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项目实施方案</w:t>
            </w: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15</w:t>
            </w:r>
            <w:r>
              <w:rPr>
                <w:rFonts w:hint="eastAsia" w:ascii="宋体" w:hAnsi="宋体" w:eastAsia="宋体" w:cs="宋体"/>
                <w:color w:val="auto"/>
                <w:spacing w:val="-5"/>
                <w:szCs w:val="21"/>
                <w:highlight w:val="none"/>
              </w:rPr>
              <w:t>分</w:t>
            </w:r>
          </w:p>
        </w:tc>
        <w:tc>
          <w:tcPr>
            <w:tcW w:w="9797" w:type="dxa"/>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ascii="宋体" w:hAnsi="宋体" w:eastAsia="宋体" w:cs="宋体"/>
                <w:color w:val="auto"/>
                <w:sz w:val="21"/>
                <w:szCs w:val="21"/>
                <w:highlight w:val="none"/>
                <w:lang w:eastAsia="zh-CN"/>
              </w:rPr>
              <w:t>评价</w:t>
            </w:r>
            <w:r>
              <w:rPr>
                <w:rFonts w:hint="eastAsia" w:ascii="宋体" w:hAnsi="宋体" w:eastAsia="宋体" w:cs="宋体"/>
                <w:color w:val="auto"/>
                <w:sz w:val="21"/>
                <w:szCs w:val="21"/>
                <w:highlight w:val="none"/>
              </w:rPr>
              <w:t>投标人实施方案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包括但不限于</w:t>
            </w:r>
            <w:r>
              <w:rPr>
                <w:rFonts w:hint="eastAsia" w:ascii="宋体" w:hAnsi="宋体" w:eastAsia="宋体" w:cs="宋体"/>
                <w:color w:val="auto"/>
                <w:spacing w:val="-5"/>
                <w:szCs w:val="21"/>
                <w:highlight w:val="none"/>
                <w:lang w:val="en-US" w:eastAsia="zh-CN"/>
              </w:rPr>
              <w:t>对项目的理解程度、重点难点分析情况，</w:t>
            </w:r>
            <w:r>
              <w:rPr>
                <w:rFonts w:hint="eastAsia" w:ascii="宋体" w:hAnsi="宋体" w:eastAsia="宋体" w:cs="宋体"/>
                <w:color w:val="auto"/>
                <w:sz w:val="21"/>
                <w:szCs w:val="21"/>
                <w:highlight w:val="none"/>
              </w:rPr>
              <w:t>现场作业管理方案及措施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安全生产管理方案及措施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现场文明施工方案及措施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工期保证方案及措施、方案及承诺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现场工作人员操作规范实施方案等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投入本项目机械设备情况：</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优：</w:t>
            </w:r>
            <w:r>
              <w:rPr>
                <w:rFonts w:hint="eastAsia" w:ascii="宋体" w:hAnsi="宋体" w:eastAsia="宋体" w:cs="宋体"/>
                <w:color w:val="auto"/>
                <w:sz w:val="21"/>
                <w:szCs w:val="21"/>
                <w:highlight w:val="none"/>
              </w:rPr>
              <w:t>方案内容齐全，措施有效可行、具有针对性，承诺详细具体，能满足本项目需求，得</w:t>
            </w:r>
            <w:r>
              <w:rPr>
                <w:rFonts w:hint="eastAsia" w:ascii="宋体" w:hAnsi="宋体" w:eastAsia="宋体" w:cs="宋体"/>
                <w:color w:val="auto"/>
                <w:sz w:val="21"/>
                <w:szCs w:val="21"/>
                <w:highlight w:val="none"/>
                <w:lang w:val="en-US" w:eastAsia="zh-CN"/>
              </w:rPr>
              <w:t>12-15</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良：</w:t>
            </w:r>
            <w:r>
              <w:rPr>
                <w:rFonts w:hint="eastAsia" w:ascii="宋体" w:hAnsi="宋体" w:eastAsia="宋体" w:cs="宋体"/>
                <w:color w:val="auto"/>
                <w:sz w:val="21"/>
                <w:szCs w:val="21"/>
                <w:highlight w:val="none"/>
              </w:rPr>
              <w:t>方案内容较齐全，措施较有效可行、具有针对性，承诺较详细具体，基本满足本项目需求，得</w:t>
            </w:r>
            <w:r>
              <w:rPr>
                <w:rFonts w:hint="eastAsia" w:ascii="宋体" w:hAnsi="宋体" w:eastAsia="宋体" w:cs="宋体"/>
                <w:color w:val="auto"/>
                <w:sz w:val="21"/>
                <w:szCs w:val="21"/>
                <w:highlight w:val="none"/>
                <w:lang w:val="en-US" w:eastAsia="zh-CN"/>
              </w:rPr>
              <w:t>9-11</w:t>
            </w:r>
            <w:r>
              <w:rPr>
                <w:rFonts w:hint="eastAsia" w:ascii="宋体" w:hAnsi="宋体" w:eastAsia="宋体" w:cs="宋体"/>
                <w:color w:val="auto"/>
                <w:sz w:val="21"/>
                <w:szCs w:val="21"/>
                <w:highlight w:val="none"/>
              </w:rPr>
              <w:t>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差：</w:t>
            </w:r>
            <w:r>
              <w:rPr>
                <w:rFonts w:hint="eastAsia" w:ascii="宋体" w:hAnsi="宋体" w:eastAsia="宋体" w:cs="宋体"/>
                <w:color w:val="auto"/>
                <w:sz w:val="21"/>
                <w:szCs w:val="21"/>
                <w:highlight w:val="none"/>
              </w:rPr>
              <w:t>方案内容有缺漏，措施较有效可行、针对性一般，承诺较详细，较能满足本项目需求，得</w:t>
            </w:r>
            <w:r>
              <w:rPr>
                <w:rFonts w:hint="eastAsia" w:ascii="宋体" w:hAnsi="宋体" w:eastAsia="宋体" w:cs="宋体"/>
                <w:color w:val="auto"/>
                <w:spacing w:val="-5"/>
                <w:szCs w:val="21"/>
                <w:highlight w:val="none"/>
                <w:lang w:val="en-US" w:eastAsia="zh-CN"/>
              </w:rPr>
              <w:t>0-8</w:t>
            </w:r>
            <w:r>
              <w:rPr>
                <w:rFonts w:hint="eastAsia" w:ascii="宋体" w:hAnsi="宋体" w:eastAsia="宋体" w:cs="宋体"/>
                <w:color w:val="auto"/>
                <w:sz w:val="21"/>
                <w:szCs w:val="21"/>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不提供方案不得分。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8</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6-8</w:t>
            </w:r>
            <w:r>
              <w:rPr>
                <w:rFonts w:hint="eastAsia" w:ascii="宋体" w:hAnsi="宋体" w:eastAsia="宋体" w:cs="宋体"/>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安全防护制度可行性较低，得0-3分。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noWrap w:val="0"/>
            <w:vAlign w:val="center"/>
          </w:tcPr>
          <w:p>
            <w:pPr>
              <w:snapToGrid w:val="0"/>
              <w:ind w:left="-2" w:leftChars="-1"/>
              <w:jc w:val="center"/>
              <w:rPr>
                <w:rFonts w:hint="eastAsia" w:ascii="宋体" w:hAnsi="宋体" w:eastAsia="宋体" w:cs="宋体"/>
                <w:color w:val="auto"/>
                <w:szCs w:val="21"/>
                <w:highlight w:val="none"/>
              </w:rPr>
            </w:pPr>
          </w:p>
        </w:tc>
        <w:tc>
          <w:tcPr>
            <w:tcW w:w="1406"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noWrap w:val="0"/>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7</w:t>
            </w:r>
            <w:r>
              <w:rPr>
                <w:rFonts w:hint="eastAsia" w:ascii="宋体" w:hAnsi="宋体" w:eastAsia="宋体" w:cs="宋体"/>
                <w:color w:val="auto"/>
                <w:spacing w:val="-5"/>
                <w:szCs w:val="21"/>
                <w:highlight w:val="none"/>
              </w:rPr>
              <w:t>分</w:t>
            </w:r>
          </w:p>
        </w:tc>
        <w:tc>
          <w:tcPr>
            <w:tcW w:w="9797" w:type="dxa"/>
            <w:noWrap w:val="0"/>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5-7</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3-4</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3、差：项目质量措施保证目标不明确、方案简单、可行性较低，质量承诺表述不够清晰、不够合理，得0-2分。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noWrap w:val="0"/>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noWrap w:val="0"/>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noWrap w:val="0"/>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30分</w:t>
            </w:r>
          </w:p>
        </w:tc>
        <w:tc>
          <w:tcPr>
            <w:tcW w:w="9797" w:type="dxa"/>
            <w:noWrap w:val="0"/>
            <w:vAlign w:val="top"/>
          </w:tcPr>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2"/>
              <w:numPr>
                <w:ilvl w:val="0"/>
                <w:numId w:val="0"/>
              </w:numPr>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1</w:t>
            </w: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w:t>
            </w:r>
          </w:p>
          <w:p>
            <w:pPr>
              <w:pStyle w:val="2"/>
              <w:numPr>
                <w:ilvl w:val="0"/>
                <w:numId w:val="0"/>
              </w:numPr>
              <w:rPr>
                <w:rFonts w:hint="eastAsia" w:ascii="宋体" w:hAnsi="宋体" w:eastAsia="宋体" w:cs="宋体"/>
                <w:color w:val="auto"/>
                <w:highlight w:val="none"/>
                <w:lang w:val="en-US" w:eastAsia="zh-CN"/>
              </w:rPr>
            </w:pPr>
            <w:r>
              <w:rPr>
                <w:rFonts w:hint="eastAsia" w:hAnsi="宋体" w:cs="宋体"/>
                <w:color w:val="auto"/>
                <w:highlight w:val="none"/>
                <w:lang w:val="en-US" w:eastAsia="zh-CN"/>
              </w:rPr>
              <w:t>2</w:t>
            </w: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0-[（报价-基准价）/基准价]×100×1</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0-[（基准价-报价）/基准价]×100×0.5</w:t>
            </w:r>
          </w:p>
        </w:tc>
        <w:tc>
          <w:tcPr>
            <w:tcW w:w="240" w:type="dxa"/>
            <w:noWrap w:val="0"/>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noWrap w:val="0"/>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noWrap w:val="0"/>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noWrap w:val="0"/>
            <w:vAlign w:val="center"/>
          </w:tcPr>
          <w:p>
            <w:pPr>
              <w:spacing w:line="220" w:lineRule="exact"/>
              <w:ind w:left="-2" w:leftChars="-1"/>
              <w:rPr>
                <w:rFonts w:hint="eastAsia" w:ascii="宋体" w:hAnsi="宋体" w:eastAsia="宋体" w:cs="宋体"/>
                <w:color w:val="auto"/>
                <w:sz w:val="21"/>
                <w:szCs w:val="21"/>
                <w:highlight w:val="none"/>
              </w:rPr>
            </w:pPr>
          </w:p>
        </w:tc>
        <w:tc>
          <w:tcPr>
            <w:tcW w:w="240" w:type="dxa"/>
            <w:noWrap w:val="0"/>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广州南沙经发投资有限公司</w:t>
      </w:r>
      <w:r>
        <w:rPr>
          <w:rFonts w:hint="eastAsia" w:ascii="宋体" w:hAnsi="宋体" w:eastAsia="宋体"/>
          <w:color w:val="auto"/>
          <w:sz w:val="24"/>
          <w:szCs w:val="24"/>
          <w:highlight w:val="none"/>
          <w:u w:val="single"/>
        </w:rPr>
        <w:t xml:space="preserve">、广州南沙建设维护管理有限公司 </w:t>
      </w:r>
    </w:p>
    <w:p>
      <w:pPr>
        <w:pStyle w:val="36"/>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南沙联检大楼（新）房屋结构安全性及抗震鉴定</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，本公司保证上述单位不参与本次投标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1EA18926"/>
    <w:multiLevelType w:val="singleLevel"/>
    <w:tmpl w:val="1EA18926"/>
    <w:lvl w:ilvl="0" w:tentative="0">
      <w:start w:val="1"/>
      <w:numFmt w:val="decimal"/>
      <w:suff w:val="nothing"/>
      <w:lvlText w:val="%1、"/>
      <w:lvlJc w:val="left"/>
    </w:lvl>
  </w:abstractNum>
  <w:abstractNum w:abstractNumId="3">
    <w:nsid w:val="635E8A97"/>
    <w:multiLevelType w:val="singleLevel"/>
    <w:tmpl w:val="635E8A97"/>
    <w:lvl w:ilvl="0" w:tentative="0">
      <w:start w:val="1"/>
      <w:numFmt w:val="decimal"/>
      <w:suff w:val="nothing"/>
      <w:lvlText w:val="%1、"/>
      <w:lvlJc w:val="left"/>
    </w:lvl>
  </w:abstractNum>
  <w:abstractNum w:abstractNumId="4">
    <w:nsid w:val="71BD1A65"/>
    <w:multiLevelType w:val="singleLevel"/>
    <w:tmpl w:val="71BD1A65"/>
    <w:lvl w:ilvl="0" w:tentative="0">
      <w:start w:val="1"/>
      <w:numFmt w:val="chineseCounting"/>
      <w:suff w:val="nothing"/>
      <w:lvlText w:val="%1、"/>
      <w:lvlJc w:val="left"/>
      <w:rPr>
        <w:rFonts w:hint="eastAsia"/>
      </w:rPr>
    </w:lvl>
  </w:abstractNum>
  <w:abstractNum w:abstractNumId="5">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WY1ZjliYzFmMGUxYjBmY2U5ZDZlZjE2ZGI3ZDYxMzU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471C19"/>
    <w:rsid w:val="025A13E2"/>
    <w:rsid w:val="02E9680F"/>
    <w:rsid w:val="02F7533D"/>
    <w:rsid w:val="030457ED"/>
    <w:rsid w:val="03562994"/>
    <w:rsid w:val="03CB6D70"/>
    <w:rsid w:val="04364A4F"/>
    <w:rsid w:val="04376975"/>
    <w:rsid w:val="04435BE0"/>
    <w:rsid w:val="044C08C6"/>
    <w:rsid w:val="04E40895"/>
    <w:rsid w:val="051B7598"/>
    <w:rsid w:val="052E78DA"/>
    <w:rsid w:val="059A4101"/>
    <w:rsid w:val="05A7208B"/>
    <w:rsid w:val="06FD0DD2"/>
    <w:rsid w:val="079A3CDA"/>
    <w:rsid w:val="07F66A4C"/>
    <w:rsid w:val="083B43B1"/>
    <w:rsid w:val="08757A2C"/>
    <w:rsid w:val="08A9464F"/>
    <w:rsid w:val="08D505E6"/>
    <w:rsid w:val="08E03A6C"/>
    <w:rsid w:val="09062DA7"/>
    <w:rsid w:val="09577D3C"/>
    <w:rsid w:val="0967478B"/>
    <w:rsid w:val="09A667E8"/>
    <w:rsid w:val="0A31358E"/>
    <w:rsid w:val="0A621C44"/>
    <w:rsid w:val="0B372B92"/>
    <w:rsid w:val="0BFF40FB"/>
    <w:rsid w:val="0C855B7E"/>
    <w:rsid w:val="0C87037B"/>
    <w:rsid w:val="0CF74903"/>
    <w:rsid w:val="0D8D4779"/>
    <w:rsid w:val="0E1B10A8"/>
    <w:rsid w:val="0E80564C"/>
    <w:rsid w:val="0E8C2C83"/>
    <w:rsid w:val="0EA03B8A"/>
    <w:rsid w:val="0EAC0C18"/>
    <w:rsid w:val="0EB25F9A"/>
    <w:rsid w:val="0ED8481A"/>
    <w:rsid w:val="0F263AB3"/>
    <w:rsid w:val="0F6A63E1"/>
    <w:rsid w:val="0F8D0176"/>
    <w:rsid w:val="0FD73768"/>
    <w:rsid w:val="10A4638E"/>
    <w:rsid w:val="10AB649B"/>
    <w:rsid w:val="10D83B3D"/>
    <w:rsid w:val="11135DC8"/>
    <w:rsid w:val="116958E7"/>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4725C9B"/>
    <w:rsid w:val="15B036FB"/>
    <w:rsid w:val="15E228F6"/>
    <w:rsid w:val="16007AF5"/>
    <w:rsid w:val="17463991"/>
    <w:rsid w:val="179E3273"/>
    <w:rsid w:val="17E977C8"/>
    <w:rsid w:val="182C4B8E"/>
    <w:rsid w:val="1873680D"/>
    <w:rsid w:val="18E67433"/>
    <w:rsid w:val="18F12637"/>
    <w:rsid w:val="19095239"/>
    <w:rsid w:val="19886DAA"/>
    <w:rsid w:val="19A846E9"/>
    <w:rsid w:val="19BE3F0C"/>
    <w:rsid w:val="1A5A3C35"/>
    <w:rsid w:val="1A6525DA"/>
    <w:rsid w:val="1AB46DAB"/>
    <w:rsid w:val="1B612DA1"/>
    <w:rsid w:val="1B6C2995"/>
    <w:rsid w:val="1BB630ED"/>
    <w:rsid w:val="1BC44893"/>
    <w:rsid w:val="1BE136FF"/>
    <w:rsid w:val="1C05708F"/>
    <w:rsid w:val="1C307374"/>
    <w:rsid w:val="1C9203A6"/>
    <w:rsid w:val="1E032835"/>
    <w:rsid w:val="1E382495"/>
    <w:rsid w:val="1E560BB7"/>
    <w:rsid w:val="1E562810"/>
    <w:rsid w:val="1EB63404"/>
    <w:rsid w:val="1EBD45C4"/>
    <w:rsid w:val="1F1C5732"/>
    <w:rsid w:val="1F584BD1"/>
    <w:rsid w:val="1F7A6193"/>
    <w:rsid w:val="205D447F"/>
    <w:rsid w:val="206E043A"/>
    <w:rsid w:val="20AD4C4C"/>
    <w:rsid w:val="21424D60"/>
    <w:rsid w:val="215321ED"/>
    <w:rsid w:val="2234120F"/>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441A80"/>
    <w:rsid w:val="2865301D"/>
    <w:rsid w:val="288A6ABA"/>
    <w:rsid w:val="28C86C87"/>
    <w:rsid w:val="29051210"/>
    <w:rsid w:val="296119D7"/>
    <w:rsid w:val="2A446D64"/>
    <w:rsid w:val="2A97100B"/>
    <w:rsid w:val="2AF4778E"/>
    <w:rsid w:val="2AFF2542"/>
    <w:rsid w:val="2B401296"/>
    <w:rsid w:val="2B5D2502"/>
    <w:rsid w:val="2B7B3A0B"/>
    <w:rsid w:val="2BAE6875"/>
    <w:rsid w:val="2BEC17AE"/>
    <w:rsid w:val="2C0B6D4E"/>
    <w:rsid w:val="2C1B0D4A"/>
    <w:rsid w:val="2C5357E2"/>
    <w:rsid w:val="2C842E83"/>
    <w:rsid w:val="2CBE4B02"/>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B57180"/>
    <w:rsid w:val="33113670"/>
    <w:rsid w:val="3411535B"/>
    <w:rsid w:val="34935BA4"/>
    <w:rsid w:val="34A264CA"/>
    <w:rsid w:val="34B14942"/>
    <w:rsid w:val="35830B03"/>
    <w:rsid w:val="3700775A"/>
    <w:rsid w:val="37A26BD4"/>
    <w:rsid w:val="37A33759"/>
    <w:rsid w:val="37AE7FE3"/>
    <w:rsid w:val="37B20151"/>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13E59"/>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755126"/>
    <w:rsid w:val="44800368"/>
    <w:rsid w:val="44E811C0"/>
    <w:rsid w:val="455C29D7"/>
    <w:rsid w:val="457C68A6"/>
    <w:rsid w:val="45D53B6C"/>
    <w:rsid w:val="45E74C1B"/>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6579E4"/>
    <w:rsid w:val="4C81677F"/>
    <w:rsid w:val="4D195C1E"/>
    <w:rsid w:val="4D904DD7"/>
    <w:rsid w:val="4D9C287D"/>
    <w:rsid w:val="4DC04FA6"/>
    <w:rsid w:val="4DC53F66"/>
    <w:rsid w:val="4E2A0E48"/>
    <w:rsid w:val="4FC91A1A"/>
    <w:rsid w:val="5049448C"/>
    <w:rsid w:val="50D9042C"/>
    <w:rsid w:val="50DB6247"/>
    <w:rsid w:val="51531E87"/>
    <w:rsid w:val="51552F81"/>
    <w:rsid w:val="51AB2104"/>
    <w:rsid w:val="525A7F6F"/>
    <w:rsid w:val="52760C06"/>
    <w:rsid w:val="52A35200"/>
    <w:rsid w:val="52C06024"/>
    <w:rsid w:val="52C2143B"/>
    <w:rsid w:val="530E35F9"/>
    <w:rsid w:val="531A11E6"/>
    <w:rsid w:val="53427976"/>
    <w:rsid w:val="53A07C03"/>
    <w:rsid w:val="53A63423"/>
    <w:rsid w:val="53B638D1"/>
    <w:rsid w:val="54386D63"/>
    <w:rsid w:val="54A36172"/>
    <w:rsid w:val="54BC0EE8"/>
    <w:rsid w:val="554B6D60"/>
    <w:rsid w:val="55592415"/>
    <w:rsid w:val="55D122F6"/>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BFC593F"/>
    <w:rsid w:val="5C78171D"/>
    <w:rsid w:val="5C9B134E"/>
    <w:rsid w:val="5CF77B24"/>
    <w:rsid w:val="5D5E6B65"/>
    <w:rsid w:val="5DAA1580"/>
    <w:rsid w:val="5DF14932"/>
    <w:rsid w:val="5DFF04E8"/>
    <w:rsid w:val="5E1A6FB5"/>
    <w:rsid w:val="5E7A3CE2"/>
    <w:rsid w:val="5E960581"/>
    <w:rsid w:val="5F355496"/>
    <w:rsid w:val="5F8349F8"/>
    <w:rsid w:val="5F865CD7"/>
    <w:rsid w:val="5F925D77"/>
    <w:rsid w:val="5FDC4484"/>
    <w:rsid w:val="60591C0B"/>
    <w:rsid w:val="60BA0556"/>
    <w:rsid w:val="60F61E20"/>
    <w:rsid w:val="618B1EF3"/>
    <w:rsid w:val="61A7533B"/>
    <w:rsid w:val="621244D5"/>
    <w:rsid w:val="62B2296D"/>
    <w:rsid w:val="62B247EF"/>
    <w:rsid w:val="636147EE"/>
    <w:rsid w:val="63DB6B9E"/>
    <w:rsid w:val="65B25CA0"/>
    <w:rsid w:val="65B441A4"/>
    <w:rsid w:val="65D53F00"/>
    <w:rsid w:val="65D8147F"/>
    <w:rsid w:val="66373494"/>
    <w:rsid w:val="663E17E3"/>
    <w:rsid w:val="66591B82"/>
    <w:rsid w:val="66593A91"/>
    <w:rsid w:val="67B101D9"/>
    <w:rsid w:val="67D46774"/>
    <w:rsid w:val="68550B65"/>
    <w:rsid w:val="6898637C"/>
    <w:rsid w:val="68B16D7B"/>
    <w:rsid w:val="68BA7003"/>
    <w:rsid w:val="691C25EA"/>
    <w:rsid w:val="698555C7"/>
    <w:rsid w:val="6B601D2D"/>
    <w:rsid w:val="6BF6265F"/>
    <w:rsid w:val="6C281E78"/>
    <w:rsid w:val="6C307E68"/>
    <w:rsid w:val="6C3A341E"/>
    <w:rsid w:val="6C920572"/>
    <w:rsid w:val="6DB227E4"/>
    <w:rsid w:val="6DBE1759"/>
    <w:rsid w:val="6DC31ECB"/>
    <w:rsid w:val="6E307289"/>
    <w:rsid w:val="6E656845"/>
    <w:rsid w:val="6EF70BC7"/>
    <w:rsid w:val="6F2A4AF9"/>
    <w:rsid w:val="6F471F5D"/>
    <w:rsid w:val="6F563B40"/>
    <w:rsid w:val="6F891280"/>
    <w:rsid w:val="6F8E74DB"/>
    <w:rsid w:val="70727FF1"/>
    <w:rsid w:val="70836CF8"/>
    <w:rsid w:val="70CF07C8"/>
    <w:rsid w:val="70EE591B"/>
    <w:rsid w:val="710F157A"/>
    <w:rsid w:val="71840FD7"/>
    <w:rsid w:val="718C3480"/>
    <w:rsid w:val="721D56A4"/>
    <w:rsid w:val="7264529E"/>
    <w:rsid w:val="72987FCC"/>
    <w:rsid w:val="72BF7C4E"/>
    <w:rsid w:val="72F3401B"/>
    <w:rsid w:val="731416B4"/>
    <w:rsid w:val="736C262E"/>
    <w:rsid w:val="73712518"/>
    <w:rsid w:val="738A0204"/>
    <w:rsid w:val="738E7AB2"/>
    <w:rsid w:val="73AA787E"/>
    <w:rsid w:val="73EF0074"/>
    <w:rsid w:val="74035919"/>
    <w:rsid w:val="74624F7D"/>
    <w:rsid w:val="74B72A06"/>
    <w:rsid w:val="7546516B"/>
    <w:rsid w:val="75AF555B"/>
    <w:rsid w:val="763204BA"/>
    <w:rsid w:val="767D2F83"/>
    <w:rsid w:val="76F3488A"/>
    <w:rsid w:val="77281C38"/>
    <w:rsid w:val="7741229E"/>
    <w:rsid w:val="776E0790"/>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420907"/>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3"/>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Char"/>
    <w:basedOn w:val="15"/>
    <w:link w:val="11"/>
    <w:qFormat/>
    <w:uiPriority w:val="0"/>
    <w:rPr>
      <w:rFonts w:asciiTheme="minorHAnsi" w:hAnsiTheme="minorHAnsi" w:eastAsiaTheme="minorEastAsia" w:cstheme="minorBidi"/>
      <w:kern w:val="2"/>
      <w:sz w:val="18"/>
      <w:szCs w:val="18"/>
    </w:rPr>
  </w:style>
  <w:style w:type="character" w:customStyle="1" w:styleId="30">
    <w:name w:val="页脚 Char"/>
    <w:basedOn w:val="15"/>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2"/>
    <w:qFormat/>
    <w:uiPriority w:val="0"/>
    <w:rPr>
      <w:rFonts w:ascii="宋体" w:hAnsi="Courier New"/>
      <w:kern w:val="2"/>
      <w:sz w:val="21"/>
      <w:szCs w:val="21"/>
    </w:rPr>
  </w:style>
  <w:style w:type="character" w:customStyle="1" w:styleId="34">
    <w:name w:val="正文首行缩进 Char"/>
    <w:basedOn w:val="15"/>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16098</Words>
  <Characters>16971</Characters>
  <Lines>131</Lines>
  <Paragraphs>37</Paragraphs>
  <TotalTime>9</TotalTime>
  <ScaleCrop>false</ScaleCrop>
  <LinksUpToDate>false</LinksUpToDate>
  <CharactersWithSpaces>18050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2023-11-03T09:03:13Z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6F8842E353744852BDC4E3C1A0BD38D3</vt:lpwstr>
  </property>
</Properties>
</file>