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 xml:space="preserve">  </w:t>
      </w:r>
    </w:p>
    <w:p>
      <w:pPr>
        <w:ind w:firstLine="1325" w:firstLineChars="300"/>
        <w:rPr>
          <w:rFonts w:hint="eastAsia" w:ascii="宋体" w:hAnsi="宋体" w:eastAsia="宋体" w:cs="宋体"/>
          <w:color w:val="auto"/>
          <w:sz w:val="44"/>
          <w:szCs w:val="44"/>
          <w:highlight w:val="none"/>
        </w:rPr>
      </w:pPr>
      <w:r>
        <w:rPr>
          <w:rFonts w:hint="eastAsia" w:ascii="宋体" w:hAnsi="宋体" w:eastAsia="宋体" w:cs="宋体"/>
          <w:b/>
          <w:bCs/>
          <w:sz w:val="44"/>
          <w:szCs w:val="44"/>
          <w:highlight w:val="none"/>
        </w:rPr>
        <w:t>天后宫景区外园区域用电增容项目</w:t>
      </w:r>
      <w:r>
        <w:rPr>
          <w:rFonts w:hint="eastAsia" w:ascii="宋体" w:hAnsi="宋体" w:eastAsia="宋体" w:cs="宋体"/>
          <w:b/>
          <w:bCs/>
          <w:sz w:val="44"/>
          <w:szCs w:val="44"/>
          <w:highlight w:val="none"/>
          <w:lang w:val="en-US" w:eastAsia="zh-CN"/>
        </w:rPr>
        <w:t>施工</w:t>
      </w:r>
      <w:r>
        <w:rPr>
          <w:rFonts w:hint="eastAsia" w:ascii="宋体" w:hAnsi="宋体" w:eastAsia="宋体" w:cs="宋体"/>
          <w:color w:val="auto"/>
          <w:sz w:val="44"/>
          <w:szCs w:val="44"/>
          <w:highlight w:val="none"/>
        </w:rPr>
        <w:t xml:space="preserve"> </w:t>
      </w:r>
    </w:p>
    <w:p>
      <w:pPr>
        <w:jc w:val="center"/>
        <w:rPr>
          <w:rFonts w:hint="eastAsia" w:ascii="楷体" w:hAnsi="楷体" w:eastAsia="楷体" w:cs="楷体"/>
          <w:b/>
          <w:color w:val="auto"/>
          <w:sz w:val="110"/>
          <w:szCs w:val="110"/>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hint="eastAsia" w:ascii="宋体" w:hAnsi="宋体" w:eastAsia="宋体" w:cs="宋体"/>
          <w:color w:val="auto"/>
          <w:sz w:val="32"/>
          <w:szCs w:val="32"/>
          <w:highlight w:val="none"/>
          <w:lang w:val="en-US" w:eastAsia="zh-CN"/>
        </w:rPr>
      </w:pP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  期：2023年</w:t>
      </w:r>
      <w:r>
        <w:rPr>
          <w:rFonts w:hint="eastAsia" w:ascii="宋体" w:hAnsi="宋体" w:eastAsia="宋体" w:cs="宋体"/>
          <w:b/>
          <w:color w:val="auto"/>
          <w:sz w:val="32"/>
          <w:szCs w:val="32"/>
          <w:highlight w:val="none"/>
          <w:lang w:val="en-US" w:eastAsia="zh-CN"/>
        </w:rPr>
        <w:t>11</w:t>
      </w:r>
      <w:r>
        <w:rPr>
          <w:rFonts w:hint="eastAsia" w:ascii="宋体" w:hAnsi="宋体" w:eastAsia="宋体" w:cs="宋体"/>
          <w:b/>
          <w:color w:val="auto"/>
          <w:sz w:val="32"/>
          <w:szCs w:val="32"/>
          <w:highlight w:val="none"/>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_Toc14288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第1章 投标须知及前附表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_Toc14288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_Toc26275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第2章 项目需求书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_Toc26275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_Toc8227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第3章 投标格式文件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_Toc8227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_Toc3815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第4章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_Toc3815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_Toc26946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第5章 附件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_Toc26946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rPr>
              <w:color w:val="auto"/>
              <w:highlight w:val="none"/>
            </w:rPr>
          </w:pPr>
          <w:r>
            <w:rPr>
              <w:rFonts w:hint="eastAsia" w:ascii="宋体" w:hAnsi="宋体" w:eastAsia="宋体" w:cs="宋体"/>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bookmarkStart w:id="50" w:name="_GoBack"/>
      <w:bookmarkEnd w:id="50"/>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bookmarkStart w:id="4" w:name="_Toc14288"/>
      <w:r>
        <w:rPr>
          <w:rFonts w:hint="eastAsia" w:ascii="黑体" w:hAnsi="宋体" w:cs="黑体"/>
          <w:b/>
          <w:color w:val="auto"/>
          <w:kern w:val="44"/>
          <w:sz w:val="44"/>
          <w:szCs w:val="44"/>
          <w:highlight w:val="none"/>
        </w:rPr>
        <w:t>第1章 投标须知及前附表</w:t>
      </w:r>
      <w:bookmarkEnd w:id="2"/>
      <w:bookmarkEnd w:id="3"/>
      <w:bookmarkEnd w:id="4"/>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天后宫景区外园区域用电增容项目</w:t>
            </w:r>
            <w:r>
              <w:rPr>
                <w:rFonts w:hint="eastAsia" w:ascii="宋体" w:hAnsi="宋体" w:cs="宋体"/>
                <w:color w:val="auto"/>
                <w:highlight w:val="none"/>
                <w:lang w:val="en-US" w:eastAsia="zh-CN"/>
              </w:rPr>
              <w:t>施工</w:t>
            </w:r>
          </w:p>
        </w:tc>
      </w:tr>
      <w:tr>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广东省广州市南沙区</w:t>
            </w:r>
            <w:r>
              <w:rPr>
                <w:rFonts w:hint="eastAsia" w:ascii="宋体" w:hAnsi="宋体" w:eastAsia="宋体" w:cs="宋体"/>
                <w:color w:val="auto"/>
                <w:highlight w:val="none"/>
                <w:u w:val="none"/>
                <w:lang w:eastAsia="zh-CN"/>
              </w:rPr>
              <w:t>天后宫</w:t>
            </w:r>
            <w:r>
              <w:rPr>
                <w:rFonts w:hint="eastAsia" w:ascii="宋体" w:hAnsi="宋体" w:eastAsia="宋体" w:cs="宋体"/>
                <w:color w:val="auto"/>
                <w:szCs w:val="21"/>
                <w:highlight w:val="none"/>
                <w:lang w:eastAsia="zh-CN"/>
              </w:rPr>
              <w:t>景区</w:t>
            </w:r>
            <w:r>
              <w:rPr>
                <w:rFonts w:hint="eastAsia" w:ascii="宋体" w:hAnsi="宋体" w:eastAsia="宋体" w:cs="宋体"/>
                <w:color w:val="auto"/>
                <w:szCs w:val="21"/>
                <w:highlight w:val="none"/>
                <w:lang w:val="en-US" w:eastAsia="zh-CN"/>
              </w:rPr>
              <w:t>内</w:t>
            </w:r>
          </w:p>
        </w:tc>
      </w:tr>
      <w:tr>
        <w:tblPrEx>
          <w:tblCellMar>
            <w:top w:w="0" w:type="dxa"/>
            <w:left w:w="108" w:type="dxa"/>
            <w:bottom w:w="0" w:type="dxa"/>
            <w:right w:w="108" w:type="dxa"/>
          </w:tblCellMar>
        </w:tblPrEx>
        <w:trPr>
          <w:trHeight w:val="90"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ind w:firstLine="0" w:firstLineChars="0"/>
              <w:rPr>
                <w:rFonts w:hint="eastAsia" w:ascii="宋体" w:hAnsi="宋体" w:eastAsia="宋体" w:cs="宋体"/>
                <w:color w:val="auto"/>
                <w:szCs w:val="21"/>
                <w:highlight w:val="none"/>
                <w:u w:val="none"/>
              </w:rPr>
            </w:pPr>
            <w:r>
              <w:rPr>
                <w:rFonts w:hint="eastAsia" w:ascii="宋体" w:hAnsi="宋体" w:eastAsia="宋体" w:cs="宋体"/>
                <w:bCs w:val="0"/>
                <w:color w:val="auto"/>
                <w:kern w:val="2"/>
                <w:sz w:val="21"/>
                <w:szCs w:val="21"/>
                <w:highlight w:val="none"/>
                <w:u w:val="none"/>
                <w:lang w:eastAsia="zh-CN"/>
              </w:rPr>
              <w:t>为完善景区基础配套，助力南沙区全域游示范基地创建，对天后宫景区外园区域用电增容800KVA。</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工程投资</w:t>
            </w:r>
            <w:r>
              <w:rPr>
                <w:rFonts w:hint="eastAsia" w:ascii="宋体" w:hAnsi="宋体" w:eastAsia="宋体" w:cs="宋体"/>
                <w:color w:val="auto"/>
                <w:highlight w:val="none"/>
              </w:rPr>
              <w:t>约</w:t>
            </w:r>
            <w:r>
              <w:rPr>
                <w:rFonts w:hint="eastAsia" w:ascii="宋体" w:hAnsi="宋体" w:cs="宋体"/>
                <w:color w:val="auto"/>
                <w:highlight w:val="none"/>
                <w:lang w:val="en-US" w:eastAsia="zh-CN"/>
              </w:rPr>
              <w:t>67.48</w:t>
            </w:r>
            <w:r>
              <w:rPr>
                <w:rFonts w:hint="eastAsia" w:ascii="宋体" w:hAnsi="宋体" w:eastAsia="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3"/>
              <w:widowControl/>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eastAsia="zh-CN"/>
              </w:rPr>
              <w:t>项目建设内容包括但不限于：建造箱变基础、电缆沟，安装箱变，铺设高压电缆，协助申报停送电计划、报装等，最终以实际工程量清单和图纸为准。投标人需按招标文件、图纸规范等要求进行施工，如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节点</w:t>
            </w: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 w:val="21"/>
                <w:szCs w:val="21"/>
                <w:highlight w:val="none"/>
                <w:lang w:val="en-US" w:eastAsia="zh-CN"/>
              </w:rPr>
              <w:t>2023年12月31日前验收合格送电</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b w:val="0"/>
                <w:bCs/>
                <w:color w:val="auto"/>
                <w:sz w:val="21"/>
                <w:szCs w:val="21"/>
                <w:highlight w:val="none"/>
              </w:rPr>
              <w:t>投标人具有</w:t>
            </w:r>
            <w:r>
              <w:rPr>
                <w:rFonts w:hint="eastAsia" w:ascii="宋体" w:hAnsi="宋体" w:eastAsia="宋体" w:cs="宋体"/>
                <w:bCs/>
                <w:color w:val="auto"/>
                <w:sz w:val="21"/>
                <w:szCs w:val="21"/>
                <w:highlight w:val="none"/>
                <w:u w:val="none"/>
                <w:lang w:val="en-US" w:eastAsia="zh-CN"/>
              </w:rPr>
              <w:t>电力</w:t>
            </w:r>
            <w:r>
              <w:rPr>
                <w:rFonts w:hint="eastAsia" w:ascii="宋体" w:hAnsi="宋体" w:eastAsia="宋体" w:cs="宋体"/>
                <w:bCs/>
                <w:color w:val="auto"/>
                <w:sz w:val="21"/>
                <w:szCs w:val="21"/>
                <w:highlight w:val="none"/>
                <w:u w:val="none"/>
              </w:rPr>
              <w:t>工程</w:t>
            </w:r>
            <w:r>
              <w:rPr>
                <w:rFonts w:hint="eastAsia" w:ascii="宋体" w:hAnsi="宋体" w:eastAsia="宋体" w:cs="宋体"/>
                <w:bCs/>
                <w:color w:val="auto"/>
                <w:sz w:val="21"/>
                <w:szCs w:val="21"/>
                <w:highlight w:val="none"/>
                <w:u w:val="none"/>
                <w:lang w:val="en-US" w:eastAsia="zh-CN"/>
              </w:rPr>
              <w:t>施工总</w:t>
            </w:r>
            <w:r>
              <w:rPr>
                <w:rFonts w:hint="eastAsia" w:ascii="宋体" w:hAnsi="宋体" w:eastAsia="宋体" w:cs="宋体"/>
                <w:bCs/>
                <w:color w:val="auto"/>
                <w:sz w:val="21"/>
                <w:szCs w:val="21"/>
                <w:highlight w:val="none"/>
                <w:u w:val="none"/>
              </w:rPr>
              <w:t>承包</w:t>
            </w:r>
            <w:r>
              <w:rPr>
                <w:rFonts w:hint="eastAsia" w:ascii="宋体" w:hAnsi="宋体" w:eastAsia="宋体" w:cs="宋体"/>
                <w:bCs/>
                <w:color w:val="auto"/>
                <w:sz w:val="21"/>
                <w:szCs w:val="21"/>
                <w:highlight w:val="none"/>
                <w:u w:val="none"/>
                <w:lang w:val="en-US" w:eastAsia="zh-CN"/>
              </w:rPr>
              <w:t>三</w:t>
            </w:r>
            <w:r>
              <w:rPr>
                <w:rFonts w:hint="eastAsia" w:ascii="宋体" w:hAnsi="宋体" w:eastAsia="宋体" w:cs="宋体"/>
                <w:bCs/>
                <w:color w:val="auto"/>
                <w:sz w:val="21"/>
                <w:szCs w:val="21"/>
                <w:highlight w:val="none"/>
                <w:u w:val="none"/>
              </w:rPr>
              <w:t>级或以上资质（</w:t>
            </w:r>
            <w:r>
              <w:rPr>
                <w:rFonts w:hint="eastAsia" w:ascii="宋体" w:hAnsi="宋体" w:eastAsia="宋体" w:cs="宋体"/>
                <w:bCs/>
                <w:color w:val="auto"/>
                <w:sz w:val="21"/>
                <w:szCs w:val="21"/>
                <w:highlight w:val="none"/>
                <w:u w:val="none"/>
                <w:lang w:val="en-US" w:eastAsia="zh-CN"/>
              </w:rPr>
              <w:t>或输变电工程专业承包三级或以上资质</w:t>
            </w:r>
            <w:r>
              <w:rPr>
                <w:rFonts w:hint="eastAsia" w:ascii="宋体" w:hAnsi="宋体" w:eastAsia="宋体" w:cs="宋体"/>
                <w:bCs/>
                <w:color w:val="auto"/>
                <w:sz w:val="21"/>
                <w:szCs w:val="21"/>
                <w:highlight w:val="none"/>
                <w:u w:val="none"/>
              </w:rPr>
              <w:t>）</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具有</w:t>
            </w:r>
            <w:r>
              <w:rPr>
                <w:rFonts w:hint="eastAsia" w:ascii="宋体" w:hAnsi="宋体" w:eastAsia="宋体" w:cs="宋体"/>
                <w:bCs/>
                <w:color w:val="auto"/>
                <w:sz w:val="21"/>
                <w:szCs w:val="21"/>
                <w:highlight w:val="none"/>
                <w:u w:val="none"/>
              </w:rPr>
              <w:t>《承装（修、试）电力设施许可证》承装类五级或以上资质并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r>
              <w:rPr>
                <w:rFonts w:hint="eastAsia" w:ascii="宋体" w:hAnsi="宋体" w:cs="宋体"/>
                <w:bCs/>
                <w:color w:val="auto"/>
                <w:sz w:val="21"/>
                <w:szCs w:val="21"/>
                <w:highlight w:val="none"/>
                <w:u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pageBreakBefore w:val="0"/>
              <w:widowControl/>
              <w:numPr>
                <w:ilvl w:val="-1"/>
                <w:numId w:val="0"/>
              </w:numPr>
              <w:kinsoku/>
              <w:wordWrap/>
              <w:overflowPunct/>
              <w:bidi w:val="0"/>
              <w:spacing w:line="360" w:lineRule="auto"/>
              <w:ind w:left="0" w:right="0" w:firstLine="0" w:firstLine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bCs/>
                <w:color w:val="auto"/>
                <w:sz w:val="21"/>
                <w:szCs w:val="21"/>
                <w:highlight w:val="none"/>
                <w:u w:val="none"/>
              </w:rPr>
              <w:t>机电工程专业二级（或以上）注册建造师，且在投标人单位注册</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rPr>
              <w:t>且持有在有效期内的项目负责人安全生产考核合格证（B类）或建筑施工企业项目负责人安全生产考核合格证书</w:t>
            </w:r>
            <w:r>
              <w:rPr>
                <w:rFonts w:hint="eastAsia" w:ascii="宋体" w:hAnsi="宋体" w:eastAsia="宋体" w:cs="宋体"/>
                <w:b w:val="0"/>
                <w:bCs/>
                <w:color w:val="auto"/>
                <w:sz w:val="21"/>
                <w:szCs w:val="21"/>
                <w:highlight w:val="none"/>
                <w:u w:val="none"/>
              </w:rPr>
              <w:t>。</w:t>
            </w:r>
          </w:p>
          <w:p>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b w:val="0"/>
                <w:bCs/>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617103.15</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（大写：人民币陆拾壹万柒仟壹佰零叁元壹角伍分），其中，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¥14722.83</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522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highlight w:val="none"/>
              </w:rPr>
            </w:pPr>
            <w:r>
              <w:rPr>
                <w:rFonts w:hint="eastAsia"/>
                <w:highlight w:val="none"/>
              </w:rPr>
              <w:t>1、金额：人民币壹万元。</w:t>
            </w:r>
          </w:p>
          <w:p>
            <w:pPr>
              <w:numPr>
                <w:ilvl w:val="-1"/>
                <w:numId w:val="0"/>
              </w:numPr>
              <w:adjustRightInd w:val="0"/>
              <w:snapToGrid w:val="0"/>
              <w:spacing w:line="360" w:lineRule="auto"/>
              <w:rPr>
                <w:rFonts w:hint="eastAsia"/>
                <w:highlight w:val="none"/>
              </w:rPr>
            </w:pPr>
            <w:r>
              <w:rPr>
                <w:rFonts w:hint="eastAsia"/>
                <w:highlight w:val="none"/>
              </w:rPr>
              <w:t>2、缴纳方式：银行转账。</w:t>
            </w:r>
          </w:p>
          <w:p>
            <w:pPr>
              <w:numPr>
                <w:ilvl w:val="-1"/>
                <w:numId w:val="0"/>
              </w:numPr>
              <w:adjustRightInd w:val="0"/>
              <w:snapToGrid w:val="0"/>
              <w:spacing w:line="360" w:lineRule="auto"/>
              <w:rPr>
                <w:rFonts w:hint="default"/>
                <w:highlight w:val="none"/>
              </w:rPr>
            </w:pPr>
            <w:r>
              <w:rPr>
                <w:rFonts w:hint="default"/>
                <w:highlight w:val="none"/>
              </w:rPr>
              <w:t>账户名称：</w:t>
            </w:r>
            <w:r>
              <w:rPr>
                <w:highlight w:val="none"/>
              </w:rPr>
              <w:t>广州南沙</w:t>
            </w:r>
            <w:r>
              <w:rPr>
                <w:rFonts w:hint="eastAsia" w:ascii="Times New Roman" w:eastAsia="宋体"/>
                <w:highlight w:val="none"/>
                <w:lang w:val="en-US" w:eastAsia="zh-CN"/>
              </w:rPr>
              <w:t>旅游发展</w:t>
            </w:r>
            <w:r>
              <w:rPr>
                <w:highlight w:val="none"/>
              </w:rPr>
              <w:t>有限公司</w:t>
            </w:r>
          </w:p>
          <w:p>
            <w:pPr>
              <w:numPr>
                <w:ilvl w:val="-1"/>
                <w:numId w:val="0"/>
              </w:numPr>
              <w:adjustRightInd w:val="0"/>
              <w:snapToGrid w:val="0"/>
              <w:spacing w:line="360" w:lineRule="auto"/>
              <w:rPr>
                <w:rFonts w:hint="default"/>
                <w:highlight w:val="none"/>
              </w:rPr>
            </w:pPr>
            <w:r>
              <w:rPr>
                <w:rFonts w:hint="default"/>
                <w:highlight w:val="none"/>
              </w:rPr>
              <w:t>开户银行：中国银行广州南沙科技园区支行</w:t>
            </w:r>
            <w:r>
              <w:rPr>
                <w:rFonts w:hint="default"/>
                <w:highlight w:val="none"/>
                <w:lang w:val="en-US" w:eastAsia="zh-CN"/>
              </w:rPr>
              <w:t xml:space="preserve"> </w:t>
            </w:r>
          </w:p>
          <w:p>
            <w:pPr>
              <w:numPr>
                <w:ilvl w:val="-1"/>
                <w:numId w:val="0"/>
              </w:numPr>
              <w:adjustRightInd w:val="0"/>
              <w:snapToGrid w:val="0"/>
              <w:spacing w:line="360" w:lineRule="auto"/>
              <w:rPr>
                <w:rFonts w:hint="default"/>
                <w:highlight w:val="none"/>
              </w:rPr>
            </w:pPr>
            <w:r>
              <w:rPr>
                <w:rFonts w:hint="default"/>
                <w:highlight w:val="none"/>
              </w:rPr>
              <w:t>账号：644457756045</w:t>
            </w:r>
          </w:p>
          <w:p>
            <w:pPr>
              <w:numPr>
                <w:ilvl w:val="-1"/>
                <w:numId w:val="0"/>
              </w:numPr>
              <w:adjustRightInd w:val="0"/>
              <w:snapToGrid w:val="0"/>
              <w:spacing w:line="360" w:lineRule="auto"/>
              <w:rPr>
                <w:rFonts w:hint="default"/>
                <w:highlight w:val="none"/>
              </w:rPr>
            </w:pPr>
            <w:r>
              <w:rPr>
                <w:rFonts w:hint="eastAsia"/>
                <w:highlight w:val="none"/>
                <w:lang w:val="en-US" w:eastAsia="zh-CN"/>
              </w:rPr>
              <w:t>3</w:t>
            </w:r>
            <w:r>
              <w:rPr>
                <w:rFonts w:hint="default"/>
                <w:highlight w:val="none"/>
                <w:lang w:val="en-US" w:eastAsia="zh-CN"/>
              </w:rPr>
              <w:t>、</w:t>
            </w:r>
            <w:r>
              <w:rPr>
                <w:rFonts w:hint="default"/>
                <w:highlight w:val="none"/>
              </w:rPr>
              <w:t>缴纳时间：投标单位须在</w:t>
            </w:r>
            <w:r>
              <w:rPr>
                <w:rFonts w:hint="default"/>
                <w:highlight w:val="none"/>
              </w:rPr>
              <w:t>2023年</w:t>
            </w:r>
            <w:r>
              <w:rPr>
                <w:rFonts w:hint="default"/>
                <w:highlight w:val="none"/>
                <w:lang w:val="en-US" w:eastAsia="zh-CN"/>
              </w:rPr>
              <w:t>1</w:t>
            </w:r>
            <w:r>
              <w:rPr>
                <w:rFonts w:hint="eastAsia"/>
                <w:highlight w:val="none"/>
                <w:lang w:val="en-US" w:eastAsia="zh-CN"/>
              </w:rPr>
              <w:t>1</w:t>
            </w:r>
            <w:r>
              <w:rPr>
                <w:rFonts w:hint="default"/>
                <w:highlight w:val="none"/>
              </w:rPr>
              <w:t>月</w:t>
            </w:r>
            <w:r>
              <w:rPr>
                <w:rFonts w:hint="eastAsia"/>
                <w:highlight w:val="none"/>
                <w:lang w:val="en-US" w:eastAsia="zh-CN"/>
              </w:rPr>
              <w:t>9</w:t>
            </w:r>
            <w:r>
              <w:rPr>
                <w:rFonts w:hint="default"/>
                <w:highlight w:val="none"/>
              </w:rPr>
              <w:t>日（星期</w:t>
            </w:r>
            <w:r>
              <w:rPr>
                <w:rFonts w:hint="eastAsia"/>
                <w:highlight w:val="none"/>
                <w:lang w:eastAsia="zh-CN"/>
              </w:rPr>
              <w:t>四</w:t>
            </w:r>
            <w:r>
              <w:rPr>
                <w:rFonts w:hint="default"/>
                <w:highlight w:val="none"/>
              </w:rPr>
              <w:t>）1</w:t>
            </w:r>
            <w:r>
              <w:rPr>
                <w:rFonts w:hint="eastAsia"/>
                <w:highlight w:val="none"/>
                <w:lang w:eastAsia="zh-CN"/>
              </w:rPr>
              <w:t>6</w:t>
            </w:r>
            <w:r>
              <w:rPr>
                <w:rFonts w:hint="default"/>
                <w:highlight w:val="none"/>
              </w:rPr>
              <w:t>时</w:t>
            </w:r>
            <w:r>
              <w:rPr>
                <w:rFonts w:hint="eastAsia"/>
                <w:highlight w:val="none"/>
                <w:lang w:eastAsia="zh-CN"/>
              </w:rPr>
              <w:t>3</w:t>
            </w:r>
            <w:r>
              <w:rPr>
                <w:rFonts w:hint="default"/>
                <w:highlight w:val="none"/>
              </w:rPr>
              <w:t>0分前</w:t>
            </w:r>
            <w:r>
              <w:rPr>
                <w:rFonts w:hint="default"/>
                <w:highlight w:val="none"/>
              </w:rPr>
              <w:t>以投标人转出【汇款时</w:t>
            </w:r>
            <w:r>
              <w:rPr>
                <w:rFonts w:hint="default"/>
                <w:highlight w:val="none"/>
                <w:lang w:eastAsia="zh-CN"/>
              </w:rPr>
              <w:t>注明</w:t>
            </w:r>
            <w:r>
              <w:rPr>
                <w:rFonts w:hint="default"/>
                <w:highlight w:val="none"/>
              </w:rPr>
              <w:t>：</w:t>
            </w:r>
            <w:r>
              <w:rPr>
                <w:rFonts w:hint="eastAsia"/>
                <w:highlight w:val="none"/>
                <w:lang w:eastAsia="zh-CN"/>
              </w:rPr>
              <w:t>天后宫景区外园区域用电增容项目</w:t>
            </w:r>
            <w:r>
              <w:rPr>
                <w:rFonts w:hint="default"/>
                <w:highlight w:val="none"/>
                <w:lang w:eastAsia="zh-CN"/>
              </w:rPr>
              <w:t>施工</w:t>
            </w:r>
            <w:r>
              <w:rPr>
                <w:rFonts w:hint="default"/>
                <w:highlight w:val="none"/>
              </w:rPr>
              <w:t>投标保证金】</w:t>
            </w:r>
          </w:p>
          <w:p>
            <w:pPr>
              <w:numPr>
                <w:ilvl w:val="0"/>
                <w:numId w:val="0"/>
              </w:numPr>
              <w:adjustRightInd w:val="0"/>
              <w:snapToGrid w:val="0"/>
              <w:spacing w:line="360" w:lineRule="auto"/>
              <w:rPr>
                <w:rFonts w:hint="eastAsia" w:hAnsiTheme="minorHAnsi" w:cstheme="minorBidi"/>
                <w:szCs w:val="24"/>
                <w:highlight w:val="none"/>
                <w:lang w:val="en-US" w:eastAsia="zh-CN"/>
              </w:rPr>
            </w:pPr>
            <w:r>
              <w:rPr>
                <w:rFonts w:hint="eastAsia" w:hAnsiTheme="minorHAnsi" w:cstheme="minorBidi"/>
                <w:szCs w:val="24"/>
                <w:highlight w:val="none"/>
                <w:lang w:val="en-US" w:eastAsia="zh-CN"/>
              </w:rPr>
              <w:t>4</w:t>
            </w:r>
            <w:r>
              <w:rPr>
                <w:rFonts w:hint="default" w:hAnsiTheme="minorHAnsi" w:cstheme="minorBidi"/>
                <w:szCs w:val="24"/>
                <w:highlight w:val="none"/>
                <w:lang w:val="en-US" w:eastAsia="zh-CN"/>
              </w:rPr>
              <w:t>、</w:t>
            </w:r>
            <w:r>
              <w:rPr>
                <w:rFonts w:hint="eastAsia"/>
                <w:highlight w:val="none"/>
              </w:rPr>
              <w:t>未按规定缴纳投标保证金的正式投标人将被视为自动放弃本工程的投标资格</w:t>
            </w:r>
            <w:r>
              <w:rPr>
                <w:rFonts w:hint="default" w:hAnsiTheme="minorHAnsi" w:cstheme="minorBidi"/>
                <w:szCs w:val="24"/>
                <w:highlight w:val="none"/>
                <w:lang w:val="en-US" w:eastAsia="zh-CN"/>
              </w:rPr>
              <w:t>。</w:t>
            </w:r>
          </w:p>
          <w:p>
            <w:pPr>
              <w:numPr>
                <w:ilvl w:val="0"/>
                <w:numId w:val="0"/>
              </w:numPr>
              <w:adjustRightInd w:val="0"/>
              <w:snapToGrid w:val="0"/>
              <w:spacing w:line="360" w:lineRule="auto"/>
              <w:rPr>
                <w:rFonts w:hint="default"/>
                <w:highlight w:val="none"/>
                <w:lang w:val="en-US" w:eastAsia="zh-CN"/>
              </w:rPr>
            </w:pPr>
            <w:r>
              <w:rPr>
                <w:rFonts w:hint="eastAsia" w:cstheme="minorBidi"/>
                <w:szCs w:val="24"/>
                <w:highlight w:val="none"/>
                <w:lang w:val="en-US" w:eastAsia="zh-CN"/>
              </w:rPr>
              <w:t>5、</w:t>
            </w:r>
            <w:r>
              <w:rPr>
                <w:rFonts w:hint="eastAsia" w:asciiTheme="minorHAnsi" w:hAnsiTheme="minorHAnsi" w:eastAsiaTheme="minorEastAsia" w:cstheme="minorBidi"/>
                <w:b w:val="0"/>
                <w:sz w:val="21"/>
                <w:szCs w:val="24"/>
                <w:highlight w:val="none"/>
                <w:lang w:val="en-US" w:eastAsia="zh-CN"/>
              </w:rPr>
              <w:t>招标人在中标通知书发出后</w:t>
            </w:r>
            <w:r>
              <w:rPr>
                <w:rFonts w:hint="eastAsia" w:asciiTheme="minorHAnsi" w:hAnsiTheme="minorHAnsi" w:cstheme="minorBidi"/>
                <w:b w:val="0"/>
                <w:sz w:val="21"/>
                <w:szCs w:val="24"/>
                <w:highlight w:val="none"/>
                <w:lang w:val="en-US" w:eastAsia="zh-CN"/>
              </w:rPr>
              <w:t>5</w:t>
            </w:r>
            <w:r>
              <w:rPr>
                <w:rFonts w:hint="eastAsia" w:asciiTheme="minorHAnsi" w:hAnsiTheme="minorHAnsi" w:eastAsiaTheme="minorEastAsia" w:cstheme="minorBidi"/>
                <w:b w:val="0"/>
                <w:sz w:val="21"/>
                <w:szCs w:val="24"/>
                <w:highlight w:val="none"/>
                <w:lang w:val="en-US" w:eastAsia="zh-CN"/>
              </w:rPr>
              <w:t>个工作日内无息退还未中标投标人的投标保证金，在合同签订后</w:t>
            </w:r>
            <w:r>
              <w:rPr>
                <w:rFonts w:hint="eastAsia" w:asciiTheme="minorHAnsi" w:hAnsiTheme="minorHAnsi" w:cstheme="minorBidi"/>
                <w:b w:val="0"/>
                <w:sz w:val="21"/>
                <w:szCs w:val="24"/>
                <w:highlight w:val="none"/>
                <w:lang w:val="en-US" w:eastAsia="zh-CN"/>
              </w:rPr>
              <w:t>5</w:t>
            </w:r>
            <w:r>
              <w:rPr>
                <w:rFonts w:hint="eastAsia" w:asciiTheme="minorHAnsi" w:hAnsiTheme="minorHAnsi" w:eastAsiaTheme="minorEastAsia" w:cstheme="minorBidi"/>
                <w:b w:val="0"/>
                <w:sz w:val="21"/>
                <w:szCs w:val="24"/>
                <w:highlight w:val="none"/>
                <w:lang w:val="en-US" w:eastAsia="zh-CN"/>
              </w:rPr>
              <w:t>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11月10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11月10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11月10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法</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11.13投标文件电子版（刻录光盘或提供U盘，需为公司盖章版本）。</w:t>
      </w:r>
    </w:p>
    <w:p>
      <w:pPr>
        <w:pStyle w:val="2"/>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pPr>
        <w:pStyle w:val="2"/>
        <w:ind w:firstLine="480" w:firstLineChars="200"/>
        <w:rPr>
          <w:rFonts w:hint="eastAsia" w:ascii="宋体" w:hAnsi="宋体" w:eastAsia="宋体" w:cs="宋体"/>
          <w:color w:val="auto"/>
          <w:sz w:val="24"/>
          <w:highlight w:val="none"/>
          <w:lang w:eastAsia="zh-CN"/>
        </w:rPr>
      </w:pPr>
      <w:r>
        <w:rPr>
          <w:rFonts w:ascii="宋体" w:hAnsi="宋体" w:eastAsia="宋体" w:cs="宋体"/>
          <w:color w:val="auto"/>
          <w:sz w:val="24"/>
          <w:highlight w:val="none"/>
        </w:rPr>
        <w:t>11.15施工组织方案</w:t>
      </w:r>
      <w:r>
        <w:rPr>
          <w:rFonts w:hint="eastAsia" w:ascii="宋体" w:hAnsi="宋体" w:eastAsia="宋体" w:cs="宋体"/>
          <w:color w:val="auto"/>
          <w:sz w:val="24"/>
          <w:highlight w:val="none"/>
          <w:lang w:eastAsia="zh-CN"/>
        </w:rPr>
        <w:t>。</w:t>
      </w:r>
    </w:p>
    <w:p>
      <w:pPr>
        <w:pStyle w:val="2"/>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pStyle w:val="2"/>
        <w:ind w:firstLine="480" w:firstLineChars="200"/>
        <w:rPr>
          <w:rFonts w:hint="eastAsia" w:ascii="宋体" w:hAnsi="宋体" w:eastAsia="宋体" w:cs="宋体"/>
          <w:color w:val="auto"/>
          <w:sz w:val="24"/>
          <w:highlight w:val="none"/>
        </w:rPr>
      </w:pPr>
      <w:r>
        <w:rPr>
          <w:rFonts w:ascii="宋体" w:hAnsi="宋体" w:eastAsia="宋体" w:cs="宋体"/>
          <w:color w:val="auto"/>
          <w:sz w:val="24"/>
          <w:highlight w:val="none"/>
        </w:rPr>
        <w:t>11.1</w:t>
      </w:r>
      <w:r>
        <w:rPr>
          <w:rFonts w:hint="eastAsia" w:ascii="宋体" w:hAnsi="宋体" w:eastAsia="宋体" w:cs="宋体"/>
          <w:color w:val="auto"/>
          <w:sz w:val="24"/>
          <w:highlight w:val="none"/>
          <w:lang w:eastAsia="zh-CN"/>
        </w:rPr>
        <w:t>7</w:t>
      </w:r>
      <w:r>
        <w:rPr>
          <w:rFonts w:ascii="宋体" w:hAnsi="宋体" w:eastAsia="宋体" w:cs="宋体"/>
          <w:color w:val="auto"/>
          <w:sz w:val="24"/>
          <w:highlight w:val="none"/>
        </w:rPr>
        <w:t>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4"/>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5" w:name="_Toc1632"/>
      <w:bookmarkStart w:id="6"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7" w:name="_Toc26275"/>
      <w:r>
        <w:rPr>
          <w:rFonts w:hint="eastAsia" w:ascii="黑体" w:hAnsi="宋体" w:cs="黑体"/>
          <w:b/>
          <w:color w:val="auto"/>
          <w:kern w:val="44"/>
          <w:sz w:val="44"/>
          <w:szCs w:val="44"/>
          <w:highlight w:val="none"/>
        </w:rPr>
        <w:t>第2章 项目需求书</w:t>
      </w:r>
      <w:bookmarkEnd w:id="5"/>
      <w:bookmarkEnd w:id="7"/>
    </w:p>
    <w:p>
      <w:pPr>
        <w:rPr>
          <w:rFonts w:ascii="宋体" w:hAnsi="宋体" w:eastAsia="宋体" w:cs="宋体"/>
          <w:b/>
          <w:color w:val="auto"/>
          <w:sz w:val="30"/>
          <w:szCs w:val="30"/>
          <w:highlight w:val="none"/>
        </w:rPr>
      </w:pPr>
    </w:p>
    <w:p>
      <w:pPr>
        <w:numPr>
          <w:ilvl w:val="0"/>
          <w:numId w:val="3"/>
        </w:numPr>
        <w:jc w:val="left"/>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项目概况</w:t>
      </w:r>
    </w:p>
    <w:p>
      <w:pPr>
        <w:tabs>
          <w:tab w:val="left" w:pos="-8040"/>
          <w:tab w:val="left" w:pos="6840"/>
        </w:tabs>
        <w:ind w:firstLine="560" w:firstLineChars="200"/>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Cs w:val="0"/>
          <w:color w:val="auto"/>
          <w:kern w:val="2"/>
          <w:sz w:val="28"/>
          <w:szCs w:val="28"/>
          <w:highlight w:val="none"/>
          <w:u w:val="none"/>
          <w:lang w:eastAsia="zh-CN"/>
        </w:rPr>
        <w:t>为完善景区基础配套，助力南沙区全域游示范基地创建，对天后宫景区外园区域用电增容800KVA。</w:t>
      </w:r>
      <w:r>
        <w:rPr>
          <w:rFonts w:hint="eastAsia" w:ascii="宋体" w:hAnsi="宋体" w:eastAsia="宋体" w:cs="宋体"/>
          <w:b w:val="0"/>
          <w:bCs w:val="0"/>
          <w:color w:val="auto"/>
          <w:kern w:val="2"/>
          <w:sz w:val="28"/>
          <w:szCs w:val="28"/>
          <w:highlight w:val="none"/>
          <w:u w:val="none"/>
          <w:lang w:val="en-US" w:eastAsia="zh-CN"/>
        </w:rPr>
        <w:t>工程</w:t>
      </w:r>
      <w:r>
        <w:rPr>
          <w:rFonts w:hint="eastAsia" w:ascii="宋体" w:hAnsi="宋体" w:eastAsia="宋体" w:cs="宋体"/>
          <w:b w:val="0"/>
          <w:bCs w:val="0"/>
          <w:color w:val="auto"/>
          <w:kern w:val="2"/>
          <w:sz w:val="28"/>
          <w:szCs w:val="28"/>
          <w:highlight w:val="none"/>
          <w:u w:val="none"/>
          <w:lang w:eastAsia="zh-CN"/>
        </w:rPr>
        <w:t>投资约</w:t>
      </w:r>
      <w:r>
        <w:rPr>
          <w:rFonts w:hint="eastAsia" w:ascii="宋体" w:hAnsi="宋体" w:eastAsia="宋体" w:cs="宋体"/>
          <w:b w:val="0"/>
          <w:bCs w:val="0"/>
          <w:color w:val="auto"/>
          <w:kern w:val="2"/>
          <w:sz w:val="28"/>
          <w:szCs w:val="28"/>
          <w:highlight w:val="none"/>
          <w:u w:val="none"/>
          <w:lang w:val="en-US" w:eastAsia="zh-CN"/>
        </w:rPr>
        <w:t>67.48万元。</w:t>
      </w:r>
    </w:p>
    <w:p>
      <w:pPr>
        <w:ind w:firstLine="0" w:firstLineChars="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二、招标范围</w:t>
      </w:r>
    </w:p>
    <w:p>
      <w:pPr>
        <w:ind w:firstLine="560" w:firstLineChars="200"/>
        <w:rPr>
          <w:rFonts w:asciiTheme="minorEastAsia" w:hAnsiTheme="minorEastAsia" w:cstheme="minorEastAsia"/>
          <w:color w:val="auto"/>
          <w:kern w:val="0"/>
          <w:sz w:val="24"/>
          <w:highlight w:val="none"/>
        </w:rPr>
      </w:pPr>
      <w:r>
        <w:rPr>
          <w:rFonts w:hint="eastAsia" w:ascii="宋体" w:hAnsi="宋体" w:eastAsia="宋体" w:cs="宋体"/>
          <w:b w:val="0"/>
          <w:bCs w:val="0"/>
          <w:color w:val="auto"/>
          <w:sz w:val="28"/>
          <w:szCs w:val="28"/>
          <w:highlight w:val="none"/>
          <w:lang w:eastAsia="zh-CN"/>
        </w:rPr>
        <w:t>项目建设内容包括</w:t>
      </w:r>
      <w:r>
        <w:rPr>
          <w:rFonts w:hint="eastAsia" w:ascii="宋体" w:hAnsi="宋体" w:eastAsia="宋体" w:cs="宋体"/>
          <w:b w:val="0"/>
          <w:bCs w:val="0"/>
          <w:color w:val="auto"/>
          <w:sz w:val="28"/>
          <w:szCs w:val="28"/>
          <w:highlight w:val="none"/>
          <w:lang w:val="en-US" w:eastAsia="zh-CN"/>
        </w:rPr>
        <w:t>但不限于：</w:t>
      </w:r>
      <w:r>
        <w:rPr>
          <w:rFonts w:hint="eastAsia" w:ascii="宋体" w:hAnsi="宋体" w:eastAsia="宋体" w:cs="宋体"/>
          <w:b w:val="0"/>
          <w:bCs w:val="0"/>
          <w:color w:val="auto"/>
          <w:sz w:val="28"/>
          <w:szCs w:val="28"/>
          <w:highlight w:val="none"/>
          <w:lang w:eastAsia="zh-CN"/>
        </w:rPr>
        <w:t>建造</w:t>
      </w:r>
      <w:r>
        <w:rPr>
          <w:rFonts w:hint="eastAsia" w:ascii="宋体" w:hAnsi="宋体" w:eastAsia="宋体" w:cs="宋体"/>
          <w:b w:val="0"/>
          <w:bCs w:val="0"/>
          <w:color w:val="auto"/>
          <w:sz w:val="28"/>
          <w:szCs w:val="28"/>
          <w:highlight w:val="none"/>
          <w:lang w:val="en-US" w:eastAsia="zh-CN"/>
        </w:rPr>
        <w:t>箱变基础、电缆沟，安装箱变，铺设高压电缆，协助申报停送电计划、报装等，最终以实际工程量清单和图纸为准。</w:t>
      </w:r>
      <w:r>
        <w:rPr>
          <w:rFonts w:hint="eastAsia" w:ascii="宋体" w:hAnsi="宋体" w:eastAsia="宋体" w:cs="宋体"/>
          <w:color w:val="auto"/>
          <w:sz w:val="28"/>
          <w:szCs w:val="28"/>
          <w:highlight w:val="none"/>
        </w:rPr>
        <w:t>投标人需按招标文件、图纸规范等要求进行施工，如设计图纸有调整时，必须服从要求调整。</w:t>
      </w: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8" w:name="_Toc8227"/>
      <w:r>
        <w:rPr>
          <w:rFonts w:hint="eastAsia" w:ascii="黑体" w:hAnsi="宋体" w:cs="黑体"/>
          <w:b/>
          <w:color w:val="auto"/>
          <w:kern w:val="44"/>
          <w:sz w:val="44"/>
          <w:szCs w:val="44"/>
          <w:highlight w:val="none"/>
        </w:rPr>
        <w:t>第3章  投标格式文件</w:t>
      </w:r>
      <w:bookmarkEnd w:id="6"/>
      <w:bookmarkEnd w:id="8"/>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hint="eastAsia" w:ascii="宋体" w:hAnsi="宋体" w:eastAsia="宋体" w:cs="宋体"/>
          <w:color w:val="auto"/>
          <w:spacing w:val="20"/>
          <w:sz w:val="24"/>
          <w:highlight w:val="none"/>
        </w:rPr>
      </w:pPr>
      <w:r>
        <w:rPr>
          <w:rFonts w:hint="eastAsia" w:ascii="宋体" w:hAnsi="宋体" w:eastAsia="宋体" w:cs="Times New Roman"/>
          <w:color w:val="auto"/>
          <w:spacing w:val="20"/>
          <w:sz w:val="24"/>
          <w:highlight w:val="none"/>
        </w:rPr>
        <w:t>我方决定参</w:t>
      </w:r>
      <w:r>
        <w:rPr>
          <w:rFonts w:hint="eastAsia" w:ascii="宋体" w:hAnsi="宋体" w:eastAsia="宋体" w:cs="宋体"/>
          <w:color w:val="auto"/>
          <w:spacing w:val="20"/>
          <w:sz w:val="24"/>
          <w:highlight w:val="none"/>
        </w:rPr>
        <w:t>加贵方的</w:t>
      </w:r>
      <w:r>
        <w:rPr>
          <w:rFonts w:hint="eastAsia" w:ascii="宋体" w:hAnsi="宋体" w:eastAsia="宋体" w:cs="宋体"/>
          <w:color w:val="auto"/>
          <w:sz w:val="24"/>
          <w:highlight w:val="none"/>
          <w:u w:val="single"/>
          <w:lang w:eastAsia="zh-CN"/>
        </w:rPr>
        <w:t>天后宫景区外园区域用电增容项目</w:t>
      </w:r>
      <w:r>
        <w:rPr>
          <w:rFonts w:hint="eastAsia" w:ascii="宋体" w:hAnsi="宋体" w:eastAsia="宋体" w:cs="宋体"/>
          <w:color w:val="auto"/>
          <w:sz w:val="24"/>
          <w:highlight w:val="none"/>
          <w:u w:val="single"/>
          <w:lang w:val="en-US" w:eastAsia="zh-CN"/>
        </w:rPr>
        <w:t>施工</w:t>
      </w:r>
      <w:r>
        <w:rPr>
          <w:rFonts w:hint="eastAsia" w:ascii="宋体" w:hAnsi="宋体" w:eastAsia="宋体" w:cs="宋体"/>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宋体"/>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color w:val="auto"/>
          <w:sz w:val="24"/>
          <w:highlight w:val="none"/>
          <w:u w:val="single"/>
          <w:lang w:eastAsia="zh-CN"/>
        </w:rPr>
        <w:t>天后宫景区外园区域用电增容项目</w:t>
      </w:r>
      <w:r>
        <w:rPr>
          <w:rFonts w:hint="eastAsia" w:ascii="宋体" w:hAnsi="宋体" w:eastAsia="宋体" w:cs="宋体"/>
          <w:color w:val="auto"/>
          <w:sz w:val="24"/>
          <w:highlight w:val="none"/>
          <w:u w:val="single"/>
          <w:lang w:val="en-US" w:eastAsia="zh-CN"/>
        </w:rPr>
        <w:t>施工</w:t>
      </w:r>
      <w:r>
        <w:rPr>
          <w:rFonts w:hint="eastAsia" w:ascii="宋体" w:hAnsi="宋体" w:eastAsia="宋体" w:cs="宋体"/>
          <w:color w:val="auto"/>
          <w:spacing w:val="20"/>
          <w:sz w:val="24"/>
          <w:highlight w:val="none"/>
        </w:rPr>
        <w:t>任务</w:t>
      </w:r>
      <w:r>
        <w:rPr>
          <w:rFonts w:hint="eastAsia" w:ascii="宋体" w:hAnsi="宋体" w:eastAsia="宋体" w:cs="Times New Roman"/>
          <w:color w:val="auto"/>
          <w:spacing w:val="20"/>
          <w:sz w:val="24"/>
          <w:highlight w:val="none"/>
        </w:rPr>
        <w:t>，并提供增值税专业发票税率为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9" w:name="_Toc223342668"/>
      <w:bookmarkEnd w:id="9"/>
      <w:bookmarkStart w:id="10" w:name="_Toc216145749"/>
      <w:bookmarkEnd w:id="10"/>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11" w:name="_Toc172416501"/>
      <w:bookmarkEnd w:id="11"/>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2" w:name="_Toc216145759"/>
      <w:bookmarkEnd w:id="12"/>
      <w:bookmarkStart w:id="13"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3"/>
      <w:r>
        <w:rPr>
          <w:rFonts w:hint="eastAsia" w:ascii="宋体" w:hAnsi="宋体" w:eastAsia="宋体" w:cs="宋体"/>
          <w:color w:val="auto"/>
          <w:sz w:val="28"/>
          <w:szCs w:val="28"/>
          <w:highlight w:val="none"/>
        </w:rPr>
        <w:t xml:space="preserve"> </w:t>
      </w:r>
    </w:p>
    <w:p>
      <w:pPr>
        <w:pStyle w:val="29"/>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single"/>
          <w:lang w:eastAsia="zh-CN"/>
        </w:rPr>
        <w:t>天后宫景区外园区域用电增容项目</w:t>
      </w:r>
      <w:r>
        <w:rPr>
          <w:rFonts w:hint="eastAsia" w:ascii="宋体" w:hAnsi="宋体" w:eastAsia="宋体" w:cs="宋体"/>
          <w:color w:val="auto"/>
          <w:sz w:val="24"/>
          <w:highlight w:val="none"/>
          <w:u w:val="single"/>
          <w:lang w:val="en-US" w:eastAsia="zh-CN"/>
        </w:rPr>
        <w:t>施工</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4" w:name="_Toc199647675"/>
      <w:bookmarkEnd w:id="14"/>
      <w:bookmarkStart w:id="15" w:name="_Toc326909213"/>
      <w:bookmarkEnd w:id="15"/>
      <w:bookmarkStart w:id="16" w:name="_Toc196130013"/>
      <w:bookmarkEnd w:id="16"/>
      <w:bookmarkStart w:id="17" w:name="_Toc459403394"/>
      <w:bookmarkEnd w:id="17"/>
      <w:bookmarkStart w:id="18" w:name="_Toc415833503"/>
      <w:bookmarkEnd w:id="18"/>
      <w:bookmarkStart w:id="19" w:name="_Toc196037097"/>
      <w:bookmarkEnd w:id="19"/>
      <w:bookmarkStart w:id="20" w:name="_Toc415728297"/>
      <w:bookmarkEnd w:id="20"/>
      <w:bookmarkStart w:id="21" w:name="_Toc41822703"/>
      <w:bookmarkEnd w:id="21"/>
      <w:bookmarkStart w:id="22" w:name="_Toc196036941"/>
      <w:bookmarkEnd w:id="22"/>
      <w:bookmarkStart w:id="23" w:name="_Toc197235848"/>
      <w:bookmarkEnd w:id="23"/>
      <w:bookmarkStart w:id="24" w:name="_Toc196130110"/>
      <w:bookmarkEnd w:id="24"/>
      <w:bookmarkStart w:id="25" w:name="_Toc462911098"/>
      <w:r>
        <w:rPr>
          <w:rFonts w:hint="eastAsia" w:ascii="宋体" w:hAnsi="宋体" w:eastAsia="宋体" w:cs="黑体"/>
          <w:b/>
          <w:color w:val="auto"/>
          <w:spacing w:val="4"/>
          <w:kern w:val="0"/>
          <w:sz w:val="28"/>
          <w:szCs w:val="28"/>
          <w:highlight w:val="none"/>
        </w:rPr>
        <w:t>格式五</w:t>
      </w:r>
      <w:bookmarkEnd w:id="25"/>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6" w:name="_Toc41822704"/>
      <w:bookmarkEnd w:id="26"/>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7" w:name="_Toc196130111"/>
      <w:bookmarkEnd w:id="27"/>
      <w:bookmarkStart w:id="28" w:name="_Toc199647676"/>
      <w:bookmarkEnd w:id="28"/>
      <w:bookmarkStart w:id="29" w:name="_Toc415833504"/>
      <w:bookmarkEnd w:id="29"/>
      <w:bookmarkStart w:id="30" w:name="_Toc415728298"/>
      <w:bookmarkEnd w:id="30"/>
      <w:bookmarkStart w:id="31" w:name="_Toc459403395"/>
      <w:bookmarkEnd w:id="31"/>
      <w:bookmarkStart w:id="32" w:name="_Toc196130014"/>
      <w:bookmarkEnd w:id="32"/>
      <w:bookmarkStart w:id="33" w:name="_Toc326909214"/>
      <w:bookmarkEnd w:id="33"/>
      <w:bookmarkStart w:id="34" w:name="_Toc196036942"/>
      <w:bookmarkEnd w:id="34"/>
      <w:bookmarkStart w:id="35" w:name="_Toc197235849"/>
      <w:bookmarkEnd w:id="35"/>
      <w:bookmarkStart w:id="36" w:name="_Toc196037098"/>
      <w:bookmarkEnd w:id="36"/>
      <w:bookmarkStart w:id="37" w:name="_Toc462911099"/>
    </w:p>
    <w:bookmarkEnd w:id="37"/>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both"/>
              <w:rPr>
                <w:rFonts w:hint="eastAsia" w:ascii="宋体" w:hAnsi="宋体" w:cs="宋体" w:eastAsiaTheme="minorEastAsia"/>
                <w:bCs/>
                <w:color w:val="auto"/>
                <w:szCs w:val="21"/>
                <w:highlight w:val="none"/>
                <w:lang w:val="zh-CN" w:eastAsia="zh-CN"/>
              </w:rPr>
            </w:pPr>
            <w:r>
              <w:rPr>
                <w:rFonts w:hint="eastAsia" w:ascii="宋体" w:hAnsi="宋体" w:eastAsia="宋体" w:cs="宋体"/>
                <w:color w:val="auto"/>
                <w:sz w:val="24"/>
                <w:highlight w:val="none"/>
                <w:lang w:eastAsia="zh-CN"/>
              </w:rPr>
              <w:t>天后宫景区外园区域用电增容项目</w:t>
            </w:r>
            <w:r>
              <w:rPr>
                <w:rFonts w:hint="eastAsia" w:ascii="宋体" w:hAnsi="宋体" w:eastAsia="宋体" w:cs="宋体"/>
                <w:color w:val="auto"/>
                <w:sz w:val="24"/>
                <w:highlight w:val="none"/>
                <w:lang w:val="en-US" w:eastAsia="zh-CN"/>
              </w:rPr>
              <w:t>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w:t>
            </w:r>
            <w:r>
              <w:rPr>
                <w:rFonts w:hint="eastAsia" w:ascii="宋体" w:hAnsi="宋体" w:cs="宋体"/>
                <w:bCs/>
                <w:color w:val="auto"/>
                <w:szCs w:val="21"/>
                <w:highlight w:val="none"/>
                <w:lang w:val="en-US" w:eastAsia="zh-CN"/>
              </w:rPr>
              <w:t xml:space="preserve">          </w:t>
            </w:r>
            <w:r>
              <w:rPr>
                <w:rFonts w:hint="eastAsia" w:ascii="宋体" w:hAnsi="宋体" w:cs="宋体"/>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8" w:name="_Toc374128477"/>
      <w:bookmarkEnd w:id="38"/>
      <w:bookmarkStart w:id="39"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0" w:name="_Toc3815"/>
      <w:r>
        <w:rPr>
          <w:rFonts w:hint="eastAsia" w:ascii="黑体" w:hAnsi="宋体" w:cs="黑体"/>
          <w:b/>
          <w:color w:val="auto"/>
          <w:kern w:val="44"/>
          <w:sz w:val="44"/>
          <w:szCs w:val="44"/>
          <w:highlight w:val="none"/>
        </w:rPr>
        <w:t>第4章 评标办法</w:t>
      </w:r>
      <w:bookmarkEnd w:id="39"/>
      <w:bookmarkEnd w:id="40"/>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4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41"/>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6"/>
        <w:widowControl/>
        <w:ind w:firstLine="562"/>
        <w:rPr>
          <w:rFonts w:hint="default" w:ascii="仿宋" w:hAnsi="仿宋" w:eastAsia="仿宋" w:cs="仿宋"/>
          <w:b/>
          <w:color w:val="auto"/>
          <w:sz w:val="28"/>
          <w:szCs w:val="28"/>
          <w:highlight w:val="none"/>
          <w:u w:val="single"/>
        </w:rPr>
      </w:pPr>
      <w:bookmarkStart w:id="42" w:name="OLE_LINK3"/>
      <w:bookmarkEnd w:id="42"/>
      <w:r>
        <w:rPr>
          <w:rFonts w:ascii="仿宋" w:hAnsi="仿宋" w:eastAsia="仿宋" w:cs="仿宋"/>
          <w:b/>
          <w:color w:val="auto"/>
          <w:sz w:val="28"/>
          <w:szCs w:val="28"/>
          <w:highlight w:val="none"/>
          <w:u w:val="single"/>
        </w:rPr>
        <w:t>附件2 综合评分表</w:t>
      </w:r>
    </w:p>
    <w:p>
      <w:pPr>
        <w:pStyle w:val="26"/>
        <w:widowControl/>
        <w:ind w:firstLine="562"/>
        <w:rPr>
          <w:rFonts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附件4非联合体投标声明（格式自拟）</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5</w:t>
      </w:r>
      <w:r>
        <w:rPr>
          <w:rFonts w:ascii="仿宋" w:hAnsi="仿宋" w:eastAsia="仿宋" w:cs="仿宋"/>
          <w:b/>
          <w:color w:val="auto"/>
          <w:sz w:val="28"/>
          <w:szCs w:val="28"/>
          <w:highlight w:val="none"/>
          <w:u w:val="single"/>
        </w:rPr>
        <w:t>图纸（另附）</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6</w:t>
      </w:r>
      <w:r>
        <w:rPr>
          <w:rFonts w:ascii="仿宋" w:hAnsi="仿宋" w:eastAsia="仿宋" w:cs="仿宋"/>
          <w:b/>
          <w:color w:val="auto"/>
          <w:sz w:val="28"/>
          <w:szCs w:val="28"/>
          <w:highlight w:val="none"/>
          <w:u w:val="single"/>
        </w:rPr>
        <w:t>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3" w:name="_Toc12170"/>
      <w:bookmarkStart w:id="44" w:name="_Toc26946"/>
      <w:r>
        <w:rPr>
          <w:rFonts w:hint="eastAsia" w:ascii="仿宋" w:hAnsi="仿宋" w:eastAsia="仿宋" w:cs="仿宋"/>
          <w:color w:val="auto"/>
          <w:sz w:val="28"/>
          <w:szCs w:val="28"/>
          <w:highlight w:val="none"/>
        </w:rPr>
        <w:t>附件1：符合性审查表</w:t>
      </w:r>
      <w:bookmarkEnd w:id="43"/>
      <w:bookmarkEnd w:id="44"/>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left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112"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4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1"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5" w:name="_Toc18783"/>
    </w:p>
    <w:bookmarkEnd w:id="45"/>
    <w:p>
      <w:pPr>
        <w:snapToGrid w:val="0"/>
        <w:ind w:left="74"/>
        <w:outlineLvl w:val="0"/>
        <w:rPr>
          <w:rFonts w:hint="eastAsia" w:ascii="仿宋" w:hAnsi="仿宋" w:eastAsia="仿宋" w:cs="仿宋"/>
          <w:color w:val="auto"/>
          <w:sz w:val="24"/>
          <w:highlight w:val="none"/>
        </w:rPr>
      </w:pPr>
      <w:bookmarkStart w:id="46" w:name="_Toc1560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6"/>
    </w:p>
    <w:tbl>
      <w:tblPr>
        <w:tblStyle w:val="18"/>
        <w:tblW w:w="1383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450"/>
        <w:gridCol w:w="917"/>
        <w:gridCol w:w="9400"/>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339" w:type="dxa"/>
            <w:vAlign w:val="center"/>
          </w:tcPr>
          <w:p>
            <w:pPr>
              <w:spacing w:line="360" w:lineRule="exact"/>
              <w:jc w:val="center"/>
              <w:rPr>
                <w:rFonts w:ascii="宋体" w:hAnsi="宋体" w:eastAsia="宋体" w:cs="Times New Roman"/>
                <w:b/>
                <w:sz w:val="28"/>
                <w:szCs w:val="28"/>
                <w:highlight w:val="none"/>
                <w:vertAlign w:val="baseline"/>
              </w:rPr>
            </w:pPr>
            <w:r>
              <w:rPr>
                <w:rFonts w:hint="eastAsia" w:ascii="Calibri" w:hAnsi="Calibri" w:eastAsia="宋体" w:cs="Times New Roman"/>
                <w:szCs w:val="21"/>
                <w:highlight w:val="none"/>
              </w:rPr>
              <w:t>评分项目</w:t>
            </w:r>
          </w:p>
        </w:tc>
        <w:tc>
          <w:tcPr>
            <w:tcW w:w="1450" w:type="dxa"/>
            <w:vAlign w:val="center"/>
          </w:tcPr>
          <w:p>
            <w:pPr>
              <w:spacing w:line="360" w:lineRule="exact"/>
              <w:jc w:val="center"/>
              <w:rPr>
                <w:rFonts w:ascii="宋体" w:hAnsi="宋体" w:eastAsia="宋体" w:cs="Times New Roman"/>
                <w:b/>
                <w:sz w:val="28"/>
                <w:szCs w:val="28"/>
                <w:highlight w:val="none"/>
                <w:vertAlign w:val="baseline"/>
              </w:rPr>
            </w:pPr>
            <w:r>
              <w:rPr>
                <w:rFonts w:hint="eastAsia" w:ascii="Calibri" w:hAnsi="Calibri" w:eastAsia="宋体" w:cs="Times New Roman"/>
                <w:szCs w:val="21"/>
                <w:highlight w:val="none"/>
              </w:rPr>
              <w:t>评分内容</w:t>
            </w:r>
          </w:p>
        </w:tc>
        <w:tc>
          <w:tcPr>
            <w:tcW w:w="917" w:type="dxa"/>
            <w:vAlign w:val="center"/>
          </w:tcPr>
          <w:p>
            <w:pPr>
              <w:spacing w:line="360" w:lineRule="exact"/>
              <w:jc w:val="center"/>
              <w:rPr>
                <w:rFonts w:ascii="宋体" w:hAnsi="宋体" w:eastAsia="宋体" w:cs="Times New Roman"/>
                <w:b/>
                <w:sz w:val="28"/>
                <w:szCs w:val="28"/>
                <w:highlight w:val="none"/>
                <w:vertAlign w:val="baseline"/>
              </w:rPr>
            </w:pPr>
            <w:r>
              <w:rPr>
                <w:rFonts w:hint="eastAsia" w:ascii="Calibri" w:hAnsi="Calibri" w:eastAsia="宋体" w:cs="Times New Roman"/>
                <w:szCs w:val="21"/>
                <w:highlight w:val="none"/>
              </w:rPr>
              <w:t>分值</w:t>
            </w:r>
          </w:p>
        </w:tc>
        <w:tc>
          <w:tcPr>
            <w:tcW w:w="9400" w:type="dxa"/>
            <w:vAlign w:val="center"/>
          </w:tcPr>
          <w:p>
            <w:pPr>
              <w:spacing w:line="360" w:lineRule="exact"/>
              <w:jc w:val="center"/>
              <w:rPr>
                <w:rFonts w:ascii="宋体" w:hAnsi="宋体" w:eastAsia="宋体" w:cs="Times New Roman"/>
                <w:b/>
                <w:sz w:val="28"/>
                <w:szCs w:val="28"/>
                <w:highlight w:val="none"/>
                <w:vertAlign w:val="baseline"/>
              </w:rPr>
            </w:pPr>
            <w:r>
              <w:rPr>
                <w:rFonts w:hint="eastAsia" w:ascii="Calibri" w:hAnsi="Calibri" w:eastAsia="宋体" w:cs="Times New Roman"/>
                <w:szCs w:val="21"/>
                <w:highlight w:val="none"/>
              </w:rPr>
              <w:t>评审标准</w:t>
            </w:r>
          </w:p>
        </w:tc>
        <w:tc>
          <w:tcPr>
            <w:tcW w:w="730" w:type="dxa"/>
            <w:vAlign w:val="center"/>
          </w:tcPr>
          <w:p>
            <w:pPr>
              <w:spacing w:line="360" w:lineRule="exact"/>
              <w:jc w:val="center"/>
              <w:rPr>
                <w:rFonts w:hint="eastAsia" w:ascii="Calibri" w:hAnsi="Calibri" w:eastAsia="宋体" w:cs="Times New Roman"/>
                <w:szCs w:val="21"/>
                <w:highlight w:val="none"/>
                <w:lang w:val="en-US" w:eastAsia="zh-CN"/>
              </w:rPr>
            </w:pPr>
            <w:r>
              <w:rPr>
                <w:rFonts w:hint="eastAsia" w:ascii="Calibri" w:hAnsi="Calibri" w:eastAsia="宋体" w:cs="Times New Roman"/>
                <w:szCs w:val="21"/>
                <w:highlight w:val="no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1339" w:type="dxa"/>
            <w:vMerge w:val="restart"/>
            <w:vAlign w:val="center"/>
          </w:tcPr>
          <w:p>
            <w:pPr>
              <w:spacing w:line="360" w:lineRule="exact"/>
              <w:jc w:val="center"/>
              <w:rPr>
                <w:rFonts w:hint="eastAsia" w:ascii="宋体" w:hAnsi="宋体" w:eastAsia="宋体" w:cs="宋体"/>
                <w:b w:val="0"/>
                <w:sz w:val="21"/>
                <w:szCs w:val="21"/>
                <w:highlight w:val="none"/>
                <w:vertAlign w:val="baseline"/>
                <w:lang w:eastAsia="zh-CN"/>
              </w:rPr>
            </w:pPr>
            <w:r>
              <w:rPr>
                <w:rFonts w:hint="eastAsia" w:ascii="宋体" w:hAnsi="宋体" w:eastAsia="宋体" w:cs="宋体"/>
                <w:b w:val="0"/>
                <w:sz w:val="21"/>
                <w:szCs w:val="21"/>
                <w:highlight w:val="none"/>
                <w:vertAlign w:val="baseline"/>
                <w:lang w:eastAsia="zh-CN"/>
              </w:rPr>
              <w:t>商务部分</w:t>
            </w:r>
          </w:p>
          <w:p>
            <w:pPr>
              <w:spacing w:line="360" w:lineRule="exact"/>
              <w:jc w:val="center"/>
              <w:rPr>
                <w:rFonts w:hint="eastAsia" w:ascii="Calibri" w:hAnsi="Calibri" w:eastAsia="宋体" w:cs="Times New Roman"/>
                <w:b w:val="0"/>
                <w:sz w:val="21"/>
                <w:szCs w:val="21"/>
                <w:highlight w:val="none"/>
                <w:vertAlign w:val="baseline"/>
              </w:rPr>
            </w:pPr>
            <w:r>
              <w:rPr>
                <w:rFonts w:hint="eastAsia" w:ascii="宋体" w:hAnsi="宋体" w:eastAsia="宋体" w:cs="宋体"/>
                <w:b w:val="0"/>
                <w:sz w:val="21"/>
                <w:szCs w:val="21"/>
                <w:highlight w:val="none"/>
                <w:vertAlign w:val="baseline"/>
              </w:rPr>
              <w:t>（</w:t>
            </w:r>
            <w:r>
              <w:rPr>
                <w:rFonts w:hint="eastAsia" w:ascii="宋体" w:hAnsi="宋体" w:eastAsia="宋体" w:cs="宋体"/>
                <w:b w:val="0"/>
                <w:sz w:val="21"/>
                <w:szCs w:val="21"/>
                <w:highlight w:val="none"/>
                <w:vertAlign w:val="baseline"/>
                <w:lang w:val="en-US" w:eastAsia="zh-CN"/>
              </w:rPr>
              <w:t>40</w:t>
            </w:r>
            <w:r>
              <w:rPr>
                <w:rFonts w:hint="eastAsia" w:ascii="宋体" w:hAnsi="宋体" w:eastAsia="宋体" w:cs="宋体"/>
                <w:b w:val="0"/>
                <w:sz w:val="21"/>
                <w:szCs w:val="21"/>
                <w:highlight w:val="none"/>
                <w:vertAlign w:val="baseline"/>
              </w:rPr>
              <w:t>分）</w:t>
            </w:r>
          </w:p>
        </w:tc>
        <w:tc>
          <w:tcPr>
            <w:tcW w:w="1450" w:type="dxa"/>
            <w:vAlign w:val="center"/>
          </w:tcPr>
          <w:p>
            <w:pPr>
              <w:spacing w:line="360" w:lineRule="exact"/>
              <w:jc w:val="center"/>
              <w:rPr>
                <w:rFonts w:hint="eastAsia" w:ascii="Calibri" w:hAnsi="Calibri" w:eastAsia="宋体" w:cs="Times New Roman"/>
                <w:b w:val="0"/>
                <w:sz w:val="21"/>
                <w:szCs w:val="21"/>
                <w:highlight w:val="none"/>
                <w:vertAlign w:val="baseline"/>
              </w:rPr>
            </w:pPr>
            <w:r>
              <w:rPr>
                <w:rFonts w:hint="eastAsia" w:ascii="Calibri" w:hAnsi="Calibri" w:eastAsia="宋体" w:cs="Times New Roman"/>
                <w:b w:val="0"/>
                <w:sz w:val="21"/>
                <w:szCs w:val="21"/>
                <w:highlight w:val="none"/>
                <w:vertAlign w:val="baseline"/>
                <w:lang w:val="en-US" w:eastAsia="zh-CN"/>
              </w:rPr>
              <w:t>认证体系</w:t>
            </w:r>
          </w:p>
        </w:tc>
        <w:tc>
          <w:tcPr>
            <w:tcW w:w="917" w:type="dxa"/>
            <w:vAlign w:val="center"/>
          </w:tcPr>
          <w:p>
            <w:pPr>
              <w:spacing w:line="360" w:lineRule="exact"/>
              <w:jc w:val="center"/>
              <w:rPr>
                <w:rFonts w:hint="eastAsia" w:ascii="宋体" w:hAnsi="宋体" w:eastAsia="宋体" w:cs="宋体"/>
                <w:b w:val="0"/>
                <w:sz w:val="21"/>
                <w:szCs w:val="21"/>
                <w:highlight w:val="none"/>
                <w:vertAlign w:val="baseline"/>
              </w:rPr>
            </w:pPr>
            <w:r>
              <w:rPr>
                <w:rFonts w:hint="eastAsia" w:ascii="宋体" w:hAnsi="宋体" w:eastAsia="宋体" w:cs="宋体"/>
                <w:b w:val="0"/>
                <w:sz w:val="21"/>
                <w:szCs w:val="21"/>
                <w:highlight w:val="none"/>
                <w:vertAlign w:val="baseline"/>
                <w:lang w:eastAsia="zh-CN"/>
              </w:rPr>
              <w:t>3</w:t>
            </w:r>
          </w:p>
        </w:tc>
        <w:tc>
          <w:tcPr>
            <w:tcW w:w="9400" w:type="dxa"/>
            <w:vAlign w:val="center"/>
          </w:tcPr>
          <w:p>
            <w:pPr>
              <w:widowControl w:val="0"/>
              <w:wordWrap w:val="0"/>
              <w:topLinePunct/>
              <w:adjustRightInd w:val="0"/>
              <w:spacing w:line="360" w:lineRule="exact"/>
              <w:jc w:val="both"/>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投标人具有有效的质量管理体系认证证书、环境管理体系认证证书、职业健康安全管理体系认证证书，每提供一</w:t>
            </w:r>
            <w:r>
              <w:rPr>
                <w:rFonts w:hint="eastAsia" w:ascii="宋体" w:hAnsi="宋体" w:eastAsia="宋体" w:cs="宋体"/>
                <w:b w:val="0"/>
                <w:bCs w:val="0"/>
                <w:kern w:val="0"/>
                <w:sz w:val="21"/>
                <w:szCs w:val="21"/>
                <w:highlight w:val="none"/>
                <w:lang w:val="en-US" w:eastAsia="zh-CN" w:bidi="ar-SA"/>
              </w:rPr>
              <w:t>个证书</w:t>
            </w:r>
            <w:r>
              <w:rPr>
                <w:rFonts w:hint="eastAsia" w:ascii="宋体" w:hAnsi="宋体" w:eastAsia="宋体" w:cs="宋体"/>
                <w:b w:val="0"/>
                <w:bCs w:val="0"/>
                <w:kern w:val="0"/>
                <w:sz w:val="21"/>
                <w:szCs w:val="21"/>
                <w:highlight w:val="none"/>
                <w:shd w:val="clear"/>
                <w:lang w:val="en-US" w:eastAsia="zh-CN" w:bidi="ar-SA"/>
              </w:rPr>
              <w:t>得1分</w:t>
            </w:r>
            <w:r>
              <w:rPr>
                <w:rFonts w:hint="eastAsia" w:ascii="宋体" w:hAnsi="宋体" w:eastAsia="宋体" w:cs="宋体"/>
                <w:b w:val="0"/>
                <w:bCs w:val="0"/>
                <w:kern w:val="0"/>
                <w:sz w:val="21"/>
                <w:szCs w:val="21"/>
                <w:highlight w:val="none"/>
                <w:lang w:val="en-US" w:eastAsia="zh-CN" w:bidi="ar-SA"/>
              </w:rPr>
              <w:t>。本项最高</w:t>
            </w:r>
            <w:r>
              <w:rPr>
                <w:rFonts w:hint="eastAsia" w:ascii="宋体" w:hAnsi="宋体" w:eastAsia="宋体" w:cs="宋体"/>
                <w:b w:val="0"/>
                <w:bCs w:val="0"/>
                <w:kern w:val="0"/>
                <w:sz w:val="21"/>
                <w:szCs w:val="21"/>
                <w:highlight w:val="none"/>
                <w:shd w:val="clear"/>
                <w:lang w:val="en-US" w:eastAsia="zh-CN" w:bidi="ar-SA"/>
              </w:rPr>
              <w:t>得3分</w:t>
            </w:r>
            <w:r>
              <w:rPr>
                <w:rFonts w:hint="eastAsia" w:ascii="宋体" w:hAnsi="宋体" w:eastAsia="宋体" w:cs="宋体"/>
                <w:b w:val="0"/>
                <w:bCs w:val="0"/>
                <w:kern w:val="0"/>
                <w:sz w:val="21"/>
                <w:szCs w:val="21"/>
                <w:highlight w:val="none"/>
                <w:lang w:val="en-US" w:eastAsia="zh-CN" w:bidi="ar-SA"/>
              </w:rPr>
              <w:t>。</w:t>
            </w:r>
          </w:p>
          <w:p>
            <w:pPr>
              <w:widowControl w:val="0"/>
              <w:wordWrap w:val="0"/>
              <w:topLinePunct/>
              <w:autoSpaceDE w:val="0"/>
              <w:autoSpaceDN w:val="0"/>
              <w:adjustRightInd w:val="0"/>
              <w:jc w:val="both"/>
              <w:rPr>
                <w:rFonts w:hint="eastAsia" w:ascii="宋体" w:hAnsi="宋体" w:eastAsia="宋体" w:cs="宋体"/>
                <w:b w:val="0"/>
                <w:kern w:val="0"/>
                <w:sz w:val="21"/>
                <w:szCs w:val="21"/>
                <w:highlight w:val="none"/>
                <w:vertAlign w:val="baseline"/>
                <w:lang w:val="en-US" w:eastAsia="zh-CN" w:bidi="ar-SA"/>
              </w:rPr>
            </w:pPr>
            <w:r>
              <w:rPr>
                <w:rFonts w:hint="eastAsia" w:ascii="宋体" w:hAnsi="宋体" w:eastAsia="宋体" w:cs="宋体"/>
                <w:b w:val="0"/>
                <w:bCs w:val="0"/>
                <w:kern w:val="0"/>
                <w:sz w:val="21"/>
                <w:szCs w:val="21"/>
                <w:highlight w:val="none"/>
                <w:lang w:val="en-US" w:eastAsia="zh-CN" w:bidi="ar-SA"/>
              </w:rPr>
              <w:t>注：（须提供以上有效期内的证书复印件以及在全国认证认可信息公共服务平台上http://cx.cnca.cn查询结果的截图，证书状态必须为“有效”，否则不得分。）</w:t>
            </w:r>
          </w:p>
        </w:tc>
        <w:tc>
          <w:tcPr>
            <w:tcW w:w="730" w:type="dxa"/>
            <w:vAlign w:val="center"/>
          </w:tcPr>
          <w:p>
            <w:pPr>
              <w:widowControl w:val="0"/>
              <w:wordWrap w:val="0"/>
              <w:topLinePunct/>
              <w:autoSpaceDE w:val="0"/>
              <w:autoSpaceDN w:val="0"/>
              <w:adjustRightInd w:val="0"/>
              <w:jc w:val="both"/>
              <w:rPr>
                <w:rFonts w:hint="eastAsia" w:ascii="宋体" w:hAnsi="宋体" w:eastAsia="宋体" w:cs="宋体"/>
                <w:b w:val="0"/>
                <w:bCs w:val="0"/>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339" w:type="dxa"/>
            <w:vMerge w:val="continue"/>
            <w:vAlign w:val="center"/>
          </w:tcPr>
          <w:p>
            <w:pPr>
              <w:spacing w:line="360" w:lineRule="exact"/>
              <w:jc w:val="center"/>
              <w:rPr>
                <w:rFonts w:hint="eastAsia" w:ascii="Calibri" w:hAnsi="Calibri" w:eastAsia="宋体" w:cs="Times New Roman"/>
                <w:b w:val="0"/>
                <w:sz w:val="21"/>
                <w:szCs w:val="21"/>
                <w:highlight w:val="none"/>
                <w:vertAlign w:val="baseline"/>
              </w:rPr>
            </w:pPr>
          </w:p>
        </w:tc>
        <w:tc>
          <w:tcPr>
            <w:tcW w:w="1450" w:type="dxa"/>
            <w:vAlign w:val="center"/>
          </w:tcPr>
          <w:p>
            <w:pPr>
              <w:spacing w:line="360" w:lineRule="exact"/>
              <w:jc w:val="center"/>
              <w:rPr>
                <w:rFonts w:hint="eastAsia" w:ascii="Calibri" w:hAnsi="Calibri" w:eastAsia="宋体" w:cs="Times New Roman"/>
                <w:b w:val="0"/>
                <w:sz w:val="21"/>
                <w:szCs w:val="21"/>
                <w:highlight w:val="none"/>
                <w:vertAlign w:val="baseline"/>
              </w:rPr>
            </w:pPr>
            <w:r>
              <w:rPr>
                <w:rFonts w:hint="eastAsia" w:ascii="Calibri" w:hAnsi="Calibri" w:eastAsia="宋体" w:cs="Times New Roman"/>
                <w:b w:val="0"/>
                <w:sz w:val="21"/>
                <w:szCs w:val="21"/>
                <w:highlight w:val="none"/>
                <w:vertAlign w:val="baseline"/>
              </w:rPr>
              <w:t>企业业绩</w:t>
            </w:r>
          </w:p>
        </w:tc>
        <w:tc>
          <w:tcPr>
            <w:tcW w:w="917" w:type="dxa"/>
            <w:vAlign w:val="center"/>
          </w:tcPr>
          <w:p>
            <w:pPr>
              <w:spacing w:line="360" w:lineRule="exact"/>
              <w:jc w:val="center"/>
              <w:rPr>
                <w:rFonts w:hint="default" w:ascii="宋体" w:hAnsi="宋体" w:eastAsia="宋体" w:cs="宋体"/>
                <w:b w:val="0"/>
                <w:sz w:val="21"/>
                <w:szCs w:val="21"/>
                <w:highlight w:val="none"/>
                <w:vertAlign w:val="baseline"/>
                <w:lang w:val="en-US"/>
              </w:rPr>
            </w:pPr>
            <w:r>
              <w:rPr>
                <w:rFonts w:hint="eastAsia" w:ascii="宋体" w:hAnsi="宋体" w:eastAsia="宋体" w:cs="宋体"/>
                <w:sz w:val="21"/>
                <w:szCs w:val="21"/>
                <w:highlight w:val="none"/>
                <w:lang w:val="en-US" w:eastAsia="zh-CN"/>
              </w:rPr>
              <w:t>16</w:t>
            </w:r>
          </w:p>
        </w:tc>
        <w:tc>
          <w:tcPr>
            <w:tcW w:w="9400" w:type="dxa"/>
            <w:vAlign w:val="center"/>
          </w:tcPr>
          <w:p>
            <w:pPr>
              <w:widowControl w:val="0"/>
              <w:wordWrap w:val="0"/>
              <w:topLinePunct/>
              <w:autoSpaceDE w:val="0"/>
              <w:autoSpaceDN w:val="0"/>
              <w:adjustRightInd w:val="0"/>
              <w:spacing w:line="360" w:lineRule="exact"/>
              <w:jc w:val="left"/>
              <w:rPr>
                <w:rFonts w:hint="eastAsia" w:ascii="Calibri" w:hAnsi="Calibri" w:eastAsia="宋体" w:cs="Times New Roman"/>
                <w:b w:val="0"/>
                <w:kern w:val="2"/>
                <w:sz w:val="21"/>
                <w:szCs w:val="21"/>
                <w:highlight w:val="none"/>
                <w:vertAlign w:val="baseline"/>
                <w:lang w:val="en-US" w:eastAsia="zh-CN" w:bidi="ar-SA"/>
              </w:rPr>
            </w:pPr>
            <w:r>
              <w:rPr>
                <w:rFonts w:hint="eastAsia" w:ascii="宋体" w:hAnsi="宋体" w:eastAsia="宋体" w:cs="宋体"/>
                <w:kern w:val="0"/>
                <w:sz w:val="21"/>
                <w:szCs w:val="21"/>
                <w:highlight w:val="none"/>
                <w:lang w:val="en-US" w:eastAsia="zh-CN" w:bidi="ar-SA"/>
              </w:rPr>
              <w:t>投标人2020年1月1日以来承接的电力建筑工程（或电气工程专业）类项目业绩，每提供一项得2分，最高得16分。注：以合同签订时间为准，需提供合同关键页复印件加盖投标人公章，不提供、提供不全的不得分</w:t>
            </w:r>
          </w:p>
        </w:tc>
        <w:tc>
          <w:tcPr>
            <w:tcW w:w="730" w:type="dxa"/>
            <w:vAlign w:val="center"/>
          </w:tcPr>
          <w:p>
            <w:pPr>
              <w:widowControl w:val="0"/>
              <w:wordWrap w:val="0"/>
              <w:topLinePunct/>
              <w:autoSpaceDE w:val="0"/>
              <w:autoSpaceDN w:val="0"/>
              <w:adjustRightInd w:val="0"/>
              <w:spacing w:line="360" w:lineRule="exact"/>
              <w:jc w:val="left"/>
              <w:rPr>
                <w:rFonts w:hint="eastAsia" w:ascii="宋体" w:hAnsi="宋体" w:eastAsia="宋体" w:cs="宋体"/>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339" w:type="dxa"/>
            <w:vMerge w:val="continue"/>
            <w:vAlign w:val="center"/>
          </w:tcPr>
          <w:p>
            <w:pPr>
              <w:spacing w:line="360" w:lineRule="exact"/>
              <w:jc w:val="center"/>
              <w:rPr>
                <w:rFonts w:hint="eastAsia" w:ascii="Calibri" w:hAnsi="Calibri" w:eastAsia="宋体" w:cs="Times New Roman"/>
                <w:b w:val="0"/>
                <w:sz w:val="21"/>
                <w:szCs w:val="21"/>
                <w:highlight w:val="none"/>
                <w:vertAlign w:val="baseline"/>
              </w:rPr>
            </w:pPr>
          </w:p>
        </w:tc>
        <w:tc>
          <w:tcPr>
            <w:tcW w:w="1450" w:type="dxa"/>
            <w:vAlign w:val="center"/>
          </w:tcPr>
          <w:p>
            <w:pPr>
              <w:spacing w:line="360" w:lineRule="exact"/>
              <w:jc w:val="center"/>
              <w:rPr>
                <w:rFonts w:hint="eastAsia" w:ascii="Calibri" w:hAnsi="Calibri" w:eastAsia="宋体" w:cs="Times New Roman"/>
                <w:b w:val="0"/>
                <w:sz w:val="21"/>
                <w:szCs w:val="21"/>
                <w:highlight w:val="none"/>
                <w:vertAlign w:val="baseline"/>
              </w:rPr>
            </w:pPr>
            <w:r>
              <w:rPr>
                <w:rFonts w:hint="eastAsia" w:ascii="Calibri" w:hAnsi="Calibri" w:eastAsia="宋体" w:cs="Times New Roman"/>
                <w:b w:val="0"/>
                <w:sz w:val="21"/>
                <w:szCs w:val="21"/>
                <w:highlight w:val="none"/>
                <w:vertAlign w:val="baseline"/>
              </w:rPr>
              <w:t>财务情况</w:t>
            </w:r>
          </w:p>
        </w:tc>
        <w:tc>
          <w:tcPr>
            <w:tcW w:w="917" w:type="dxa"/>
            <w:vAlign w:val="center"/>
          </w:tcPr>
          <w:p>
            <w:pPr>
              <w:spacing w:line="360" w:lineRule="exact"/>
              <w:jc w:val="center"/>
              <w:rPr>
                <w:rFonts w:hint="eastAsia" w:ascii="宋体" w:hAnsi="宋体" w:eastAsia="宋体" w:cs="宋体"/>
                <w:b w:val="0"/>
                <w:sz w:val="21"/>
                <w:szCs w:val="21"/>
                <w:highlight w:val="none"/>
                <w:vertAlign w:val="baseline"/>
              </w:rPr>
            </w:pPr>
            <w:r>
              <w:rPr>
                <w:rFonts w:hint="eastAsia" w:ascii="宋体" w:hAnsi="宋体" w:eastAsia="宋体" w:cs="宋体"/>
                <w:szCs w:val="21"/>
                <w:highlight w:val="none"/>
                <w:lang w:val="en-US" w:eastAsia="zh-CN"/>
              </w:rPr>
              <w:t>5</w:t>
            </w:r>
          </w:p>
        </w:tc>
        <w:tc>
          <w:tcPr>
            <w:tcW w:w="9400" w:type="dxa"/>
            <w:vAlign w:val="center"/>
          </w:tcPr>
          <w:p>
            <w:pPr>
              <w:jc w:val="left"/>
              <w:rPr>
                <w:rFonts w:hint="eastAsia" w:ascii="宋体" w:hAnsi="宋体" w:eastAsia="宋体" w:cs="宋体"/>
                <w:color w:val="000000"/>
                <w:highlight w:val="none"/>
              </w:rPr>
            </w:pPr>
            <w:r>
              <w:rPr>
                <w:rFonts w:hint="eastAsia" w:ascii="宋体" w:hAnsi="宋体" w:eastAsia="宋体" w:cs="宋体"/>
                <w:color w:val="000000"/>
                <w:highlight w:val="none"/>
              </w:rPr>
              <w:t>投标人近三年(2020年度、2021年度、2022年度）财务状况：</w:t>
            </w:r>
          </w:p>
          <w:p>
            <w:pPr>
              <w:jc w:val="left"/>
              <w:rPr>
                <w:rFonts w:hint="eastAsia" w:ascii="宋体" w:hAnsi="宋体" w:eastAsia="宋体" w:cs="宋体"/>
                <w:color w:val="000000"/>
                <w:highlight w:val="none"/>
              </w:rPr>
            </w:pPr>
            <w:r>
              <w:rPr>
                <w:rFonts w:hint="eastAsia" w:ascii="宋体" w:hAnsi="宋体" w:eastAsia="宋体" w:cs="宋体"/>
                <w:color w:val="000000"/>
                <w:highlight w:val="none"/>
              </w:rPr>
              <w:t>连续三年盈利且平均资产负债率在0～</w:t>
            </w:r>
            <w:r>
              <w:rPr>
                <w:rFonts w:hint="eastAsia" w:ascii="宋体" w:hAnsi="宋体" w:eastAsia="宋体" w:cs="宋体"/>
                <w:color w:val="000000"/>
                <w:highlight w:val="none"/>
                <w:lang w:val="en-US" w:eastAsia="zh-CN"/>
              </w:rPr>
              <w:t>40</w:t>
            </w:r>
            <w:r>
              <w:rPr>
                <w:rFonts w:hint="eastAsia" w:ascii="宋体" w:hAnsi="宋体" w:eastAsia="宋体" w:cs="宋体"/>
                <w:color w:val="000000"/>
                <w:highlight w:val="none"/>
              </w:rPr>
              <w:t>%（含</w:t>
            </w:r>
            <w:r>
              <w:rPr>
                <w:rFonts w:hint="eastAsia" w:ascii="宋体" w:hAnsi="宋体" w:eastAsia="宋体" w:cs="宋体"/>
                <w:color w:val="000000"/>
                <w:highlight w:val="none"/>
                <w:lang w:val="en-US" w:eastAsia="zh-CN"/>
              </w:rPr>
              <w:t>40</w:t>
            </w:r>
            <w:r>
              <w:rPr>
                <w:rFonts w:hint="eastAsia" w:ascii="宋体" w:hAnsi="宋体" w:eastAsia="宋体" w:cs="宋体"/>
                <w:color w:val="000000"/>
                <w:highlight w:val="none"/>
              </w:rPr>
              <w:t>%）的，得</w:t>
            </w:r>
            <w:r>
              <w:rPr>
                <w:rFonts w:hint="eastAsia" w:ascii="宋体" w:hAnsi="宋体" w:eastAsia="宋体" w:cs="宋体"/>
                <w:color w:val="000000"/>
                <w:highlight w:val="none"/>
                <w:lang w:val="en-US" w:eastAsia="zh-CN"/>
              </w:rPr>
              <w:t>5</w:t>
            </w:r>
            <w:r>
              <w:rPr>
                <w:rFonts w:hint="eastAsia" w:ascii="宋体" w:hAnsi="宋体" w:eastAsia="宋体" w:cs="宋体"/>
                <w:color w:val="000000"/>
                <w:highlight w:val="none"/>
              </w:rPr>
              <w:t>分；</w:t>
            </w:r>
            <w:r>
              <w:rPr>
                <w:rFonts w:hint="eastAsia" w:ascii="宋体" w:hAnsi="宋体" w:eastAsia="宋体" w:cs="宋体"/>
                <w:color w:val="000000"/>
                <w:highlight w:val="none"/>
              </w:rPr>
              <w:cr/>
            </w:r>
            <w:r>
              <w:rPr>
                <w:rFonts w:hint="eastAsia" w:ascii="宋体" w:hAnsi="宋体" w:eastAsia="宋体" w:cs="宋体"/>
                <w:color w:val="000000"/>
                <w:highlight w:val="none"/>
              </w:rPr>
              <w:t>连续三年盈利且平均资产负债率在</w:t>
            </w:r>
            <w:r>
              <w:rPr>
                <w:rFonts w:hint="eastAsia" w:ascii="宋体" w:hAnsi="宋体" w:eastAsia="宋体" w:cs="宋体"/>
                <w:color w:val="000000"/>
                <w:highlight w:val="none"/>
                <w:lang w:val="en-US" w:eastAsia="zh-CN"/>
              </w:rPr>
              <w:t>40</w:t>
            </w:r>
            <w:r>
              <w:rPr>
                <w:rFonts w:hint="eastAsia" w:ascii="宋体" w:hAnsi="宋体" w:eastAsia="宋体" w:cs="宋体"/>
                <w:color w:val="000000"/>
                <w:highlight w:val="none"/>
              </w:rPr>
              <w:t>%（不含</w:t>
            </w:r>
            <w:r>
              <w:rPr>
                <w:rFonts w:hint="eastAsia" w:ascii="宋体" w:hAnsi="宋体" w:eastAsia="宋体" w:cs="宋体"/>
                <w:color w:val="000000"/>
                <w:highlight w:val="none"/>
                <w:lang w:val="en-US" w:eastAsia="zh-CN"/>
              </w:rPr>
              <w:t>40</w:t>
            </w: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60</w:t>
            </w:r>
            <w:r>
              <w:rPr>
                <w:rFonts w:hint="eastAsia" w:ascii="宋体" w:hAnsi="宋体" w:eastAsia="宋体" w:cs="宋体"/>
                <w:color w:val="000000"/>
                <w:highlight w:val="none"/>
              </w:rPr>
              <w:t>%（含</w:t>
            </w:r>
            <w:r>
              <w:rPr>
                <w:rFonts w:hint="eastAsia" w:ascii="宋体" w:hAnsi="宋体" w:eastAsia="宋体" w:cs="宋体"/>
                <w:color w:val="000000"/>
                <w:highlight w:val="none"/>
                <w:lang w:val="en-US" w:eastAsia="zh-CN"/>
              </w:rPr>
              <w:t>60</w:t>
            </w:r>
            <w:r>
              <w:rPr>
                <w:rFonts w:hint="eastAsia" w:ascii="宋体" w:hAnsi="宋体" w:eastAsia="宋体" w:cs="宋体"/>
                <w:color w:val="000000"/>
                <w:highlight w:val="none"/>
              </w:rPr>
              <w:t>%）的，得</w:t>
            </w:r>
            <w:r>
              <w:rPr>
                <w:rFonts w:hint="eastAsia" w:ascii="宋体" w:hAnsi="宋体" w:eastAsia="宋体" w:cs="宋体"/>
                <w:color w:val="000000"/>
                <w:highlight w:val="none"/>
                <w:lang w:val="en-US" w:eastAsia="zh-CN"/>
              </w:rPr>
              <w:t>3</w:t>
            </w:r>
            <w:r>
              <w:rPr>
                <w:rFonts w:hint="eastAsia" w:ascii="宋体" w:hAnsi="宋体" w:eastAsia="宋体" w:cs="宋体"/>
                <w:color w:val="000000"/>
                <w:highlight w:val="none"/>
              </w:rPr>
              <w:t>分；</w:t>
            </w:r>
            <w:r>
              <w:rPr>
                <w:rFonts w:hint="eastAsia" w:ascii="宋体" w:hAnsi="宋体" w:eastAsia="宋体" w:cs="宋体"/>
                <w:color w:val="000000"/>
                <w:highlight w:val="none"/>
              </w:rPr>
              <w:cr/>
            </w:r>
            <w:r>
              <w:rPr>
                <w:rFonts w:hint="eastAsia" w:ascii="宋体" w:hAnsi="宋体" w:eastAsia="宋体" w:cs="宋体"/>
                <w:color w:val="000000"/>
                <w:highlight w:val="none"/>
              </w:rPr>
              <w:t>连续三年盈利且平均资产负债率在</w:t>
            </w:r>
            <w:r>
              <w:rPr>
                <w:rFonts w:hint="eastAsia" w:ascii="宋体" w:hAnsi="宋体" w:eastAsia="宋体" w:cs="宋体"/>
                <w:color w:val="000000"/>
                <w:highlight w:val="none"/>
                <w:lang w:val="en-US" w:eastAsia="zh-CN"/>
              </w:rPr>
              <w:t>60</w:t>
            </w:r>
            <w:r>
              <w:rPr>
                <w:rFonts w:hint="eastAsia" w:ascii="宋体" w:hAnsi="宋体" w:eastAsia="宋体" w:cs="宋体"/>
                <w:color w:val="000000"/>
                <w:highlight w:val="none"/>
              </w:rPr>
              <w:t>%（不含</w:t>
            </w:r>
            <w:r>
              <w:rPr>
                <w:rFonts w:hint="eastAsia" w:ascii="宋体" w:hAnsi="宋体" w:eastAsia="宋体" w:cs="宋体"/>
                <w:color w:val="000000"/>
                <w:highlight w:val="none"/>
                <w:lang w:val="en-US" w:eastAsia="zh-CN"/>
              </w:rPr>
              <w:t>60</w:t>
            </w: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80</w:t>
            </w:r>
            <w:r>
              <w:rPr>
                <w:rFonts w:hint="eastAsia" w:ascii="宋体" w:hAnsi="宋体" w:eastAsia="宋体" w:cs="宋体"/>
                <w:color w:val="000000"/>
                <w:highlight w:val="none"/>
              </w:rPr>
              <w:t>%（含</w:t>
            </w:r>
            <w:r>
              <w:rPr>
                <w:rFonts w:hint="eastAsia" w:ascii="宋体" w:hAnsi="宋体" w:eastAsia="宋体" w:cs="宋体"/>
                <w:color w:val="000000"/>
                <w:highlight w:val="none"/>
                <w:lang w:val="en-US" w:eastAsia="zh-CN"/>
              </w:rPr>
              <w:t>80</w:t>
            </w:r>
            <w:r>
              <w:rPr>
                <w:rFonts w:hint="eastAsia" w:ascii="宋体" w:hAnsi="宋体" w:eastAsia="宋体" w:cs="宋体"/>
                <w:color w:val="000000"/>
                <w:highlight w:val="none"/>
              </w:rPr>
              <w:t>%）的，得</w:t>
            </w:r>
            <w:r>
              <w:rPr>
                <w:rFonts w:hint="eastAsia" w:ascii="宋体" w:hAnsi="宋体" w:eastAsia="宋体" w:cs="宋体"/>
                <w:color w:val="000000"/>
                <w:highlight w:val="none"/>
                <w:lang w:val="en-US" w:eastAsia="zh-CN"/>
              </w:rPr>
              <w:t>1</w:t>
            </w:r>
            <w:r>
              <w:rPr>
                <w:rFonts w:hint="eastAsia" w:ascii="宋体" w:hAnsi="宋体" w:eastAsia="宋体" w:cs="宋体"/>
                <w:color w:val="000000"/>
                <w:highlight w:val="none"/>
              </w:rPr>
              <w:t>分；</w:t>
            </w:r>
          </w:p>
          <w:p>
            <w:pPr>
              <w:jc w:val="left"/>
              <w:rPr>
                <w:rFonts w:hint="eastAsia" w:ascii="宋体" w:hAnsi="宋体" w:eastAsia="宋体" w:cs="宋体"/>
                <w:color w:val="000000"/>
                <w:highlight w:val="none"/>
                <w:lang w:val="en-US" w:eastAsia="zh-CN"/>
              </w:rPr>
            </w:pPr>
            <w:r>
              <w:rPr>
                <w:rFonts w:hint="eastAsia" w:ascii="宋体" w:hAnsi="宋体" w:eastAsia="宋体" w:cs="宋体"/>
                <w:color w:val="000000"/>
                <w:highlight w:val="none"/>
              </w:rPr>
              <w:t>本项最多得</w:t>
            </w:r>
            <w:r>
              <w:rPr>
                <w:rFonts w:hint="eastAsia" w:ascii="宋体" w:hAnsi="宋体" w:eastAsia="宋体" w:cs="宋体"/>
                <w:color w:val="000000"/>
                <w:highlight w:val="none"/>
                <w:lang w:val="en-US" w:eastAsia="zh-CN"/>
              </w:rPr>
              <w:t>5</w:t>
            </w:r>
            <w:r>
              <w:rPr>
                <w:rFonts w:hint="eastAsia" w:ascii="宋体" w:hAnsi="宋体" w:eastAsia="宋体" w:cs="宋体"/>
                <w:color w:val="000000"/>
                <w:highlight w:val="none"/>
              </w:rPr>
              <w:t>分。</w:t>
            </w:r>
            <w:r>
              <w:rPr>
                <w:rFonts w:hint="eastAsia" w:ascii="宋体" w:hAnsi="宋体" w:eastAsia="宋体" w:cs="宋体"/>
                <w:color w:val="000000"/>
                <w:highlight w:val="none"/>
                <w:lang w:val="en-US" w:eastAsia="zh-CN"/>
              </w:rPr>
              <w:t xml:space="preserve">   </w:t>
            </w:r>
          </w:p>
          <w:p>
            <w:pPr>
              <w:jc w:val="left"/>
              <w:rPr>
                <w:rFonts w:hint="eastAsia" w:ascii="Calibri" w:hAnsi="Calibri" w:eastAsia="宋体" w:cs="Times New Roman"/>
                <w:b w:val="0"/>
                <w:sz w:val="21"/>
                <w:szCs w:val="21"/>
                <w:highlight w:val="none"/>
                <w:vertAlign w:val="baseline"/>
              </w:rPr>
            </w:pPr>
            <w:r>
              <w:rPr>
                <w:rFonts w:hint="eastAsia" w:ascii="宋体" w:hAnsi="宋体" w:eastAsia="宋体" w:cs="宋体"/>
                <w:color w:val="000000"/>
                <w:highlight w:val="none"/>
              </w:rPr>
              <w:t>注：资产负债率＝负债总额/资产总额×100%，以投标人20</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rPr>
              <w:t>年度、20</w:t>
            </w:r>
            <w:r>
              <w:rPr>
                <w:rFonts w:hint="eastAsia" w:ascii="宋体" w:hAnsi="宋体" w:eastAsia="宋体" w:cs="宋体"/>
                <w:color w:val="000000"/>
                <w:highlight w:val="none"/>
                <w:lang w:val="en-US" w:eastAsia="zh-CN"/>
              </w:rPr>
              <w:t>21</w:t>
            </w:r>
            <w:r>
              <w:rPr>
                <w:rFonts w:hint="eastAsia" w:ascii="宋体" w:hAnsi="宋体" w:eastAsia="宋体" w:cs="宋体"/>
                <w:color w:val="000000"/>
                <w:highlight w:val="none"/>
              </w:rPr>
              <w:t>年度</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202</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rPr>
              <w:t>年度经会计师事务所出具的财务报告数据为准，投标人须提供20</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rPr>
              <w:t>年度、20</w:t>
            </w:r>
            <w:r>
              <w:rPr>
                <w:rFonts w:hint="eastAsia" w:ascii="宋体" w:hAnsi="宋体" w:eastAsia="宋体" w:cs="宋体"/>
                <w:color w:val="000000"/>
                <w:highlight w:val="none"/>
                <w:lang w:val="en-US" w:eastAsia="zh-CN"/>
              </w:rPr>
              <w:t>21</w:t>
            </w:r>
            <w:r>
              <w:rPr>
                <w:rFonts w:hint="eastAsia" w:ascii="宋体" w:hAnsi="宋体" w:eastAsia="宋体" w:cs="宋体"/>
                <w:color w:val="000000"/>
                <w:highlight w:val="none"/>
              </w:rPr>
              <w:t>年度</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202</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rPr>
              <w:t>年度财务报告（包含审计报告、资产负债表、现金流量表等）</w:t>
            </w:r>
            <w:r>
              <w:rPr>
                <w:rFonts w:hint="eastAsia" w:ascii="宋体" w:hAnsi="宋体" w:eastAsia="宋体" w:cs="宋体"/>
                <w:color w:val="000000"/>
                <w:highlight w:val="none"/>
                <w:lang w:val="en-US" w:eastAsia="zh-CN"/>
              </w:rPr>
              <w:t>清晰复印</w:t>
            </w:r>
            <w:r>
              <w:rPr>
                <w:rFonts w:hint="eastAsia" w:ascii="宋体" w:hAnsi="宋体" w:eastAsia="宋体" w:cs="宋体"/>
                <w:color w:val="000000"/>
                <w:highlight w:val="none"/>
              </w:rPr>
              <w:t>件并加盖公章</w:t>
            </w:r>
            <w:r>
              <w:rPr>
                <w:rFonts w:hint="eastAsia" w:ascii="宋体" w:hAnsi="宋体" w:eastAsia="宋体" w:cs="宋体"/>
                <w:color w:val="000000"/>
                <w:highlight w:val="none"/>
                <w:lang w:eastAsia="zh-CN"/>
              </w:rPr>
              <w:t>；</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r>
              <w:rPr>
                <w:rFonts w:hint="eastAsia" w:ascii="宋体" w:hAnsi="宋体" w:eastAsia="宋体" w:cs="宋体"/>
                <w:color w:val="000000"/>
                <w:highlight w:val="none"/>
              </w:rPr>
              <w:t>。</w:t>
            </w:r>
          </w:p>
        </w:tc>
        <w:tc>
          <w:tcPr>
            <w:tcW w:w="730" w:type="dxa"/>
            <w:vAlign w:val="center"/>
          </w:tcPr>
          <w:p>
            <w:pPr>
              <w:spacing w:line="360" w:lineRule="exact"/>
              <w:jc w:val="left"/>
              <w:rPr>
                <w:rFonts w:ascii="宋体" w:hAnsi="宋体" w:eastAsia="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339" w:type="dxa"/>
            <w:vMerge w:val="continue"/>
            <w:vAlign w:val="center"/>
          </w:tcPr>
          <w:p>
            <w:pPr>
              <w:spacing w:line="360" w:lineRule="exact"/>
              <w:jc w:val="center"/>
              <w:rPr>
                <w:rFonts w:hint="eastAsia" w:ascii="Calibri" w:hAnsi="Calibri" w:eastAsia="宋体" w:cs="Times New Roman"/>
                <w:b w:val="0"/>
                <w:sz w:val="21"/>
                <w:szCs w:val="21"/>
                <w:highlight w:val="none"/>
                <w:vertAlign w:val="baseline"/>
              </w:rPr>
            </w:pPr>
          </w:p>
        </w:tc>
        <w:tc>
          <w:tcPr>
            <w:tcW w:w="1450" w:type="dxa"/>
            <w:vAlign w:val="center"/>
          </w:tcPr>
          <w:p>
            <w:pPr>
              <w:spacing w:line="360" w:lineRule="exact"/>
              <w:jc w:val="center"/>
              <w:rPr>
                <w:rFonts w:hint="eastAsia" w:ascii="Calibri" w:hAnsi="Calibri" w:eastAsia="宋体" w:cs="Times New Roman"/>
                <w:b w:val="0"/>
                <w:sz w:val="21"/>
                <w:szCs w:val="21"/>
                <w:highlight w:val="none"/>
                <w:vertAlign w:val="baseline"/>
              </w:rPr>
            </w:pPr>
            <w:r>
              <w:rPr>
                <w:rFonts w:hint="eastAsia" w:ascii="Calibri" w:hAnsi="Calibri" w:eastAsia="宋体" w:cs="Times New Roman"/>
                <w:b w:val="0"/>
                <w:sz w:val="21"/>
                <w:szCs w:val="21"/>
                <w:highlight w:val="none"/>
                <w:vertAlign w:val="baseline"/>
              </w:rPr>
              <w:t>拟投入项目管理机构及人员情况</w:t>
            </w:r>
          </w:p>
        </w:tc>
        <w:tc>
          <w:tcPr>
            <w:tcW w:w="917" w:type="dxa"/>
            <w:vAlign w:val="center"/>
          </w:tcPr>
          <w:p>
            <w:pPr>
              <w:spacing w:line="360" w:lineRule="exact"/>
              <w:jc w:val="center"/>
              <w:rPr>
                <w:rFonts w:hint="default" w:ascii="宋体" w:hAnsi="宋体" w:eastAsia="宋体" w:cs="宋体"/>
                <w:b w:val="0"/>
                <w:sz w:val="21"/>
                <w:szCs w:val="21"/>
                <w:highlight w:val="none"/>
                <w:vertAlign w:val="baseline"/>
                <w:lang w:val="en-US"/>
              </w:rPr>
            </w:pPr>
            <w:r>
              <w:rPr>
                <w:rFonts w:hint="eastAsia" w:ascii="宋体" w:hAnsi="宋体" w:eastAsia="宋体" w:cs="宋体"/>
                <w:sz w:val="21"/>
                <w:szCs w:val="21"/>
                <w:highlight w:val="none"/>
                <w:lang w:val="en-US" w:eastAsia="zh-CN"/>
              </w:rPr>
              <w:t>16</w:t>
            </w:r>
          </w:p>
        </w:tc>
        <w:tc>
          <w:tcPr>
            <w:tcW w:w="9400" w:type="dxa"/>
            <w:vAlign w:val="center"/>
          </w:tcPr>
          <w:p>
            <w:pPr>
              <w:jc w:val="left"/>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技术负责人：</w:t>
            </w:r>
            <w:r>
              <w:rPr>
                <w:rFonts w:hint="eastAsia" w:ascii="宋体" w:hAnsi="宋体" w:eastAsia="宋体" w:cs="宋体"/>
                <w:color w:val="000000"/>
                <w:highlight w:val="none"/>
              </w:rPr>
              <w:t>具有</w:t>
            </w:r>
            <w:r>
              <w:rPr>
                <w:rFonts w:hint="eastAsia" w:ascii="宋体" w:hAnsi="宋体" w:eastAsia="宋体" w:cs="宋体"/>
                <w:color w:val="000000"/>
                <w:highlight w:val="none"/>
                <w:lang w:eastAsia="zh-CN"/>
              </w:rPr>
              <w:t>机电工程类</w:t>
            </w:r>
            <w:r>
              <w:rPr>
                <w:rFonts w:hint="eastAsia" w:ascii="宋体" w:hAnsi="宋体" w:eastAsia="宋体" w:cs="宋体"/>
                <w:color w:val="000000"/>
                <w:highlight w:val="none"/>
              </w:rPr>
              <w:t>高级（或以上）工程师职称的</w:t>
            </w:r>
            <w:r>
              <w:rPr>
                <w:rFonts w:hint="eastAsia" w:ascii="宋体" w:hAnsi="宋体" w:eastAsia="宋体" w:cs="宋体"/>
                <w:color w:val="000000"/>
                <w:highlight w:val="none"/>
                <w:lang w:eastAsia="zh-CN"/>
              </w:rPr>
              <w:t>，得</w:t>
            </w:r>
            <w:r>
              <w:rPr>
                <w:rFonts w:hint="eastAsia" w:ascii="宋体" w:hAnsi="宋体" w:eastAsia="宋体" w:cs="宋体"/>
                <w:color w:val="000000"/>
                <w:highlight w:val="none"/>
                <w:lang w:val="en-US" w:eastAsia="zh-CN"/>
              </w:rPr>
              <w:t>4分</w:t>
            </w:r>
            <w:r>
              <w:rPr>
                <w:rFonts w:hint="eastAsia" w:ascii="宋体" w:hAnsi="宋体" w:eastAsia="宋体" w:cs="宋体"/>
                <w:color w:val="000000"/>
                <w:highlight w:val="none"/>
              </w:rPr>
              <w:t>；具有</w:t>
            </w:r>
            <w:r>
              <w:rPr>
                <w:rFonts w:hint="eastAsia" w:ascii="宋体" w:hAnsi="宋体" w:eastAsia="宋体" w:cs="宋体"/>
                <w:color w:val="000000"/>
                <w:highlight w:val="none"/>
                <w:lang w:eastAsia="zh-CN"/>
              </w:rPr>
              <w:t>机电工程类中级</w:t>
            </w:r>
            <w:r>
              <w:rPr>
                <w:rFonts w:hint="eastAsia" w:ascii="宋体" w:hAnsi="宋体" w:eastAsia="宋体" w:cs="宋体"/>
                <w:color w:val="000000"/>
                <w:highlight w:val="none"/>
              </w:rPr>
              <w:t>工程师职称的</w:t>
            </w:r>
            <w:r>
              <w:rPr>
                <w:rFonts w:hint="eastAsia" w:ascii="宋体" w:hAnsi="宋体" w:eastAsia="宋体" w:cs="宋体"/>
                <w:color w:val="000000"/>
                <w:highlight w:val="none"/>
                <w:lang w:eastAsia="zh-CN"/>
              </w:rPr>
              <w:t>，得</w:t>
            </w:r>
            <w:r>
              <w:rPr>
                <w:rFonts w:hint="eastAsia" w:ascii="宋体" w:hAnsi="宋体" w:eastAsia="宋体" w:cs="宋体"/>
                <w:color w:val="000000"/>
                <w:highlight w:val="none"/>
                <w:lang w:val="en-US" w:eastAsia="zh-CN"/>
              </w:rPr>
              <w:t>2分；</w:t>
            </w:r>
            <w:r>
              <w:rPr>
                <w:rFonts w:hint="eastAsia" w:ascii="宋体" w:hAnsi="宋体" w:eastAsia="宋体" w:cs="宋体"/>
                <w:color w:val="000000"/>
                <w:highlight w:val="none"/>
              </w:rPr>
              <w:t>其它不得分；</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宋体" w:hAnsi="宋体" w:eastAsia="宋体" w:cs="宋体"/>
                <w:b w:val="0"/>
                <w:bCs w:val="0"/>
                <w:color w:val="auto"/>
                <w:sz w:val="18"/>
                <w:szCs w:val="18"/>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w:t>
            </w:r>
            <w:r>
              <w:rPr>
                <w:rFonts w:hint="eastAsia" w:ascii="宋体" w:hAnsi="宋体" w:eastAsia="宋体" w:cs="宋体"/>
                <w:szCs w:val="21"/>
                <w:highlight w:val="none"/>
              </w:rPr>
              <w:t>造价负责人</w:t>
            </w:r>
            <w:r>
              <w:rPr>
                <w:rFonts w:hint="eastAsia" w:ascii="宋体" w:hAnsi="宋体" w:eastAsia="宋体" w:cs="宋体"/>
                <w:szCs w:val="21"/>
                <w:highlight w:val="none"/>
              </w:rPr>
              <w:t>：</w:t>
            </w:r>
            <w:r>
              <w:rPr>
                <w:rFonts w:hint="eastAsia" w:ascii="宋体" w:hAnsi="宋体" w:eastAsia="宋体" w:cs="宋体"/>
                <w:color w:val="000000"/>
                <w:highlight w:val="none"/>
                <w:lang w:val="en-US" w:eastAsia="zh-CN"/>
              </w:rPr>
              <w:t>具有有效的</w:t>
            </w:r>
            <w:r>
              <w:rPr>
                <w:rFonts w:hint="eastAsia" w:ascii="宋体" w:hAnsi="宋体" w:eastAsia="宋体" w:cs="宋体"/>
                <w:color w:val="000000"/>
                <w:highlight w:val="none"/>
              </w:rPr>
              <w:t>一级</w:t>
            </w:r>
            <w:r>
              <w:rPr>
                <w:rFonts w:hint="eastAsia" w:ascii="宋体" w:hAnsi="宋体" w:eastAsia="宋体" w:cs="宋体"/>
                <w:color w:val="000000"/>
                <w:highlight w:val="none"/>
                <w:lang w:val="en-US" w:eastAsia="zh-CN"/>
              </w:rPr>
              <w:t>注册造价师证书且</w:t>
            </w:r>
            <w:r>
              <w:rPr>
                <w:rFonts w:hint="eastAsia" w:ascii="宋体" w:hAnsi="宋体" w:eastAsia="宋体" w:cs="宋体"/>
                <w:color w:val="000000"/>
                <w:highlight w:val="none"/>
              </w:rPr>
              <w:t>具有</w:t>
            </w:r>
            <w:r>
              <w:rPr>
                <w:rFonts w:hint="eastAsia" w:ascii="宋体" w:hAnsi="宋体" w:eastAsia="宋体" w:cs="宋体"/>
                <w:color w:val="000000"/>
                <w:highlight w:val="none"/>
                <w:lang w:val="en-US" w:eastAsia="zh-CN"/>
              </w:rPr>
              <w:t>机电</w:t>
            </w:r>
            <w:r>
              <w:rPr>
                <w:rFonts w:hint="eastAsia" w:ascii="宋体" w:hAnsi="宋体" w:eastAsia="宋体" w:cs="宋体"/>
                <w:color w:val="000000"/>
                <w:highlight w:val="none"/>
                <w:lang w:eastAsia="zh-CN"/>
              </w:rPr>
              <w:t>类</w:t>
            </w:r>
            <w:r>
              <w:rPr>
                <w:rFonts w:hint="eastAsia" w:ascii="宋体" w:hAnsi="宋体" w:eastAsia="宋体" w:cs="宋体"/>
                <w:color w:val="000000"/>
                <w:highlight w:val="none"/>
              </w:rPr>
              <w:t>中级（或以上）工程师职称，得</w:t>
            </w:r>
            <w:r>
              <w:rPr>
                <w:rFonts w:hint="eastAsia" w:ascii="宋体" w:hAnsi="宋体" w:eastAsia="宋体" w:cs="宋体"/>
                <w:color w:val="000000"/>
                <w:highlight w:val="none"/>
                <w:lang w:val="en-US" w:eastAsia="zh-CN"/>
              </w:rPr>
              <w:t>4</w:t>
            </w:r>
            <w:r>
              <w:rPr>
                <w:rFonts w:hint="eastAsia" w:ascii="宋体" w:hAnsi="宋体" w:eastAsia="宋体" w:cs="宋体"/>
                <w:color w:val="000000"/>
                <w:highlight w:val="none"/>
              </w:rPr>
              <w:t>分，其它不得分；</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（3）安全负责人：具有注册安全工程师的，得2分；具有机电工程类中级（或以上）工程师职称，得2分；最多得4分；</w:t>
            </w:r>
          </w:p>
          <w:p>
            <w:pP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lang w:eastAsia="zh-CN"/>
              </w:rPr>
              <w:t>）质量负责人：</w:t>
            </w:r>
            <w:r>
              <w:rPr>
                <w:rFonts w:hint="eastAsia" w:ascii="宋体" w:hAnsi="宋体" w:eastAsia="宋体" w:cs="宋体"/>
                <w:color w:val="000000"/>
                <w:highlight w:val="none"/>
              </w:rPr>
              <w:t>具有</w:t>
            </w:r>
            <w:r>
              <w:rPr>
                <w:rFonts w:hint="eastAsia" w:ascii="宋体" w:hAnsi="宋体" w:eastAsia="宋体" w:cs="宋体"/>
                <w:color w:val="000000"/>
                <w:highlight w:val="none"/>
                <w:lang w:eastAsia="zh-CN"/>
              </w:rPr>
              <w:t>机电工程类</w:t>
            </w:r>
            <w:r>
              <w:rPr>
                <w:rFonts w:hint="eastAsia" w:ascii="宋体" w:hAnsi="宋体" w:eastAsia="宋体" w:cs="宋体"/>
                <w:color w:val="000000"/>
                <w:highlight w:val="none"/>
              </w:rPr>
              <w:t>高级（或以上）工程师职称的</w:t>
            </w:r>
            <w:r>
              <w:rPr>
                <w:rFonts w:hint="eastAsia" w:ascii="宋体" w:hAnsi="宋体" w:eastAsia="宋体" w:cs="宋体"/>
                <w:color w:val="000000"/>
                <w:highlight w:val="none"/>
                <w:lang w:eastAsia="zh-CN"/>
              </w:rPr>
              <w:t>，得</w:t>
            </w:r>
            <w:r>
              <w:rPr>
                <w:rFonts w:hint="eastAsia" w:ascii="宋体" w:hAnsi="宋体" w:eastAsia="宋体" w:cs="宋体"/>
                <w:color w:val="000000"/>
                <w:highlight w:val="none"/>
                <w:lang w:val="en-US" w:eastAsia="zh-CN"/>
              </w:rPr>
              <w:t>4分</w:t>
            </w:r>
            <w:r>
              <w:rPr>
                <w:rFonts w:hint="eastAsia" w:ascii="宋体" w:hAnsi="宋体" w:eastAsia="宋体" w:cs="宋体"/>
                <w:color w:val="000000"/>
                <w:highlight w:val="none"/>
              </w:rPr>
              <w:t>；具有</w:t>
            </w:r>
            <w:r>
              <w:rPr>
                <w:rFonts w:hint="eastAsia" w:ascii="宋体" w:hAnsi="宋体" w:eastAsia="宋体" w:cs="宋体"/>
                <w:color w:val="000000"/>
                <w:highlight w:val="none"/>
                <w:lang w:eastAsia="zh-CN"/>
              </w:rPr>
              <w:t>机电工程类中级</w:t>
            </w:r>
            <w:r>
              <w:rPr>
                <w:rFonts w:hint="eastAsia" w:ascii="宋体" w:hAnsi="宋体" w:eastAsia="宋体" w:cs="宋体"/>
                <w:color w:val="000000"/>
                <w:highlight w:val="none"/>
              </w:rPr>
              <w:t>工程师职称的</w:t>
            </w:r>
            <w:r>
              <w:rPr>
                <w:rFonts w:hint="eastAsia" w:ascii="宋体" w:hAnsi="宋体" w:eastAsia="宋体" w:cs="宋体"/>
                <w:color w:val="000000"/>
                <w:highlight w:val="none"/>
                <w:lang w:eastAsia="zh-CN"/>
              </w:rPr>
              <w:t>，得</w:t>
            </w:r>
            <w:r>
              <w:rPr>
                <w:rFonts w:hint="eastAsia" w:ascii="宋体" w:hAnsi="宋体" w:eastAsia="宋体" w:cs="宋体"/>
                <w:color w:val="000000"/>
                <w:highlight w:val="none"/>
                <w:lang w:val="en-US" w:eastAsia="zh-CN"/>
              </w:rPr>
              <w:t>2分；</w:t>
            </w:r>
            <w:r>
              <w:rPr>
                <w:rFonts w:hint="eastAsia" w:ascii="宋体" w:hAnsi="宋体" w:eastAsia="宋体" w:cs="宋体"/>
                <w:color w:val="000000"/>
                <w:highlight w:val="none"/>
              </w:rPr>
              <w:t>其它不得分；</w:t>
            </w:r>
          </w:p>
          <w:p>
            <w:pPr>
              <w:spacing w:line="240" w:lineRule="auto"/>
              <w:jc w:val="left"/>
              <w:rPr>
                <w:rFonts w:hint="eastAsia" w:ascii="Calibri" w:hAnsi="Calibri" w:eastAsia="宋体" w:cs="Times New Roman"/>
                <w:b w:val="0"/>
                <w:sz w:val="21"/>
                <w:szCs w:val="21"/>
                <w:highlight w:val="none"/>
                <w:vertAlign w:val="baseline"/>
              </w:rPr>
            </w:pPr>
            <w:r>
              <w:rPr>
                <w:rFonts w:hint="eastAsia" w:ascii="宋体" w:hAnsi="宋体" w:eastAsia="宋体" w:cs="宋体"/>
                <w:color w:val="000000"/>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730" w:type="dxa"/>
            <w:vAlign w:val="center"/>
          </w:tcPr>
          <w:p>
            <w:pPr>
              <w:spacing w:line="240" w:lineRule="auto"/>
              <w:jc w:val="left"/>
              <w:rPr>
                <w:rFonts w:hint="eastAsia" w:ascii="宋体" w:hAnsi="宋体" w:eastAsia="宋体" w:cs="宋体"/>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339" w:type="dxa"/>
            <w:vMerge w:val="restart"/>
            <w:vAlign w:val="center"/>
          </w:tcPr>
          <w:p>
            <w:pPr>
              <w:spacing w:line="360" w:lineRule="exact"/>
              <w:jc w:val="center"/>
              <w:rPr>
                <w:rFonts w:hint="eastAsia" w:ascii="Calibri" w:hAnsi="Calibri" w:eastAsia="宋体" w:cs="Times New Roman"/>
                <w:highlight w:val="none"/>
                <w:lang w:eastAsia="zh-CN"/>
              </w:rPr>
            </w:pPr>
            <w:r>
              <w:rPr>
                <w:rFonts w:hint="eastAsia" w:ascii="Calibri" w:hAnsi="Calibri" w:eastAsia="宋体" w:cs="Times New Roman"/>
                <w:highlight w:val="none"/>
                <w:lang w:eastAsia="zh-CN"/>
              </w:rPr>
              <w:t>技术部分</w:t>
            </w:r>
          </w:p>
          <w:p>
            <w:pPr>
              <w:snapToGrid w:val="0"/>
              <w:spacing w:line="24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widowControl w:val="0"/>
              <w:ind w:firstLine="480"/>
              <w:jc w:val="both"/>
              <w:rPr>
                <w:rFonts w:hint="eastAsia" w:ascii="Calibri" w:hAnsi="Calibri" w:eastAsia="宋体" w:cs="宋体"/>
                <w:kern w:val="2"/>
                <w:sz w:val="21"/>
                <w:szCs w:val="24"/>
                <w:highlight w:val="none"/>
                <w:lang w:val="en-US" w:eastAsia="zh-CN" w:bidi="ar-SA"/>
              </w:rPr>
            </w:pPr>
          </w:p>
        </w:tc>
        <w:tc>
          <w:tcPr>
            <w:tcW w:w="1450" w:type="dxa"/>
            <w:vAlign w:val="center"/>
          </w:tcPr>
          <w:p>
            <w:pPr>
              <w:spacing w:line="360" w:lineRule="exact"/>
              <w:jc w:val="center"/>
              <w:rPr>
                <w:rFonts w:hint="eastAsia" w:ascii="Calibri" w:hAnsi="Calibri" w:eastAsia="宋体" w:cs="Times New Roman"/>
                <w:b w:val="0"/>
                <w:sz w:val="21"/>
                <w:szCs w:val="21"/>
                <w:highlight w:val="none"/>
                <w:vertAlign w:val="baseline"/>
                <w:lang w:eastAsia="zh-CN"/>
              </w:rPr>
            </w:pPr>
            <w:r>
              <w:rPr>
                <w:rFonts w:hint="eastAsia" w:ascii="Calibri" w:hAnsi="Calibri" w:eastAsia="宋体" w:cs="Times New Roman"/>
                <w:b w:val="0"/>
                <w:sz w:val="21"/>
                <w:szCs w:val="21"/>
                <w:highlight w:val="none"/>
                <w:vertAlign w:val="baseline"/>
              </w:rPr>
              <w:t>施工组织方案</w:t>
            </w:r>
          </w:p>
        </w:tc>
        <w:tc>
          <w:tcPr>
            <w:tcW w:w="917"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9400" w:type="dxa"/>
            <w:vAlign w:val="center"/>
          </w:tcPr>
          <w:p>
            <w:pPr>
              <w:spacing w:line="360" w:lineRule="exact"/>
              <w:jc w:val="left"/>
              <w:rPr>
                <w:rFonts w:hint="eastAsia" w:ascii="宋体" w:hAnsi="宋体" w:eastAsia="宋体" w:cs="宋体"/>
                <w:color w:val="000000"/>
                <w:highlight w:val="none"/>
                <w:lang w:eastAsia="zh-CN"/>
              </w:rPr>
            </w:pPr>
            <w:r>
              <w:rPr>
                <w:rFonts w:hint="eastAsia" w:ascii="宋体" w:hAnsi="宋体" w:eastAsia="宋体" w:cs="宋体"/>
                <w:color w:val="000000"/>
                <w:highlight w:val="none"/>
              </w:rPr>
              <w:t>项目前期和总体施工组织方案内容的完整性，施工流程的条理清晰度，方案组织的科学性，项目目标是否满足招标文件要求</w:t>
            </w:r>
            <w:r>
              <w:rPr>
                <w:rFonts w:hint="eastAsia" w:ascii="宋体" w:hAnsi="宋体" w:eastAsia="宋体" w:cs="宋体"/>
                <w:color w:val="000000"/>
                <w:highlight w:val="none"/>
                <w:lang w:eastAsia="zh-CN"/>
              </w:rPr>
              <w:t>。</w:t>
            </w:r>
            <w:r>
              <w:rPr>
                <w:rFonts w:hint="default" w:ascii="宋体" w:hAnsi="宋体" w:eastAsia="宋体" w:cs="宋体"/>
                <w:szCs w:val="21"/>
                <w:highlight w:val="none"/>
              </w:rPr>
              <w:t>优：</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分；良：[</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差</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不提供方案不得分</w:t>
            </w:r>
            <w:r>
              <w:rPr>
                <w:rFonts w:hint="eastAsia" w:ascii="宋体" w:hAnsi="宋体" w:eastAsia="宋体" w:cs="宋体"/>
                <w:sz w:val="18"/>
                <w:szCs w:val="18"/>
                <w:highlight w:val="none"/>
                <w:lang w:val="en-US" w:eastAsia="zh-CN"/>
              </w:rPr>
              <w:t>。</w:t>
            </w:r>
          </w:p>
        </w:tc>
        <w:tc>
          <w:tcPr>
            <w:tcW w:w="730" w:type="dxa"/>
            <w:vAlign w:val="center"/>
          </w:tcPr>
          <w:p>
            <w:pPr>
              <w:spacing w:line="360" w:lineRule="exact"/>
              <w:jc w:val="left"/>
              <w:rPr>
                <w:rFonts w:hint="eastAsia" w:ascii="宋体" w:hAnsi="宋体" w:eastAsia="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39" w:type="dxa"/>
            <w:vMerge w:val="continue"/>
            <w:vAlign w:val="center"/>
          </w:tcPr>
          <w:p>
            <w:pPr>
              <w:spacing w:line="360" w:lineRule="exact"/>
              <w:jc w:val="left"/>
              <w:rPr>
                <w:rFonts w:hint="eastAsia" w:ascii="宋体" w:hAnsi="宋体" w:eastAsia="宋体" w:cs="宋体"/>
                <w:b w:val="0"/>
                <w:sz w:val="21"/>
                <w:szCs w:val="21"/>
                <w:highlight w:val="none"/>
                <w:vertAlign w:val="baseline"/>
              </w:rPr>
            </w:pPr>
          </w:p>
        </w:tc>
        <w:tc>
          <w:tcPr>
            <w:tcW w:w="1450" w:type="dxa"/>
            <w:vAlign w:val="center"/>
          </w:tcPr>
          <w:p>
            <w:pPr>
              <w:spacing w:line="240" w:lineRule="auto"/>
              <w:jc w:val="center"/>
              <w:rPr>
                <w:rFonts w:hint="eastAsia" w:ascii="宋体" w:hAnsi="宋体" w:eastAsia="宋体" w:cs="宋体"/>
                <w:b w:val="0"/>
                <w:sz w:val="21"/>
                <w:szCs w:val="21"/>
                <w:highlight w:val="none"/>
                <w:vertAlign w:val="baseline"/>
                <w:lang w:eastAsia="zh-CN"/>
              </w:rPr>
            </w:pPr>
            <w:r>
              <w:rPr>
                <w:rFonts w:hint="eastAsia" w:ascii="宋体" w:hAnsi="宋体" w:eastAsia="宋体" w:cs="宋体"/>
                <w:b w:val="0"/>
                <w:color w:val="auto"/>
                <w:sz w:val="21"/>
                <w:szCs w:val="21"/>
                <w:highlight w:val="none"/>
                <w:vertAlign w:val="baseline"/>
              </w:rPr>
              <w:t>安全防护、文明施工措施</w:t>
            </w:r>
          </w:p>
        </w:tc>
        <w:tc>
          <w:tcPr>
            <w:tcW w:w="917" w:type="dxa"/>
            <w:vAlign w:val="center"/>
          </w:tcPr>
          <w:p>
            <w:pPr>
              <w:spacing w:line="360" w:lineRule="exact"/>
              <w:jc w:val="center"/>
              <w:rPr>
                <w:rFonts w:hint="default" w:ascii="宋体" w:hAnsi="宋体" w:eastAsia="宋体" w:cs="宋体"/>
                <w:b w:val="0"/>
                <w:sz w:val="21"/>
                <w:szCs w:val="21"/>
                <w:highlight w:val="none"/>
                <w:vertAlign w:val="baseline"/>
              </w:rPr>
            </w:pPr>
            <w:r>
              <w:rPr>
                <w:rFonts w:hint="eastAsia" w:ascii="宋体" w:hAnsi="宋体" w:eastAsia="宋体" w:cs="宋体"/>
                <w:b w:val="0"/>
                <w:sz w:val="21"/>
                <w:szCs w:val="21"/>
                <w:highlight w:val="none"/>
                <w:vertAlign w:val="baseline"/>
                <w:lang w:val="en-US" w:eastAsia="zh-CN"/>
              </w:rPr>
              <w:t>5</w:t>
            </w:r>
          </w:p>
        </w:tc>
        <w:tc>
          <w:tcPr>
            <w:tcW w:w="9400" w:type="dxa"/>
            <w:vAlign w:val="center"/>
          </w:tcPr>
          <w:p>
            <w:pPr>
              <w:jc w:val="left"/>
              <w:rPr>
                <w:rFonts w:hint="eastAsia" w:ascii="宋体" w:hAnsi="宋体" w:eastAsia="宋体" w:cs="宋体"/>
                <w:szCs w:val="21"/>
                <w:highlight w:val="none"/>
              </w:rPr>
            </w:pPr>
            <w:r>
              <w:rPr>
                <w:rFonts w:hint="default" w:ascii="宋体" w:hAnsi="宋体" w:eastAsia="宋体" w:cs="宋体"/>
                <w:szCs w:val="21"/>
                <w:highlight w:val="none"/>
              </w:rPr>
              <w:t>加强制度化、标准化和精细化管理，尽量降低施工作业对周边的影响，提供安全控制措施。</w:t>
            </w:r>
          </w:p>
          <w:p>
            <w:pPr>
              <w:spacing w:line="240" w:lineRule="auto"/>
              <w:jc w:val="left"/>
              <w:rPr>
                <w:rFonts w:hint="eastAsia" w:ascii="宋体" w:hAnsi="宋体" w:eastAsia="宋体" w:cs="宋体"/>
                <w:b w:val="0"/>
                <w:sz w:val="21"/>
                <w:szCs w:val="21"/>
                <w:highlight w:val="none"/>
                <w:vertAlign w:val="baseline"/>
              </w:rPr>
            </w:pPr>
            <w:r>
              <w:rPr>
                <w:rFonts w:hint="default" w:ascii="宋体" w:hAnsi="宋体" w:eastAsia="宋体" w:cs="宋体"/>
                <w:szCs w:val="21"/>
                <w:highlight w:val="none"/>
              </w:rPr>
              <w:t>优：</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分；良：[</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差</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r>
              <w:rPr>
                <w:rFonts w:hint="default" w:ascii="宋体" w:hAnsi="宋体" w:eastAsia="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eastAsia="宋体" w:cs="宋体"/>
                <w:sz w:val="18"/>
                <w:szCs w:val="18"/>
                <w:highlight w:val="none"/>
                <w:lang w:val="en-US" w:eastAsia="zh-CN"/>
              </w:rPr>
              <w:t>。</w:t>
            </w:r>
          </w:p>
        </w:tc>
        <w:tc>
          <w:tcPr>
            <w:tcW w:w="730" w:type="dxa"/>
            <w:vAlign w:val="center"/>
          </w:tcPr>
          <w:p>
            <w:pPr>
              <w:spacing w:line="240" w:lineRule="auto"/>
              <w:jc w:val="left"/>
              <w:rPr>
                <w:rFonts w:hint="default"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39" w:type="dxa"/>
            <w:vMerge w:val="continue"/>
            <w:vAlign w:val="center"/>
          </w:tcPr>
          <w:p>
            <w:pPr>
              <w:spacing w:line="240" w:lineRule="auto"/>
              <w:jc w:val="left"/>
              <w:rPr>
                <w:rFonts w:hint="eastAsia" w:ascii="宋体" w:hAnsi="宋体" w:eastAsia="宋体" w:cs="宋体"/>
                <w:b w:val="0"/>
                <w:sz w:val="21"/>
                <w:szCs w:val="21"/>
                <w:highlight w:val="none"/>
                <w:vertAlign w:val="baseline"/>
              </w:rPr>
            </w:pPr>
          </w:p>
        </w:tc>
        <w:tc>
          <w:tcPr>
            <w:tcW w:w="1450" w:type="dxa"/>
            <w:vAlign w:val="center"/>
          </w:tcPr>
          <w:p>
            <w:pPr>
              <w:spacing w:line="240" w:lineRule="auto"/>
              <w:jc w:val="center"/>
              <w:rPr>
                <w:rFonts w:hint="eastAsia" w:ascii="宋体" w:hAnsi="宋体" w:eastAsia="宋体" w:cs="宋体"/>
                <w:szCs w:val="21"/>
                <w:highlight w:val="none"/>
              </w:rPr>
            </w:pPr>
            <w:r>
              <w:rPr>
                <w:rFonts w:hint="eastAsia" w:ascii="宋体" w:hAnsi="宋体" w:eastAsia="宋体" w:cs="宋体"/>
                <w:szCs w:val="21"/>
                <w:highlight w:val="none"/>
              </w:rPr>
              <w:t>质量控制措施</w:t>
            </w:r>
          </w:p>
        </w:tc>
        <w:tc>
          <w:tcPr>
            <w:tcW w:w="917" w:type="dxa"/>
            <w:vAlign w:val="center"/>
          </w:tcPr>
          <w:p>
            <w:pPr>
              <w:spacing w:line="360" w:lineRule="exact"/>
              <w:jc w:val="center"/>
              <w:rPr>
                <w:rFonts w:hint="default" w:ascii="宋体" w:hAnsi="宋体" w:eastAsia="宋体" w:cs="宋体"/>
                <w:b w:val="0"/>
                <w:sz w:val="21"/>
                <w:szCs w:val="21"/>
                <w:highlight w:val="none"/>
                <w:vertAlign w:val="baseline"/>
                <w:lang w:val="en-US" w:eastAsia="zh-CN"/>
              </w:rPr>
            </w:pPr>
            <w:r>
              <w:rPr>
                <w:rFonts w:hint="eastAsia" w:ascii="宋体" w:hAnsi="宋体" w:eastAsia="宋体" w:cs="宋体"/>
                <w:b w:val="0"/>
                <w:sz w:val="21"/>
                <w:szCs w:val="21"/>
                <w:highlight w:val="none"/>
                <w:vertAlign w:val="baseline"/>
                <w:lang w:val="en-US" w:eastAsia="zh-CN"/>
              </w:rPr>
              <w:t>5</w:t>
            </w:r>
          </w:p>
        </w:tc>
        <w:tc>
          <w:tcPr>
            <w:tcW w:w="9400" w:type="dxa"/>
            <w:vAlign w:val="center"/>
          </w:tcPr>
          <w:p>
            <w:pPr>
              <w:spacing w:line="240" w:lineRule="auto"/>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确保项目质量达到工程建设标准和国家相关部门验收规范。提供工程实施设计施工的全过程质量控制及保证措施。</w:t>
            </w:r>
            <w:r>
              <w:rPr>
                <w:rFonts w:hint="default" w:ascii="宋体" w:hAnsi="宋体" w:eastAsia="宋体" w:cs="宋体"/>
                <w:szCs w:val="21"/>
                <w:highlight w:val="none"/>
              </w:rPr>
              <w:t>优：</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分；良：[</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差</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r>
              <w:rPr>
                <w:rFonts w:hint="default" w:ascii="宋体" w:hAnsi="宋体" w:eastAsia="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eastAsia="宋体" w:cs="宋体"/>
                <w:sz w:val="18"/>
                <w:szCs w:val="18"/>
                <w:highlight w:val="none"/>
                <w:lang w:val="en-US" w:eastAsia="zh-CN"/>
              </w:rPr>
              <w:t>。</w:t>
            </w:r>
          </w:p>
        </w:tc>
        <w:tc>
          <w:tcPr>
            <w:tcW w:w="730"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339" w:type="dxa"/>
            <w:vMerge w:val="continue"/>
            <w:vAlign w:val="center"/>
          </w:tcPr>
          <w:p>
            <w:pPr>
              <w:spacing w:line="240" w:lineRule="auto"/>
              <w:jc w:val="left"/>
              <w:rPr>
                <w:rFonts w:hint="eastAsia" w:ascii="宋体" w:hAnsi="宋体" w:eastAsia="宋体" w:cs="宋体"/>
                <w:b w:val="0"/>
                <w:sz w:val="21"/>
                <w:szCs w:val="21"/>
                <w:highlight w:val="none"/>
                <w:vertAlign w:val="baseline"/>
              </w:rPr>
            </w:pPr>
          </w:p>
        </w:tc>
        <w:tc>
          <w:tcPr>
            <w:tcW w:w="1450" w:type="dxa"/>
            <w:vAlign w:val="center"/>
          </w:tcPr>
          <w:p>
            <w:pPr>
              <w:spacing w:line="240" w:lineRule="auto"/>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施工</w:t>
            </w:r>
            <w:r>
              <w:rPr>
                <w:rFonts w:hint="eastAsia" w:ascii="宋体" w:hAnsi="宋体" w:eastAsia="宋体" w:cs="宋体"/>
                <w:szCs w:val="21"/>
                <w:highlight w:val="none"/>
              </w:rPr>
              <w:t>进度控制措施</w:t>
            </w:r>
          </w:p>
        </w:tc>
        <w:tc>
          <w:tcPr>
            <w:tcW w:w="917" w:type="dxa"/>
            <w:vAlign w:val="center"/>
          </w:tcPr>
          <w:p>
            <w:pPr>
              <w:spacing w:line="360" w:lineRule="exact"/>
              <w:jc w:val="center"/>
              <w:rPr>
                <w:rFonts w:hint="eastAsia" w:ascii="宋体" w:hAnsi="宋体" w:eastAsia="宋体" w:cs="宋体"/>
                <w:b w:val="0"/>
                <w:sz w:val="21"/>
                <w:szCs w:val="21"/>
                <w:highlight w:val="none"/>
                <w:vertAlign w:val="baseline"/>
                <w:lang w:val="en-US" w:eastAsia="zh-CN"/>
              </w:rPr>
            </w:pPr>
            <w:r>
              <w:rPr>
                <w:rFonts w:hint="eastAsia" w:ascii="宋体" w:hAnsi="宋体" w:eastAsia="宋体" w:cs="宋体"/>
                <w:b w:val="0"/>
                <w:sz w:val="21"/>
                <w:szCs w:val="21"/>
                <w:highlight w:val="none"/>
                <w:vertAlign w:val="baseline"/>
                <w:lang w:val="en-US" w:eastAsia="zh-CN"/>
              </w:rPr>
              <w:t>5</w:t>
            </w:r>
          </w:p>
        </w:tc>
        <w:tc>
          <w:tcPr>
            <w:tcW w:w="9400" w:type="dxa"/>
            <w:vAlign w:val="center"/>
          </w:tcPr>
          <w:p>
            <w:pPr>
              <w:spacing w:line="240" w:lineRule="auto"/>
              <w:jc w:val="left"/>
              <w:rPr>
                <w:rFonts w:hint="default" w:ascii="宋体" w:hAnsi="宋体" w:eastAsia="宋体" w:cs="宋体"/>
                <w:szCs w:val="21"/>
                <w:highlight w:val="none"/>
              </w:rPr>
            </w:pPr>
            <w:r>
              <w:rPr>
                <w:rFonts w:hint="eastAsia" w:ascii="宋体" w:hAnsi="宋体" w:eastAsia="宋体" w:cs="宋体"/>
                <w:szCs w:val="21"/>
                <w:highlight w:val="none"/>
              </w:rPr>
              <w:t>在保证质量、安全、文明施工的前提下，切实保障项目实施进度。提供保障项目实施进度的措施。</w:t>
            </w:r>
            <w:r>
              <w:rPr>
                <w:rFonts w:hint="default" w:ascii="宋体" w:hAnsi="宋体" w:eastAsia="宋体" w:cs="宋体"/>
                <w:szCs w:val="21"/>
                <w:highlight w:val="none"/>
              </w:rPr>
              <w:t>优：</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分；良：[</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差</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r>
              <w:rPr>
                <w:rFonts w:hint="default" w:ascii="宋体" w:hAnsi="宋体" w:eastAsia="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eastAsia="宋体" w:cs="宋体"/>
                <w:sz w:val="18"/>
                <w:szCs w:val="18"/>
                <w:highlight w:val="none"/>
                <w:lang w:val="en-US" w:eastAsia="zh-CN"/>
              </w:rPr>
              <w:t>。</w:t>
            </w:r>
          </w:p>
        </w:tc>
        <w:tc>
          <w:tcPr>
            <w:tcW w:w="730"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339" w:type="dxa"/>
            <w:vMerge w:val="continue"/>
            <w:vAlign w:val="center"/>
          </w:tcPr>
          <w:p>
            <w:pPr>
              <w:spacing w:line="240" w:lineRule="auto"/>
              <w:jc w:val="left"/>
              <w:rPr>
                <w:rFonts w:hint="eastAsia" w:ascii="宋体" w:hAnsi="宋体" w:eastAsia="宋体" w:cs="宋体"/>
                <w:b w:val="0"/>
                <w:sz w:val="21"/>
                <w:szCs w:val="21"/>
                <w:highlight w:val="none"/>
                <w:vertAlign w:val="baseline"/>
              </w:rPr>
            </w:pPr>
          </w:p>
        </w:tc>
        <w:tc>
          <w:tcPr>
            <w:tcW w:w="1450" w:type="dxa"/>
            <w:vAlign w:val="center"/>
          </w:tcPr>
          <w:p>
            <w:pPr>
              <w:spacing w:line="240" w:lineRule="auto"/>
              <w:jc w:val="center"/>
              <w:rPr>
                <w:rFonts w:hint="default" w:ascii="Calibri" w:hAnsi="Calibri" w:eastAsia="宋体" w:cs="Times New Roman"/>
                <w:szCs w:val="21"/>
                <w:highlight w:val="none"/>
                <w:lang w:val="en-US" w:eastAsia="zh-CN"/>
              </w:rPr>
            </w:pPr>
            <w:r>
              <w:rPr>
                <w:rFonts w:hint="eastAsia" w:ascii="宋体" w:hAnsi="宋体" w:eastAsia="宋体" w:cs="宋体"/>
                <w:szCs w:val="21"/>
                <w:highlight w:val="none"/>
              </w:rPr>
              <w:t>应急处理措施、预案以及抵抗风险的措施</w:t>
            </w:r>
          </w:p>
        </w:tc>
        <w:tc>
          <w:tcPr>
            <w:tcW w:w="917" w:type="dxa"/>
            <w:vAlign w:val="center"/>
          </w:tcPr>
          <w:p>
            <w:pPr>
              <w:spacing w:line="360" w:lineRule="exact"/>
              <w:jc w:val="center"/>
              <w:rPr>
                <w:rFonts w:hint="eastAsia" w:ascii="宋体" w:hAnsi="宋体" w:eastAsia="宋体" w:cs="宋体"/>
                <w:szCs w:val="21"/>
                <w:highlight w:val="none"/>
                <w:lang w:val="en-US" w:eastAsia="zh-CN"/>
              </w:rPr>
            </w:pPr>
            <w:r>
              <w:rPr>
                <w:rFonts w:hint="eastAsia" w:ascii="宋体" w:hAnsi="宋体" w:eastAsia="宋体" w:cs="宋体"/>
                <w:b w:val="0"/>
                <w:sz w:val="21"/>
                <w:szCs w:val="21"/>
                <w:highlight w:val="none"/>
                <w:vertAlign w:val="baseline"/>
                <w:lang w:val="en-US" w:eastAsia="zh-CN"/>
              </w:rPr>
              <w:t>5</w:t>
            </w:r>
          </w:p>
        </w:tc>
        <w:tc>
          <w:tcPr>
            <w:tcW w:w="9400" w:type="dxa"/>
            <w:vAlign w:val="center"/>
          </w:tcPr>
          <w:p>
            <w:pPr>
              <w:spacing w:line="240" w:lineRule="auto"/>
              <w:jc w:val="left"/>
              <w:rPr>
                <w:rFonts w:hint="default" w:ascii="宋体" w:hAnsi="宋体" w:eastAsia="宋体" w:cs="宋体"/>
                <w:kern w:val="2"/>
                <w:szCs w:val="21"/>
                <w:highlight w:val="none"/>
                <w:lang w:val="en-US" w:eastAsia="zh-CN"/>
              </w:rPr>
            </w:pPr>
            <w:r>
              <w:rPr>
                <w:rFonts w:hint="eastAsia" w:ascii="宋体" w:hAnsi="宋体" w:eastAsia="宋体" w:cs="宋体"/>
                <w:color w:val="auto"/>
                <w:kern w:val="2"/>
                <w:szCs w:val="21"/>
                <w:highlight w:val="none"/>
              </w:rPr>
              <w:t>投标人对本项目制定的特性、台风、暴雨等天气影响等特殊情况制定的应急处置方案，包括传达机制、人员和设备调配、责任分工等进行评审：</w:t>
            </w:r>
            <w:r>
              <w:rPr>
                <w:rFonts w:hint="default" w:ascii="宋体" w:hAnsi="宋体" w:eastAsia="宋体" w:cs="宋体"/>
                <w:szCs w:val="21"/>
                <w:highlight w:val="none"/>
              </w:rPr>
              <w:t>优：</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分；良：[</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差</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r>
              <w:rPr>
                <w:rFonts w:hint="default" w:ascii="宋体" w:hAnsi="宋体" w:eastAsia="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eastAsia="宋体" w:cs="宋体"/>
                <w:sz w:val="18"/>
                <w:szCs w:val="18"/>
                <w:highlight w:val="none"/>
                <w:lang w:val="en-US" w:eastAsia="zh-CN"/>
              </w:rPr>
              <w:t>。</w:t>
            </w:r>
          </w:p>
        </w:tc>
        <w:tc>
          <w:tcPr>
            <w:tcW w:w="730"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39" w:type="dxa"/>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p>
          <w:p>
            <w:pPr>
              <w:snapToGrid w:val="0"/>
              <w:ind w:left="-2" w:leftChars="-1"/>
              <w:jc w:val="center"/>
              <w:rPr>
                <w:rFonts w:hint="eastAsia" w:ascii="宋体" w:hAnsi="宋体" w:eastAsia="宋体" w:cs="宋体"/>
                <w:b w:val="0"/>
                <w:sz w:val="21"/>
                <w:szCs w:val="21"/>
                <w:highlight w:val="none"/>
                <w:vertAlign w:val="baseli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0分）</w:t>
            </w:r>
          </w:p>
        </w:tc>
        <w:tc>
          <w:tcPr>
            <w:tcW w:w="1450" w:type="dxa"/>
            <w:vAlign w:val="center"/>
          </w:tcPr>
          <w:p>
            <w:pPr>
              <w:snapToGrid w:val="0"/>
              <w:ind w:left="-2" w:leftChars="-1"/>
              <w:jc w:val="center"/>
              <w:rPr>
                <w:rFonts w:ascii="宋体" w:hAnsi="宋体" w:eastAsia="宋体" w:cs="宋体"/>
                <w:color w:val="auto"/>
                <w:szCs w:val="21"/>
                <w:highlight w:val="none"/>
              </w:rPr>
            </w:pPr>
          </w:p>
          <w:p>
            <w:pPr>
              <w:snapToGrid w:val="0"/>
              <w:ind w:left="-2" w:leftChars="-1"/>
              <w:rPr>
                <w:rFonts w:hint="eastAsia" w:ascii="Calibri" w:hAnsi="Calibri" w:eastAsia="宋体" w:cs="Times New Roman"/>
                <w:szCs w:val="21"/>
                <w:highlight w:val="none"/>
                <w:lang w:val="en-US" w:eastAsia="zh-CN"/>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0分）</w:t>
            </w:r>
          </w:p>
        </w:tc>
        <w:tc>
          <w:tcPr>
            <w:tcW w:w="917" w:type="dxa"/>
            <w:vAlign w:val="center"/>
          </w:tcPr>
          <w:p>
            <w:pPr>
              <w:spacing w:line="220" w:lineRule="exact"/>
              <w:ind w:left="-2" w:leftChars="-1"/>
              <w:jc w:val="center"/>
              <w:rPr>
                <w:rFonts w:hint="default" w:ascii="Calibri" w:hAnsi="Calibri" w:eastAsia="宋体" w:cs="Times New Roman"/>
                <w:szCs w:val="21"/>
                <w:highlight w:val="none"/>
                <w:lang w:val="en-US" w:eastAsia="zh-CN"/>
              </w:rPr>
            </w:pPr>
            <w:r>
              <w:rPr>
                <w:rFonts w:hint="eastAsia" w:ascii="宋体" w:hAnsi="宋体" w:eastAsia="宋体" w:cs="宋体"/>
                <w:color w:val="auto"/>
                <w:szCs w:val="21"/>
                <w:highlight w:val="none"/>
                <w:lang w:val="en-US" w:eastAsia="zh-CN"/>
              </w:rPr>
              <w:t>30</w:t>
            </w:r>
          </w:p>
        </w:tc>
        <w:tc>
          <w:tcPr>
            <w:tcW w:w="9400" w:type="dxa"/>
            <w:vAlign w:val="top"/>
          </w:tcPr>
          <w:p>
            <w:pPr>
              <w:widowControl w:val="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widowControl w:val="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投标报价等于基准价为满分30分，高于基准价的1%扣1分，低于基准价的1%扣0.5分，以此类推。最低得分0分。得分保留两位小数。计算公式如下：</w:t>
            </w:r>
          </w:p>
          <w:p>
            <w:pPr>
              <w:widowControl w:val="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1、报价等于基准价的，得分=30</w:t>
            </w:r>
          </w:p>
          <w:p>
            <w:pPr>
              <w:widowControl w:val="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2、报价高于基准价的，得分=30-[（报价-基准价）/基准价]×100×1</w:t>
            </w:r>
          </w:p>
          <w:p>
            <w:pPr>
              <w:widowControl w:val="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3、报价低于基准价的，得分=30-[（基准价-报价）/基准价]×100×0.5</w:t>
            </w:r>
          </w:p>
        </w:tc>
        <w:tc>
          <w:tcPr>
            <w:tcW w:w="730"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789" w:type="dxa"/>
            <w:gridSpan w:val="2"/>
            <w:vAlign w:val="center"/>
          </w:tcPr>
          <w:p>
            <w:pPr>
              <w:jc w:val="center"/>
              <w:rPr>
                <w:rFonts w:hint="eastAsia" w:ascii="Calibri" w:hAnsi="Calibri" w:eastAsia="宋体" w:cs="Times New Roman"/>
                <w:szCs w:val="21"/>
                <w:highlight w:val="none"/>
                <w:lang w:val="en-US" w:eastAsia="zh-CN"/>
              </w:rPr>
            </w:pPr>
            <w:r>
              <w:rPr>
                <w:rFonts w:hint="eastAsia" w:ascii="宋体" w:hAnsi="宋体" w:eastAsia="宋体" w:cs="宋体"/>
                <w:color w:val="auto"/>
                <w:szCs w:val="21"/>
                <w:highlight w:val="none"/>
              </w:rPr>
              <w:t>合计</w:t>
            </w:r>
          </w:p>
        </w:tc>
        <w:tc>
          <w:tcPr>
            <w:tcW w:w="917" w:type="dxa"/>
            <w:vAlign w:val="center"/>
          </w:tcPr>
          <w:p>
            <w:pPr>
              <w:spacing w:line="220" w:lineRule="exact"/>
              <w:ind w:left="-2" w:leftChars="-1"/>
              <w:jc w:val="center"/>
              <w:rPr>
                <w:rFonts w:hint="eastAsia" w:ascii="Calibri" w:hAnsi="Calibri" w:eastAsia="宋体" w:cs="Times New Roman"/>
                <w:szCs w:val="21"/>
                <w:highlight w:val="none"/>
                <w:lang w:val="en-US" w:eastAsia="zh-CN"/>
              </w:rPr>
            </w:pPr>
            <w:r>
              <w:rPr>
                <w:rFonts w:hint="eastAsia" w:ascii="宋体" w:hAnsi="宋体" w:eastAsia="宋体" w:cs="宋体"/>
                <w:color w:val="auto"/>
                <w:szCs w:val="21"/>
                <w:highlight w:val="none"/>
              </w:rPr>
              <w:t>100</w:t>
            </w:r>
          </w:p>
        </w:tc>
        <w:tc>
          <w:tcPr>
            <w:tcW w:w="9400" w:type="dxa"/>
            <w:vAlign w:val="center"/>
          </w:tcPr>
          <w:p>
            <w:pPr>
              <w:spacing w:line="220" w:lineRule="exact"/>
              <w:ind w:left="-2" w:leftChars="-1"/>
              <w:rPr>
                <w:rFonts w:hint="eastAsia" w:ascii="宋体" w:hAnsi="宋体" w:eastAsia="宋体" w:cs="宋体"/>
                <w:kern w:val="2"/>
                <w:szCs w:val="21"/>
                <w:highlight w:val="none"/>
                <w:lang w:val="en-US" w:eastAsia="zh-CN"/>
              </w:rPr>
            </w:pPr>
          </w:p>
        </w:tc>
        <w:tc>
          <w:tcPr>
            <w:tcW w:w="730" w:type="dxa"/>
            <w:vAlign w:val="center"/>
          </w:tcPr>
          <w:p>
            <w:pPr>
              <w:spacing w:line="240" w:lineRule="auto"/>
              <w:jc w:val="left"/>
              <w:rPr>
                <w:rFonts w:hint="eastAsia" w:ascii="宋体" w:hAnsi="宋体" w:eastAsia="宋体" w:cs="宋体"/>
                <w:kern w:val="2"/>
                <w:szCs w:val="21"/>
                <w:highlight w:val="none"/>
              </w:rPr>
            </w:pPr>
          </w:p>
        </w:tc>
      </w:tr>
    </w:tbl>
    <w:p>
      <w:pPr>
        <w:snapToGrid/>
        <w:spacing w:line="320" w:lineRule="exact"/>
        <w:jc w:val="left"/>
        <w:rPr>
          <w:rFonts w:ascii="宋体" w:hAnsi="宋体" w:eastAsia="宋体" w:cs="宋体"/>
          <w:color w:val="auto"/>
          <w:szCs w:val="18"/>
          <w:highlight w:val="none"/>
        </w:rPr>
      </w:pPr>
      <w:r>
        <w:rPr>
          <w:rFonts w:hint="eastAsia" w:ascii="宋体" w:hAnsi="宋体" w:eastAsia="宋体" w:cs="宋体"/>
          <w:color w:val="auto"/>
          <w:szCs w:val="21"/>
          <w:highlight w:val="none"/>
        </w:rPr>
        <w:t>说明：</w:t>
      </w:r>
      <w:r>
        <w:rPr>
          <w:rFonts w:hint="eastAsia" w:ascii="宋体" w:hAnsi="宋体" w:eastAsia="宋体" w:cs="宋体"/>
          <w:color w:val="auto"/>
          <w:szCs w:val="18"/>
          <w:highlight w:val="none"/>
        </w:rPr>
        <w:t>本表中所有要求提供的证明资料复印件均需加盖投标人公章。未提供证明资料或提供的证明材料不齐全、不符合要求的，不得分。</w:t>
      </w:r>
    </w:p>
    <w:p>
      <w:pPr>
        <w:adjustRightInd w:val="0"/>
        <w:snapToGrid w:val="0"/>
        <w:spacing w:line="360" w:lineRule="auto"/>
        <w:jc w:val="center"/>
        <w:outlineLvl w:val="0"/>
        <w:rPr>
          <w:rFonts w:hint="eastAsia" w:ascii="宋体" w:hAnsi="宋体" w:cs="宋体"/>
          <w:b/>
          <w:color w:val="auto"/>
          <w:kern w:val="0"/>
          <w:sz w:val="28"/>
          <w:szCs w:val="28"/>
          <w:highlight w:val="none"/>
        </w:rPr>
        <w:sectPr>
          <w:pgSz w:w="16838" w:h="11906" w:orient="landscape"/>
          <w:pgMar w:top="1800" w:right="1440" w:bottom="1800" w:left="1440" w:header="851" w:footer="992" w:gutter="0"/>
          <w:cols w:space="720" w:num="1"/>
          <w:docGrid w:type="lines"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hint="eastAsia" w:ascii="宋体" w:hAnsi="宋体" w:cs="宋体"/>
          <w:b/>
          <w:color w:val="auto"/>
          <w:kern w:val="0"/>
          <w:sz w:val="28"/>
          <w:szCs w:val="28"/>
          <w:highlight w:val="none"/>
        </w:rPr>
      </w:pPr>
    </w:p>
    <w:p>
      <w:pPr>
        <w:adjustRightInd w:val="0"/>
        <w:snapToGrid w:val="0"/>
        <w:spacing w:line="360" w:lineRule="auto"/>
        <w:jc w:val="center"/>
        <w:outlineLvl w:val="0"/>
        <w:rPr>
          <w:rFonts w:ascii="宋体" w:hAnsi="宋体" w:cs="宋体"/>
          <w:b/>
          <w:color w:val="auto"/>
          <w:sz w:val="28"/>
          <w:szCs w:val="28"/>
          <w:highlight w:val="none"/>
        </w:rPr>
      </w:pPr>
      <w:bookmarkStart w:id="47" w:name="_Toc21915"/>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47"/>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color w:val="auto"/>
          <w:spacing w:val="20"/>
          <w:sz w:val="24"/>
          <w:szCs w:val="24"/>
          <w:highlight w:val="none"/>
          <w:u w:val="single"/>
        </w:rPr>
        <w:t xml:space="preserve"> </w:t>
      </w:r>
      <w:r>
        <w:rPr>
          <w:rFonts w:hint="eastAsia" w:ascii="宋体" w:hAnsi="宋体" w:eastAsia="宋体" w:cs="Times New Roman"/>
          <w:color w:val="auto"/>
          <w:spacing w:val="20"/>
          <w:sz w:val="24"/>
          <w:szCs w:val="24"/>
          <w:highlight w:val="none"/>
          <w:u w:val="single"/>
          <w:lang w:eastAsia="zh-CN"/>
        </w:rPr>
        <w:t>天后宫景区外园区域用电增容项目施工</w:t>
      </w:r>
      <w:r>
        <w:rPr>
          <w:rFonts w:hint="eastAsia" w:ascii="宋体" w:hAnsi="宋体" w:eastAsia="宋体" w:cs="Times New Roman"/>
          <w:color w:val="auto"/>
          <w:spacing w:val="20"/>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48" w:name="_Toc26871"/>
      <w:bookmarkStart w:id="49" w:name="_Toc23721"/>
      <w:r>
        <w:rPr>
          <w:rFonts w:hint="eastAsia" w:ascii="宋体" w:hAnsi="宋体" w:cs="宋体" w:eastAsiaTheme="minorEastAsia"/>
          <w:b/>
          <w:color w:val="auto"/>
          <w:kern w:val="0"/>
          <w:sz w:val="28"/>
          <w:szCs w:val="28"/>
          <w:highlight w:val="none"/>
          <w:lang w:val="en-US" w:eastAsia="zh-CN"/>
        </w:rPr>
        <w:t>非联合体投标声明（格式自拟）</w:t>
      </w:r>
      <w:bookmarkEnd w:id="48"/>
      <w:bookmarkEnd w:id="49"/>
    </w:p>
    <w:p>
      <w:pPr>
        <w:pStyle w:val="2"/>
        <w:rPr>
          <w:rFonts w:hint="default"/>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5"/>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1BD1A65"/>
    <w:multiLevelType w:val="singleLevel"/>
    <w:tmpl w:val="71BD1A65"/>
    <w:lvl w:ilvl="0" w:tentative="0">
      <w:start w:val="1"/>
      <w:numFmt w:val="chineseCounting"/>
      <w:suff w:val="nothing"/>
      <w:lvlText w:val="%1、"/>
      <w:lvlJc w:val="left"/>
      <w:rPr>
        <w:rFonts w:hint="eastAsia"/>
      </w:rPr>
    </w:lvl>
  </w:abstractNum>
  <w:abstractNum w:abstractNumId="3">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4364A4F"/>
    <w:rsid w:val="04376975"/>
    <w:rsid w:val="04435BE0"/>
    <w:rsid w:val="044C08C6"/>
    <w:rsid w:val="04E40895"/>
    <w:rsid w:val="051B7598"/>
    <w:rsid w:val="052E78DA"/>
    <w:rsid w:val="059A4101"/>
    <w:rsid w:val="063647C6"/>
    <w:rsid w:val="079A3CDA"/>
    <w:rsid w:val="07F66A4C"/>
    <w:rsid w:val="08393BA7"/>
    <w:rsid w:val="083B43B1"/>
    <w:rsid w:val="08757A2C"/>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B83A78"/>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4A228E"/>
    <w:rsid w:val="145B3800"/>
    <w:rsid w:val="14725C9B"/>
    <w:rsid w:val="15B036FB"/>
    <w:rsid w:val="16007AF5"/>
    <w:rsid w:val="16E55626"/>
    <w:rsid w:val="173D0A89"/>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307374"/>
    <w:rsid w:val="1C9203A6"/>
    <w:rsid w:val="1D6E44CC"/>
    <w:rsid w:val="1D7F1C04"/>
    <w:rsid w:val="1E032835"/>
    <w:rsid w:val="1E562810"/>
    <w:rsid w:val="1EB63404"/>
    <w:rsid w:val="1EBD45C4"/>
    <w:rsid w:val="1F1C5732"/>
    <w:rsid w:val="1F584BD1"/>
    <w:rsid w:val="1F7A6193"/>
    <w:rsid w:val="200E0A62"/>
    <w:rsid w:val="205D447F"/>
    <w:rsid w:val="206E043A"/>
    <w:rsid w:val="20AD4C4C"/>
    <w:rsid w:val="20E35285"/>
    <w:rsid w:val="21424D60"/>
    <w:rsid w:val="215321ED"/>
    <w:rsid w:val="215D5254"/>
    <w:rsid w:val="224A02E7"/>
    <w:rsid w:val="227411DF"/>
    <w:rsid w:val="22934188"/>
    <w:rsid w:val="23EE6B47"/>
    <w:rsid w:val="24856237"/>
    <w:rsid w:val="24DD793C"/>
    <w:rsid w:val="25053D8A"/>
    <w:rsid w:val="25687B33"/>
    <w:rsid w:val="25791876"/>
    <w:rsid w:val="26236584"/>
    <w:rsid w:val="26826F29"/>
    <w:rsid w:val="26B94C66"/>
    <w:rsid w:val="26EC20B9"/>
    <w:rsid w:val="26EC46E5"/>
    <w:rsid w:val="26FF6942"/>
    <w:rsid w:val="272101A5"/>
    <w:rsid w:val="272B74FA"/>
    <w:rsid w:val="2751149E"/>
    <w:rsid w:val="2837076A"/>
    <w:rsid w:val="2865301D"/>
    <w:rsid w:val="28C86C87"/>
    <w:rsid w:val="29051210"/>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717BA"/>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52520E"/>
    <w:rsid w:val="31B57180"/>
    <w:rsid w:val="33062754"/>
    <w:rsid w:val="33113670"/>
    <w:rsid w:val="3411535B"/>
    <w:rsid w:val="34935BA4"/>
    <w:rsid w:val="34A264CA"/>
    <w:rsid w:val="34FA131A"/>
    <w:rsid w:val="35830B03"/>
    <w:rsid w:val="360F448A"/>
    <w:rsid w:val="3700775A"/>
    <w:rsid w:val="37A26BD4"/>
    <w:rsid w:val="37A33759"/>
    <w:rsid w:val="37AE7FE3"/>
    <w:rsid w:val="37B20151"/>
    <w:rsid w:val="37F52A06"/>
    <w:rsid w:val="383813C8"/>
    <w:rsid w:val="38417D8A"/>
    <w:rsid w:val="390B4D39"/>
    <w:rsid w:val="39131727"/>
    <w:rsid w:val="392A6A70"/>
    <w:rsid w:val="39731517"/>
    <w:rsid w:val="39F52602"/>
    <w:rsid w:val="39FC703A"/>
    <w:rsid w:val="3A1F234D"/>
    <w:rsid w:val="3A544C23"/>
    <w:rsid w:val="3AC802EF"/>
    <w:rsid w:val="3B183024"/>
    <w:rsid w:val="3B514788"/>
    <w:rsid w:val="3B6D4312"/>
    <w:rsid w:val="3BB718A6"/>
    <w:rsid w:val="3BBA1D8E"/>
    <w:rsid w:val="3BC04127"/>
    <w:rsid w:val="3BFA6BCE"/>
    <w:rsid w:val="3C88543E"/>
    <w:rsid w:val="3CB7521C"/>
    <w:rsid w:val="3CE76215"/>
    <w:rsid w:val="3CFF0303"/>
    <w:rsid w:val="3D7619F9"/>
    <w:rsid w:val="3D957982"/>
    <w:rsid w:val="3D96007A"/>
    <w:rsid w:val="3D965718"/>
    <w:rsid w:val="3DF62488"/>
    <w:rsid w:val="3DF7194C"/>
    <w:rsid w:val="3E817133"/>
    <w:rsid w:val="3EDC25BB"/>
    <w:rsid w:val="3EF30213"/>
    <w:rsid w:val="3F4915A0"/>
    <w:rsid w:val="3F5F332B"/>
    <w:rsid w:val="3F641BC2"/>
    <w:rsid w:val="3F8502F8"/>
    <w:rsid w:val="3FBE56FE"/>
    <w:rsid w:val="3FD704B2"/>
    <w:rsid w:val="403B7AF1"/>
    <w:rsid w:val="405854B3"/>
    <w:rsid w:val="408D1DBF"/>
    <w:rsid w:val="409313F9"/>
    <w:rsid w:val="40B7508E"/>
    <w:rsid w:val="40CA2819"/>
    <w:rsid w:val="41EC3A6C"/>
    <w:rsid w:val="42A2655E"/>
    <w:rsid w:val="43120161"/>
    <w:rsid w:val="43420D2F"/>
    <w:rsid w:val="436C5E0D"/>
    <w:rsid w:val="437259B2"/>
    <w:rsid w:val="43952229"/>
    <w:rsid w:val="43F36E83"/>
    <w:rsid w:val="44631084"/>
    <w:rsid w:val="446A549B"/>
    <w:rsid w:val="44755126"/>
    <w:rsid w:val="44800368"/>
    <w:rsid w:val="44E26451"/>
    <w:rsid w:val="44E811C0"/>
    <w:rsid w:val="457C68A6"/>
    <w:rsid w:val="45E74C1B"/>
    <w:rsid w:val="46871AD6"/>
    <w:rsid w:val="47025D0E"/>
    <w:rsid w:val="4735560E"/>
    <w:rsid w:val="47413F22"/>
    <w:rsid w:val="477359B5"/>
    <w:rsid w:val="4792678F"/>
    <w:rsid w:val="47E03B89"/>
    <w:rsid w:val="47E250E6"/>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1F0243"/>
    <w:rsid w:val="4D904DD7"/>
    <w:rsid w:val="4D9C287D"/>
    <w:rsid w:val="4DC04FA6"/>
    <w:rsid w:val="4DC53F66"/>
    <w:rsid w:val="4E2A0E48"/>
    <w:rsid w:val="4F477F24"/>
    <w:rsid w:val="4FC91A1A"/>
    <w:rsid w:val="5049448C"/>
    <w:rsid w:val="508B10C7"/>
    <w:rsid w:val="50DB6247"/>
    <w:rsid w:val="51531E87"/>
    <w:rsid w:val="51552F81"/>
    <w:rsid w:val="51AB2104"/>
    <w:rsid w:val="525A7F6F"/>
    <w:rsid w:val="52760C06"/>
    <w:rsid w:val="528D20F2"/>
    <w:rsid w:val="52A35200"/>
    <w:rsid w:val="52C2143B"/>
    <w:rsid w:val="530E35F9"/>
    <w:rsid w:val="531A11E6"/>
    <w:rsid w:val="53427976"/>
    <w:rsid w:val="53A07C03"/>
    <w:rsid w:val="53A63423"/>
    <w:rsid w:val="53B638D1"/>
    <w:rsid w:val="54386D63"/>
    <w:rsid w:val="54A36172"/>
    <w:rsid w:val="54BC0EE8"/>
    <w:rsid w:val="55592415"/>
    <w:rsid w:val="55D122F6"/>
    <w:rsid w:val="55D41C4B"/>
    <w:rsid w:val="5702252D"/>
    <w:rsid w:val="572444C0"/>
    <w:rsid w:val="576D49E8"/>
    <w:rsid w:val="578F5987"/>
    <w:rsid w:val="57B957CF"/>
    <w:rsid w:val="57DA583E"/>
    <w:rsid w:val="594F1692"/>
    <w:rsid w:val="59566C52"/>
    <w:rsid w:val="597674DD"/>
    <w:rsid w:val="5A416E84"/>
    <w:rsid w:val="5AAF5CCA"/>
    <w:rsid w:val="5B6E68B8"/>
    <w:rsid w:val="5B6F6839"/>
    <w:rsid w:val="5B8D6C19"/>
    <w:rsid w:val="5BAA698D"/>
    <w:rsid w:val="5BC65072"/>
    <w:rsid w:val="5BCE61FA"/>
    <w:rsid w:val="5C7852D7"/>
    <w:rsid w:val="5C9B134E"/>
    <w:rsid w:val="5CF77B24"/>
    <w:rsid w:val="5D5E6B65"/>
    <w:rsid w:val="5D633297"/>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1FC4B9F"/>
    <w:rsid w:val="621244D5"/>
    <w:rsid w:val="62B2296D"/>
    <w:rsid w:val="62B247EF"/>
    <w:rsid w:val="635E4552"/>
    <w:rsid w:val="636147EE"/>
    <w:rsid w:val="63DB6B9E"/>
    <w:rsid w:val="642D7291"/>
    <w:rsid w:val="65652A5B"/>
    <w:rsid w:val="65B441A4"/>
    <w:rsid w:val="65C03100"/>
    <w:rsid w:val="65D8147F"/>
    <w:rsid w:val="66373494"/>
    <w:rsid w:val="663E17E3"/>
    <w:rsid w:val="66591B82"/>
    <w:rsid w:val="66593A91"/>
    <w:rsid w:val="675B4115"/>
    <w:rsid w:val="67D46774"/>
    <w:rsid w:val="68550B65"/>
    <w:rsid w:val="68572B2F"/>
    <w:rsid w:val="6898637C"/>
    <w:rsid w:val="68B16D7B"/>
    <w:rsid w:val="68BA7003"/>
    <w:rsid w:val="68C531A9"/>
    <w:rsid w:val="6917406C"/>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6F977CB5"/>
    <w:rsid w:val="70727FF1"/>
    <w:rsid w:val="70836CF8"/>
    <w:rsid w:val="70CF07C8"/>
    <w:rsid w:val="710F157A"/>
    <w:rsid w:val="71137471"/>
    <w:rsid w:val="71840FD7"/>
    <w:rsid w:val="718C3480"/>
    <w:rsid w:val="71CC7A42"/>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3E11F9"/>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7"/>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next w:val="1"/>
    <w:qFormat/>
    <w:uiPriority w:val="0"/>
  </w:style>
  <w:style w:type="paragraph" w:styleId="9">
    <w:name w:val="Body Text Indent"/>
    <w:basedOn w:val="1"/>
    <w:qFormat/>
    <w:uiPriority w:val="0"/>
    <w:pPr>
      <w:spacing w:after="120" w:afterLines="0" w:afterAutospacing="0"/>
      <w:ind w:left="420" w:leftChars="200"/>
    </w:pPr>
  </w:style>
  <w:style w:type="paragraph" w:styleId="10">
    <w:name w:val="Balloon Text"/>
    <w:basedOn w:val="1"/>
    <w:link w:val="35"/>
    <w:qFormat/>
    <w:uiPriority w:val="0"/>
    <w:rPr>
      <w:sz w:val="18"/>
      <w:szCs w:val="18"/>
    </w:rPr>
  </w:style>
  <w:style w:type="paragraph" w:styleId="11">
    <w:name w:val="footer"/>
    <w:basedOn w:val="1"/>
    <w:link w:val="34"/>
    <w:qFormat/>
    <w:uiPriority w:val="0"/>
    <w:pPr>
      <w:tabs>
        <w:tab w:val="center" w:pos="4153"/>
        <w:tab w:val="right" w:pos="8306"/>
      </w:tabs>
      <w:snapToGrid w:val="0"/>
      <w:jc w:val="left"/>
    </w:pPr>
    <w:rPr>
      <w:sz w:val="18"/>
      <w:szCs w:val="18"/>
    </w:rPr>
  </w:style>
  <w:style w:type="paragraph" w:styleId="12">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8"/>
    <w:qFormat/>
    <w:uiPriority w:val="0"/>
    <w:pPr>
      <w:spacing w:beforeAutospacing="1" w:after="120"/>
      <w:ind w:firstLine="420"/>
    </w:pPr>
    <w:rPr>
      <w:rFonts w:ascii="Times New Roman" w:hAnsi="Times New Roman" w:eastAsia="宋体" w:cs="Times New Roman"/>
      <w:szCs w:val="21"/>
    </w:rPr>
  </w:style>
  <w:style w:type="paragraph" w:styleId="15">
    <w:name w:val="Body Text First Indent 2"/>
    <w:basedOn w:val="9"/>
    <w:next w:val="16"/>
    <w:qFormat/>
    <w:uiPriority w:val="0"/>
    <w:pPr>
      <w:numPr>
        <w:ilvl w:val="0"/>
        <w:numId w:val="1"/>
      </w:numPr>
      <w:ind w:firstLine="420"/>
    </w:pPr>
  </w:style>
  <w:style w:type="paragraph" w:customStyle="1" w:styleId="16">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样式 小四 行距: 1.5 倍行距"/>
    <w:basedOn w:val="1"/>
    <w:qFormat/>
    <w:uiPriority w:val="0"/>
    <w:pPr>
      <w:ind w:firstLine="480"/>
    </w:pPr>
    <w:rPr>
      <w:rFonts w:cs="宋体"/>
    </w:rPr>
  </w:style>
  <w:style w:type="paragraph" w:customStyle="1" w:styleId="24">
    <w:name w:val="表格文字"/>
    <w:basedOn w:val="1"/>
    <w:qFormat/>
    <w:uiPriority w:val="0"/>
    <w:pPr>
      <w:spacing w:before="25" w:after="25"/>
      <w:jc w:val="left"/>
    </w:pPr>
    <w:rPr>
      <w:bCs/>
      <w:spacing w:val="10"/>
      <w:kern w:val="0"/>
      <w:sz w:val="24"/>
    </w:rPr>
  </w:style>
  <w:style w:type="paragraph" w:customStyle="1" w:styleId="25">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qFormat/>
    <w:uiPriority w:val="0"/>
    <w:pPr>
      <w:ind w:firstLine="420" w:firstLineChars="200"/>
    </w:pPr>
    <w:rPr>
      <w:rFonts w:ascii="Calibri" w:hAnsi="Calibri" w:eastAsia="宋体" w:cs="Times New Roman"/>
      <w:szCs w:val="21"/>
    </w:rPr>
  </w:style>
  <w:style w:type="paragraph" w:customStyle="1" w:styleId="29">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qFormat/>
    <w:uiPriority w:val="0"/>
    <w:rPr>
      <w:rFonts w:hint="default" w:ascii="Times New Roman" w:hAnsi="Times New Roman" w:cs="Times New Roman"/>
    </w:rPr>
  </w:style>
  <w:style w:type="character" w:customStyle="1" w:styleId="31">
    <w:name w:val="15"/>
    <w:basedOn w:val="19"/>
    <w:qFormat/>
    <w:uiPriority w:val="0"/>
    <w:rPr>
      <w:rFonts w:hint="default" w:ascii="Times New Roman" w:hAnsi="Times New Roman" w:cs="Times New Roman"/>
    </w:rPr>
  </w:style>
  <w:style w:type="character" w:customStyle="1" w:styleId="32">
    <w:name w:val="16"/>
    <w:basedOn w:val="19"/>
    <w:qFormat/>
    <w:uiPriority w:val="0"/>
    <w:rPr>
      <w:rFonts w:hint="default" w:ascii="Times New Roman" w:hAnsi="Times New Roman" w:cs="Times New Roman"/>
      <w:color w:val="0000FF"/>
      <w:u w:val="single"/>
    </w:rPr>
  </w:style>
  <w:style w:type="character" w:customStyle="1" w:styleId="33">
    <w:name w:val="页眉 Char"/>
    <w:basedOn w:val="19"/>
    <w:link w:val="12"/>
    <w:qFormat/>
    <w:uiPriority w:val="0"/>
    <w:rPr>
      <w:rFonts w:asciiTheme="minorHAnsi" w:hAnsiTheme="minorHAnsi" w:eastAsiaTheme="minorEastAsia" w:cstheme="minorBidi"/>
      <w:kern w:val="2"/>
      <w:sz w:val="18"/>
      <w:szCs w:val="18"/>
    </w:rPr>
  </w:style>
  <w:style w:type="character" w:customStyle="1" w:styleId="34">
    <w:name w:val="页脚 Char"/>
    <w:basedOn w:val="19"/>
    <w:link w:val="11"/>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0"/>
    <w:qFormat/>
    <w:uiPriority w:val="0"/>
    <w:rPr>
      <w:rFonts w:asciiTheme="minorHAnsi" w:hAnsiTheme="minorHAnsi" w:eastAsiaTheme="minorEastAsia" w:cstheme="minorBidi"/>
      <w:kern w:val="2"/>
      <w:sz w:val="18"/>
      <w:szCs w:val="18"/>
    </w:rPr>
  </w:style>
  <w:style w:type="paragraph" w:customStyle="1" w:styleId="36">
    <w:name w:val="WPSOffice手动目录 1"/>
    <w:qFormat/>
    <w:uiPriority w:val="0"/>
    <w:rPr>
      <w:rFonts w:ascii="Times New Roman" w:hAnsi="Times New Roman" w:eastAsia="宋体" w:cs="Times New Roman"/>
      <w:lang w:val="en-US" w:eastAsia="zh-CN" w:bidi="ar-SA"/>
    </w:rPr>
  </w:style>
  <w:style w:type="character" w:customStyle="1" w:styleId="37">
    <w:name w:val="纯文本 Char"/>
    <w:link w:val="2"/>
    <w:qFormat/>
    <w:uiPriority w:val="0"/>
    <w:rPr>
      <w:rFonts w:ascii="宋体" w:hAnsi="Courier New"/>
      <w:kern w:val="2"/>
      <w:sz w:val="21"/>
      <w:szCs w:val="21"/>
    </w:rPr>
  </w:style>
  <w:style w:type="character" w:customStyle="1" w:styleId="38">
    <w:name w:val="正文首行缩进 Char"/>
    <w:basedOn w:val="19"/>
    <w:link w:val="14"/>
    <w:qFormat/>
    <w:uiPriority w:val="0"/>
    <w:rPr>
      <w:kern w:val="2"/>
      <w:sz w:val="21"/>
      <w:szCs w:val="21"/>
    </w:rPr>
  </w:style>
  <w:style w:type="paragraph" w:styleId="39">
    <w:name w:val="List Paragraph"/>
    <w:basedOn w:val="1"/>
    <w:unhideWhenUsed/>
    <w:qFormat/>
    <w:uiPriority w:val="99"/>
    <w:pPr>
      <w:ind w:firstLine="420" w:firstLineChars="200"/>
    </w:pPr>
  </w:style>
  <w:style w:type="paragraph" w:customStyle="1" w:styleId="4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qFormat/>
    <w:uiPriority w:val="0"/>
    <w:pPr>
      <w:ind w:left="4094" w:right="607" w:firstLine="0"/>
      <w:jc w:val="center"/>
    </w:pPr>
  </w:style>
  <w:style w:type="character" w:customStyle="1" w:styleId="42">
    <w:name w:val="c Char1"/>
    <w:link w:val="43"/>
    <w:qFormat/>
    <w:uiPriority w:val="0"/>
    <w:rPr>
      <w:rFonts w:eastAsia="仿宋_GB2312" w:cs="宋体"/>
      <w:sz w:val="28"/>
    </w:rPr>
  </w:style>
  <w:style w:type="paragraph" w:customStyle="1" w:styleId="43">
    <w:name w:val="c"/>
    <w:basedOn w:val="1"/>
    <w:link w:val="42"/>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4">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15148</Words>
  <Characters>16024</Characters>
  <Lines>138</Lines>
  <Paragraphs>38</Paragraphs>
  <TotalTime>4</TotalTime>
  <ScaleCrop>false</ScaleCrop>
  <LinksUpToDate>false</LinksUpToDate>
  <CharactersWithSpaces>17006</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momo</cp:lastModifiedBy>
  <cp:lastPrinted>2023-11-02T08:46:28Z</cp:lastPrinted>
  <dcterms:modified xsi:type="dcterms:W3CDTF">2023-11-02T08:50:03Z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2CC6648D64304B73B36CE0AAE1A95577_13</vt:lpwstr>
  </property>
</Properties>
</file>