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auto"/>
          <w:kern w:val="0"/>
          <w:sz w:val="44"/>
          <w:szCs w:val="44"/>
          <w:highlight w:val="none"/>
        </w:rPr>
      </w:pPr>
    </w:p>
    <w:p>
      <w:pPr>
        <w:jc w:val="center"/>
        <w:rPr>
          <w:rFonts w:ascii="宋体" w:hAnsi="宋体" w:cs="宋体"/>
          <w:b/>
          <w:color w:val="auto"/>
          <w:kern w:val="0"/>
          <w:sz w:val="44"/>
          <w:szCs w:val="44"/>
          <w:highlight w:val="none"/>
        </w:rPr>
      </w:pPr>
    </w:p>
    <w:p>
      <w:pPr>
        <w:jc w:val="center"/>
        <w:rPr>
          <w:rFonts w:ascii="宋体" w:hAnsi="宋体" w:cs="宋体"/>
          <w:b/>
          <w:color w:val="auto"/>
          <w:kern w:val="0"/>
          <w:sz w:val="44"/>
          <w:szCs w:val="44"/>
          <w:highlight w:val="none"/>
        </w:rPr>
      </w:pPr>
    </w:p>
    <w:p>
      <w:pPr>
        <w:jc w:val="center"/>
        <w:rPr>
          <w:rFonts w:ascii="黑体" w:eastAsia="黑体"/>
          <w:color w:val="auto"/>
          <w:sz w:val="52"/>
          <w:szCs w:val="52"/>
          <w:highlight w:val="none"/>
        </w:rPr>
      </w:pPr>
      <w:r>
        <w:rPr>
          <w:rFonts w:hint="eastAsia" w:ascii="方正小标宋简体" w:hAnsi="方正小标宋简体" w:eastAsia="方正小标宋简体" w:cs="方正小标宋简体"/>
          <w:sz w:val="52"/>
          <w:szCs w:val="52"/>
          <w:lang w:val="en-US" w:eastAsia="zh-CN"/>
        </w:rPr>
        <w:t>南沙前锋水乡一、二涌项目围蔽工程</w:t>
      </w:r>
    </w:p>
    <w:p>
      <w:pPr>
        <w:jc w:val="center"/>
        <w:rPr>
          <w:rFonts w:ascii="黑体" w:eastAsia="黑体"/>
          <w:color w:val="auto"/>
          <w:sz w:val="72"/>
          <w:szCs w:val="72"/>
          <w:highlight w:val="none"/>
        </w:rPr>
      </w:pPr>
    </w:p>
    <w:p>
      <w:pPr>
        <w:jc w:val="center"/>
        <w:rPr>
          <w:rFonts w:ascii="黑体" w:eastAsia="黑体"/>
          <w:color w:val="auto"/>
          <w:sz w:val="72"/>
          <w:szCs w:val="72"/>
          <w:highlight w:val="none"/>
        </w:rPr>
      </w:pPr>
    </w:p>
    <w:p>
      <w:pPr>
        <w:jc w:val="center"/>
        <w:rPr>
          <w:rFonts w:ascii="黑体" w:eastAsia="黑体"/>
          <w:color w:val="auto"/>
          <w:sz w:val="84"/>
          <w:szCs w:val="84"/>
          <w:highlight w:val="none"/>
        </w:rPr>
      </w:pPr>
    </w:p>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招 标 公 告</w:t>
      </w:r>
      <w:r>
        <w:rPr>
          <w:rFonts w:hint="eastAsia" w:ascii="方正小标宋简体" w:hAnsi="方正小标宋简体" w:eastAsia="方正小标宋简体" w:cs="方正小标宋简体"/>
          <w:sz w:val="52"/>
          <w:szCs w:val="52"/>
          <w:lang w:val="en-US" w:eastAsia="zh-CN"/>
        </w:rPr>
        <w:t>（第二次）</w:t>
      </w:r>
    </w:p>
    <w:p>
      <w:pPr>
        <w:jc w:val="center"/>
        <w:rPr>
          <w:rStyle w:val="21"/>
          <w:rFonts w:ascii="楷体_GB2312" w:hAnsi="楷体_GB2312" w:eastAsia="楷体_GB2312"/>
          <w:color w:val="auto"/>
          <w:sz w:val="48"/>
          <w:highlight w:val="none"/>
        </w:rPr>
      </w:pPr>
    </w:p>
    <w:p>
      <w:pPr>
        <w:jc w:val="center"/>
        <w:rPr>
          <w:rFonts w:ascii="楷体_GB2312" w:eastAsia="楷体_GB2312"/>
          <w:color w:val="auto"/>
          <w:sz w:val="32"/>
          <w:szCs w:val="32"/>
          <w:highlight w:val="none"/>
        </w:rPr>
      </w:pPr>
    </w:p>
    <w:p>
      <w:pPr>
        <w:spacing w:line="400" w:lineRule="exact"/>
        <w:jc w:val="center"/>
        <w:rPr>
          <w:color w:val="auto"/>
          <w:highlight w:val="none"/>
        </w:rPr>
      </w:pPr>
    </w:p>
    <w:p>
      <w:pPr>
        <w:spacing w:line="400" w:lineRule="exact"/>
        <w:jc w:val="both"/>
        <w:rPr>
          <w:color w:val="auto"/>
          <w:highlight w:val="none"/>
        </w:rPr>
      </w:pPr>
    </w:p>
    <w:p>
      <w:pPr>
        <w:spacing w:line="400" w:lineRule="exact"/>
        <w:jc w:val="center"/>
        <w:rPr>
          <w:color w:val="auto"/>
          <w:highlight w:val="none"/>
        </w:rPr>
      </w:pPr>
    </w:p>
    <w:p>
      <w:pPr>
        <w:spacing w:line="400" w:lineRule="exact"/>
        <w:jc w:val="center"/>
        <w:rPr>
          <w:color w:val="auto"/>
          <w:highlight w:val="none"/>
        </w:rPr>
      </w:pPr>
    </w:p>
    <w:p>
      <w:pPr>
        <w:tabs>
          <w:tab w:val="left" w:pos="7067"/>
        </w:tabs>
        <w:spacing w:line="360" w:lineRule="auto"/>
        <w:ind w:firstLine="1606" w:firstLineChars="50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t>业主</w:t>
      </w:r>
      <w:r>
        <w:rPr>
          <w:rFonts w:hint="eastAsia" w:ascii="仿宋_GB2312" w:hAnsi="仿宋_GB2312" w:eastAsia="仿宋_GB2312" w:cs="仿宋_GB2312"/>
          <w:b/>
          <w:color w:val="auto"/>
          <w:sz w:val="32"/>
          <w:szCs w:val="32"/>
          <w:highlight w:val="none"/>
        </w:rPr>
        <w:t>单位</w:t>
      </w:r>
      <w:r>
        <w:rPr>
          <w:rFonts w:hint="eastAsia" w:ascii="仿宋_GB2312" w:hAnsi="仿宋_GB2312" w:eastAsia="仿宋_GB2312" w:cs="仿宋_GB2312"/>
          <w:b/>
          <w:color w:val="auto"/>
          <w:sz w:val="32"/>
          <w:szCs w:val="32"/>
          <w:highlight w:val="none"/>
          <w:lang w:eastAsia="zh-CN"/>
        </w:rPr>
        <w:t>：广州南沙科技投资有限公司</w:t>
      </w:r>
    </w:p>
    <w:p>
      <w:pPr>
        <w:tabs>
          <w:tab w:val="left" w:pos="7067"/>
        </w:tabs>
        <w:spacing w:line="360" w:lineRule="auto"/>
        <w:ind w:firstLine="1606" w:firstLineChars="50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t>日    期：二〇二</w:t>
      </w:r>
      <w:r>
        <w:rPr>
          <w:rFonts w:hint="eastAsia" w:ascii="仿宋_GB2312" w:hAnsi="仿宋_GB2312" w:eastAsia="仿宋_GB2312" w:cs="仿宋_GB2312"/>
          <w:b/>
          <w:color w:val="auto"/>
          <w:sz w:val="32"/>
          <w:szCs w:val="32"/>
          <w:highlight w:val="none"/>
          <w:lang w:val="en-US" w:eastAsia="zh-CN"/>
        </w:rPr>
        <w:t>三</w:t>
      </w:r>
      <w:r>
        <w:rPr>
          <w:rFonts w:hint="eastAsia" w:ascii="仿宋_GB2312" w:hAnsi="仿宋_GB2312" w:eastAsia="仿宋_GB2312" w:cs="仿宋_GB2312"/>
          <w:b/>
          <w:color w:val="auto"/>
          <w:sz w:val="32"/>
          <w:szCs w:val="32"/>
          <w:highlight w:val="none"/>
          <w:lang w:eastAsia="zh-CN"/>
        </w:rPr>
        <w:t>年</w:t>
      </w: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lang w:eastAsia="zh-CN"/>
        </w:rPr>
        <w:t>月</w:t>
      </w:r>
    </w:p>
    <w:p>
      <w:pPr>
        <w:pStyle w:val="9"/>
        <w:ind w:firstLine="405"/>
        <w:jc w:val="center"/>
        <w:rPr>
          <w:b/>
          <w:color w:val="auto"/>
          <w:sz w:val="32"/>
          <w:szCs w:val="32"/>
          <w:highlight w:val="none"/>
        </w:rPr>
        <w:sectPr>
          <w:headerReference r:id="rId3" w:type="default"/>
          <w:endnotePr>
            <w:numFmt w:val="decimal"/>
          </w:endnotePr>
          <w:pgSz w:w="11906" w:h="16838"/>
          <w:pgMar w:top="1361" w:right="1304" w:bottom="1247" w:left="1304" w:header="851" w:footer="992" w:gutter="0"/>
          <w:cols w:space="720" w:num="1"/>
          <w:docGrid w:type="lines" w:linePitch="312" w:charSpace="0"/>
        </w:sectPr>
      </w:pPr>
    </w:p>
    <w:p>
      <w:pPr>
        <w:spacing w:line="360" w:lineRule="auto"/>
        <w:jc w:val="center"/>
        <w:outlineLvl w:val="0"/>
        <w:rPr>
          <w:rFonts w:ascii="方正小标宋简体" w:hAnsi="方正小标宋简体" w:eastAsia="方正小标宋简体" w:cs="方正小标宋简体"/>
          <w:b/>
          <w:kern w:val="44"/>
          <w:sz w:val="44"/>
          <w:szCs w:val="44"/>
        </w:rPr>
      </w:pPr>
      <w:bookmarkStart w:id="0" w:name="_Toc12707"/>
      <w:r>
        <w:rPr>
          <w:rFonts w:hint="eastAsia" w:ascii="方正小标宋简体" w:hAnsi="方正小标宋简体" w:eastAsia="方正小标宋简体" w:cs="方正小标宋简体"/>
          <w:b/>
          <w:kern w:val="44"/>
          <w:sz w:val="44"/>
          <w:szCs w:val="44"/>
        </w:rPr>
        <w:t>第一章招标公告</w:t>
      </w:r>
      <w:bookmarkEnd w:id="0"/>
    </w:p>
    <w:p>
      <w:pPr>
        <w:pStyle w:val="9"/>
        <w:jc w:val="center"/>
        <w:rPr>
          <w:rFonts w:cs="宋体"/>
          <w:sz w:val="24"/>
        </w:rPr>
      </w:pPr>
      <w:r>
        <w:rPr>
          <w:rFonts w:hint="eastAsia" w:ascii="方正小标宋简体" w:hAnsi="方正小标宋简体" w:eastAsia="方正小标宋简体" w:cs="方正小标宋简体"/>
          <w:b/>
          <w:sz w:val="44"/>
          <w:szCs w:val="44"/>
          <w:u w:val="none"/>
        </w:rPr>
        <w:t>南沙前锋水乡一、二涌项目围蔽工程                     邀请招标公告</w:t>
      </w:r>
      <w:r>
        <w:rPr>
          <w:rFonts w:hint="eastAsia" w:ascii="方正小标宋简体" w:hAnsi="方正小标宋简体" w:eastAsia="方正小标宋简体" w:cs="方正小标宋简体"/>
          <w:b/>
          <w:sz w:val="44"/>
          <w:szCs w:val="44"/>
          <w:u w:val="none"/>
          <w:lang w:eastAsia="zh-CN"/>
        </w:rPr>
        <w:t>（</w:t>
      </w:r>
      <w:r>
        <w:rPr>
          <w:rFonts w:hint="eastAsia" w:ascii="方正小标宋简体" w:hAnsi="方正小标宋简体" w:eastAsia="方正小标宋简体" w:cs="方正小标宋简体"/>
          <w:b/>
          <w:sz w:val="44"/>
          <w:szCs w:val="44"/>
          <w:u w:val="none"/>
          <w:lang w:val="en-US" w:eastAsia="zh-CN"/>
        </w:rPr>
        <w:t>第二次</w:t>
      </w:r>
      <w:r>
        <w:rPr>
          <w:rFonts w:hint="eastAsia" w:ascii="方正小标宋简体" w:hAnsi="方正小标宋简体" w:eastAsia="方正小标宋简体" w:cs="方正小标宋简体"/>
          <w:b/>
          <w:sz w:val="44"/>
          <w:szCs w:val="44"/>
          <w:u w:val="none"/>
          <w:lang w:eastAsia="zh-CN"/>
        </w:rPr>
        <w:t>）</w:t>
      </w:r>
    </w:p>
    <w:p>
      <w:pPr>
        <w:spacing w:before="157" w:beforeLines="5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根据南沙前锋水乡一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二涌</w:t>
      </w:r>
      <w:r>
        <w:rPr>
          <w:rFonts w:hint="eastAsia" w:ascii="仿宋_GB2312" w:hAnsi="仿宋_GB2312" w:eastAsia="仿宋_GB2312" w:cs="仿宋_GB2312"/>
          <w:sz w:val="32"/>
          <w:szCs w:val="32"/>
          <w:lang w:val="en-US" w:eastAsia="zh-CN"/>
        </w:rPr>
        <w:t>项目安全围蔽管理需求</w:t>
      </w:r>
      <w:r>
        <w:rPr>
          <w:rFonts w:hint="eastAsia" w:ascii="仿宋_GB2312" w:hAnsi="仿宋_GB2312" w:eastAsia="仿宋_GB2312" w:cs="仿宋_GB2312"/>
          <w:sz w:val="32"/>
          <w:szCs w:val="32"/>
        </w:rPr>
        <w:t>，广州南沙科技投资有限公司现对南沙前锋水乡一、二涌项目围蔽工程进行邀请招标，选定项目施工总承包单位。</w:t>
      </w:r>
    </w:p>
    <w:p>
      <w:pPr>
        <w:widowControl/>
        <w:numPr>
          <w:ilvl w:val="0"/>
          <w:numId w:val="1"/>
        </w:numPr>
        <w:adjustRightInd w:val="0"/>
        <w:snapToGrid w:val="0"/>
        <w:spacing w:before="157" w:beforeLines="50" w:line="360" w:lineRule="auto"/>
        <w:ind w:firstLine="720"/>
        <w:outlineLvl w:val="1"/>
        <w:rPr>
          <w:rFonts w:ascii="仿宋_GB2312" w:hAnsi="仿宋_GB2312" w:eastAsia="仿宋_GB2312" w:cs="仿宋_GB2312"/>
          <w:bCs/>
          <w:sz w:val="32"/>
          <w:szCs w:val="32"/>
          <w:u w:val="single"/>
        </w:rPr>
      </w:pPr>
      <w:bookmarkStart w:id="1" w:name="_Toc9886"/>
      <w:bookmarkStart w:id="2" w:name="_Toc24361"/>
      <w:bookmarkStart w:id="3" w:name="_Toc1170"/>
      <w:bookmarkStart w:id="4" w:name="_Toc24043"/>
      <w:r>
        <w:rPr>
          <w:rFonts w:hint="eastAsia" w:ascii="仿宋_GB2312" w:hAnsi="仿宋_GB2312" w:eastAsia="仿宋_GB2312" w:cs="仿宋_GB2312"/>
          <w:b/>
          <w:sz w:val="32"/>
          <w:szCs w:val="32"/>
        </w:rPr>
        <w:t>项目概况：</w:t>
      </w:r>
      <w:bookmarkEnd w:id="1"/>
      <w:bookmarkEnd w:id="2"/>
      <w:bookmarkEnd w:id="3"/>
      <w:bookmarkEnd w:id="4"/>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蕉门水道段，长约2.5公里。</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1.工程名称</w:t>
      </w:r>
      <w:r>
        <w:rPr>
          <w:rFonts w:hint="eastAsia" w:ascii="仿宋_GB2312" w:hAnsi="仿宋_GB2312" w:eastAsia="仿宋_GB2312" w:cs="仿宋_GB2312"/>
          <w:sz w:val="32"/>
          <w:szCs w:val="32"/>
        </w:rPr>
        <w:t>：南沙前锋水乡一、二涌项目围蔽工程</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2.业主单位：</w:t>
      </w:r>
      <w:r>
        <w:rPr>
          <w:rFonts w:hint="eastAsia" w:ascii="仿宋_GB2312" w:hAnsi="仿宋_GB2312" w:eastAsia="仿宋_GB2312" w:cs="仿宋_GB2312"/>
          <w:sz w:val="32"/>
          <w:szCs w:val="32"/>
        </w:rPr>
        <w:t>广州南沙科技投资有限公司</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3.联系人：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p>
    <w:p>
      <w:pPr>
        <w:spacing w:line="360" w:lineRule="auto"/>
        <w:ind w:firstLine="643"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4.施工地点：</w:t>
      </w:r>
      <w:r>
        <w:rPr>
          <w:rFonts w:hint="eastAsia" w:ascii="仿宋_GB2312" w:hAnsi="仿宋_GB2312" w:eastAsia="仿宋_GB2312" w:cs="仿宋_GB2312"/>
          <w:sz w:val="32"/>
          <w:szCs w:val="32"/>
        </w:rPr>
        <w:t>广州市南沙区珠江街道前锋社区居委一二涌</w:t>
      </w:r>
      <w:r>
        <w:rPr>
          <w:rFonts w:hint="eastAsia" w:ascii="仿宋_GB2312" w:hAnsi="仿宋_GB2312" w:eastAsia="仿宋_GB2312" w:cs="仿宋_GB2312"/>
          <w:sz w:val="32"/>
          <w:szCs w:val="32"/>
          <w:lang w:eastAsia="zh-CN"/>
        </w:rPr>
        <w:t>。</w:t>
      </w:r>
    </w:p>
    <w:p>
      <w:pPr>
        <w:widowControl/>
        <w:numPr>
          <w:ilvl w:val="-1"/>
          <w:numId w:val="0"/>
        </w:numPr>
        <w:adjustRightInd w:val="0"/>
        <w:snapToGrid w:val="0"/>
        <w:spacing w:line="360" w:lineRule="auto"/>
        <w:ind w:left="0" w:leftChars="0" w:firstLine="643" w:firstLineChars="200"/>
        <w:outlineLvl w:val="1"/>
        <w:rPr>
          <w:rFonts w:ascii="仿宋_GB2312" w:hAnsi="仿宋_GB2312" w:eastAsia="仿宋_GB2312" w:cs="仿宋_GB2312"/>
          <w:b/>
          <w:sz w:val="32"/>
          <w:szCs w:val="32"/>
        </w:rPr>
      </w:pPr>
      <w:bookmarkStart w:id="5" w:name="_Toc21951"/>
      <w:bookmarkStart w:id="6" w:name="_Toc15352"/>
      <w:bookmarkStart w:id="7" w:name="_Toc5144"/>
      <w:bookmarkStart w:id="8" w:name="_Toc28035"/>
      <w:bookmarkStart w:id="9" w:name="_Toc7071"/>
      <w:bookmarkStart w:id="10" w:name="_Toc25863"/>
      <w:r>
        <w:rPr>
          <w:rFonts w:hint="eastAsia" w:ascii="仿宋_GB2312" w:hAnsi="仿宋_GB2312" w:eastAsia="仿宋_GB2312" w:cs="仿宋_GB2312"/>
          <w:b/>
          <w:sz w:val="32"/>
          <w:szCs w:val="32"/>
          <w:lang w:val="en-US" w:eastAsia="zh-CN"/>
        </w:rPr>
        <w:t>二、</w:t>
      </w:r>
      <w:r>
        <w:rPr>
          <w:rFonts w:hint="eastAsia" w:ascii="仿宋_GB2312" w:hAnsi="仿宋_GB2312" w:eastAsia="仿宋_GB2312" w:cs="仿宋_GB2312"/>
          <w:b/>
          <w:sz w:val="32"/>
          <w:szCs w:val="32"/>
        </w:rPr>
        <w:t>围蔽需求</w:t>
      </w:r>
      <w:bookmarkEnd w:id="5"/>
      <w:bookmarkEnd w:id="6"/>
      <w:bookmarkEnd w:id="7"/>
      <w:bookmarkEnd w:id="8"/>
      <w:r>
        <w:rPr>
          <w:rFonts w:hint="eastAsia" w:ascii="仿宋_GB2312" w:hAnsi="仿宋_GB2312" w:eastAsia="仿宋_GB2312" w:cs="仿宋_GB2312"/>
          <w:b/>
          <w:sz w:val="32"/>
          <w:szCs w:val="32"/>
        </w:rPr>
        <w:t>、</w:t>
      </w:r>
      <w:r>
        <w:rPr>
          <w:rFonts w:hint="eastAsia" w:ascii="仿宋_GB2312" w:hAnsi="仿宋_GB2312" w:eastAsia="仿宋_GB2312" w:cs="仿宋_GB2312"/>
          <w:b/>
          <w:bCs/>
          <w:sz w:val="32"/>
          <w:szCs w:val="32"/>
        </w:rPr>
        <w:t>招标范围、招标单价和限价</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围蔽需求</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1.围蔽原则：</w:t>
      </w:r>
      <w:r>
        <w:rPr>
          <w:rFonts w:hint="eastAsia" w:ascii="仿宋_GB2312" w:hAnsi="仿宋_GB2312" w:eastAsia="仿宋_GB2312" w:cs="仿宋_GB2312"/>
          <w:sz w:val="32"/>
          <w:szCs w:val="32"/>
        </w:rPr>
        <w:t>经济适用。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2.围蔽内容：</w:t>
      </w:r>
      <w:r>
        <w:rPr>
          <w:rFonts w:hint="eastAsia" w:ascii="仿宋_GB2312" w:hAnsi="仿宋_GB2312" w:eastAsia="仿宋_GB2312" w:cs="仿宋_GB2312"/>
          <w:sz w:val="32"/>
          <w:szCs w:val="32"/>
        </w:rPr>
        <w:t>围蔽已征收房屋首层的窗和门和物业外围，外围高度2米。</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3.围蔽目标：</w:t>
      </w:r>
      <w:r>
        <w:rPr>
          <w:rFonts w:hint="eastAsia" w:ascii="仿宋_GB2312" w:hAnsi="仿宋_GB2312" w:eastAsia="仿宋_GB2312" w:cs="仿宋_GB2312"/>
          <w:sz w:val="32"/>
          <w:szCs w:val="32"/>
        </w:rPr>
        <w:t>预防闲杂人员进入已征收物业范围，规避安全隐患。（目的是使外面的闲杂人员进不去，保障安全）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4.围蔽材料建议：</w:t>
      </w:r>
      <w:r>
        <w:rPr>
          <w:rFonts w:hint="eastAsia" w:ascii="仿宋_GB2312" w:hAnsi="仿宋_GB2312" w:eastAsia="仿宋_GB2312" w:cs="仿宋_GB2312"/>
          <w:sz w:val="32"/>
          <w:szCs w:val="32"/>
        </w:rPr>
        <w:t>房屋门窗围蔽材质建议是彩钢铁皮/彩钢瓦（选用材料326</w:t>
      </w:r>
      <w:r>
        <w:rPr>
          <w:rFonts w:hint="eastAsia" w:ascii="宋体" w:hAnsi="宋体" w:cs="宋体"/>
          <w:sz w:val="32"/>
          <w:szCs w:val="32"/>
        </w:rPr>
        <w:t>＃</w:t>
      </w:r>
      <w:r>
        <w:rPr>
          <w:rFonts w:hint="eastAsia" w:ascii="仿宋_GB2312" w:hAnsi="仿宋_GB2312" w:eastAsia="仿宋_GB2312" w:cs="仿宋_GB2312"/>
          <w:sz w:val="32"/>
          <w:szCs w:val="32"/>
        </w:rPr>
        <w:t>）。物业外围建议采用3*3的镀锌角铁做门框架封波浪纹彩钢板或毛板（材料厚度不低于0.4mm），围蔽完成的物业需保障业主可随时进入，需装合页、锁扣和门锁；（备注：如对房屋外围进行围蔽即可达到阻挡效果，则该物业里面门窗无需再围蔽，另如有物业门窗未拆除，则无需围蔽。）</w:t>
      </w:r>
    </w:p>
    <w:p>
      <w:pPr>
        <w:spacing w:line="360" w:lineRule="auto"/>
        <w:ind w:firstLine="420" w:firstLineChars="200"/>
        <w:rPr>
          <w:rFonts w:ascii="仿宋_GB2312" w:hAnsi="仿宋_GB2312" w:eastAsia="仿宋_GB2312" w:cs="仿宋_GB2312"/>
          <w:sz w:val="32"/>
          <w:szCs w:val="32"/>
        </w:rPr>
      </w:pPr>
      <w:r>
        <w:rPr>
          <w:rFonts w:hint="eastAsia"/>
        </w:rPr>
        <w:drawing>
          <wp:inline distT="0" distB="0" distL="114300" distR="114300">
            <wp:extent cx="5276850" cy="4260850"/>
            <wp:effectExtent l="0" t="0" r="6350" b="6350"/>
            <wp:docPr id="2" name="图片 2" descr="微信截图_202309191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30919113451"/>
                    <pic:cNvPicPr>
                      <a:picLocks noChangeAspect="1"/>
                    </pic:cNvPicPr>
                  </pic:nvPicPr>
                  <pic:blipFill>
                    <a:blip r:embed="rId6"/>
                    <a:stretch>
                      <a:fillRect/>
                    </a:stretch>
                  </pic:blipFill>
                  <pic:spPr>
                    <a:xfrm>
                      <a:off x="0" y="0"/>
                      <a:ext cx="5276850" cy="4260850"/>
                    </a:xfrm>
                    <a:prstGeom prst="rect">
                      <a:avLst/>
                    </a:prstGeom>
                  </pic:spPr>
                </pic:pic>
              </a:graphicData>
            </a:graphic>
          </wp:inline>
        </w:drawing>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5.工程量：</w:t>
      </w:r>
      <w:r>
        <w:rPr>
          <w:rFonts w:hint="eastAsia" w:ascii="仿宋_GB2312" w:hAnsi="仿宋_GB2312" w:eastAsia="仿宋_GB2312" w:cs="仿宋_GB2312"/>
          <w:sz w:val="32"/>
          <w:szCs w:val="32"/>
        </w:rPr>
        <w:t>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outlineLvl w:val="2"/>
        <w:rPr>
          <w:rFonts w:ascii="仿宋_GB2312" w:hAnsi="仿宋_GB2312" w:eastAsia="仿宋_GB2312" w:cs="仿宋_GB2312"/>
          <w:sz w:val="32"/>
          <w:szCs w:val="32"/>
        </w:rPr>
      </w:pPr>
      <w:bookmarkStart w:id="11" w:name="_Toc24786"/>
      <w:bookmarkStart w:id="12" w:name="_Toc27638"/>
      <w:r>
        <w:rPr>
          <w:rFonts w:hint="eastAsia" w:ascii="仿宋_GB2312" w:hAnsi="仿宋_GB2312" w:eastAsia="仿宋_GB2312" w:cs="仿宋_GB2312"/>
          <w:b/>
          <w:bCs/>
          <w:sz w:val="32"/>
          <w:szCs w:val="32"/>
        </w:rPr>
        <w:t>6.围蔽高度：</w:t>
      </w:r>
      <w:r>
        <w:rPr>
          <w:rFonts w:hint="eastAsia" w:ascii="仿宋_GB2312" w:hAnsi="仿宋_GB2312" w:eastAsia="仿宋_GB2312" w:cs="仿宋_GB2312"/>
          <w:sz w:val="32"/>
          <w:szCs w:val="32"/>
        </w:rPr>
        <w:t>2米。</w:t>
      </w:r>
      <w:bookmarkEnd w:id="11"/>
      <w:bookmarkEnd w:id="12"/>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7.报价方式：</w:t>
      </w:r>
      <w:r>
        <w:rPr>
          <w:rFonts w:hint="eastAsia" w:ascii="仿宋_GB2312" w:hAnsi="仿宋_GB2312" w:eastAsia="仿宋_GB2312" w:cs="仿宋_GB2312"/>
          <w:sz w:val="32"/>
          <w:szCs w:val="32"/>
        </w:rPr>
        <w:t>按平方报价，价格结构组成为：封门费、封窗费、封外围费。以项目单独按平方报单价。（单价含人工费、材料费、安装费、加工费、运输费、税费、维保费等所有费用。）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8.维保期：</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sz w:val="32"/>
          <w:szCs w:val="32"/>
        </w:rPr>
        <w:t>年。</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9.现场围蔽物业识别方式：</w:t>
      </w:r>
      <w:r>
        <w:rPr>
          <w:rFonts w:hint="eastAsia" w:ascii="仿宋_GB2312" w:hAnsi="仿宋_GB2312" w:eastAsia="仿宋_GB2312" w:cs="仿宋_GB2312"/>
          <w:sz w:val="32"/>
          <w:szCs w:val="32"/>
        </w:rPr>
        <w:t>如下图</w:t>
      </w:r>
    </w:p>
    <w:p>
      <w:pPr>
        <w:spacing w:before="155" w:line="221" w:lineRule="auto"/>
        <w:jc w:val="left"/>
        <w:rPr>
          <w:rFonts w:ascii="仿宋_GB2312" w:hAnsi="仿宋_GB2312" w:eastAsia="仿宋_GB2312" w:cs="仿宋_GB2312"/>
          <w:b/>
          <w:bCs/>
          <w:spacing w:val="-12"/>
          <w:sz w:val="28"/>
          <w:szCs w:val="28"/>
        </w:rPr>
      </w:pPr>
      <w:r>
        <w:rPr>
          <w:rFonts w:hint="eastAsia" w:ascii="仿宋_GB2312" w:hAnsi="仿宋_GB2312" w:eastAsia="仿宋_GB2312" w:cs="仿宋_GB2312"/>
          <w:spacing w:val="-12"/>
          <w:sz w:val="28"/>
          <w:szCs w:val="28"/>
        </w:rPr>
        <w:drawing>
          <wp:inline distT="0" distB="0" distL="114300" distR="114300">
            <wp:extent cx="2741295" cy="1315720"/>
            <wp:effectExtent l="0" t="0" r="1905" b="5080"/>
            <wp:docPr id="8" name="图片 8" descr="微信图片_2022082615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26153855"/>
                    <pic:cNvPicPr>
                      <a:picLocks noChangeAspect="1"/>
                    </pic:cNvPicPr>
                  </pic:nvPicPr>
                  <pic:blipFill>
                    <a:blip r:embed="rId7"/>
                    <a:stretch>
                      <a:fillRect/>
                    </a:stretch>
                  </pic:blipFill>
                  <pic:spPr>
                    <a:xfrm>
                      <a:off x="0" y="0"/>
                      <a:ext cx="2741295" cy="1315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1292225" cy="2655570"/>
            <wp:effectExtent l="0" t="0" r="11430" b="3175"/>
            <wp:docPr id="13" name="图片 13"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708"/>
                    <pic:cNvPicPr>
                      <a:picLocks noChangeAspect="1"/>
                    </pic:cNvPicPr>
                  </pic:nvPicPr>
                  <pic:blipFill>
                    <a:blip r:embed="rId8"/>
                    <a:srcRect l="34590" b="-736"/>
                    <a:stretch>
                      <a:fillRect/>
                    </a:stretch>
                  </pic:blipFill>
                  <pic:spPr>
                    <a:xfrm rot="16200000">
                      <a:off x="0" y="0"/>
                      <a:ext cx="1292225" cy="2655570"/>
                    </a:xfrm>
                    <a:prstGeom prst="rect">
                      <a:avLst/>
                    </a:prstGeom>
                  </pic:spPr>
                </pic:pic>
              </a:graphicData>
            </a:graphic>
          </wp:inline>
        </w:drawing>
      </w:r>
    </w:p>
    <w:p>
      <w:pPr>
        <w:spacing w:before="0" w:line="360" w:lineRule="auto"/>
        <w:ind w:firstLine="595" w:firstLineChars="200"/>
        <w:jc w:val="left"/>
        <w:rPr>
          <w:rFonts w:ascii="仿宋_GB2312" w:hAnsi="仿宋_GB2312" w:eastAsia="仿宋_GB2312" w:cs="仿宋_GB2312"/>
          <w:b/>
          <w:bCs/>
          <w:spacing w:val="-12"/>
          <w:sz w:val="32"/>
          <w:szCs w:val="32"/>
        </w:rPr>
      </w:pPr>
      <w:r>
        <w:rPr>
          <w:rFonts w:hint="eastAsia" w:ascii="仿宋_GB2312" w:hAnsi="仿宋_GB2312" w:eastAsia="仿宋_GB2312" w:cs="仿宋_GB2312"/>
          <w:b/>
          <w:bCs/>
          <w:spacing w:val="-12"/>
          <w:sz w:val="32"/>
          <w:szCs w:val="32"/>
        </w:rPr>
        <w:t>10.现场实景：</w:t>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64530" cy="3474720"/>
            <wp:effectExtent l="0" t="0" r="1270" b="5080"/>
            <wp:docPr id="12" name="图片 12" descr="微信截图_202307281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30728125011"/>
                    <pic:cNvPicPr>
                      <a:picLocks noChangeAspect="1"/>
                    </pic:cNvPicPr>
                  </pic:nvPicPr>
                  <pic:blipFill>
                    <a:blip r:embed="rId9"/>
                    <a:stretch>
                      <a:fillRect/>
                    </a:stretch>
                  </pic:blipFill>
                  <pic:spPr>
                    <a:xfrm>
                      <a:off x="0" y="0"/>
                      <a:ext cx="5764530" cy="3474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5271135" cy="2454275"/>
            <wp:effectExtent l="0" t="0" r="12065" b="9525"/>
            <wp:docPr id="10" name="图片 10" descr="微信截图_202307281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728121129"/>
                    <pic:cNvPicPr>
                      <a:picLocks noChangeAspect="1"/>
                    </pic:cNvPicPr>
                  </pic:nvPicPr>
                  <pic:blipFill>
                    <a:blip r:embed="rId10"/>
                    <a:stretch>
                      <a:fillRect/>
                    </a:stretch>
                  </pic:blipFill>
                  <pic:spPr>
                    <a:xfrm>
                      <a:off x="0" y="0"/>
                      <a:ext cx="5271135" cy="2454275"/>
                    </a:xfrm>
                    <a:prstGeom prst="rect">
                      <a:avLst/>
                    </a:prstGeom>
                  </pic:spPr>
                </pic:pic>
              </a:graphicData>
            </a:graphic>
          </wp:inline>
        </w:drawing>
      </w:r>
    </w:p>
    <w:p>
      <w:pPr>
        <w:pStyle w:val="2"/>
        <w:ind w:firstLine="0"/>
      </w:pPr>
      <w:r>
        <w:rPr>
          <w:rFonts w:hint="eastAsia"/>
        </w:rPr>
        <w:drawing>
          <wp:inline distT="0" distB="0" distL="114300" distR="114300">
            <wp:extent cx="6289040" cy="2647315"/>
            <wp:effectExtent l="0" t="0" r="10160" b="6985"/>
            <wp:docPr id="11" name="图片 11"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2222"/>
                    <pic:cNvPicPr>
                      <a:picLocks noChangeAspect="1"/>
                    </pic:cNvPicPr>
                  </pic:nvPicPr>
                  <pic:blipFill>
                    <a:blip r:embed="rId11"/>
                    <a:stretch>
                      <a:fillRect/>
                    </a:stretch>
                  </pic:blipFill>
                  <pic:spPr>
                    <a:xfrm>
                      <a:off x="0" y="0"/>
                      <a:ext cx="6289040" cy="2647315"/>
                    </a:xfrm>
                    <a:prstGeom prst="rect">
                      <a:avLst/>
                    </a:prstGeom>
                  </pic:spPr>
                </pic:pic>
              </a:graphicData>
            </a:graphic>
          </wp:inline>
        </w:drawing>
      </w:r>
      <w:r>
        <w:rPr>
          <w:rFonts w:hint="eastAsia"/>
        </w:rPr>
        <w:drawing>
          <wp:inline distT="0" distB="0" distL="114300" distR="114300">
            <wp:extent cx="6068060" cy="2705100"/>
            <wp:effectExtent l="0" t="0" r="2540" b="0"/>
            <wp:docPr id="7" name="图片 7" descr="发发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发发发"/>
                    <pic:cNvPicPr>
                      <a:picLocks noChangeAspect="1"/>
                    </pic:cNvPicPr>
                  </pic:nvPicPr>
                  <pic:blipFill>
                    <a:blip r:embed="rId12"/>
                    <a:stretch>
                      <a:fillRect/>
                    </a:stretch>
                  </pic:blipFill>
                  <pic:spPr>
                    <a:xfrm>
                      <a:off x="0" y="0"/>
                      <a:ext cx="6068060" cy="2705100"/>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89930" cy="3860165"/>
            <wp:effectExtent l="0" t="0" r="1270" b="635"/>
            <wp:docPr id="14" name="图片 14" descr="DJI_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0850"/>
                    <pic:cNvPicPr>
                      <a:picLocks noChangeAspect="1"/>
                    </pic:cNvPicPr>
                  </pic:nvPicPr>
                  <pic:blipFill>
                    <a:blip r:embed="rId13"/>
                    <a:stretch>
                      <a:fillRect/>
                    </a:stretch>
                  </pic:blipFill>
                  <pic:spPr>
                    <a:xfrm>
                      <a:off x="0" y="0"/>
                      <a:ext cx="5789930" cy="3860165"/>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2139315" cy="2853690"/>
            <wp:effectExtent l="0" t="0" r="3810" b="6985"/>
            <wp:docPr id="15" name="图片 15" descr="IMG_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905"/>
                    <pic:cNvPicPr>
                      <a:picLocks noChangeAspect="1"/>
                    </pic:cNvPicPr>
                  </pic:nvPicPr>
                  <pic:blipFill>
                    <a:blip r:embed="rId14"/>
                    <a:stretch>
                      <a:fillRect/>
                    </a:stretch>
                  </pic:blipFill>
                  <pic:spPr>
                    <a:xfrm rot="16200000">
                      <a:off x="0" y="0"/>
                      <a:ext cx="2139315" cy="2853690"/>
                    </a:xfrm>
                    <a:prstGeom prst="rect">
                      <a:avLst/>
                    </a:prstGeom>
                  </pic:spPr>
                </pic:pic>
              </a:graphicData>
            </a:graphic>
          </wp:inline>
        </w:drawing>
      </w:r>
      <w:r>
        <w:rPr>
          <w:rFonts w:hint="eastAsia" w:ascii="仿宋_GB2312" w:hAnsi="仿宋_GB2312" w:eastAsia="仿宋_GB2312" w:cs="仿宋_GB2312"/>
          <w:spacing w:val="-12"/>
          <w:sz w:val="28"/>
          <w:szCs w:val="28"/>
          <w:lang w:val="en-US" w:eastAsia="zh-CN"/>
        </w:rPr>
        <w:t xml:space="preserve"> </w:t>
      </w:r>
      <w:r>
        <w:rPr>
          <w:rFonts w:hint="eastAsia" w:ascii="仿宋_GB2312" w:hAnsi="仿宋_GB2312" w:eastAsia="仿宋_GB2312" w:cs="仿宋_GB2312"/>
          <w:spacing w:val="-12"/>
          <w:sz w:val="28"/>
          <w:szCs w:val="28"/>
        </w:rPr>
        <w:drawing>
          <wp:inline distT="0" distB="0" distL="114300" distR="114300">
            <wp:extent cx="2143760" cy="2859405"/>
            <wp:effectExtent l="0" t="0" r="10795" b="2540"/>
            <wp:docPr id="4" name="图片 4"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696"/>
                    <pic:cNvPicPr>
                      <a:picLocks noChangeAspect="1"/>
                    </pic:cNvPicPr>
                  </pic:nvPicPr>
                  <pic:blipFill>
                    <a:blip r:embed="rId15"/>
                    <a:stretch>
                      <a:fillRect/>
                    </a:stretch>
                  </pic:blipFill>
                  <pic:spPr>
                    <a:xfrm rot="16200000">
                      <a:off x="0" y="0"/>
                      <a:ext cx="2143760" cy="2859405"/>
                    </a:xfrm>
                    <a:prstGeom prst="rect">
                      <a:avLst/>
                    </a:prstGeom>
                  </pic:spPr>
                </pic:pic>
              </a:graphicData>
            </a:graphic>
          </wp:inline>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96745" cy="2528570"/>
            <wp:effectExtent l="0" t="0" r="8255" b="11430"/>
            <wp:docPr id="26" name="图片 26" descr="RBZP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BZP6474"/>
                    <pic:cNvPicPr>
                      <a:picLocks noChangeAspect="1"/>
                    </pic:cNvPicPr>
                  </pic:nvPicPr>
                  <pic:blipFill>
                    <a:blip r:embed="rId16"/>
                    <a:stretch>
                      <a:fillRect/>
                    </a:stretch>
                  </pic:blipFill>
                  <pic:spPr>
                    <a:xfrm>
                      <a:off x="0" y="0"/>
                      <a:ext cx="1896745" cy="2528570"/>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2493010" cy="3324860"/>
            <wp:effectExtent l="0" t="0" r="2540" b="8890"/>
            <wp:docPr id="27" name="图片 27" descr="IMG_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909"/>
                    <pic:cNvPicPr>
                      <a:picLocks noChangeAspect="1"/>
                    </pic:cNvPicPr>
                  </pic:nvPicPr>
                  <pic:blipFill>
                    <a:blip r:embed="rId17"/>
                    <a:stretch>
                      <a:fillRect/>
                    </a:stretch>
                  </pic:blipFill>
                  <pic:spPr>
                    <a:xfrm rot="16200000">
                      <a:off x="0" y="0"/>
                      <a:ext cx="2493010" cy="3324860"/>
                    </a:xfrm>
                    <a:prstGeom prst="rect">
                      <a:avLst/>
                    </a:prstGeom>
                  </pic:spPr>
                </pic:pic>
              </a:graphicData>
            </a:graphic>
          </wp:inline>
        </w:drawing>
      </w:r>
    </w:p>
    <w:p>
      <w:pPr>
        <w:spacing w:line="360" w:lineRule="auto"/>
        <w:ind w:firstLine="643"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11.现场勘察对接人：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r>
        <w:rPr>
          <w:rFonts w:hint="eastAsia" w:ascii="仿宋_GB2312" w:hAnsi="仿宋_GB2312" w:eastAsia="仿宋_GB2312" w:cs="仿宋_GB2312"/>
          <w:sz w:val="32"/>
          <w:szCs w:val="32"/>
          <w:lang w:eastAsia="zh-CN"/>
        </w:rPr>
        <w:t>。</w:t>
      </w:r>
    </w:p>
    <w:p>
      <w:pPr>
        <w:pStyle w:val="2"/>
        <w:rPr>
          <w:b/>
          <w:bCs/>
        </w:rPr>
      </w:pPr>
      <w:r>
        <w:rPr>
          <w:rFonts w:hint="eastAsia" w:ascii="仿宋_GB2312" w:hAnsi="仿宋_GB2312" w:cs="仿宋_GB2312"/>
          <w:b/>
          <w:bCs/>
          <w:sz w:val="32"/>
          <w:szCs w:val="32"/>
        </w:rPr>
        <w:t>（二）招标范围</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（三）招标单价和限价</w:t>
      </w:r>
    </w:p>
    <w:p>
      <w:pPr>
        <w:spacing w:line="360" w:lineRule="auto"/>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sz w:val="32"/>
          <w:szCs w:val="32"/>
        </w:rPr>
        <w:t>综合单价包干；以招标公布的工程量清单为基础，结合项目内需围蔽物业的实际情况确定实际围蔽内容；合同结算价以经业主确认的现场实际围蔽的工程量乘以中标合同单价，最终结算价以双方审定金额为准。完成本项目招标范围内所有物业围蔽安装工程，负责项目施工实施阶段采购、制作安装，直至项目竣工验收合格并移交，包括但不限于包深化设计包工、包料、包设备、包质量、包安全生产、包文明施工、包工期、包承包范围内工程验收通过、包移交、包结算、包资料整理、包施工总承包管理和现场整体组织、包专业协调及配合等。</w:t>
      </w:r>
    </w:p>
    <w:p>
      <w:pPr>
        <w:spacing w:line="360" w:lineRule="auto"/>
        <w:ind w:firstLine="640" w:firstLineChars="200"/>
        <w:jc w:val="left"/>
        <w:outlineLvl w:val="2"/>
        <w:rPr>
          <w:rFonts w:ascii="仿宋_GB2312" w:hAnsi="仿宋_GB2312" w:eastAsia="仿宋_GB2312" w:cs="仿宋_GB2312"/>
          <w:sz w:val="32"/>
          <w:szCs w:val="32"/>
        </w:rPr>
      </w:pPr>
      <w:bookmarkStart w:id="13" w:name="_Toc13006"/>
      <w:bookmarkStart w:id="14" w:name="_Toc6940"/>
      <w:r>
        <w:rPr>
          <w:rFonts w:hint="eastAsia" w:ascii="仿宋_GB2312" w:hAnsi="仿宋_GB2312" w:eastAsia="仿宋_GB2312" w:cs="仿宋_GB2312"/>
          <w:sz w:val="32"/>
          <w:szCs w:val="32"/>
        </w:rPr>
        <w:t>2.最高投标限价：35万元。</w:t>
      </w:r>
      <w:bookmarkEnd w:id="13"/>
      <w:bookmarkEnd w:id="14"/>
    </w:p>
    <w:p>
      <w:pPr>
        <w:spacing w:line="360" w:lineRule="auto"/>
        <w:ind w:firstLine="643" w:firstLineChars="200"/>
        <w:jc w:val="left"/>
        <w:outlineLvl w:val="1"/>
        <w:rPr>
          <w:rFonts w:ascii="仿宋_GB2312" w:hAnsi="仿宋_GB2312" w:eastAsia="仿宋_GB2312" w:cs="仿宋_GB2312"/>
          <w:sz w:val="32"/>
          <w:szCs w:val="32"/>
          <w:u w:val="single"/>
        </w:rPr>
      </w:pPr>
      <w:r>
        <w:rPr>
          <w:rFonts w:hint="eastAsia" w:ascii="仿宋_GB2312" w:hAnsi="仿宋_GB2312" w:eastAsia="仿宋_GB2312" w:cs="仿宋_GB2312"/>
          <w:b/>
          <w:sz w:val="32"/>
          <w:szCs w:val="32"/>
        </w:rPr>
        <w:t>三、资金来源：</w:t>
      </w:r>
      <w:r>
        <w:rPr>
          <w:rFonts w:hint="eastAsia" w:ascii="仿宋_GB2312" w:hAnsi="仿宋_GB2312" w:eastAsia="仿宋_GB2312" w:cs="仿宋_GB2312"/>
          <w:bCs/>
          <w:sz w:val="32"/>
          <w:szCs w:val="32"/>
        </w:rPr>
        <w:t>企业</w:t>
      </w:r>
      <w:r>
        <w:rPr>
          <w:rFonts w:hint="eastAsia" w:ascii="仿宋_GB2312" w:hAnsi="仿宋_GB2312" w:eastAsia="仿宋_GB2312" w:cs="仿宋_GB2312"/>
          <w:sz w:val="32"/>
          <w:szCs w:val="32"/>
        </w:rPr>
        <w:t>自筹。</w:t>
      </w:r>
      <w:bookmarkEnd w:id="9"/>
      <w:bookmarkEnd w:id="10"/>
    </w:p>
    <w:p>
      <w:pPr>
        <w:spacing w:line="360" w:lineRule="auto"/>
        <w:ind w:firstLine="643" w:firstLineChars="200"/>
        <w:outlineLvl w:val="0"/>
        <w:rPr>
          <w:rFonts w:ascii="仿宋_GB2312" w:hAnsi="仿宋_GB2312" w:eastAsia="仿宋_GB2312" w:cs="仿宋_GB2312"/>
          <w:sz w:val="32"/>
          <w:szCs w:val="32"/>
        </w:rPr>
      </w:pPr>
      <w:bookmarkStart w:id="15" w:name="_Toc23060"/>
      <w:bookmarkStart w:id="16" w:name="_Toc19078"/>
      <w:bookmarkStart w:id="17" w:name="_Toc28432"/>
      <w:bookmarkStart w:id="18" w:name="_Toc14520"/>
      <w:r>
        <w:rPr>
          <w:rFonts w:hint="eastAsia" w:ascii="仿宋_GB2312" w:hAnsi="仿宋_GB2312" w:eastAsia="仿宋_GB2312" w:cs="仿宋_GB2312"/>
          <w:b/>
          <w:bCs/>
          <w:sz w:val="32"/>
          <w:szCs w:val="32"/>
        </w:rPr>
        <w:t>四、发布招标公告时间</w:t>
      </w:r>
      <w:r>
        <w:rPr>
          <w:rFonts w:hint="eastAsia" w:ascii="仿宋_GB2312" w:hAnsi="仿宋_GB2312" w:eastAsia="仿宋_GB2312" w:cs="仿宋_GB2312"/>
          <w:b/>
          <w:sz w:val="32"/>
          <w:szCs w:val="32"/>
        </w:rPr>
        <w:t>、投标登记及递交投标文件时间、开标时间（不接受传真的文件及逾期送达或寄达的文件）</w:t>
      </w:r>
      <w:r>
        <w:rPr>
          <w:rFonts w:hint="eastAsia" w:ascii="仿宋_GB2312" w:hAnsi="仿宋_GB2312" w:eastAsia="仿宋_GB2312" w:cs="仿宋_GB2312"/>
          <w:sz w:val="32"/>
          <w:szCs w:val="32"/>
        </w:rPr>
        <w:t>：</w:t>
      </w:r>
      <w:bookmarkEnd w:id="15"/>
      <w:bookmarkEnd w:id="16"/>
      <w:bookmarkEnd w:id="17"/>
      <w:bookmarkEnd w:id="18"/>
    </w:p>
    <w:p>
      <w:pPr>
        <w:spacing w:line="360" w:lineRule="auto"/>
        <w:ind w:firstLine="720" w:firstLineChars="224"/>
        <w:outlineLvl w:val="0"/>
        <w:rPr>
          <w:rFonts w:ascii="仿宋_GB2312" w:hAnsi="仿宋_GB2312" w:eastAsia="仿宋_GB2312" w:cs="仿宋_GB2312"/>
          <w:sz w:val="32"/>
          <w:szCs w:val="32"/>
          <w:highlight w:val="none"/>
          <w:u w:val="single"/>
        </w:rPr>
      </w:pPr>
      <w:bookmarkStart w:id="19" w:name="_Toc10954"/>
      <w:bookmarkStart w:id="20" w:name="_Toc14653"/>
      <w:bookmarkStart w:id="21" w:name="_Toc19634"/>
      <w:bookmarkStart w:id="22" w:name="_Toc22548"/>
      <w:bookmarkStart w:id="23" w:name="_Toc558"/>
      <w:r>
        <w:rPr>
          <w:rFonts w:hint="eastAsia" w:ascii="仿宋_GB2312" w:hAnsi="仿宋_GB2312" w:eastAsia="仿宋_GB2312" w:cs="仿宋_GB2312"/>
          <w:b/>
          <w:bCs/>
          <w:sz w:val="32"/>
          <w:szCs w:val="32"/>
          <w:highlight w:val="none"/>
        </w:rPr>
        <w:t>1.发布招标公告时间（含本日）：</w:t>
      </w:r>
      <w:r>
        <w:rPr>
          <w:rFonts w:hint="eastAsia" w:ascii="仿宋_GB2312" w:hAnsi="仿宋_GB2312" w:eastAsia="仿宋_GB2312" w:cs="仿宋_GB2312"/>
          <w:sz w:val="32"/>
          <w:szCs w:val="32"/>
          <w:highlight w:val="none"/>
          <w:u w:val="single"/>
        </w:rPr>
        <w:t>2023年1</w:t>
      </w:r>
      <w:r>
        <w:rPr>
          <w:rFonts w:hint="eastAsia" w:ascii="仿宋_GB2312" w:hAnsi="仿宋_GB2312" w:eastAsia="仿宋_GB2312" w:cs="仿宋_GB2312"/>
          <w:sz w:val="32"/>
          <w:szCs w:val="32"/>
          <w:highlight w:val="none"/>
          <w:u w:val="single"/>
          <w:lang w:val="en-US" w:eastAsia="zh-CN"/>
        </w:rPr>
        <w:t>1</w:t>
      </w:r>
      <w:r>
        <w:rPr>
          <w:rFonts w:hint="eastAsia" w:ascii="仿宋_GB2312" w:hAnsi="仿宋_GB2312" w:eastAsia="仿宋_GB2312" w:cs="仿宋_GB2312"/>
          <w:sz w:val="32"/>
          <w:szCs w:val="32"/>
          <w:highlight w:val="none"/>
          <w:u w:val="single"/>
        </w:rPr>
        <w:t>月</w:t>
      </w:r>
      <w:r>
        <w:rPr>
          <w:rFonts w:hint="eastAsia" w:ascii="仿宋_GB2312" w:hAnsi="仿宋_GB2312" w:eastAsia="仿宋_GB2312" w:cs="仿宋_GB2312"/>
          <w:sz w:val="32"/>
          <w:szCs w:val="32"/>
          <w:highlight w:val="none"/>
          <w:u w:val="single"/>
          <w:lang w:val="en-US" w:eastAsia="zh-CN"/>
        </w:rPr>
        <w:t>7</w:t>
      </w:r>
      <w:r>
        <w:rPr>
          <w:rFonts w:hint="eastAsia" w:ascii="仿宋_GB2312" w:hAnsi="仿宋_GB2312" w:eastAsia="仿宋_GB2312" w:cs="仿宋_GB2312"/>
          <w:sz w:val="32"/>
          <w:szCs w:val="32"/>
          <w:highlight w:val="none"/>
          <w:u w:val="single"/>
        </w:rPr>
        <w:t>日至 2023年 1</w:t>
      </w:r>
      <w:r>
        <w:rPr>
          <w:rFonts w:hint="eastAsia" w:ascii="仿宋_GB2312" w:hAnsi="仿宋_GB2312" w:eastAsia="仿宋_GB2312" w:cs="仿宋_GB2312"/>
          <w:sz w:val="32"/>
          <w:szCs w:val="32"/>
          <w:highlight w:val="none"/>
          <w:u w:val="single"/>
          <w:lang w:val="en-US" w:eastAsia="zh-CN"/>
        </w:rPr>
        <w:t>1</w:t>
      </w:r>
      <w:r>
        <w:rPr>
          <w:rFonts w:hint="eastAsia" w:ascii="仿宋_GB2312" w:hAnsi="仿宋_GB2312" w:eastAsia="仿宋_GB2312" w:cs="仿宋_GB2312"/>
          <w:sz w:val="32"/>
          <w:szCs w:val="32"/>
          <w:highlight w:val="none"/>
          <w:u w:val="single"/>
        </w:rPr>
        <w:t>月</w:t>
      </w:r>
      <w:r>
        <w:rPr>
          <w:rFonts w:hint="eastAsia" w:ascii="仿宋_GB2312" w:hAnsi="仿宋_GB2312" w:eastAsia="仿宋_GB2312" w:cs="仿宋_GB2312"/>
          <w:sz w:val="32"/>
          <w:szCs w:val="32"/>
          <w:highlight w:val="none"/>
          <w:u w:val="single"/>
          <w:lang w:val="en-US" w:eastAsia="zh-CN"/>
        </w:rPr>
        <w:t>13</w:t>
      </w:r>
      <w:r>
        <w:rPr>
          <w:rFonts w:hint="eastAsia" w:ascii="仿宋_GB2312" w:hAnsi="仿宋_GB2312" w:eastAsia="仿宋_GB2312" w:cs="仿宋_GB2312"/>
          <w:sz w:val="32"/>
          <w:szCs w:val="32"/>
          <w:highlight w:val="none"/>
          <w:u w:val="single"/>
        </w:rPr>
        <w:t>日</w:t>
      </w:r>
    </w:p>
    <w:p>
      <w:pPr>
        <w:spacing w:line="360" w:lineRule="auto"/>
        <w:ind w:firstLine="643" w:firstLineChars="200"/>
        <w:outlineLvl w:val="2"/>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2.递交投标文件时间和交标地点：</w:t>
      </w:r>
    </w:p>
    <w:p>
      <w:pPr>
        <w:numPr>
          <w:ilvl w:val="255"/>
          <w:numId w:val="0"/>
        </w:numPr>
        <w:spacing w:line="360" w:lineRule="auto"/>
        <w:ind w:firstLine="643" w:firstLineChars="200"/>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2.1提交投标文件</w:t>
      </w:r>
      <w:r>
        <w:rPr>
          <w:rFonts w:hint="eastAsia" w:ascii="仿宋_GB2312" w:hAnsi="仿宋_GB2312" w:eastAsia="仿宋_GB2312" w:cs="仿宋_GB2312"/>
          <w:b/>
          <w:bCs/>
          <w:sz w:val="32"/>
          <w:szCs w:val="32"/>
          <w:highlight w:val="none"/>
        </w:rPr>
        <w:t>时间：</w:t>
      </w:r>
      <w:r>
        <w:rPr>
          <w:rFonts w:hint="eastAsia" w:ascii="仿宋_GB2312" w:hAnsi="仿宋_GB2312" w:eastAsia="仿宋_GB2312" w:cs="仿宋_GB2312"/>
          <w:b w:val="0"/>
          <w:bCs w:val="0"/>
          <w:sz w:val="32"/>
          <w:szCs w:val="32"/>
          <w:highlight w:val="none"/>
          <w:u w:val="single"/>
          <w:lang w:val="en-US" w:eastAsia="zh-CN"/>
        </w:rPr>
        <w:t>2023年11月7日14时00分至</w:t>
      </w:r>
      <w:r>
        <w:rPr>
          <w:rFonts w:hint="eastAsia" w:ascii="仿宋_GB2312" w:hAnsi="仿宋_GB2312" w:eastAsia="仿宋_GB2312" w:cs="仿宋_GB2312"/>
          <w:sz w:val="32"/>
          <w:szCs w:val="32"/>
          <w:highlight w:val="none"/>
          <w:u w:val="single"/>
        </w:rPr>
        <w:t>2023年 1</w:t>
      </w:r>
      <w:r>
        <w:rPr>
          <w:rFonts w:hint="eastAsia" w:ascii="仿宋_GB2312" w:hAnsi="仿宋_GB2312" w:eastAsia="仿宋_GB2312" w:cs="仿宋_GB2312"/>
          <w:sz w:val="32"/>
          <w:szCs w:val="32"/>
          <w:highlight w:val="none"/>
          <w:u w:val="single"/>
          <w:lang w:val="en-US" w:eastAsia="zh-CN"/>
        </w:rPr>
        <w:t>1</w:t>
      </w:r>
      <w:r>
        <w:rPr>
          <w:rFonts w:hint="eastAsia" w:ascii="仿宋_GB2312" w:hAnsi="仿宋_GB2312" w:eastAsia="仿宋_GB2312" w:cs="仿宋_GB2312"/>
          <w:sz w:val="32"/>
          <w:szCs w:val="32"/>
          <w:highlight w:val="none"/>
          <w:u w:val="single"/>
        </w:rPr>
        <w:t>月</w:t>
      </w:r>
      <w:r>
        <w:rPr>
          <w:rFonts w:hint="eastAsia" w:ascii="仿宋_GB2312" w:hAnsi="仿宋_GB2312" w:eastAsia="仿宋_GB2312" w:cs="仿宋_GB2312"/>
          <w:sz w:val="32"/>
          <w:szCs w:val="32"/>
          <w:highlight w:val="none"/>
          <w:u w:val="single"/>
          <w:lang w:val="en-US" w:eastAsia="zh-CN"/>
        </w:rPr>
        <w:t>13</w:t>
      </w:r>
      <w:r>
        <w:rPr>
          <w:rFonts w:hint="eastAsia" w:ascii="仿宋_GB2312" w:hAnsi="仿宋_GB2312" w:eastAsia="仿宋_GB2312" w:cs="仿宋_GB2312"/>
          <w:sz w:val="32"/>
          <w:szCs w:val="32"/>
          <w:highlight w:val="none"/>
          <w:u w:val="single"/>
        </w:rPr>
        <w:t>日</w:t>
      </w:r>
      <w:r>
        <w:rPr>
          <w:rFonts w:hint="eastAsia" w:ascii="仿宋_GB2312" w:hAnsi="仿宋_GB2312" w:eastAsia="仿宋_GB2312" w:cs="仿宋_GB2312"/>
          <w:sz w:val="32"/>
          <w:szCs w:val="32"/>
          <w:highlight w:val="none"/>
          <w:u w:val="single"/>
          <w:lang w:val="en-US" w:eastAsia="zh-CN"/>
        </w:rPr>
        <w:t>10</w:t>
      </w:r>
      <w:r>
        <w:rPr>
          <w:rFonts w:hint="eastAsia" w:ascii="仿宋_GB2312" w:hAnsi="仿宋_GB2312" w:eastAsia="仿宋_GB2312" w:cs="仿宋_GB2312"/>
          <w:sz w:val="32"/>
          <w:szCs w:val="32"/>
          <w:highlight w:val="none"/>
          <w:u w:val="single"/>
        </w:rPr>
        <w:t>时</w:t>
      </w:r>
      <w:r>
        <w:rPr>
          <w:rFonts w:hint="eastAsia" w:ascii="仿宋_GB2312" w:hAnsi="仿宋_GB2312" w:eastAsia="仿宋_GB2312" w:cs="仿宋_GB2312"/>
          <w:sz w:val="32"/>
          <w:szCs w:val="32"/>
          <w:highlight w:val="none"/>
          <w:u w:val="single"/>
          <w:lang w:val="en-US" w:eastAsia="zh-CN"/>
        </w:rPr>
        <w:t>00</w:t>
      </w:r>
      <w:r>
        <w:rPr>
          <w:rFonts w:hint="eastAsia" w:ascii="仿宋_GB2312" w:hAnsi="仿宋_GB2312" w:eastAsia="仿宋_GB2312" w:cs="仿宋_GB2312"/>
          <w:sz w:val="32"/>
          <w:szCs w:val="32"/>
          <w:highlight w:val="none"/>
          <w:u w:val="single"/>
        </w:rPr>
        <w:t>分</w:t>
      </w:r>
      <w:r>
        <w:rPr>
          <w:rFonts w:hint="eastAsia" w:ascii="仿宋_GB2312" w:hAnsi="仿宋_GB2312" w:eastAsia="仿宋_GB2312" w:cs="仿宋_GB2312"/>
          <w:sz w:val="32"/>
          <w:szCs w:val="32"/>
          <w:highlight w:val="none"/>
          <w:u w:val="single"/>
          <w:lang w:val="en-US" w:eastAsia="zh-CN"/>
        </w:rPr>
        <w:t>止。</w:t>
      </w:r>
    </w:p>
    <w:p>
      <w:pPr>
        <w:numPr>
          <w:ilvl w:val="-1"/>
          <w:numId w:val="0"/>
        </w:numPr>
        <w:spacing w:line="360" w:lineRule="auto"/>
        <w:ind w:firstLine="643" w:firstLineChars="200"/>
        <w:jc w:val="left"/>
        <w:outlineLvl w:val="2"/>
        <w:rPr>
          <w:rFonts w:hint="default"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交标地点：</w:t>
      </w:r>
      <w:r>
        <w:rPr>
          <w:rFonts w:hint="eastAsia" w:ascii="仿宋_GB2312" w:hAnsi="仿宋_GB2312" w:eastAsia="仿宋_GB2312" w:cs="仿宋_GB2312"/>
          <w:b w:val="0"/>
          <w:bCs w:val="0"/>
          <w:color w:val="auto"/>
          <w:sz w:val="32"/>
          <w:szCs w:val="32"/>
          <w:highlight w:val="none"/>
          <w:u w:val="single"/>
          <w:lang w:val="en-US" w:eastAsia="zh-CN"/>
        </w:rPr>
        <w:t>广州市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海滨路171号南沙金融大厦11楼</w:t>
      </w:r>
      <w:r>
        <w:rPr>
          <w:rFonts w:hint="eastAsia" w:ascii="仿宋_GB2312" w:hAnsi="仿宋_GB2312" w:eastAsia="仿宋_GB2312" w:cs="仿宋_GB2312"/>
          <w:color w:val="auto"/>
          <w:kern w:val="0"/>
          <w:sz w:val="32"/>
          <w:szCs w:val="32"/>
          <w:highlight w:val="none"/>
          <w:u w:val="single"/>
          <w:lang w:val="en-US" w:eastAsia="zh-CN"/>
        </w:rPr>
        <w:t>风控</w:t>
      </w:r>
      <w:r>
        <w:rPr>
          <w:rFonts w:hint="eastAsia" w:ascii="仿宋_GB2312" w:hAnsi="仿宋_GB2312" w:eastAsia="仿宋_GB2312" w:cs="仿宋_GB2312"/>
          <w:color w:val="auto"/>
          <w:kern w:val="0"/>
          <w:sz w:val="32"/>
          <w:szCs w:val="32"/>
          <w:highlight w:val="none"/>
          <w:u w:val="single"/>
        </w:rPr>
        <w:t>合规部办公室</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联系人：陈小姐，电话：020-66810073.</w:t>
      </w:r>
    </w:p>
    <w:p>
      <w:pPr>
        <w:spacing w:line="360" w:lineRule="auto"/>
        <w:ind w:firstLine="643" w:firstLineChars="200"/>
        <w:outlineLvl w:val="2"/>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rPr>
        <w:t>.开标时间：</w:t>
      </w:r>
      <w:r>
        <w:rPr>
          <w:rFonts w:hint="eastAsia" w:ascii="仿宋_GB2312" w:hAnsi="仿宋_GB2312" w:eastAsia="仿宋_GB2312" w:cs="仿宋_GB2312"/>
          <w:color w:val="auto"/>
          <w:sz w:val="32"/>
          <w:szCs w:val="32"/>
          <w:highlight w:val="none"/>
          <w:u w:val="single"/>
        </w:rPr>
        <w:t>2023年1</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single"/>
        </w:rPr>
        <w:t>月</w:t>
      </w:r>
      <w:r>
        <w:rPr>
          <w:rFonts w:hint="eastAsia" w:ascii="仿宋_GB2312" w:hAnsi="仿宋_GB2312" w:eastAsia="仿宋_GB2312" w:cs="仿宋_GB2312"/>
          <w:color w:val="auto"/>
          <w:sz w:val="32"/>
          <w:szCs w:val="32"/>
          <w:highlight w:val="none"/>
          <w:u w:val="single"/>
          <w:lang w:val="en-US" w:eastAsia="zh-CN"/>
        </w:rPr>
        <w:t>13</w:t>
      </w:r>
      <w:r>
        <w:rPr>
          <w:rFonts w:hint="eastAsia" w:ascii="仿宋_GB2312" w:hAnsi="仿宋_GB2312" w:eastAsia="仿宋_GB2312" w:cs="仿宋_GB2312"/>
          <w:color w:val="auto"/>
          <w:sz w:val="32"/>
          <w:szCs w:val="32"/>
          <w:highlight w:val="none"/>
          <w:u w:val="single"/>
        </w:rPr>
        <w:t>日</w:t>
      </w:r>
      <w:r>
        <w:rPr>
          <w:rFonts w:hint="eastAsia" w:ascii="仿宋_GB2312" w:hAnsi="仿宋_GB2312" w:eastAsia="仿宋_GB2312" w:cs="仿宋_GB2312"/>
          <w:color w:val="auto"/>
          <w:sz w:val="32"/>
          <w:szCs w:val="32"/>
          <w:highlight w:val="none"/>
          <w:u w:val="single"/>
          <w:lang w:val="en-US" w:eastAsia="zh-CN"/>
        </w:rPr>
        <w:t>星期一上午</w:t>
      </w:r>
      <w:r>
        <w:rPr>
          <w:rFonts w:hint="eastAsia" w:ascii="仿宋_GB2312" w:hAnsi="仿宋_GB2312" w:eastAsia="仿宋_GB2312" w:cs="仿宋_GB2312"/>
          <w:color w:val="auto"/>
          <w:sz w:val="32"/>
          <w:szCs w:val="32"/>
          <w:highlight w:val="none"/>
          <w:u w:val="single"/>
        </w:rPr>
        <w:t>10:00</w:t>
      </w:r>
      <w:r>
        <w:rPr>
          <w:rFonts w:hint="eastAsia" w:ascii="仿宋_GB2312" w:hAnsi="仿宋_GB2312" w:eastAsia="仿宋_GB2312" w:cs="仿宋_GB2312"/>
          <w:color w:val="auto"/>
          <w:sz w:val="32"/>
          <w:szCs w:val="32"/>
          <w:highlight w:val="none"/>
        </w:rPr>
        <w:t>。地点：</w:t>
      </w:r>
      <w:r>
        <w:rPr>
          <w:rFonts w:hint="eastAsia" w:ascii="仿宋_GB2312" w:hAnsi="仿宋_GB2312" w:eastAsia="仿宋_GB2312" w:cs="仿宋_GB2312"/>
          <w:color w:val="auto"/>
          <w:sz w:val="32"/>
          <w:szCs w:val="32"/>
          <w:highlight w:val="none"/>
          <w:u w:val="single"/>
        </w:rPr>
        <w:t>广州</w:t>
      </w:r>
      <w:r>
        <w:rPr>
          <w:rFonts w:hint="eastAsia" w:ascii="仿宋_GB2312" w:hAnsi="仿宋_GB2312" w:eastAsia="仿宋_GB2312" w:cs="仿宋_GB2312"/>
          <w:color w:val="auto"/>
          <w:sz w:val="32"/>
          <w:szCs w:val="32"/>
          <w:highlight w:val="none"/>
          <w:u w:val="single"/>
          <w:lang w:val="en-US" w:eastAsia="zh-CN"/>
        </w:rPr>
        <w:t>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海滨路171号南沙金融大厦18楼1807</w:t>
      </w:r>
      <w:r>
        <w:rPr>
          <w:rFonts w:hint="eastAsia" w:ascii="仿宋_GB2312" w:hAnsi="仿宋_GB2312" w:eastAsia="仿宋_GB2312" w:cs="仿宋_GB2312"/>
          <w:color w:val="auto"/>
          <w:sz w:val="32"/>
          <w:szCs w:val="32"/>
          <w:highlight w:val="none"/>
          <w:u w:val="single"/>
        </w:rPr>
        <w:t>评标室</w:t>
      </w:r>
      <w:r>
        <w:rPr>
          <w:rFonts w:hint="eastAsia" w:ascii="仿宋_GB2312" w:hAnsi="仿宋_GB2312" w:eastAsia="仿宋_GB2312" w:cs="仿宋_GB2312"/>
          <w:color w:val="auto"/>
          <w:sz w:val="32"/>
          <w:szCs w:val="32"/>
          <w:highlight w:val="none"/>
          <w:u w:val="single"/>
          <w:lang w:eastAsia="zh-CN"/>
        </w:rPr>
        <w:t>。</w:t>
      </w:r>
    </w:p>
    <w:bookmarkEnd w:id="19"/>
    <w:bookmarkEnd w:id="20"/>
    <w:bookmarkEnd w:id="21"/>
    <w:p>
      <w:pPr>
        <w:spacing w:line="360" w:lineRule="auto"/>
        <w:ind w:firstLine="643"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5.其它：</w:t>
      </w:r>
      <w:r>
        <w:rPr>
          <w:rFonts w:hint="eastAsia" w:ascii="仿宋_GB2312" w:hAnsi="仿宋_GB2312" w:eastAsia="仿宋_GB2312" w:cs="仿宋_GB2312"/>
          <w:sz w:val="32"/>
          <w:szCs w:val="32"/>
        </w:rPr>
        <w:t>递交投标文件地点、截止时间与开标时间是否有变化，请密切留意招标人的通知。递交投标文件截止时间后，开标时间因故推迟的，相关评标信息仍以原递交投标文件截止时间的信息为准。</w:t>
      </w:r>
      <w:bookmarkEnd w:id="22"/>
      <w:bookmarkEnd w:id="23"/>
      <w:bookmarkStart w:id="24" w:name="_Toc28711"/>
      <w:bookmarkStart w:id="25" w:name="_Toc29522"/>
      <w:bookmarkStart w:id="26" w:name="_Toc24027"/>
    </w:p>
    <w:p>
      <w:pPr>
        <w:spacing w:line="360" w:lineRule="auto"/>
        <w:ind w:firstLine="643" w:firstLineChars="200"/>
        <w:outlineLvl w:val="2"/>
        <w:rPr>
          <w:rFonts w:ascii="仿宋_GB2312" w:hAnsi="仿宋_GB2312" w:eastAsia="仿宋_GB2312" w:cs="仿宋_GB2312"/>
          <w:b/>
          <w:sz w:val="32"/>
          <w:szCs w:val="32"/>
        </w:rPr>
      </w:pPr>
      <w:bookmarkStart w:id="27" w:name="_Toc21661"/>
      <w:r>
        <w:rPr>
          <w:rFonts w:hint="eastAsia" w:ascii="仿宋_GB2312" w:hAnsi="仿宋_GB2312" w:eastAsia="仿宋_GB2312" w:cs="仿宋_GB2312"/>
          <w:b/>
          <w:sz w:val="32"/>
          <w:szCs w:val="32"/>
        </w:rPr>
        <w:t>五、邀请招标文件获取及办理投标登记手续：</w:t>
      </w:r>
      <w:bookmarkEnd w:id="24"/>
      <w:bookmarkEnd w:id="25"/>
      <w:bookmarkEnd w:id="26"/>
      <w:bookmarkEnd w:id="27"/>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1.邀请招标文件获取：在广州南沙资产经营集团有限公司网站</w:t>
      </w:r>
      <w:r>
        <w:rPr>
          <w:rFonts w:hint="eastAsia" w:ascii="仿宋_GB2312" w:hAnsi="仿宋_GB2312" w:eastAsia="仿宋_GB2312" w:cs="仿宋_GB2312"/>
          <w:sz w:val="32"/>
          <w:szCs w:val="32"/>
          <w:u w:val="single"/>
        </w:rPr>
        <w:t>（http://www.gnao.com.cn）</w:t>
      </w:r>
      <w:r>
        <w:rPr>
          <w:rFonts w:hint="eastAsia" w:ascii="仿宋_GB2312" w:hAnsi="仿宋_GB2312" w:eastAsia="仿宋_GB2312" w:cs="仿宋_GB2312"/>
          <w:sz w:val="32"/>
          <w:szCs w:val="32"/>
        </w:rPr>
        <w:t>上公开发布，由投标人自行下载。如招标人需发布补充公告的，以最后发布的补充的招标内容为准。</w:t>
      </w:r>
    </w:p>
    <w:p>
      <w:pPr>
        <w:spacing w:line="360" w:lineRule="auto"/>
        <w:ind w:firstLine="640" w:firstLineChars="200"/>
        <w:outlineLvl w:val="2"/>
        <w:rPr>
          <w:rFonts w:hint="eastAsia" w:ascii="仿宋_GB2312" w:hAnsi="仿宋_GB2312" w:eastAsia="仿宋_GB2312" w:cs="仿宋_GB2312"/>
          <w:sz w:val="32"/>
          <w:szCs w:val="32"/>
        </w:rPr>
      </w:pPr>
      <w:bookmarkStart w:id="28" w:name="_Toc27456"/>
      <w:r>
        <w:rPr>
          <w:rFonts w:hint="eastAsia" w:ascii="仿宋_GB2312" w:hAnsi="仿宋_GB2312" w:eastAsia="仿宋_GB2312" w:cs="仿宋_GB2312"/>
          <w:sz w:val="32"/>
          <w:szCs w:val="32"/>
        </w:rPr>
        <w:t>2.办理投标登记手续：</w:t>
      </w:r>
      <w:bookmarkEnd w:id="28"/>
    </w:p>
    <w:p>
      <w:pPr>
        <w:spacing w:line="360" w:lineRule="auto"/>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投标人应在投标登记截止时间前和地点提交如下资料：</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企业营业执照（副本）复印件；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企业法定代表人证明书原件；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法定代表人授权委托书原件，仅限于非法定代表人参加办理投标登记手续时提供；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法定代表人身份证原件，仅限于法定代表人参加办理投标登记手续时提供；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被授权委托人有效的身份证原件，仅限于非法定代表人参加办理投标登记手续时提供；</w:t>
      </w:r>
    </w:p>
    <w:p>
      <w:pPr>
        <w:numPr>
          <w:ilvl w:val="-1"/>
          <w:numId w:val="0"/>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投标申请人声明原件（格式详见附件一）；</w:t>
      </w:r>
    </w:p>
    <w:p>
      <w:pPr>
        <w:numPr>
          <w:ilvl w:val="0"/>
          <w:numId w:val="0"/>
        </w:num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上述资料由投标单位办理投标登记手续时提交一份。投标单位必须保证所提交资料</w:t>
      </w:r>
      <w:r>
        <w:rPr>
          <w:rFonts w:hint="eastAsia" w:ascii="仿宋_GB2312" w:hAnsi="仿宋_GB2312" w:eastAsia="仿宋_GB2312" w:cs="仿宋_GB2312"/>
          <w:sz w:val="32"/>
          <w:szCs w:val="32"/>
          <w:lang w:val="en-US" w:eastAsia="zh-CN"/>
        </w:rPr>
        <w:t>合法、</w:t>
      </w:r>
      <w:r>
        <w:rPr>
          <w:rFonts w:hint="eastAsia" w:ascii="仿宋_GB2312" w:hAnsi="仿宋_GB2312" w:eastAsia="仿宋_GB2312" w:cs="仿宋_GB2312"/>
          <w:sz w:val="32"/>
          <w:szCs w:val="32"/>
        </w:rPr>
        <w:t>真实、完整、有效、一致，否则自行承担由此导致的任何损失。如未按要求提供投标登记资料，则提交的资料文件将被拒绝接收。</w:t>
      </w:r>
    </w:p>
    <w:p>
      <w:pPr>
        <w:spacing w:line="360" w:lineRule="auto"/>
        <w:ind w:firstLine="643" w:firstLineChars="200"/>
        <w:outlineLvl w:val="1"/>
        <w:rPr>
          <w:rFonts w:ascii="仿宋_GB2312" w:hAnsi="仿宋_GB2312" w:eastAsia="仿宋_GB2312" w:cs="仿宋_GB2312"/>
          <w:b/>
          <w:sz w:val="32"/>
          <w:szCs w:val="32"/>
        </w:rPr>
      </w:pPr>
      <w:bookmarkStart w:id="29" w:name="_Toc31154"/>
      <w:bookmarkStart w:id="30" w:name="_Toc524"/>
      <w:bookmarkStart w:id="31" w:name="_Toc4167"/>
      <w:bookmarkStart w:id="32" w:name="_Toc3685"/>
      <w:r>
        <w:rPr>
          <w:rFonts w:hint="eastAsia" w:ascii="仿宋_GB2312" w:hAnsi="仿宋_GB2312" w:eastAsia="仿宋_GB2312" w:cs="仿宋_GB2312"/>
          <w:b/>
          <w:sz w:val="32"/>
          <w:szCs w:val="32"/>
        </w:rPr>
        <w:t>六、投标人合格条件：</w:t>
      </w:r>
      <w:bookmarkEnd w:id="29"/>
      <w:bookmarkEnd w:id="30"/>
      <w:bookmarkEnd w:id="31"/>
      <w:bookmarkEnd w:id="32"/>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1.投标人参加投标的意思表达清楚，投标人代表被授权有效。</w:t>
      </w:r>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2.投标人均具有独立法人资格，按国家法律经营。</w:t>
      </w:r>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3.经营范围：投标人经营范围需满足施工要求，</w:t>
      </w:r>
      <w:r>
        <w:rPr>
          <w:rFonts w:hint="eastAsia" w:ascii="仿宋_GB2312" w:hAnsi="仿宋_GB2312" w:eastAsia="仿宋_GB2312" w:cs="仿宋_GB2312"/>
          <w:bCs/>
          <w:kern w:val="2"/>
          <w:sz w:val="32"/>
          <w:szCs w:val="32"/>
          <w:shd w:val="clear" w:color="auto" w:fill="FFFFFF"/>
          <w:lang w:val="en-US" w:eastAsia="zh-CN"/>
        </w:rPr>
        <w:t>具有</w:t>
      </w:r>
      <w:r>
        <w:rPr>
          <w:rFonts w:hint="eastAsia" w:ascii="仿宋_GB2312" w:hAnsi="仿宋_GB2312" w:eastAsia="仿宋_GB2312" w:cs="仿宋_GB2312"/>
          <w:bCs/>
          <w:kern w:val="2"/>
          <w:sz w:val="32"/>
          <w:szCs w:val="32"/>
          <w:shd w:val="clear" w:color="auto" w:fill="FFFFFF"/>
        </w:rPr>
        <w:t>建筑装饰、装修</w:t>
      </w:r>
      <w:r>
        <w:rPr>
          <w:rFonts w:hint="eastAsia" w:ascii="仿宋_GB2312" w:hAnsi="仿宋_GB2312" w:eastAsia="仿宋_GB2312" w:cs="仿宋_GB2312"/>
          <w:bCs/>
          <w:kern w:val="2"/>
          <w:sz w:val="32"/>
          <w:szCs w:val="32"/>
          <w:shd w:val="clear" w:color="auto" w:fill="FFFFFF"/>
          <w:lang w:eastAsia="zh-CN"/>
        </w:rPr>
        <w:t>、</w:t>
      </w:r>
      <w:r>
        <w:rPr>
          <w:rFonts w:hint="eastAsia" w:ascii="仿宋_GB2312" w:hAnsi="仿宋_GB2312" w:eastAsia="仿宋_GB2312" w:cs="仿宋_GB2312"/>
          <w:bCs/>
          <w:kern w:val="2"/>
          <w:sz w:val="32"/>
          <w:szCs w:val="32"/>
          <w:shd w:val="clear" w:color="auto" w:fill="FFFFFF"/>
          <w:lang w:val="en-US" w:eastAsia="zh-CN"/>
        </w:rPr>
        <w:t>土木工程或其它建筑业</w:t>
      </w:r>
      <w:r>
        <w:rPr>
          <w:rFonts w:hint="eastAsia" w:ascii="仿宋_GB2312" w:hAnsi="仿宋_GB2312" w:eastAsia="仿宋_GB2312" w:cs="仿宋_GB2312"/>
          <w:bCs/>
          <w:kern w:val="2"/>
          <w:sz w:val="32"/>
          <w:szCs w:val="32"/>
          <w:shd w:val="clear" w:color="auto" w:fill="FFFFFF"/>
        </w:rPr>
        <w:t>等</w:t>
      </w:r>
      <w:r>
        <w:rPr>
          <w:rFonts w:hint="eastAsia" w:ascii="仿宋_GB2312" w:hAnsi="仿宋_GB2312" w:eastAsia="仿宋_GB2312" w:cs="仿宋_GB2312"/>
          <w:bCs/>
          <w:kern w:val="2"/>
          <w:sz w:val="32"/>
          <w:szCs w:val="32"/>
          <w:shd w:val="clear" w:color="auto" w:fill="FFFFFF"/>
          <w:lang w:val="en-US" w:eastAsia="zh-CN"/>
        </w:rPr>
        <w:t>相关经营内容</w:t>
      </w:r>
      <w:r>
        <w:rPr>
          <w:rFonts w:hint="eastAsia" w:ascii="仿宋_GB2312" w:hAnsi="仿宋_GB2312" w:eastAsia="仿宋_GB2312" w:cs="仿宋_GB2312"/>
          <w:bCs/>
          <w:kern w:val="2"/>
          <w:sz w:val="32"/>
          <w:szCs w:val="32"/>
          <w:shd w:val="clear" w:color="auto" w:fill="FFFFFF"/>
        </w:rPr>
        <w:t>；（提供营业执照）</w:t>
      </w:r>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4.投标人需针对本工程</w:t>
      </w:r>
      <w:r>
        <w:rPr>
          <w:rFonts w:hint="eastAsia" w:ascii="仿宋_GB2312" w:hAnsi="仿宋_GB2312" w:eastAsia="仿宋_GB2312" w:cs="仿宋_GB2312"/>
          <w:bCs/>
          <w:kern w:val="2"/>
          <w:sz w:val="32"/>
          <w:szCs w:val="32"/>
          <w:shd w:val="clear" w:color="auto" w:fill="FFFFFF"/>
          <w:lang w:val="en-US" w:eastAsia="zh-CN"/>
        </w:rPr>
        <w:t>配置</w:t>
      </w:r>
      <w:r>
        <w:rPr>
          <w:rFonts w:hint="eastAsia" w:ascii="仿宋_GB2312" w:hAnsi="仿宋_GB2312" w:eastAsia="仿宋_GB2312" w:cs="仿宋_GB2312"/>
          <w:bCs/>
          <w:kern w:val="2"/>
          <w:sz w:val="32"/>
          <w:szCs w:val="32"/>
          <w:shd w:val="clear" w:color="auto" w:fill="FFFFFF"/>
        </w:rPr>
        <w:t>项目负责人、安全管理员及</w:t>
      </w:r>
      <w:r>
        <w:rPr>
          <w:rFonts w:hint="eastAsia" w:ascii="仿宋_GB2312" w:hAnsi="仿宋_GB2312" w:eastAsia="仿宋_GB2312" w:cs="仿宋_GB2312"/>
          <w:bCs/>
          <w:kern w:val="2"/>
          <w:sz w:val="32"/>
          <w:szCs w:val="32"/>
          <w:shd w:val="clear" w:color="auto" w:fill="FFFFFF"/>
          <w:lang w:val="en-US" w:eastAsia="zh-CN"/>
        </w:rPr>
        <w:t>其他必要的管理人</w:t>
      </w:r>
      <w:r>
        <w:rPr>
          <w:rFonts w:hint="eastAsia" w:ascii="仿宋_GB2312" w:hAnsi="仿宋_GB2312" w:eastAsia="仿宋_GB2312" w:cs="仿宋_GB2312"/>
          <w:bCs/>
          <w:kern w:val="2"/>
          <w:sz w:val="32"/>
          <w:szCs w:val="32"/>
          <w:shd w:val="clear" w:color="auto" w:fill="FFFFFF"/>
        </w:rPr>
        <w:t>员。</w:t>
      </w:r>
    </w:p>
    <w:p>
      <w:pPr>
        <w:spacing w:line="360" w:lineRule="auto"/>
        <w:ind w:firstLine="640" w:firstLineChars="200"/>
        <w:jc w:val="left"/>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lang w:val="en-US" w:eastAsia="zh-CN"/>
        </w:rPr>
        <w:t>5</w:t>
      </w:r>
      <w:r>
        <w:rPr>
          <w:rFonts w:hint="eastAsia" w:ascii="仿宋_GB2312" w:hAnsi="仿宋_GB2312" w:eastAsia="仿宋_GB2312" w:cs="仿宋_GB2312"/>
          <w:bCs/>
          <w:kern w:val="2"/>
          <w:sz w:val="32"/>
          <w:szCs w:val="32"/>
          <w:shd w:val="clear" w:color="auto" w:fill="FFFFFF"/>
        </w:rPr>
        <w:t>.投标人未被列入“信用中国”网站(www.creditchina.gov.cn)“失信被执行人或重大税收违法失信主体”记录名单。</w:t>
      </w:r>
      <w:r>
        <w:rPr>
          <w:rFonts w:hint="eastAsia" w:ascii="仿宋_GB2312" w:hAnsi="仿宋_GB2312" w:eastAsia="仿宋_GB2312" w:cs="仿宋_GB2312"/>
          <w:bCs/>
          <w:kern w:val="2"/>
          <w:sz w:val="32"/>
          <w:szCs w:val="32"/>
          <w:shd w:val="clear" w:color="auto" w:fill="FFFFFF"/>
          <w:lang w:val="en-US" w:eastAsia="zh-CN"/>
        </w:rPr>
        <w:t xml:space="preserve"> </w:t>
      </w:r>
    </w:p>
    <w:p>
      <w:pPr>
        <w:spacing w:line="360" w:lineRule="auto"/>
        <w:ind w:firstLine="643" w:firstLineChars="200"/>
        <w:rPr>
          <w:rFonts w:ascii="仿宋_GB2312" w:hAnsi="仿宋_GB2312" w:eastAsia="仿宋_GB2312" w:cs="仿宋_GB2312"/>
          <w:bCs/>
          <w:sz w:val="32"/>
          <w:szCs w:val="32"/>
          <w:shd w:val="clear" w:color="auto" w:fill="FFFFFF"/>
        </w:rPr>
      </w:pPr>
      <w:bookmarkStart w:id="33" w:name="_Toc249845969"/>
      <w:bookmarkStart w:id="34" w:name="_Toc249846224"/>
      <w:bookmarkStart w:id="35" w:name="_Toc266881398"/>
      <w:bookmarkStart w:id="36" w:name="_Toc266093546"/>
      <w:bookmarkStart w:id="37" w:name="_Toc253143217"/>
      <w:bookmarkStart w:id="38" w:name="_Toc245023998"/>
      <w:r>
        <w:rPr>
          <w:rFonts w:hint="eastAsia" w:ascii="仿宋_GB2312" w:hAnsi="仿宋_GB2312" w:eastAsia="仿宋_GB2312" w:cs="仿宋_GB2312"/>
          <w:b/>
          <w:sz w:val="32"/>
          <w:szCs w:val="32"/>
        </w:rPr>
        <w:t>七、</w:t>
      </w:r>
      <w:bookmarkEnd w:id="33"/>
      <w:bookmarkEnd w:id="34"/>
      <w:bookmarkEnd w:id="35"/>
      <w:bookmarkEnd w:id="36"/>
      <w:bookmarkEnd w:id="37"/>
      <w:bookmarkEnd w:id="38"/>
      <w:r>
        <w:rPr>
          <w:rFonts w:hint="eastAsia" w:ascii="仿宋_GB2312" w:hAnsi="仿宋_GB2312" w:eastAsia="仿宋_GB2312" w:cs="仿宋_GB2312"/>
          <w:b/>
          <w:sz w:val="32"/>
          <w:szCs w:val="32"/>
          <w:shd w:val="clear" w:color="auto" w:fill="FFFFFF"/>
        </w:rPr>
        <w:t>资格审查方式：</w:t>
      </w:r>
      <w:r>
        <w:rPr>
          <w:rFonts w:hint="eastAsia" w:ascii="仿宋_GB2312" w:hAnsi="仿宋_GB2312" w:eastAsia="仿宋_GB2312" w:cs="仿宋_GB2312"/>
          <w:bCs/>
          <w:sz w:val="32"/>
          <w:szCs w:val="32"/>
          <w:shd w:val="clear" w:color="auto" w:fill="FFFFFF"/>
        </w:rPr>
        <w:t>本项目采用资格后审方式，本项目为非电子标，投标人需按照邀请招标文件要求提交纸质投标文件。</w:t>
      </w:r>
    </w:p>
    <w:p>
      <w:pPr>
        <w:spacing w:line="360" w:lineRule="auto"/>
        <w:ind w:firstLine="643"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1.</w:t>
      </w:r>
      <w:r>
        <w:rPr>
          <w:rFonts w:hint="eastAsia" w:ascii="仿宋_GB2312" w:hAnsi="仿宋_GB2312" w:eastAsia="仿宋_GB2312" w:cs="仿宋_GB2312"/>
          <w:sz w:val="32"/>
          <w:szCs w:val="32"/>
        </w:rPr>
        <w:t>满足资格审查合格条件的投标人不足3名或通过有效性审查的投标人不足3名时为招标失败。招标人分析招标失败原因，修正招标方案，重新组织招标</w:t>
      </w:r>
      <w:r>
        <w:rPr>
          <w:rFonts w:hint="eastAsia" w:ascii="仿宋_GB2312" w:hAnsi="仿宋_GB2312" w:eastAsia="仿宋_GB2312" w:cs="仿宋_GB2312"/>
          <w:kern w:val="0"/>
          <w:sz w:val="32"/>
          <w:szCs w:val="32"/>
        </w:rPr>
        <w:t>。</w:t>
      </w:r>
    </w:p>
    <w:p>
      <w:pPr>
        <w:spacing w:line="360" w:lineRule="auto"/>
        <w:ind w:firstLine="643" w:firstLineChars="200"/>
        <w:rPr>
          <w:rFonts w:ascii="仿宋_GB2312" w:hAnsi="仿宋_GB2312" w:eastAsia="仿宋_GB2312" w:cs="仿宋_GB2312"/>
          <w:kern w:val="0"/>
          <w:sz w:val="32"/>
          <w:szCs w:val="32"/>
        </w:rPr>
      </w:pPr>
      <w:r>
        <w:rPr>
          <w:rFonts w:hint="eastAsia" w:ascii="仿宋_GB2312" w:hAnsi="仿宋_GB2312" w:eastAsia="仿宋_GB2312" w:cs="仿宋_GB2312"/>
          <w:b/>
          <w:sz w:val="32"/>
          <w:szCs w:val="32"/>
        </w:rPr>
        <w:t>2.</w:t>
      </w:r>
      <w:r>
        <w:rPr>
          <w:rFonts w:hint="eastAsia" w:ascii="仿宋_GB2312" w:hAnsi="仿宋_GB2312" w:eastAsia="仿宋_GB2312" w:cs="仿宋_GB2312"/>
          <w:sz w:val="32"/>
          <w:szCs w:val="32"/>
          <w:shd w:val="clear" w:color="auto" w:fill="FFFFFF"/>
        </w:rPr>
        <w:t>中标结果将在</w:t>
      </w:r>
      <w:r>
        <w:rPr>
          <w:rFonts w:hint="eastAsia" w:ascii="仿宋_GB2312" w:hAnsi="仿宋_GB2312" w:eastAsia="仿宋_GB2312" w:cs="仿宋_GB2312"/>
          <w:sz w:val="32"/>
          <w:szCs w:val="32"/>
          <w:u w:val="single"/>
          <w:shd w:val="clear" w:color="auto" w:fill="FFFFFF"/>
        </w:rPr>
        <w:t xml:space="preserve">广州南沙资产经营集团有限公司网站 </w:t>
      </w:r>
      <w:r>
        <w:rPr>
          <w:rFonts w:hint="eastAsia" w:ascii="仿宋_GB2312" w:hAnsi="仿宋_GB2312" w:eastAsia="仿宋_GB2312" w:cs="仿宋_GB2312"/>
          <w:sz w:val="32"/>
          <w:szCs w:val="32"/>
          <w:shd w:val="clear" w:color="auto" w:fill="FFFFFF"/>
        </w:rPr>
        <w:t>公示</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公示时间不得少于</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日</w:t>
      </w:r>
      <w:r>
        <w:rPr>
          <w:rFonts w:hint="eastAsia" w:ascii="仿宋_GB2312" w:hAnsi="仿宋_GB2312" w:eastAsia="仿宋_GB2312" w:cs="仿宋_GB2312"/>
          <w:sz w:val="32"/>
          <w:szCs w:val="32"/>
          <w:shd w:val="clear" w:color="auto" w:fill="FFFFFF"/>
        </w:rPr>
        <w:t>。</w:t>
      </w:r>
    </w:p>
    <w:p>
      <w:pPr>
        <w:spacing w:line="360" w:lineRule="auto"/>
        <w:ind w:firstLine="720" w:firstLineChars="224"/>
        <w:outlineLvl w:val="1"/>
        <w:rPr>
          <w:rFonts w:ascii="仿宋_GB2312" w:hAnsi="仿宋_GB2312" w:eastAsia="仿宋_GB2312" w:cs="仿宋_GB2312"/>
          <w:b/>
          <w:kern w:val="0"/>
          <w:sz w:val="32"/>
          <w:szCs w:val="32"/>
          <w:u w:val="single"/>
        </w:rPr>
      </w:pPr>
      <w:bookmarkStart w:id="39" w:name="_Toc10494"/>
      <w:bookmarkStart w:id="40" w:name="_Toc8888"/>
      <w:r>
        <w:rPr>
          <w:rFonts w:hint="eastAsia" w:ascii="仿宋_GB2312" w:hAnsi="仿宋_GB2312" w:eastAsia="仿宋_GB2312" w:cs="仿宋_GB2312"/>
          <w:b/>
          <w:bCs/>
          <w:kern w:val="0"/>
          <w:sz w:val="32"/>
          <w:szCs w:val="32"/>
        </w:rPr>
        <w:t>八、其他事项</w:t>
      </w:r>
      <w:bookmarkEnd w:id="39"/>
      <w:r>
        <w:rPr>
          <w:rFonts w:hint="eastAsia" w:ascii="仿宋_GB2312" w:hAnsi="仿宋_GB2312" w:eastAsia="仿宋_GB2312" w:cs="仿宋_GB2312"/>
          <w:b/>
          <w:bCs/>
          <w:kern w:val="0"/>
          <w:sz w:val="32"/>
          <w:szCs w:val="32"/>
        </w:rPr>
        <w:t>：</w:t>
      </w:r>
      <w:bookmarkEnd w:id="40"/>
    </w:p>
    <w:p>
      <w:pPr>
        <w:spacing w:line="360" w:lineRule="auto"/>
        <w:ind w:firstLine="640" w:firstLineChars="200"/>
        <w:jc w:val="left"/>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1.投标经济补偿：各投标人自行考虑参与项目投标的一切风险，本工程不设投标补偿，投标费用由投标人自理。</w:t>
      </w:r>
    </w:p>
    <w:p>
      <w:pPr>
        <w:spacing w:line="360" w:lineRule="auto"/>
        <w:ind w:firstLine="640" w:firstLineChars="200"/>
        <w:outlineLvl w:val="2"/>
        <w:rPr>
          <w:rFonts w:hint="eastAsia" w:ascii="仿宋_GB2312" w:hAnsi="仿宋_GB2312" w:eastAsia="仿宋_GB2312" w:cs="仿宋_GB2312"/>
          <w:bCs/>
          <w:kern w:val="0"/>
          <w:sz w:val="32"/>
          <w:szCs w:val="32"/>
        </w:rPr>
      </w:pPr>
      <w:bookmarkStart w:id="41" w:name="_Toc2117"/>
      <w:r>
        <w:rPr>
          <w:rFonts w:hint="eastAsia" w:ascii="仿宋_GB2312" w:hAnsi="仿宋_GB2312" w:eastAsia="仿宋_GB2312" w:cs="仿宋_GB2312"/>
          <w:bCs/>
          <w:kern w:val="0"/>
          <w:sz w:val="32"/>
          <w:szCs w:val="32"/>
        </w:rPr>
        <w:t>2.关于异议及投诉：</w:t>
      </w:r>
      <w:bookmarkEnd w:id="41"/>
    </w:p>
    <w:p>
      <w:pPr>
        <w:spacing w:line="360" w:lineRule="auto"/>
        <w:ind w:firstLine="640" w:firstLineChars="200"/>
        <w:jc w:val="left"/>
        <w:outlineLvl w:val="2"/>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rPr>
        <w:t>（1）</w:t>
      </w:r>
      <w:r>
        <w:rPr>
          <w:rFonts w:hint="eastAsia" w:ascii="仿宋_GB2312" w:hAnsi="仿宋_GB2312" w:eastAsia="仿宋_GB2312" w:cs="仿宋_GB2312"/>
          <w:sz w:val="32"/>
          <w:szCs w:val="32"/>
        </w:rPr>
        <w:t>依法必须进行招标的项目，除第一中标候选人或者中标人以外的其他投标人存在串通投标、弄虚作假、行贿情形且在评标过程中未被发现的，视为对中标结果没有造成实质性影响，招标人可以依法继续开展招标活动。投标人的违法行为由行政监督部门依法处理。</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在招投标过程中，投标人（中标人）被异议（投诉）且经查实异议（投诉）情况属实的，或招标人收到异议（投诉）经查实属无有效法律法规依据的恶意异议（投诉）的，相关责任单位（过错方）自愿停止参与招标人后续工程招投标活动一年。同时，招标人将提请建设行政主管部门，并按《中华人民共和国招标投标法实施条例》、《工程建设项目招标投标活动投诉处理办法》等严肃处理，同时将记录到招标人的诚信评价系统。</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各投标单位递交投标资料参与投标，均视为接受及认同招标合同及招标人制发的各项相关建设管理办法。如中标人不按合同履约及未遵守招标人制发的各项相关建设管理办法，招标人有权依据相关管理办法要求中标人承担相应责任，中标人应无条件接受。</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中标人不得向他人转让中标项目，也不得将中标项目肢解后分别向他人转让。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pPr>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kern w:val="0"/>
          <w:sz w:val="32"/>
          <w:szCs w:val="32"/>
        </w:rPr>
        <w:t>潜在投标人或利害关系人对本招标公告及招标内容有异议的，向招标人书面提出。</w:t>
      </w:r>
    </w:p>
    <w:p>
      <w:pPr>
        <w:spacing w:line="360" w:lineRule="auto"/>
        <w:ind w:firstLine="640" w:firstLineChars="200"/>
        <w:jc w:val="left"/>
        <w:rPr>
          <w:rFonts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异议受理部门：</w:t>
      </w:r>
      <w:r>
        <w:rPr>
          <w:rFonts w:hint="eastAsia" w:ascii="仿宋_GB2312" w:hAnsi="仿宋_GB2312" w:eastAsia="仿宋_GB2312" w:cs="仿宋_GB2312"/>
          <w:color w:val="auto"/>
          <w:kern w:val="0"/>
          <w:sz w:val="32"/>
          <w:szCs w:val="32"/>
          <w:lang w:val="en-US" w:eastAsia="zh-CN"/>
        </w:rPr>
        <w:t>广州南沙资产经营集团有限公司风控合规部。</w:t>
      </w:r>
    </w:p>
    <w:p>
      <w:pPr>
        <w:spacing w:line="360" w:lineRule="auto"/>
        <w:ind w:firstLine="640" w:firstLineChars="200"/>
        <w:jc w:val="left"/>
        <w:rPr>
          <w:rFonts w:hint="default" w:ascii="仿宋_GB2312" w:hAnsi="仿宋_GB2312" w:eastAsia="仿宋_GB2312" w:cs="仿宋_GB2312"/>
          <w:color w:val="auto"/>
          <w:kern w:val="0"/>
          <w:sz w:val="32"/>
          <w:szCs w:val="32"/>
          <w:highlight w:val="green"/>
          <w:u w:val="single"/>
          <w:lang w:val="en-US" w:eastAsia="zh-CN"/>
        </w:rPr>
      </w:pPr>
      <w:r>
        <w:rPr>
          <w:rFonts w:hint="eastAsia" w:ascii="仿宋_GB2312" w:hAnsi="仿宋_GB2312" w:eastAsia="仿宋_GB2312" w:cs="仿宋_GB2312"/>
          <w:color w:val="auto"/>
          <w:kern w:val="0"/>
          <w:sz w:val="32"/>
          <w:szCs w:val="32"/>
        </w:rPr>
        <w:t>异议受理电话：020-</w:t>
      </w:r>
      <w:r>
        <w:rPr>
          <w:rFonts w:hint="eastAsia" w:ascii="仿宋_GB2312" w:hAnsi="仿宋_GB2312" w:eastAsia="仿宋_GB2312" w:cs="仿宋_GB2312"/>
          <w:color w:val="auto"/>
          <w:kern w:val="0"/>
          <w:sz w:val="32"/>
          <w:szCs w:val="32"/>
          <w:lang w:val="en-US" w:eastAsia="zh-CN"/>
        </w:rPr>
        <w:t>66810073。</w:t>
      </w:r>
    </w:p>
    <w:p>
      <w:pPr>
        <w:spacing w:line="360" w:lineRule="auto"/>
        <w:ind w:firstLine="640" w:firstLineChars="200"/>
        <w:jc w:val="left"/>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kern w:val="0"/>
          <w:sz w:val="32"/>
          <w:szCs w:val="32"/>
        </w:rPr>
        <w:t>地址：</w:t>
      </w:r>
      <w:r>
        <w:rPr>
          <w:rFonts w:hint="eastAsia" w:ascii="仿宋_GB2312" w:hAnsi="仿宋_GB2312" w:eastAsia="仿宋_GB2312" w:cs="仿宋_GB2312"/>
          <w:color w:val="auto"/>
          <w:kern w:val="0"/>
          <w:sz w:val="32"/>
          <w:szCs w:val="32"/>
          <w:u w:val="none"/>
          <w:lang w:val="en-US" w:eastAsia="zh-CN"/>
        </w:rPr>
        <w:t>广州市</w:t>
      </w:r>
      <w:r>
        <w:rPr>
          <w:rFonts w:hint="eastAsia" w:ascii="仿宋_GB2312" w:hAnsi="仿宋_GB2312" w:eastAsia="仿宋_GB2312" w:cs="仿宋_GB2312"/>
          <w:color w:val="auto"/>
          <w:kern w:val="0"/>
          <w:sz w:val="32"/>
          <w:szCs w:val="32"/>
          <w:u w:val="none"/>
        </w:rPr>
        <w:t>南</w:t>
      </w:r>
      <w:r>
        <w:rPr>
          <w:rFonts w:hint="eastAsia" w:ascii="仿宋_GB2312" w:hAnsi="仿宋_GB2312" w:eastAsia="仿宋_GB2312" w:cs="仿宋_GB2312"/>
          <w:color w:val="auto"/>
          <w:sz w:val="32"/>
          <w:szCs w:val="32"/>
          <w:u w:val="none"/>
        </w:rPr>
        <w:t>沙区</w:t>
      </w:r>
      <w:r>
        <w:rPr>
          <w:rFonts w:hint="eastAsia" w:ascii="仿宋_GB2312" w:hAnsi="仿宋_GB2312" w:eastAsia="仿宋_GB2312" w:cs="仿宋_GB2312"/>
          <w:color w:val="auto"/>
          <w:kern w:val="0"/>
          <w:sz w:val="32"/>
          <w:szCs w:val="32"/>
          <w:u w:val="none"/>
        </w:rPr>
        <w:t>海滨路171号南沙金融大厦11楼</w:t>
      </w:r>
      <w:r>
        <w:rPr>
          <w:rFonts w:hint="eastAsia" w:ascii="仿宋_GB2312" w:hAnsi="仿宋_GB2312" w:eastAsia="仿宋_GB2312" w:cs="仿宋_GB2312"/>
          <w:color w:val="auto"/>
          <w:kern w:val="0"/>
          <w:sz w:val="32"/>
          <w:szCs w:val="32"/>
          <w:u w:val="none"/>
          <w:lang w:val="en-US" w:eastAsia="zh-CN"/>
        </w:rPr>
        <w:t>风控合规部。</w:t>
      </w: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业主单位：广州南沙科技投资有限公司</w:t>
      </w:r>
    </w:p>
    <w:p>
      <w:pPr>
        <w:snapToGrid w:val="0"/>
        <w:spacing w:line="360" w:lineRule="auto"/>
        <w:ind w:firstLine="5440" w:firstLineChars="1700"/>
        <w:jc w:val="left"/>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日期：</w:t>
      </w:r>
      <w:r>
        <w:rPr>
          <w:rFonts w:hint="eastAsia" w:ascii="仿宋_GB2312" w:hAnsi="仿宋_GB2312" w:eastAsia="仿宋_GB2312" w:cs="仿宋_GB2312"/>
          <w:color w:val="auto"/>
          <w:sz w:val="32"/>
          <w:szCs w:val="32"/>
          <w:highlight w:val="none"/>
        </w:rPr>
        <w:t>2023年</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7</w:t>
      </w:r>
      <w:bookmarkStart w:id="56" w:name="_GoBack"/>
      <w:bookmarkEnd w:id="56"/>
      <w:r>
        <w:rPr>
          <w:rFonts w:hint="eastAsia" w:ascii="仿宋_GB2312" w:hAnsi="仿宋_GB2312" w:eastAsia="仿宋_GB2312" w:cs="仿宋_GB2312"/>
          <w:color w:val="auto"/>
          <w:sz w:val="32"/>
          <w:szCs w:val="32"/>
          <w:highlight w:val="none"/>
        </w:rPr>
        <w:t>日</w:t>
      </w:r>
    </w:p>
    <w:p>
      <w:pPr>
        <w:snapToGrid w:val="0"/>
        <w:spacing w:line="360" w:lineRule="auto"/>
        <w:jc w:val="left"/>
        <w:rPr>
          <w:rFonts w:ascii="仿宋_GB2312" w:hAnsi="仿宋_GB2312" w:eastAsia="仿宋_GB2312" w:cs="仿宋_GB2312"/>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bookmarkStart w:id="42" w:name="_Toc27130"/>
      <w:bookmarkStart w:id="43" w:name="_Toc11983"/>
      <w:bookmarkStart w:id="44" w:name="_Toc23734"/>
    </w:p>
    <w:p>
      <w:pPr>
        <w:adjustRightInd w:val="0"/>
        <w:snapToGrid w:val="0"/>
        <w:spacing w:line="360" w:lineRule="auto"/>
        <w:jc w:val="left"/>
        <w:outlineLvl w:val="1"/>
        <w:rPr>
          <w:rFonts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adjustRightInd w:val="0"/>
        <w:snapToGrid w:val="0"/>
        <w:spacing w:line="360" w:lineRule="auto"/>
        <w:jc w:val="left"/>
        <w:outlineLvl w:val="1"/>
        <w:rPr>
          <w:rFonts w:hint="eastAsia"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附件一：</w:t>
      </w:r>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42"/>
      <w:bookmarkEnd w:id="43"/>
      <w:bookmarkEnd w:id="44"/>
      <w:bookmarkStart w:id="45" w:name="_Toc16026"/>
    </w:p>
    <w:p>
      <w:pPr>
        <w:adjustRightInd w:val="0"/>
        <w:snapToGrid w:val="0"/>
        <w:spacing w:line="360" w:lineRule="auto"/>
        <w:jc w:val="center"/>
        <w:outlineLvl w:val="0"/>
        <w:rPr>
          <w:rFonts w:ascii="仿宋_GB2312" w:hAnsi="仿宋_GB2312" w:eastAsia="仿宋_GB2312" w:cs="仿宋_GB2312"/>
          <w:b/>
          <w:sz w:val="32"/>
          <w:szCs w:val="32"/>
        </w:rPr>
      </w:pPr>
      <w:bookmarkStart w:id="46" w:name="_Toc25213"/>
      <w:bookmarkStart w:id="47" w:name="_Toc6985"/>
      <w:bookmarkStart w:id="48" w:name="_Toc8179"/>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45"/>
      <w:bookmarkEnd w:id="46"/>
      <w:bookmarkEnd w:id="47"/>
      <w:bookmarkEnd w:id="48"/>
    </w:p>
    <w:p>
      <w:pPr>
        <w:pStyle w:val="36"/>
        <w:snapToGrid w:val="0"/>
        <w:ind w:firstLine="640" w:firstLineChars="200"/>
        <w:rPr>
          <w:rFonts w:hAnsi="仿宋_GB2312" w:cs="仿宋_GB2312"/>
          <w:color w:val="auto"/>
          <w:szCs w:val="32"/>
        </w:rPr>
      </w:pPr>
      <w:r>
        <w:rPr>
          <w:rFonts w:hint="eastAsia" w:hAnsi="仿宋_GB2312" w:cs="仿宋_GB2312"/>
          <w:color w:val="auto"/>
          <w:szCs w:val="32"/>
        </w:rPr>
        <w:t>致：</w:t>
      </w:r>
      <w:r>
        <w:rPr>
          <w:rFonts w:hint="eastAsia" w:hAnsi="仿宋_GB2312" w:cs="仿宋_GB2312"/>
          <w:color w:val="auto"/>
          <w:szCs w:val="32"/>
          <w:u w:val="single"/>
        </w:rPr>
        <w:t xml:space="preserve">                     （发包人名称） </w:t>
      </w:r>
    </w:p>
    <w:p>
      <w:pPr>
        <w:pStyle w:val="36"/>
        <w:ind w:firstLine="640" w:firstLineChars="200"/>
        <w:rPr>
          <w:rFonts w:hAnsi="仿宋_GB2312" w:cs="仿宋_GB2312"/>
          <w:color w:val="auto"/>
          <w:szCs w:val="32"/>
        </w:rPr>
      </w:pPr>
      <w:r>
        <w:rPr>
          <w:rFonts w:hint="eastAsia" w:hAnsi="仿宋_GB2312" w:cs="仿宋_GB2312"/>
          <w:color w:val="auto"/>
          <w:szCs w:val="32"/>
        </w:rPr>
        <w:t>本公司就参加</w:t>
      </w:r>
      <w:r>
        <w:rPr>
          <w:rFonts w:hint="eastAsia" w:hAnsi="仿宋_GB2312" w:cs="仿宋_GB2312"/>
          <w:color w:val="auto"/>
          <w:szCs w:val="32"/>
          <w:u w:val="single"/>
        </w:rPr>
        <w:t xml:space="preserve">            （项目名称）</w:t>
      </w:r>
      <w:r>
        <w:rPr>
          <w:rFonts w:hint="eastAsia" w:hAnsi="仿宋_GB2312" w:cs="仿宋_GB2312"/>
          <w:color w:val="auto"/>
          <w:szCs w:val="32"/>
        </w:rPr>
        <w:t>投标工作，作出郑重声明：</w:t>
      </w:r>
    </w:p>
    <w:p>
      <w:pPr>
        <w:pStyle w:val="36"/>
        <w:ind w:firstLine="640" w:firstLineChars="200"/>
        <w:rPr>
          <w:rFonts w:hAnsi="仿宋_GB2312" w:cs="仿宋_GB2312"/>
          <w:color w:val="auto"/>
          <w:szCs w:val="32"/>
        </w:rPr>
      </w:pPr>
      <w:r>
        <w:rPr>
          <w:rFonts w:hint="eastAsia" w:hAnsi="仿宋_GB2312" w:cs="仿宋_GB2312"/>
          <w:color w:val="auto"/>
          <w:szCs w:val="32"/>
        </w:rPr>
        <w:t>一、本公司保证投标文件及其后提供的一切材料都是真实的。如我司成为本项目中标候选人，我司同意并授权招标人将我司投标文件商务部分文件的人员、业绩、奖项等资料进行公开。</w:t>
      </w:r>
    </w:p>
    <w:p>
      <w:pPr>
        <w:pStyle w:val="36"/>
        <w:ind w:firstLine="640" w:firstLineChars="200"/>
        <w:rPr>
          <w:rFonts w:hAnsi="仿宋_GB2312" w:cs="仿宋_GB2312"/>
          <w:color w:val="auto"/>
          <w:szCs w:val="32"/>
        </w:rPr>
      </w:pPr>
      <w:r>
        <w:rPr>
          <w:rFonts w:hint="eastAsia" w:hAnsi="仿宋_GB2312" w:cs="仿宋_GB2312"/>
          <w:color w:val="auto"/>
          <w:szCs w:val="32"/>
        </w:rPr>
        <w:t>二、本公司保证在本项目投标中不与其他单位围标、串标，不出让投标资格，不向招标人或评标委员会成员行贿。</w:t>
      </w:r>
    </w:p>
    <w:p>
      <w:pPr>
        <w:pStyle w:val="36"/>
        <w:ind w:firstLine="640" w:firstLineChars="200"/>
        <w:outlineLvl w:val="1"/>
        <w:rPr>
          <w:rFonts w:hAnsi="仿宋_GB2312" w:cs="仿宋_GB2312"/>
          <w:color w:val="auto"/>
          <w:szCs w:val="32"/>
        </w:rPr>
      </w:pPr>
      <w:bookmarkStart w:id="49" w:name="_Toc2641"/>
      <w:bookmarkStart w:id="50" w:name="_Toc28603"/>
      <w:bookmarkStart w:id="51" w:name="_Toc15364"/>
      <w:r>
        <w:rPr>
          <w:rFonts w:hint="eastAsia" w:hAnsi="仿宋_GB2312" w:cs="仿宋_GB2312"/>
          <w:color w:val="auto"/>
          <w:szCs w:val="32"/>
        </w:rPr>
        <w:t>三、本公司不存在下列情形之一：</w:t>
      </w:r>
      <w:bookmarkEnd w:id="49"/>
      <w:bookmarkEnd w:id="50"/>
      <w:bookmarkEnd w:id="51"/>
    </w:p>
    <w:p>
      <w:pPr>
        <w:pStyle w:val="36"/>
        <w:ind w:firstLine="640" w:firstLineChars="200"/>
        <w:outlineLvl w:val="2"/>
        <w:rPr>
          <w:rFonts w:hAnsi="仿宋_GB2312" w:cs="仿宋_GB2312"/>
          <w:color w:val="auto"/>
          <w:szCs w:val="32"/>
        </w:rPr>
      </w:pPr>
      <w:bookmarkStart w:id="52" w:name="_Toc24996"/>
      <w:bookmarkStart w:id="53" w:name="_Toc26847"/>
      <w:r>
        <w:rPr>
          <w:rFonts w:hint="eastAsia" w:hAnsi="仿宋_GB2312" w:cs="仿宋_GB2312"/>
          <w:color w:val="auto"/>
          <w:szCs w:val="32"/>
          <w:lang w:val="en-US" w:eastAsia="zh-CN"/>
        </w:rPr>
        <w:t>1.</w:t>
      </w:r>
      <w:r>
        <w:rPr>
          <w:rFonts w:hint="eastAsia" w:hAnsi="仿宋_GB2312" w:cs="仿宋_GB2312"/>
          <w:color w:val="auto"/>
          <w:szCs w:val="32"/>
        </w:rPr>
        <w:t>为招标人不具有独立法人资格的附属机构（单位）；</w:t>
      </w:r>
      <w:bookmarkEnd w:id="52"/>
      <w:bookmarkEnd w:id="53"/>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2.</w:t>
      </w:r>
      <w:r>
        <w:rPr>
          <w:rFonts w:hint="eastAsia" w:hAnsi="仿宋_GB2312" w:cs="仿宋_GB2312"/>
          <w:color w:val="auto"/>
          <w:szCs w:val="32"/>
        </w:rPr>
        <w:t>为本项目监理人或者与本项目监理人存在隶属关系或者其他利害关系；</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3.</w:t>
      </w:r>
      <w:r>
        <w:rPr>
          <w:rFonts w:hint="eastAsia" w:hAnsi="仿宋_GB2312" w:cs="仿宋_GB2312"/>
          <w:color w:val="auto"/>
          <w:szCs w:val="32"/>
        </w:rPr>
        <w:t>为本标段的代建人；</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4.</w:t>
      </w:r>
      <w:r>
        <w:rPr>
          <w:rFonts w:hint="eastAsia" w:hAnsi="仿宋_GB2312" w:cs="仿宋_GB2312"/>
          <w:color w:val="auto"/>
          <w:szCs w:val="32"/>
        </w:rPr>
        <w:t>为本标段提供招标代理服务的；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5.</w:t>
      </w:r>
      <w:r>
        <w:rPr>
          <w:rFonts w:hint="eastAsia" w:hAnsi="仿宋_GB2312" w:cs="仿宋_GB2312"/>
          <w:color w:val="auto"/>
          <w:szCs w:val="32"/>
        </w:rPr>
        <w:t>与本标段的监理人或代建人或招标代理机构同为一个法定代表人的；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6.</w:t>
      </w:r>
      <w:r>
        <w:rPr>
          <w:rFonts w:hint="eastAsia" w:hAnsi="仿宋_GB2312" w:cs="仿宋_GB2312"/>
          <w:color w:val="auto"/>
          <w:szCs w:val="32"/>
        </w:rPr>
        <w:t>与本标段的监理人或代建人或招标代理机构互相控股或参股的；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7.</w:t>
      </w:r>
      <w:r>
        <w:rPr>
          <w:rFonts w:hint="eastAsia" w:hAnsi="仿宋_GB2312" w:cs="仿宋_GB2312"/>
          <w:color w:val="auto"/>
          <w:szCs w:val="32"/>
        </w:rPr>
        <w:t>与本标段的监理人或代建人或招标代理机构相互任职或工作的；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8.</w:t>
      </w:r>
      <w:r>
        <w:rPr>
          <w:rFonts w:hint="eastAsia" w:hAnsi="仿宋_GB2312" w:cs="仿宋_GB2312"/>
          <w:color w:val="auto"/>
          <w:szCs w:val="32"/>
        </w:rPr>
        <w:t>与本标段的检测机构有隶属关系或者其他利害关系；</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9.</w:t>
      </w:r>
      <w:r>
        <w:rPr>
          <w:rFonts w:hint="eastAsia" w:hAnsi="仿宋_GB2312" w:cs="仿宋_GB2312"/>
          <w:color w:val="auto"/>
          <w:szCs w:val="32"/>
        </w:rPr>
        <w:t xml:space="preserve">与招标人存在利害关系且可能影响招标公正性；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10.</w:t>
      </w:r>
      <w:r>
        <w:rPr>
          <w:rFonts w:hint="eastAsia" w:hAnsi="仿宋_GB2312" w:cs="仿宋_GB2312"/>
          <w:color w:val="auto"/>
          <w:szCs w:val="32"/>
        </w:rPr>
        <w:t xml:space="preserve">与本标段的其他投标人为同一个单位负责人；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11.</w:t>
      </w:r>
      <w:r>
        <w:rPr>
          <w:rFonts w:hint="eastAsia" w:hAnsi="仿宋_GB2312" w:cs="仿宋_GB2312"/>
          <w:color w:val="auto"/>
          <w:szCs w:val="32"/>
        </w:rPr>
        <w:t xml:space="preserve">与本标段的其他投标人存在控股、管理关系；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12.</w:t>
      </w:r>
      <w:r>
        <w:rPr>
          <w:rFonts w:hint="eastAsia" w:hAnsi="仿宋_GB2312" w:cs="仿宋_GB2312"/>
          <w:color w:val="auto"/>
          <w:szCs w:val="32"/>
        </w:rPr>
        <w:t xml:space="preserve">被依法暂停或取消投标资格的；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13.</w:t>
      </w:r>
      <w:r>
        <w:rPr>
          <w:rFonts w:hint="eastAsia" w:hAnsi="仿宋_GB2312" w:cs="仿宋_GB2312"/>
          <w:color w:val="auto"/>
          <w:szCs w:val="32"/>
        </w:rPr>
        <w:t>被责令停产停业、暂扣或者吊销许可证、暂扣或者吊销执照的；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14.</w:t>
      </w:r>
      <w:r>
        <w:rPr>
          <w:rFonts w:hint="eastAsia" w:hAnsi="仿宋_GB2312" w:cs="仿宋_GB2312"/>
          <w:color w:val="auto"/>
          <w:szCs w:val="32"/>
        </w:rPr>
        <w:t>进入清算程序，或被宣布破产，或其他丧失履约能力的情形；</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15.</w:t>
      </w:r>
      <w:r>
        <w:rPr>
          <w:rFonts w:hint="eastAsia" w:hAnsi="仿宋_GB2312" w:cs="仿宋_GB2312"/>
          <w:color w:val="auto"/>
          <w:szCs w:val="32"/>
        </w:rPr>
        <w:t>在最近三年内有骗取中标或严重违约或重大工程质量问题的；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16.</w:t>
      </w:r>
      <w:r>
        <w:rPr>
          <w:rFonts w:hint="eastAsia" w:hAnsi="仿宋_GB2312" w:cs="仿宋_GB2312"/>
          <w:color w:val="auto"/>
          <w:szCs w:val="32"/>
        </w:rPr>
        <w:t>被工商行政管理机关在全国企业信用信息公示系统中列入严重违法失信企业名单；</w:t>
      </w:r>
    </w:p>
    <w:p>
      <w:pPr>
        <w:pStyle w:val="36"/>
        <w:ind w:firstLine="640" w:firstLineChars="200"/>
        <w:jc w:val="left"/>
        <w:rPr>
          <w:rFonts w:hAnsi="仿宋_GB2312" w:cs="仿宋_GB2312"/>
          <w:color w:val="auto"/>
          <w:szCs w:val="32"/>
        </w:rPr>
      </w:pPr>
      <w:r>
        <w:rPr>
          <w:rFonts w:hint="eastAsia" w:hAnsi="仿宋_GB2312" w:cs="仿宋_GB2312"/>
          <w:color w:val="auto"/>
          <w:szCs w:val="32"/>
          <w:lang w:val="en-US" w:eastAsia="zh-CN"/>
        </w:rPr>
        <w:t>17.</w:t>
      </w:r>
      <w:r>
        <w:rPr>
          <w:rFonts w:hint="eastAsia" w:hAnsi="仿宋_GB2312" w:cs="仿宋_GB2312"/>
          <w:color w:val="auto"/>
          <w:szCs w:val="32"/>
        </w:rPr>
        <w:t>被最高人民法院在“信用中国”网站或各级信用信息共享平台中列入失信被执行人名单；</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18.</w:t>
      </w:r>
      <w:r>
        <w:rPr>
          <w:rFonts w:hint="eastAsia" w:hAnsi="仿宋_GB2312" w:cs="仿宋_GB2312"/>
          <w:color w:val="auto"/>
          <w:szCs w:val="32"/>
        </w:rPr>
        <w:t>在近三年内投标人或其法定代表人、拟委派的负责人有行贿犯罪行为的；</w:t>
      </w:r>
    </w:p>
    <w:p>
      <w:pPr>
        <w:pStyle w:val="36"/>
        <w:ind w:firstLine="640" w:firstLineChars="200"/>
        <w:outlineLvl w:val="2"/>
        <w:rPr>
          <w:rFonts w:hAnsi="仿宋_GB2312" w:cs="仿宋_GB2312"/>
          <w:color w:val="auto"/>
          <w:szCs w:val="32"/>
        </w:rPr>
      </w:pPr>
      <w:bookmarkStart w:id="54" w:name="_Toc9643"/>
      <w:bookmarkStart w:id="55" w:name="_Toc16472"/>
      <w:r>
        <w:rPr>
          <w:rFonts w:hint="eastAsia" w:hAnsi="仿宋_GB2312" w:cs="仿宋_GB2312"/>
          <w:color w:val="auto"/>
          <w:szCs w:val="32"/>
          <w:lang w:val="en-US" w:eastAsia="zh-CN"/>
        </w:rPr>
        <w:t>19.</w:t>
      </w:r>
      <w:r>
        <w:rPr>
          <w:rFonts w:hint="eastAsia" w:hAnsi="仿宋_GB2312" w:cs="仿宋_GB2312"/>
          <w:color w:val="auto"/>
          <w:szCs w:val="32"/>
        </w:rPr>
        <w:t>法律法规规定的其他情形。</w:t>
      </w:r>
      <w:bookmarkEnd w:id="54"/>
      <w:bookmarkEnd w:id="55"/>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五、本公司承诺，切实落实《住房城乡建设部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建设行政主管部门的监督、检查。</w:t>
      </w:r>
    </w:p>
    <w:p>
      <w:pPr>
        <w:pStyle w:val="36"/>
        <w:ind w:firstLine="640" w:firstLineChars="200"/>
        <w:jc w:val="left"/>
        <w:rPr>
          <w:rFonts w:hAnsi="仿宋_GB2312" w:cs="仿宋_GB2312"/>
          <w:color w:val="auto"/>
          <w:szCs w:val="32"/>
        </w:rPr>
      </w:pPr>
      <w:r>
        <w:rPr>
          <w:rFonts w:hint="eastAsia" w:hAnsi="仿宋_GB2312" w:cs="仿宋_GB2312"/>
          <w:color w:val="auto"/>
          <w:szCs w:val="32"/>
        </w:rPr>
        <w:t>六、与本公司单位负责人为同一人或者与本公司存在控股、管理关系的其他单位包括：</w:t>
      </w:r>
      <w:r>
        <w:rPr>
          <w:rFonts w:hint="eastAsia" w:hAnsi="仿宋_GB2312" w:cs="仿宋_GB2312"/>
          <w:color w:val="auto"/>
          <w:szCs w:val="32"/>
          <w:u w:val="single"/>
        </w:rPr>
        <w:t xml:space="preserve">                                  </w:t>
      </w:r>
      <w:r>
        <w:rPr>
          <w:rFonts w:hint="eastAsia" w:hAnsi="仿宋_GB2312" w:cs="仿宋_GB2312"/>
          <w:color w:val="auto"/>
          <w:szCs w:val="32"/>
        </w:rPr>
        <w:t xml:space="preserve"> 。（注：本条由投标人如实填写，如有，应列出全部满足招标公告资质要求的相关单位的名称；如无，则填写“无”。）</w:t>
      </w:r>
    </w:p>
    <w:p>
      <w:pPr>
        <w:pStyle w:val="36"/>
        <w:ind w:firstLine="640" w:firstLineChars="200"/>
        <w:rPr>
          <w:rFonts w:hAnsi="仿宋_GB2312" w:cs="仿宋_GB2312"/>
          <w:color w:val="auto"/>
          <w:szCs w:val="32"/>
        </w:rPr>
      </w:pPr>
      <w:r>
        <w:rPr>
          <w:rFonts w:hint="eastAsia" w:hAnsi="仿宋_GB2312" w:cs="仿宋_GB2312"/>
          <w:color w:val="auto"/>
          <w:szCs w:val="32"/>
        </w:rPr>
        <w:t>七、本公司拟委派专职安全员兼任本项目围蔽工程的工地余泥渣土运输与排放管理员，严格遵守围蔽工程余泥渣土运输与排放管理制度，执行“一不准进、三不准出”规定，选择合法的余泥渣土运输单位及排放点。</w:t>
      </w:r>
    </w:p>
    <w:p>
      <w:pPr>
        <w:pStyle w:val="36"/>
        <w:ind w:firstLine="640" w:firstLineChars="200"/>
        <w:rPr>
          <w:rFonts w:hAnsi="仿宋_GB2312" w:cs="仿宋_GB2312"/>
          <w:color w:val="auto"/>
          <w:szCs w:val="32"/>
        </w:rPr>
      </w:pPr>
      <w:r>
        <w:rPr>
          <w:rFonts w:hint="eastAsia" w:hAnsi="仿宋_GB2312" w:cs="仿宋_GB2312"/>
          <w:color w:val="auto"/>
          <w:szCs w:val="32"/>
        </w:rPr>
        <w:t>八、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36"/>
        <w:ind w:firstLine="640" w:firstLineChars="200"/>
        <w:rPr>
          <w:rFonts w:hAnsi="仿宋_GB2312" w:cs="仿宋_GB2312"/>
          <w:color w:val="auto"/>
          <w:szCs w:val="32"/>
        </w:rPr>
      </w:pPr>
      <w:r>
        <w:rPr>
          <w:rFonts w:hint="eastAsia" w:hAnsi="仿宋_GB2312" w:cs="仿宋_GB2312"/>
          <w:color w:val="auto"/>
          <w:szCs w:val="32"/>
        </w:rPr>
        <w:t>九、本公司违反上述保证，或本声明陈述与事实不符，经查实，本公司愿意接受公开通报，记录不良行为，承担由此带来的法律后果，并愿意停止参加广州市行政区域内的招标投标活动三个月。其中，本声明陈述与事实不符的，属于弄虚作假骗取中标，将依法接受监管部门的处罚。</w:t>
      </w:r>
    </w:p>
    <w:p>
      <w:pPr>
        <w:pStyle w:val="36"/>
        <w:ind w:firstLine="640" w:firstLineChars="200"/>
        <w:rPr>
          <w:rFonts w:hint="eastAsia" w:hAnsi="仿宋_GB2312" w:cs="仿宋_GB2312"/>
          <w:color w:val="auto"/>
          <w:szCs w:val="32"/>
        </w:rPr>
      </w:pPr>
    </w:p>
    <w:p>
      <w:pPr>
        <w:pStyle w:val="36"/>
        <w:ind w:firstLine="640" w:firstLineChars="200"/>
        <w:rPr>
          <w:rFonts w:hAnsi="仿宋_GB2312" w:cs="仿宋_GB2312"/>
          <w:color w:val="auto"/>
          <w:szCs w:val="32"/>
        </w:rPr>
      </w:pPr>
      <w:r>
        <w:rPr>
          <w:rFonts w:hint="eastAsia" w:hAnsi="仿宋_GB2312" w:cs="仿宋_GB2312"/>
          <w:color w:val="auto"/>
          <w:szCs w:val="32"/>
        </w:rPr>
        <w:t>特此声明。</w:t>
      </w:r>
    </w:p>
    <w:p>
      <w:pPr>
        <w:pStyle w:val="35"/>
        <w:ind w:left="0" w:right="0"/>
        <w:jc w:val="both"/>
        <w:rPr>
          <w:rFonts w:hAnsi="仿宋_GB2312" w:cs="仿宋_GB2312"/>
          <w:color w:val="auto"/>
          <w:szCs w:val="32"/>
        </w:rPr>
      </w:pPr>
      <w:r>
        <w:rPr>
          <w:rFonts w:hint="eastAsia" w:hAnsi="仿宋_GB2312" w:cs="仿宋_GB2312"/>
          <w:color w:val="auto"/>
          <w:szCs w:val="32"/>
        </w:rPr>
        <w:t xml:space="preserve">                         声明企业：</w:t>
      </w:r>
    </w:p>
    <w:p>
      <w:pPr>
        <w:pStyle w:val="36"/>
        <w:ind w:firstLine="0"/>
        <w:rPr>
          <w:rFonts w:hAnsi="仿宋_GB2312" w:cs="仿宋_GB2312"/>
          <w:color w:val="auto"/>
          <w:szCs w:val="32"/>
        </w:rPr>
      </w:pPr>
      <w:r>
        <w:rPr>
          <w:rFonts w:hint="eastAsia" w:hAnsi="仿宋_GB2312" w:cs="仿宋_GB2312"/>
          <w:color w:val="auto"/>
          <w:szCs w:val="32"/>
        </w:rPr>
        <w:t xml:space="preserve">                             法定代表人签字：</w:t>
      </w:r>
    </w:p>
    <w:p>
      <w:pPr>
        <w:pStyle w:val="36"/>
        <w:ind w:firstLine="0"/>
        <w:rPr>
          <w:rFonts w:hAnsi="仿宋_GB2312" w:cs="仿宋_GB2312"/>
          <w:color w:val="auto"/>
          <w:szCs w:val="32"/>
        </w:rPr>
      </w:pPr>
      <w:r>
        <w:rPr>
          <w:rFonts w:hint="eastAsia" w:hAnsi="仿宋_GB2312" w:cs="仿宋_GB2312"/>
          <w:color w:val="auto"/>
          <w:szCs w:val="32"/>
        </w:rPr>
        <w:t xml:space="preserve">                             项目负责人签字:</w:t>
      </w:r>
    </w:p>
    <w:p>
      <w:pPr>
        <w:pStyle w:val="36"/>
        <w:ind w:firstLine="0"/>
        <w:jc w:val="left"/>
        <w:rPr>
          <w:rFonts w:hAnsi="仿宋_GB2312" w:cs="仿宋_GB2312"/>
          <w:color w:val="auto"/>
          <w:szCs w:val="32"/>
        </w:rPr>
      </w:pPr>
      <w:r>
        <w:rPr>
          <w:rFonts w:hint="eastAsia" w:hAnsi="仿宋_GB2312" w:cs="仿宋_GB2312"/>
          <w:color w:val="auto"/>
          <w:szCs w:val="32"/>
        </w:rPr>
        <w:t xml:space="preserve">                              年   月   日                 </w:t>
      </w:r>
    </w:p>
    <w:p>
      <w:pPr>
        <w:pStyle w:val="36"/>
        <w:jc w:val="left"/>
        <w:rPr>
          <w:rFonts w:hAnsi="仿宋_GB2312" w:cs="仿宋_GB2312"/>
          <w:color w:val="auto"/>
          <w:szCs w:val="32"/>
        </w:rPr>
      </w:pPr>
      <w:r>
        <w:rPr>
          <w:rFonts w:hint="eastAsia" w:hAnsi="仿宋_GB2312" w:cs="仿宋_GB2312"/>
          <w:color w:val="auto"/>
          <w:szCs w:val="32"/>
        </w:rPr>
        <w:t xml:space="preserve"> （企业公章）</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注：招标人应当要求投标人的项目负责人 和技术负责人签字。</w:t>
      </w:r>
    </w:p>
    <w:p>
      <w:pPr>
        <w:spacing w:line="360" w:lineRule="auto"/>
        <w:jc w:val="center"/>
        <w:outlineLvl w:val="0"/>
        <w:rPr>
          <w:rFonts w:ascii="方正小标宋简体" w:hAnsi="方正小标宋简体" w:eastAsia="方正小标宋简体" w:cs="方正小标宋简体"/>
          <w:b/>
          <w:bCs/>
          <w:kern w:val="44"/>
          <w:sz w:val="44"/>
          <w:szCs w:val="44"/>
        </w:rPr>
      </w:pPr>
    </w:p>
    <w:p>
      <w:pPr>
        <w:keepNext w:val="0"/>
        <w:keepLines w:val="0"/>
        <w:pageBreakBefore w:val="0"/>
        <w:kinsoku/>
        <w:wordWrap/>
        <w:overflowPunct/>
        <w:topLinePunct w:val="0"/>
        <w:autoSpaceDE/>
        <w:autoSpaceDN/>
        <w:bidi w:val="0"/>
        <w:spacing w:line="360" w:lineRule="auto"/>
        <w:ind w:left="0" w:right="0"/>
        <w:textAlignment w:val="auto"/>
        <w:rPr>
          <w:rFonts w:hint="eastAsia" w:ascii="仿宋_GB2312" w:hAnsi="仿宋_GB2312" w:eastAsia="仿宋_GB2312" w:cs="仿宋_GB2312"/>
          <w:color w:val="auto"/>
          <w:sz w:val="32"/>
          <w:szCs w:val="32"/>
          <w:highlight w:val="none"/>
        </w:rPr>
      </w:pPr>
    </w:p>
    <w:sectPr>
      <w:footerReference r:id="rId4" w:type="default"/>
      <w:endnotePr>
        <w:numFmt w:val="decimal"/>
      </w:endnotePr>
      <w:pgSz w:w="11906" w:h="16838"/>
      <w:pgMar w:top="1247" w:right="1247" w:bottom="1247" w:left="124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rPr>
        <w:rStyle w:val="16"/>
      </w:rPr>
      <w:instrText xml:space="preserve"> PAGE </w:instrText>
    </w:r>
    <w:r>
      <w:fldChar w:fldCharType="separate"/>
    </w:r>
    <w:r>
      <w:rPr>
        <w:rStyle w:val="16"/>
      </w:rPr>
      <w:t>11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98371B"/>
    <w:multiLevelType w:val="singleLevel"/>
    <w:tmpl w:val="1898371B"/>
    <w:lvl w:ilvl="0" w:tentative="0">
      <w:start w:val="1"/>
      <w:numFmt w:val="chineseCounting"/>
      <w:suff w:val="nothing"/>
      <w:lvlText w:val="%1、"/>
      <w:lvlJc w:val="left"/>
      <w:rPr>
        <w:rFonts w:hint="eastAsia"/>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0"/>
  <w:bordersDoNotSurroundFooter w:val="0"/>
  <w:trackRevisions w:val="1"/>
  <w:documentProtection w:edit="trackedChanges"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00DC6403"/>
    <w:rsid w:val="00004E26"/>
    <w:rsid w:val="00013870"/>
    <w:rsid w:val="00013E6B"/>
    <w:rsid w:val="00025AC9"/>
    <w:rsid w:val="000309A3"/>
    <w:rsid w:val="00034EAC"/>
    <w:rsid w:val="00043404"/>
    <w:rsid w:val="00046224"/>
    <w:rsid w:val="00051DDC"/>
    <w:rsid w:val="000532C0"/>
    <w:rsid w:val="000549AC"/>
    <w:rsid w:val="0006423F"/>
    <w:rsid w:val="00086EEE"/>
    <w:rsid w:val="00093C8F"/>
    <w:rsid w:val="000943FA"/>
    <w:rsid w:val="000A763D"/>
    <w:rsid w:val="000B00BF"/>
    <w:rsid w:val="000B20BC"/>
    <w:rsid w:val="000B379D"/>
    <w:rsid w:val="000B5D67"/>
    <w:rsid w:val="000C19FD"/>
    <w:rsid w:val="000C4173"/>
    <w:rsid w:val="000D1BC8"/>
    <w:rsid w:val="000D28CB"/>
    <w:rsid w:val="000D6E5E"/>
    <w:rsid w:val="000D716F"/>
    <w:rsid w:val="000E071B"/>
    <w:rsid w:val="000E54D4"/>
    <w:rsid w:val="000F1359"/>
    <w:rsid w:val="000F41C8"/>
    <w:rsid w:val="00104AED"/>
    <w:rsid w:val="00107259"/>
    <w:rsid w:val="001115EF"/>
    <w:rsid w:val="00125B4A"/>
    <w:rsid w:val="00130455"/>
    <w:rsid w:val="00132227"/>
    <w:rsid w:val="001416C6"/>
    <w:rsid w:val="001473C2"/>
    <w:rsid w:val="0015540C"/>
    <w:rsid w:val="00163C08"/>
    <w:rsid w:val="00164606"/>
    <w:rsid w:val="0016734C"/>
    <w:rsid w:val="00170D75"/>
    <w:rsid w:val="0017249F"/>
    <w:rsid w:val="0018467D"/>
    <w:rsid w:val="00187B9A"/>
    <w:rsid w:val="00195269"/>
    <w:rsid w:val="00195A7E"/>
    <w:rsid w:val="001A3DE0"/>
    <w:rsid w:val="001A7585"/>
    <w:rsid w:val="001B2EAA"/>
    <w:rsid w:val="001B6255"/>
    <w:rsid w:val="001C1C3A"/>
    <w:rsid w:val="001C61A8"/>
    <w:rsid w:val="001D1393"/>
    <w:rsid w:val="001D77DF"/>
    <w:rsid w:val="001F086D"/>
    <w:rsid w:val="00204D32"/>
    <w:rsid w:val="00212099"/>
    <w:rsid w:val="0021366C"/>
    <w:rsid w:val="002157BF"/>
    <w:rsid w:val="00221757"/>
    <w:rsid w:val="002224A5"/>
    <w:rsid w:val="00231CD2"/>
    <w:rsid w:val="00233869"/>
    <w:rsid w:val="00241219"/>
    <w:rsid w:val="00241ABD"/>
    <w:rsid w:val="00241BA9"/>
    <w:rsid w:val="00250233"/>
    <w:rsid w:val="00253E42"/>
    <w:rsid w:val="00253F10"/>
    <w:rsid w:val="0026042B"/>
    <w:rsid w:val="00260956"/>
    <w:rsid w:val="00264BBF"/>
    <w:rsid w:val="002712BD"/>
    <w:rsid w:val="002741D4"/>
    <w:rsid w:val="002A3C81"/>
    <w:rsid w:val="002A4528"/>
    <w:rsid w:val="002A4C3B"/>
    <w:rsid w:val="002A7B8C"/>
    <w:rsid w:val="002B320B"/>
    <w:rsid w:val="002E2BFF"/>
    <w:rsid w:val="002F2A2C"/>
    <w:rsid w:val="002F7559"/>
    <w:rsid w:val="002F7C4A"/>
    <w:rsid w:val="00303E00"/>
    <w:rsid w:val="00304655"/>
    <w:rsid w:val="003154BA"/>
    <w:rsid w:val="003173CA"/>
    <w:rsid w:val="0032152D"/>
    <w:rsid w:val="003233C9"/>
    <w:rsid w:val="003236B1"/>
    <w:rsid w:val="00324F75"/>
    <w:rsid w:val="00333E7C"/>
    <w:rsid w:val="00334F87"/>
    <w:rsid w:val="00337018"/>
    <w:rsid w:val="0034355A"/>
    <w:rsid w:val="003445EC"/>
    <w:rsid w:val="003454BB"/>
    <w:rsid w:val="003659AC"/>
    <w:rsid w:val="0037201F"/>
    <w:rsid w:val="003775D0"/>
    <w:rsid w:val="003816A9"/>
    <w:rsid w:val="003A0269"/>
    <w:rsid w:val="003A464D"/>
    <w:rsid w:val="003A62C7"/>
    <w:rsid w:val="003A636E"/>
    <w:rsid w:val="003B2984"/>
    <w:rsid w:val="003B628C"/>
    <w:rsid w:val="003C0A9C"/>
    <w:rsid w:val="003C5860"/>
    <w:rsid w:val="003C7152"/>
    <w:rsid w:val="003D2562"/>
    <w:rsid w:val="003F198E"/>
    <w:rsid w:val="003F4C7D"/>
    <w:rsid w:val="0040314B"/>
    <w:rsid w:val="004136A0"/>
    <w:rsid w:val="004232C7"/>
    <w:rsid w:val="00433414"/>
    <w:rsid w:val="00436FD5"/>
    <w:rsid w:val="004473A9"/>
    <w:rsid w:val="00452AA2"/>
    <w:rsid w:val="004534CD"/>
    <w:rsid w:val="00480D38"/>
    <w:rsid w:val="00482F4E"/>
    <w:rsid w:val="00496BB0"/>
    <w:rsid w:val="004B351A"/>
    <w:rsid w:val="004B3ED0"/>
    <w:rsid w:val="004C1BE4"/>
    <w:rsid w:val="004C61CF"/>
    <w:rsid w:val="004D0B74"/>
    <w:rsid w:val="004D6156"/>
    <w:rsid w:val="004F172C"/>
    <w:rsid w:val="004F27F2"/>
    <w:rsid w:val="004F48EE"/>
    <w:rsid w:val="005043AF"/>
    <w:rsid w:val="00511D89"/>
    <w:rsid w:val="00514EDC"/>
    <w:rsid w:val="0052159F"/>
    <w:rsid w:val="00525BA5"/>
    <w:rsid w:val="00526E32"/>
    <w:rsid w:val="00531AB9"/>
    <w:rsid w:val="0054676C"/>
    <w:rsid w:val="00550E62"/>
    <w:rsid w:val="00555A9E"/>
    <w:rsid w:val="005623FD"/>
    <w:rsid w:val="00566249"/>
    <w:rsid w:val="005767AC"/>
    <w:rsid w:val="005818F8"/>
    <w:rsid w:val="00582E90"/>
    <w:rsid w:val="0058686E"/>
    <w:rsid w:val="00595175"/>
    <w:rsid w:val="005A21E9"/>
    <w:rsid w:val="005A2CE8"/>
    <w:rsid w:val="005A71B8"/>
    <w:rsid w:val="005B3050"/>
    <w:rsid w:val="005B5F43"/>
    <w:rsid w:val="005D0E79"/>
    <w:rsid w:val="005E42DD"/>
    <w:rsid w:val="005F7567"/>
    <w:rsid w:val="00613CE6"/>
    <w:rsid w:val="0061519C"/>
    <w:rsid w:val="00617B9A"/>
    <w:rsid w:val="006220AC"/>
    <w:rsid w:val="0062769F"/>
    <w:rsid w:val="006338DF"/>
    <w:rsid w:val="00637284"/>
    <w:rsid w:val="0064319A"/>
    <w:rsid w:val="00643C26"/>
    <w:rsid w:val="00646A42"/>
    <w:rsid w:val="00657621"/>
    <w:rsid w:val="0065786E"/>
    <w:rsid w:val="00661DD7"/>
    <w:rsid w:val="00671929"/>
    <w:rsid w:val="00695116"/>
    <w:rsid w:val="006A1643"/>
    <w:rsid w:val="006A1A90"/>
    <w:rsid w:val="006B1401"/>
    <w:rsid w:val="006C2349"/>
    <w:rsid w:val="006C3FB7"/>
    <w:rsid w:val="006C5A5D"/>
    <w:rsid w:val="006C72E8"/>
    <w:rsid w:val="006D0E8C"/>
    <w:rsid w:val="006E1C44"/>
    <w:rsid w:val="006F0023"/>
    <w:rsid w:val="006F0572"/>
    <w:rsid w:val="006F11AE"/>
    <w:rsid w:val="006F13C1"/>
    <w:rsid w:val="006F7532"/>
    <w:rsid w:val="00702407"/>
    <w:rsid w:val="0071568D"/>
    <w:rsid w:val="00715AB6"/>
    <w:rsid w:val="00717836"/>
    <w:rsid w:val="00722FB2"/>
    <w:rsid w:val="00732F7E"/>
    <w:rsid w:val="0074344B"/>
    <w:rsid w:val="00752557"/>
    <w:rsid w:val="00752E81"/>
    <w:rsid w:val="00753ACC"/>
    <w:rsid w:val="007560F1"/>
    <w:rsid w:val="00757587"/>
    <w:rsid w:val="0076656C"/>
    <w:rsid w:val="00771D34"/>
    <w:rsid w:val="0078565B"/>
    <w:rsid w:val="007902FF"/>
    <w:rsid w:val="00792E74"/>
    <w:rsid w:val="00797BA3"/>
    <w:rsid w:val="007B094F"/>
    <w:rsid w:val="007B5D92"/>
    <w:rsid w:val="007C3742"/>
    <w:rsid w:val="007C4D87"/>
    <w:rsid w:val="007D104E"/>
    <w:rsid w:val="007E2255"/>
    <w:rsid w:val="007E5D68"/>
    <w:rsid w:val="007E6158"/>
    <w:rsid w:val="007E7647"/>
    <w:rsid w:val="007F0604"/>
    <w:rsid w:val="007F214B"/>
    <w:rsid w:val="007F4DE7"/>
    <w:rsid w:val="007F55A5"/>
    <w:rsid w:val="007F6005"/>
    <w:rsid w:val="00800733"/>
    <w:rsid w:val="00813AB1"/>
    <w:rsid w:val="00817993"/>
    <w:rsid w:val="008263D6"/>
    <w:rsid w:val="0084633F"/>
    <w:rsid w:val="00855275"/>
    <w:rsid w:val="00856B73"/>
    <w:rsid w:val="008623A0"/>
    <w:rsid w:val="00864F58"/>
    <w:rsid w:val="008845D5"/>
    <w:rsid w:val="008852E0"/>
    <w:rsid w:val="00894723"/>
    <w:rsid w:val="0089558D"/>
    <w:rsid w:val="008C447E"/>
    <w:rsid w:val="008D3548"/>
    <w:rsid w:val="008E06D7"/>
    <w:rsid w:val="00916266"/>
    <w:rsid w:val="00916CD1"/>
    <w:rsid w:val="00925B30"/>
    <w:rsid w:val="0093112E"/>
    <w:rsid w:val="00932DA9"/>
    <w:rsid w:val="009410B3"/>
    <w:rsid w:val="0094461E"/>
    <w:rsid w:val="00951F29"/>
    <w:rsid w:val="00952D81"/>
    <w:rsid w:val="00962956"/>
    <w:rsid w:val="009672E4"/>
    <w:rsid w:val="00971CEB"/>
    <w:rsid w:val="009727A3"/>
    <w:rsid w:val="009818C7"/>
    <w:rsid w:val="00997700"/>
    <w:rsid w:val="009A2FBF"/>
    <w:rsid w:val="009A33DB"/>
    <w:rsid w:val="009A5F35"/>
    <w:rsid w:val="009A7B36"/>
    <w:rsid w:val="009C03E7"/>
    <w:rsid w:val="009C19A7"/>
    <w:rsid w:val="009D1D1D"/>
    <w:rsid w:val="009D21BB"/>
    <w:rsid w:val="009E11C0"/>
    <w:rsid w:val="009E13D2"/>
    <w:rsid w:val="009E5274"/>
    <w:rsid w:val="009F249D"/>
    <w:rsid w:val="009F3034"/>
    <w:rsid w:val="009F52F8"/>
    <w:rsid w:val="009F5E80"/>
    <w:rsid w:val="00A06FBB"/>
    <w:rsid w:val="00A112FB"/>
    <w:rsid w:val="00A21368"/>
    <w:rsid w:val="00A223D6"/>
    <w:rsid w:val="00A304F6"/>
    <w:rsid w:val="00A424CA"/>
    <w:rsid w:val="00A569D3"/>
    <w:rsid w:val="00A659F6"/>
    <w:rsid w:val="00A936E5"/>
    <w:rsid w:val="00A97FF6"/>
    <w:rsid w:val="00AA1550"/>
    <w:rsid w:val="00AB0217"/>
    <w:rsid w:val="00AB16B2"/>
    <w:rsid w:val="00AB45DC"/>
    <w:rsid w:val="00AC7699"/>
    <w:rsid w:val="00AD4725"/>
    <w:rsid w:val="00AD47E0"/>
    <w:rsid w:val="00AD5A0B"/>
    <w:rsid w:val="00AD5EA1"/>
    <w:rsid w:val="00AD67C5"/>
    <w:rsid w:val="00AD7919"/>
    <w:rsid w:val="00AE5573"/>
    <w:rsid w:val="00AF6E43"/>
    <w:rsid w:val="00B00584"/>
    <w:rsid w:val="00B010CF"/>
    <w:rsid w:val="00B0111A"/>
    <w:rsid w:val="00B104E3"/>
    <w:rsid w:val="00B12D27"/>
    <w:rsid w:val="00B12E91"/>
    <w:rsid w:val="00B132EA"/>
    <w:rsid w:val="00B20A21"/>
    <w:rsid w:val="00B305F3"/>
    <w:rsid w:val="00B32634"/>
    <w:rsid w:val="00B344CA"/>
    <w:rsid w:val="00B350EF"/>
    <w:rsid w:val="00B465DD"/>
    <w:rsid w:val="00B50931"/>
    <w:rsid w:val="00B5177A"/>
    <w:rsid w:val="00B523B0"/>
    <w:rsid w:val="00B64F42"/>
    <w:rsid w:val="00B81239"/>
    <w:rsid w:val="00B81B2B"/>
    <w:rsid w:val="00BA003E"/>
    <w:rsid w:val="00BA1DB2"/>
    <w:rsid w:val="00BB0D73"/>
    <w:rsid w:val="00BB5435"/>
    <w:rsid w:val="00BB55BA"/>
    <w:rsid w:val="00BB7D89"/>
    <w:rsid w:val="00BC0C19"/>
    <w:rsid w:val="00BC4343"/>
    <w:rsid w:val="00BC64A8"/>
    <w:rsid w:val="00BC7B2C"/>
    <w:rsid w:val="00BC7C87"/>
    <w:rsid w:val="00BD19D0"/>
    <w:rsid w:val="00BD3626"/>
    <w:rsid w:val="00BD3B92"/>
    <w:rsid w:val="00BD5E5F"/>
    <w:rsid w:val="00BD7249"/>
    <w:rsid w:val="00BD7968"/>
    <w:rsid w:val="00BE34C6"/>
    <w:rsid w:val="00BF062B"/>
    <w:rsid w:val="00BF7961"/>
    <w:rsid w:val="00C00CFF"/>
    <w:rsid w:val="00C01130"/>
    <w:rsid w:val="00C06209"/>
    <w:rsid w:val="00C32F04"/>
    <w:rsid w:val="00C37525"/>
    <w:rsid w:val="00C51830"/>
    <w:rsid w:val="00C533ED"/>
    <w:rsid w:val="00C57594"/>
    <w:rsid w:val="00C63DE2"/>
    <w:rsid w:val="00C668DA"/>
    <w:rsid w:val="00C726AF"/>
    <w:rsid w:val="00C833DA"/>
    <w:rsid w:val="00C95EF2"/>
    <w:rsid w:val="00CB6E12"/>
    <w:rsid w:val="00CB7B4D"/>
    <w:rsid w:val="00CC0858"/>
    <w:rsid w:val="00CC2851"/>
    <w:rsid w:val="00CC573E"/>
    <w:rsid w:val="00CC67BA"/>
    <w:rsid w:val="00CD150C"/>
    <w:rsid w:val="00CD7ECE"/>
    <w:rsid w:val="00CE0643"/>
    <w:rsid w:val="00CE248A"/>
    <w:rsid w:val="00CE3BE2"/>
    <w:rsid w:val="00CE7CB2"/>
    <w:rsid w:val="00D02CF5"/>
    <w:rsid w:val="00D063C8"/>
    <w:rsid w:val="00D13309"/>
    <w:rsid w:val="00D15F66"/>
    <w:rsid w:val="00D20A12"/>
    <w:rsid w:val="00D263F3"/>
    <w:rsid w:val="00D302C0"/>
    <w:rsid w:val="00D352FD"/>
    <w:rsid w:val="00D500A2"/>
    <w:rsid w:val="00D57E4F"/>
    <w:rsid w:val="00D64BDD"/>
    <w:rsid w:val="00D72975"/>
    <w:rsid w:val="00D75947"/>
    <w:rsid w:val="00D8144A"/>
    <w:rsid w:val="00DA5843"/>
    <w:rsid w:val="00DC3454"/>
    <w:rsid w:val="00DC6403"/>
    <w:rsid w:val="00DE2F90"/>
    <w:rsid w:val="00DE4911"/>
    <w:rsid w:val="00DF0733"/>
    <w:rsid w:val="00DF0FCE"/>
    <w:rsid w:val="00DF68CE"/>
    <w:rsid w:val="00DF693E"/>
    <w:rsid w:val="00E03A03"/>
    <w:rsid w:val="00E05816"/>
    <w:rsid w:val="00E06DF5"/>
    <w:rsid w:val="00E07667"/>
    <w:rsid w:val="00E22158"/>
    <w:rsid w:val="00E34EDC"/>
    <w:rsid w:val="00E520C1"/>
    <w:rsid w:val="00E530CE"/>
    <w:rsid w:val="00E64FCA"/>
    <w:rsid w:val="00E66D92"/>
    <w:rsid w:val="00E76BA4"/>
    <w:rsid w:val="00E801B6"/>
    <w:rsid w:val="00EA6239"/>
    <w:rsid w:val="00EB6F49"/>
    <w:rsid w:val="00EC1168"/>
    <w:rsid w:val="00EC3929"/>
    <w:rsid w:val="00ED4D8C"/>
    <w:rsid w:val="00ED6BFD"/>
    <w:rsid w:val="00EE01AE"/>
    <w:rsid w:val="00EF0CCD"/>
    <w:rsid w:val="00EF42F8"/>
    <w:rsid w:val="00EF4AA7"/>
    <w:rsid w:val="00EF7C79"/>
    <w:rsid w:val="00F057BC"/>
    <w:rsid w:val="00F14DF9"/>
    <w:rsid w:val="00F208A3"/>
    <w:rsid w:val="00F21741"/>
    <w:rsid w:val="00F245DB"/>
    <w:rsid w:val="00F27850"/>
    <w:rsid w:val="00F30190"/>
    <w:rsid w:val="00F305E0"/>
    <w:rsid w:val="00F32213"/>
    <w:rsid w:val="00F4253E"/>
    <w:rsid w:val="00F50438"/>
    <w:rsid w:val="00F50BB7"/>
    <w:rsid w:val="00F52C51"/>
    <w:rsid w:val="00F56306"/>
    <w:rsid w:val="00F604E7"/>
    <w:rsid w:val="00F61333"/>
    <w:rsid w:val="00F73B62"/>
    <w:rsid w:val="00F77BB6"/>
    <w:rsid w:val="00F8035D"/>
    <w:rsid w:val="00F83C0C"/>
    <w:rsid w:val="00F85131"/>
    <w:rsid w:val="00F8642D"/>
    <w:rsid w:val="00FB02A2"/>
    <w:rsid w:val="00FB1C70"/>
    <w:rsid w:val="00FB5E30"/>
    <w:rsid w:val="00FC20D7"/>
    <w:rsid w:val="00FC43B0"/>
    <w:rsid w:val="00FC74E4"/>
    <w:rsid w:val="00FD1D87"/>
    <w:rsid w:val="00FD2367"/>
    <w:rsid w:val="00FD59A3"/>
    <w:rsid w:val="00FE03DD"/>
    <w:rsid w:val="00FF5305"/>
    <w:rsid w:val="01004DAD"/>
    <w:rsid w:val="01030B42"/>
    <w:rsid w:val="0122253E"/>
    <w:rsid w:val="0189178A"/>
    <w:rsid w:val="01A86044"/>
    <w:rsid w:val="02023858"/>
    <w:rsid w:val="022C17BB"/>
    <w:rsid w:val="02511214"/>
    <w:rsid w:val="0294251F"/>
    <w:rsid w:val="02BF486B"/>
    <w:rsid w:val="02D7673E"/>
    <w:rsid w:val="02FB5B81"/>
    <w:rsid w:val="035D13B8"/>
    <w:rsid w:val="038333BD"/>
    <w:rsid w:val="03CC0010"/>
    <w:rsid w:val="03F5114A"/>
    <w:rsid w:val="041D53CF"/>
    <w:rsid w:val="046C0592"/>
    <w:rsid w:val="05175D89"/>
    <w:rsid w:val="05197563"/>
    <w:rsid w:val="055D51A9"/>
    <w:rsid w:val="05A353D9"/>
    <w:rsid w:val="05CB1589"/>
    <w:rsid w:val="0601161F"/>
    <w:rsid w:val="06120EF8"/>
    <w:rsid w:val="062C4F09"/>
    <w:rsid w:val="063576A1"/>
    <w:rsid w:val="064553B9"/>
    <w:rsid w:val="06661D48"/>
    <w:rsid w:val="06995D10"/>
    <w:rsid w:val="06B718AA"/>
    <w:rsid w:val="06CD2144"/>
    <w:rsid w:val="06E443D3"/>
    <w:rsid w:val="071B70F7"/>
    <w:rsid w:val="0773711B"/>
    <w:rsid w:val="07984C72"/>
    <w:rsid w:val="07A26448"/>
    <w:rsid w:val="07B942C4"/>
    <w:rsid w:val="0822604D"/>
    <w:rsid w:val="08411FCF"/>
    <w:rsid w:val="08456335"/>
    <w:rsid w:val="086D2411"/>
    <w:rsid w:val="08D57F0F"/>
    <w:rsid w:val="08DE7D4C"/>
    <w:rsid w:val="09022A39"/>
    <w:rsid w:val="09274A20"/>
    <w:rsid w:val="09413C8E"/>
    <w:rsid w:val="095475DD"/>
    <w:rsid w:val="095E3D1E"/>
    <w:rsid w:val="099D1BD0"/>
    <w:rsid w:val="09CC14E6"/>
    <w:rsid w:val="09ED45A6"/>
    <w:rsid w:val="0A071BD6"/>
    <w:rsid w:val="0A1127A5"/>
    <w:rsid w:val="0B49429C"/>
    <w:rsid w:val="0B620EE9"/>
    <w:rsid w:val="0B8D5667"/>
    <w:rsid w:val="0C0543AF"/>
    <w:rsid w:val="0C085ED2"/>
    <w:rsid w:val="0C2065D3"/>
    <w:rsid w:val="0C3B3F19"/>
    <w:rsid w:val="0C7D4DDB"/>
    <w:rsid w:val="0CC542CD"/>
    <w:rsid w:val="0CFA536B"/>
    <w:rsid w:val="0D8D2241"/>
    <w:rsid w:val="0DB04AC2"/>
    <w:rsid w:val="0E061F96"/>
    <w:rsid w:val="0E170691"/>
    <w:rsid w:val="0E1C71C1"/>
    <w:rsid w:val="0E2266D0"/>
    <w:rsid w:val="0E333297"/>
    <w:rsid w:val="0F166857"/>
    <w:rsid w:val="0F3F4DD0"/>
    <w:rsid w:val="0FC13541"/>
    <w:rsid w:val="100C1E88"/>
    <w:rsid w:val="10197FD4"/>
    <w:rsid w:val="102A1268"/>
    <w:rsid w:val="10384F18"/>
    <w:rsid w:val="10466ED0"/>
    <w:rsid w:val="10734036"/>
    <w:rsid w:val="10842C8D"/>
    <w:rsid w:val="10916459"/>
    <w:rsid w:val="11596B55"/>
    <w:rsid w:val="11642F84"/>
    <w:rsid w:val="12BF00AD"/>
    <w:rsid w:val="12C0509D"/>
    <w:rsid w:val="13172A77"/>
    <w:rsid w:val="138D4727"/>
    <w:rsid w:val="13ED0666"/>
    <w:rsid w:val="145C7FAF"/>
    <w:rsid w:val="14A5037D"/>
    <w:rsid w:val="157106EE"/>
    <w:rsid w:val="15DF6D44"/>
    <w:rsid w:val="15E057F9"/>
    <w:rsid w:val="1629503C"/>
    <w:rsid w:val="163A0355"/>
    <w:rsid w:val="163C5853"/>
    <w:rsid w:val="164C43D7"/>
    <w:rsid w:val="164E100C"/>
    <w:rsid w:val="16926C54"/>
    <w:rsid w:val="16ED3654"/>
    <w:rsid w:val="177607D5"/>
    <w:rsid w:val="17877E71"/>
    <w:rsid w:val="17912518"/>
    <w:rsid w:val="179F49AC"/>
    <w:rsid w:val="17D634FB"/>
    <w:rsid w:val="189150F3"/>
    <w:rsid w:val="18967883"/>
    <w:rsid w:val="18B05A84"/>
    <w:rsid w:val="18C6750E"/>
    <w:rsid w:val="18DC5682"/>
    <w:rsid w:val="191F1437"/>
    <w:rsid w:val="19DA7332"/>
    <w:rsid w:val="19EC6A39"/>
    <w:rsid w:val="1A751CCE"/>
    <w:rsid w:val="1AB56459"/>
    <w:rsid w:val="1AD217D3"/>
    <w:rsid w:val="1B2B6F43"/>
    <w:rsid w:val="1B516ABF"/>
    <w:rsid w:val="1B5604F1"/>
    <w:rsid w:val="1BA809D0"/>
    <w:rsid w:val="1BBD748F"/>
    <w:rsid w:val="1C012248"/>
    <w:rsid w:val="1C0607B2"/>
    <w:rsid w:val="1C1843DD"/>
    <w:rsid w:val="1C22230B"/>
    <w:rsid w:val="1C356831"/>
    <w:rsid w:val="1C8D5200"/>
    <w:rsid w:val="1CA164DC"/>
    <w:rsid w:val="1CB533A4"/>
    <w:rsid w:val="1CC902DC"/>
    <w:rsid w:val="1CE5374E"/>
    <w:rsid w:val="1CEF1CD0"/>
    <w:rsid w:val="1CFF3907"/>
    <w:rsid w:val="1CFF559E"/>
    <w:rsid w:val="1D142987"/>
    <w:rsid w:val="1D1D7E62"/>
    <w:rsid w:val="1D5C71A3"/>
    <w:rsid w:val="1DFB1AA5"/>
    <w:rsid w:val="1E01508B"/>
    <w:rsid w:val="1E5C2575"/>
    <w:rsid w:val="1E8C4893"/>
    <w:rsid w:val="1EE3321B"/>
    <w:rsid w:val="1F263FFF"/>
    <w:rsid w:val="1F3E2E8F"/>
    <w:rsid w:val="1FF6208D"/>
    <w:rsid w:val="2102376A"/>
    <w:rsid w:val="212B74A9"/>
    <w:rsid w:val="214A0F8D"/>
    <w:rsid w:val="21B54F59"/>
    <w:rsid w:val="21C20A0E"/>
    <w:rsid w:val="22AF715D"/>
    <w:rsid w:val="22DD71AC"/>
    <w:rsid w:val="22F120E9"/>
    <w:rsid w:val="230A1F70"/>
    <w:rsid w:val="23332EB5"/>
    <w:rsid w:val="234D69CA"/>
    <w:rsid w:val="23F452DF"/>
    <w:rsid w:val="249842BD"/>
    <w:rsid w:val="24A51BA5"/>
    <w:rsid w:val="24D91E5B"/>
    <w:rsid w:val="25052A66"/>
    <w:rsid w:val="250671B1"/>
    <w:rsid w:val="250D40EA"/>
    <w:rsid w:val="25165DDE"/>
    <w:rsid w:val="253D42A6"/>
    <w:rsid w:val="25482840"/>
    <w:rsid w:val="25536928"/>
    <w:rsid w:val="256900F9"/>
    <w:rsid w:val="25843C6E"/>
    <w:rsid w:val="25A92133"/>
    <w:rsid w:val="25DC1D4B"/>
    <w:rsid w:val="25E216F4"/>
    <w:rsid w:val="261F3460"/>
    <w:rsid w:val="26B55A8F"/>
    <w:rsid w:val="26DB63D5"/>
    <w:rsid w:val="270C62BF"/>
    <w:rsid w:val="2726338C"/>
    <w:rsid w:val="27485E34"/>
    <w:rsid w:val="27765C68"/>
    <w:rsid w:val="278B24B5"/>
    <w:rsid w:val="27E2468D"/>
    <w:rsid w:val="2867067F"/>
    <w:rsid w:val="28705726"/>
    <w:rsid w:val="28850C5D"/>
    <w:rsid w:val="29017B6B"/>
    <w:rsid w:val="2906420A"/>
    <w:rsid w:val="291B051C"/>
    <w:rsid w:val="291C3F69"/>
    <w:rsid w:val="297515A3"/>
    <w:rsid w:val="298000A1"/>
    <w:rsid w:val="29987E43"/>
    <w:rsid w:val="29A67494"/>
    <w:rsid w:val="29B876A9"/>
    <w:rsid w:val="2A6E041B"/>
    <w:rsid w:val="2A727E28"/>
    <w:rsid w:val="2A796EAC"/>
    <w:rsid w:val="2A7A2C8C"/>
    <w:rsid w:val="2A8F5635"/>
    <w:rsid w:val="2AAC4F43"/>
    <w:rsid w:val="2AC34354"/>
    <w:rsid w:val="2AE64DA5"/>
    <w:rsid w:val="2B134A2E"/>
    <w:rsid w:val="2B20200C"/>
    <w:rsid w:val="2B5D3862"/>
    <w:rsid w:val="2B7E547A"/>
    <w:rsid w:val="2B8230F3"/>
    <w:rsid w:val="2C2B15F3"/>
    <w:rsid w:val="2C664910"/>
    <w:rsid w:val="2C6E0E3A"/>
    <w:rsid w:val="2CA80DBE"/>
    <w:rsid w:val="2D1D5CF2"/>
    <w:rsid w:val="2D413FE6"/>
    <w:rsid w:val="2DBB74F5"/>
    <w:rsid w:val="2DDE22BD"/>
    <w:rsid w:val="2DE94BD3"/>
    <w:rsid w:val="2E00063F"/>
    <w:rsid w:val="2E450F62"/>
    <w:rsid w:val="2E671117"/>
    <w:rsid w:val="2E9B657A"/>
    <w:rsid w:val="2F187EAF"/>
    <w:rsid w:val="2F662C24"/>
    <w:rsid w:val="2F6B6A23"/>
    <w:rsid w:val="2F9815E4"/>
    <w:rsid w:val="2FAA7D40"/>
    <w:rsid w:val="2FB90ADC"/>
    <w:rsid w:val="2FBB2CBD"/>
    <w:rsid w:val="2FC63312"/>
    <w:rsid w:val="300D774B"/>
    <w:rsid w:val="3016476E"/>
    <w:rsid w:val="304415EA"/>
    <w:rsid w:val="305F38FB"/>
    <w:rsid w:val="30D64907"/>
    <w:rsid w:val="30E2391E"/>
    <w:rsid w:val="31A351E2"/>
    <w:rsid w:val="31BD0221"/>
    <w:rsid w:val="31CA2A97"/>
    <w:rsid w:val="31E777DB"/>
    <w:rsid w:val="32BE6B9B"/>
    <w:rsid w:val="32BF24E3"/>
    <w:rsid w:val="32CB7F4E"/>
    <w:rsid w:val="32E313DE"/>
    <w:rsid w:val="32E70E43"/>
    <w:rsid w:val="32F47C26"/>
    <w:rsid w:val="33646EDC"/>
    <w:rsid w:val="336B43A1"/>
    <w:rsid w:val="336C1EC1"/>
    <w:rsid w:val="33713099"/>
    <w:rsid w:val="343B14EB"/>
    <w:rsid w:val="346F40E9"/>
    <w:rsid w:val="34A61AC0"/>
    <w:rsid w:val="34B071F7"/>
    <w:rsid w:val="34F911D5"/>
    <w:rsid w:val="34FE7B98"/>
    <w:rsid w:val="350D0DB6"/>
    <w:rsid w:val="356C563A"/>
    <w:rsid w:val="35C037B2"/>
    <w:rsid w:val="35C644DF"/>
    <w:rsid w:val="364147E3"/>
    <w:rsid w:val="36937ED8"/>
    <w:rsid w:val="369A7725"/>
    <w:rsid w:val="36C327F9"/>
    <w:rsid w:val="374F0524"/>
    <w:rsid w:val="37874B00"/>
    <w:rsid w:val="37B027FC"/>
    <w:rsid w:val="37E014E1"/>
    <w:rsid w:val="383D1D67"/>
    <w:rsid w:val="38D3619C"/>
    <w:rsid w:val="38E876F6"/>
    <w:rsid w:val="396637F9"/>
    <w:rsid w:val="397D66DD"/>
    <w:rsid w:val="398D5E6D"/>
    <w:rsid w:val="39965D68"/>
    <w:rsid w:val="399D008D"/>
    <w:rsid w:val="39D771C9"/>
    <w:rsid w:val="3A2E20B5"/>
    <w:rsid w:val="3A471164"/>
    <w:rsid w:val="3A836CD7"/>
    <w:rsid w:val="3AC84A28"/>
    <w:rsid w:val="3B902C2D"/>
    <w:rsid w:val="3B95258E"/>
    <w:rsid w:val="3BA63825"/>
    <w:rsid w:val="3BF1111E"/>
    <w:rsid w:val="3BF74783"/>
    <w:rsid w:val="3C521A3F"/>
    <w:rsid w:val="3D566F67"/>
    <w:rsid w:val="3D5D3F08"/>
    <w:rsid w:val="3E191D4C"/>
    <w:rsid w:val="3E340F62"/>
    <w:rsid w:val="3E3B0E18"/>
    <w:rsid w:val="3E484743"/>
    <w:rsid w:val="3E5B1AEE"/>
    <w:rsid w:val="3EF1191C"/>
    <w:rsid w:val="3EF62F65"/>
    <w:rsid w:val="3F3D71E5"/>
    <w:rsid w:val="3F521947"/>
    <w:rsid w:val="3FA02F3D"/>
    <w:rsid w:val="3FC20C48"/>
    <w:rsid w:val="3FD61700"/>
    <w:rsid w:val="3FE970EC"/>
    <w:rsid w:val="40375EE2"/>
    <w:rsid w:val="40420E5A"/>
    <w:rsid w:val="40690EBA"/>
    <w:rsid w:val="409A5CE5"/>
    <w:rsid w:val="40AD4623"/>
    <w:rsid w:val="40AD4BF8"/>
    <w:rsid w:val="40AD6FA9"/>
    <w:rsid w:val="40B67104"/>
    <w:rsid w:val="40BF704C"/>
    <w:rsid w:val="41062A87"/>
    <w:rsid w:val="418204C7"/>
    <w:rsid w:val="419E4433"/>
    <w:rsid w:val="41A42068"/>
    <w:rsid w:val="41B3623A"/>
    <w:rsid w:val="41F705F5"/>
    <w:rsid w:val="4267703E"/>
    <w:rsid w:val="427C546F"/>
    <w:rsid w:val="42806B8B"/>
    <w:rsid w:val="42EB30B5"/>
    <w:rsid w:val="43B47D2B"/>
    <w:rsid w:val="43B7257E"/>
    <w:rsid w:val="43F31495"/>
    <w:rsid w:val="44112AE7"/>
    <w:rsid w:val="44485106"/>
    <w:rsid w:val="445702DB"/>
    <w:rsid w:val="447A4A68"/>
    <w:rsid w:val="44B27E14"/>
    <w:rsid w:val="44C411FA"/>
    <w:rsid w:val="45141224"/>
    <w:rsid w:val="454552C9"/>
    <w:rsid w:val="455A54BB"/>
    <w:rsid w:val="45FD4187"/>
    <w:rsid w:val="4615400D"/>
    <w:rsid w:val="46184551"/>
    <w:rsid w:val="461D62B2"/>
    <w:rsid w:val="46273016"/>
    <w:rsid w:val="46754385"/>
    <w:rsid w:val="46C73D39"/>
    <w:rsid w:val="46D27639"/>
    <w:rsid w:val="46E22759"/>
    <w:rsid w:val="46EE6920"/>
    <w:rsid w:val="46F07D78"/>
    <w:rsid w:val="47830769"/>
    <w:rsid w:val="478329E6"/>
    <w:rsid w:val="47F877AA"/>
    <w:rsid w:val="48124FFF"/>
    <w:rsid w:val="481978C1"/>
    <w:rsid w:val="48375667"/>
    <w:rsid w:val="48377450"/>
    <w:rsid w:val="483B1322"/>
    <w:rsid w:val="486D01AA"/>
    <w:rsid w:val="486F1E9D"/>
    <w:rsid w:val="488851FA"/>
    <w:rsid w:val="48BD0F90"/>
    <w:rsid w:val="48C5790B"/>
    <w:rsid w:val="48D22EDE"/>
    <w:rsid w:val="48FB467F"/>
    <w:rsid w:val="49230DB0"/>
    <w:rsid w:val="4946009D"/>
    <w:rsid w:val="497B4F19"/>
    <w:rsid w:val="49C16D01"/>
    <w:rsid w:val="49C43392"/>
    <w:rsid w:val="4A0C571F"/>
    <w:rsid w:val="4A91409C"/>
    <w:rsid w:val="4AA730DC"/>
    <w:rsid w:val="4ACF221B"/>
    <w:rsid w:val="4AED6223"/>
    <w:rsid w:val="4B872B3A"/>
    <w:rsid w:val="4BAC2A0B"/>
    <w:rsid w:val="4BAF7B69"/>
    <w:rsid w:val="4C25682E"/>
    <w:rsid w:val="4C423741"/>
    <w:rsid w:val="4C9763E0"/>
    <w:rsid w:val="4CAE708B"/>
    <w:rsid w:val="4CB33267"/>
    <w:rsid w:val="4CDE6BAF"/>
    <w:rsid w:val="4D3431DC"/>
    <w:rsid w:val="4DF27860"/>
    <w:rsid w:val="4E0840DE"/>
    <w:rsid w:val="4E4C5328"/>
    <w:rsid w:val="4EB534E8"/>
    <w:rsid w:val="4EB72535"/>
    <w:rsid w:val="4EE65C32"/>
    <w:rsid w:val="4EEE5AA6"/>
    <w:rsid w:val="4F1129BD"/>
    <w:rsid w:val="4F2546C9"/>
    <w:rsid w:val="4F33184B"/>
    <w:rsid w:val="4F443B3E"/>
    <w:rsid w:val="4F5B641E"/>
    <w:rsid w:val="4F7848A5"/>
    <w:rsid w:val="4F9D7782"/>
    <w:rsid w:val="4FF02F20"/>
    <w:rsid w:val="500E34BA"/>
    <w:rsid w:val="502108A8"/>
    <w:rsid w:val="507371B3"/>
    <w:rsid w:val="50FB0104"/>
    <w:rsid w:val="514B1109"/>
    <w:rsid w:val="51744496"/>
    <w:rsid w:val="51B01E30"/>
    <w:rsid w:val="51BA4525"/>
    <w:rsid w:val="51BC5640"/>
    <w:rsid w:val="51CB62F5"/>
    <w:rsid w:val="5231793A"/>
    <w:rsid w:val="52622DE3"/>
    <w:rsid w:val="52A07B0A"/>
    <w:rsid w:val="52A321B5"/>
    <w:rsid w:val="5334319E"/>
    <w:rsid w:val="533504C9"/>
    <w:rsid w:val="536246F4"/>
    <w:rsid w:val="53B07616"/>
    <w:rsid w:val="53B537EB"/>
    <w:rsid w:val="53E60C86"/>
    <w:rsid w:val="53FD0290"/>
    <w:rsid w:val="542C7886"/>
    <w:rsid w:val="546332D9"/>
    <w:rsid w:val="5476514A"/>
    <w:rsid w:val="549619F6"/>
    <w:rsid w:val="54EE63BF"/>
    <w:rsid w:val="552E4C3F"/>
    <w:rsid w:val="55BC1B8B"/>
    <w:rsid w:val="55F9531C"/>
    <w:rsid w:val="561359D4"/>
    <w:rsid w:val="561F0691"/>
    <w:rsid w:val="562D02B0"/>
    <w:rsid w:val="56CD7106"/>
    <w:rsid w:val="56DE61F4"/>
    <w:rsid w:val="56E457CC"/>
    <w:rsid w:val="5749278A"/>
    <w:rsid w:val="575778D4"/>
    <w:rsid w:val="578339CF"/>
    <w:rsid w:val="58081EF2"/>
    <w:rsid w:val="58D95A5D"/>
    <w:rsid w:val="58EB4F8E"/>
    <w:rsid w:val="58EC3BCD"/>
    <w:rsid w:val="58EF7A7F"/>
    <w:rsid w:val="59000089"/>
    <w:rsid w:val="59401795"/>
    <w:rsid w:val="59682604"/>
    <w:rsid w:val="598C6341"/>
    <w:rsid w:val="59A85620"/>
    <w:rsid w:val="59B136B5"/>
    <w:rsid w:val="5A2E2F63"/>
    <w:rsid w:val="5A7D7092"/>
    <w:rsid w:val="5A9203F5"/>
    <w:rsid w:val="5AE74481"/>
    <w:rsid w:val="5B120E1D"/>
    <w:rsid w:val="5B57636B"/>
    <w:rsid w:val="5B887D5B"/>
    <w:rsid w:val="5BD13614"/>
    <w:rsid w:val="5BFD6DD2"/>
    <w:rsid w:val="5C56190B"/>
    <w:rsid w:val="5CD1780B"/>
    <w:rsid w:val="5DA0758D"/>
    <w:rsid w:val="5DBF64B7"/>
    <w:rsid w:val="5DD565C1"/>
    <w:rsid w:val="5E084988"/>
    <w:rsid w:val="5E3C4E50"/>
    <w:rsid w:val="5F9963C0"/>
    <w:rsid w:val="5FBA32FE"/>
    <w:rsid w:val="610452EC"/>
    <w:rsid w:val="613D5781"/>
    <w:rsid w:val="61645568"/>
    <w:rsid w:val="6165490D"/>
    <w:rsid w:val="619E0218"/>
    <w:rsid w:val="61A63AFA"/>
    <w:rsid w:val="620769DF"/>
    <w:rsid w:val="62E972B1"/>
    <w:rsid w:val="62EA7244"/>
    <w:rsid w:val="62FC249E"/>
    <w:rsid w:val="630B1438"/>
    <w:rsid w:val="63273020"/>
    <w:rsid w:val="63732E8D"/>
    <w:rsid w:val="63BD108B"/>
    <w:rsid w:val="63C549EF"/>
    <w:rsid w:val="63E220BC"/>
    <w:rsid w:val="63E646FB"/>
    <w:rsid w:val="63FA0C12"/>
    <w:rsid w:val="64517B88"/>
    <w:rsid w:val="64740A1C"/>
    <w:rsid w:val="647941B9"/>
    <w:rsid w:val="64C818B1"/>
    <w:rsid w:val="65642A4A"/>
    <w:rsid w:val="65EC3539"/>
    <w:rsid w:val="6600255B"/>
    <w:rsid w:val="661F3BB0"/>
    <w:rsid w:val="664B00BF"/>
    <w:rsid w:val="66587BBE"/>
    <w:rsid w:val="666C1984"/>
    <w:rsid w:val="66701D49"/>
    <w:rsid w:val="66865344"/>
    <w:rsid w:val="66AB2AE5"/>
    <w:rsid w:val="66D70D38"/>
    <w:rsid w:val="66E14E69"/>
    <w:rsid w:val="66FD34EF"/>
    <w:rsid w:val="671C6F97"/>
    <w:rsid w:val="672F485A"/>
    <w:rsid w:val="67425C9B"/>
    <w:rsid w:val="67657623"/>
    <w:rsid w:val="676C342A"/>
    <w:rsid w:val="678B6139"/>
    <w:rsid w:val="678F45D8"/>
    <w:rsid w:val="67A630D7"/>
    <w:rsid w:val="6803677E"/>
    <w:rsid w:val="689174E5"/>
    <w:rsid w:val="68927DA1"/>
    <w:rsid w:val="689B0505"/>
    <w:rsid w:val="68B16D80"/>
    <w:rsid w:val="690B4BC5"/>
    <w:rsid w:val="690C0FED"/>
    <w:rsid w:val="69234E09"/>
    <w:rsid w:val="693A0FD5"/>
    <w:rsid w:val="69C355FC"/>
    <w:rsid w:val="6A063ACB"/>
    <w:rsid w:val="6A1F0B7F"/>
    <w:rsid w:val="6A2A7F80"/>
    <w:rsid w:val="6A4F1AA6"/>
    <w:rsid w:val="6A666116"/>
    <w:rsid w:val="6A697DC4"/>
    <w:rsid w:val="6A816BDE"/>
    <w:rsid w:val="6B944372"/>
    <w:rsid w:val="6C067157"/>
    <w:rsid w:val="6C611242"/>
    <w:rsid w:val="6C7768E3"/>
    <w:rsid w:val="6C8D5F9A"/>
    <w:rsid w:val="6CB24D95"/>
    <w:rsid w:val="6CD14066"/>
    <w:rsid w:val="6CD65400"/>
    <w:rsid w:val="6CEA6EED"/>
    <w:rsid w:val="6D5A3276"/>
    <w:rsid w:val="6D873DCA"/>
    <w:rsid w:val="6D903330"/>
    <w:rsid w:val="6DA25EEA"/>
    <w:rsid w:val="6DC777E9"/>
    <w:rsid w:val="6DE7369B"/>
    <w:rsid w:val="6DEC4153"/>
    <w:rsid w:val="6DEF5C7C"/>
    <w:rsid w:val="6E2D1998"/>
    <w:rsid w:val="6E353752"/>
    <w:rsid w:val="6E485C7E"/>
    <w:rsid w:val="6EA11F27"/>
    <w:rsid w:val="6EB25EEE"/>
    <w:rsid w:val="6EC437C4"/>
    <w:rsid w:val="6EE32DAC"/>
    <w:rsid w:val="6F39257A"/>
    <w:rsid w:val="6F735BDB"/>
    <w:rsid w:val="6F855291"/>
    <w:rsid w:val="70517319"/>
    <w:rsid w:val="705954D7"/>
    <w:rsid w:val="706A1FAC"/>
    <w:rsid w:val="70974AC6"/>
    <w:rsid w:val="70C142C7"/>
    <w:rsid w:val="70EE101F"/>
    <w:rsid w:val="70F63534"/>
    <w:rsid w:val="70FE2BC4"/>
    <w:rsid w:val="71173AA3"/>
    <w:rsid w:val="71326D2A"/>
    <w:rsid w:val="71483643"/>
    <w:rsid w:val="71680AE0"/>
    <w:rsid w:val="71AA1C71"/>
    <w:rsid w:val="71B47029"/>
    <w:rsid w:val="71E81D3B"/>
    <w:rsid w:val="71F2355A"/>
    <w:rsid w:val="7210413A"/>
    <w:rsid w:val="726319CC"/>
    <w:rsid w:val="72BD6280"/>
    <w:rsid w:val="72BF1E77"/>
    <w:rsid w:val="72DC145C"/>
    <w:rsid w:val="7309353A"/>
    <w:rsid w:val="73171C00"/>
    <w:rsid w:val="733C2543"/>
    <w:rsid w:val="73407947"/>
    <w:rsid w:val="734C5ECC"/>
    <w:rsid w:val="73CF0695"/>
    <w:rsid w:val="745B1D72"/>
    <w:rsid w:val="74BD64D6"/>
    <w:rsid w:val="74FB5878"/>
    <w:rsid w:val="750B116F"/>
    <w:rsid w:val="754233B3"/>
    <w:rsid w:val="75765CBC"/>
    <w:rsid w:val="75A50944"/>
    <w:rsid w:val="75D65090"/>
    <w:rsid w:val="76113AEC"/>
    <w:rsid w:val="763906BB"/>
    <w:rsid w:val="76965D14"/>
    <w:rsid w:val="76B71ACC"/>
    <w:rsid w:val="76BF0084"/>
    <w:rsid w:val="76EE77C9"/>
    <w:rsid w:val="770F524E"/>
    <w:rsid w:val="77186ED0"/>
    <w:rsid w:val="773B11DE"/>
    <w:rsid w:val="77442883"/>
    <w:rsid w:val="779D659C"/>
    <w:rsid w:val="779E12F4"/>
    <w:rsid w:val="77E038AD"/>
    <w:rsid w:val="77EC560D"/>
    <w:rsid w:val="78067BFE"/>
    <w:rsid w:val="782C0771"/>
    <w:rsid w:val="78332F95"/>
    <w:rsid w:val="785E4BC8"/>
    <w:rsid w:val="786B14A2"/>
    <w:rsid w:val="78751A8A"/>
    <w:rsid w:val="787C20D7"/>
    <w:rsid w:val="788C20F2"/>
    <w:rsid w:val="78C66BF7"/>
    <w:rsid w:val="78F351F9"/>
    <w:rsid w:val="78FA61FE"/>
    <w:rsid w:val="78FB4C2D"/>
    <w:rsid w:val="791135D0"/>
    <w:rsid w:val="791E0FC4"/>
    <w:rsid w:val="79D24DFF"/>
    <w:rsid w:val="79D356BC"/>
    <w:rsid w:val="79EF422C"/>
    <w:rsid w:val="7A046294"/>
    <w:rsid w:val="7A793A06"/>
    <w:rsid w:val="7AD77653"/>
    <w:rsid w:val="7B0B3DAD"/>
    <w:rsid w:val="7B1B2082"/>
    <w:rsid w:val="7B312B15"/>
    <w:rsid w:val="7B4056BC"/>
    <w:rsid w:val="7B61206E"/>
    <w:rsid w:val="7B68300F"/>
    <w:rsid w:val="7BA8012D"/>
    <w:rsid w:val="7BAD3DB7"/>
    <w:rsid w:val="7C53602D"/>
    <w:rsid w:val="7C5B7D97"/>
    <w:rsid w:val="7C7A27A4"/>
    <w:rsid w:val="7C873D6F"/>
    <w:rsid w:val="7C962A1F"/>
    <w:rsid w:val="7D560A57"/>
    <w:rsid w:val="7D5B4FF4"/>
    <w:rsid w:val="7D6776E0"/>
    <w:rsid w:val="7D893026"/>
    <w:rsid w:val="7D9A31A9"/>
    <w:rsid w:val="7DA73074"/>
    <w:rsid w:val="7DD42F08"/>
    <w:rsid w:val="7DF61596"/>
    <w:rsid w:val="7E1B3D5A"/>
    <w:rsid w:val="7E411280"/>
    <w:rsid w:val="7E5D4B45"/>
    <w:rsid w:val="7EC605D3"/>
    <w:rsid w:val="7F080939"/>
    <w:rsid w:val="7F2F5FA7"/>
    <w:rsid w:val="7F8A7EC4"/>
    <w:rsid w:val="7FD15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3">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4">
    <w:name w:val="annotation text"/>
    <w:basedOn w:val="1"/>
    <w:link w:val="26"/>
    <w:qFormat/>
    <w:uiPriority w:val="0"/>
    <w:pPr>
      <w:jc w:val="left"/>
    </w:pPr>
    <w:rPr>
      <w:rFonts w:ascii="Calibri" w:hAnsi="Calibri"/>
      <w:kern w:val="0"/>
      <w:sz w:val="20"/>
      <w:szCs w:val="20"/>
    </w:rPr>
  </w:style>
  <w:style w:type="paragraph" w:styleId="5">
    <w:name w:val="Plain Text"/>
    <w:basedOn w:val="1"/>
    <w:next w:val="1"/>
    <w:link w:val="31"/>
    <w:qFormat/>
    <w:uiPriority w:val="0"/>
    <w:rPr>
      <w:rFonts w:ascii="宋体" w:hAnsi="Courier New"/>
      <w:szCs w:val="24"/>
    </w:rPr>
  </w:style>
  <w:style w:type="paragraph" w:styleId="6">
    <w:name w:val="Balloon Text"/>
    <w:basedOn w:val="1"/>
    <w:link w:val="33"/>
    <w:qFormat/>
    <w:uiPriority w:val="0"/>
    <w:rPr>
      <w:sz w:val="18"/>
      <w:szCs w:val="18"/>
    </w:rPr>
  </w:style>
  <w:style w:type="paragraph" w:styleId="7">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Body Text 2"/>
    <w:basedOn w:val="1"/>
    <w:qFormat/>
    <w:uiPriority w:val="0"/>
    <w:rPr>
      <w:rFonts w:ascii="宋体" w:hAnsi="宋体"/>
      <w:kern w:val="0"/>
      <w:sz w:val="20"/>
      <w:szCs w:val="24"/>
      <w:u w:val="single"/>
    </w:rPr>
  </w:style>
  <w:style w:type="paragraph" w:styleId="10">
    <w:name w:val="Normal (Web)"/>
    <w:basedOn w:val="1"/>
    <w:unhideWhenUsed/>
    <w:qFormat/>
    <w:uiPriority w:val="99"/>
    <w:rPr>
      <w:sz w:val="24"/>
      <w:szCs w:val="24"/>
    </w:rPr>
  </w:style>
  <w:style w:type="paragraph" w:styleId="11">
    <w:name w:val="annotation subject"/>
    <w:basedOn w:val="4"/>
    <w:next w:val="4"/>
    <w:link w:val="28"/>
    <w:qFormat/>
    <w:uiPriority w:val="0"/>
    <w:rPr>
      <w:rFonts w:ascii="Times New Roman" w:hAnsi="Times New Roman"/>
      <w:b/>
      <w:bCs/>
      <w:kern w:val="2"/>
      <w:sz w:val="21"/>
      <w:szCs w:val="22"/>
    </w:rPr>
  </w:style>
  <w:style w:type="table" w:styleId="13">
    <w:name w:val="Table Grid"/>
    <w:basedOn w:val="1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FollowedHyperlink"/>
    <w:qFormat/>
    <w:uiPriority w:val="0"/>
    <w:rPr>
      <w:color w:val="000000"/>
      <w:u w:val="none"/>
    </w:rPr>
  </w:style>
  <w:style w:type="character" w:styleId="18">
    <w:name w:val="HTML Definition"/>
    <w:basedOn w:val="14"/>
    <w:qFormat/>
    <w:uiPriority w:val="0"/>
    <w:rPr>
      <w:i/>
    </w:rPr>
  </w:style>
  <w:style w:type="character" w:styleId="19">
    <w:name w:val="Hyperlink"/>
    <w:qFormat/>
    <w:uiPriority w:val="0"/>
    <w:rPr>
      <w:color w:val="000000"/>
      <w:u w:val="none"/>
    </w:rPr>
  </w:style>
  <w:style w:type="character" w:styleId="20">
    <w:name w:val="HTML Code"/>
    <w:basedOn w:val="14"/>
    <w:qFormat/>
    <w:uiPriority w:val="0"/>
    <w:rPr>
      <w:rFonts w:hint="default" w:ascii="Consolas" w:hAnsi="Consolas" w:eastAsia="Consolas" w:cs="Consolas"/>
      <w:color w:val="C7254E"/>
      <w:sz w:val="21"/>
      <w:szCs w:val="21"/>
      <w:bdr w:val="single" w:color="E1E1E1" w:sz="4" w:space="0"/>
      <w:shd w:val="clear" w:color="auto" w:fill="F9F2F4"/>
    </w:rPr>
  </w:style>
  <w:style w:type="character" w:styleId="21">
    <w:name w:val="annotation reference"/>
    <w:qFormat/>
    <w:uiPriority w:val="0"/>
    <w:rPr>
      <w:sz w:val="21"/>
      <w:szCs w:val="21"/>
    </w:rPr>
  </w:style>
  <w:style w:type="character" w:styleId="22">
    <w:name w:val="HTML Keyboard"/>
    <w:basedOn w:val="14"/>
    <w:qFormat/>
    <w:uiPriority w:val="0"/>
    <w:rPr>
      <w:rFonts w:ascii="Consolas" w:hAnsi="Consolas" w:eastAsia="Consolas" w:cs="Consolas"/>
      <w:color w:val="FFFFFF"/>
      <w:sz w:val="21"/>
      <w:szCs w:val="21"/>
      <w:shd w:val="clear" w:color="auto" w:fill="333333"/>
    </w:rPr>
  </w:style>
  <w:style w:type="character" w:styleId="23">
    <w:name w:val="HTML Sample"/>
    <w:basedOn w:val="14"/>
    <w:qFormat/>
    <w:uiPriority w:val="0"/>
    <w:rPr>
      <w:rFonts w:hint="default" w:ascii="Consolas" w:hAnsi="Consolas" w:eastAsia="Consolas" w:cs="Consolas"/>
      <w:sz w:val="21"/>
      <w:szCs w:val="21"/>
    </w:rPr>
  </w:style>
  <w:style w:type="character" w:customStyle="1" w:styleId="24">
    <w:name w:val="hover40"/>
    <w:basedOn w:val="14"/>
    <w:qFormat/>
    <w:uiPriority w:val="0"/>
  </w:style>
  <w:style w:type="character" w:customStyle="1" w:styleId="25">
    <w:name w:val="times1"/>
    <w:qFormat/>
    <w:uiPriority w:val="0"/>
    <w:rPr>
      <w:color w:val="CDCDCD"/>
      <w:bdr w:val="single" w:color="CDCDCD" w:sz="6" w:space="0"/>
      <w:shd w:val="clear" w:color="auto" w:fill="EFEFEF"/>
    </w:rPr>
  </w:style>
  <w:style w:type="character" w:customStyle="1" w:styleId="26">
    <w:name w:val="批注文字 Char"/>
    <w:basedOn w:val="14"/>
    <w:link w:val="4"/>
    <w:qFormat/>
    <w:uiPriority w:val="0"/>
  </w:style>
  <w:style w:type="character" w:customStyle="1" w:styleId="27">
    <w:name w:val="纯文本 Char"/>
    <w:qFormat/>
    <w:uiPriority w:val="0"/>
    <w:rPr>
      <w:rFonts w:ascii="宋体" w:hAnsi="Courier New" w:cs="Courier New"/>
      <w:kern w:val="2"/>
      <w:sz w:val="21"/>
      <w:szCs w:val="21"/>
    </w:rPr>
  </w:style>
  <w:style w:type="character" w:customStyle="1" w:styleId="28">
    <w:name w:val="批注主题 Char"/>
    <w:link w:val="11"/>
    <w:qFormat/>
    <w:uiPriority w:val="0"/>
    <w:rPr>
      <w:b/>
      <w:bCs/>
      <w:kern w:val="2"/>
      <w:sz w:val="21"/>
      <w:szCs w:val="22"/>
    </w:rPr>
  </w:style>
  <w:style w:type="character" w:customStyle="1" w:styleId="29">
    <w:name w:val="hover36"/>
    <w:basedOn w:val="14"/>
    <w:qFormat/>
    <w:uiPriority w:val="0"/>
  </w:style>
  <w:style w:type="character" w:customStyle="1" w:styleId="30">
    <w:name w:val="times"/>
    <w:qFormat/>
    <w:uiPriority w:val="0"/>
    <w:rPr>
      <w:color w:val="3399FF"/>
      <w:bdr w:val="single" w:color="D1EDF8" w:sz="6" w:space="0"/>
      <w:shd w:val="clear" w:color="auto" w:fill="EAF9FF"/>
    </w:rPr>
  </w:style>
  <w:style w:type="character" w:customStyle="1" w:styleId="31">
    <w:name w:val="纯文本 Char1"/>
    <w:link w:val="5"/>
    <w:qFormat/>
    <w:locked/>
    <w:uiPriority w:val="0"/>
    <w:rPr>
      <w:rFonts w:ascii="宋体" w:hAnsi="Courier New"/>
      <w:kern w:val="2"/>
      <w:sz w:val="21"/>
      <w:szCs w:val="24"/>
    </w:rPr>
  </w:style>
  <w:style w:type="character" w:customStyle="1" w:styleId="32">
    <w:name w:val="hover42"/>
    <w:basedOn w:val="14"/>
    <w:qFormat/>
    <w:uiPriority w:val="0"/>
  </w:style>
  <w:style w:type="character" w:customStyle="1" w:styleId="33">
    <w:name w:val="批注框文本 Char"/>
    <w:link w:val="6"/>
    <w:qFormat/>
    <w:uiPriority w:val="0"/>
    <w:rPr>
      <w:kern w:val="2"/>
      <w:sz w:val="18"/>
      <w:szCs w:val="18"/>
    </w:rPr>
  </w:style>
  <w:style w:type="character" w:customStyle="1" w:styleId="34">
    <w:name w:val="hover41"/>
    <w:basedOn w:val="14"/>
    <w:qFormat/>
    <w:uiPriority w:val="0"/>
  </w:style>
  <w:style w:type="paragraph" w:customStyle="1" w:styleId="35">
    <w:name w:val="发文落款"/>
    <w:basedOn w:val="36"/>
    <w:qFormat/>
    <w:uiPriority w:val="0"/>
    <w:pPr>
      <w:ind w:left="4094" w:right="607" w:firstLine="0"/>
      <w:jc w:val="center"/>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8">
    <w:name w:val="a1"/>
    <w:basedOn w:val="1"/>
    <w:qFormat/>
    <w:uiPriority w:val="0"/>
    <w:pPr>
      <w:widowControl/>
      <w:jc w:val="left"/>
    </w:pPr>
    <w:rPr>
      <w:rFonts w:ascii="宋体" w:hAnsi="宋体" w:cs="宋体"/>
      <w:kern w:val="0"/>
      <w:sz w:val="24"/>
      <w:szCs w:val="24"/>
    </w:rPr>
  </w:style>
  <w:style w:type="paragraph" w:styleId="39">
    <w:name w:val="List Paragraph"/>
    <w:basedOn w:val="1"/>
    <w:qFormat/>
    <w:uiPriority w:val="99"/>
    <w:pPr>
      <w:ind w:firstLine="420" w:firstLineChars="200"/>
    </w:pPr>
  </w:style>
  <w:style w:type="character" w:customStyle="1" w:styleId="40">
    <w:name w:val="title21"/>
    <w:basedOn w:val="14"/>
    <w:qFormat/>
    <w:uiPriority w:val="0"/>
  </w:style>
  <w:style w:type="character" w:customStyle="1" w:styleId="41">
    <w:name w:val="username"/>
    <w:basedOn w:val="14"/>
    <w:qFormat/>
    <w:uiPriority w:val="0"/>
  </w:style>
  <w:style w:type="paragraph" w:customStyle="1" w:styleId="42">
    <w:name w:val="样式 小四 行距: 1.5 倍行距"/>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5145</Words>
  <Characters>5446</Characters>
  <Lines>66</Lines>
  <Paragraphs>18</Paragraphs>
  <TotalTime>40</TotalTime>
  <ScaleCrop>false</ScaleCrop>
  <LinksUpToDate>false</LinksUpToDate>
  <CharactersWithSpaces>5698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2020-02-17T08:34:00Z</dcterms:created>
  <dcterms:modified xsi:type="dcterms:W3CDTF">2023-11-07T03:23:42Z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D3481DD1D0174CF9921682EB15132305_13</vt:lpwstr>
  </property>
</Properties>
</file>