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
      </w:pPr>
    </w:p>
    <w:p>
      <w:pPr>
        <w:jc w:val="center"/>
        <w:rPr>
          <w:rFonts w:hint="eastAsia" w:ascii="宋体" w:hAnsi="宋体" w:eastAsia="宋体" w:cs="宋体"/>
          <w:b/>
          <w:bCs w:val="0"/>
          <w:color w:val="auto"/>
          <w:kern w:val="2"/>
          <w:sz w:val="44"/>
          <w:szCs w:val="44"/>
          <w:highlight w:val="none"/>
          <w:lang w:val="en-US" w:eastAsia="zh-CN"/>
        </w:rPr>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bCs w:val="0"/>
          <w:color w:val="auto"/>
          <w:kern w:val="2"/>
          <w:sz w:val="44"/>
          <w:szCs w:val="44"/>
          <w:highlight w:val="none"/>
          <w:lang w:val="en-US" w:eastAsia="zh-CN"/>
        </w:rPr>
        <w:t>妈祖广场安全护栏及天后宫内零星维修维护项目</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bCs w:val="0"/>
          <w:i w:val="0"/>
          <w:caps w:val="0"/>
          <w:color w:val="auto"/>
          <w:spacing w:val="0"/>
          <w:w w:val="100"/>
          <w:kern w:val="2"/>
          <w:sz w:val="32"/>
          <w:szCs w:val="32"/>
          <w:highlight w:val="none"/>
          <w:lang w:val="en-US" w:eastAsia="zh-CN"/>
        </w:rPr>
        <w:t>广州市南沙</w:t>
      </w:r>
      <w:r>
        <w:rPr>
          <w:rFonts w:hint="eastAsia" w:ascii="宋体" w:hAnsi="宋体" w:eastAsia="宋体" w:cs="宋体"/>
          <w:b/>
          <w:color w:val="auto"/>
          <w:kern w:val="2"/>
          <w:sz w:val="32"/>
          <w:szCs w:val="32"/>
          <w:highlight w:val="none"/>
          <w:lang w:val="en-US" w:eastAsia="zh-CN"/>
        </w:rPr>
        <w:t>天后文化学会</w:t>
      </w:r>
      <w:r>
        <w:rPr>
          <w:rFonts w:hint="eastAsia" w:ascii="宋体" w:hAnsi="宋体" w:eastAsia="宋体" w:cs="宋体"/>
          <w:b/>
          <w:color w:val="auto"/>
          <w:sz w:val="32"/>
          <w:szCs w:val="32"/>
          <w:highlight w:val="none"/>
        </w:rPr>
        <w:t>（业主单位）</w:t>
      </w:r>
    </w:p>
    <w:p>
      <w:pPr>
        <w:spacing w:line="360" w:lineRule="auto"/>
        <w:ind w:firstLine="2528" w:firstLineChars="787"/>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11月</w:t>
      </w:r>
    </w:p>
    <w:p>
      <w:pPr>
        <w:rPr>
          <w:rFonts w:ascii="黑体" w:hAnsi="宋体" w:eastAsia="黑体" w:cs="黑体"/>
          <w:color w:val="auto"/>
          <w:sz w:val="36"/>
          <w:szCs w:val="36"/>
          <w:highlight w:val="none"/>
        </w:rPr>
        <w:sectPr>
          <w:footerReference r:id="rId3" w:type="default"/>
          <w:pgSz w:w="11906"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yellow"/>
        </w:rPr>
      </w:pPr>
    </w:p>
    <w:bookmarkEnd w:id="0"/>
    <w:sdt>
      <w:sdtPr>
        <w:rPr>
          <w:rFonts w:hint="eastAsia" w:ascii="宋体" w:hAnsi="宋体" w:eastAsia="宋体" w:cs="宋体"/>
          <w:color w:val="auto"/>
          <w:sz w:val="24"/>
          <w:highlight w:val="yellow"/>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24"/>
              <w:szCs w:val="24"/>
              <w:highlight w:val="none"/>
            </w:rPr>
          </w:pPr>
          <w:r>
            <w:rPr>
              <w:rFonts w:hint="eastAsia" w:ascii="宋体" w:hAnsi="宋体" w:eastAsia="宋体"/>
              <w:b/>
              <w:bCs/>
              <w:color w:val="auto"/>
              <w:sz w:val="36"/>
              <w:szCs w:val="36"/>
              <w:highlight w:val="none"/>
            </w:rPr>
            <w:t>目</w:t>
          </w:r>
          <w:r>
            <w:rPr>
              <w:rFonts w:hint="default" w:ascii="宋体" w:hAnsi="宋体" w:eastAsia="宋体"/>
              <w:b/>
              <w:bCs/>
              <w:color w:val="auto"/>
              <w:sz w:val="36"/>
              <w:szCs w:val="36"/>
              <w:highlight w:val="none"/>
            </w:rPr>
            <w:t xml:space="preserve"> </w:t>
          </w:r>
          <w:r>
            <w:rPr>
              <w:rFonts w:hint="eastAsia" w:ascii="宋体" w:hAnsi="宋体" w:eastAsia="宋体"/>
              <w:b/>
              <w:bCs/>
              <w:color w:val="auto"/>
              <w:sz w:val="36"/>
              <w:szCs w:val="36"/>
              <w:highlight w:val="none"/>
            </w:rPr>
            <w:t>录</w:t>
          </w:r>
        </w:p>
        <w:p>
          <w:pPr>
            <w:pStyle w:val="16"/>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_Toc8549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6"/>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_Toc8409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_Toc8409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6"/>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_Toc27735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_Toc27735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6"/>
            <w:tabs>
              <w:tab w:val="right" w:leader="dot" w:pos="9419"/>
            </w:tabs>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_Toc23233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6"/>
            <w:tabs>
              <w:tab w:val="right" w:leader="dot" w:pos="9419"/>
            </w:tabs>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_Toc20865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hAnsi="宋体" w:cs="宋体"/>
              <w:color w:val="auto"/>
              <w:sz w:val="24"/>
              <w:szCs w:val="24"/>
              <w:highlight w:val="none"/>
              <w:lang w:val="en-US" w:eastAsia="zh-CN"/>
            </w:rPr>
            <w:t>31</w:t>
          </w:r>
        </w:p>
        <w:p>
          <w:pPr>
            <w:pStyle w:val="16"/>
            <w:tabs>
              <w:tab w:val="right" w:leader="dot" w:pos="9419"/>
            </w:tabs>
            <w:rPr>
              <w:rFonts w:hint="eastAsia" w:ascii="宋体" w:hAnsi="宋体" w:eastAsia="宋体" w:cs="宋体"/>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after="0"/>
        <w:ind w:firstLine="0"/>
        <w:rPr>
          <w:rFonts w:hint="eastAsia" w:asciiTheme="minorEastAsia" w:hAnsiTheme="minorEastAsia" w:eastAsiaTheme="minorEastAsia" w:cstheme="minorEastAsia"/>
          <w:color w:val="auto"/>
          <w:sz w:val="24"/>
          <w:szCs w:val="24"/>
          <w:highlight w:val="none"/>
        </w:rPr>
        <w:sectPr>
          <w:pgSz w:w="11915" w:h="16840"/>
          <w:pgMar w:top="1247" w:right="1135" w:bottom="1247" w:left="1361" w:header="720" w:footer="720" w:gutter="0"/>
          <w:cols w:space="425" w:num="1"/>
          <w:docGrid w:type="lines" w:linePitch="285" w:charSpace="0"/>
        </w:sectPr>
      </w:pPr>
      <w:r>
        <w:rPr>
          <w:rFonts w:hint="eastAsia" w:asciiTheme="minorEastAsia" w:hAnsiTheme="minorEastAsia" w:eastAsiaTheme="minorEastAsia" w:cstheme="minorEastAsia"/>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0698"/>
      <w:bookmarkStart w:id="3" w:name="_Toc13302"/>
      <w:bookmarkStart w:id="4" w:name="_Toc374128472"/>
      <w:bookmarkStart w:id="5" w:name="_Toc13388"/>
      <w:bookmarkStart w:id="6" w:name="_Toc854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8"/>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default" w:ascii="宋体" w:hAnsi="宋体" w:eastAsia="宋体" w:cs="宋体"/>
                <w:color w:val="auto"/>
                <w:highlight w:val="none"/>
                <w:u w:val="none"/>
                <w:lang w:val="en-US" w:eastAsia="zh-CN"/>
              </w:rPr>
            </w:pPr>
            <w:r>
              <w:rPr>
                <w:rFonts w:hint="eastAsia" w:ascii="宋体" w:hAnsi="宋体" w:eastAsia="宋体" w:cs="宋体"/>
                <w:b w:val="0"/>
                <w:bCs w:val="0"/>
                <w:color w:val="auto"/>
                <w:kern w:val="2"/>
                <w:sz w:val="21"/>
                <w:szCs w:val="21"/>
                <w:highlight w:val="none"/>
                <w:u w:val="none"/>
                <w:lang w:val="en-US" w:eastAsia="zh-CN"/>
              </w:rPr>
              <w:t>妈祖广场安全护栏及天后宫内零星维修维护项目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广州市南沙区天后宫景区内</w:t>
            </w:r>
          </w:p>
        </w:tc>
      </w:tr>
      <w:tr>
        <w:tblPrEx>
          <w:tblCellMar>
            <w:top w:w="0" w:type="dxa"/>
            <w:left w:w="108" w:type="dxa"/>
            <w:bottom w:w="0" w:type="dxa"/>
            <w:right w:w="108" w:type="dxa"/>
          </w:tblCellMar>
        </w:tblPrEx>
        <w:trPr>
          <w:trHeight w:val="1661"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spacing w:line="440" w:lineRule="exact"/>
              <w:ind w:firstLine="0" w:firstLineChars="0"/>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position w:val="0"/>
                <w:sz w:val="21"/>
                <w:szCs w:val="21"/>
                <w:highlight w:val="none"/>
                <w:u w:val="none"/>
                <w:lang w:bidi="ar"/>
              </w:rPr>
              <w:t>目前天后宫妈祖广场多处缺少护栏及周边零星护坡受损，不符合现时安全生产标准和要求</w:t>
            </w:r>
            <w:r>
              <w:rPr>
                <w:rFonts w:hint="eastAsia" w:ascii="宋体" w:hAnsi="宋体" w:eastAsia="宋体" w:cs="宋体"/>
                <w:color w:val="auto"/>
                <w:kern w:val="2"/>
                <w:position w:val="0"/>
                <w:sz w:val="21"/>
                <w:szCs w:val="21"/>
                <w:highlight w:val="none"/>
                <w:u w:val="none"/>
                <w:lang w:eastAsia="zh-CN" w:bidi="ar"/>
              </w:rPr>
              <w:t>。</w:t>
            </w:r>
            <w:r>
              <w:rPr>
                <w:rFonts w:hint="eastAsia" w:ascii="宋体" w:hAnsi="宋体" w:eastAsia="宋体" w:cs="宋体"/>
                <w:color w:val="auto"/>
                <w:kern w:val="2"/>
                <w:position w:val="0"/>
                <w:sz w:val="21"/>
                <w:szCs w:val="21"/>
                <w:highlight w:val="none"/>
                <w:u w:val="none"/>
                <w:lang w:bidi="ar"/>
              </w:rPr>
              <w:t>随着游客的不断增加，缺失安全石护栏区域会存在一定的安全隐患</w:t>
            </w:r>
            <w:r>
              <w:rPr>
                <w:rFonts w:hint="eastAsia" w:ascii="宋体" w:hAnsi="宋体" w:eastAsia="宋体" w:cs="宋体"/>
                <w:color w:val="auto"/>
                <w:kern w:val="2"/>
                <w:position w:val="0"/>
                <w:sz w:val="21"/>
                <w:szCs w:val="21"/>
                <w:highlight w:val="none"/>
                <w:u w:val="none"/>
                <w:lang w:eastAsia="zh-CN" w:bidi="ar"/>
              </w:rPr>
              <w:t>。</w:t>
            </w:r>
            <w:r>
              <w:rPr>
                <w:rFonts w:hint="eastAsia" w:ascii="宋体" w:hAnsi="宋体" w:eastAsia="宋体" w:cs="宋体"/>
                <w:color w:val="auto"/>
                <w:kern w:val="2"/>
                <w:position w:val="0"/>
                <w:sz w:val="21"/>
                <w:szCs w:val="21"/>
                <w:highlight w:val="none"/>
                <w:u w:val="none"/>
                <w:lang w:bidi="ar"/>
              </w:rPr>
              <w:t>为进一步提升整体景观环境和服务水平</w:t>
            </w:r>
            <w:r>
              <w:rPr>
                <w:rFonts w:hint="eastAsia" w:ascii="宋体" w:hAnsi="宋体" w:eastAsia="宋体" w:cs="宋体"/>
                <w:color w:val="auto"/>
                <w:kern w:val="2"/>
                <w:position w:val="0"/>
                <w:sz w:val="21"/>
                <w:szCs w:val="21"/>
                <w:highlight w:val="none"/>
                <w:u w:val="none"/>
                <w:lang w:eastAsia="zh-CN" w:bidi="ar"/>
              </w:rPr>
              <w:t>，</w:t>
            </w:r>
            <w:r>
              <w:rPr>
                <w:rFonts w:hint="eastAsia" w:ascii="宋体" w:hAnsi="宋体" w:eastAsia="宋体" w:cs="宋体"/>
                <w:color w:val="auto"/>
                <w:kern w:val="2"/>
                <w:position w:val="0"/>
                <w:sz w:val="21"/>
                <w:szCs w:val="21"/>
                <w:highlight w:val="none"/>
                <w:u w:val="none"/>
                <w:lang w:bidi="ar"/>
              </w:rPr>
              <w:t>增强游客体验感和消除安全隐患</w:t>
            </w:r>
            <w:r>
              <w:rPr>
                <w:rFonts w:hint="eastAsia" w:ascii="宋体" w:hAnsi="宋体" w:eastAsia="宋体" w:cs="宋体"/>
                <w:color w:val="auto"/>
                <w:kern w:val="2"/>
                <w:position w:val="0"/>
                <w:sz w:val="21"/>
                <w:szCs w:val="21"/>
                <w:highlight w:val="none"/>
                <w:u w:val="none"/>
                <w:lang w:eastAsia="zh-CN" w:bidi="ar"/>
              </w:rPr>
              <w:t>，</w:t>
            </w:r>
            <w:r>
              <w:rPr>
                <w:rFonts w:hint="eastAsia" w:ascii="宋体" w:hAnsi="宋体" w:eastAsia="宋体" w:cs="宋体"/>
                <w:color w:val="auto"/>
                <w:kern w:val="2"/>
                <w:position w:val="0"/>
                <w:sz w:val="21"/>
                <w:szCs w:val="21"/>
                <w:highlight w:val="none"/>
                <w:u w:val="none"/>
                <w:lang w:bidi="ar"/>
              </w:rPr>
              <w:t>拟</w:t>
            </w:r>
            <w:r>
              <w:rPr>
                <w:rFonts w:hint="eastAsia" w:ascii="宋体" w:hAnsi="宋体" w:eastAsia="宋体" w:cs="宋体"/>
                <w:color w:val="auto"/>
                <w:kern w:val="2"/>
                <w:sz w:val="21"/>
                <w:szCs w:val="21"/>
                <w:highlight w:val="none"/>
                <w:lang w:val="en-US" w:eastAsia="zh-CN" w:bidi="ar"/>
              </w:rPr>
              <w:t>对妈祖广场安全护栏、南沙古人旧栏杆、天后湖区域栏杆等</w:t>
            </w:r>
            <w:r>
              <w:rPr>
                <w:rFonts w:hint="eastAsia" w:ascii="宋体" w:hAnsi="宋体" w:eastAsia="宋体" w:cs="宋体"/>
                <w:color w:val="auto"/>
                <w:kern w:val="2"/>
                <w:sz w:val="21"/>
                <w:szCs w:val="21"/>
                <w:highlight w:val="none"/>
                <w:u w:val="none"/>
                <w:lang w:val="en-US" w:eastAsia="zh-CN" w:bidi="ar"/>
              </w:rPr>
              <w:t>项目</w:t>
            </w:r>
            <w:r>
              <w:rPr>
                <w:rFonts w:hint="eastAsia" w:ascii="宋体" w:hAnsi="宋体" w:eastAsia="宋体" w:cs="宋体"/>
                <w:color w:val="auto"/>
                <w:kern w:val="2"/>
                <w:sz w:val="21"/>
                <w:szCs w:val="21"/>
                <w:highlight w:val="none"/>
                <w:lang w:val="en-US" w:eastAsia="zh-CN" w:bidi="ar"/>
              </w:rPr>
              <w:t>进行维修</w:t>
            </w:r>
            <w:r>
              <w:rPr>
                <w:rFonts w:hint="eastAsia" w:ascii="宋体" w:hAnsi="宋体" w:eastAsia="宋体" w:cs="宋体"/>
                <w:color w:val="auto"/>
                <w:kern w:val="2"/>
                <w:sz w:val="21"/>
                <w:szCs w:val="21"/>
                <w:highlight w:val="none"/>
                <w:u w:val="none"/>
                <w:lang w:val="en-US" w:eastAsia="zh-CN" w:bidi="ar"/>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shd w:val="clear"/>
                <w:lang w:val="en-US" w:eastAsia="zh-CN"/>
              </w:rPr>
              <w:t>34.4</w:t>
            </w:r>
            <w:r>
              <w:rPr>
                <w:rFonts w:hint="eastAsia" w:ascii="宋体" w:hAnsi="宋体" w:eastAsia="宋体" w:cs="宋体"/>
                <w:color w:val="auto"/>
                <w:sz w:val="21"/>
                <w:szCs w:val="21"/>
                <w:highlight w:val="none"/>
                <w:u w:val="none"/>
              </w:rPr>
              <w:t>万元</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129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spacing w:line="440" w:lineRule="exact"/>
              <w:jc w:val="left"/>
              <w:rPr>
                <w:rFonts w:hint="eastAsia" w:ascii="宋体" w:hAnsi="宋体" w:eastAsia="宋体" w:cs="宋体"/>
                <w:color w:val="auto"/>
                <w:kern w:val="2"/>
                <w:sz w:val="21"/>
                <w:szCs w:val="21"/>
                <w:highlight w:val="none"/>
                <w:u w:val="none"/>
              </w:rPr>
            </w:pPr>
            <w:r>
              <w:rPr>
                <w:rFonts w:hint="eastAsia" w:ascii="宋体" w:hAnsi="宋体" w:eastAsia="宋体" w:cs="宋体"/>
                <w:bCs w:val="0"/>
                <w:color w:val="auto"/>
                <w:sz w:val="21"/>
                <w:szCs w:val="21"/>
                <w:highlight w:val="none"/>
                <w:u w:val="none"/>
                <w:lang w:val="en-US" w:eastAsia="zh-CN"/>
              </w:rPr>
              <w:t>包括但不限于：</w:t>
            </w:r>
            <w:r>
              <w:rPr>
                <w:rFonts w:hint="eastAsia" w:ascii="宋体" w:hAnsi="宋体" w:eastAsia="宋体" w:cs="宋体"/>
                <w:color w:val="auto"/>
                <w:kern w:val="2"/>
                <w:position w:val="0"/>
                <w:sz w:val="21"/>
                <w:szCs w:val="21"/>
                <w:highlight w:val="none"/>
              </w:rPr>
              <w:t>妈祖广场增加安全护栏石质栏板116.15米</w:t>
            </w:r>
            <w:r>
              <w:rPr>
                <w:rFonts w:hint="eastAsia" w:ascii="宋体" w:hAnsi="宋体" w:eastAsia="宋体" w:cs="宋体"/>
                <w:color w:val="auto"/>
                <w:kern w:val="2"/>
                <w:position w:val="0"/>
                <w:sz w:val="21"/>
                <w:szCs w:val="21"/>
                <w:highlight w:val="none"/>
                <w:u w:val="none"/>
                <w:lang w:val="en-US" w:eastAsia="zh-CN"/>
              </w:rPr>
              <w:t>;</w:t>
            </w:r>
            <w:r>
              <w:rPr>
                <w:rFonts w:hint="eastAsia" w:ascii="宋体" w:hAnsi="宋体" w:eastAsia="宋体" w:cs="宋体"/>
                <w:color w:val="auto"/>
                <w:kern w:val="2"/>
                <w:position w:val="0"/>
                <w:sz w:val="21"/>
                <w:szCs w:val="21"/>
                <w:highlight w:val="none"/>
              </w:rPr>
              <w:t xml:space="preserve"> </w:t>
            </w:r>
            <w:r>
              <w:rPr>
                <w:rFonts w:hint="eastAsia" w:ascii="宋体" w:hAnsi="宋体" w:eastAsia="宋体" w:cs="宋体"/>
                <w:color w:val="auto"/>
                <w:kern w:val="2"/>
                <w:position w:val="0"/>
                <w:sz w:val="21"/>
                <w:szCs w:val="21"/>
                <w:highlight w:val="none"/>
                <w:u w:val="none"/>
                <w:lang w:val="en-US" w:eastAsia="zh-CN"/>
              </w:rPr>
              <w:t>对</w:t>
            </w:r>
            <w:r>
              <w:rPr>
                <w:rFonts w:hint="eastAsia" w:ascii="宋体" w:hAnsi="宋体" w:eastAsia="宋体" w:cs="宋体"/>
                <w:color w:val="auto"/>
                <w:kern w:val="2"/>
                <w:position w:val="0"/>
                <w:sz w:val="21"/>
                <w:szCs w:val="21"/>
                <w:highlight w:val="none"/>
              </w:rPr>
              <w:t>南沙古人旧栏杆进行维护维修，增加钢筋砼挡土墙10.6米</w:t>
            </w:r>
            <w:r>
              <w:rPr>
                <w:rFonts w:hint="eastAsia" w:ascii="宋体" w:hAnsi="宋体" w:eastAsia="宋体" w:cs="宋体"/>
                <w:color w:val="auto"/>
                <w:kern w:val="2"/>
                <w:position w:val="0"/>
                <w:sz w:val="21"/>
                <w:szCs w:val="21"/>
                <w:highlight w:val="none"/>
                <w:u w:val="none"/>
                <w:lang w:eastAsia="zh-CN"/>
              </w:rPr>
              <w:t>;</w:t>
            </w:r>
            <w:r>
              <w:rPr>
                <w:rFonts w:hint="eastAsia" w:ascii="宋体" w:hAnsi="宋体" w:eastAsia="宋体" w:cs="宋体"/>
                <w:color w:val="auto"/>
                <w:kern w:val="2"/>
                <w:position w:val="0"/>
                <w:sz w:val="21"/>
                <w:szCs w:val="21"/>
                <w:highlight w:val="none"/>
              </w:rPr>
              <w:t>对天后山门水箱边增加钢筋砼挡土墙13米</w:t>
            </w:r>
            <w:r>
              <w:rPr>
                <w:rFonts w:hint="eastAsia" w:ascii="宋体" w:hAnsi="宋体" w:eastAsia="宋体" w:cs="宋体"/>
                <w:color w:val="auto"/>
                <w:kern w:val="2"/>
                <w:position w:val="0"/>
                <w:sz w:val="21"/>
                <w:szCs w:val="21"/>
                <w:highlight w:val="none"/>
                <w:u w:val="none"/>
                <w:lang w:eastAsia="zh-CN"/>
              </w:rPr>
              <w:t>;</w:t>
            </w:r>
            <w:r>
              <w:rPr>
                <w:rFonts w:hint="eastAsia" w:ascii="宋体" w:hAnsi="宋体" w:eastAsia="宋体" w:cs="宋体"/>
                <w:color w:val="auto"/>
                <w:kern w:val="2"/>
                <w:position w:val="0"/>
                <w:sz w:val="21"/>
                <w:szCs w:val="21"/>
                <w:highlight w:val="none"/>
              </w:rPr>
              <w:t>对天后湖停车场区域栏杆底座加高石质挡土墙，长度105米。</w:t>
            </w:r>
            <w:r>
              <w:rPr>
                <w:rFonts w:hint="eastAsia" w:ascii="宋体" w:hAnsi="宋体" w:eastAsia="宋体" w:cs="宋体"/>
                <w:color w:val="auto"/>
                <w:spacing w:val="0"/>
                <w:sz w:val="21"/>
                <w:szCs w:val="21"/>
                <w:highlight w:val="none"/>
                <w:u w:val="none"/>
                <w:lang w:val="en-US" w:eastAsia="zh-CN"/>
              </w:rPr>
              <w:t>具体</w:t>
            </w:r>
            <w:r>
              <w:rPr>
                <w:rFonts w:hint="eastAsia" w:ascii="宋体" w:hAnsi="宋体" w:eastAsia="宋体" w:cs="宋体"/>
                <w:color w:val="auto"/>
                <w:spacing w:val="0"/>
                <w:sz w:val="21"/>
                <w:szCs w:val="21"/>
                <w:highlight w:val="none"/>
                <w:lang w:val="en-US" w:eastAsia="zh-CN"/>
              </w:rPr>
              <w:t>以工程量清单为准。</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自合同签订之日起15个</w:t>
            </w:r>
            <w:r>
              <w:rPr>
                <w:rFonts w:hint="eastAsia" w:ascii="宋体" w:hAnsi="宋体" w:eastAsia="宋体" w:cs="宋体"/>
                <w:color w:val="auto"/>
                <w:kern w:val="2"/>
                <w:sz w:val="21"/>
                <w:szCs w:val="21"/>
                <w:highlight w:val="none"/>
                <w:u w:val="none"/>
                <w:lang w:val="en-US" w:eastAsia="zh-CN" w:bidi="ar-SA"/>
              </w:rPr>
              <w:t>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u w:val="none"/>
                <w:shd w:val="clear"/>
              </w:rPr>
              <w:t>投标人</w:t>
            </w:r>
            <w:r>
              <w:rPr>
                <w:rFonts w:hint="eastAsia" w:ascii="宋体" w:hAnsi="宋体" w:eastAsia="宋体" w:cs="宋体"/>
                <w:bCs w:val="0"/>
                <w:i w:val="0"/>
                <w:iCs w:val="0"/>
                <w:caps w:val="0"/>
                <w:color w:val="auto"/>
                <w:spacing w:val="0"/>
                <w:sz w:val="21"/>
                <w:szCs w:val="21"/>
                <w:highlight w:val="none"/>
                <w:u w:val="none"/>
                <w:shd w:val="clear"/>
                <w:lang w:val="en-US" w:eastAsia="zh-CN"/>
              </w:rPr>
              <w:t>须</w:t>
            </w:r>
            <w:r>
              <w:rPr>
                <w:rFonts w:hint="eastAsia" w:ascii="宋体" w:hAnsi="宋体" w:eastAsia="宋体" w:cs="宋体"/>
                <w:bCs w:val="0"/>
                <w:i w:val="0"/>
                <w:iCs w:val="0"/>
                <w:caps w:val="0"/>
                <w:color w:val="auto"/>
                <w:spacing w:val="0"/>
                <w:sz w:val="21"/>
                <w:szCs w:val="21"/>
                <w:highlight w:val="none"/>
                <w:u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u w:val="none"/>
                <w:shd w:val="clear"/>
                <w:lang w:val="en-US" w:eastAsia="zh-CN"/>
              </w:rPr>
              <w:t>三</w:t>
            </w:r>
            <w:r>
              <w:rPr>
                <w:rFonts w:hint="eastAsia" w:ascii="宋体" w:hAnsi="宋体" w:eastAsia="宋体" w:cs="宋体"/>
                <w:bCs w:val="0"/>
                <w:i w:val="0"/>
                <w:iCs w:val="0"/>
                <w:caps w:val="0"/>
                <w:color w:val="auto"/>
                <w:spacing w:val="0"/>
                <w:sz w:val="21"/>
                <w:szCs w:val="21"/>
                <w:highlight w:val="none"/>
                <w:u w:val="none"/>
                <w:shd w:val="clear"/>
              </w:rPr>
              <w:t>级</w:t>
            </w:r>
            <w:r>
              <w:rPr>
                <w:rFonts w:hint="eastAsia" w:ascii="宋体" w:hAnsi="宋体" w:eastAsia="宋体" w:cs="宋体"/>
                <w:bCs w:val="0"/>
                <w:i w:val="0"/>
                <w:iCs w:val="0"/>
                <w:caps w:val="0"/>
                <w:color w:val="auto"/>
                <w:spacing w:val="0"/>
                <w:sz w:val="21"/>
                <w:szCs w:val="21"/>
                <w:highlight w:val="none"/>
                <w:u w:val="none"/>
                <w:shd w:val="clear"/>
                <w:lang w:val="en-US" w:eastAsia="zh-CN"/>
              </w:rPr>
              <w:t>或</w:t>
            </w:r>
            <w:r>
              <w:rPr>
                <w:rFonts w:hint="eastAsia" w:ascii="宋体" w:hAnsi="宋体" w:eastAsia="宋体" w:cs="宋体"/>
                <w:bCs w:val="0"/>
                <w:i w:val="0"/>
                <w:iCs w:val="0"/>
                <w:caps w:val="0"/>
                <w:color w:val="auto"/>
                <w:spacing w:val="0"/>
                <w:sz w:val="21"/>
                <w:szCs w:val="21"/>
                <w:highlight w:val="none"/>
                <w:u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u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153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1"/>
                <w:numId w:val="0"/>
              </w:numPr>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cs="宋体"/>
                <w:color w:val="auto"/>
                <w:highlight w:val="none"/>
              </w:rPr>
            </w:pPr>
            <w:r>
              <w:rPr>
                <w:rFonts w:hint="eastAsia" w:ascii="宋体" w:hAnsi="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yellow"/>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335972</w:t>
            </w:r>
            <w:r>
              <w:rPr>
                <w:rFonts w:ascii="宋体" w:hAnsi="宋体" w:eastAsia="宋体" w:cs="宋体"/>
                <w:color w:val="auto"/>
                <w:kern w:val="2"/>
                <w:position w:val="0"/>
                <w:sz w:val="21"/>
                <w:szCs w:val="21"/>
                <w:highlight w:val="none"/>
                <w:u w:val="none"/>
              </w:rPr>
              <w:t>.</w:t>
            </w:r>
            <w:r>
              <w:rPr>
                <w:rFonts w:hint="eastAsia" w:ascii="宋体" w:hAnsi="宋体" w:eastAsia="宋体" w:cs="宋体"/>
                <w:color w:val="auto"/>
                <w:kern w:val="2"/>
                <w:position w:val="0"/>
                <w:sz w:val="21"/>
                <w:szCs w:val="21"/>
                <w:highlight w:val="none"/>
                <w:u w:val="none"/>
                <w:lang w:val="en-US" w:eastAsia="zh-CN"/>
              </w:rPr>
              <w:t>76</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叁拾叁万伍仟玖佰柒拾贰元柒角陆分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24510.56</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6</w:t>
            </w:r>
            <w:r>
              <w:rPr>
                <w:rFonts w:hint="eastAsia" w:ascii="宋体" w:hAnsi="宋体" w:eastAsia="宋体" w:cs="宋体"/>
                <w:color w:val="auto"/>
                <w:kern w:val="2"/>
                <w:sz w:val="21"/>
                <w:szCs w:val="21"/>
                <w:highlight w:val="none"/>
                <w:u w:val="none"/>
                <w:lang w:val="en-US" w:eastAsia="zh-CN" w:bidi="ar-SA"/>
              </w:rPr>
              <w:t>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pPr>
            <w:r>
              <w:rPr>
                <w:rFonts w:hint="eastAsia"/>
              </w:rPr>
              <w:t>1、金额：人民币</w:t>
            </w:r>
            <w:r>
              <w:rPr>
                <w:rFonts w:hint="eastAsia"/>
                <w:lang w:val="en-US" w:eastAsia="zh-CN"/>
              </w:rPr>
              <w:t>伍仟</w:t>
            </w:r>
            <w:r>
              <w:rPr>
                <w:rFonts w:hint="eastAsia"/>
              </w:rPr>
              <w:t>元。</w:t>
            </w:r>
          </w:p>
          <w:p>
            <w:pPr>
              <w:numPr>
                <w:ilvl w:val="-1"/>
                <w:numId w:val="0"/>
              </w:numPr>
              <w:adjustRightInd w:val="0"/>
              <w:snapToGrid w:val="0"/>
              <w:spacing w:line="360" w:lineRule="auto"/>
              <w:rPr>
                <w:rFonts w:hint="eastAsia"/>
                <w:lang w:eastAsia="zh-CN"/>
              </w:rPr>
            </w:pPr>
            <w:r>
              <w:rPr>
                <w:rFonts w:hint="eastAsia"/>
              </w:rPr>
              <w:t>2、缴纳方式：</w:t>
            </w:r>
            <w:r>
              <w:rPr>
                <w:rFonts w:hint="eastAsia"/>
                <w:lang w:eastAsia="zh-CN"/>
              </w:rPr>
              <w:t>银行转账。</w:t>
            </w:r>
          </w:p>
          <w:p>
            <w:pPr>
              <w:numPr>
                <w:ilvl w:val="-1"/>
                <w:numId w:val="0"/>
              </w:numPr>
              <w:adjustRightInd w:val="0"/>
              <w:spacing w:line="360" w:lineRule="auto"/>
              <w:rPr>
                <w:rFonts w:hint="eastAsia"/>
                <w:lang w:eastAsia="zh-CN"/>
              </w:rPr>
            </w:pPr>
            <w:r>
              <w:rPr>
                <w:rFonts w:hint="eastAsia"/>
              </w:rPr>
              <w:t>账户名称：</w:t>
            </w:r>
            <w:r>
              <w:t>广州南沙</w:t>
            </w:r>
            <w:r>
              <w:rPr>
                <w:rFonts w:hint="eastAsia"/>
                <w:lang w:val="en-US" w:eastAsia="zh-CN"/>
              </w:rPr>
              <w:t>旅游发展</w:t>
            </w:r>
            <w:r>
              <w:t>有限公司</w:t>
            </w:r>
          </w:p>
          <w:p>
            <w:pPr>
              <w:numPr>
                <w:ilvl w:val="-1"/>
                <w:numId w:val="0"/>
              </w:numPr>
              <w:adjustRightInd w:val="0"/>
              <w:spacing w:line="360" w:lineRule="auto"/>
              <w:rPr>
                <w:rFonts w:hint="default"/>
                <w:lang w:eastAsia="zh-CN"/>
              </w:rPr>
            </w:pPr>
            <w:r>
              <w:rPr>
                <w:rFonts w:hint="eastAsia"/>
              </w:rPr>
              <w:t>开户银行：</w:t>
            </w:r>
            <w:r>
              <w:rPr>
                <w:rFonts w:hint="default"/>
              </w:rPr>
              <w:t>中国银行广州南沙科技园区支行</w:t>
            </w:r>
            <w:r>
              <w:rPr>
                <w:rFonts w:hint="default"/>
                <w:lang w:val="en-US" w:eastAsia="zh-CN"/>
              </w:rPr>
              <w:t xml:space="preserve"> </w:t>
            </w:r>
          </w:p>
          <w:p>
            <w:pPr>
              <w:numPr>
                <w:ilvl w:val="-1"/>
                <w:numId w:val="0"/>
              </w:numPr>
              <w:adjustRightInd w:val="0"/>
              <w:spacing w:line="360" w:lineRule="auto"/>
              <w:rPr>
                <w:rFonts w:hint="default"/>
                <w:lang w:val="en-US" w:eastAsia="zh-CN"/>
              </w:rPr>
            </w:pPr>
            <w:r>
              <w:rPr>
                <w:rFonts w:hint="eastAsia"/>
              </w:rPr>
              <w:t>账号</w:t>
            </w:r>
            <w:r>
              <w:rPr>
                <w:rFonts w:hint="default"/>
              </w:rPr>
              <w:t>：644457756045</w:t>
            </w:r>
          </w:p>
          <w:p>
            <w:pPr>
              <w:numPr>
                <w:ilvl w:val="-1"/>
                <w:numId w:val="0"/>
              </w:numPr>
              <w:adjustRightInd w:val="0"/>
              <w:snapToGrid w:val="0"/>
              <w:spacing w:line="360" w:lineRule="auto"/>
              <w:rPr>
                <w:rFonts w:hint="eastAsia"/>
              </w:rPr>
            </w:pPr>
            <w:r>
              <w:rPr>
                <w:rFonts w:hint="eastAsia"/>
                <w:lang w:val="en-US" w:eastAsia="zh-CN"/>
              </w:rPr>
              <w:t>3、</w:t>
            </w:r>
            <w:r>
              <w:rPr>
                <w:rFonts w:hint="eastAsia"/>
              </w:rPr>
              <w:t>缴纳时间：投标单位须在202</w:t>
            </w:r>
            <w:r>
              <w:rPr>
                <w:rFonts w:hint="eastAsia"/>
                <w:lang w:val="en-US" w:eastAsia="zh-CN"/>
              </w:rPr>
              <w:t>3</w:t>
            </w:r>
            <w:r>
              <w:rPr>
                <w:rFonts w:hint="eastAsia"/>
              </w:rPr>
              <w:t>年</w:t>
            </w:r>
            <w:r>
              <w:rPr>
                <w:rFonts w:hint="eastAsia"/>
                <w:lang w:val="en-US" w:eastAsia="zh-CN"/>
              </w:rPr>
              <w:t>11月27</w:t>
            </w:r>
            <w:r>
              <w:rPr>
                <w:rFonts w:hint="eastAsia"/>
              </w:rPr>
              <w:t>日</w:t>
            </w:r>
            <w:r>
              <w:rPr>
                <w:rFonts w:hint="eastAsia"/>
                <w:lang w:eastAsia="zh-CN"/>
              </w:rPr>
              <w:t>（星期</w:t>
            </w:r>
            <w:r>
              <w:rPr>
                <w:rFonts w:hint="eastAsia"/>
                <w:lang w:val="en-US" w:eastAsia="zh-CN"/>
              </w:rPr>
              <w:t>一</w:t>
            </w:r>
            <w:r>
              <w:rPr>
                <w:rFonts w:hint="eastAsia"/>
                <w:lang w:eastAsia="zh-CN"/>
              </w:rPr>
              <w:t>）</w:t>
            </w:r>
            <w:r>
              <w:rPr>
                <w:rFonts w:hint="eastAsia"/>
                <w:lang w:val="en-US" w:eastAsia="zh-CN"/>
              </w:rPr>
              <w:t>16</w:t>
            </w:r>
            <w:r>
              <w:rPr>
                <w:rFonts w:hint="eastAsia"/>
              </w:rPr>
              <w:t>时</w:t>
            </w:r>
            <w:r>
              <w:rPr>
                <w:rFonts w:hint="eastAsia"/>
                <w:lang w:val="en-US" w:eastAsia="zh-CN"/>
              </w:rPr>
              <w:t>00</w:t>
            </w:r>
            <w:r>
              <w:rPr>
                <w:rFonts w:hint="eastAsia"/>
              </w:rPr>
              <w:t>分</w:t>
            </w:r>
            <w:r>
              <w:rPr>
                <w:rFonts w:hint="eastAsia"/>
                <w:lang w:eastAsia="zh-CN"/>
              </w:rPr>
              <w:t>前</w:t>
            </w:r>
            <w:r>
              <w:rPr>
                <w:rFonts w:hint="eastAsia"/>
              </w:rPr>
              <w:t>以投标人转出【以招标单位查询的信息为准，汇款时备注：</w:t>
            </w:r>
            <w:r>
              <w:rPr>
                <w:rFonts w:hint="eastAsia"/>
                <w:lang w:val="en-US" w:eastAsia="zh-CN"/>
              </w:rPr>
              <w:t>妈祖广场安全护栏及天后宫内零星维修维护项目</w:t>
            </w:r>
            <w:r>
              <w:rPr>
                <w:rFonts w:hint="eastAsia"/>
              </w:rPr>
              <w:t>投标保证金】</w:t>
            </w:r>
          </w:p>
          <w:p>
            <w:pPr>
              <w:numPr>
                <w:ilvl w:val="-1"/>
                <w:numId w:val="0"/>
              </w:numPr>
              <w:adjustRightInd w:val="0"/>
              <w:snapToGrid w:val="0"/>
              <w:spacing w:line="360" w:lineRule="auto"/>
              <w:rPr>
                <w:rFonts w:hint="eastAsia"/>
              </w:rPr>
            </w:pPr>
            <w:r>
              <w:rPr>
                <w:rFonts w:hint="eastAsia"/>
                <w:lang w:val="en-US" w:eastAsia="zh-CN"/>
              </w:rPr>
              <w:t>4、</w:t>
            </w:r>
            <w:r>
              <w:rPr>
                <w:rFonts w:hint="eastAsia"/>
              </w:rPr>
              <w:t>未按规定缴纳投标保证金的正式投标人将被视为自动放弃本工程的投标资格。</w:t>
            </w:r>
          </w:p>
          <w:p>
            <w:pPr>
              <w:pStyle w:val="6"/>
              <w:rPr>
                <w:rFonts w:hint="eastAsia" w:eastAsia="黑体"/>
                <w:lang w:val="en-US" w:eastAsia="zh-CN"/>
              </w:rPr>
            </w:pPr>
            <w:r>
              <w:rPr>
                <w:rFonts w:hint="eastAsia" w:asciiTheme="minorHAnsi" w:hAnsiTheme="minorHAnsi" w:eastAsiaTheme="minorEastAsia"/>
                <w:b w:val="0"/>
                <w:sz w:val="21"/>
                <w:lang w:val="en-US" w:eastAsia="zh-CN"/>
              </w:rPr>
              <w:t>5、</w:t>
            </w:r>
            <w:r>
              <w:rPr>
                <w:rFonts w:hint="eastAsia" w:asciiTheme="minorHAnsi" w:hAnsiTheme="minorHAnsi" w:eastAsiaTheme="minorEastAsia" w:cstheme="minorBidi"/>
                <w:b w:val="0"/>
                <w:sz w:val="21"/>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bookmarkStart w:id="57" w:name="_GoBack"/>
      <w:bookmarkEnd w:id="57"/>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b w:val="0"/>
          <w:bCs w:val="0"/>
          <w:i w:val="0"/>
          <w:caps w:val="0"/>
          <w:color w:val="auto"/>
          <w:spacing w:val="0"/>
          <w:w w:val="100"/>
          <w:kern w:val="2"/>
          <w:sz w:val="24"/>
          <w:szCs w:val="24"/>
          <w:highlight w:val="none"/>
          <w:u w:val="single"/>
          <w:lang w:val="en-US" w:eastAsia="zh-CN"/>
        </w:rPr>
        <w:t>广州市南沙</w:t>
      </w:r>
      <w:r>
        <w:rPr>
          <w:rFonts w:hint="eastAsia" w:ascii="宋体" w:hAnsi="宋体" w:eastAsia="宋体" w:cs="宋体"/>
          <w:b w:val="0"/>
          <w:color w:val="auto"/>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eastAsia="宋体" w:cs="宋体"/>
          <w:b/>
          <w:color w:val="auto"/>
          <w:sz w:val="24"/>
          <w:szCs w:val="24"/>
          <w:highlight w:val="none"/>
        </w:rPr>
      </w:pPr>
      <w:r>
        <w:rPr>
          <w:rFonts w:hint="eastAsia" w:ascii="宋体" w:hAnsi="宋体" w:cs="宋体"/>
          <w:color w:val="auto"/>
          <w:sz w:val="24"/>
          <w:szCs w:val="24"/>
          <w:highlight w:val="none"/>
        </w:rPr>
        <w:t>7.1本招标文件包括下列文件，</w:t>
      </w:r>
      <w:r>
        <w:rPr>
          <w:rFonts w:hint="eastAsia" w:ascii="宋体" w:hAnsi="宋体" w:eastAsia="宋体" w:cs="宋体"/>
          <w:color w:val="auto"/>
          <w:sz w:val="24"/>
          <w:szCs w:val="24"/>
          <w:highlight w:val="none"/>
        </w:rPr>
        <w:t>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8.1投标人若对招标文件中有疑问，可以书面形式提交或传真给招标人或招标代理人，提交或传真地点见投标须知前附表第1</w:t>
      </w:r>
      <w:r>
        <w:rPr>
          <w:rFonts w:hint="default" w:ascii="宋体" w:hAnsi="宋体" w:eastAsia="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8.3答疑会会议纪要为招标文件的一部分。</w:t>
      </w:r>
    </w:p>
    <w:p>
      <w:pPr>
        <w:widowControl/>
        <w:spacing w:beforeAutospacing="0" w:after="0" w:line="360" w:lineRule="auto"/>
        <w:ind w:firstLine="480" w:firstLineChars="200"/>
        <w:jc w:val="both"/>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8 </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9 </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U盘或光盘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11.12投标申请人声明。</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11.13非联合体投标声明（格式自拟）。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yellow"/>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7" w:name="_Toc1632"/>
      <w:bookmarkStart w:id="8"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hint="eastAsia" w:ascii="方正小标宋简体" w:hAnsi="方正小标宋简体" w:eastAsia="方正小标宋简体" w:cs="方正小标宋简体"/>
          <w:b/>
          <w:color w:val="auto"/>
          <w:kern w:val="44"/>
          <w:sz w:val="36"/>
          <w:szCs w:val="36"/>
          <w:highlight w:val="none"/>
        </w:rPr>
      </w:pPr>
      <w:bookmarkStart w:id="9" w:name="_Toc8409"/>
      <w:bookmarkStart w:id="10" w:name="_Toc22411"/>
      <w:bookmarkStart w:id="11" w:name="_Toc28984"/>
    </w:p>
    <w:p>
      <w:pPr>
        <w:pStyle w:val="3"/>
        <w:widowControl/>
        <w:spacing w:before="0" w:after="0" w:line="360" w:lineRule="auto"/>
        <w:jc w:val="center"/>
        <w:rPr>
          <w:rFonts w:ascii="黑体" w:hAnsi="宋体" w:cs="黑体"/>
          <w:b/>
          <w:color w:val="auto"/>
          <w:kern w:val="44"/>
          <w:sz w:val="44"/>
          <w:szCs w:val="44"/>
          <w:highlight w:val="none"/>
        </w:rPr>
      </w:pPr>
      <w:r>
        <w:rPr>
          <w:rFonts w:hint="eastAsia" w:ascii="方正小标宋简体" w:hAnsi="方正小标宋简体" w:eastAsia="方正小标宋简体" w:cs="方正小标宋简体"/>
          <w:b/>
          <w:color w:val="auto"/>
          <w:kern w:val="44"/>
          <w:sz w:val="36"/>
          <w:szCs w:val="36"/>
          <w:highlight w:val="none"/>
        </w:rPr>
        <w:t>第2章 项目需求书</w:t>
      </w:r>
      <w:bookmarkEnd w:id="7"/>
      <w:bookmarkEnd w:id="9"/>
      <w:bookmarkEnd w:id="10"/>
      <w:bookmarkEnd w:id="11"/>
    </w:p>
    <w:p>
      <w:pPr>
        <w:rPr>
          <w:rFonts w:ascii="宋体" w:hAnsi="宋体" w:eastAsia="宋体" w:cs="宋体"/>
          <w:b/>
          <w:color w:val="auto"/>
          <w:sz w:val="30"/>
          <w:szCs w:val="30"/>
          <w:highlight w:val="none"/>
        </w:rPr>
      </w:pPr>
    </w:p>
    <w:p>
      <w:pPr>
        <w:pStyle w:val="10"/>
        <w:spacing w:line="560" w:lineRule="exact"/>
        <w:rPr>
          <w:rFonts w:hint="eastAsia" w:ascii="宋体" w:hAnsi="宋体" w:eastAsia="宋体" w:cs="Times New Roman"/>
          <w:b/>
          <w:kern w:val="0"/>
          <w:sz w:val="28"/>
          <w:szCs w:val="20"/>
          <w:highlight w:val="none"/>
          <w:u w:val="none"/>
          <w:lang w:val="en-US" w:eastAsia="zh-CN"/>
        </w:rPr>
      </w:pPr>
      <w:bookmarkStart w:id="12"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12"/>
    </w:p>
    <w:p>
      <w:pPr>
        <w:pStyle w:val="10"/>
        <w:spacing w:line="560" w:lineRule="exact"/>
        <w:ind w:firstLine="560" w:firstLineChars="200"/>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position w:val="0"/>
          <w:sz w:val="28"/>
          <w:szCs w:val="28"/>
          <w:highlight w:val="none"/>
          <w:u w:val="none"/>
        </w:rPr>
        <w:t>目前天后宫妈祖广场多处缺少护栏及周边零星护坡受损，不符合现时安全生产标准和要求</w:t>
      </w:r>
      <w:r>
        <w:rPr>
          <w:rFonts w:hint="eastAsia" w:ascii="宋体" w:hAnsi="宋体" w:eastAsia="宋体" w:cs="宋体"/>
          <w:color w:val="auto"/>
          <w:kern w:val="2"/>
          <w:position w:val="0"/>
          <w:sz w:val="28"/>
          <w:szCs w:val="28"/>
          <w:highlight w:val="none"/>
          <w:u w:val="none"/>
          <w:lang w:eastAsia="zh-CN"/>
        </w:rPr>
        <w:t>。</w:t>
      </w:r>
      <w:r>
        <w:rPr>
          <w:rFonts w:hint="eastAsia" w:ascii="宋体" w:hAnsi="宋体" w:eastAsia="宋体" w:cs="宋体"/>
          <w:color w:val="auto"/>
          <w:kern w:val="2"/>
          <w:position w:val="0"/>
          <w:sz w:val="28"/>
          <w:szCs w:val="28"/>
          <w:highlight w:val="none"/>
          <w:u w:val="none"/>
        </w:rPr>
        <w:t>随着游客的不断增加，缺失安全石护栏区域会存在一定的安全隐患</w:t>
      </w:r>
      <w:r>
        <w:rPr>
          <w:rFonts w:hint="eastAsia" w:ascii="宋体" w:hAnsi="宋体" w:eastAsia="宋体" w:cs="宋体"/>
          <w:color w:val="auto"/>
          <w:kern w:val="2"/>
          <w:position w:val="0"/>
          <w:sz w:val="28"/>
          <w:szCs w:val="28"/>
          <w:highlight w:val="none"/>
          <w:u w:val="none"/>
          <w:lang w:eastAsia="zh-CN"/>
        </w:rPr>
        <w:t>。</w:t>
      </w:r>
      <w:r>
        <w:rPr>
          <w:rFonts w:hint="eastAsia" w:ascii="宋体" w:hAnsi="宋体" w:eastAsia="宋体" w:cs="宋体"/>
          <w:color w:val="auto"/>
          <w:kern w:val="2"/>
          <w:position w:val="0"/>
          <w:sz w:val="28"/>
          <w:szCs w:val="28"/>
          <w:highlight w:val="none"/>
          <w:u w:val="none"/>
        </w:rPr>
        <w:t>为进一步提升整体景观环境和服务水平</w:t>
      </w:r>
      <w:r>
        <w:rPr>
          <w:rFonts w:hint="eastAsia" w:ascii="宋体" w:hAnsi="宋体" w:eastAsia="宋体" w:cs="宋体"/>
          <w:color w:val="auto"/>
          <w:kern w:val="2"/>
          <w:position w:val="0"/>
          <w:sz w:val="28"/>
          <w:szCs w:val="28"/>
          <w:highlight w:val="none"/>
          <w:u w:val="none"/>
          <w:lang w:eastAsia="zh-CN"/>
        </w:rPr>
        <w:t>，</w:t>
      </w:r>
      <w:r>
        <w:rPr>
          <w:rFonts w:hint="eastAsia" w:ascii="宋体" w:hAnsi="宋体" w:eastAsia="宋体" w:cs="宋体"/>
          <w:color w:val="auto"/>
          <w:kern w:val="2"/>
          <w:position w:val="0"/>
          <w:sz w:val="28"/>
          <w:szCs w:val="28"/>
          <w:highlight w:val="none"/>
          <w:u w:val="none"/>
        </w:rPr>
        <w:t>增强游客体验感和消除安全隐患</w:t>
      </w:r>
      <w:r>
        <w:rPr>
          <w:rFonts w:hint="eastAsia" w:ascii="宋体" w:hAnsi="宋体" w:eastAsia="宋体" w:cs="宋体"/>
          <w:color w:val="auto"/>
          <w:kern w:val="2"/>
          <w:position w:val="0"/>
          <w:sz w:val="28"/>
          <w:szCs w:val="28"/>
          <w:highlight w:val="none"/>
          <w:u w:val="none"/>
          <w:lang w:eastAsia="zh-CN"/>
        </w:rPr>
        <w:t>，</w:t>
      </w:r>
      <w:r>
        <w:rPr>
          <w:rFonts w:hint="eastAsia" w:ascii="宋体" w:hAnsi="宋体" w:eastAsia="宋体" w:cs="宋体"/>
          <w:color w:val="auto"/>
          <w:kern w:val="2"/>
          <w:position w:val="0"/>
          <w:sz w:val="28"/>
          <w:szCs w:val="28"/>
          <w:highlight w:val="none"/>
          <w:u w:val="none"/>
        </w:rPr>
        <w:t>拟</w:t>
      </w:r>
      <w:r>
        <w:rPr>
          <w:rFonts w:hint="eastAsia" w:ascii="宋体" w:hAnsi="宋体" w:eastAsia="宋体" w:cs="宋体"/>
          <w:color w:val="auto"/>
          <w:kern w:val="2"/>
          <w:sz w:val="28"/>
          <w:szCs w:val="28"/>
          <w:highlight w:val="none"/>
          <w:u w:val="none"/>
          <w:lang w:val="en-US" w:eastAsia="zh-CN" w:bidi="ar"/>
        </w:rPr>
        <w:t>对妈祖广场安全护栏、南沙古人旧栏杆、天后湖区域栏杆等项目进行维修。</w:t>
      </w:r>
    </w:p>
    <w:p>
      <w:pPr>
        <w:pStyle w:val="10"/>
        <w:rPr>
          <w:rFonts w:hint="eastAsia" w:ascii="宋体" w:hAnsi="宋体" w:eastAsia="宋体" w:cs="Times New Roman"/>
          <w:b/>
          <w:color w:val="000000"/>
          <w:kern w:val="0"/>
          <w:sz w:val="28"/>
          <w:szCs w:val="20"/>
          <w:highlight w:val="none"/>
          <w:u w:val="none"/>
        </w:rPr>
      </w:pPr>
      <w:r>
        <w:rPr>
          <w:rFonts w:hint="eastAsia" w:ascii="宋体" w:hAnsi="宋体" w:eastAsia="宋体" w:cs="Times New Roman"/>
          <w:b/>
          <w:color w:val="000000"/>
          <w:kern w:val="0"/>
          <w:sz w:val="28"/>
          <w:szCs w:val="20"/>
          <w:highlight w:val="none"/>
          <w:u w:val="none"/>
          <w:lang w:eastAsia="zh-CN"/>
        </w:rPr>
        <w:t>二、招标范围</w:t>
      </w:r>
    </w:p>
    <w:p>
      <w:pPr>
        <w:pStyle w:val="10"/>
        <w:spacing w:line="560" w:lineRule="exact"/>
        <w:ind w:firstLine="560" w:firstLineChars="200"/>
        <w:rPr>
          <w:rFonts w:hint="eastAsia" w:ascii="宋体" w:hAnsi="宋体" w:eastAsia="宋体" w:cs="Times New Roman"/>
          <w:b/>
          <w:color w:val="000000"/>
          <w:kern w:val="0"/>
          <w:sz w:val="28"/>
          <w:szCs w:val="20"/>
          <w:highlight w:val="none"/>
          <w:u w:val="none"/>
        </w:rPr>
      </w:pPr>
      <w:r>
        <w:rPr>
          <w:rFonts w:hint="eastAsia" w:ascii="宋体" w:hAnsi="宋体" w:eastAsia="宋体" w:cs="Times New Roman"/>
          <w:bCs/>
          <w:color w:val="000000"/>
          <w:sz w:val="28"/>
          <w:szCs w:val="20"/>
          <w:highlight w:val="none"/>
          <w:u w:val="none"/>
          <w:lang w:val="en-US" w:eastAsia="zh-CN"/>
        </w:rPr>
        <w:t>包括但不限于：</w:t>
      </w:r>
      <w:r>
        <w:rPr>
          <w:rFonts w:hint="eastAsia" w:ascii="宋体" w:hAnsi="宋体" w:eastAsia="宋体" w:cs="Times New Roman"/>
          <w:b w:val="0"/>
          <w:bCs/>
          <w:color w:val="000000"/>
          <w:kern w:val="0"/>
          <w:position w:val="0"/>
          <w:sz w:val="28"/>
          <w:szCs w:val="20"/>
          <w:highlight w:val="none"/>
          <w:u w:val="none"/>
        </w:rPr>
        <w:t>妈祖广场增加安全护栏石质栏板116.15米</w:t>
      </w:r>
      <w:r>
        <w:rPr>
          <w:rFonts w:hint="eastAsia" w:ascii="宋体" w:hAnsi="宋体" w:eastAsia="宋体" w:cs="Times New Roman"/>
          <w:b w:val="0"/>
          <w:bCs/>
          <w:color w:val="000000"/>
          <w:kern w:val="0"/>
          <w:position w:val="0"/>
          <w:sz w:val="28"/>
          <w:szCs w:val="20"/>
          <w:highlight w:val="none"/>
          <w:u w:val="none"/>
          <w:lang w:val="en-US" w:eastAsia="zh-CN"/>
        </w:rPr>
        <w:t>;</w:t>
      </w:r>
      <w:r>
        <w:rPr>
          <w:rFonts w:hint="eastAsia" w:ascii="宋体" w:hAnsi="宋体" w:eastAsia="宋体" w:cs="Times New Roman"/>
          <w:b w:val="0"/>
          <w:bCs/>
          <w:color w:val="000000"/>
          <w:kern w:val="0"/>
          <w:position w:val="0"/>
          <w:sz w:val="28"/>
          <w:szCs w:val="20"/>
          <w:highlight w:val="none"/>
          <w:u w:val="none"/>
        </w:rPr>
        <w:t xml:space="preserve"> </w:t>
      </w:r>
      <w:r>
        <w:rPr>
          <w:rFonts w:hint="eastAsia" w:ascii="宋体" w:hAnsi="宋体" w:eastAsia="宋体" w:cs="Times New Roman"/>
          <w:b w:val="0"/>
          <w:bCs/>
          <w:color w:val="000000"/>
          <w:kern w:val="0"/>
          <w:position w:val="0"/>
          <w:sz w:val="28"/>
          <w:szCs w:val="20"/>
          <w:highlight w:val="none"/>
          <w:u w:val="none"/>
          <w:lang w:val="en-US" w:eastAsia="zh-CN"/>
        </w:rPr>
        <w:t>对</w:t>
      </w:r>
      <w:r>
        <w:rPr>
          <w:rFonts w:hint="eastAsia" w:ascii="宋体" w:hAnsi="宋体" w:eastAsia="宋体" w:cs="Times New Roman"/>
          <w:b w:val="0"/>
          <w:bCs/>
          <w:color w:val="000000"/>
          <w:kern w:val="0"/>
          <w:position w:val="0"/>
          <w:sz w:val="28"/>
          <w:szCs w:val="20"/>
          <w:highlight w:val="none"/>
          <w:u w:val="none"/>
        </w:rPr>
        <w:t>南沙古人旧栏杆进行维护维修，增加钢筋砼挡土墙10.6米</w:t>
      </w:r>
      <w:r>
        <w:rPr>
          <w:rFonts w:hint="eastAsia" w:ascii="宋体" w:hAnsi="宋体" w:eastAsia="宋体" w:cs="Times New Roman"/>
          <w:b w:val="0"/>
          <w:bCs/>
          <w:color w:val="000000"/>
          <w:kern w:val="0"/>
          <w:position w:val="0"/>
          <w:sz w:val="28"/>
          <w:szCs w:val="20"/>
          <w:highlight w:val="none"/>
          <w:u w:val="none"/>
          <w:lang w:eastAsia="zh-CN"/>
        </w:rPr>
        <w:t>;</w:t>
      </w:r>
      <w:r>
        <w:rPr>
          <w:rFonts w:hint="eastAsia" w:ascii="宋体" w:hAnsi="宋体" w:eastAsia="宋体" w:cs="Times New Roman"/>
          <w:b w:val="0"/>
          <w:bCs/>
          <w:color w:val="000000"/>
          <w:kern w:val="0"/>
          <w:position w:val="0"/>
          <w:sz w:val="28"/>
          <w:szCs w:val="20"/>
          <w:highlight w:val="none"/>
          <w:u w:val="none"/>
        </w:rPr>
        <w:t>对天后山门水箱边增加钢筋砼挡土墙13米</w:t>
      </w:r>
      <w:r>
        <w:rPr>
          <w:rFonts w:hint="eastAsia" w:ascii="宋体" w:hAnsi="宋体" w:eastAsia="宋体" w:cs="Times New Roman"/>
          <w:b w:val="0"/>
          <w:bCs/>
          <w:color w:val="000000"/>
          <w:kern w:val="0"/>
          <w:position w:val="0"/>
          <w:sz w:val="28"/>
          <w:szCs w:val="20"/>
          <w:highlight w:val="none"/>
          <w:u w:val="none"/>
          <w:lang w:eastAsia="zh-CN"/>
        </w:rPr>
        <w:t>;</w:t>
      </w:r>
      <w:r>
        <w:rPr>
          <w:rFonts w:hint="eastAsia" w:ascii="宋体" w:hAnsi="宋体" w:eastAsia="宋体" w:cs="Times New Roman"/>
          <w:b w:val="0"/>
          <w:bCs/>
          <w:color w:val="000000"/>
          <w:kern w:val="0"/>
          <w:position w:val="0"/>
          <w:sz w:val="28"/>
          <w:szCs w:val="20"/>
          <w:highlight w:val="none"/>
          <w:u w:val="none"/>
        </w:rPr>
        <w:t>对天后湖停车场区域栏杆底座加高石质挡土墙，长度105米</w:t>
      </w:r>
      <w:r>
        <w:rPr>
          <w:rFonts w:hint="eastAsia" w:ascii="宋体" w:hAnsi="宋体" w:eastAsia="宋体" w:cs="Times New Roman"/>
          <w:b w:val="0"/>
          <w:bCs/>
          <w:color w:val="000000"/>
          <w:kern w:val="0"/>
          <w:position w:val="0"/>
          <w:sz w:val="28"/>
          <w:szCs w:val="20"/>
          <w:highlight w:val="none"/>
          <w:u w:val="none"/>
          <w:lang w:eastAsia="zh-CN"/>
        </w:rPr>
        <w:t>。</w:t>
      </w:r>
      <w:r>
        <w:rPr>
          <w:rFonts w:hint="eastAsia" w:ascii="宋体" w:hAnsi="宋体" w:eastAsia="宋体" w:cs="Times New Roman"/>
          <w:b w:val="0"/>
          <w:bCs/>
          <w:color w:val="000000"/>
          <w:spacing w:val="0"/>
          <w:kern w:val="0"/>
          <w:sz w:val="28"/>
          <w:szCs w:val="20"/>
          <w:highlight w:val="none"/>
          <w:u w:val="none"/>
          <w:lang w:val="en-US" w:eastAsia="zh-CN"/>
        </w:rPr>
        <w:t>具体以工程量清单为准。</w:t>
      </w:r>
    </w:p>
    <w:p>
      <w:pPr>
        <w:pStyle w:val="10"/>
        <w:spacing w:line="240" w:lineRule="auto"/>
        <w:ind w:firstLine="0" w:firstLineChars="0"/>
        <w:rPr>
          <w:rFonts w:hint="eastAsia" w:ascii="宋体" w:hAnsi="宋体" w:eastAsia="宋体" w:cs="宋体"/>
          <w:color w:val="auto"/>
          <w:kern w:val="2"/>
          <w:sz w:val="28"/>
          <w:szCs w:val="28"/>
          <w:highlight w:val="none"/>
          <w:u w:val="none"/>
        </w:rPr>
      </w:pPr>
    </w:p>
    <w:p>
      <w:pPr>
        <w:pStyle w:val="12"/>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3" w:name="_Toc2266"/>
      <w:bookmarkStart w:id="14" w:name="_Toc5931"/>
      <w:bookmarkStart w:id="15" w:name="_Toc27735"/>
      <w:r>
        <w:rPr>
          <w:rFonts w:hint="eastAsia" w:ascii="黑体" w:hAnsi="宋体" w:cs="黑体"/>
          <w:b/>
          <w:color w:val="auto"/>
          <w:kern w:val="44"/>
          <w:sz w:val="44"/>
          <w:szCs w:val="44"/>
          <w:highlight w:val="none"/>
        </w:rPr>
        <w:t>第3章  投标格式文件</w:t>
      </w:r>
      <w:bookmarkEnd w:id="8"/>
      <w:bookmarkEnd w:id="13"/>
      <w:bookmarkEnd w:id="14"/>
      <w:bookmarkEnd w:id="1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Times New Roman"/>
          <w:b w:val="0"/>
          <w:bCs w:val="0"/>
          <w:color w:val="auto"/>
          <w:spacing w:val="20"/>
          <w:kern w:val="2"/>
          <w:sz w:val="24"/>
          <w:szCs w:val="24"/>
          <w:highlight w:val="none"/>
          <w:u w:val="single"/>
          <w:lang w:val="en-US" w:eastAsia="zh-CN"/>
        </w:rPr>
        <w:t>妈祖广场安全护栏及天后宫内零星维修维护项目</w:t>
      </w:r>
      <w:r>
        <w:rPr>
          <w:rFonts w:hint="eastAsia" w:ascii="宋体" w:hAnsi="宋体" w:eastAsia="宋体" w:cs="Times New Roman"/>
          <w:color w:val="auto"/>
          <w:spacing w:val="2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kern w:val="2"/>
          <w:sz w:val="24"/>
          <w:szCs w:val="24"/>
          <w:highlight w:val="none"/>
          <w:u w:val="none"/>
          <w:lang w:val="en-US" w:eastAsia="zh-CN"/>
        </w:rPr>
        <w:t>天后湖安全石护栏进行改造维护事</w:t>
      </w:r>
      <w:r>
        <w:rPr>
          <w:rFonts w:hint="eastAsia" w:ascii="宋体" w:hAnsi="宋体" w:eastAsia="宋体" w:cs="Times New Roman"/>
          <w:b w:val="0"/>
          <w:bCs w:val="0"/>
          <w:color w:val="auto"/>
          <w:spacing w:val="20"/>
          <w:kern w:val="2"/>
          <w:sz w:val="24"/>
          <w:szCs w:val="24"/>
          <w:highlight w:val="none"/>
          <w:u w:val="none"/>
          <w:lang w:val="en-US" w:eastAsia="zh-CN"/>
        </w:rPr>
        <w:t>宜</w:t>
      </w:r>
      <w:r>
        <w:rPr>
          <w:rFonts w:hint="eastAsia" w:ascii="宋体" w:hAnsi="宋体" w:eastAsia="宋体" w:cs="Times New Roman"/>
          <w:color w:val="auto"/>
          <w:spacing w:val="20"/>
          <w:sz w:val="24"/>
          <w:highlight w:val="none"/>
          <w:u w:val="none"/>
          <w:lang w:eastAsia="zh-CN"/>
        </w:rPr>
        <w:t>项目</w:t>
      </w:r>
      <w:r>
        <w:rPr>
          <w:rFonts w:hint="eastAsia" w:ascii="宋体" w:hAnsi="宋体" w:eastAsia="宋体" w:cs="宋体"/>
          <w:b w:val="0"/>
          <w:color w:val="auto"/>
          <w:sz w:val="24"/>
          <w:szCs w:val="24"/>
          <w:highlight w:val="none"/>
          <w:u w:val="none"/>
          <w:lang w:val="en-US" w:eastAsia="zh-CN"/>
        </w:rPr>
        <w:t>(第二次)</w:t>
      </w:r>
      <w:r>
        <w:rPr>
          <w:rFonts w:hint="default" w:ascii="宋体" w:hAnsi="宋体" w:eastAsia="宋体" w:cs="Times New Roman"/>
          <w:color w:val="auto"/>
          <w:spacing w:val="20"/>
          <w:sz w:val="24"/>
          <w:highlight w:val="none"/>
          <w:u w:val="none"/>
          <w:lang w:val="en-US" w:eastAsia="zh-CN"/>
        </w:rPr>
        <w:t>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6" w:name="_Toc216145749"/>
      <w:bookmarkEnd w:id="16"/>
      <w:bookmarkStart w:id="17" w:name="_Toc223342668"/>
      <w:bookmarkEnd w:id="17"/>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18" w:name="_Toc172416501"/>
      <w:bookmarkEnd w:id="18"/>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r:link="rId9"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r:link="rId11"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9" w:name="_Toc216145759"/>
      <w:bookmarkEnd w:id="19"/>
      <w:bookmarkStart w:id="2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bookmarkEnd w:id="20"/>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四</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8"/>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17"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1" w:name="_Toc196037098"/>
      <w:bookmarkEnd w:id="21"/>
      <w:bookmarkStart w:id="22" w:name="_Toc196036942"/>
      <w:bookmarkEnd w:id="22"/>
      <w:bookmarkStart w:id="23" w:name="_Toc459403395"/>
      <w:bookmarkEnd w:id="23"/>
      <w:bookmarkStart w:id="24" w:name="_Toc197235849"/>
      <w:bookmarkEnd w:id="24"/>
      <w:bookmarkStart w:id="25" w:name="_Toc196130111"/>
      <w:bookmarkEnd w:id="25"/>
      <w:bookmarkStart w:id="26" w:name="_Toc326909214"/>
      <w:bookmarkEnd w:id="26"/>
      <w:bookmarkStart w:id="27" w:name="_Toc196130014"/>
      <w:bookmarkEnd w:id="27"/>
      <w:bookmarkStart w:id="28" w:name="_Toc199647676"/>
      <w:bookmarkEnd w:id="28"/>
      <w:bookmarkStart w:id="29" w:name="_Toc415728298"/>
      <w:bookmarkEnd w:id="29"/>
      <w:bookmarkStart w:id="30" w:name="_Toc415833504"/>
      <w:bookmarkEnd w:id="30"/>
      <w:bookmarkStart w:id="31" w:name="_Toc462911099"/>
    </w:p>
    <w:bookmarkEnd w:id="31"/>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五</w:t>
      </w:r>
      <w:r>
        <w:rPr>
          <w:rFonts w:hint="eastAsia" w:ascii="仿宋" w:hAnsi="仿宋" w:eastAsia="仿宋" w:cs="宋体"/>
          <w:color w:val="auto"/>
          <w:sz w:val="28"/>
          <w:szCs w:val="28"/>
          <w:highlight w:val="none"/>
        </w:rPr>
        <w:t>：</w:t>
      </w:r>
    </w:p>
    <w:p>
      <w:pPr>
        <w:pStyle w:val="2"/>
        <w:rPr>
          <w:rFonts w:hint="eastAsia" w:ascii="仿宋" w:hAnsi="仿宋" w:eastAsia="仿宋" w:cs="宋体"/>
          <w:color w:val="auto"/>
          <w:sz w:val="28"/>
          <w:szCs w:val="28"/>
          <w:highlight w:val="none"/>
        </w:rPr>
      </w:pPr>
    </w:p>
    <w:p>
      <w:pPr>
        <w:pStyle w:val="2"/>
        <w:rPr>
          <w:rFonts w:hint="eastAsia" w:ascii="仿宋" w:hAnsi="仿宋" w:eastAsia="仿宋" w:cs="宋体"/>
          <w:color w:val="auto"/>
          <w:sz w:val="28"/>
          <w:szCs w:val="28"/>
          <w:highlight w:val="none"/>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
        <w:rPr>
          <w:rFonts w:hint="eastAsia" w:ascii="仿宋" w:hAnsi="仿宋" w:eastAsia="仿宋" w:cs="宋体"/>
          <w:color w:val="auto"/>
          <w:sz w:val="28"/>
          <w:szCs w:val="28"/>
          <w:highlight w:val="none"/>
        </w:r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630" w:firstLineChars="300"/>
              <w:jc w:val="both"/>
              <w:rPr>
                <w:rFonts w:ascii="宋体" w:hAnsi="宋体" w:cs="宋体"/>
                <w:bCs/>
                <w:color w:val="auto"/>
                <w:szCs w:val="21"/>
                <w:highlight w:val="none"/>
                <w:lang w:val="zh-CN"/>
              </w:rPr>
            </w:pPr>
            <w:r>
              <w:rPr>
                <w:rFonts w:hint="eastAsia" w:ascii="宋体" w:hAnsi="宋体" w:eastAsia="宋体" w:cs="宋体"/>
                <w:b w:val="0"/>
                <w:bCs w:val="0"/>
                <w:color w:val="auto"/>
                <w:kern w:val="2"/>
                <w:sz w:val="21"/>
                <w:szCs w:val="21"/>
                <w:highlight w:val="none"/>
                <w:u w:val="none"/>
                <w:lang w:val="en-US" w:eastAsia="zh-CN"/>
              </w:rPr>
              <w:t>妈祖广场安全护栏及天后宫内零星维修维护项目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2"/>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2" w:name="_Toc374128477"/>
      <w:bookmarkEnd w:id="32"/>
      <w:bookmarkStart w:id="3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34" w:name="_Toc23233"/>
      <w:bookmarkStart w:id="35" w:name="_Toc4893"/>
      <w:bookmarkStart w:id="36" w:name="_Toc25010"/>
      <w:r>
        <w:rPr>
          <w:rFonts w:hint="eastAsia" w:ascii="黑体" w:hAnsi="宋体" w:cs="黑体"/>
          <w:b/>
          <w:color w:val="auto"/>
          <w:kern w:val="44"/>
          <w:sz w:val="44"/>
          <w:szCs w:val="44"/>
          <w:highlight w:val="none"/>
        </w:rPr>
        <w:t>第4章 评标办法</w:t>
      </w:r>
      <w:bookmarkEnd w:id="33"/>
      <w:bookmarkEnd w:id="34"/>
      <w:bookmarkEnd w:id="35"/>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headerReference r:id="rId4" w:type="default"/>
          <w:footerReference r:id="rId5" w:type="default"/>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2"/>
        <w:rPr>
          <w:rFonts w:hint="default" w:ascii="仿宋" w:hAnsi="仿宋" w:eastAsia="仿宋" w:cs="仿宋"/>
          <w:color w:val="auto"/>
          <w:sz w:val="28"/>
          <w:szCs w:val="28"/>
          <w:highlight w:val="none"/>
        </w:rPr>
      </w:pPr>
    </w:p>
    <w:p>
      <w:pPr>
        <w:pStyle w:val="1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widowControl w:val="0"/>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附件5施工方案（另附）</w:t>
      </w:r>
    </w:p>
    <w:p>
      <w:pPr>
        <w:widowControl w:val="0"/>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附件6工程量清单（另附）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20865"/>
      <w:bookmarkStart w:id="40" w:name="_Toc5919"/>
      <w:bookmarkStart w:id="41" w:name="_Toc12170"/>
      <w:bookmarkStart w:id="42" w:name="_Toc3331"/>
      <w:r>
        <w:rPr>
          <w:rFonts w:hint="eastAsia" w:ascii="仿宋" w:hAnsi="仿宋" w:eastAsia="仿宋" w:cs="仿宋"/>
          <w:color w:val="auto"/>
          <w:sz w:val="28"/>
          <w:szCs w:val="28"/>
          <w:highlight w:val="none"/>
        </w:rPr>
        <w:t>附件1：符合性审查表</w:t>
      </w:r>
      <w:bookmarkEnd w:id="39"/>
      <w:bookmarkEnd w:id="40"/>
      <w:bookmarkEnd w:id="41"/>
      <w:bookmarkEnd w:id="42"/>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6" w:type="default"/>
          <w:pgSz w:w="11906" w:h="16838"/>
          <w:pgMar w:top="1440" w:right="1797" w:bottom="1440" w:left="1797" w:header="720" w:footer="720" w:gutter="0"/>
          <w:pgNumType w:fmt="decimal"/>
          <w:cols w:space="0" w:num="1"/>
          <w:rtlGutter w:val="0"/>
          <w:docGrid w:linePitch="312" w:charSpace="0"/>
        </w:sectPr>
      </w:pPr>
      <w:bookmarkStart w:id="43" w:name="_Toc18783"/>
    </w:p>
    <w:bookmarkEnd w:id="43"/>
    <w:p>
      <w:pPr>
        <w:snapToGrid w:val="0"/>
        <w:ind w:left="74"/>
        <w:outlineLvl w:val="0"/>
        <w:rPr>
          <w:rFonts w:hint="eastAsia" w:ascii="宋体" w:hAnsi="宋体" w:eastAsia="宋体" w:cs="宋体"/>
        </w:rPr>
      </w:pPr>
      <w:bookmarkStart w:id="44" w:name="_Toc20704"/>
      <w:bookmarkStart w:id="45" w:name="_Toc31760"/>
      <w:bookmarkStart w:id="46" w:name="_Toc12016"/>
      <w:bookmarkStart w:id="47" w:name="_Toc15156"/>
      <w:bookmarkStart w:id="48" w:name="_Toc4185"/>
      <w:bookmarkStart w:id="49" w:name="_Toc13000"/>
      <w:bookmarkStart w:id="50" w:name="_Toc18739"/>
      <w:bookmarkStart w:id="51" w:name="_Toc15249"/>
      <w:bookmarkStart w:id="52" w:name="_Toc6504"/>
      <w:r>
        <w:rPr>
          <w:rFonts w:hint="eastAsia" w:ascii="宋体" w:hAnsi="宋体" w:eastAsia="宋体" w:cs="宋体"/>
          <w:b/>
          <w:color w:val="auto"/>
          <w:sz w:val="24"/>
          <w:highlight w:val="none"/>
        </w:rPr>
        <w:t>附件2综合评分表</w:t>
      </w:r>
      <w:r>
        <w:rPr>
          <w:rFonts w:hint="eastAsia" w:ascii="宋体" w:hAnsi="宋体" w:eastAsia="宋体" w:cs="宋体"/>
          <w:color w:val="auto"/>
          <w:sz w:val="24"/>
          <w:highlight w:val="none"/>
        </w:rPr>
        <w:t>（100分）</w:t>
      </w:r>
      <w:bookmarkEnd w:id="44"/>
      <w:bookmarkEnd w:id="45"/>
      <w:bookmarkEnd w:id="46"/>
      <w:bookmarkEnd w:id="47"/>
      <w:bookmarkEnd w:id="48"/>
      <w:bookmarkEnd w:id="49"/>
      <w:bookmarkEnd w:id="50"/>
    </w:p>
    <w:tbl>
      <w:tblPr>
        <w:tblStyle w:val="18"/>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145"/>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145"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892"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7"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widowControl w:val="0"/>
              <w:snapToGrid w:val="0"/>
              <w:spacing w:before="120" w:after="120" w:line="320" w:lineRule="exact"/>
              <w:ind w:left="0" w:lef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（30分）</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szCs w:val="21"/>
                <w:highlight w:val="yellow"/>
              </w:rPr>
            </w:pPr>
            <w:r>
              <w:rPr>
                <w:rFonts w:hint="eastAsia" w:ascii="宋体" w:hAnsi="宋体" w:eastAsia="宋体" w:cs="宋体"/>
                <w:color w:val="auto"/>
                <w:kern w:val="2"/>
                <w:sz w:val="21"/>
                <w:szCs w:val="21"/>
                <w:highlight w:val="none"/>
                <w:lang w:val="en-US" w:eastAsia="zh-CN" w:bidi="ar-SA"/>
              </w:rPr>
              <w:t>工程项目获奖情况</w:t>
            </w:r>
          </w:p>
        </w:tc>
        <w:tc>
          <w:tcPr>
            <w:tcW w:w="709" w:type="dxa"/>
            <w:shd w:val="clear" w:color="auto" w:fill="auto"/>
            <w:vAlign w:val="center"/>
          </w:tcPr>
          <w:p>
            <w:pPr>
              <w:spacing w:line="240" w:lineRule="auto"/>
              <w:ind w:left="42" w:leftChars="20" w:right="42" w:rightChars="20"/>
              <w:jc w:val="center"/>
              <w:rPr>
                <w:rFonts w:hint="default" w:ascii="宋体" w:hAnsi="宋体" w:eastAsia="宋体" w:cs="宋体"/>
                <w:color w:val="auto"/>
                <w:szCs w:val="21"/>
                <w:highlight w:val="yellow"/>
                <w:lang w:val="en-US" w:eastAsia="zh-CN"/>
              </w:rPr>
            </w:pPr>
            <w:r>
              <w:rPr>
                <w:rFonts w:hint="eastAsia" w:ascii="宋体" w:hAnsi="宋体" w:eastAsia="宋体" w:cs="宋体"/>
                <w:bCs w:val="0"/>
                <w:color w:val="auto"/>
                <w:sz w:val="21"/>
                <w:szCs w:val="21"/>
                <w:highlight w:val="none"/>
              </w:rPr>
              <w:t>1</w:t>
            </w:r>
            <w:r>
              <w:rPr>
                <w:rFonts w:hint="eastAsia" w:ascii="宋体" w:hAnsi="宋体" w:eastAsia="宋体" w:cs="宋体"/>
                <w:bCs w:val="0"/>
                <w:color w:val="auto"/>
                <w:sz w:val="21"/>
                <w:szCs w:val="21"/>
                <w:highlight w:val="none"/>
                <w:lang w:val="en-US" w:eastAsia="zh-CN"/>
              </w:rPr>
              <w:t>5</w:t>
            </w:r>
          </w:p>
        </w:tc>
        <w:tc>
          <w:tcPr>
            <w:tcW w:w="9145" w:type="dxa"/>
            <w:shd w:val="clear" w:color="auto" w:fill="auto"/>
            <w:vAlign w:val="center"/>
          </w:tcPr>
          <w:p>
            <w:pPr>
              <w:spacing w:line="360" w:lineRule="auto"/>
              <w:ind w:left="42" w:leftChars="20" w:right="42" w:rightChars="20"/>
              <w:jc w:val="left"/>
              <w:rPr>
                <w:rFonts w:hint="eastAsia" w:ascii="宋体" w:hAnsi="宋体" w:eastAsia="宋体" w:cs="宋体"/>
                <w:szCs w:val="21"/>
                <w:highlight w:val="yellow"/>
                <w:lang w:val="en-US" w:eastAsia="zh-CN"/>
              </w:rPr>
            </w:pPr>
            <w:r>
              <w:rPr>
                <w:rFonts w:hint="default" w:ascii="宋体" w:hAnsi="宋体" w:eastAsia="宋体" w:cs="宋体"/>
                <w:color w:val="auto"/>
                <w:kern w:val="2"/>
                <w:sz w:val="21"/>
                <w:szCs w:val="21"/>
                <w:highlight w:val="none"/>
                <w:lang w:val="en-US" w:eastAsia="zh-CN" w:bidi="ar-SA"/>
              </w:rPr>
              <w:t>投标人自20</w:t>
            </w:r>
            <w:r>
              <w:rPr>
                <w:rFonts w:hint="eastAsia" w:ascii="宋体" w:hAnsi="宋体" w:eastAsia="宋体" w:cs="宋体"/>
                <w:color w:val="auto"/>
                <w:kern w:val="2"/>
                <w:sz w:val="21"/>
                <w:szCs w:val="21"/>
                <w:highlight w:val="none"/>
                <w:lang w:val="en-US" w:eastAsia="zh-CN" w:bidi="ar-SA"/>
              </w:rPr>
              <w:t>20</w:t>
            </w:r>
            <w:r>
              <w:rPr>
                <w:rFonts w:hint="default" w:ascii="宋体" w:hAnsi="宋体" w:eastAsia="宋体" w:cs="宋体"/>
                <w:color w:val="auto"/>
                <w:kern w:val="2"/>
                <w:sz w:val="21"/>
                <w:szCs w:val="21"/>
                <w:highlight w:val="none"/>
                <w:lang w:val="en-US" w:eastAsia="zh-CN" w:bidi="ar-SA"/>
              </w:rPr>
              <w:t>年1月1日以来承建（含参建）的市政</w:t>
            </w:r>
            <w:r>
              <w:rPr>
                <w:rFonts w:hint="eastAsia" w:ascii="宋体" w:hAnsi="宋体" w:cs="宋体"/>
                <w:color w:val="auto"/>
                <w:kern w:val="2"/>
                <w:sz w:val="21"/>
                <w:szCs w:val="21"/>
                <w:highlight w:val="none"/>
                <w:lang w:val="en-US" w:eastAsia="zh-CN" w:bidi="ar-SA"/>
              </w:rPr>
              <w:t>类</w:t>
            </w:r>
            <w:r>
              <w:rPr>
                <w:rFonts w:hint="default" w:ascii="宋体" w:hAnsi="宋体" w:eastAsia="宋体" w:cs="宋体"/>
                <w:color w:val="auto"/>
                <w:kern w:val="2"/>
                <w:sz w:val="21"/>
                <w:szCs w:val="21"/>
                <w:highlight w:val="none"/>
                <w:lang w:val="en-US" w:eastAsia="zh-CN" w:bidi="ar-SA"/>
              </w:rPr>
              <w:t>工程施工项目获得</w:t>
            </w:r>
            <w:r>
              <w:rPr>
                <w:rFonts w:hint="eastAsia" w:ascii="宋体" w:hAnsi="宋体" w:cs="宋体"/>
                <w:color w:val="auto"/>
                <w:kern w:val="2"/>
                <w:sz w:val="21"/>
                <w:szCs w:val="21"/>
                <w:highlight w:val="none"/>
                <w:lang w:val="en-US" w:eastAsia="zh-CN" w:bidi="ar-SA"/>
              </w:rPr>
              <w:t>过质量类奖项</w:t>
            </w:r>
            <w:r>
              <w:rPr>
                <w:rFonts w:hint="default" w:ascii="宋体" w:hAnsi="宋体" w:eastAsia="宋体" w:cs="宋体"/>
                <w:color w:val="auto"/>
                <w:kern w:val="2"/>
                <w:sz w:val="21"/>
                <w:szCs w:val="21"/>
                <w:highlight w:val="none"/>
                <w:lang w:val="en-US" w:eastAsia="zh-CN" w:bidi="ar-SA"/>
              </w:rPr>
              <w:t>情况：</w:t>
            </w:r>
            <w:r>
              <w:rPr>
                <w:rFonts w:hint="eastAsia" w:ascii="宋体" w:hAnsi="宋体" w:eastAsia="宋体" w:cs="宋体"/>
                <w:sz w:val="21"/>
                <w:szCs w:val="21"/>
                <w:highlight w:val="none"/>
                <w:lang w:val="en-US" w:eastAsia="zh-Hans"/>
              </w:rPr>
              <w:t>1、获得过省级或以</w:t>
            </w:r>
            <w:r>
              <w:rPr>
                <w:rFonts w:hint="eastAsia" w:ascii="宋体" w:hAnsi="宋体" w:cs="宋体"/>
                <w:sz w:val="21"/>
                <w:szCs w:val="21"/>
                <w:highlight w:val="none"/>
                <w:lang w:val="en-US" w:eastAsia="zh-CN"/>
              </w:rPr>
              <w:t>上奖项</w:t>
            </w:r>
            <w:r>
              <w:rPr>
                <w:rFonts w:hint="eastAsia" w:ascii="宋体" w:hAnsi="宋体" w:eastAsia="宋体" w:cs="宋体"/>
                <w:sz w:val="21"/>
                <w:szCs w:val="21"/>
                <w:highlight w:val="none"/>
                <w:lang w:val="en-US" w:eastAsia="zh-Hans"/>
              </w:rPr>
              <w:t>的，每项得</w:t>
            </w:r>
            <w:r>
              <w:rPr>
                <w:rFonts w:hint="eastAsia" w:ascii="宋体" w:hAnsi="宋体" w:cs="宋体"/>
                <w:sz w:val="21"/>
                <w:szCs w:val="21"/>
                <w:highlight w:val="none"/>
                <w:lang w:val="en-US" w:eastAsia="zh-CN"/>
              </w:rPr>
              <w:t>7.5</w:t>
            </w:r>
            <w:r>
              <w:rPr>
                <w:rFonts w:hint="eastAsia" w:ascii="宋体" w:hAnsi="宋体" w:eastAsia="宋体" w:cs="宋体"/>
                <w:sz w:val="21"/>
                <w:szCs w:val="21"/>
                <w:highlight w:val="none"/>
                <w:lang w:val="en-US" w:eastAsia="zh-Hans"/>
              </w:rPr>
              <w:t>分，最高得</w:t>
            </w:r>
            <w:r>
              <w:rPr>
                <w:rFonts w:hint="eastAsia" w:ascii="宋体" w:hAnsi="宋体" w:eastAsia="宋体" w:cs="宋体"/>
                <w:sz w:val="21"/>
                <w:szCs w:val="21"/>
                <w:highlight w:val="none"/>
                <w:lang w:val="en-US" w:eastAsia="zh-CN"/>
              </w:rPr>
              <w:t>1</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lang w:val="en-US" w:eastAsia="zh-Hans"/>
              </w:rPr>
              <w:t>.0分。2、获得过市级</w:t>
            </w:r>
            <w:r>
              <w:rPr>
                <w:rFonts w:hint="eastAsia" w:ascii="宋体" w:hAnsi="宋体" w:cs="宋体"/>
                <w:sz w:val="21"/>
                <w:szCs w:val="21"/>
                <w:highlight w:val="none"/>
                <w:lang w:val="en-US" w:eastAsia="zh-CN"/>
              </w:rPr>
              <w:t>奖项</w:t>
            </w:r>
            <w:r>
              <w:rPr>
                <w:rFonts w:hint="eastAsia" w:ascii="宋体" w:hAnsi="宋体" w:eastAsia="宋体" w:cs="宋体"/>
                <w:sz w:val="21"/>
                <w:szCs w:val="21"/>
                <w:highlight w:val="none"/>
                <w:lang w:val="en-US" w:eastAsia="zh-Hans"/>
              </w:rPr>
              <w:t>的，每项得</w:t>
            </w:r>
            <w:r>
              <w:rPr>
                <w:rFonts w:hint="eastAsia" w:ascii="宋体" w:hAnsi="宋体" w:cs="宋体"/>
                <w:sz w:val="21"/>
                <w:szCs w:val="21"/>
                <w:highlight w:val="none"/>
                <w:lang w:val="en-US" w:eastAsia="zh-CN"/>
              </w:rPr>
              <w:t>5.0</w:t>
            </w:r>
            <w:r>
              <w:rPr>
                <w:rFonts w:hint="eastAsia" w:ascii="宋体" w:hAnsi="宋体" w:eastAsia="宋体" w:cs="宋体"/>
                <w:sz w:val="21"/>
                <w:szCs w:val="21"/>
                <w:highlight w:val="none"/>
                <w:lang w:val="en-US" w:eastAsia="zh-Hans"/>
              </w:rPr>
              <w:t>分，最高得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lang w:val="en-US" w:eastAsia="zh-Hans"/>
              </w:rPr>
              <w:t>分</w:t>
            </w:r>
            <w:r>
              <w:rPr>
                <w:rFonts w:hint="default" w:ascii="宋体" w:hAnsi="宋体" w:eastAsia="宋体" w:cs="宋体"/>
                <w:color w:val="auto"/>
                <w:kern w:val="2"/>
                <w:sz w:val="21"/>
                <w:szCs w:val="21"/>
                <w:highlight w:val="none"/>
                <w:lang w:val="en-US" w:eastAsia="zh-CN" w:bidi="ar-SA"/>
              </w:rPr>
              <w:t>； 注：【本项最高</w:t>
            </w: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分】 1</w:t>
            </w:r>
            <w:r>
              <w:rPr>
                <w:rFonts w:hint="eastAsia" w:ascii="宋体" w:hAnsi="宋体" w:cs="宋体"/>
                <w:color w:val="auto"/>
                <w:kern w:val="2"/>
                <w:sz w:val="21"/>
                <w:szCs w:val="21"/>
                <w:highlight w:val="none"/>
                <w:lang w:val="en-US" w:eastAsia="zh-CN" w:bidi="ar-SA"/>
              </w:rPr>
              <w:t>．</w:t>
            </w:r>
            <w:r>
              <w:rPr>
                <w:rFonts w:hint="default" w:ascii="宋体" w:hAnsi="宋体" w:eastAsia="宋体" w:cs="宋体"/>
                <w:color w:val="auto"/>
                <w:kern w:val="2"/>
                <w:sz w:val="21"/>
                <w:szCs w:val="21"/>
                <w:highlight w:val="none"/>
                <w:lang w:val="en-US" w:eastAsia="zh-CN" w:bidi="ar-SA"/>
              </w:rPr>
              <w:t>投标人须提供工程项目获奖证书或获奖文件复印件(加盖投标人公章)，同时还须提供颁发机构官方网站发布的表彰公布通知(或公布通知或表彰决定)查询网页(或截图)打印页和查询网址链接并加盖投标单位公章，不提供不得分。 2</w:t>
            </w:r>
            <w:r>
              <w:rPr>
                <w:rFonts w:hint="eastAsia" w:ascii="宋体" w:hAnsi="宋体" w:cs="宋体"/>
                <w:color w:val="auto"/>
                <w:kern w:val="2"/>
                <w:sz w:val="21"/>
                <w:szCs w:val="21"/>
                <w:highlight w:val="none"/>
                <w:lang w:val="en-US" w:eastAsia="zh-CN" w:bidi="ar-SA"/>
              </w:rPr>
              <w:t>．</w:t>
            </w:r>
            <w:r>
              <w:rPr>
                <w:rFonts w:hint="default" w:ascii="宋体" w:hAnsi="宋体" w:eastAsia="宋体" w:cs="宋体"/>
                <w:color w:val="auto"/>
                <w:kern w:val="2"/>
                <w:sz w:val="21"/>
                <w:szCs w:val="21"/>
                <w:highlight w:val="none"/>
                <w:lang w:val="en-US" w:eastAsia="zh-CN" w:bidi="ar-SA"/>
              </w:rPr>
              <w:t>工程项目获奖根据人民政府或工程建设相关行业行政主管部门或经民政部门批准成立的工程建设相关行业协会颁发的获奖证书或获奖正式文件确认，如提供工程建设相关行业协会颁发的获奖证书或获奖正式文件，则须同时提供该行业协会在“中国社会组织公共服务平台”的登记信息查询结果网页打印件并加盖投标人公章，否则不予计分。</w:t>
            </w:r>
            <w:r>
              <w:rPr>
                <w:rFonts w:hint="default" w:ascii="宋体" w:hAnsi="宋体" w:eastAsia="宋体" w:cs="宋体"/>
                <w:color w:val="auto"/>
                <w:szCs w:val="21"/>
                <w:highlight w:val="none"/>
                <w:lang w:val="en-US" w:eastAsia="zh-CN"/>
              </w:rPr>
              <w:t>3.同一项目按最高奖</w:t>
            </w:r>
            <w:r>
              <w:rPr>
                <w:rFonts w:hint="default"/>
                <w:highlight w:val="none"/>
                <w:lang w:val="en-US" w:eastAsia="zh-CN"/>
              </w:rPr>
              <w:t>项计分，不得重复计算。</w:t>
            </w:r>
            <w:r>
              <w:rPr>
                <w:rFonts w:hint="default" w:ascii="宋体" w:hAnsi="宋体" w:eastAsia="宋体" w:cs="宋体"/>
                <w:color w:val="auto"/>
                <w:kern w:val="2"/>
                <w:sz w:val="21"/>
                <w:szCs w:val="21"/>
                <w:highlight w:val="none"/>
                <w:lang w:val="en-US" w:eastAsia="zh-CN" w:bidi="ar-SA"/>
              </w:rPr>
              <w:t xml:space="preserve"> </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yellow"/>
                <w:lang w:val="en-US" w:eastAsia="zh-CN"/>
              </w:rPr>
            </w:pPr>
          </w:p>
        </w:tc>
        <w:tc>
          <w:tcPr>
            <w:tcW w:w="1406" w:type="dxa"/>
            <w:shd w:val="clear" w:color="auto" w:fill="auto"/>
            <w:vAlign w:val="center"/>
          </w:tcPr>
          <w:p>
            <w:pPr>
              <w:widowControl/>
              <w:jc w:val="center"/>
              <w:textAlignment w:val="center"/>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color w:val="000000"/>
                <w:kern w:val="0"/>
                <w:sz w:val="21"/>
                <w:szCs w:val="21"/>
                <w:highlight w:val="none"/>
                <w:lang w:val="en-US" w:eastAsia="zh-CN" w:bidi="ar"/>
              </w:rPr>
              <w:t>企业</w:t>
            </w:r>
            <w:r>
              <w:rPr>
                <w:rFonts w:hint="eastAsia" w:ascii="宋体" w:hAnsi="宋体" w:cs="宋体"/>
                <w:color w:val="000000"/>
                <w:kern w:val="0"/>
                <w:sz w:val="21"/>
                <w:szCs w:val="21"/>
                <w:highlight w:val="none"/>
                <w:lang w:val="en-US" w:eastAsia="zh-CN" w:bidi="ar"/>
              </w:rPr>
              <w:t>荣</w:t>
            </w:r>
            <w:r>
              <w:rPr>
                <w:rFonts w:hint="eastAsia" w:ascii="宋体" w:hAnsi="宋体" w:eastAsia="宋体" w:cs="宋体"/>
                <w:color w:val="000000"/>
                <w:kern w:val="0"/>
                <w:sz w:val="21"/>
                <w:szCs w:val="21"/>
                <w:highlight w:val="none"/>
                <w:lang w:val="en-US" w:eastAsia="zh-CN" w:bidi="ar"/>
              </w:rPr>
              <w:t>誉</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sz w:val="21"/>
                <w:szCs w:val="21"/>
                <w:highlight w:val="none"/>
                <w:lang w:val="en-US" w:eastAsia="zh-CN"/>
              </w:rPr>
              <w:t>1</w:t>
            </w:r>
            <w:r>
              <w:rPr>
                <w:rFonts w:hint="eastAsia" w:ascii="宋体" w:hAnsi="宋体" w:cs="宋体"/>
                <w:color w:val="000000"/>
                <w:sz w:val="21"/>
                <w:szCs w:val="21"/>
                <w:highlight w:val="none"/>
                <w:lang w:val="en-US" w:eastAsia="zh-CN"/>
              </w:rPr>
              <w:t>5</w:t>
            </w:r>
          </w:p>
        </w:tc>
        <w:tc>
          <w:tcPr>
            <w:tcW w:w="9145" w:type="dxa"/>
            <w:shd w:val="clear" w:color="auto" w:fill="auto"/>
            <w:vAlign w:val="center"/>
          </w:tcPr>
          <w:p>
            <w:pPr>
              <w:numPr>
                <w:ilvl w:val="0"/>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ascii="宋体" w:hAnsi="宋体" w:eastAsia="宋体" w:cs="宋体"/>
                <w:sz w:val="21"/>
                <w:szCs w:val="21"/>
                <w:highlight w:val="none"/>
                <w:lang w:val="en-US" w:eastAsia="zh-Hans"/>
              </w:rPr>
              <w:t>投标人</w:t>
            </w:r>
            <w:r>
              <w:rPr>
                <w:rFonts w:hint="eastAsia" w:ascii="宋体" w:hAnsi="宋体" w:eastAsia="宋体" w:cs="宋体"/>
                <w:color w:val="auto"/>
                <w:sz w:val="21"/>
                <w:szCs w:val="21"/>
                <w:highlight w:val="none"/>
                <w:lang w:val="en-US"/>
              </w:rPr>
              <w:t>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rPr>
              <w:t>年1月1日以来</w:t>
            </w:r>
            <w:r>
              <w:rPr>
                <w:rFonts w:hint="eastAsia" w:ascii="宋体" w:hAnsi="宋体" w:eastAsia="宋体" w:cs="宋体"/>
                <w:sz w:val="21"/>
                <w:szCs w:val="21"/>
                <w:highlight w:val="none"/>
                <w:lang w:val="en-US" w:eastAsia="zh-Hans"/>
              </w:rPr>
              <w:t>获得表彰情况：1</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eastAsia="zh-Hans"/>
              </w:rPr>
              <w:t>获得过省级或以上“</w:t>
            </w:r>
            <w:r>
              <w:rPr>
                <w:rFonts w:hint="eastAsia" w:ascii="宋体" w:hAnsi="宋体" w:eastAsia="宋体" w:cs="宋体"/>
                <w:sz w:val="21"/>
                <w:szCs w:val="21"/>
                <w:highlight w:val="none"/>
                <w:lang w:val="en-US" w:eastAsia="zh-CN"/>
              </w:rPr>
              <w:t>履约管理</w:t>
            </w:r>
            <w:r>
              <w:rPr>
                <w:rFonts w:hint="eastAsia" w:ascii="宋体" w:hAnsi="宋体" w:eastAsia="宋体" w:cs="宋体"/>
                <w:sz w:val="21"/>
                <w:szCs w:val="21"/>
                <w:highlight w:val="none"/>
                <w:lang w:val="en-US" w:eastAsia="zh-Hans"/>
              </w:rPr>
              <w:t>类”表彰的，每项得</w:t>
            </w:r>
            <w:r>
              <w:rPr>
                <w:rFonts w:hint="eastAsia" w:ascii="宋体" w:hAnsi="宋体" w:eastAsia="宋体" w:cs="宋体"/>
                <w:sz w:val="21"/>
                <w:szCs w:val="21"/>
                <w:highlight w:val="none"/>
                <w:lang w:val="en-US" w:eastAsia="zh-CN"/>
              </w:rPr>
              <w:t>7.5</w:t>
            </w:r>
            <w:r>
              <w:rPr>
                <w:rFonts w:hint="eastAsia" w:ascii="宋体" w:hAnsi="宋体" w:eastAsia="宋体" w:cs="宋体"/>
                <w:sz w:val="21"/>
                <w:szCs w:val="21"/>
                <w:highlight w:val="none"/>
                <w:lang w:val="en-US" w:eastAsia="zh-Hans"/>
              </w:rPr>
              <w:t>分，最高得</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lang w:val="en-US" w:eastAsia="zh-Hans"/>
              </w:rPr>
              <w:t>.0分。2、获得过市级“</w:t>
            </w:r>
            <w:r>
              <w:rPr>
                <w:rFonts w:hint="eastAsia" w:ascii="宋体" w:hAnsi="宋体" w:eastAsia="宋体" w:cs="宋体"/>
                <w:sz w:val="21"/>
                <w:szCs w:val="21"/>
                <w:highlight w:val="none"/>
                <w:lang w:val="en-US" w:eastAsia="zh-CN"/>
              </w:rPr>
              <w:t>履约管理</w:t>
            </w:r>
            <w:r>
              <w:rPr>
                <w:rFonts w:hint="eastAsia" w:ascii="宋体" w:hAnsi="宋体" w:eastAsia="宋体" w:cs="宋体"/>
                <w:sz w:val="21"/>
                <w:szCs w:val="21"/>
                <w:highlight w:val="none"/>
                <w:lang w:val="en-US" w:eastAsia="zh-Hans"/>
              </w:rPr>
              <w:t>类”表彰的，每项得</w:t>
            </w:r>
            <w:r>
              <w:rPr>
                <w:rFonts w:hint="eastAsia" w:ascii="宋体" w:hAnsi="宋体" w:eastAsia="宋体" w:cs="宋体"/>
                <w:sz w:val="21"/>
                <w:szCs w:val="21"/>
                <w:highlight w:val="none"/>
                <w:lang w:val="en-US" w:eastAsia="zh-CN"/>
              </w:rPr>
              <w:t>5.0</w:t>
            </w:r>
            <w:r>
              <w:rPr>
                <w:rFonts w:hint="eastAsia" w:ascii="宋体" w:hAnsi="宋体" w:eastAsia="宋体" w:cs="宋体"/>
                <w:sz w:val="21"/>
                <w:szCs w:val="21"/>
                <w:highlight w:val="none"/>
                <w:lang w:val="en-US" w:eastAsia="zh-Hans"/>
              </w:rPr>
              <w:t>分，最高得</w:t>
            </w:r>
            <w:r>
              <w:rPr>
                <w:rFonts w:hint="eastAsia" w:ascii="宋体" w:hAnsi="宋体" w:eastAsia="宋体" w:cs="宋体"/>
                <w:sz w:val="21"/>
                <w:szCs w:val="21"/>
                <w:highlight w:val="none"/>
                <w:lang w:val="en-US" w:eastAsia="zh-CN"/>
              </w:rPr>
              <w:t>10.0</w:t>
            </w:r>
            <w:r>
              <w:rPr>
                <w:rFonts w:hint="eastAsia" w:ascii="宋体" w:hAnsi="宋体" w:eastAsia="宋体" w:cs="宋体"/>
                <w:sz w:val="21"/>
                <w:szCs w:val="21"/>
                <w:highlight w:val="none"/>
                <w:lang w:val="en-US" w:eastAsia="zh-Hans"/>
              </w:rPr>
              <w:t>分。</w:t>
            </w:r>
          </w:p>
          <w:p>
            <w:pPr>
              <w:numPr>
                <w:ilvl w:val="-1"/>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ascii="宋体" w:hAnsi="宋体" w:eastAsia="宋体" w:cs="宋体"/>
                <w:sz w:val="21"/>
                <w:szCs w:val="21"/>
                <w:highlight w:val="none"/>
                <w:lang w:val="en-US" w:eastAsia="zh-Hans"/>
              </w:rPr>
              <w:t>注：【本项最高得</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lang w:val="en-US" w:eastAsia="zh-Hans"/>
              </w:rPr>
              <w:t>分】1.获得表彰情况以省（包括省、自治区、直辖市）、市人民政府或行业行政主管部门或经民政部批准成立的工程建设行业协会颁发的表彰证书或表彰文件为准</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en-US" w:eastAsia="zh-Hans"/>
              </w:rPr>
              <w:t>投标人提供表彰（获奖）证书或表彰（获奖）正式文件的</w:t>
            </w:r>
            <w:r>
              <w:rPr>
                <w:rFonts w:hint="eastAsia" w:ascii="宋体" w:hAnsi="宋体" w:eastAsia="宋体" w:cs="宋体"/>
                <w:sz w:val="21"/>
                <w:szCs w:val="21"/>
                <w:highlight w:val="none"/>
                <w:lang w:val="en-US" w:eastAsia="zh-CN"/>
              </w:rPr>
              <w:t>复印</w:t>
            </w:r>
            <w:r>
              <w:rPr>
                <w:rFonts w:hint="eastAsia" w:ascii="宋体" w:hAnsi="宋体" w:eastAsia="宋体" w:cs="宋体"/>
                <w:sz w:val="21"/>
                <w:szCs w:val="21"/>
                <w:highlight w:val="none"/>
                <w:lang w:val="en-US" w:eastAsia="zh-Hans"/>
              </w:rPr>
              <w:t>件和提供查询网页（或截图）打印页和查询网址链接并加盖投标单位公章，未按要求提供的，不得分。</w:t>
            </w:r>
            <w:r>
              <w:rPr>
                <w:rFonts w:hint="default" w:ascii="宋体" w:hAnsi="宋体" w:eastAsia="宋体" w:cs="宋体"/>
                <w:color w:val="auto"/>
                <w:szCs w:val="21"/>
                <w:highlight w:val="none"/>
                <w:lang w:val="en-US" w:eastAsia="zh-CN"/>
              </w:rPr>
              <w:t>3.同一项目按最高奖</w:t>
            </w:r>
            <w:r>
              <w:rPr>
                <w:rFonts w:hint="default"/>
                <w:highlight w:val="none"/>
                <w:lang w:val="en-US" w:eastAsia="zh-CN"/>
              </w:rPr>
              <w:t>项计分，不得重复计算。</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20分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项目</w:t>
            </w:r>
            <w:r>
              <w:rPr>
                <w:rFonts w:hint="eastAsia" w:ascii="宋体" w:hAnsi="宋体" w:eastAsia="宋体" w:cs="宋体"/>
                <w:color w:val="000000"/>
                <w:kern w:val="0"/>
                <w:sz w:val="21"/>
                <w:szCs w:val="21"/>
                <w:highlight w:val="none"/>
                <w:lang w:val="en-US" w:eastAsia="zh-CN" w:bidi="ar"/>
              </w:rPr>
              <w:t>组织</w:t>
            </w:r>
            <w:r>
              <w:rPr>
                <w:rFonts w:hint="eastAsia" w:ascii="宋体" w:hAnsi="宋体" w:eastAsia="宋体" w:cs="宋体"/>
                <w:color w:val="000000"/>
                <w:kern w:val="0"/>
                <w:sz w:val="21"/>
                <w:szCs w:val="21"/>
                <w:highlight w:val="none"/>
                <w:lang w:bidi="ar"/>
              </w:rPr>
              <w:t>管理机构及</w:t>
            </w:r>
            <w:r>
              <w:rPr>
                <w:rFonts w:hint="eastAsia" w:ascii="宋体" w:hAnsi="宋体" w:eastAsia="宋体" w:cs="宋体"/>
                <w:color w:val="000000"/>
                <w:kern w:val="0"/>
                <w:sz w:val="21"/>
                <w:szCs w:val="21"/>
                <w:highlight w:val="none"/>
                <w:lang w:val="en-US" w:eastAsia="zh-CN" w:bidi="ar"/>
              </w:rPr>
              <w:t>人员配备</w:t>
            </w:r>
          </w:p>
        </w:tc>
        <w:tc>
          <w:tcPr>
            <w:tcW w:w="709" w:type="dxa"/>
            <w:shd w:val="clear" w:color="auto" w:fill="auto"/>
            <w:vAlign w:val="center"/>
          </w:tcPr>
          <w:p>
            <w:pPr>
              <w:widowControl/>
              <w:jc w:val="center"/>
              <w:textAlignment w:val="center"/>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4</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项目组人员配备充分，人员分</w:t>
            </w:r>
            <w:r>
              <w:rPr>
                <w:rFonts w:hint="eastAsia" w:ascii="宋体" w:hAnsi="宋体" w:eastAsia="宋体" w:cs="宋体"/>
                <w:color w:val="000000"/>
                <w:kern w:val="0"/>
                <w:sz w:val="21"/>
                <w:szCs w:val="21"/>
                <w:highlight w:val="none"/>
                <w:lang w:eastAsia="zh-CN" w:bidi="ar"/>
              </w:rPr>
              <w:t>工合理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[4-3]</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项目组人员配备基本满足</w:t>
            </w:r>
            <w:r>
              <w:rPr>
                <w:rFonts w:hint="eastAsia" w:ascii="宋体" w:hAnsi="宋体" w:eastAsia="宋体" w:cs="宋体"/>
                <w:color w:val="000000"/>
                <w:kern w:val="0"/>
                <w:sz w:val="21"/>
                <w:szCs w:val="21"/>
                <w:highlight w:val="none"/>
                <w:lang w:eastAsia="zh-CN" w:bidi="ar"/>
              </w:rPr>
              <w:t>项目要求</w:t>
            </w:r>
            <w:r>
              <w:rPr>
                <w:rFonts w:hint="eastAsia" w:ascii="宋体" w:hAnsi="宋体" w:eastAsia="宋体" w:cs="宋体"/>
                <w:color w:val="000000"/>
                <w:kern w:val="0"/>
                <w:sz w:val="21"/>
                <w:szCs w:val="21"/>
                <w:highlight w:val="none"/>
                <w:lang w:bidi="ar"/>
              </w:rPr>
              <w:t>，人员分</w:t>
            </w:r>
            <w:r>
              <w:rPr>
                <w:rFonts w:hint="eastAsia" w:ascii="宋体" w:hAnsi="宋体" w:eastAsia="宋体" w:cs="宋体"/>
                <w:color w:val="000000"/>
                <w:kern w:val="0"/>
                <w:sz w:val="21"/>
                <w:szCs w:val="21"/>
                <w:highlight w:val="none"/>
                <w:lang w:eastAsia="zh-CN" w:bidi="ar"/>
              </w:rPr>
              <w:t>工较为合理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[2-1]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雨季施工防护措施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sz w:val="21"/>
                <w:szCs w:val="21"/>
                <w:highlight w:val="none"/>
                <w:lang w:val="en-US" w:eastAsia="zh-CN"/>
              </w:rPr>
              <w:t>6</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w:t>
            </w:r>
            <w:r>
              <w:rPr>
                <w:rFonts w:hint="eastAsia" w:ascii="宋体" w:hAnsi="宋体" w:eastAsia="宋体" w:cs="宋体"/>
                <w:color w:val="000000"/>
                <w:kern w:val="0"/>
                <w:sz w:val="21"/>
                <w:szCs w:val="21"/>
                <w:highlight w:val="none"/>
                <w:lang w:eastAsia="zh-CN" w:bidi="ar"/>
              </w:rPr>
              <w:t>的雨天</w:t>
            </w:r>
            <w:r>
              <w:rPr>
                <w:rFonts w:hint="eastAsia" w:ascii="宋体" w:hAnsi="宋体" w:eastAsia="宋体" w:cs="宋体"/>
                <w:color w:val="000000"/>
                <w:kern w:val="0"/>
                <w:sz w:val="21"/>
                <w:szCs w:val="21"/>
                <w:highlight w:val="none"/>
                <w:lang w:bidi="ar"/>
              </w:rPr>
              <w:t>施工防护措施详细的、合理的，得</w:t>
            </w: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雨天</w:t>
            </w:r>
            <w:r>
              <w:rPr>
                <w:rFonts w:hint="eastAsia" w:ascii="宋体" w:hAnsi="宋体" w:eastAsia="宋体" w:cs="宋体"/>
                <w:color w:val="000000"/>
                <w:kern w:val="0"/>
                <w:sz w:val="21"/>
                <w:szCs w:val="21"/>
                <w:highlight w:val="none"/>
                <w:lang w:bidi="ar"/>
              </w:rPr>
              <w:t>施工防护措施</w:t>
            </w:r>
            <w:r>
              <w:rPr>
                <w:rFonts w:hint="eastAsia" w:ascii="宋体" w:hAnsi="宋体" w:eastAsia="宋体" w:cs="宋体"/>
                <w:color w:val="000000"/>
                <w:kern w:val="0"/>
                <w:sz w:val="21"/>
                <w:szCs w:val="21"/>
                <w:highlight w:val="none"/>
                <w:lang w:eastAsia="zh-CN" w:bidi="ar"/>
              </w:rPr>
              <w:t>符合项目特点要求</w:t>
            </w:r>
            <w:r>
              <w:rPr>
                <w:rFonts w:hint="eastAsia" w:ascii="宋体" w:hAnsi="宋体" w:eastAsia="宋体" w:cs="宋体"/>
                <w:color w:val="000000"/>
                <w:kern w:val="0"/>
                <w:sz w:val="21"/>
                <w:szCs w:val="21"/>
                <w:highlight w:val="none"/>
                <w:lang w:bidi="ar"/>
              </w:rPr>
              <w:t>，针</w:t>
            </w:r>
            <w:r>
              <w:rPr>
                <w:rFonts w:hint="eastAsia" w:ascii="宋体" w:hAnsi="宋体" w:eastAsia="宋体" w:cs="宋体"/>
                <w:color w:val="000000"/>
                <w:kern w:val="0"/>
                <w:sz w:val="21"/>
                <w:szCs w:val="21"/>
                <w:highlight w:val="none"/>
                <w:lang w:eastAsia="zh-CN" w:bidi="ar"/>
              </w:rPr>
              <w:t>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定防护措施</w:t>
            </w:r>
            <w:r>
              <w:rPr>
                <w:rFonts w:hint="eastAsia" w:ascii="宋体" w:hAnsi="宋体" w:eastAsia="宋体" w:cs="宋体"/>
                <w:color w:val="000000"/>
                <w:kern w:val="0"/>
                <w:sz w:val="21"/>
                <w:szCs w:val="21"/>
                <w:highlight w:val="none"/>
                <w:lang w:eastAsia="zh-CN" w:bidi="ar"/>
              </w:rPr>
              <w:t>较为妥当</w:t>
            </w:r>
            <w:r>
              <w:rPr>
                <w:rFonts w:hint="eastAsia" w:ascii="宋体" w:hAnsi="宋体" w:eastAsia="宋体" w:cs="宋体"/>
                <w:color w:val="000000"/>
                <w:kern w:val="0"/>
                <w:sz w:val="21"/>
                <w:szCs w:val="21"/>
                <w:highlight w:val="none"/>
                <w:lang w:bidi="ar"/>
              </w:rPr>
              <w:t>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其他</w:t>
            </w:r>
            <w:r>
              <w:rPr>
                <w:rFonts w:hint="eastAsia" w:ascii="宋体" w:hAnsi="宋体" w:eastAsia="宋体" w:cs="宋体"/>
                <w:color w:val="000000"/>
                <w:kern w:val="0"/>
                <w:sz w:val="21"/>
                <w:szCs w:val="21"/>
                <w:highlight w:val="none"/>
                <w:lang w:bidi="ar"/>
              </w:rPr>
              <w:t>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质量保障措施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针对项目物点</w:t>
            </w:r>
            <w:r>
              <w:rPr>
                <w:rFonts w:hint="eastAsia" w:ascii="宋体" w:hAnsi="宋体" w:eastAsia="宋体" w:cs="宋体"/>
                <w:color w:val="000000"/>
                <w:kern w:val="0"/>
                <w:sz w:val="21"/>
                <w:szCs w:val="21"/>
                <w:highlight w:val="none"/>
                <w:lang w:bidi="ar"/>
              </w:rPr>
              <w:t>质量保证措施详细、具体，可行性、可操作性强，得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质量保证措施</w:t>
            </w:r>
            <w:r>
              <w:rPr>
                <w:rFonts w:hint="eastAsia" w:ascii="宋体" w:hAnsi="宋体" w:eastAsia="宋体" w:cs="宋体"/>
                <w:color w:val="000000"/>
                <w:kern w:val="0"/>
                <w:sz w:val="21"/>
                <w:szCs w:val="21"/>
                <w:highlight w:val="none"/>
                <w:lang w:eastAsia="zh-CN" w:bidi="ar"/>
              </w:rPr>
              <w:t>较</w:t>
            </w:r>
            <w:r>
              <w:rPr>
                <w:rFonts w:hint="eastAsia" w:ascii="宋体" w:hAnsi="宋体" w:eastAsia="宋体" w:cs="宋体"/>
                <w:color w:val="000000"/>
                <w:kern w:val="0"/>
                <w:sz w:val="21"/>
                <w:szCs w:val="21"/>
                <w:highlight w:val="none"/>
                <w:lang w:bidi="ar"/>
              </w:rPr>
              <w:t>详细，可行性或可操作性一般，得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bidi="ar"/>
              </w:rPr>
              <w:t>生产事故应急预案</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kern w:val="0"/>
                <w:sz w:val="21"/>
                <w:szCs w:val="21"/>
                <w:highlight w:val="none"/>
                <w:lang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生产事故应急预案标准规范，应急处置程序合理，班前培训安排合理，安全措施到位的，得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生产事故应急预案合理，安全教育培训安排或安全措施较完善的，得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eastAsia="zh-CN"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得分</w:t>
            </w:r>
          </w:p>
          <w:p>
            <w:pPr>
              <w:snapToGrid w:val="0"/>
              <w:ind w:left="-2" w:leftChars="-1"/>
              <w:jc w:val="center"/>
              <w:rPr>
                <w:rFonts w:hint="eastAsia" w:ascii="宋体" w:hAnsi="宋体" w:eastAsia="宋体" w:cs="宋体"/>
                <w:color w:val="auto"/>
                <w:szCs w:val="21"/>
                <w:highlight w:val="none"/>
              </w:rPr>
            </w:pP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50</w:t>
            </w:r>
          </w:p>
        </w:tc>
        <w:tc>
          <w:tcPr>
            <w:tcW w:w="9145" w:type="dxa"/>
            <w:shd w:val="clear" w:color="auto" w:fill="auto"/>
            <w:vAlign w:val="top"/>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widowControl w:val="0"/>
              <w:numPr>
                <w:ilvl w:val="0"/>
                <w:numId w:val="3"/>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报价等于基准价的，得分=50。</w:t>
            </w:r>
          </w:p>
          <w:p>
            <w:pPr>
              <w:widowControl w:val="0"/>
              <w:numPr>
                <w:ilvl w:val="0"/>
                <w:numId w:val="3"/>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报价高于基准价的，得分=50-[（报价-基准价）/基准价]×100×1</w:t>
            </w:r>
          </w:p>
          <w:p>
            <w:pPr>
              <w:numPr>
                <w:ilvl w:val="0"/>
                <w:numId w:val="0"/>
              </w:numPr>
              <w:snapToGrid w:val="0"/>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3、报价低于基准价的，得分=50-[（基准价-报价）/基准价]×100×0.5</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145"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jc w:val="left"/>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51"/>
    <w:bookmarkEnd w:id="52"/>
    <w:p>
      <w:pPr>
        <w:pStyle w:val="24"/>
        <w:ind w:firstLine="420" w:firstLineChars="200"/>
        <w:rPr>
          <w:rFonts w:hint="eastAsia" w:ascii="宋体" w:hAnsi="宋体" w:cs="宋体"/>
          <w:color w:val="auto"/>
          <w:kern w:val="0"/>
          <w:sz w:val="21"/>
          <w:szCs w:val="21"/>
          <w:highlight w:val="none"/>
          <w:lang w:eastAsia="zh-CN"/>
        </w:rPr>
      </w:pPr>
    </w:p>
    <w:p>
      <w:pPr>
        <w:pStyle w:val="24"/>
        <w:ind w:firstLine="420" w:firstLineChars="200"/>
        <w:rPr>
          <w:rFonts w:hint="eastAsia" w:ascii="宋体" w:hAnsi="宋体" w:cs="宋体"/>
          <w:color w:val="auto"/>
          <w:kern w:val="0"/>
          <w:sz w:val="21"/>
          <w:szCs w:val="21"/>
          <w:highlight w:val="none"/>
          <w:lang w:eastAsia="zh-CN"/>
        </w:rPr>
      </w:pPr>
    </w:p>
    <w:p>
      <w:pPr>
        <w:pStyle w:val="24"/>
        <w:ind w:firstLine="420" w:firstLineChars="200"/>
        <w:rPr>
          <w:rFonts w:hint="eastAsia" w:ascii="宋体" w:hAnsi="宋体" w:cs="宋体"/>
          <w:color w:val="auto"/>
          <w:kern w:val="0"/>
          <w:sz w:val="21"/>
          <w:szCs w:val="21"/>
          <w:highlight w:val="none"/>
          <w:lang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pStyle w:val="24"/>
        <w:ind w:firstLine="420" w:firstLineChars="200"/>
        <w:rPr>
          <w:rFonts w:hint="eastAsia" w:ascii="宋体" w:hAnsi="宋体" w:cs="宋体"/>
          <w:bCs/>
          <w:color w:val="auto"/>
          <w:kern w:val="0"/>
          <w:sz w:val="21"/>
          <w:szCs w:val="21"/>
          <w:highlight w:val="none"/>
          <w:lang w:eastAsia="zh-CN"/>
        </w:rPr>
      </w:pPr>
    </w:p>
    <w:p>
      <w:pPr>
        <w:pStyle w:val="24"/>
        <w:ind w:firstLine="420" w:firstLineChars="200"/>
        <w:rPr>
          <w:rFonts w:hint="eastAsia" w:ascii="宋体" w:hAnsi="宋体" w:cs="宋体"/>
          <w:bCs/>
          <w:color w:val="auto"/>
          <w:kern w:val="0"/>
          <w:sz w:val="21"/>
          <w:szCs w:val="21"/>
          <w:highlight w:val="none"/>
          <w:lang w:val="en-US" w:eastAsia="zh-CN"/>
        </w:rPr>
        <w:sectPr>
          <w:pgSz w:w="16838" w:h="11906" w:orient="landscape"/>
          <w:pgMar w:top="1797" w:right="1440" w:bottom="1797" w:left="1440" w:header="720" w:footer="720" w:gutter="0"/>
          <w:pgNumType w:fmt="decimal"/>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53" w:name="_Toc27349"/>
      <w:bookmarkStart w:id="54" w:name="_Toc10364"/>
      <w:bookmarkStart w:id="55" w:name="_Toc17298"/>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bookmarkEnd w:id="54"/>
      <w:bookmarkEnd w:id="55"/>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i w:val="0"/>
          <w:caps w:val="0"/>
          <w:color w:val="auto"/>
          <w:spacing w:val="0"/>
          <w:w w:val="100"/>
          <w:kern w:val="0"/>
          <w:sz w:val="24"/>
          <w:szCs w:val="24"/>
          <w:highlight w:val="none"/>
          <w:u w:val="single"/>
          <w:lang w:val="en-US" w:eastAsia="zh-CN"/>
        </w:rPr>
        <w:t>广州市南沙</w:t>
      </w:r>
      <w:r>
        <w:rPr>
          <w:rFonts w:hint="eastAsia" w:ascii="宋体" w:hAnsi="宋体" w:eastAsia="宋体" w:cs="Times New Roman"/>
          <w:b w:val="0"/>
          <w:color w:val="auto"/>
          <w:kern w:val="0"/>
          <w:sz w:val="24"/>
          <w:szCs w:val="24"/>
          <w:highlight w:val="none"/>
          <w:u w:val="single"/>
          <w:lang w:val="en-US" w:eastAsia="zh-CN"/>
        </w:rPr>
        <w:t>天后文化学会、</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b w:val="0"/>
          <w:bCs w:val="0"/>
          <w:color w:val="auto"/>
          <w:kern w:val="0"/>
          <w:sz w:val="24"/>
          <w:szCs w:val="24"/>
          <w:highlight w:val="none"/>
          <w:u w:val="single"/>
          <w:lang w:val="en-US" w:eastAsia="zh-CN"/>
        </w:rPr>
        <w:t xml:space="preserve">妈祖广场安全护栏及天后宫内零星维修维护项目 </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2"/>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56" w:name="_Toc26871"/>
      <w:r>
        <w:rPr>
          <w:rFonts w:hint="eastAsia" w:ascii="宋体" w:hAnsi="宋体" w:cs="宋体" w:eastAsiaTheme="minorEastAsia"/>
          <w:b/>
          <w:color w:val="auto"/>
          <w:kern w:val="0"/>
          <w:sz w:val="28"/>
          <w:szCs w:val="28"/>
          <w:highlight w:val="none"/>
          <w:lang w:val="en-US" w:eastAsia="zh-CN"/>
        </w:rPr>
        <w:t>非联合体投标声明（格式自拟）</w:t>
      </w:r>
      <w:bookmarkEnd w:id="56"/>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7A7B36A8"/>
    <w:multiLevelType w:val="singleLevel"/>
    <w:tmpl w:val="7A7B36A8"/>
    <w:lvl w:ilvl="0" w:tentative="0">
      <w:start w:val="3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B63DD1"/>
    <w:rsid w:val="02E9680F"/>
    <w:rsid w:val="02F7533D"/>
    <w:rsid w:val="030457ED"/>
    <w:rsid w:val="03562994"/>
    <w:rsid w:val="03CB6D70"/>
    <w:rsid w:val="04364A4F"/>
    <w:rsid w:val="0437697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A667E8"/>
    <w:rsid w:val="0A621C44"/>
    <w:rsid w:val="0A9867C9"/>
    <w:rsid w:val="0B372B92"/>
    <w:rsid w:val="0BFF40FB"/>
    <w:rsid w:val="0C855B7E"/>
    <w:rsid w:val="0C87037B"/>
    <w:rsid w:val="0CF74903"/>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6A55FAC"/>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6432D4"/>
    <w:rsid w:val="1EBD45C4"/>
    <w:rsid w:val="1F1C5732"/>
    <w:rsid w:val="1F584BD1"/>
    <w:rsid w:val="205D447F"/>
    <w:rsid w:val="206E043A"/>
    <w:rsid w:val="20AD4C4C"/>
    <w:rsid w:val="20B72936"/>
    <w:rsid w:val="21424D60"/>
    <w:rsid w:val="215321ED"/>
    <w:rsid w:val="224A02E7"/>
    <w:rsid w:val="227411DF"/>
    <w:rsid w:val="232E3EB1"/>
    <w:rsid w:val="24856237"/>
    <w:rsid w:val="25053D8A"/>
    <w:rsid w:val="25687B33"/>
    <w:rsid w:val="25791876"/>
    <w:rsid w:val="26236584"/>
    <w:rsid w:val="26B94C66"/>
    <w:rsid w:val="26FF6942"/>
    <w:rsid w:val="272101A5"/>
    <w:rsid w:val="272B74FA"/>
    <w:rsid w:val="2751149E"/>
    <w:rsid w:val="27941AD8"/>
    <w:rsid w:val="2837076A"/>
    <w:rsid w:val="2865301D"/>
    <w:rsid w:val="28C86C87"/>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7C58E2"/>
    <w:rsid w:val="3D957982"/>
    <w:rsid w:val="3D96007A"/>
    <w:rsid w:val="3F30256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5055F70"/>
    <w:rsid w:val="55D41C4B"/>
    <w:rsid w:val="5702252D"/>
    <w:rsid w:val="572444C0"/>
    <w:rsid w:val="576D49E8"/>
    <w:rsid w:val="579C393A"/>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11D05"/>
    <w:rsid w:val="5E960581"/>
    <w:rsid w:val="5F355496"/>
    <w:rsid w:val="5F8349F8"/>
    <w:rsid w:val="5F865CD7"/>
    <w:rsid w:val="5FB4440E"/>
    <w:rsid w:val="5FDC4484"/>
    <w:rsid w:val="60BA0556"/>
    <w:rsid w:val="60F61E20"/>
    <w:rsid w:val="6118527D"/>
    <w:rsid w:val="61A7533B"/>
    <w:rsid w:val="621244D5"/>
    <w:rsid w:val="62B2296D"/>
    <w:rsid w:val="62B247EF"/>
    <w:rsid w:val="636147EE"/>
    <w:rsid w:val="63DB6B9E"/>
    <w:rsid w:val="64A86918"/>
    <w:rsid w:val="65B441A4"/>
    <w:rsid w:val="65D8147F"/>
    <w:rsid w:val="66373494"/>
    <w:rsid w:val="66591B82"/>
    <w:rsid w:val="66A2527C"/>
    <w:rsid w:val="66CF4630"/>
    <w:rsid w:val="66E005EB"/>
    <w:rsid w:val="68550B65"/>
    <w:rsid w:val="6898637C"/>
    <w:rsid w:val="68B16D7B"/>
    <w:rsid w:val="68BA7003"/>
    <w:rsid w:val="6B121E89"/>
    <w:rsid w:val="6C281E78"/>
    <w:rsid w:val="6C307E68"/>
    <w:rsid w:val="6C920572"/>
    <w:rsid w:val="6CE07597"/>
    <w:rsid w:val="6D373324"/>
    <w:rsid w:val="6D635AD2"/>
    <w:rsid w:val="6DB227E4"/>
    <w:rsid w:val="6DBE1759"/>
    <w:rsid w:val="6DC31ECB"/>
    <w:rsid w:val="6DD16EDF"/>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6">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7">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8">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9">
    <w:name w:val="Normal Indent"/>
    <w:basedOn w:val="1"/>
    <w:qFormat/>
    <w:uiPriority w:val="0"/>
    <w:pPr>
      <w:ind w:firstLine="420"/>
    </w:pPr>
    <w:rPr>
      <w:rFonts w:ascii="Times New Roman" w:hAnsi="Times New Roman" w:eastAsia="宋体" w:cs="Times New Roman"/>
      <w:szCs w:val="20"/>
    </w:rPr>
  </w:style>
  <w:style w:type="paragraph" w:styleId="10">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1">
    <w:name w:val="annotation text"/>
    <w:basedOn w:val="1"/>
    <w:semiHidden/>
    <w:unhideWhenUsed/>
    <w:qFormat/>
    <w:uiPriority w:val="0"/>
    <w:pPr>
      <w:jc w:val="left"/>
    </w:pPr>
  </w:style>
  <w:style w:type="paragraph" w:styleId="12">
    <w:name w:val="Plain Text"/>
    <w:basedOn w:val="1"/>
    <w:next w:val="1"/>
    <w:link w:val="36"/>
    <w:qFormat/>
    <w:uiPriority w:val="0"/>
    <w:rPr>
      <w:rFonts w:hint="eastAsia" w:ascii="宋体" w:hAnsi="Courier New" w:eastAsia="宋体" w:cs="Times New Roman"/>
      <w:szCs w:val="21"/>
    </w:rPr>
  </w:style>
  <w:style w:type="paragraph" w:styleId="13">
    <w:name w:val="Balloon Text"/>
    <w:basedOn w:val="1"/>
    <w:link w:val="34"/>
    <w:qFormat/>
    <w:uiPriority w:val="0"/>
    <w:rPr>
      <w:sz w:val="18"/>
      <w:szCs w:val="18"/>
    </w:rPr>
  </w:style>
  <w:style w:type="paragraph" w:styleId="14">
    <w:name w:val="footer"/>
    <w:basedOn w:val="1"/>
    <w:link w:val="33"/>
    <w:qFormat/>
    <w:uiPriority w:val="0"/>
    <w:pPr>
      <w:tabs>
        <w:tab w:val="center" w:pos="4153"/>
        <w:tab w:val="right" w:pos="8306"/>
      </w:tabs>
      <w:snapToGrid w:val="0"/>
      <w:jc w:val="left"/>
    </w:pPr>
    <w:rPr>
      <w:sz w:val="18"/>
      <w:szCs w:val="18"/>
    </w:rPr>
  </w:style>
  <w:style w:type="paragraph" w:styleId="15">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rPr>
      <w:rFonts w:ascii="Times New Roman" w:hAnsi="Times New Roman" w:eastAsia="宋体" w:cs="Times New Roman"/>
      <w:szCs w:val="21"/>
    </w:rPr>
  </w:style>
  <w:style w:type="paragraph" w:styleId="17">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9"/>
    <w:qFormat/>
    <w:uiPriority w:val="0"/>
    <w:rPr>
      <w:rFonts w:hint="default" w:ascii="Times New Roman" w:hAnsi="Times New Roman" w:cs="Times New Roman"/>
    </w:rPr>
  </w:style>
  <w:style w:type="character" w:customStyle="1" w:styleId="30">
    <w:name w:val="15"/>
    <w:basedOn w:val="19"/>
    <w:qFormat/>
    <w:uiPriority w:val="0"/>
    <w:rPr>
      <w:rFonts w:hint="default" w:ascii="Times New Roman" w:hAnsi="Times New Roman" w:cs="Times New Roman"/>
    </w:rPr>
  </w:style>
  <w:style w:type="character" w:customStyle="1" w:styleId="31">
    <w:name w:val="16"/>
    <w:basedOn w:val="19"/>
    <w:qFormat/>
    <w:uiPriority w:val="0"/>
    <w:rPr>
      <w:rFonts w:hint="default" w:ascii="Times New Roman" w:hAnsi="Times New Roman" w:cs="Times New Roman"/>
      <w:color w:val="0000FF"/>
      <w:u w:val="single"/>
    </w:rPr>
  </w:style>
  <w:style w:type="character" w:customStyle="1" w:styleId="32">
    <w:name w:val="页眉 Char"/>
    <w:basedOn w:val="19"/>
    <w:link w:val="15"/>
    <w:qFormat/>
    <w:uiPriority w:val="0"/>
    <w:rPr>
      <w:rFonts w:asciiTheme="minorHAnsi" w:hAnsiTheme="minorHAnsi" w:eastAsiaTheme="minorEastAsia" w:cstheme="minorBidi"/>
      <w:kern w:val="2"/>
      <w:sz w:val="18"/>
      <w:szCs w:val="18"/>
    </w:rPr>
  </w:style>
  <w:style w:type="character" w:customStyle="1" w:styleId="33">
    <w:name w:val="页脚 Char"/>
    <w:basedOn w:val="19"/>
    <w:link w:val="14"/>
    <w:qFormat/>
    <w:uiPriority w:val="0"/>
    <w:rPr>
      <w:rFonts w:asciiTheme="minorHAnsi" w:hAnsiTheme="minorHAnsi" w:eastAsiaTheme="minorEastAsia" w:cstheme="minorBidi"/>
      <w:kern w:val="2"/>
      <w:sz w:val="18"/>
      <w:szCs w:val="18"/>
    </w:rPr>
  </w:style>
  <w:style w:type="character" w:customStyle="1" w:styleId="34">
    <w:name w:val="批注框文本 Char"/>
    <w:basedOn w:val="19"/>
    <w:link w:val="13"/>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12"/>
    <w:qFormat/>
    <w:uiPriority w:val="0"/>
    <w:rPr>
      <w:rFonts w:ascii="宋体" w:hAnsi="Courier New"/>
      <w:kern w:val="2"/>
      <w:sz w:val="21"/>
      <w:szCs w:val="21"/>
    </w:rPr>
  </w:style>
  <w:style w:type="character" w:customStyle="1" w:styleId="37">
    <w:name w:val="正文首行缩进 Char"/>
    <w:basedOn w:val="19"/>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7"/>
    <w:qFormat/>
    <w:uiPriority w:val="0"/>
    <w:rPr>
      <w:rFonts w:ascii="宋体" w:hAnsi="宋体"/>
      <w:b/>
      <w:sz w:val="28"/>
      <w:lang w:val="en-US" w:eastAsia="zh-CN" w:bidi="ar-SA"/>
    </w:rPr>
  </w:style>
  <w:style w:type="character" w:customStyle="1" w:styleId="44">
    <w:name w:val="active2"/>
    <w:basedOn w:val="19"/>
    <w:qFormat/>
    <w:uiPriority w:val="0"/>
    <w:rPr>
      <w:color w:val="00FF00"/>
      <w:shd w:val="clear" w:fill="111111"/>
    </w:rPr>
  </w:style>
  <w:style w:type="character" w:customStyle="1" w:styleId="45">
    <w:name w:val="cdropright"/>
    <w:basedOn w:val="19"/>
    <w:qFormat/>
    <w:uiPriority w:val="0"/>
  </w:style>
  <w:style w:type="character" w:customStyle="1" w:styleId="46">
    <w:name w:val="drapbtn"/>
    <w:basedOn w:val="19"/>
    <w:qFormat/>
    <w:uiPriority w:val="0"/>
  </w:style>
  <w:style w:type="character" w:customStyle="1" w:styleId="47">
    <w:name w:val="after"/>
    <w:basedOn w:val="19"/>
    <w:qFormat/>
    <w:uiPriority w:val="0"/>
    <w:rPr>
      <w:sz w:val="0"/>
      <w:szCs w:val="0"/>
    </w:rPr>
  </w:style>
  <w:style w:type="character" w:customStyle="1" w:styleId="48">
    <w:name w:val="pagechatarealistclose_box"/>
    <w:basedOn w:val="19"/>
    <w:qFormat/>
    <w:uiPriority w:val="0"/>
  </w:style>
  <w:style w:type="character" w:customStyle="1" w:styleId="49">
    <w:name w:val="pagechatarealistclose_box1"/>
    <w:basedOn w:val="19"/>
    <w:qFormat/>
    <w:uiPriority w:val="0"/>
  </w:style>
  <w:style w:type="character" w:customStyle="1" w:styleId="50">
    <w:name w:val="hilite5"/>
    <w:basedOn w:val="19"/>
    <w:qFormat/>
    <w:uiPriority w:val="0"/>
    <w:rPr>
      <w:color w:val="FFFFFF"/>
      <w:shd w:val="clear" w:fill="666666"/>
    </w:rPr>
  </w:style>
  <w:style w:type="character" w:customStyle="1" w:styleId="51">
    <w:name w:val="associateddata"/>
    <w:basedOn w:val="19"/>
    <w:qFormat/>
    <w:uiPriority w:val="0"/>
    <w:rPr>
      <w:shd w:val="clear" w:fill="50A6F9"/>
    </w:rPr>
  </w:style>
  <w:style w:type="character" w:customStyle="1" w:styleId="52">
    <w:name w:val="cy"/>
    <w:basedOn w:val="19"/>
    <w:qFormat/>
    <w:uiPriority w:val="0"/>
  </w:style>
  <w:style w:type="character" w:customStyle="1" w:styleId="53">
    <w:name w:val="cdropleft"/>
    <w:basedOn w:val="19"/>
    <w:qFormat/>
    <w:uiPriority w:val="0"/>
  </w:style>
  <w:style w:type="character" w:customStyle="1" w:styleId="54">
    <w:name w:val="ico1654"/>
    <w:basedOn w:val="19"/>
    <w:qFormat/>
    <w:uiPriority w:val="0"/>
  </w:style>
  <w:style w:type="character" w:customStyle="1" w:styleId="55">
    <w:name w:val="ico1655"/>
    <w:basedOn w:val="19"/>
    <w:qFormat/>
    <w:uiPriority w:val="0"/>
  </w:style>
  <w:style w:type="character" w:customStyle="1" w:styleId="56">
    <w:name w:val="layui-layer-tabnow"/>
    <w:basedOn w:val="19"/>
    <w:qFormat/>
    <w:uiPriority w:val="0"/>
    <w:rPr>
      <w:bdr w:val="single" w:color="CCCCCC" w:sz="6" w:space="0"/>
      <w:shd w:val="clear" w:fill="FFFFFF"/>
    </w:rPr>
  </w:style>
  <w:style w:type="character" w:customStyle="1" w:styleId="57">
    <w:name w:val="button4"/>
    <w:basedOn w:val="19"/>
    <w:qFormat/>
    <w:uiPriority w:val="0"/>
  </w:style>
  <w:style w:type="character" w:customStyle="1" w:styleId="58">
    <w:name w:val="w32"/>
    <w:basedOn w:val="19"/>
    <w:qFormat/>
    <w:uiPriority w:val="0"/>
  </w:style>
  <w:style w:type="character" w:customStyle="1" w:styleId="59">
    <w:name w:val="tmpztreemove_arrow"/>
    <w:basedOn w:val="19"/>
    <w:qFormat/>
    <w:uiPriority w:val="0"/>
  </w:style>
  <w:style w:type="character" w:customStyle="1" w:styleId="60">
    <w:name w:val="icontext1"/>
    <w:basedOn w:val="19"/>
    <w:qFormat/>
    <w:uiPriority w:val="0"/>
  </w:style>
  <w:style w:type="character" w:customStyle="1" w:styleId="61">
    <w:name w:val="icontext11"/>
    <w:basedOn w:val="19"/>
    <w:qFormat/>
    <w:uiPriority w:val="0"/>
  </w:style>
  <w:style w:type="character" w:customStyle="1" w:styleId="62">
    <w:name w:val="icontext12"/>
    <w:basedOn w:val="19"/>
    <w:qFormat/>
    <w:uiPriority w:val="0"/>
  </w:style>
  <w:style w:type="character" w:customStyle="1" w:styleId="63">
    <w:name w:val="iconline2"/>
    <w:basedOn w:val="19"/>
    <w:qFormat/>
    <w:uiPriority w:val="0"/>
  </w:style>
  <w:style w:type="character" w:customStyle="1" w:styleId="64">
    <w:name w:val="iconline21"/>
    <w:basedOn w:val="19"/>
    <w:qFormat/>
    <w:uiPriority w:val="0"/>
  </w:style>
  <w:style w:type="character" w:customStyle="1" w:styleId="65">
    <w:name w:val="icontext2"/>
    <w:basedOn w:val="19"/>
    <w:qFormat/>
    <w:uiPriority w:val="0"/>
  </w:style>
  <w:style w:type="character" w:customStyle="1" w:styleId="66">
    <w:name w:val="icontext3"/>
    <w:basedOn w:val="19"/>
    <w:qFormat/>
    <w:uiPriority w:val="0"/>
  </w:style>
  <w:style w:type="character" w:customStyle="1" w:styleId="67">
    <w:name w:val="first-chil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16181</Words>
  <Characters>17171</Characters>
  <Lines>131</Lines>
  <Paragraphs>37</Paragraphs>
  <TotalTime>204</TotalTime>
  <ScaleCrop>false</ScaleCrop>
  <LinksUpToDate>false</LinksUpToDate>
  <CharactersWithSpaces>18385</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momo</dc:creator>
  <cp:lastModifiedBy>momo</cp:lastModifiedBy>
  <cp:lastPrinted>2023-11-22T02:49:07Z</cp:lastPrinted>
  <dcterms:modified xsi:type="dcterms:W3CDTF">2023-11-22T06:06:09Z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9E952E6BF22D4AA4978E013835C9700A_13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