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rPr>
          <w:highlight w:val="none"/>
        </w:rPr>
      </w:pPr>
    </w:p>
    <w:p>
      <w:pPr>
        <w:pStyle w:val="22"/>
        <w:rPr>
          <w:highlight w:val="none"/>
        </w:rPr>
      </w:pPr>
    </w:p>
    <w:p>
      <w:pP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 xml:space="preserve"> 湿地景区一期东堤河道清淤和水闸改造项目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2"/>
        <w:rPr>
          <w:rFonts w:hint="eastAsia" w:ascii="宋体" w:hAnsi="宋体" w:eastAsia="宋体" w:cs="宋体"/>
          <w:color w:val="auto"/>
          <w:sz w:val="72"/>
          <w:szCs w:val="72"/>
          <w:highlight w:val="none"/>
        </w:rPr>
      </w:pPr>
    </w:p>
    <w:p>
      <w:pPr>
        <w:pStyle w:val="22"/>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12月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bookmarkStart w:id="97" w:name="_GoBack"/>
      <w:bookmarkEnd w:id="97"/>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第1章 投标须知及前附表</w:t>
          </w:r>
          <w:r>
            <w:rPr>
              <w:b w:val="0"/>
              <w:bCs w:val="0"/>
              <w:sz w:val="24"/>
              <w:szCs w:val="24"/>
            </w:rPr>
            <w:tab/>
          </w:r>
          <w:r>
            <w:rPr>
              <w:b w:val="0"/>
              <w:bCs w:val="0"/>
              <w:sz w:val="24"/>
              <w:szCs w:val="24"/>
            </w:rPr>
            <w:fldChar w:fldCharType="begin"/>
          </w:r>
          <w:r>
            <w:rPr>
              <w:b w:val="0"/>
              <w:bCs w:val="0"/>
              <w:sz w:val="24"/>
              <w:szCs w:val="24"/>
            </w:rPr>
            <w:instrText xml:space="preserve"> PAGEREF _Toc17503 \h </w:instrText>
          </w:r>
          <w:r>
            <w:rPr>
              <w:b w:val="0"/>
              <w:bCs w:val="0"/>
              <w:sz w:val="24"/>
              <w:szCs w:val="24"/>
            </w:rPr>
            <w:fldChar w:fldCharType="separate"/>
          </w:r>
          <w:r>
            <w:rPr>
              <w:b w:val="0"/>
              <w:bCs w:val="0"/>
              <w:sz w:val="24"/>
              <w:szCs w:val="24"/>
            </w:rPr>
            <w:t>1</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b w:val="0"/>
              <w:bCs w:val="0"/>
              <w:sz w:val="24"/>
              <w:szCs w:val="24"/>
            </w:rPr>
            <w:tab/>
          </w:r>
          <w:r>
            <w:rPr>
              <w:b w:val="0"/>
              <w:bCs w:val="0"/>
              <w:sz w:val="24"/>
              <w:szCs w:val="24"/>
            </w:rPr>
            <w:fldChar w:fldCharType="begin"/>
          </w:r>
          <w:r>
            <w:rPr>
              <w:b w:val="0"/>
              <w:bCs w:val="0"/>
              <w:sz w:val="24"/>
              <w:szCs w:val="24"/>
            </w:rPr>
            <w:instrText xml:space="preserve"> PAGEREF _Toc28921 \h </w:instrText>
          </w:r>
          <w:r>
            <w:rPr>
              <w:b w:val="0"/>
              <w:bCs w:val="0"/>
              <w:sz w:val="24"/>
              <w:szCs w:val="24"/>
            </w:rPr>
            <w:fldChar w:fldCharType="separate"/>
          </w:r>
          <w:r>
            <w:rPr>
              <w:b w:val="0"/>
              <w:bCs w:val="0"/>
              <w:sz w:val="24"/>
              <w:szCs w:val="24"/>
            </w:rPr>
            <w:t>13</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第3章 投标格式文件</w:t>
          </w:r>
          <w:r>
            <w:rPr>
              <w:b w:val="0"/>
              <w:bCs w:val="0"/>
              <w:sz w:val="24"/>
              <w:szCs w:val="24"/>
            </w:rPr>
            <w:tab/>
          </w:r>
          <w:r>
            <w:rPr>
              <w:b w:val="0"/>
              <w:bCs w:val="0"/>
              <w:sz w:val="24"/>
              <w:szCs w:val="24"/>
            </w:rPr>
            <w:fldChar w:fldCharType="begin"/>
          </w:r>
          <w:r>
            <w:rPr>
              <w:b w:val="0"/>
              <w:bCs w:val="0"/>
              <w:sz w:val="24"/>
              <w:szCs w:val="24"/>
            </w:rPr>
            <w:instrText xml:space="preserve"> PAGEREF _Toc2908 \h </w:instrText>
          </w:r>
          <w:r>
            <w:rPr>
              <w:b w:val="0"/>
              <w:bCs w:val="0"/>
              <w:sz w:val="24"/>
              <w:szCs w:val="24"/>
            </w:rPr>
            <w:fldChar w:fldCharType="separate"/>
          </w:r>
          <w:r>
            <w:rPr>
              <w:b w:val="0"/>
              <w:bCs w:val="0"/>
              <w:sz w:val="24"/>
              <w:szCs w:val="24"/>
            </w:rPr>
            <w:t>14</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第4章 评标办法</w:t>
          </w:r>
          <w:r>
            <w:rPr>
              <w:b w:val="0"/>
              <w:bCs w:val="0"/>
              <w:sz w:val="24"/>
              <w:szCs w:val="24"/>
            </w:rPr>
            <w:tab/>
          </w:r>
          <w:r>
            <w:rPr>
              <w:b w:val="0"/>
              <w:bCs w:val="0"/>
              <w:sz w:val="24"/>
              <w:szCs w:val="24"/>
            </w:rPr>
            <w:fldChar w:fldCharType="begin"/>
          </w:r>
          <w:r>
            <w:rPr>
              <w:b w:val="0"/>
              <w:bCs w:val="0"/>
              <w:sz w:val="24"/>
              <w:szCs w:val="24"/>
            </w:rPr>
            <w:instrText xml:space="preserve"> PAGEREF _Toc24523 \h </w:instrText>
          </w:r>
          <w:r>
            <w:rPr>
              <w:b w:val="0"/>
              <w:bCs w:val="0"/>
              <w:sz w:val="24"/>
              <w:szCs w:val="24"/>
            </w:rPr>
            <w:fldChar w:fldCharType="separate"/>
          </w:r>
          <w:r>
            <w:rPr>
              <w:b w:val="0"/>
              <w:bCs w:val="0"/>
              <w:sz w:val="24"/>
              <w:szCs w:val="24"/>
            </w:rPr>
            <w:t>26</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cs="宋体"/>
              <w:b w:val="0"/>
              <w:bCs w:val="0"/>
              <w:sz w:val="24"/>
              <w:szCs w:val="24"/>
              <w:highlight w:val="none"/>
              <w:lang w:val="en-US" w:eastAsia="zh-CN"/>
            </w:rPr>
            <w:t>第5章 附件</w:t>
          </w:r>
          <w:r>
            <w:rPr>
              <w:b w:val="0"/>
              <w:bCs w:val="0"/>
              <w:sz w:val="24"/>
              <w:szCs w:val="24"/>
            </w:rPr>
            <w:tab/>
          </w:r>
          <w:r>
            <w:rPr>
              <w:rFonts w:hint="eastAsia"/>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Times New Roman" w:hAnsi="Times New Roman" w:cs="Times New Roman"/>
              <w:b w:val="0"/>
              <w:bCs w:val="0"/>
              <w:sz w:val="24"/>
              <w:szCs w:val="24"/>
              <w:lang w:val="en-US" w:eastAsia="zh-CN"/>
            </w:rPr>
            <w:t>3</w:t>
          </w:r>
        </w:p>
        <w:p>
          <w:pPr>
            <w:pStyle w:val="15"/>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23838"/>
      <w:bookmarkStart w:id="4" w:name="_Toc13302"/>
      <w:bookmarkStart w:id="5" w:name="_Toc8549"/>
      <w:bookmarkStart w:id="6" w:name="_Toc17503"/>
      <w:bookmarkStart w:id="7" w:name="_Toc13388"/>
      <w:bookmarkStart w:id="8" w:name="_Toc9159"/>
      <w:bookmarkStart w:id="9" w:name="_Toc20698"/>
      <w:bookmarkStart w:id="10"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湿地景区一期东堤河道清淤和水闸改造项目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广州市南沙区湿地景区内</w:t>
            </w:r>
          </w:p>
        </w:tc>
      </w:tr>
      <w:tr>
        <w:tblPrEx>
          <w:tblCellMar>
            <w:top w:w="0" w:type="dxa"/>
            <w:left w:w="108" w:type="dxa"/>
            <w:bottom w:w="0" w:type="dxa"/>
            <w:right w:w="108" w:type="dxa"/>
          </w:tblCellMar>
        </w:tblPrEx>
        <w:trPr>
          <w:trHeight w:val="173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为改善东堤水系，使东堤河道水体能实现循环流动，将海景园观光平台对面河堤堆高加宽，清理海景园至南门(靠近东堤)区域内河道淤泥，增加一个水闸，对海景园观光平台对面河堤处水闸进行维修。步行区码头区域地势较低，部分区域甚至低于园区常年水面，雨后该区域积水严重</w:t>
            </w:r>
            <w:r>
              <w:rPr>
                <w:rFonts w:hint="eastAsia" w:ascii="宋体" w:hAnsi="宋体" w:cs="宋体"/>
                <w:snapToGrid/>
                <w:color w:val="auto"/>
                <w:kern w:val="2"/>
                <w:sz w:val="21"/>
                <w:szCs w:val="21"/>
                <w:highlight w:val="none"/>
                <w:lang w:val="en-US" w:eastAsia="zh-CN" w:bidi="ar-SA"/>
              </w:rPr>
              <w:t>，</w:t>
            </w:r>
            <w:r>
              <w:rPr>
                <w:rFonts w:hint="eastAsia" w:ascii="宋体" w:hAnsi="宋体" w:eastAsia="宋体" w:cs="宋体"/>
                <w:snapToGrid/>
                <w:color w:val="auto"/>
                <w:kern w:val="2"/>
                <w:sz w:val="21"/>
                <w:szCs w:val="21"/>
                <w:highlight w:val="none"/>
                <w:lang w:val="en-US" w:eastAsia="zh-CN" w:bidi="ar-SA"/>
              </w:rPr>
              <w:t>在步行区增设排水系统。</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48.51</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43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beforeAutospacing="0" w:after="0" w:line="320" w:lineRule="exact"/>
              <w:ind w:firstLine="0"/>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position w:val="0"/>
                <w:sz w:val="21"/>
                <w:szCs w:val="21"/>
                <w:highlight w:val="none"/>
                <w:u w:val="none"/>
                <w:lang w:bidi="ar"/>
              </w:rPr>
              <w:t>本项目包括</w:t>
            </w:r>
            <w:r>
              <w:rPr>
                <w:rFonts w:hint="eastAsia" w:ascii="宋体" w:hAnsi="宋体" w:eastAsia="宋体" w:cs="宋体"/>
                <w:color w:val="auto"/>
                <w:kern w:val="2"/>
                <w:sz w:val="21"/>
                <w:szCs w:val="21"/>
                <w:highlight w:val="none"/>
                <w:u w:val="none"/>
                <w:lang w:val="en-US" w:eastAsia="zh-CN" w:bidi="ar"/>
              </w:rPr>
              <w:t>东侧运河清淤泥4755.58立方米，东侧运河坡岸堆土改造提升两侧总长度1710米；海景园运挖填淤泥1197.05立方米，海景园运河坡岸堆土改造提升两侧总长度1189米。新做DN400排水管约7米,新做DN300排水管102米,新做DN200排水管146米,塑料检查井7座,雨水口15座，由于施工排水管需要拆除及恢复连锁块路面48平米，新建调水木板闸1座，维修调水木板闸1座，新建围堰约8米。</w:t>
            </w:r>
          </w:p>
          <w:p>
            <w:pPr>
              <w:pStyle w:val="4"/>
              <w:widowControl/>
              <w:spacing w:beforeAutospacing="0" w:after="0" w:line="320" w:lineRule="exact"/>
              <w:ind w:firstLine="0"/>
              <w:rPr>
                <w:rFonts w:hint="eastAsia" w:ascii="宋体" w:hAnsi="宋体" w:eastAsia="宋体" w:cs="宋体"/>
                <w:color w:val="auto"/>
                <w:spacing w:val="0"/>
                <w:sz w:val="21"/>
                <w:szCs w:val="21"/>
                <w:highlight w:val="none"/>
                <w:u w:val="none"/>
                <w:lang w:val="en-US" w:eastAsia="zh-CN" w:bidi="ar"/>
              </w:rPr>
            </w:pPr>
            <w:r>
              <w:rPr>
                <w:rFonts w:hint="eastAsia" w:ascii="宋体" w:hAnsi="宋体" w:eastAsia="宋体" w:cs="宋体"/>
                <w:color w:val="auto"/>
                <w:spacing w:val="0"/>
                <w:sz w:val="21"/>
                <w:szCs w:val="21"/>
                <w:highlight w:val="none"/>
                <w:u w:val="none"/>
                <w:lang w:val="en-US" w:eastAsia="zh-CN" w:bidi="ar"/>
              </w:rPr>
              <w:t>具体以实际施工图纸、工程量清单为准。</w:t>
            </w:r>
          </w:p>
          <w:p>
            <w:pPr>
              <w:pStyle w:val="4"/>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投标人需按招标文件、图纸规范等要求进行施工，如设计图纸有调整时，必须服从要求调整</w:t>
            </w:r>
            <w:r>
              <w:rPr>
                <w:rFonts w:hint="eastAsia" w:ascii="宋体" w:hAnsi="宋体" w:eastAsia="宋体" w:cs="宋体"/>
                <w:bCs w:val="0"/>
                <w:color w:val="auto"/>
                <w:kern w:val="2"/>
                <w:sz w:val="21"/>
                <w:szCs w:val="21"/>
                <w:highlight w:val="none"/>
                <w:u w:val="none"/>
                <w:lang w:val="en-US" w:eastAsia="zh-CN" w:bidi="ar"/>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30个日历天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持有安全培训考核合格证（B类）或建筑施工企业项目负责人安全生产考核合格证书</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default" w:asciiTheme="minorHAnsi" w:hAnsiTheme="minorHAnsi" w:eastAsiaTheme="minorEastAsia" w:cstheme="minorBidi"/>
                <w:sz w:val="21"/>
                <w:szCs w:val="24"/>
                <w:highlight w:val="none"/>
                <w:u w:val="none"/>
                <w:shd w:val="clear"/>
                <w:lang w:val="en-US" w:eastAsia="zh-CN"/>
              </w:rPr>
              <w:t>投标人委派的技术负责人具有</w:t>
            </w:r>
            <w:r>
              <w:rPr>
                <w:rFonts w:hint="default" w:asciiTheme="minorHAnsi" w:hAnsiTheme="minorHAnsi" w:eastAsiaTheme="minorEastAsia" w:cstheme="minorBidi"/>
                <w:sz w:val="21"/>
                <w:szCs w:val="24"/>
                <w:highlight w:val="none"/>
                <w:u w:val="none"/>
                <w:shd w:val="clear"/>
              </w:rPr>
              <w:t>市政公用工程专业</w:t>
            </w:r>
            <w:r>
              <w:rPr>
                <w:rFonts w:hint="default" w:asciiTheme="minorHAnsi" w:hAnsiTheme="minorHAnsi" w:eastAsiaTheme="minorEastAsia" w:cstheme="minorBidi"/>
                <w:sz w:val="21"/>
                <w:szCs w:val="24"/>
                <w:highlight w:val="none"/>
                <w:u w:val="none"/>
                <w:shd w:val="clear"/>
                <w:lang w:val="en-US" w:eastAsia="zh-CN"/>
              </w:rPr>
              <w:t>中级工程师或以上职称。技术负责人与项目负责人不能为同一人。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456992.78</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肆拾伍万陆仟玖佰玖拾贰元柒角捌分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rPr>
              <w:t>24479.01</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519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highlight w:val="none"/>
              </w:rPr>
            </w:pPr>
            <w:r>
              <w:rPr>
                <w:rFonts w:hint="eastAsia"/>
                <w:highlight w:val="none"/>
              </w:rPr>
              <w:t>1、金额：人民币</w:t>
            </w:r>
            <w:r>
              <w:rPr>
                <w:rFonts w:hint="eastAsia"/>
                <w:highlight w:val="none"/>
                <w:lang w:val="en-US" w:eastAsia="zh-CN"/>
              </w:rPr>
              <w:t>伍仟</w:t>
            </w:r>
            <w:r>
              <w:rPr>
                <w:rFonts w:hint="eastAsia"/>
                <w:highlight w:val="none"/>
              </w:rPr>
              <w:t>元。</w:t>
            </w:r>
          </w:p>
          <w:p>
            <w:pPr>
              <w:numPr>
                <w:ilvl w:val="-1"/>
                <w:numId w:val="0"/>
              </w:numPr>
              <w:adjustRightInd w:val="0"/>
              <w:snapToGrid w:val="0"/>
              <w:spacing w:line="360" w:lineRule="auto"/>
              <w:rPr>
                <w:rFonts w:hint="eastAsia"/>
                <w:highlight w:val="none"/>
                <w:lang w:eastAsia="zh-CN"/>
              </w:rPr>
            </w:pPr>
            <w:r>
              <w:rPr>
                <w:rFonts w:hint="eastAsia"/>
                <w:highlight w:val="none"/>
              </w:rPr>
              <w:t>2、缴纳方式：</w:t>
            </w:r>
            <w:r>
              <w:rPr>
                <w:rFonts w:hint="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highlight w:val="none"/>
                <w:lang w:val="en-US" w:eastAsia="zh-CN"/>
              </w:rPr>
              <w:t>湿地旅游发展</w:t>
            </w:r>
            <w:r>
              <w:rPr>
                <w:highlight w:val="none"/>
              </w:rPr>
              <w:t>有限公司</w:t>
            </w:r>
          </w:p>
          <w:p>
            <w:pPr>
              <w:numPr>
                <w:ilvl w:val="-1"/>
                <w:numId w:val="0"/>
              </w:numPr>
              <w:adjustRightInd w:val="0"/>
              <w:spacing w:line="360" w:lineRule="auto"/>
              <w:rPr>
                <w:rFonts w:hint="default"/>
                <w:highlight w:val="none"/>
                <w:lang w:eastAsia="zh-CN"/>
              </w:rPr>
            </w:pPr>
            <w:r>
              <w:rPr>
                <w:rFonts w:hint="eastAsia"/>
                <w:highlight w:val="none"/>
              </w:rPr>
              <w:t>开户银行：广州农村商业银行十四冲支行</w:t>
            </w:r>
            <w:r>
              <w:rPr>
                <w:rFonts w:hint="default"/>
                <w:highlight w:val="none"/>
                <w:lang w:val="en-US" w:eastAsia="zh-CN"/>
              </w:rPr>
              <w:t xml:space="preserve">  </w:t>
            </w:r>
          </w:p>
          <w:p>
            <w:pPr>
              <w:numPr>
                <w:ilvl w:val="-1"/>
                <w:numId w:val="0"/>
              </w:numPr>
              <w:adjustRightInd w:val="0"/>
              <w:spacing w:line="360" w:lineRule="auto"/>
              <w:rPr>
                <w:rFonts w:hint="default"/>
                <w:highlight w:val="none"/>
                <w:lang w:val="en-US" w:eastAsia="zh-CN"/>
              </w:rPr>
            </w:pPr>
            <w:r>
              <w:rPr>
                <w:rFonts w:hint="eastAsia"/>
                <w:highlight w:val="none"/>
              </w:rPr>
              <w:t>账号</w:t>
            </w:r>
            <w:r>
              <w:rPr>
                <w:rFonts w:hint="default"/>
                <w:highlight w:val="none"/>
              </w:rPr>
              <w:t>：</w:t>
            </w:r>
            <w:r>
              <w:rPr>
                <w:rFonts w:hint="eastAsia"/>
                <w:highlight w:val="none"/>
              </w:rPr>
              <w:t>05621949000000074</w:t>
            </w:r>
          </w:p>
          <w:p>
            <w:pPr>
              <w:numPr>
                <w:ilvl w:val="0"/>
                <w:numId w:val="2"/>
              </w:numPr>
              <w:adjustRightInd w:val="0"/>
              <w:snapToGrid w:val="0"/>
              <w:spacing w:line="360" w:lineRule="auto"/>
              <w:rPr>
                <w:rFonts w:hint="eastAsia"/>
                <w:highlight w:val="none"/>
                <w:lang w:val="en-US" w:eastAsia="zh-CN"/>
              </w:rPr>
            </w:pPr>
            <w:r>
              <w:rPr>
                <w:rFonts w:hint="eastAsia"/>
                <w:highlight w:val="none"/>
              </w:rPr>
              <w:t>缴纳时间：投标单位须在202</w:t>
            </w:r>
            <w:r>
              <w:rPr>
                <w:rFonts w:hint="eastAsia"/>
                <w:highlight w:val="none"/>
                <w:lang w:val="en-US" w:eastAsia="zh-CN"/>
              </w:rPr>
              <w:t>3</w:t>
            </w:r>
            <w:r>
              <w:rPr>
                <w:rFonts w:hint="eastAsia"/>
                <w:highlight w:val="none"/>
              </w:rPr>
              <w:t>年</w:t>
            </w:r>
            <w:r>
              <w:rPr>
                <w:rFonts w:hint="eastAsia"/>
                <w:highlight w:val="none"/>
                <w:lang w:val="en-US" w:eastAsia="zh-CN"/>
              </w:rPr>
              <w:t>12月6</w:t>
            </w:r>
            <w:r>
              <w:rPr>
                <w:rFonts w:hint="eastAsia"/>
                <w:highlight w:val="none"/>
              </w:rPr>
              <w:t>日</w:t>
            </w:r>
            <w:r>
              <w:rPr>
                <w:rFonts w:hint="eastAsia"/>
                <w:highlight w:val="none"/>
                <w:lang w:eastAsia="zh-CN"/>
              </w:rPr>
              <w:t>（星期</w:t>
            </w:r>
            <w:r>
              <w:rPr>
                <w:rFonts w:hint="eastAsia"/>
                <w:highlight w:val="none"/>
                <w:lang w:val="en-US" w:eastAsia="zh-CN"/>
              </w:rPr>
              <w:t>三</w:t>
            </w:r>
            <w:r>
              <w:rPr>
                <w:rFonts w:hint="eastAsia"/>
                <w:highlight w:val="none"/>
                <w:lang w:eastAsia="zh-CN"/>
              </w:rPr>
              <w:t>）</w:t>
            </w:r>
            <w:r>
              <w:rPr>
                <w:rFonts w:hint="eastAsia"/>
                <w:highlight w:val="none"/>
                <w:lang w:val="en-US" w:eastAsia="zh-CN"/>
              </w:rPr>
              <w:t>16</w:t>
            </w:r>
            <w:r>
              <w:rPr>
                <w:rFonts w:hint="eastAsia"/>
                <w:highlight w:val="none"/>
              </w:rPr>
              <w:t>时</w:t>
            </w:r>
            <w:r>
              <w:rPr>
                <w:rFonts w:hint="eastAsia"/>
                <w:highlight w:val="none"/>
                <w:lang w:val="en-US" w:eastAsia="zh-CN"/>
              </w:rPr>
              <w:t>00</w:t>
            </w:r>
            <w:r>
              <w:rPr>
                <w:rFonts w:hint="eastAsia"/>
                <w:highlight w:val="none"/>
              </w:rPr>
              <w:t>分</w:t>
            </w:r>
            <w:r>
              <w:rPr>
                <w:rFonts w:hint="eastAsia"/>
                <w:highlight w:val="none"/>
                <w:lang w:eastAsia="zh-CN"/>
              </w:rPr>
              <w:t>前</w:t>
            </w:r>
            <w:r>
              <w:rPr>
                <w:rFonts w:hint="eastAsia"/>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湿地景区一期东堤河道清淤和水闸改造项目</w:t>
            </w:r>
            <w:r>
              <w:rPr>
                <w:rFonts w:hint="eastAsia"/>
                <w:highlight w:val="none"/>
              </w:rPr>
              <w:t>投标保证金】</w:t>
            </w:r>
          </w:p>
          <w:p>
            <w:pPr>
              <w:numPr>
                <w:ilvl w:val="0"/>
                <w:numId w:val="2"/>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2"/>
              <w:numPr>
                <w:ilvl w:val="0"/>
                <w:numId w:val="2"/>
              </w:numPr>
              <w:spacing w:line="360" w:lineRule="auto"/>
              <w:rPr>
                <w:rFonts w:hint="eastAsia"/>
                <w:highlight w:val="none"/>
                <w:lang w:val="en-US" w:eastAsia="zh-CN"/>
              </w:rPr>
            </w:pPr>
            <w:r>
              <w:rPr>
                <w:rFonts w:hint="eastAsia" w:asciiTheme="minorHAnsi" w:hAnsiTheme="minorHAnsi" w:eastAsiaTheme="minorEastAsia" w:cstheme="minorBidi"/>
                <w:b w:val="0"/>
                <w:sz w:val="21"/>
                <w:szCs w:val="24"/>
                <w:highlight w:val="none"/>
                <w:lang w:val="en-US" w:eastAsia="zh-CN"/>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pStyle w:val="6"/>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pStyle w:val="22"/>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U盘或光盘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11.15施工组织方案（含安全措施）。</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10474"/>
      <w:bookmarkStart w:id="14" w:name="_Toc28984"/>
      <w:bookmarkStart w:id="15" w:name="_Toc28921"/>
      <w:bookmarkStart w:id="16" w:name="_Toc22411"/>
      <w:bookmarkStart w:id="17" w:name="_Toc8457"/>
      <w:bookmarkStart w:id="18" w:name="_Toc8409"/>
      <w:bookmarkStart w:id="19" w:name="_Toc7252"/>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10"/>
        <w:spacing w:line="560" w:lineRule="exact"/>
        <w:rPr>
          <w:rFonts w:hint="eastAsia" w:ascii="宋体" w:hAnsi="宋体" w:eastAsia="宋体" w:cs="Times New Roman"/>
          <w:b/>
          <w:kern w:val="0"/>
          <w:sz w:val="28"/>
          <w:szCs w:val="20"/>
          <w:highlight w:val="none"/>
          <w:u w:val="none"/>
          <w:lang w:val="en-US" w:eastAsia="zh-CN"/>
        </w:rPr>
      </w:pPr>
      <w:bookmarkStart w:id="20"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20"/>
    </w:p>
    <w:p>
      <w:pPr>
        <w:spacing w:line="560" w:lineRule="exact"/>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snapToGrid/>
          <w:color w:val="auto"/>
          <w:kern w:val="2"/>
          <w:sz w:val="28"/>
          <w:szCs w:val="28"/>
          <w:highlight w:val="none"/>
          <w:lang w:val="en-US" w:eastAsia="zh-CN" w:bidi="ar-SA"/>
        </w:rPr>
        <w:t>为改善东堤水系，使东堤河道水体能实现循环流动，将海景园观光平台对面河堤堆高加宽，清理海景园至南门(靠近东堤)区域内河道淤泥，增加一个水闸，对海景园观光平台对面河堤处水闸进行维修。步行区码头区域地势较低，部分区域甚至低于园区常年水面，雨后该区域积水严重，在步行区增设排水系统。</w:t>
      </w:r>
    </w:p>
    <w:p>
      <w:pPr>
        <w:pStyle w:val="6"/>
        <w:spacing w:line="560" w:lineRule="exact"/>
        <w:rPr>
          <w:rFonts w:hint="eastAsia"/>
          <w:highlight w:val="none"/>
          <w:lang w:val="en-US" w:eastAsia="zh-CN"/>
        </w:rPr>
      </w:pPr>
    </w:p>
    <w:p>
      <w:pPr>
        <w:pStyle w:val="7"/>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widowControl w:val="0"/>
        <w:spacing w:line="560" w:lineRule="exact"/>
        <w:ind w:firstLine="560" w:firstLineChars="200"/>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position w:val="0"/>
          <w:sz w:val="28"/>
          <w:szCs w:val="28"/>
          <w:highlight w:val="none"/>
          <w:u w:val="none"/>
          <w:lang w:bidi="ar-SA"/>
        </w:rPr>
        <w:t>本项目包括</w:t>
      </w:r>
      <w:r>
        <w:rPr>
          <w:rFonts w:hint="eastAsia" w:ascii="宋体" w:hAnsi="宋体" w:eastAsia="宋体" w:cs="宋体"/>
          <w:color w:val="auto"/>
          <w:kern w:val="2"/>
          <w:sz w:val="28"/>
          <w:szCs w:val="28"/>
          <w:highlight w:val="none"/>
          <w:u w:val="none"/>
          <w:lang w:val="en-US" w:eastAsia="zh-CN" w:bidi="ar-SA"/>
        </w:rPr>
        <w:t>东侧运河清淤泥4755.58立方米，东侧运河坡岸堆土改造提升两侧总长度1710米；海景园运挖填淤泥1197.05立方米，海景园运河坡岸堆土改造提升两侧总长度1189米。新做DN400排水管约7米,新做DN300排水管102米,新做DN200排水管146米,塑料检查井7座,雨水口15座，由于施工排水管需要拆除及恢复连锁块路面48平米，新建调水木板闸1座，维修调水木板闸1座，新建围堰约8米。</w:t>
      </w:r>
    </w:p>
    <w:p>
      <w:pPr>
        <w:widowControl w:val="0"/>
        <w:spacing w:line="560" w:lineRule="exact"/>
        <w:ind w:firstLine="560" w:firstLineChars="200"/>
        <w:rPr>
          <w:rFonts w:hint="eastAsia" w:ascii="宋体" w:hAnsi="宋体" w:eastAsia="宋体" w:cs="宋体"/>
          <w:color w:val="auto"/>
          <w:spacing w:val="0"/>
          <w:sz w:val="28"/>
          <w:szCs w:val="28"/>
          <w:highlight w:val="none"/>
          <w:u w:val="none"/>
          <w:lang w:val="en-US" w:eastAsia="zh-CN" w:bidi="ar-SA"/>
        </w:rPr>
      </w:pPr>
      <w:r>
        <w:rPr>
          <w:rFonts w:hint="eastAsia" w:ascii="宋体" w:hAnsi="宋体" w:eastAsia="宋体" w:cs="宋体"/>
          <w:color w:val="auto"/>
          <w:spacing w:val="0"/>
          <w:sz w:val="28"/>
          <w:szCs w:val="28"/>
          <w:highlight w:val="none"/>
          <w:u w:val="none"/>
          <w:lang w:val="en-US" w:eastAsia="zh-CN" w:bidi="ar-SA"/>
        </w:rPr>
        <w:t>具体以实际施工图纸、工程量清单为准。</w:t>
      </w:r>
    </w:p>
    <w:p>
      <w:pPr>
        <w:spacing w:line="560" w:lineRule="exact"/>
        <w:ind w:firstLine="560"/>
        <w:rPr>
          <w:rFonts w:hint="eastAsia" w:ascii="宋体" w:hAnsi="宋体" w:eastAsia="宋体" w:cs="宋体"/>
          <w:color w:val="auto"/>
          <w:kern w:val="2"/>
          <w:sz w:val="28"/>
          <w:szCs w:val="28"/>
          <w:highlight w:val="none"/>
          <w:u w:val="none"/>
        </w:rPr>
      </w:pPr>
      <w:r>
        <w:rPr>
          <w:rFonts w:hint="eastAsia" w:ascii="宋体" w:hAnsi="宋体" w:eastAsia="宋体" w:cs="宋体"/>
          <w:color w:val="auto"/>
          <w:kern w:val="2"/>
          <w:sz w:val="28"/>
          <w:szCs w:val="28"/>
          <w:highlight w:val="none"/>
          <w:u w:val="none"/>
          <w:lang w:val="en-US" w:eastAsia="zh-CN" w:bidi="ar-SA"/>
        </w:rPr>
        <w:t>投标人需按招标文件、图纸规范等要求进行施工，如设计图纸有调整时，必须服从要求调整</w:t>
      </w:r>
      <w:r>
        <w:rPr>
          <w:rFonts w:hint="eastAsia" w:ascii="宋体" w:hAnsi="宋体" w:eastAsia="宋体" w:cs="宋体"/>
          <w:bCs w:val="0"/>
          <w:color w:val="auto"/>
          <w:kern w:val="2"/>
          <w:sz w:val="28"/>
          <w:szCs w:val="28"/>
          <w:highlight w:val="none"/>
          <w:u w:val="none"/>
          <w:lang w:val="en-US" w:eastAsia="zh-CN" w:bidi="ar-SA"/>
        </w:rPr>
        <w:t>。</w:t>
      </w:r>
    </w:p>
    <w:p>
      <w:pPr>
        <w:pStyle w:val="2"/>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27735"/>
      <w:bookmarkStart w:id="22" w:name="_Toc2908"/>
      <w:bookmarkStart w:id="23" w:name="_Toc19076"/>
      <w:bookmarkStart w:id="24" w:name="_Toc2266"/>
      <w:bookmarkStart w:id="25" w:name="_Toc28153"/>
      <w:bookmarkStart w:id="26" w:name="_Toc10090"/>
      <w:bookmarkStart w:id="27" w:name="_Toc5931"/>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湿地景区一期东堤河道清淤和水闸改造项目</w:t>
      </w:r>
      <w:r>
        <w:rPr>
          <w:rFonts w:hint="eastAsia" w:ascii="宋体" w:hAnsi="宋体" w:eastAsia="宋体" w:cs="宋体"/>
          <w:color w:val="auto"/>
          <w:spacing w:val="0"/>
          <w:sz w:val="24"/>
          <w:highlight w:val="none"/>
          <w:u w:val="single"/>
          <w:lang w:val="en-US" w:eastAsia="zh-CN"/>
        </w:rPr>
        <w:t>承</w:t>
      </w:r>
      <w:r>
        <w:rPr>
          <w:rFonts w:hint="eastAsia" w:ascii="宋体" w:hAnsi="宋体" w:eastAsia="宋体" w:cs="Times New Roman"/>
          <w:color w:val="auto"/>
          <w:spacing w:val="20"/>
          <w:sz w:val="24"/>
          <w:highlight w:val="none"/>
          <w:u w:val="single"/>
          <w:lang w:val="en-US" w:eastAsia="zh-CN"/>
        </w:rPr>
        <w:t>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湿地景区一期东堤河道清淤和水闸改造项目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湿地景区一期东堤河道清淤和水闸改造项目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199647676"/>
      <w:bookmarkEnd w:id="34"/>
      <w:bookmarkStart w:id="35" w:name="_Toc415833504"/>
      <w:bookmarkEnd w:id="35"/>
      <w:bookmarkStart w:id="36" w:name="_Toc415728298"/>
      <w:bookmarkEnd w:id="36"/>
      <w:bookmarkStart w:id="37" w:name="_Toc459403395"/>
      <w:bookmarkEnd w:id="37"/>
      <w:bookmarkStart w:id="38" w:name="_Toc326909214"/>
      <w:bookmarkEnd w:id="38"/>
      <w:bookmarkStart w:id="39" w:name="_Toc196130014"/>
      <w:bookmarkEnd w:id="39"/>
      <w:bookmarkStart w:id="40" w:name="_Toc196036942"/>
      <w:bookmarkEnd w:id="40"/>
      <w:bookmarkStart w:id="41" w:name="_Toc196037098"/>
      <w:bookmarkEnd w:id="41"/>
      <w:bookmarkStart w:id="42" w:name="_Toc197235849"/>
      <w:bookmarkEnd w:id="42"/>
      <w:bookmarkStart w:id="43" w:name="_Toc196130111"/>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5" w:name="_Toc199647677"/>
      <w:bookmarkEnd w:id="45"/>
      <w:bookmarkStart w:id="46" w:name="_Toc196130015"/>
      <w:bookmarkEnd w:id="46"/>
      <w:bookmarkStart w:id="47" w:name="_Toc196036943"/>
      <w:bookmarkEnd w:id="47"/>
      <w:bookmarkStart w:id="48" w:name="_Toc41822705"/>
      <w:bookmarkEnd w:id="48"/>
      <w:bookmarkStart w:id="49" w:name="_Toc196037099"/>
      <w:bookmarkEnd w:id="49"/>
      <w:bookmarkStart w:id="50" w:name="_Toc196130112"/>
      <w:bookmarkEnd w:id="50"/>
      <w:bookmarkStart w:id="51" w:name="_Toc197235850"/>
      <w:bookmarkEnd w:id="51"/>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lang w:val="en-US" w:eastAsia="zh-CN"/>
              </w:rPr>
              <w:t>开始</w:t>
            </w:r>
            <w:r>
              <w:rPr>
                <w:rFonts w:hint="eastAsia" w:ascii="宋体" w:hAnsi="宋体" w:eastAsia="宋体" w:cs="Times New Roman"/>
                <w:kern w:val="0"/>
                <w:sz w:val="24"/>
                <w:szCs w:val="20"/>
                <w:highlight w:val="none"/>
              </w:rPr>
              <w:t>时间</w:t>
            </w:r>
          </w:p>
        </w:tc>
        <w:tc>
          <w:tcPr>
            <w:tcW w:w="1708" w:type="dxa"/>
            <w:noWrap w:val="0"/>
            <w:vAlign w:val="center"/>
          </w:tcPr>
          <w:p>
            <w:pPr>
              <w:jc w:val="lef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业主单位、</w:t>
            </w:r>
          </w:p>
          <w:p>
            <w:pPr>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6"/>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cs="宋体" w:eastAsiaTheme="minorEastAsia"/>
                <w:b w:val="0"/>
                <w:bCs/>
                <w:color w:val="auto"/>
                <w:sz w:val="21"/>
                <w:szCs w:val="21"/>
                <w:highlight w:val="none"/>
                <w:u w:val="none"/>
                <w:lang w:val="en-US" w:eastAsia="zh-CN"/>
              </w:rPr>
              <w:t>湿地景区一期东堤河道清淤和水闸改造项目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24523"/>
      <w:bookmarkStart w:id="55" w:name="_Toc8367"/>
      <w:bookmarkStart w:id="56" w:name="_Toc25010"/>
      <w:bookmarkStart w:id="57" w:name="_Toc26234"/>
      <w:bookmarkStart w:id="58" w:name="_Toc23233"/>
      <w:bookmarkStart w:id="59" w:name="_Toc17859"/>
      <w:bookmarkStart w:id="60" w:name="_Toc4893"/>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1"/>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62" w:name="OLE_LINK3"/>
      <w:bookmarkEnd w:id="62"/>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kern w:val="0"/>
          <w:sz w:val="28"/>
          <w:szCs w:val="28"/>
          <w:highlight w:val="none"/>
          <w:u w:val="single"/>
          <w:lang w:val="en-US" w:eastAsia="zh-CN" w:bidi="ar-SA"/>
        </w:rPr>
        <w:t>附件5 图纸（另附）</w:t>
      </w:r>
    </w:p>
    <w:p>
      <w:pPr>
        <w:pStyle w:val="25"/>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附件6 工程量清单（另附）</w:t>
      </w:r>
    </w:p>
    <w:p>
      <w:pPr>
        <w:pStyle w:val="25"/>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3" w:name="_Toc5919"/>
      <w:bookmarkStart w:id="64" w:name="_Toc3331"/>
      <w:bookmarkStart w:id="65" w:name="_Toc6823"/>
      <w:bookmarkStart w:id="66" w:name="_Toc18242"/>
      <w:bookmarkStart w:id="67" w:name="_Toc12170"/>
      <w:bookmarkStart w:id="68" w:name="_Toc13788"/>
      <w:bookmarkStart w:id="69" w:name="_Toc20865"/>
      <w:bookmarkStart w:id="70" w:name="_Toc11051"/>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snapToGrid w:val="0"/>
        <w:ind w:left="74"/>
        <w:outlineLvl w:val="0"/>
        <w:rPr>
          <w:rFonts w:hint="eastAsia" w:ascii="宋体" w:hAnsi="宋体" w:eastAsia="宋体" w:cs="宋体"/>
          <w:b w:val="0"/>
          <w:bCs/>
          <w:color w:val="auto"/>
          <w:sz w:val="21"/>
          <w:szCs w:val="21"/>
          <w:highlight w:val="none"/>
        </w:rPr>
      </w:pPr>
      <w:bookmarkStart w:id="72" w:name="_Toc32519"/>
      <w:bookmarkStart w:id="73" w:name="_Toc15156"/>
      <w:bookmarkStart w:id="74" w:name="_Toc22905"/>
      <w:bookmarkStart w:id="75" w:name="_Toc18739"/>
      <w:bookmarkStart w:id="76" w:name="_Toc20704"/>
      <w:bookmarkStart w:id="77" w:name="_Toc2642"/>
      <w:bookmarkStart w:id="78" w:name="_Toc5297"/>
      <w:bookmarkStart w:id="79" w:name="_Toc4185"/>
      <w:bookmarkStart w:id="80" w:name="_Toc12016"/>
      <w:bookmarkStart w:id="81" w:name="_Toc31760"/>
      <w:bookmarkStart w:id="82" w:name="_Toc13000"/>
      <w:bookmarkStart w:id="83" w:name="_Toc15249"/>
      <w:bookmarkStart w:id="84" w:name="_Toc6504"/>
      <w:r>
        <w:rPr>
          <w:rFonts w:hint="eastAsia" w:ascii="宋体" w:hAnsi="宋体" w:eastAsia="宋体" w:cs="宋体"/>
          <w:b w:val="0"/>
          <w:bCs/>
          <w:color w:val="auto"/>
          <w:sz w:val="21"/>
          <w:szCs w:val="21"/>
          <w:highlight w:val="none"/>
        </w:rPr>
        <w:t>附件2综合评分表（100分）</w:t>
      </w:r>
      <w:bookmarkEnd w:id="72"/>
      <w:bookmarkEnd w:id="73"/>
      <w:bookmarkEnd w:id="74"/>
      <w:bookmarkEnd w:id="75"/>
      <w:bookmarkEnd w:id="76"/>
      <w:bookmarkEnd w:id="77"/>
      <w:bookmarkEnd w:id="78"/>
      <w:bookmarkEnd w:id="79"/>
      <w:bookmarkEnd w:id="80"/>
      <w:bookmarkEnd w:id="81"/>
      <w:bookmarkEnd w:id="82"/>
    </w:p>
    <w:p>
      <w:pPr>
        <w:pStyle w:val="2"/>
        <w:rPr>
          <w:rFonts w:hint="eastAsia" w:ascii="宋体" w:hAnsi="Courier New" w:eastAsia="宋体" w:cs="Times New Roman"/>
          <w:b w:val="0"/>
          <w:bCs w:val="0"/>
          <w:sz w:val="21"/>
          <w:szCs w:val="21"/>
        </w:rPr>
      </w:pPr>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090"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Style w:val="8"/>
              <w:pageBreakBefore w:val="0"/>
              <w:widowControl w:val="0"/>
              <w:kinsoku/>
              <w:wordWrap/>
              <w:overflowPunct/>
              <w:topLinePunct w:val="0"/>
              <w:autoSpaceDN/>
              <w:bidi w:val="0"/>
              <w:spacing w:line="360" w:lineRule="exact"/>
              <w:ind w:left="0" w:leftChars="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0分</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highlight w:val="none"/>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highlight w:val="none"/>
              </w:rPr>
            </w:pPr>
          </w:p>
          <w:p>
            <w:pPr>
              <w:pStyle w:val="6"/>
              <w:rPr>
                <w:rFonts w:hint="eastAsia"/>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Cs w:val="21"/>
                <w:highlight w:val="none"/>
              </w:rPr>
            </w:pPr>
            <w:r>
              <w:rPr>
                <w:rFonts w:ascii="Times New Roman" w:hAnsi="Times New Roman"/>
                <w:szCs w:val="21"/>
                <w:highlight w:val="none"/>
              </w:rPr>
              <w:t>资质等级</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730" w:type="dxa"/>
            <w:shd w:val="clear" w:color="auto" w:fill="auto"/>
            <w:vAlign w:val="center"/>
          </w:tcPr>
          <w:p>
            <w:pPr>
              <w:widowControl/>
              <w:spacing w:line="240" w:lineRule="auto"/>
              <w:jc w:val="left"/>
              <w:textAlignment w:val="auto"/>
              <w:rPr>
                <w:rFonts w:hint="default" w:asciiTheme="minorHAnsi" w:hAnsiTheme="minorHAnsi" w:eastAsiaTheme="minorEastAsia" w:cstheme="minorBidi"/>
                <w:highlight w:val="none"/>
                <w:lang w:val="en-US" w:eastAsia="zh-CN"/>
              </w:rPr>
            </w:pPr>
            <w:r>
              <w:rPr>
                <w:rFonts w:hint="default" w:asciiTheme="minorHAnsi" w:hAnsiTheme="minorHAnsi" w:eastAsiaTheme="minorEastAsia" w:cstheme="minorBidi"/>
                <w:highlight w:val="none"/>
                <w:lang w:val="en-US" w:eastAsia="zh-CN"/>
              </w:rPr>
              <w:t>投标人同时具有市政公用工程施工总承包三级</w:t>
            </w:r>
            <w:r>
              <w:rPr>
                <w:rFonts w:hint="default" w:asciiTheme="minorHAnsi" w:hAnsiTheme="minorHAnsi" w:eastAsiaTheme="minorEastAsia" w:cstheme="minorBidi"/>
                <w:sz w:val="21"/>
                <w:szCs w:val="24"/>
                <w:highlight w:val="none"/>
                <w:lang w:val="en-US" w:eastAsia="zh-CN"/>
              </w:rPr>
              <w:t>或以上资质</w:t>
            </w:r>
            <w:r>
              <w:rPr>
                <w:rFonts w:hint="default" w:asciiTheme="minorHAnsi" w:hAnsiTheme="minorHAnsi" w:eastAsiaTheme="minorEastAsia" w:cstheme="minorBidi"/>
                <w:highlight w:val="none"/>
                <w:lang w:val="en-US" w:eastAsia="zh-CN"/>
              </w:rPr>
              <w:t>和水利水电工程施工总承包三级或以上资质的，得10分，其他不得分。</w:t>
            </w:r>
          </w:p>
          <w:p>
            <w:pPr>
              <w:jc w:val="left"/>
              <w:rPr>
                <w:rFonts w:hint="default" w:asciiTheme="minorHAnsi" w:hAnsiTheme="minorHAnsi" w:cstheme="minorBidi"/>
                <w:sz w:val="21"/>
                <w:szCs w:val="24"/>
                <w:highlight w:val="none"/>
                <w:lang w:val="en-US" w:eastAsia="zh-CN"/>
              </w:rPr>
            </w:pPr>
            <w:r>
              <w:rPr>
                <w:rFonts w:hint="default" w:asciiTheme="minorHAnsi" w:hAnsiTheme="minorHAnsi" w:eastAsiaTheme="minorEastAsia" w:cstheme="minorBidi"/>
                <w:bCs w:val="0"/>
                <w:kern w:val="2"/>
                <w:sz w:val="21"/>
                <w:szCs w:val="24"/>
                <w:highlight w:val="none"/>
                <w:lang w:val="en-US" w:eastAsia="zh-CN" w:bidi="ar-SA"/>
              </w:rPr>
              <w:t>注：</w:t>
            </w:r>
            <w:r>
              <w:rPr>
                <w:rFonts w:hint="default" w:asciiTheme="minorHAnsi" w:hAnsiTheme="minorHAnsi" w:eastAsiaTheme="minorEastAsia" w:cstheme="minorBidi"/>
                <w:kern w:val="2"/>
                <w:sz w:val="21"/>
                <w:szCs w:val="24"/>
                <w:highlight w:val="none"/>
                <w:lang w:val="en-US" w:eastAsia="zh-CN" w:bidi="ar-SA"/>
              </w:rPr>
              <w:t>提供公司资质证书复印件加盖公章，不提供不得分。</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2"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kern w:val="2"/>
                <w:sz w:val="21"/>
                <w:szCs w:val="21"/>
                <w:highlight w:val="none"/>
                <w:lang w:val="en-US" w:eastAsia="zh-CN" w:bidi="ar-SA"/>
              </w:rPr>
            </w:pPr>
            <w:r>
              <w:rPr>
                <w:highlight w:val="none"/>
              </w:rPr>
              <w:t>企业业绩</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b w:val="0"/>
                <w:bCs w:val="0"/>
                <w:color w:val="auto"/>
                <w:kern w:val="2"/>
                <w:positio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10</w:t>
            </w:r>
          </w:p>
        </w:tc>
        <w:tc>
          <w:tcPr>
            <w:tcW w:w="8730" w:type="dxa"/>
            <w:shd w:val="clear" w:color="auto" w:fill="auto"/>
            <w:vAlign w:val="center"/>
          </w:tcPr>
          <w:p>
            <w:pPr>
              <w:widowControl/>
              <w:numPr>
                <w:ilvl w:val="-1"/>
                <w:numId w:val="0"/>
              </w:numPr>
              <w:spacing w:line="240" w:lineRule="auto"/>
              <w:ind w:left="0" w:leftChars="0" w:right="0" w:rightChars="0"/>
              <w:jc w:val="left"/>
              <w:rPr>
                <w:rFonts w:hint="default" w:asciiTheme="minorHAnsi" w:hAnsiTheme="minorHAnsi" w:eastAsiaTheme="minorEastAsia" w:cstheme="minorBidi"/>
                <w:b w:val="0"/>
                <w:bCs w:val="0"/>
                <w:kern w:val="2"/>
                <w:sz w:val="21"/>
                <w:szCs w:val="24"/>
                <w:highlight w:val="none"/>
                <w:lang w:val="en-US" w:eastAsia="zh-CN" w:bidi="ar-SA"/>
              </w:rPr>
            </w:pPr>
            <w:r>
              <w:rPr>
                <w:rFonts w:hint="default" w:asciiTheme="minorHAnsi" w:hAnsiTheme="minorHAnsi" w:eastAsiaTheme="minorEastAsia" w:cstheme="minorBidi"/>
                <w:kern w:val="2"/>
                <w:szCs w:val="24"/>
                <w:highlight w:val="none"/>
              </w:rPr>
              <w:t>投标人自</w:t>
            </w:r>
            <w:r>
              <w:rPr>
                <w:rFonts w:hint="default" w:asciiTheme="minorHAnsi" w:hAnsiTheme="minorHAnsi" w:eastAsiaTheme="minorEastAsia" w:cstheme="minorBidi"/>
                <w:kern w:val="2"/>
                <w:szCs w:val="24"/>
                <w:highlight w:val="none"/>
                <w:lang w:val="en-US" w:eastAsia="zh-CN"/>
              </w:rPr>
              <w:t>2020</w:t>
            </w:r>
            <w:r>
              <w:rPr>
                <w:rFonts w:hint="default" w:asciiTheme="minorHAnsi" w:hAnsiTheme="minorHAnsi" w:eastAsiaTheme="minorEastAsia" w:cstheme="minorBidi"/>
                <w:kern w:val="2"/>
                <w:szCs w:val="24"/>
                <w:highlight w:val="none"/>
              </w:rPr>
              <w:t>年1月1日以来（以合同签订时间为准）</w:t>
            </w:r>
            <w:r>
              <w:rPr>
                <w:rFonts w:hint="default" w:asciiTheme="minorHAnsi" w:hAnsiTheme="minorHAnsi" w:eastAsiaTheme="minorEastAsia" w:cstheme="minorBidi"/>
                <w:b w:val="0"/>
                <w:bCs w:val="0"/>
                <w:sz w:val="21"/>
                <w:szCs w:val="24"/>
                <w:highlight w:val="none"/>
                <w:lang w:val="en-US"/>
              </w:rPr>
              <w:t>承接过单项合同金额不低于</w:t>
            </w:r>
            <w:r>
              <w:rPr>
                <w:rFonts w:hint="default" w:asciiTheme="minorHAnsi" w:hAnsiTheme="minorHAnsi" w:eastAsiaTheme="minorEastAsia" w:cstheme="minorBidi"/>
                <w:b w:val="0"/>
                <w:bCs w:val="0"/>
                <w:sz w:val="21"/>
                <w:szCs w:val="24"/>
                <w:highlight w:val="none"/>
                <w:lang w:val="en-US" w:eastAsia="zh-CN"/>
              </w:rPr>
              <w:t>4</w:t>
            </w:r>
            <w:r>
              <w:rPr>
                <w:rFonts w:hint="default" w:asciiTheme="minorHAnsi" w:hAnsiTheme="minorHAnsi" w:eastAsiaTheme="minorEastAsia" w:cstheme="minorBidi"/>
                <w:b w:val="0"/>
                <w:bCs w:val="0"/>
                <w:sz w:val="21"/>
                <w:szCs w:val="24"/>
                <w:highlight w:val="none"/>
                <w:lang w:val="en-US"/>
              </w:rPr>
              <w:t>0万元（含</w:t>
            </w:r>
            <w:r>
              <w:rPr>
                <w:rFonts w:hint="default" w:asciiTheme="minorHAnsi" w:hAnsiTheme="minorHAnsi" w:eastAsiaTheme="minorEastAsia" w:cstheme="minorBidi"/>
                <w:b w:val="0"/>
                <w:bCs w:val="0"/>
                <w:sz w:val="21"/>
                <w:szCs w:val="24"/>
                <w:highlight w:val="none"/>
                <w:lang w:val="en-US" w:eastAsia="zh-CN"/>
              </w:rPr>
              <w:t>4</w:t>
            </w:r>
            <w:r>
              <w:rPr>
                <w:rFonts w:hint="default" w:asciiTheme="minorHAnsi" w:hAnsiTheme="minorHAnsi" w:eastAsiaTheme="minorEastAsia" w:cstheme="minorBidi"/>
                <w:b w:val="0"/>
                <w:bCs w:val="0"/>
                <w:sz w:val="21"/>
                <w:szCs w:val="24"/>
                <w:highlight w:val="none"/>
                <w:lang w:val="en-US"/>
              </w:rPr>
              <w:t>0万元）的</w:t>
            </w:r>
            <w:r>
              <w:rPr>
                <w:rFonts w:hint="default" w:asciiTheme="minorHAnsi" w:hAnsiTheme="minorHAnsi" w:eastAsiaTheme="minorEastAsia" w:cstheme="minorBidi"/>
                <w:b w:val="0"/>
                <w:bCs w:val="0"/>
                <w:sz w:val="21"/>
                <w:szCs w:val="24"/>
                <w:highlight w:val="none"/>
                <w:lang w:val="en-US" w:eastAsia="zh-CN"/>
              </w:rPr>
              <w:t>：</w:t>
            </w:r>
            <w:r>
              <w:rPr>
                <w:rFonts w:hint="eastAsia" w:asciiTheme="minorHAnsi" w:hAnsiTheme="minorHAnsi" w:eastAsiaTheme="minorEastAsia" w:cstheme="minorBidi"/>
                <w:highlight w:val="none"/>
              </w:rPr>
              <w:t>①</w:t>
            </w:r>
            <w:r>
              <w:rPr>
                <w:rFonts w:hint="default" w:asciiTheme="minorHAnsi" w:hAnsiTheme="minorHAnsi" w:eastAsiaTheme="minorEastAsia" w:cstheme="minorBidi"/>
                <w:b w:val="0"/>
                <w:bCs w:val="0"/>
                <w:highlight w:val="none"/>
                <w:lang w:val="en-US" w:eastAsia="zh-CN"/>
              </w:rPr>
              <w:t>市政工程施工</w:t>
            </w:r>
            <w:r>
              <w:rPr>
                <w:rFonts w:hint="default" w:asciiTheme="minorHAnsi" w:hAnsiTheme="minorHAnsi" w:eastAsiaTheme="minorEastAsia" w:cstheme="minorBidi"/>
                <w:b w:val="0"/>
                <w:bCs w:val="0"/>
                <w:sz w:val="21"/>
                <w:szCs w:val="24"/>
                <w:highlight w:val="none"/>
                <w:lang w:val="en-US"/>
              </w:rPr>
              <w:t>业绩，</w:t>
            </w:r>
            <w:r>
              <w:rPr>
                <w:rFonts w:hint="default" w:asciiTheme="minorHAnsi" w:hAnsiTheme="minorHAnsi" w:eastAsiaTheme="minorEastAsia" w:cstheme="minorBidi"/>
                <w:b w:val="0"/>
                <w:bCs w:val="0"/>
                <w:sz w:val="21"/>
                <w:szCs w:val="24"/>
                <w:highlight w:val="none"/>
                <w:lang w:val="en-US" w:eastAsia="zh-CN"/>
              </w:rPr>
              <w:t>每提供一个得3分，</w:t>
            </w:r>
            <w:r>
              <w:rPr>
                <w:rFonts w:hint="eastAsia" w:asciiTheme="minorHAnsi" w:hAnsiTheme="minorHAnsi" w:eastAsiaTheme="minorEastAsia" w:cstheme="minorBidi"/>
                <w:highlight w:val="none"/>
              </w:rPr>
              <w:t>本小项最多计2项</w:t>
            </w:r>
            <w:r>
              <w:rPr>
                <w:rFonts w:hint="default" w:asciiTheme="minorHAnsi" w:hAnsiTheme="minorHAnsi" w:eastAsiaTheme="minorEastAsia" w:cstheme="minorBidi"/>
                <w:b w:val="0"/>
                <w:bCs w:val="0"/>
                <w:sz w:val="21"/>
                <w:szCs w:val="24"/>
                <w:highlight w:val="none"/>
                <w:lang w:val="en-US" w:eastAsia="zh-CN"/>
              </w:rPr>
              <w:t>；</w:t>
            </w:r>
            <w:r>
              <w:rPr>
                <w:rFonts w:hint="eastAsia" w:asciiTheme="minorHAnsi" w:hAnsiTheme="minorHAnsi" w:eastAsiaTheme="minorEastAsia" w:cstheme="minorBidi"/>
                <w:highlight w:val="none"/>
              </w:rPr>
              <w:t>②</w:t>
            </w:r>
            <w:r>
              <w:rPr>
                <w:rFonts w:hint="default" w:asciiTheme="minorHAnsi" w:hAnsiTheme="minorHAnsi" w:eastAsiaTheme="minorEastAsia" w:cstheme="minorBidi"/>
                <w:b w:val="0"/>
                <w:bCs w:val="0"/>
                <w:highlight w:val="none"/>
                <w:lang w:val="en-US" w:eastAsia="zh-CN"/>
              </w:rPr>
              <w:t>水利工程施工业绩，</w:t>
            </w:r>
            <w:r>
              <w:rPr>
                <w:rFonts w:hint="default" w:asciiTheme="minorHAnsi" w:hAnsiTheme="minorHAnsi" w:eastAsiaTheme="minorEastAsia" w:cstheme="minorBidi"/>
                <w:b w:val="0"/>
                <w:bCs w:val="0"/>
                <w:sz w:val="21"/>
                <w:szCs w:val="24"/>
                <w:highlight w:val="none"/>
                <w:lang w:val="en-US" w:eastAsia="zh-CN"/>
              </w:rPr>
              <w:t>每提供一个得2分，</w:t>
            </w:r>
            <w:r>
              <w:rPr>
                <w:rFonts w:hint="eastAsia" w:asciiTheme="minorHAnsi" w:hAnsiTheme="minorHAnsi" w:eastAsiaTheme="minorEastAsia" w:cstheme="minorBidi"/>
                <w:highlight w:val="none"/>
              </w:rPr>
              <w:t>本小项最多计</w:t>
            </w:r>
            <w:r>
              <w:rPr>
                <w:rFonts w:hint="default" w:asciiTheme="minorHAnsi" w:hAnsiTheme="minorHAnsi" w:eastAsiaTheme="minorEastAsia" w:cstheme="minorBidi"/>
                <w:highlight w:val="none"/>
                <w:lang w:val="en-US" w:eastAsia="zh-CN"/>
              </w:rPr>
              <w:t>2</w:t>
            </w:r>
            <w:r>
              <w:rPr>
                <w:rFonts w:hint="eastAsia" w:asciiTheme="minorHAnsi" w:hAnsiTheme="minorHAnsi" w:eastAsiaTheme="minorEastAsia" w:cstheme="minorBidi"/>
                <w:highlight w:val="none"/>
              </w:rPr>
              <w:t>项；本项得分为①+②，最高不超过1</w:t>
            </w:r>
            <w:r>
              <w:rPr>
                <w:rFonts w:hint="default" w:asciiTheme="minorHAnsi" w:hAnsiTheme="minorHAnsi" w:eastAsiaTheme="minorEastAsia" w:cstheme="minorBidi"/>
                <w:highlight w:val="none"/>
                <w:lang w:val="en-US" w:eastAsia="zh-CN"/>
              </w:rPr>
              <w:t>0</w:t>
            </w:r>
            <w:r>
              <w:rPr>
                <w:rFonts w:hint="eastAsia" w:asciiTheme="minorHAnsi" w:hAnsiTheme="minorHAnsi" w:eastAsiaTheme="minorEastAsia" w:cstheme="minorBidi"/>
                <w:highlight w:val="none"/>
              </w:rPr>
              <w:t>分。</w:t>
            </w:r>
            <w:r>
              <w:rPr>
                <w:rFonts w:hint="default" w:asciiTheme="minorHAnsi" w:hAnsiTheme="minorHAnsi" w:eastAsiaTheme="minorEastAsia" w:cstheme="minorBidi"/>
                <w:b w:val="0"/>
                <w:bCs w:val="0"/>
                <w:kern w:val="2"/>
                <w:sz w:val="21"/>
                <w:szCs w:val="24"/>
                <w:highlight w:val="none"/>
                <w:lang w:val="en-US" w:eastAsia="zh-CN" w:bidi="ar-SA"/>
              </w:rPr>
              <w:t>注：需提供项目业绩证明材料（合同关键页复印件加盖公章），</w:t>
            </w:r>
            <w:r>
              <w:rPr>
                <w:rFonts w:hint="default" w:asciiTheme="minorHAnsi" w:hAnsiTheme="minorHAnsi" w:eastAsiaTheme="minorEastAsia" w:cstheme="minorBidi"/>
                <w:kern w:val="2"/>
                <w:szCs w:val="24"/>
                <w:highlight w:val="none"/>
              </w:rPr>
              <w:t>业绩时间以合同签订时间为准</w:t>
            </w:r>
            <w:r>
              <w:rPr>
                <w:rFonts w:hint="default" w:asciiTheme="minorHAnsi" w:hAnsiTheme="minorHAnsi" w:eastAsiaTheme="minorEastAsia" w:cstheme="minorBidi"/>
                <w:kern w:val="2"/>
                <w:szCs w:val="24"/>
                <w:highlight w:val="none"/>
                <w:lang w:eastAsia="zh-CN"/>
              </w:rPr>
              <w:t>，</w:t>
            </w:r>
            <w:r>
              <w:rPr>
                <w:rFonts w:hint="default" w:asciiTheme="minorHAnsi" w:hAnsiTheme="minorHAnsi" w:eastAsiaTheme="minorEastAsia" w:cstheme="minorBidi"/>
                <w:b w:val="0"/>
                <w:bCs w:val="0"/>
                <w:kern w:val="2"/>
                <w:sz w:val="21"/>
                <w:szCs w:val="24"/>
                <w:highlight w:val="none"/>
                <w:lang w:val="en-US" w:eastAsia="zh-CN" w:bidi="ar-SA"/>
              </w:rPr>
              <w:t>不提供不得分。同一项目按最高级计算，不重复得分。</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4"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default" w:ascii="宋体" w:hAnsi="宋体" w:eastAsia="宋体" w:cs="宋体"/>
                <w:b w:val="0"/>
                <w:bCs w:val="0"/>
                <w:color w:val="auto"/>
                <w:sz w:val="21"/>
                <w:szCs w:val="21"/>
                <w:highlight w:val="none"/>
              </w:rPr>
            </w:pPr>
            <w:r>
              <w:rPr>
                <w:rFonts w:hint="eastAsia" w:ascii="Calibri" w:hAnsi="Calibri" w:cs="Times New Roman"/>
                <w:b w:val="0"/>
                <w:sz w:val="21"/>
                <w:szCs w:val="21"/>
                <w:highlight w:val="none"/>
                <w:vertAlign w:val="baseline"/>
              </w:rPr>
              <w:t>拟投入项目管理机构及人员情况</w:t>
            </w:r>
          </w:p>
        </w:tc>
        <w:tc>
          <w:tcPr>
            <w:tcW w:w="735"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8730" w:type="dxa"/>
            <w:shd w:val="clear" w:color="auto" w:fill="auto"/>
            <w:vAlign w:val="center"/>
          </w:tcPr>
          <w:p>
            <w:pPr>
              <w:numPr>
                <w:ilvl w:val="0"/>
                <w:numId w:val="5"/>
              </w:numPr>
              <w:jc w:val="left"/>
              <w:rPr>
                <w:rFonts w:ascii="Calibri" w:hAnsi="Calibri" w:eastAsia="宋体" w:cs="Times New Roman"/>
                <w:highlight w:val="none"/>
              </w:rPr>
            </w:pPr>
            <w:r>
              <w:rPr>
                <w:rFonts w:hint="eastAsia" w:ascii="宋体" w:hAnsi="宋体" w:eastAsia="宋体" w:cs="宋体"/>
                <w:szCs w:val="21"/>
                <w:highlight w:val="none"/>
              </w:rPr>
              <w:t>技术负责人</w:t>
            </w:r>
            <w:r>
              <w:rPr>
                <w:rFonts w:hint="eastAsia" w:ascii="宋体" w:hAnsi="宋体" w:eastAsia="宋体" w:cs="宋体"/>
                <w:szCs w:val="21"/>
                <w:highlight w:val="none"/>
                <w:lang w:val="en-US" w:eastAsia="zh-CN"/>
              </w:rPr>
              <w:t>具备</w:t>
            </w:r>
            <w:r>
              <w:rPr>
                <w:rFonts w:hint="default" w:asciiTheme="minorHAnsi" w:hAnsiTheme="minorHAnsi" w:eastAsiaTheme="minorEastAsia" w:cstheme="minorBidi"/>
                <w:sz w:val="21"/>
                <w:szCs w:val="24"/>
                <w:highlight w:val="none"/>
                <w:u w:val="none"/>
              </w:rPr>
              <w:t>市政公用工程专业</w:t>
            </w:r>
            <w:r>
              <w:rPr>
                <w:rFonts w:hint="eastAsia" w:cstheme="minorBidi"/>
                <w:sz w:val="21"/>
                <w:szCs w:val="24"/>
                <w:highlight w:val="none"/>
                <w:u w:val="none"/>
                <w:lang w:val="en-US" w:eastAsia="zh-CN"/>
              </w:rPr>
              <w:t>一</w:t>
            </w:r>
            <w:r>
              <w:rPr>
                <w:rFonts w:hint="default" w:asciiTheme="minorHAnsi" w:hAnsiTheme="minorHAnsi" w:eastAsiaTheme="minorEastAsia" w:cstheme="minorBidi"/>
                <w:sz w:val="21"/>
                <w:szCs w:val="24"/>
                <w:highlight w:val="none"/>
                <w:u w:val="none"/>
              </w:rPr>
              <w:t>级注册建造师</w:t>
            </w:r>
            <w:r>
              <w:rPr>
                <w:rFonts w:hint="eastAsia" w:cstheme="minorBidi"/>
                <w:sz w:val="21"/>
                <w:szCs w:val="24"/>
                <w:highlight w:val="none"/>
                <w:u w:val="none"/>
                <w:lang w:val="en-US" w:eastAsia="zh-CN"/>
              </w:rPr>
              <w:t>执业资格</w:t>
            </w:r>
            <w:r>
              <w:rPr>
                <w:rFonts w:ascii="Calibri" w:hAnsi="Calibri" w:eastAsia="宋体" w:cs="Times New Roman"/>
                <w:highlight w:val="none"/>
              </w:rPr>
              <w:t>得2分；</w:t>
            </w:r>
          </w:p>
          <w:p>
            <w:pPr>
              <w:numPr>
                <w:ilvl w:val="0"/>
                <w:numId w:val="5"/>
              </w:numPr>
              <w:jc w:val="left"/>
              <w:rPr>
                <w:rFonts w:ascii="Calibri" w:hAnsi="Calibri" w:eastAsia="宋体" w:cs="Times New Roman"/>
                <w:highlight w:val="none"/>
              </w:rPr>
            </w:pPr>
            <w:r>
              <w:rPr>
                <w:rFonts w:ascii="Calibri" w:hAnsi="Calibri" w:eastAsia="宋体" w:cs="Times New Roman"/>
                <w:highlight w:val="none"/>
              </w:rPr>
              <w:t>现场管理人员中</w:t>
            </w:r>
            <w:r>
              <w:rPr>
                <w:rFonts w:hint="eastAsia" w:ascii="Calibri" w:hAnsi="Calibri" w:eastAsia="宋体" w:cs="Times New Roman"/>
                <w:highlight w:val="none"/>
                <w:lang w:val="en-US" w:eastAsia="zh-CN"/>
              </w:rPr>
              <w:t>具</w:t>
            </w:r>
            <w:r>
              <w:rPr>
                <w:rFonts w:ascii="Calibri" w:hAnsi="Calibri" w:eastAsia="宋体" w:cs="Times New Roman"/>
                <w:highlight w:val="none"/>
              </w:rPr>
              <w:t>有水利工程协会颁发的岗位培训合格证书，包含：安全员1名、质检员1名、材料员1名、资料员1名、施工员1名。每提供一个得1分，</w:t>
            </w:r>
            <w:r>
              <w:rPr>
                <w:rFonts w:hint="eastAsia" w:ascii="Calibri" w:hAnsi="Calibri" w:eastAsia="宋体" w:cs="Times New Roman"/>
                <w:highlight w:val="none"/>
                <w:lang w:val="en-US" w:eastAsia="zh-CN"/>
              </w:rPr>
              <w:t>本项最高</w:t>
            </w:r>
            <w:r>
              <w:rPr>
                <w:rFonts w:ascii="Calibri" w:hAnsi="Calibri" w:eastAsia="宋体" w:cs="Times New Roman"/>
                <w:highlight w:val="none"/>
              </w:rPr>
              <w:t>得5分。</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i w:val="0"/>
                <w:iCs w:val="0"/>
                <w:caps w:val="0"/>
                <w:color w:val="auto"/>
                <w:spacing w:val="0"/>
                <w:sz w:val="21"/>
                <w:szCs w:val="21"/>
                <w:highlight w:val="none"/>
                <w:shd w:val="clear"/>
              </w:rPr>
              <w:t>拟投入本项目所有人员只能担任一个岗位，</w:t>
            </w:r>
            <w:r>
              <w:rPr>
                <w:rFonts w:hint="eastAsia" w:ascii="宋体" w:hAnsi="宋体" w:eastAsia="宋体" w:cs="宋体"/>
                <w:i w:val="0"/>
                <w:iCs w:val="0"/>
                <w:caps w:val="0"/>
                <w:color w:val="333333"/>
                <w:spacing w:val="0"/>
                <w:sz w:val="21"/>
                <w:szCs w:val="21"/>
                <w:highlight w:val="none"/>
                <w:shd w:val="clear" w:fill="FFFFFF"/>
              </w:rPr>
              <w:t>不得</w:t>
            </w:r>
            <w:r>
              <w:rPr>
                <w:rFonts w:hint="eastAsia" w:ascii="宋体" w:hAnsi="宋体" w:eastAsia="宋体" w:cs="宋体"/>
                <w:i w:val="0"/>
                <w:iCs w:val="0"/>
                <w:caps w:val="0"/>
                <w:color w:val="auto"/>
                <w:spacing w:val="0"/>
                <w:sz w:val="21"/>
                <w:szCs w:val="21"/>
                <w:highlight w:val="none"/>
                <w:shd w:val="clear"/>
              </w:rPr>
              <w:t>兼任</w:t>
            </w:r>
            <w:r>
              <w:rPr>
                <w:rFonts w:hint="eastAsia" w:ascii="宋体" w:hAnsi="宋体" w:eastAsia="宋体" w:cs="宋体"/>
                <w:i w:val="0"/>
                <w:iCs w:val="0"/>
                <w:caps w:val="0"/>
                <w:color w:val="auto"/>
                <w:spacing w:val="0"/>
                <w:sz w:val="21"/>
                <w:szCs w:val="21"/>
                <w:highlight w:val="none"/>
                <w:shd w:val="clear"/>
                <w:lang w:eastAsia="zh-CN"/>
              </w:rPr>
              <w:t>，</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default" w:ascii="宋体" w:hAnsi="宋体" w:eastAsia="宋体" w:cs="宋体"/>
                <w:b w:val="0"/>
                <w:bCs w:val="0"/>
                <w:color w:val="auto"/>
                <w:sz w:val="21"/>
                <w:szCs w:val="21"/>
                <w:highlight w:val="none"/>
                <w:lang w:val="en-US" w:eastAsia="zh-CN"/>
              </w:rPr>
            </w:pPr>
            <w:r>
              <w:t>企业信誉情况</w:t>
            </w:r>
          </w:p>
        </w:tc>
        <w:tc>
          <w:tcPr>
            <w:tcW w:w="735"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8730" w:type="dxa"/>
            <w:shd w:val="clear" w:color="auto" w:fill="auto"/>
            <w:vAlign w:val="center"/>
          </w:tcPr>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lang w:val="en-US" w:eastAsia="zh-Hans"/>
              </w:rPr>
            </w:pPr>
            <w:r>
              <w:rPr>
                <w:rFonts w:hint="eastAsia" w:ascii="Times New Roman" w:eastAsia="宋体"/>
                <w:lang w:val="en-US" w:eastAsia="zh-CN"/>
              </w:rPr>
              <w:t>投标人</w:t>
            </w:r>
            <w:r>
              <w:t>具有</w:t>
            </w:r>
            <w:r>
              <w:rPr>
                <w:rFonts w:hint="eastAsia" w:ascii="宋体" w:hAnsi="宋体" w:eastAsia="宋体" w:cs="宋体"/>
                <w:color w:val="000000"/>
                <w:kern w:val="0"/>
                <w:szCs w:val="21"/>
                <w:highlight w:val="none"/>
              </w:rPr>
              <w:t>在有效期内的</w:t>
            </w:r>
            <w:r>
              <w:t>质量管理体系认证证书、环境管理体系认证证书、职业健康安全管理体系认证证书，每</w:t>
            </w:r>
            <w:r>
              <w:rPr>
                <w:rFonts w:hint="eastAsia" w:ascii="Times New Roman" w:eastAsia="宋体"/>
                <w:lang w:val="en-US" w:eastAsia="zh-CN"/>
              </w:rPr>
              <w:t>提供一</w:t>
            </w:r>
            <w:r>
              <w:t>个得</w:t>
            </w:r>
            <w:r>
              <w:rPr>
                <w:rFonts w:hint="eastAsia" w:ascii="Times New Roman" w:eastAsia="宋体"/>
                <w:lang w:val="en-US" w:eastAsia="zh-CN"/>
              </w:rPr>
              <w:t>1</w:t>
            </w:r>
            <w:r>
              <w:t>分，</w:t>
            </w:r>
            <w:r>
              <w:rPr>
                <w:rFonts w:hint="eastAsia" w:ascii="Times New Roman" w:eastAsia="宋体"/>
                <w:lang w:val="en-US" w:eastAsia="zh-CN"/>
              </w:rPr>
              <w:t>本项</w:t>
            </w:r>
            <w:r>
              <w:t>最高得3分。 注：</w:t>
            </w:r>
            <w:r>
              <w:rPr>
                <w:rFonts w:hint="eastAsia" w:ascii="宋体" w:hAnsi="宋体" w:eastAsia="宋体" w:cs="宋体"/>
                <w:color w:val="000000"/>
                <w:kern w:val="0"/>
                <w:szCs w:val="21"/>
                <w:highlight w:val="none"/>
              </w:rPr>
              <w:t>需提供相关证书复印件且加盖投标人公章，不提供不得分。</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20分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t xml:space="preserve">施工组织设计内容完整性和编制水平 </w:t>
            </w:r>
          </w:p>
        </w:tc>
        <w:tc>
          <w:tcPr>
            <w:tcW w:w="735" w:type="dxa"/>
            <w:shd w:val="clear" w:color="auto" w:fill="auto"/>
            <w:vAlign w:val="center"/>
          </w:tcPr>
          <w:p>
            <w:pPr>
              <w:snapToGrid/>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lang w:val="en-US" w:eastAsia="zh-CN"/>
              </w:rPr>
              <w:t>5</w:t>
            </w:r>
          </w:p>
        </w:tc>
        <w:tc>
          <w:tcPr>
            <w:tcW w:w="8730"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t>针对本项目编制内容完整的施工组织设计，内容详实具体完整、编制思路清晰、层次清楚、具有指导性、针对性、可操作性、符合规范。 优</w:t>
            </w:r>
            <w:r>
              <w:rPr>
                <w:rFonts w:hint="eastAsia" w:eastAsia="宋体"/>
                <w:lang w:eastAsia="zh-CN"/>
              </w:rPr>
              <w:t>（</w:t>
            </w:r>
            <w:r>
              <w:t>得</w:t>
            </w:r>
            <w:r>
              <w:rPr>
                <w:rFonts w:hint="eastAsia" w:ascii="Times New Roman" w:eastAsia="宋体"/>
                <w:lang w:val="en-US" w:eastAsia="zh-CN"/>
              </w:rPr>
              <w:t>5-4</w:t>
            </w:r>
            <w:r>
              <w:t>分</w:t>
            </w:r>
            <w:r>
              <w:rPr>
                <w:rFonts w:hint="eastAsia" w:eastAsia="宋体"/>
                <w:lang w:eastAsia="zh-CN"/>
              </w:rPr>
              <w:t>）</w:t>
            </w:r>
            <w:r>
              <w:t>、良（得</w:t>
            </w:r>
            <w:r>
              <w:rPr>
                <w:rFonts w:hint="eastAsia" w:ascii="Times New Roman" w:eastAsia="宋体"/>
                <w:lang w:val="en-US" w:eastAsia="zh-CN"/>
              </w:rPr>
              <w:t>4-3</w:t>
            </w:r>
            <w:r>
              <w:t>分）、一般（得</w:t>
            </w:r>
            <w:r>
              <w:rPr>
                <w:rFonts w:hint="eastAsia" w:ascii="Times New Roman" w:eastAsia="宋体"/>
                <w:lang w:val="en-US" w:eastAsia="zh-CN"/>
              </w:rPr>
              <w:t>2-1</w:t>
            </w:r>
            <w:r>
              <w:t>分）</w:t>
            </w:r>
            <w:r>
              <w:rPr>
                <w:rFonts w:hint="eastAsia" w:eastAsia="宋体"/>
                <w:lang w:eastAsia="zh-CN"/>
              </w:rPr>
              <w:t>，</w:t>
            </w:r>
            <w:r>
              <w:t>不提供方案不得分。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t>施工方案与技术措施的合理性、科学性与可行性</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t>施工方案与现行规范编写结合理论完善、采用规范正确、合理，施工措施方法成熟，满足工程建设进度及管理需要，且满足施工要求。 优（得</w:t>
            </w:r>
            <w:r>
              <w:rPr>
                <w:rFonts w:hint="eastAsia" w:ascii="Times New Roman" w:eastAsia="宋体"/>
                <w:lang w:val="en-US" w:eastAsia="zh-CN"/>
              </w:rPr>
              <w:t>5-4</w:t>
            </w:r>
            <w:r>
              <w:t>分）、良（得</w:t>
            </w:r>
            <w:r>
              <w:rPr>
                <w:rFonts w:hint="eastAsia" w:ascii="Times New Roman" w:eastAsia="宋体"/>
                <w:lang w:val="en-US" w:eastAsia="zh-CN"/>
              </w:rPr>
              <w:t>4-3</w:t>
            </w:r>
            <w:r>
              <w:t>分）、一般（得</w:t>
            </w:r>
            <w:r>
              <w:rPr>
                <w:rFonts w:hint="eastAsia" w:ascii="Times New Roman" w:eastAsia="宋体"/>
                <w:lang w:val="en-US" w:eastAsia="zh-CN"/>
              </w:rPr>
              <w:t>2-1</w:t>
            </w:r>
            <w:r>
              <w:t>分）</w:t>
            </w:r>
            <w:r>
              <w:rPr>
                <w:rFonts w:hint="eastAsia" w:eastAsia="宋体"/>
                <w:lang w:eastAsia="zh-CN"/>
              </w:rPr>
              <w:t>，</w:t>
            </w:r>
            <w:r>
              <w:t>不提供方案不得分。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t>环境保护管理体系与措施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t>有绿色施工方案及绿色施工措施，保证措施明确、具体、具有可操作性。 优（得</w:t>
            </w:r>
            <w:r>
              <w:rPr>
                <w:rFonts w:hint="eastAsia" w:ascii="Times New Roman" w:eastAsia="宋体"/>
                <w:lang w:val="en-US" w:eastAsia="zh-CN"/>
              </w:rPr>
              <w:t>5-4</w:t>
            </w:r>
            <w:r>
              <w:t>分）、良（得</w:t>
            </w:r>
            <w:r>
              <w:rPr>
                <w:rFonts w:hint="eastAsia" w:ascii="Times New Roman" w:eastAsia="宋体"/>
                <w:lang w:val="en-US" w:eastAsia="zh-CN"/>
              </w:rPr>
              <w:t>4-3</w:t>
            </w:r>
            <w:r>
              <w:t>分）、一般（得</w:t>
            </w:r>
            <w:r>
              <w:rPr>
                <w:rFonts w:hint="eastAsia" w:ascii="Times New Roman" w:eastAsia="宋体"/>
                <w:lang w:val="en-US" w:eastAsia="zh-CN"/>
              </w:rPr>
              <w:t>2-1</w:t>
            </w:r>
            <w:r>
              <w:t>分）</w:t>
            </w:r>
            <w:r>
              <w:rPr>
                <w:rFonts w:hint="eastAsia" w:eastAsia="宋体"/>
                <w:lang w:eastAsia="zh-CN"/>
              </w:rPr>
              <w:t>，</w:t>
            </w:r>
            <w:r>
              <w:t>不提供方案不得分。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r>
              <w:t>工程建设进度计划与措施、资源配备计划</w:t>
            </w:r>
          </w:p>
        </w:tc>
        <w:tc>
          <w:tcPr>
            <w:tcW w:w="735" w:type="dxa"/>
            <w:shd w:val="clear" w:color="auto" w:fill="auto"/>
            <w:vAlign w:val="center"/>
          </w:tcPr>
          <w:p>
            <w:pPr>
              <w:snapToGrid w:val="0"/>
              <w:ind w:left="-2" w:leftChars="-1"/>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73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t>工程建设进度满足招标文件要求，关键线路清晰、准确、完整，计划编制合理、可行，关键节点有控制措施，工期保证措施合理。 根据本工程的特点编制劳动力、机械设备投入计划，配置数量齐全、合理，确保满足施工要求，投入保证措施具体、可行。 优（得</w:t>
            </w:r>
            <w:r>
              <w:rPr>
                <w:rFonts w:hint="eastAsia" w:ascii="Times New Roman" w:eastAsia="宋体"/>
                <w:lang w:val="en-US" w:eastAsia="zh-CN"/>
              </w:rPr>
              <w:t>5-4</w:t>
            </w:r>
            <w:r>
              <w:t>分）、良（得</w:t>
            </w:r>
            <w:r>
              <w:rPr>
                <w:rFonts w:hint="eastAsia" w:ascii="Times New Roman" w:eastAsia="宋体"/>
                <w:lang w:val="en-US" w:eastAsia="zh-CN"/>
              </w:rPr>
              <w:t>4-3</w:t>
            </w:r>
            <w:r>
              <w:t>分）、一般（得</w:t>
            </w:r>
            <w:r>
              <w:rPr>
                <w:rFonts w:hint="eastAsia" w:ascii="Times New Roman" w:eastAsia="宋体"/>
                <w:lang w:val="en-US" w:eastAsia="zh-CN"/>
              </w:rPr>
              <w:t>2-1</w:t>
            </w:r>
            <w:r>
              <w:t>分）</w:t>
            </w:r>
            <w:r>
              <w:rPr>
                <w:rFonts w:hint="eastAsia" w:eastAsia="宋体"/>
                <w:lang w:eastAsia="zh-CN"/>
              </w:rPr>
              <w:t>，</w:t>
            </w:r>
            <w:r>
              <w:t>不提供方案不得分。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7" w:hRule="atLeast"/>
          <w:jc w:val="center"/>
        </w:trPr>
        <w:tc>
          <w:tcPr>
            <w:tcW w:w="1090"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rPr>
              <w:t>经济部分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1560" w:type="dxa"/>
            <w:shd w:val="clear" w:color="auto" w:fill="auto"/>
            <w:vAlign w:val="center"/>
          </w:tcPr>
          <w:p>
            <w:pPr>
              <w:pageBreakBefore w:val="0"/>
              <w:widowControl w:val="0"/>
              <w:kinsoku/>
              <w:wordWrap/>
              <w:overflowPunct/>
              <w:topLinePunct w:val="0"/>
              <w:autoSpaceDN/>
              <w:bidi w:val="0"/>
              <w:snapToGrid w:val="0"/>
              <w:spacing w:line="360" w:lineRule="exact"/>
              <w:ind w:left="0" w:leftChars="0"/>
              <w:jc w:val="both"/>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rPr>
              <w:t>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735" w:type="dxa"/>
            <w:shd w:val="clear" w:color="auto" w:fill="auto"/>
            <w:vAlign w:val="center"/>
          </w:tcPr>
          <w:p>
            <w:pPr>
              <w:pageBreakBefore w:val="0"/>
              <w:widowControl w:val="0"/>
              <w:kinsoku/>
              <w:wordWrap/>
              <w:overflowPunct/>
              <w:topLinePunct w:val="0"/>
              <w:autoSpaceDN/>
              <w:bidi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50</w:t>
            </w:r>
          </w:p>
        </w:tc>
        <w:tc>
          <w:tcPr>
            <w:tcW w:w="8730" w:type="dxa"/>
            <w:shd w:val="clear" w:color="auto" w:fill="auto"/>
            <w:vAlign w:val="top"/>
          </w:tcPr>
          <w:p>
            <w:pPr>
              <w:pageBreakBefore w:val="0"/>
              <w:widowControl w:val="0"/>
              <w:kinsoku/>
              <w:wordWrap/>
              <w:overflowPunct/>
              <w:topLinePunct w:val="0"/>
              <w:autoSpaceDN/>
              <w:bidi w:val="0"/>
              <w:spacing w:line="360" w:lineRule="exact"/>
              <w:ind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Style w:val="2"/>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报价等于基准价的，得分=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w:t>
            </w:r>
          </w:p>
          <w:p>
            <w:pPr>
              <w:pStyle w:val="2"/>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报价高于基准价的，得分=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0-[（报价-基准价）/基准价]×100×1</w:t>
            </w:r>
          </w:p>
          <w:p>
            <w:pPr>
              <w:pStyle w:val="2"/>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val="0"/>
                <w:bCs w:val="0"/>
                <w:color w:val="auto"/>
                <w:sz w:val="21"/>
                <w:szCs w:val="21"/>
                <w:highlight w:val="none"/>
                <w:lang w:val="en-US" w:eastAsia="zh-CN"/>
              </w:rPr>
              <w:t>报价低于基准价的，得分=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0-[（基准价-报价）/基准价]×100×0.5</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宋体" w:hAnsi="宋体" w:cs="宋体"/>
          <w:color w:val="auto"/>
          <w:szCs w:val="21"/>
          <w:highlight w:val="none"/>
        </w:rPr>
      </w:pPr>
      <w:r>
        <w:rPr>
          <w:rFonts w:hint="eastAsia" w:ascii="仿宋" w:hAnsi="仿宋" w:eastAsia="仿宋" w:cs="宋体"/>
          <w:color w:val="auto"/>
          <w:sz w:val="24"/>
          <w:highlight w:val="none"/>
        </w:rPr>
        <w:t xml:space="preserve"> </w:t>
      </w:r>
      <w:r>
        <w:rPr>
          <w:rFonts w:hint="eastAsia" w:ascii="宋体" w:hAnsi="宋体" w:cs="宋体"/>
          <w:color w:val="auto"/>
          <w:szCs w:val="21"/>
          <w:highlight w:val="none"/>
        </w:rPr>
        <w:t>说明：</w:t>
      </w:r>
    </w:p>
    <w:p>
      <w:pPr>
        <w:rPr>
          <w:highlight w:val="none"/>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83"/>
    <w:bookmarkEnd w:id="84"/>
    <w:p>
      <w:pPr>
        <w:pStyle w:val="24"/>
        <w:ind w:firstLine="420" w:firstLineChars="200"/>
        <w:rPr>
          <w:rFonts w:hint="default" w:ascii="宋体" w:hAnsi="宋体" w:cs="宋体"/>
          <w:color w:val="auto"/>
          <w:kern w:val="0"/>
          <w:sz w:val="21"/>
          <w:szCs w:val="21"/>
          <w:highlight w:val="none"/>
          <w:lang w:val="en-US"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snapToGrid w:val="0"/>
        <w:spacing w:line="360" w:lineRule="auto"/>
        <w:jc w:val="left"/>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5" w:name="_Toc10364"/>
      <w:bookmarkStart w:id="86" w:name="_Toc17416"/>
      <w:bookmarkStart w:id="87" w:name="_Toc4858"/>
      <w:bookmarkStart w:id="88" w:name="_Toc17392"/>
      <w:bookmarkStart w:id="89" w:name="_Toc27349"/>
      <w:bookmarkStart w:id="90" w:name="_Toc17298"/>
      <w:bookmarkStart w:id="91" w:name="_Toc17435"/>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5"/>
      <w:bookmarkEnd w:id="86"/>
      <w:bookmarkEnd w:id="87"/>
      <w:bookmarkEnd w:id="88"/>
      <w:bookmarkEnd w:id="89"/>
      <w:bookmarkEnd w:id="90"/>
      <w:bookmarkEnd w:id="91"/>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pacing w:val="0"/>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湿地景区一期东堤河道清淤和水闸改造项目</w:t>
      </w:r>
      <w:r>
        <w:rPr>
          <w:rFonts w:hint="eastAsia" w:ascii="宋体" w:hAnsi="宋体" w:eastAsia="宋体" w:cs="Times New Roman"/>
          <w:b w:val="0"/>
          <w:bCs w:val="0"/>
          <w:color w:val="auto"/>
          <w:sz w:val="24"/>
          <w:szCs w:val="24"/>
          <w:highlight w:val="none"/>
          <w:u w:val="single"/>
          <w:lang w:val="en-US" w:eastAsia="zh-CN"/>
        </w:rPr>
        <w:t xml:space="preserve"> </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2" w:name="_Toc24807"/>
      <w:bookmarkStart w:id="93" w:name="_Toc9237"/>
      <w:bookmarkStart w:id="94" w:name="_Toc26871"/>
      <w:bookmarkStart w:id="95" w:name="_Toc3465"/>
      <w:bookmarkStart w:id="96" w:name="_Toc17693"/>
      <w:r>
        <w:rPr>
          <w:rFonts w:hint="eastAsia" w:ascii="宋体" w:hAnsi="宋体" w:cs="宋体" w:eastAsiaTheme="minorEastAsia"/>
          <w:b/>
          <w:color w:val="auto"/>
          <w:kern w:val="0"/>
          <w:sz w:val="28"/>
          <w:szCs w:val="28"/>
          <w:highlight w:val="none"/>
          <w:lang w:val="en-US" w:eastAsia="zh-CN"/>
        </w:rPr>
        <w:t>非联合体投标声明（格式自拟）</w:t>
      </w:r>
      <w:bookmarkEnd w:id="92"/>
      <w:bookmarkEnd w:id="93"/>
      <w:bookmarkEnd w:id="94"/>
      <w:bookmarkEnd w:id="95"/>
      <w:bookmarkEnd w:id="9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40A22FB"/>
    <w:multiLevelType w:val="singleLevel"/>
    <w:tmpl w:val="C40A22FB"/>
    <w:lvl w:ilvl="0" w:tentative="0">
      <w:start w:val="1"/>
      <w:numFmt w:val="decimal"/>
      <w:suff w:val="nothing"/>
      <w:lvlText w:val="（%1）"/>
      <w:lvlJc w:val="left"/>
    </w:lvl>
  </w:abstractNum>
  <w:abstractNum w:abstractNumId="3">
    <w:nsid w:val="CB8718C6"/>
    <w:multiLevelType w:val="singleLevel"/>
    <w:tmpl w:val="CB8718C6"/>
    <w:lvl w:ilvl="0" w:tentative="0">
      <w:start w:val="3"/>
      <w:numFmt w:val="decimal"/>
      <w:suff w:val="nothing"/>
      <w:lvlText w:val="%1、"/>
      <w:lvlJc w:val="left"/>
    </w:lvl>
  </w:abstractNum>
  <w:abstractNum w:abstractNumId="4">
    <w:nsid w:val="F9153F42"/>
    <w:multiLevelType w:val="singleLevel"/>
    <w:tmpl w:val="F9153F42"/>
    <w:lvl w:ilvl="0" w:tentative="0">
      <w:start w:val="1"/>
      <w:numFmt w:val="decimal"/>
      <w:suff w:val="nothing"/>
      <w:lvlText w:val="%1、"/>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D330E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7">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6"/>
    <w:qFormat/>
    <w:uiPriority w:val="0"/>
    <w:rPr>
      <w:rFonts w:hint="eastAsia" w:ascii="宋体" w:hAnsi="Courier New" w:eastAsia="宋体" w:cs="Times New Roman"/>
      <w:szCs w:val="21"/>
    </w:r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8">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9">
    <w:name w:val="Normal Indent"/>
    <w:basedOn w:val="1"/>
    <w:qFormat/>
    <w:uiPriority w:val="0"/>
    <w:pPr>
      <w:ind w:firstLine="420"/>
    </w:pPr>
    <w:rPr>
      <w:rFonts w:ascii="Times New Roman" w:hAnsi="Times New Roman" w:eastAsia="宋体" w:cs="Times New Roman"/>
      <w:szCs w:val="20"/>
    </w:rPr>
  </w:style>
  <w:style w:type="paragraph" w:styleId="10">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1">
    <w:name w:val="annotation text"/>
    <w:basedOn w:val="1"/>
    <w:semiHidden/>
    <w:unhideWhenUsed/>
    <w:qFormat/>
    <w:uiPriority w:val="0"/>
    <w:pPr>
      <w:jc w:val="left"/>
    </w:p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2"/>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7"/>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27</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2023-12-04T02:26:34Z</cp:lastPrinted>
  <dcterms:modified xsi:type="dcterms:W3CDTF">2023-12-04T02:43:58Z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08353BFC4EAE456AA9CD0D6794E7855F_13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