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2"/>
        <w:rPr>
          <w:highlight w:val="none"/>
        </w:rPr>
      </w:pPr>
    </w:p>
    <w:p>
      <w:pPr>
        <w:pStyle w:val="22"/>
        <w:rPr>
          <w:highlight w:val="none"/>
        </w:rPr>
      </w:pPr>
    </w:p>
    <w:p>
      <w:pPr>
        <w:rPr>
          <w:rFonts w:ascii="宋体" w:hAnsi="宋体" w:eastAsia="宋体" w:cs="宋体"/>
          <w:color w:val="auto"/>
          <w:sz w:val="72"/>
          <w:szCs w:val="72"/>
          <w:highlight w:val="none"/>
        </w:rPr>
      </w:pPr>
      <w:r>
        <w:rPr>
          <w:rFonts w:hint="eastAsia" w:ascii="宋体" w:hAnsi="宋体" w:eastAsia="宋体" w:cs="宋体"/>
          <w:b/>
          <w:bCs w:val="0"/>
          <w:color w:val="auto"/>
          <w:sz w:val="44"/>
          <w:szCs w:val="44"/>
          <w:highlight w:val="none"/>
          <w:lang w:val="en-US" w:eastAsia="zh-CN"/>
        </w:rPr>
        <w:t xml:space="preserve">  南沙天后宫电房地块提升改造--地面提升项目</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22"/>
        <w:rPr>
          <w:rFonts w:hint="eastAsia" w:ascii="宋体" w:hAnsi="宋体" w:eastAsia="宋体" w:cs="宋体"/>
          <w:color w:val="auto"/>
          <w:sz w:val="72"/>
          <w:szCs w:val="72"/>
          <w:highlight w:val="none"/>
        </w:rPr>
      </w:pPr>
      <w:bookmarkStart w:id="97" w:name="_GoBack"/>
      <w:bookmarkEnd w:id="97"/>
    </w:p>
    <w:p>
      <w:pPr>
        <w:pStyle w:val="22"/>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12月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5"/>
            <w:tabs>
              <w:tab w:val="right" w:leader="dot" w:pos="9410"/>
            </w:tabs>
            <w:rPr>
              <w:b w:val="0"/>
              <w:bCs w:val="0"/>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_Toc17503 </w:instrText>
          </w:r>
          <w:r>
            <w:rPr>
              <w:rFonts w:hint="eastAsia" w:ascii="宋体" w:hAnsi="宋体" w:eastAsia="宋体" w:cs="宋体"/>
              <w:b w:val="0"/>
              <w:bCs w:val="0"/>
              <w:sz w:val="24"/>
              <w:szCs w:val="24"/>
              <w:highlight w:val="none"/>
            </w:rPr>
            <w:fldChar w:fldCharType="separate"/>
          </w:r>
          <w:r>
            <w:rPr>
              <w:rFonts w:hint="eastAsia" w:ascii="黑体" w:hAnsi="宋体" w:cs="黑体"/>
              <w:b w:val="0"/>
              <w:bCs w:val="0"/>
              <w:kern w:val="44"/>
              <w:sz w:val="24"/>
              <w:szCs w:val="24"/>
              <w:highlight w:val="none"/>
            </w:rPr>
            <w:t>第1章 投标须知及前附表</w:t>
          </w:r>
          <w:r>
            <w:rPr>
              <w:b w:val="0"/>
              <w:bCs w:val="0"/>
              <w:sz w:val="24"/>
              <w:szCs w:val="24"/>
            </w:rPr>
            <w:tab/>
          </w:r>
          <w:r>
            <w:rPr>
              <w:b w:val="0"/>
              <w:bCs w:val="0"/>
              <w:sz w:val="24"/>
              <w:szCs w:val="24"/>
            </w:rPr>
            <w:fldChar w:fldCharType="begin"/>
          </w:r>
          <w:r>
            <w:rPr>
              <w:b w:val="0"/>
              <w:bCs w:val="0"/>
              <w:sz w:val="24"/>
              <w:szCs w:val="24"/>
            </w:rPr>
            <w:instrText xml:space="preserve"> PAGEREF _Toc17503 \h </w:instrText>
          </w:r>
          <w:r>
            <w:rPr>
              <w:b w:val="0"/>
              <w:bCs w:val="0"/>
              <w:sz w:val="24"/>
              <w:szCs w:val="24"/>
            </w:rPr>
            <w:fldChar w:fldCharType="separate"/>
          </w:r>
          <w:r>
            <w:rPr>
              <w:b w:val="0"/>
              <w:bCs w:val="0"/>
              <w:sz w:val="24"/>
              <w:szCs w:val="24"/>
            </w:rPr>
            <w:t>1</w:t>
          </w:r>
          <w:r>
            <w:rPr>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_Toc28921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第2章 项目需求书</w:t>
          </w:r>
          <w:r>
            <w:rPr>
              <w:b w:val="0"/>
              <w:bCs w:val="0"/>
              <w:sz w:val="24"/>
              <w:szCs w:val="24"/>
            </w:rPr>
            <w:tab/>
          </w:r>
          <w:r>
            <w:rPr>
              <w:b w:val="0"/>
              <w:bCs w:val="0"/>
              <w:sz w:val="24"/>
              <w:szCs w:val="24"/>
            </w:rPr>
            <w:fldChar w:fldCharType="begin"/>
          </w:r>
          <w:r>
            <w:rPr>
              <w:b w:val="0"/>
              <w:bCs w:val="0"/>
              <w:sz w:val="24"/>
              <w:szCs w:val="24"/>
            </w:rPr>
            <w:instrText xml:space="preserve"> PAGEREF _Toc28921 \h </w:instrText>
          </w:r>
          <w:r>
            <w:rPr>
              <w:b w:val="0"/>
              <w:bCs w:val="0"/>
              <w:sz w:val="24"/>
              <w:szCs w:val="24"/>
            </w:rPr>
            <w:fldChar w:fldCharType="separate"/>
          </w:r>
          <w:r>
            <w:rPr>
              <w:b w:val="0"/>
              <w:bCs w:val="0"/>
              <w:sz w:val="24"/>
              <w:szCs w:val="24"/>
            </w:rPr>
            <w:t>12</w:t>
          </w:r>
          <w:r>
            <w:rPr>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_Toc2908 </w:instrText>
          </w:r>
          <w:r>
            <w:rPr>
              <w:rFonts w:hint="eastAsia" w:ascii="宋体" w:hAnsi="宋体" w:eastAsia="宋体" w:cs="宋体"/>
              <w:b w:val="0"/>
              <w:bCs w:val="0"/>
              <w:sz w:val="24"/>
              <w:szCs w:val="24"/>
              <w:highlight w:val="none"/>
            </w:rPr>
            <w:fldChar w:fldCharType="separate"/>
          </w:r>
          <w:r>
            <w:rPr>
              <w:rFonts w:hint="eastAsia" w:ascii="黑体" w:hAnsi="宋体" w:cs="黑体"/>
              <w:b w:val="0"/>
              <w:bCs w:val="0"/>
              <w:kern w:val="44"/>
              <w:sz w:val="24"/>
              <w:szCs w:val="24"/>
              <w:highlight w:val="none"/>
            </w:rPr>
            <w:t>第3章 投标格式文件</w:t>
          </w:r>
          <w:r>
            <w:rPr>
              <w:b w:val="0"/>
              <w:bCs w:val="0"/>
              <w:sz w:val="24"/>
              <w:szCs w:val="24"/>
            </w:rPr>
            <w:tab/>
          </w:r>
          <w:r>
            <w:rPr>
              <w:b w:val="0"/>
              <w:bCs w:val="0"/>
              <w:sz w:val="24"/>
              <w:szCs w:val="24"/>
            </w:rPr>
            <w:fldChar w:fldCharType="begin"/>
          </w:r>
          <w:r>
            <w:rPr>
              <w:b w:val="0"/>
              <w:bCs w:val="0"/>
              <w:sz w:val="24"/>
              <w:szCs w:val="24"/>
            </w:rPr>
            <w:instrText xml:space="preserve"> PAGEREF _Toc2908 \h </w:instrText>
          </w:r>
          <w:r>
            <w:rPr>
              <w:b w:val="0"/>
              <w:bCs w:val="0"/>
              <w:sz w:val="24"/>
              <w:szCs w:val="24"/>
            </w:rPr>
            <w:fldChar w:fldCharType="separate"/>
          </w:r>
          <w:r>
            <w:rPr>
              <w:b w:val="0"/>
              <w:bCs w:val="0"/>
              <w:sz w:val="24"/>
              <w:szCs w:val="24"/>
            </w:rPr>
            <w:t>13</w:t>
          </w:r>
          <w:r>
            <w:rPr>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_Toc24523 </w:instrText>
          </w:r>
          <w:r>
            <w:rPr>
              <w:rFonts w:hint="eastAsia" w:ascii="宋体" w:hAnsi="宋体" w:eastAsia="宋体" w:cs="宋体"/>
              <w:b w:val="0"/>
              <w:bCs w:val="0"/>
              <w:sz w:val="24"/>
              <w:szCs w:val="24"/>
              <w:highlight w:val="none"/>
            </w:rPr>
            <w:fldChar w:fldCharType="separate"/>
          </w:r>
          <w:r>
            <w:rPr>
              <w:rFonts w:hint="eastAsia" w:ascii="黑体" w:hAnsi="宋体" w:cs="黑体"/>
              <w:b w:val="0"/>
              <w:bCs w:val="0"/>
              <w:kern w:val="44"/>
              <w:sz w:val="24"/>
              <w:szCs w:val="24"/>
              <w:highlight w:val="none"/>
            </w:rPr>
            <w:t>第4章 评标办法</w:t>
          </w:r>
          <w:r>
            <w:rPr>
              <w:b w:val="0"/>
              <w:bCs w:val="0"/>
              <w:sz w:val="24"/>
              <w:szCs w:val="24"/>
            </w:rPr>
            <w:tab/>
          </w:r>
          <w:r>
            <w:rPr>
              <w:b w:val="0"/>
              <w:bCs w:val="0"/>
              <w:sz w:val="24"/>
              <w:szCs w:val="24"/>
            </w:rPr>
            <w:fldChar w:fldCharType="begin"/>
          </w:r>
          <w:r>
            <w:rPr>
              <w:b w:val="0"/>
              <w:bCs w:val="0"/>
              <w:sz w:val="24"/>
              <w:szCs w:val="24"/>
            </w:rPr>
            <w:instrText xml:space="preserve"> PAGEREF _Toc24523 \h </w:instrText>
          </w:r>
          <w:r>
            <w:rPr>
              <w:b w:val="0"/>
              <w:bCs w:val="0"/>
              <w:sz w:val="24"/>
              <w:szCs w:val="24"/>
            </w:rPr>
            <w:fldChar w:fldCharType="separate"/>
          </w:r>
          <w:r>
            <w:rPr>
              <w:b w:val="0"/>
              <w:bCs w:val="0"/>
              <w:sz w:val="24"/>
              <w:szCs w:val="24"/>
            </w:rPr>
            <w:t>25</w:t>
          </w:r>
          <w:r>
            <w:rPr>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_Toc11051 </w:instrText>
          </w:r>
          <w:r>
            <w:rPr>
              <w:rFonts w:hint="eastAsia" w:ascii="宋体" w:hAnsi="宋体" w:eastAsia="宋体" w:cs="宋体"/>
              <w:b w:val="0"/>
              <w:bCs w:val="0"/>
              <w:sz w:val="24"/>
              <w:szCs w:val="24"/>
              <w:highlight w:val="none"/>
            </w:rPr>
            <w:fldChar w:fldCharType="separate"/>
          </w:r>
          <w:r>
            <w:rPr>
              <w:rFonts w:hint="eastAsia" w:ascii="宋体" w:hAnsi="宋体" w:cs="宋体"/>
              <w:b w:val="0"/>
              <w:bCs w:val="0"/>
              <w:sz w:val="24"/>
              <w:szCs w:val="24"/>
              <w:highlight w:val="none"/>
              <w:lang w:val="en-US" w:eastAsia="zh-CN"/>
            </w:rPr>
            <w:t>第5章 附件</w:t>
          </w:r>
          <w:r>
            <w:rPr>
              <w:b w:val="0"/>
              <w:bCs w:val="0"/>
              <w:sz w:val="24"/>
              <w:szCs w:val="24"/>
            </w:rPr>
            <w:tab/>
          </w:r>
          <w:r>
            <w:rPr>
              <w:rFonts w:hint="eastAsia"/>
              <w:b w:val="0"/>
              <w:bCs w:val="0"/>
              <w:sz w:val="24"/>
              <w:szCs w:val="24"/>
              <w:lang w:eastAsia="zh-CN"/>
            </w:rPr>
            <w:t>3</w:t>
          </w:r>
          <w:r>
            <w:rPr>
              <w:rFonts w:hint="eastAsia" w:ascii="宋体" w:hAnsi="宋体" w:eastAsia="宋体" w:cs="宋体"/>
              <w:b w:val="0"/>
              <w:bCs w:val="0"/>
              <w:color w:val="auto"/>
              <w:sz w:val="24"/>
              <w:szCs w:val="24"/>
              <w:highlight w:val="none"/>
            </w:rPr>
            <w:fldChar w:fldCharType="end"/>
          </w:r>
          <w:r>
            <w:rPr>
              <w:rFonts w:hint="eastAsia" w:ascii="Times New Roman" w:hAnsi="Times New Roman" w:cs="Times New Roman"/>
              <w:b w:val="0"/>
              <w:bCs w:val="0"/>
              <w:sz w:val="24"/>
              <w:szCs w:val="24"/>
              <w:lang w:val="en-US" w:eastAsia="zh-CN"/>
            </w:rPr>
            <w:t>3</w:t>
          </w:r>
        </w:p>
        <w:p>
          <w:pPr>
            <w:pStyle w:val="15"/>
            <w:tabs>
              <w:tab w:val="right" w:leader="dot" w:pos="9410"/>
            </w:tabs>
            <w:rPr>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4"/>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20698"/>
      <w:bookmarkStart w:id="3" w:name="_Toc23838"/>
      <w:bookmarkStart w:id="4" w:name="_Toc17503"/>
      <w:bookmarkStart w:id="5" w:name="_Toc9159"/>
      <w:bookmarkStart w:id="6" w:name="_Toc374128472"/>
      <w:bookmarkStart w:id="7" w:name="_Toc13302"/>
      <w:bookmarkStart w:id="8" w:name="_Toc8549"/>
      <w:bookmarkStart w:id="9" w:name="_Toc13388"/>
      <w:bookmarkStart w:id="10" w:name="_Toc2765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sz w:val="21"/>
                <w:szCs w:val="21"/>
                <w:highlight w:val="none"/>
                <w:lang w:val="en-US" w:eastAsia="zh-CN"/>
              </w:rPr>
              <w:t>南沙天后宫电房地块提升改造--地面提升项目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w:t>
            </w:r>
            <w:r>
              <w:rPr>
                <w:rFonts w:hint="eastAsia" w:ascii="宋体" w:hAnsi="宋体" w:cs="宋体"/>
                <w:color w:val="auto"/>
                <w:kern w:val="2"/>
                <w:position w:val="0"/>
                <w:sz w:val="21"/>
                <w:szCs w:val="21"/>
                <w:highlight w:val="none"/>
                <w:lang w:val="en-US" w:eastAsia="zh-CN"/>
              </w:rPr>
              <w:t>天后宫</w:t>
            </w:r>
            <w:r>
              <w:rPr>
                <w:rFonts w:hint="eastAsia" w:ascii="宋体" w:hAnsi="宋体" w:eastAsia="宋体" w:cs="宋体"/>
                <w:color w:val="auto"/>
                <w:kern w:val="2"/>
                <w:position w:val="0"/>
                <w:sz w:val="21"/>
                <w:szCs w:val="21"/>
                <w:highlight w:val="none"/>
              </w:rPr>
              <w:t>景区内</w:t>
            </w:r>
          </w:p>
        </w:tc>
      </w:tr>
      <w:tr>
        <w:tblPrEx>
          <w:tblCellMar>
            <w:top w:w="0" w:type="dxa"/>
            <w:left w:w="108" w:type="dxa"/>
            <w:bottom w:w="0" w:type="dxa"/>
            <w:right w:w="108" w:type="dxa"/>
          </w:tblCellMar>
        </w:tblPrEx>
        <w:trPr>
          <w:trHeight w:val="755"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snapToGrid/>
                <w:color w:val="auto"/>
                <w:kern w:val="2"/>
                <w:sz w:val="21"/>
                <w:szCs w:val="21"/>
                <w:highlight w:val="none"/>
                <w:lang w:val="en-US" w:eastAsia="zh-CN" w:bidi="ar-SA"/>
              </w:rPr>
              <w:t>对南沙天后官电房地块地面提升改造，项目包括在原有室外空地上浇捣水泥地面和排水系统等</w:t>
            </w:r>
            <w:r>
              <w:rPr>
                <w:rFonts w:hint="eastAsia" w:ascii="宋体" w:hAnsi="宋体" w:cs="宋体"/>
                <w:snapToGrid/>
                <w:color w:val="auto"/>
                <w:kern w:val="2"/>
                <w:sz w:val="21"/>
                <w:szCs w:val="21"/>
                <w:highlight w:val="none"/>
                <w:lang w:val="en-US" w:eastAsia="zh-CN" w:bidi="ar-SA"/>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FF0000"/>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42.67</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152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beforeAutospacing="0"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cs="宋体"/>
                <w:color w:val="auto"/>
                <w:kern w:val="2"/>
                <w:position w:val="0"/>
                <w:sz w:val="21"/>
                <w:szCs w:val="21"/>
                <w:highlight w:val="none"/>
                <w:u w:val="none"/>
                <w:lang w:val="en-US" w:eastAsia="zh-CN" w:bidi="ar"/>
              </w:rPr>
              <w:t>项目内容包括</w:t>
            </w:r>
            <w:r>
              <w:rPr>
                <w:rFonts w:hint="eastAsia" w:ascii="宋体" w:hAnsi="宋体" w:eastAsia="宋体" w:cs="宋体"/>
                <w:color w:val="auto"/>
                <w:kern w:val="2"/>
                <w:position w:val="0"/>
                <w:sz w:val="21"/>
                <w:szCs w:val="21"/>
                <w:highlight w:val="none"/>
                <w:u w:val="none"/>
                <w:lang w:bidi="ar"/>
              </w:rPr>
              <w:t>原地面开挖、回填水泥石屑稳定层及浇捣混凝土地面1007.4㎡,新建排水沟约69m，3个室外配电箱及电缆预埋，7m 5*500w高杆灯(5灯头)一个，新建室外雨水排水系统。</w:t>
            </w:r>
            <w:r>
              <w:rPr>
                <w:rFonts w:hint="eastAsia" w:ascii="宋体" w:hAnsi="宋体" w:eastAsia="宋体" w:cs="宋体"/>
                <w:color w:val="auto"/>
                <w:spacing w:val="0"/>
                <w:sz w:val="21"/>
                <w:szCs w:val="21"/>
                <w:highlight w:val="none"/>
                <w:u w:val="none"/>
                <w:lang w:val="en-US" w:eastAsia="zh-CN" w:bidi="ar"/>
              </w:rPr>
              <w:t>具体以实际施工图纸、工程量清单为准。</w:t>
            </w:r>
            <w:r>
              <w:rPr>
                <w:rFonts w:hint="eastAsia" w:ascii="宋体" w:hAnsi="宋体" w:eastAsia="宋体" w:cs="宋体"/>
                <w:color w:val="auto"/>
                <w:kern w:val="2"/>
                <w:sz w:val="21"/>
                <w:szCs w:val="21"/>
                <w:highlight w:val="none"/>
                <w:u w:val="none"/>
                <w:lang w:val="en-US" w:eastAsia="zh-CN" w:bidi="ar"/>
              </w:rPr>
              <w:t>投标人需按招标文件、图纸规范等要求进行施工，如设计图纸有调整时，必须服从要求调整</w:t>
            </w:r>
            <w:r>
              <w:rPr>
                <w:rFonts w:hint="eastAsia" w:ascii="宋体" w:hAnsi="宋体" w:eastAsia="宋体" w:cs="宋体"/>
                <w:bCs w:val="0"/>
                <w:color w:val="auto"/>
                <w:kern w:val="2"/>
                <w:sz w:val="21"/>
                <w:szCs w:val="21"/>
                <w:highlight w:val="none"/>
                <w:u w:val="none"/>
                <w:lang w:val="en-US" w:eastAsia="zh-CN" w:bidi="ar"/>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val="en-US" w:eastAsia="zh-CN"/>
              </w:rPr>
              <w:t>30个日历天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shd w:val="clear"/>
              </w:rPr>
              <w:t>投标人</w:t>
            </w:r>
            <w:r>
              <w:rPr>
                <w:rFonts w:hint="eastAsia" w:ascii="宋体" w:hAnsi="宋体" w:eastAsia="宋体" w:cs="宋体"/>
                <w:bCs w:val="0"/>
                <w:i w:val="0"/>
                <w:iCs w:val="0"/>
                <w:caps w:val="0"/>
                <w:color w:val="auto"/>
                <w:spacing w:val="0"/>
                <w:sz w:val="21"/>
                <w:szCs w:val="21"/>
                <w:highlight w:val="none"/>
                <w:shd w:val="clear"/>
                <w:lang w:val="en-US" w:eastAsia="zh-CN"/>
              </w:rPr>
              <w:t>须</w:t>
            </w:r>
            <w:r>
              <w:rPr>
                <w:rFonts w:hint="eastAsia" w:ascii="宋体" w:hAnsi="宋体" w:eastAsia="宋体" w:cs="宋体"/>
                <w:bCs w:val="0"/>
                <w:i w:val="0"/>
                <w:iCs w:val="0"/>
                <w:caps w:val="0"/>
                <w:color w:val="auto"/>
                <w:spacing w:val="0"/>
                <w:sz w:val="21"/>
                <w:szCs w:val="21"/>
                <w:highlight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shd w:val="clear"/>
                <w:lang w:val="en-US" w:eastAsia="zh-CN"/>
              </w:rPr>
              <w:t>三</w:t>
            </w:r>
            <w:r>
              <w:rPr>
                <w:rFonts w:hint="eastAsia" w:ascii="宋体" w:hAnsi="宋体" w:eastAsia="宋体" w:cs="宋体"/>
                <w:bCs w:val="0"/>
                <w:i w:val="0"/>
                <w:iCs w:val="0"/>
                <w:caps w:val="0"/>
                <w:color w:val="auto"/>
                <w:spacing w:val="0"/>
                <w:sz w:val="21"/>
                <w:szCs w:val="21"/>
                <w:highlight w:val="none"/>
                <w:shd w:val="clear"/>
              </w:rPr>
              <w:t>级</w:t>
            </w:r>
            <w:r>
              <w:rPr>
                <w:rFonts w:hint="eastAsia" w:ascii="宋体" w:hAnsi="宋体" w:eastAsia="宋体" w:cs="宋体"/>
                <w:bCs w:val="0"/>
                <w:i w:val="0"/>
                <w:iCs w:val="0"/>
                <w:caps w:val="0"/>
                <w:color w:val="auto"/>
                <w:spacing w:val="0"/>
                <w:sz w:val="21"/>
                <w:szCs w:val="21"/>
                <w:highlight w:val="none"/>
                <w:shd w:val="clear"/>
                <w:lang w:val="en-US" w:eastAsia="zh-CN"/>
              </w:rPr>
              <w:t>或</w:t>
            </w:r>
            <w:r>
              <w:rPr>
                <w:rFonts w:hint="eastAsia" w:ascii="宋体" w:hAnsi="宋体" w:eastAsia="宋体" w:cs="宋体"/>
                <w:bCs w:val="0"/>
                <w:i w:val="0"/>
                <w:iCs w:val="0"/>
                <w:caps w:val="0"/>
                <w:color w:val="auto"/>
                <w:spacing w:val="0"/>
                <w:sz w:val="21"/>
                <w:szCs w:val="21"/>
                <w:highlight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1"/>
              </w:numPr>
              <w:spacing w:line="360" w:lineRule="auto"/>
              <w:ind w:firstLine="0" w:firstLineChars="0"/>
              <w:rPr>
                <w:rFonts w:hint="default"/>
                <w:highlight w:val="none"/>
                <w:u w:val="none"/>
              </w:rPr>
            </w:pPr>
            <w:r>
              <w:rPr>
                <w:rFonts w:hint="default" w:asciiTheme="minorHAnsi" w:hAnsiTheme="minorHAnsi" w:eastAsiaTheme="minorEastAsia" w:cstheme="minorBidi"/>
                <w:sz w:val="21"/>
                <w:szCs w:val="24"/>
                <w:highlight w:val="none"/>
                <w:u w:val="none"/>
              </w:rPr>
              <w:t>投标</w:t>
            </w:r>
            <w:r>
              <w:rPr>
                <w:rFonts w:hint="default" w:asciiTheme="minorHAnsi" w:hAnsiTheme="minorHAnsi" w:eastAsiaTheme="minorEastAsia" w:cstheme="minorBidi"/>
                <w:sz w:val="21"/>
                <w:szCs w:val="24"/>
                <w:highlight w:val="none"/>
                <w:u w:val="none"/>
                <w:lang w:eastAsia="zh-CN"/>
              </w:rPr>
              <w:t>人</w:t>
            </w:r>
            <w:r>
              <w:rPr>
                <w:rFonts w:hint="default" w:asciiTheme="minorHAnsi" w:hAnsiTheme="minorHAnsi" w:eastAsiaTheme="minorEastAsia" w:cstheme="minorBidi"/>
                <w:sz w:val="21"/>
                <w:szCs w:val="24"/>
                <w:highlight w:val="none"/>
                <w:u w:val="none"/>
              </w:rPr>
              <w:t>委派的项目负责人</w:t>
            </w:r>
            <w:r>
              <w:rPr>
                <w:rFonts w:hint="default" w:asciiTheme="minorHAnsi" w:hAnsiTheme="minorHAnsi" w:eastAsiaTheme="minorEastAsia" w:cstheme="minorBidi"/>
                <w:sz w:val="21"/>
                <w:szCs w:val="24"/>
                <w:highlight w:val="none"/>
                <w:u w:val="none"/>
                <w:lang w:eastAsia="zh-CN"/>
              </w:rPr>
              <w:t>为：</w:t>
            </w:r>
            <w:r>
              <w:rPr>
                <w:rFonts w:hint="default" w:asciiTheme="minorHAnsi" w:hAnsiTheme="minorHAnsi" w:eastAsiaTheme="minorEastAsia" w:cstheme="minorBidi"/>
                <w:sz w:val="21"/>
                <w:szCs w:val="24"/>
                <w:highlight w:val="none"/>
                <w:u w:val="none"/>
              </w:rPr>
              <w:t>市政公用工程专业</w:t>
            </w:r>
            <w:r>
              <w:rPr>
                <w:rFonts w:hint="default" w:asciiTheme="minorHAnsi" w:hAnsiTheme="minorHAnsi" w:eastAsiaTheme="minorEastAsia" w:cstheme="minorBidi"/>
                <w:sz w:val="21"/>
                <w:szCs w:val="24"/>
                <w:highlight w:val="none"/>
                <w:u w:val="none"/>
                <w:lang w:val="en-US" w:eastAsia="zh-CN"/>
              </w:rPr>
              <w:t>二</w:t>
            </w:r>
            <w:r>
              <w:rPr>
                <w:rFonts w:hint="default" w:asciiTheme="minorHAnsi" w:hAnsiTheme="minorHAnsi" w:eastAsiaTheme="minorEastAsia" w:cstheme="minorBidi"/>
                <w:sz w:val="21"/>
                <w:szCs w:val="24"/>
                <w:highlight w:val="none"/>
                <w:u w:val="none"/>
              </w:rPr>
              <w:t>级或以上级别的注册建造师</w:t>
            </w:r>
            <w:r>
              <w:rPr>
                <w:rFonts w:hint="default" w:asciiTheme="minorHAnsi" w:hAnsiTheme="minorHAnsi" w:eastAsiaTheme="minorEastAsia" w:cstheme="minorBidi"/>
                <w:sz w:val="21"/>
                <w:szCs w:val="24"/>
                <w:highlight w:val="none"/>
                <w:u w:val="none"/>
                <w:lang w:eastAsia="zh-CN"/>
              </w:rPr>
              <w:t>。</w:t>
            </w:r>
            <w:r>
              <w:rPr>
                <w:rFonts w:hint="default" w:asciiTheme="minorHAnsi" w:hAnsiTheme="minorHAnsi" w:eastAsiaTheme="minorEastAsia" w:cstheme="minorBidi"/>
                <w:b w:val="0"/>
                <w:bCs w:val="0"/>
                <w:sz w:val="21"/>
                <w:szCs w:val="24"/>
                <w:highlight w:val="none"/>
                <w:u w:val="none"/>
              </w:rPr>
              <w:t>项目负责人</w:t>
            </w:r>
            <w:r>
              <w:rPr>
                <w:rFonts w:hint="default" w:asciiTheme="minorHAnsi" w:hAnsiTheme="minorHAnsi" w:eastAsiaTheme="minorEastAsia" w:cstheme="minorBidi"/>
                <w:sz w:val="21"/>
                <w:szCs w:val="24"/>
                <w:highlight w:val="none"/>
                <w:u w:val="none"/>
              </w:rPr>
              <w:t>持有安全培训考核合格证（B类）</w:t>
            </w:r>
            <w:r>
              <w:rPr>
                <w:rFonts w:hint="default" w:asciiTheme="minorHAnsi" w:hAnsiTheme="minorHAnsi" w:eastAsiaTheme="minorEastAsia" w:cstheme="minorBidi"/>
                <w:b w:val="0"/>
                <w:bCs w:val="0"/>
                <w:sz w:val="21"/>
                <w:szCs w:val="24"/>
                <w:highlight w:val="none"/>
                <w:u w:val="none"/>
              </w:rPr>
              <w:t>。</w:t>
            </w:r>
          </w:p>
          <w:p>
            <w:pPr>
              <w:widowControl w:val="0"/>
              <w:numPr>
                <w:ilvl w:val="0"/>
                <w:numId w:val="1"/>
              </w:numPr>
              <w:spacing w:line="360" w:lineRule="auto"/>
              <w:ind w:firstLine="0" w:firstLineChars="0"/>
              <w:rPr>
                <w:rFonts w:hint="default" w:asciiTheme="minorHAnsi" w:hAnsiTheme="minorHAnsi" w:eastAsiaTheme="minorEastAsia" w:cstheme="minorBidi"/>
                <w:sz w:val="21"/>
                <w:szCs w:val="24"/>
                <w:highlight w:val="none"/>
                <w:u w:val="none"/>
                <w:shd w:val="clear"/>
                <w:lang w:val="en-US" w:eastAsia="zh-CN"/>
              </w:rPr>
            </w:pPr>
            <w:r>
              <w:rPr>
                <w:rFonts w:hint="default" w:asciiTheme="minorHAnsi" w:hAnsiTheme="minorHAnsi" w:eastAsiaTheme="minorEastAsia" w:cstheme="minorBidi"/>
                <w:sz w:val="21"/>
                <w:szCs w:val="24"/>
                <w:highlight w:val="none"/>
                <w:u w:val="none"/>
                <w:shd w:val="clear"/>
                <w:lang w:val="en-US" w:eastAsia="zh-CN"/>
              </w:rPr>
              <w:t>投标人委派的技术负责人具有</w:t>
            </w:r>
            <w:r>
              <w:rPr>
                <w:rFonts w:hint="default" w:asciiTheme="minorHAnsi" w:hAnsiTheme="minorHAnsi" w:eastAsiaTheme="minorEastAsia" w:cstheme="minorBidi"/>
                <w:sz w:val="21"/>
                <w:szCs w:val="24"/>
                <w:highlight w:val="none"/>
                <w:u w:val="none"/>
                <w:shd w:val="clear"/>
              </w:rPr>
              <w:t>市政公用工程专业</w:t>
            </w:r>
            <w:r>
              <w:rPr>
                <w:rFonts w:hint="default" w:asciiTheme="minorHAnsi" w:hAnsiTheme="minorHAnsi" w:eastAsiaTheme="minorEastAsia" w:cstheme="minorBidi"/>
                <w:sz w:val="21"/>
                <w:szCs w:val="24"/>
                <w:highlight w:val="none"/>
                <w:u w:val="none"/>
                <w:shd w:val="clear"/>
                <w:lang w:val="en-US" w:eastAsia="zh-CN"/>
              </w:rPr>
              <w:t>中级工程师或以上职称。技术负责人与项目负责人不能为同一人。</w:t>
            </w:r>
          </w:p>
          <w:p>
            <w:pPr>
              <w:numPr>
                <w:ilvl w:val="-1"/>
                <w:numId w:val="0"/>
              </w:numPr>
              <w:spacing w:line="360" w:lineRule="auto"/>
              <w:ind w:firstLine="0"/>
              <w:rPr>
                <w:rFonts w:hint="default" w:asciiTheme="minorHAnsi" w:hAnsiTheme="minorHAnsi" w:eastAsiaTheme="minorEastAsia" w:cstheme="minorBidi"/>
                <w:kern w:val="2"/>
                <w:sz w:val="21"/>
                <w:szCs w:val="24"/>
                <w:highlight w:val="none"/>
                <w:u w:val="none"/>
                <w:lang w:val="en-US" w:eastAsia="zh-CN" w:bidi="ar-SA"/>
              </w:rPr>
            </w:pPr>
            <w:r>
              <w:rPr>
                <w:rFonts w:hint="eastAsia" w:cstheme="minorBidi"/>
                <w:b w:val="0"/>
                <w:bCs w:val="0"/>
                <w:sz w:val="21"/>
                <w:szCs w:val="24"/>
                <w:highlight w:val="none"/>
                <w:u w:val="none"/>
                <w:lang w:val="en-US" w:eastAsia="zh-CN"/>
              </w:rPr>
              <w:t>3、</w:t>
            </w:r>
            <w:r>
              <w:rPr>
                <w:rFonts w:hint="default" w:asciiTheme="minorHAnsi" w:hAnsiTheme="minorHAnsi" w:eastAsiaTheme="minorEastAsia" w:cstheme="minorBidi"/>
                <w:b w:val="0"/>
                <w:bCs w:val="0"/>
                <w:sz w:val="21"/>
                <w:szCs w:val="24"/>
                <w:highlight w:val="none"/>
                <w:u w:val="none"/>
              </w:rPr>
              <w:t>专职安全员须具有</w:t>
            </w:r>
            <w:r>
              <w:rPr>
                <w:rFonts w:hint="default" w:asciiTheme="minorHAnsi" w:hAnsiTheme="minorHAnsi" w:eastAsiaTheme="minorEastAsia" w:cstheme="minorBidi"/>
                <w:sz w:val="21"/>
                <w:szCs w:val="24"/>
                <w:highlight w:val="none"/>
                <w:u w:val="none"/>
              </w:rPr>
              <w:t>安全生产考核合格证（C类）</w:t>
            </w:r>
            <w:r>
              <w:rPr>
                <w:rFonts w:hint="default" w:asciiTheme="minorHAnsi" w:hAnsiTheme="minorHAnsi" w:eastAsiaTheme="minorEastAsia" w:cstheme="minorBidi"/>
                <w:kern w:val="2"/>
                <w:sz w:val="21"/>
                <w:szCs w:val="24"/>
                <w:highlight w:val="none"/>
                <w:u w:val="none"/>
              </w:rPr>
              <w:t>或建筑施工企业专职安全生产管理人员安全生产考核合格证书</w:t>
            </w:r>
            <w:r>
              <w:rPr>
                <w:rFonts w:hint="default" w:asciiTheme="minorHAnsi" w:hAnsiTheme="minorHAnsi" w:eastAsiaTheme="minorEastAsia" w:cstheme="minorBidi"/>
                <w:b w:val="0"/>
                <w:bCs w:val="0"/>
                <w:sz w:val="21"/>
                <w:szCs w:val="24"/>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3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92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404911.60</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w:t>
            </w:r>
            <w:r>
              <w:rPr>
                <w:rFonts w:hint="eastAsia" w:ascii="宋体" w:hAnsi="宋体" w:eastAsia="宋体" w:cs="宋体"/>
                <w:color w:val="auto"/>
                <w:sz w:val="21"/>
                <w:szCs w:val="21"/>
                <w:highlight w:val="none"/>
                <w:u w:val="none"/>
                <w:lang w:val="en-US" w:eastAsia="zh-CN"/>
              </w:rPr>
              <w:t>肆拾万肆仟玖佰壹拾壹元陆角</w:t>
            </w:r>
            <w:r>
              <w:rPr>
                <w:rFonts w:hint="eastAsia" w:ascii="宋体" w:hAnsi="宋体" w:eastAsia="宋体" w:cs="宋体"/>
                <w:color w:val="auto"/>
                <w:sz w:val="21"/>
                <w:szCs w:val="21"/>
                <w:highlight w:val="none"/>
                <w:u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rPr>
              <w:t>15727.12</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w:t>
            </w:r>
            <w:r>
              <w:rPr>
                <w:rFonts w:hint="eastAsia" w:hAnsi="宋体" w:cs="宋体"/>
                <w:color w:val="auto"/>
                <w:kern w:val="2"/>
                <w:sz w:val="21"/>
                <w:szCs w:val="21"/>
                <w:highlight w:val="none"/>
                <w:u w:val="none"/>
                <w:lang w:val="en-US" w:eastAsia="zh-CN" w:bidi="ar-SA"/>
              </w:rPr>
              <w:t>无效投标</w:t>
            </w:r>
            <w:r>
              <w:rPr>
                <w:rFonts w:hint="eastAsia" w:ascii="宋体" w:hAnsi="宋体" w:eastAsia="宋体" w:cs="宋体"/>
                <w:color w:val="auto"/>
                <w:kern w:val="2"/>
                <w:sz w:val="21"/>
                <w:szCs w:val="21"/>
                <w:highlight w:val="none"/>
                <w:u w:val="none"/>
                <w:lang w:val="en-US" w:eastAsia="zh-CN" w:bidi="ar-SA"/>
              </w:rPr>
              <w:t>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519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highlight w:val="none"/>
              </w:rPr>
            </w:pPr>
            <w:r>
              <w:rPr>
                <w:rFonts w:hint="eastAsia"/>
                <w:highlight w:val="none"/>
              </w:rPr>
              <w:t>1、金额：人民币</w:t>
            </w:r>
            <w:r>
              <w:rPr>
                <w:rFonts w:hint="eastAsia"/>
                <w:highlight w:val="none"/>
                <w:lang w:val="en-US" w:eastAsia="zh-CN"/>
              </w:rPr>
              <w:t>伍仟</w:t>
            </w:r>
            <w:r>
              <w:rPr>
                <w:rFonts w:hint="eastAsia"/>
                <w:highlight w:val="none"/>
              </w:rPr>
              <w:t>元。</w:t>
            </w:r>
          </w:p>
          <w:p>
            <w:pPr>
              <w:numPr>
                <w:ilvl w:val="-1"/>
                <w:numId w:val="0"/>
              </w:numPr>
              <w:adjustRightInd w:val="0"/>
              <w:snapToGrid w:val="0"/>
              <w:spacing w:line="360" w:lineRule="auto"/>
              <w:rPr>
                <w:rFonts w:hint="eastAsia"/>
                <w:highlight w:val="none"/>
                <w:lang w:eastAsia="zh-CN"/>
              </w:rPr>
            </w:pPr>
            <w:r>
              <w:rPr>
                <w:rFonts w:hint="eastAsia"/>
                <w:highlight w:val="none"/>
              </w:rPr>
              <w:t>2、缴纳方式：</w:t>
            </w:r>
            <w:r>
              <w:rPr>
                <w:rFonts w:hint="eastAsia"/>
                <w:highlight w:val="none"/>
                <w:lang w:eastAsia="zh-CN"/>
              </w:rPr>
              <w:t>银行转账。</w:t>
            </w:r>
          </w:p>
          <w:p>
            <w:pPr>
              <w:numPr>
                <w:ilvl w:val="-1"/>
                <w:numId w:val="0"/>
              </w:numPr>
              <w:adjustRightInd w:val="0"/>
              <w:spacing w:line="360" w:lineRule="auto"/>
              <w:rPr>
                <w:rFonts w:hint="eastAsia"/>
                <w:highlight w:val="none"/>
                <w:lang w:eastAsia="zh-CN"/>
              </w:rPr>
            </w:pPr>
            <w:r>
              <w:rPr>
                <w:rFonts w:hint="eastAsia"/>
                <w:highlight w:val="none"/>
              </w:rPr>
              <w:t>账户名称：</w:t>
            </w:r>
            <w:r>
              <w:rPr>
                <w:highlight w:val="none"/>
              </w:rPr>
              <w:t>广州南沙</w:t>
            </w:r>
            <w:r>
              <w:rPr>
                <w:rFonts w:hint="eastAsia"/>
                <w:highlight w:val="none"/>
                <w:lang w:val="en-US" w:eastAsia="zh-CN"/>
              </w:rPr>
              <w:t>旅游发展</w:t>
            </w:r>
            <w:r>
              <w:rPr>
                <w:highlight w:val="none"/>
              </w:rPr>
              <w:t>有限公司</w:t>
            </w:r>
          </w:p>
          <w:p>
            <w:pPr>
              <w:numPr>
                <w:ilvl w:val="-1"/>
                <w:numId w:val="0"/>
              </w:numPr>
              <w:adjustRightInd w:val="0"/>
              <w:spacing w:line="360" w:lineRule="auto"/>
              <w:rPr>
                <w:rFonts w:hint="default"/>
                <w:highlight w:val="none"/>
                <w:lang w:eastAsia="zh-CN"/>
              </w:rPr>
            </w:pPr>
            <w:r>
              <w:rPr>
                <w:rFonts w:hint="eastAsia"/>
                <w:highlight w:val="none"/>
              </w:rPr>
              <w:t>开户银行：</w:t>
            </w:r>
            <w:r>
              <w:rPr>
                <w:rFonts w:hint="default"/>
                <w:highlight w:val="none"/>
              </w:rPr>
              <w:t>中国银行广州南沙科技园区支行</w:t>
            </w:r>
            <w:r>
              <w:rPr>
                <w:rFonts w:hint="default"/>
                <w:highlight w:val="none"/>
                <w:lang w:val="en-US" w:eastAsia="zh-CN"/>
              </w:rPr>
              <w:t xml:space="preserve">  </w:t>
            </w:r>
          </w:p>
          <w:p>
            <w:pPr>
              <w:numPr>
                <w:ilvl w:val="-1"/>
                <w:numId w:val="0"/>
              </w:numPr>
              <w:adjustRightInd w:val="0"/>
              <w:spacing w:line="360" w:lineRule="auto"/>
              <w:rPr>
                <w:rFonts w:hint="default"/>
                <w:highlight w:val="none"/>
                <w:lang w:val="en-US" w:eastAsia="zh-CN"/>
              </w:rPr>
            </w:pPr>
            <w:r>
              <w:rPr>
                <w:rFonts w:hint="eastAsia"/>
                <w:highlight w:val="none"/>
              </w:rPr>
              <w:t>账号</w:t>
            </w:r>
            <w:r>
              <w:rPr>
                <w:rFonts w:hint="default"/>
                <w:highlight w:val="none"/>
              </w:rPr>
              <w:t>：644457756045</w:t>
            </w:r>
          </w:p>
          <w:p>
            <w:pPr>
              <w:numPr>
                <w:ilvl w:val="0"/>
                <w:numId w:val="2"/>
              </w:numPr>
              <w:adjustRightInd w:val="0"/>
              <w:snapToGrid w:val="0"/>
              <w:spacing w:line="360" w:lineRule="auto"/>
              <w:rPr>
                <w:rFonts w:hint="eastAsia"/>
                <w:highlight w:val="none"/>
                <w:lang w:val="en-US" w:eastAsia="zh-CN"/>
              </w:rPr>
            </w:pPr>
            <w:r>
              <w:rPr>
                <w:rFonts w:hint="eastAsia"/>
                <w:highlight w:val="none"/>
              </w:rPr>
              <w:t>缴纳时间：投标单位须在202</w:t>
            </w:r>
            <w:r>
              <w:rPr>
                <w:rFonts w:hint="eastAsia"/>
                <w:highlight w:val="none"/>
                <w:lang w:val="en-US" w:eastAsia="zh-CN"/>
              </w:rPr>
              <w:t>3</w:t>
            </w:r>
            <w:r>
              <w:rPr>
                <w:rFonts w:hint="eastAsia"/>
                <w:highlight w:val="none"/>
              </w:rPr>
              <w:t>年</w:t>
            </w:r>
            <w:r>
              <w:rPr>
                <w:rFonts w:hint="eastAsia"/>
                <w:highlight w:val="none"/>
                <w:lang w:val="en-US" w:eastAsia="zh-CN"/>
              </w:rPr>
              <w:t>12月13</w:t>
            </w:r>
            <w:r>
              <w:rPr>
                <w:rFonts w:hint="eastAsia"/>
                <w:highlight w:val="none"/>
              </w:rPr>
              <w:t>日</w:t>
            </w:r>
            <w:r>
              <w:rPr>
                <w:rFonts w:hint="eastAsia"/>
                <w:highlight w:val="none"/>
                <w:lang w:eastAsia="zh-CN"/>
              </w:rPr>
              <w:t>（星期</w:t>
            </w:r>
            <w:r>
              <w:rPr>
                <w:rFonts w:hint="eastAsia"/>
                <w:highlight w:val="none"/>
                <w:lang w:val="en-US" w:eastAsia="zh-CN"/>
              </w:rPr>
              <w:t>三</w:t>
            </w:r>
            <w:r>
              <w:rPr>
                <w:rFonts w:hint="eastAsia"/>
                <w:highlight w:val="none"/>
                <w:lang w:eastAsia="zh-CN"/>
              </w:rPr>
              <w:t>）</w:t>
            </w:r>
            <w:r>
              <w:rPr>
                <w:rFonts w:hint="eastAsia"/>
                <w:highlight w:val="none"/>
                <w:lang w:val="en-US" w:eastAsia="zh-CN"/>
              </w:rPr>
              <w:t>16</w:t>
            </w:r>
            <w:r>
              <w:rPr>
                <w:rFonts w:hint="eastAsia"/>
                <w:highlight w:val="none"/>
              </w:rPr>
              <w:t>时</w:t>
            </w:r>
            <w:r>
              <w:rPr>
                <w:rFonts w:hint="eastAsia"/>
                <w:highlight w:val="none"/>
                <w:lang w:val="en-US" w:eastAsia="zh-CN"/>
              </w:rPr>
              <w:t>00</w:t>
            </w:r>
            <w:r>
              <w:rPr>
                <w:rFonts w:hint="eastAsia"/>
                <w:highlight w:val="none"/>
              </w:rPr>
              <w:t>分</w:t>
            </w:r>
            <w:r>
              <w:rPr>
                <w:rFonts w:hint="eastAsia"/>
                <w:highlight w:val="none"/>
                <w:lang w:eastAsia="zh-CN"/>
              </w:rPr>
              <w:t>前</w:t>
            </w:r>
            <w:r>
              <w:rPr>
                <w:rFonts w:hint="eastAsia"/>
                <w:highlight w:val="none"/>
              </w:rPr>
              <w:t>以投标人转出【以招标单位查询的信息为准，汇款时备注：</w:t>
            </w:r>
            <w:r>
              <w:rPr>
                <w:rFonts w:hint="eastAsia" w:ascii="宋体" w:hAnsi="宋体" w:eastAsia="宋体" w:cs="宋体"/>
                <w:b w:val="0"/>
                <w:bCs w:val="0"/>
                <w:color w:val="auto"/>
                <w:sz w:val="21"/>
                <w:szCs w:val="21"/>
                <w:highlight w:val="none"/>
                <w:lang w:val="en-US" w:eastAsia="zh-CN"/>
              </w:rPr>
              <w:t>南沙天后宫电房地块提升改造--地面提升项目</w:t>
            </w:r>
            <w:r>
              <w:rPr>
                <w:rFonts w:hint="eastAsia"/>
                <w:highlight w:val="none"/>
              </w:rPr>
              <w:t>投标保证金】</w:t>
            </w:r>
          </w:p>
          <w:p>
            <w:pPr>
              <w:numPr>
                <w:ilvl w:val="0"/>
                <w:numId w:val="2"/>
              </w:numPr>
              <w:adjustRightInd w:val="0"/>
              <w:snapToGrid w:val="0"/>
              <w:spacing w:line="360" w:lineRule="auto"/>
              <w:rPr>
                <w:rFonts w:hint="eastAsia"/>
                <w:highlight w:val="none"/>
              </w:rPr>
            </w:pPr>
            <w:r>
              <w:rPr>
                <w:rFonts w:hint="eastAsia"/>
                <w:highlight w:val="none"/>
              </w:rPr>
              <w:t>未按规定缴纳投标保证金的正式投标人将被视为自动放弃本工程的投标资格。</w:t>
            </w:r>
          </w:p>
          <w:p>
            <w:pPr>
              <w:pStyle w:val="2"/>
              <w:numPr>
                <w:ilvl w:val="0"/>
                <w:numId w:val="2"/>
              </w:numPr>
              <w:spacing w:line="360" w:lineRule="auto"/>
              <w:rPr>
                <w:rFonts w:hint="eastAsia"/>
                <w:highlight w:val="none"/>
                <w:lang w:val="en-US" w:eastAsia="zh-CN"/>
              </w:rPr>
            </w:pPr>
            <w:r>
              <w:rPr>
                <w:rFonts w:hint="eastAsia" w:asciiTheme="minorHAnsi" w:hAnsiTheme="minorHAnsi" w:eastAsiaTheme="minorEastAsia" w:cstheme="minorBidi"/>
                <w:b w:val="0"/>
                <w:sz w:val="21"/>
                <w:szCs w:val="24"/>
                <w:highlight w:val="none"/>
                <w:lang w:val="en-US" w:eastAsia="zh-CN"/>
              </w:rPr>
              <w:t>招标人在中标通知书发出后5个工作日内无息退还未中标投标人的投标保证金，在合同签订后5个工作日内无息退还中标投标人的投标保证金。所有投标人的投标保证金以转账的方式予以退还。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4"/>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4"/>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12月14</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12月14</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4"/>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12月14</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4"/>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p>
        </w:tc>
      </w:tr>
    </w:tbl>
    <w:p>
      <w:pPr>
        <w:pStyle w:val="6"/>
        <w:rPr>
          <w:rFonts w:hint="eastAsia" w:ascii="宋体" w:hAnsi="宋体" w:eastAsia="宋体" w:cs="宋体"/>
          <w:b/>
          <w:color w:val="auto"/>
          <w:sz w:val="36"/>
          <w:szCs w:val="36"/>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4"/>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项目负责人相关经验及业绩</w:t>
      </w:r>
      <w:r>
        <w:rPr>
          <w:rFonts w:hint="eastAsia" w:ascii="宋体" w:hAnsi="宋体" w:eastAsia="宋体" w:cs="宋体"/>
          <w:color w:val="auto"/>
          <w:sz w:val="24"/>
          <w:highlight w:val="none"/>
        </w:rPr>
        <w:t>（按招标文件第3章格式填写）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int="eastAsia" w:ascii="宋体" w:hAnsi="宋体" w:eastAsia="宋体" w:cs="宋体"/>
          <w:color w:val="auto"/>
          <w:sz w:val="24"/>
          <w:highlight w:val="none"/>
          <w:lang w:eastAsia="zh-CN"/>
        </w:rPr>
        <w:t>需</w:t>
      </w:r>
      <w:r>
        <w:rPr>
          <w:rFonts w:hint="eastAsia" w:ascii="宋体" w:hAnsi="宋体" w:eastAsia="宋体" w:cs="宋体"/>
          <w:color w:val="auto"/>
          <w:sz w:val="24"/>
          <w:highlight w:val="none"/>
          <w:lang w:val="en-US" w:eastAsia="zh-CN"/>
        </w:rPr>
        <w:t>有公司印章，</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lang w:val="en-US" w:eastAsia="zh-CN"/>
        </w:rPr>
        <w:t>U盘或光盘</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11.15施工组织方案（含安全措施）。</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11.17投标人认为需要提供的其他文件。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4"/>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3" w:name="_Toc10474"/>
      <w:bookmarkStart w:id="14" w:name="_Toc22411"/>
      <w:bookmarkStart w:id="15" w:name="_Toc8457"/>
      <w:bookmarkStart w:id="16" w:name="_Toc8409"/>
      <w:bookmarkStart w:id="17" w:name="_Toc28984"/>
      <w:bookmarkStart w:id="18" w:name="_Toc28921"/>
      <w:bookmarkStart w:id="19" w:name="_Toc7252"/>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pStyle w:val="10"/>
        <w:spacing w:line="560" w:lineRule="exact"/>
        <w:rPr>
          <w:rFonts w:hint="eastAsia" w:ascii="宋体" w:hAnsi="宋体" w:eastAsia="宋体" w:cs="Times New Roman"/>
          <w:b/>
          <w:kern w:val="0"/>
          <w:sz w:val="28"/>
          <w:szCs w:val="20"/>
          <w:highlight w:val="none"/>
          <w:u w:val="none"/>
          <w:lang w:val="en-US" w:eastAsia="zh-CN"/>
        </w:rPr>
      </w:pPr>
      <w:bookmarkStart w:id="20" w:name="_Toc23673"/>
      <w:r>
        <w:rPr>
          <w:rFonts w:hint="eastAsia" w:ascii="宋体" w:hAnsi="宋体" w:eastAsia="宋体" w:cs="Times New Roman"/>
          <w:b/>
          <w:color w:val="000000"/>
          <w:kern w:val="0"/>
          <w:sz w:val="28"/>
          <w:szCs w:val="20"/>
          <w:highlight w:val="none"/>
          <w:u w:val="none"/>
        </w:rPr>
        <w:t>一、</w:t>
      </w:r>
      <w:r>
        <w:rPr>
          <w:rFonts w:hint="eastAsia" w:ascii="宋体" w:hAnsi="宋体" w:eastAsia="宋体" w:cs="Times New Roman"/>
          <w:b/>
          <w:kern w:val="0"/>
          <w:sz w:val="28"/>
          <w:szCs w:val="20"/>
          <w:highlight w:val="none"/>
          <w:u w:val="none"/>
        </w:rPr>
        <w:t>项目</w:t>
      </w:r>
      <w:r>
        <w:rPr>
          <w:rFonts w:hint="eastAsia" w:ascii="宋体" w:hAnsi="宋体" w:eastAsia="宋体" w:cs="Times New Roman"/>
          <w:b/>
          <w:kern w:val="0"/>
          <w:sz w:val="28"/>
          <w:szCs w:val="20"/>
          <w:highlight w:val="none"/>
          <w:u w:val="none"/>
          <w:lang w:val="en-US" w:eastAsia="zh-CN"/>
        </w:rPr>
        <w:t>概况</w:t>
      </w:r>
      <w:bookmarkEnd w:id="20"/>
    </w:p>
    <w:p>
      <w:pPr>
        <w:spacing w:line="560" w:lineRule="exact"/>
        <w:ind w:firstLine="560" w:firstLineChars="200"/>
        <w:rPr>
          <w:rFonts w:hint="eastAsia" w:ascii="宋体" w:hAnsi="宋体" w:eastAsia="宋体" w:cs="宋体"/>
          <w:color w:val="auto"/>
          <w:sz w:val="28"/>
          <w:szCs w:val="28"/>
          <w:highlight w:val="none"/>
          <w:u w:val="none"/>
          <w:lang w:val="en-US" w:eastAsia="zh-CN"/>
        </w:rPr>
      </w:pPr>
      <w:r>
        <w:rPr>
          <w:rFonts w:hint="eastAsia" w:ascii="宋体" w:hAnsi="宋体" w:eastAsia="宋体" w:cs="宋体"/>
          <w:snapToGrid/>
          <w:color w:val="auto"/>
          <w:kern w:val="2"/>
          <w:sz w:val="28"/>
          <w:szCs w:val="28"/>
          <w:highlight w:val="none"/>
          <w:u w:val="none"/>
          <w:lang w:val="en-US" w:eastAsia="zh-CN" w:bidi="ar-SA"/>
        </w:rPr>
        <w:t>对南沙天后官电房地块地面提升改造，项目包括在原有室外空地上浇捣水泥地面和排水系统等。</w:t>
      </w:r>
    </w:p>
    <w:p>
      <w:pPr>
        <w:pStyle w:val="7"/>
        <w:spacing w:line="560" w:lineRule="exact"/>
        <w:rPr>
          <w:rFonts w:hint="eastAsia" w:ascii="宋体" w:hAnsi="宋体" w:eastAsia="宋体" w:cs="宋体"/>
          <w:b/>
          <w:color w:val="000000"/>
          <w:kern w:val="0"/>
          <w:sz w:val="28"/>
          <w:szCs w:val="20"/>
          <w:highlight w:val="none"/>
        </w:rPr>
      </w:pPr>
      <w:r>
        <w:rPr>
          <w:rFonts w:hint="eastAsia" w:ascii="宋体" w:hAnsi="宋体" w:eastAsia="宋体" w:cs="宋体"/>
          <w:b/>
          <w:color w:val="000000"/>
          <w:kern w:val="0"/>
          <w:sz w:val="28"/>
          <w:szCs w:val="20"/>
          <w:highlight w:val="none"/>
          <w:lang w:eastAsia="zh-CN"/>
        </w:rPr>
        <w:t>二、招标范围</w:t>
      </w:r>
    </w:p>
    <w:p>
      <w:pPr>
        <w:spacing w:line="560" w:lineRule="exact"/>
        <w:ind w:firstLine="560" w:firstLineChars="200"/>
        <w:rPr>
          <w:rFonts w:hint="eastAsia" w:ascii="宋体" w:hAnsi="宋体" w:eastAsia="宋体" w:cs="宋体"/>
          <w:color w:val="auto"/>
          <w:kern w:val="2"/>
          <w:sz w:val="28"/>
          <w:szCs w:val="28"/>
          <w:highlight w:val="none"/>
          <w:u w:val="none"/>
        </w:rPr>
      </w:pPr>
      <w:r>
        <w:rPr>
          <w:rFonts w:hint="eastAsia" w:ascii="宋体" w:hAnsi="宋体" w:eastAsia="宋体" w:cs="宋体"/>
          <w:color w:val="auto"/>
          <w:spacing w:val="0"/>
          <w:sz w:val="28"/>
          <w:szCs w:val="28"/>
          <w:highlight w:val="none"/>
          <w:u w:val="none"/>
          <w:lang w:val="en-US" w:eastAsia="zh-CN" w:bidi="ar-SA"/>
        </w:rPr>
        <w:t>项目内容包括原地面开挖、回填水泥石屑稳定层及浇捣混凝土地面1007.4㎡,新建排水沟约69m，3个室外配电箱及电缆预埋，7m 5*500w高杆灯(5灯头)一个，新建室外雨水排水系统。具体以实际施工图纸、工程量清单为准。</w:t>
      </w:r>
      <w:r>
        <w:rPr>
          <w:rFonts w:hint="eastAsia" w:ascii="宋体" w:hAnsi="宋体" w:eastAsia="宋体" w:cs="宋体"/>
          <w:color w:val="auto"/>
          <w:kern w:val="2"/>
          <w:sz w:val="28"/>
          <w:szCs w:val="28"/>
          <w:highlight w:val="none"/>
          <w:u w:val="none"/>
          <w:lang w:val="en-US" w:eastAsia="zh-CN" w:bidi="ar-SA"/>
        </w:rPr>
        <w:t>投标人需按招标文件、图纸规范等要求进行施工，如设计图纸有调整时，必须服从要求调整</w:t>
      </w:r>
      <w:r>
        <w:rPr>
          <w:rFonts w:hint="eastAsia" w:ascii="宋体" w:hAnsi="宋体" w:eastAsia="宋体" w:cs="宋体"/>
          <w:bCs w:val="0"/>
          <w:color w:val="auto"/>
          <w:kern w:val="2"/>
          <w:sz w:val="28"/>
          <w:szCs w:val="28"/>
          <w:highlight w:val="none"/>
          <w:u w:val="none"/>
          <w:lang w:val="en-US" w:eastAsia="zh-CN" w:bidi="ar-SA"/>
        </w:rPr>
        <w:t>。</w:t>
      </w:r>
    </w:p>
    <w:p>
      <w:pPr>
        <w:pStyle w:val="2"/>
        <w:spacing w:line="560" w:lineRule="exact"/>
        <w:rPr>
          <w:rFonts w:hint="eastAsia" w:ascii="仿宋_GB2312" w:hAnsi="仿宋_GB2312" w:eastAsia="仿宋_GB2312" w:cs="仿宋_GB2312"/>
          <w:color w:val="auto"/>
          <w:sz w:val="32"/>
          <w:szCs w:val="32"/>
          <w:highlight w:val="none"/>
        </w:rPr>
      </w:pPr>
    </w:p>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21" w:name="_Toc28153"/>
      <w:bookmarkStart w:id="22" w:name="_Toc5931"/>
      <w:bookmarkStart w:id="23" w:name="_Toc2908"/>
      <w:bookmarkStart w:id="24" w:name="_Toc2266"/>
      <w:bookmarkStart w:id="25" w:name="_Toc10090"/>
      <w:bookmarkStart w:id="26" w:name="_Toc19076"/>
      <w:bookmarkStart w:id="27" w:name="_Toc27735"/>
      <w:r>
        <w:rPr>
          <w:rFonts w:hint="eastAsia" w:ascii="黑体" w:hAnsi="宋体" w:cs="黑体"/>
          <w:b/>
          <w:color w:val="auto"/>
          <w:kern w:val="44"/>
          <w:sz w:val="44"/>
          <w:szCs w:val="44"/>
          <w:highlight w:val="none"/>
        </w:rPr>
        <w:t>第3章  投标格式文件</w:t>
      </w:r>
      <w:bookmarkEnd w:id="12"/>
      <w:bookmarkEnd w:id="21"/>
      <w:bookmarkEnd w:id="22"/>
      <w:bookmarkEnd w:id="23"/>
      <w:bookmarkEnd w:id="24"/>
      <w:bookmarkEnd w:id="25"/>
      <w:bookmarkEnd w:id="26"/>
      <w:bookmarkEnd w:id="2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南沙天后宫电房地块提升改造--地面提升项目</w:t>
      </w:r>
      <w:r>
        <w:rPr>
          <w:rFonts w:hint="eastAsia" w:ascii="宋体" w:hAnsi="宋体" w:eastAsia="宋体" w:cs="宋体"/>
          <w:color w:val="auto"/>
          <w:spacing w:val="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南沙天后宫电房地块提升改造--地面提升项目</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8" w:name="_Toc216145749"/>
      <w:bookmarkEnd w:id="28"/>
      <w:bookmarkStart w:id="29" w:name="_Toc223342668"/>
      <w:bookmarkEnd w:id="29"/>
      <w:r>
        <w:rPr>
          <w:rFonts w:hint="eastAsia" w:ascii="宋体" w:hAnsi="宋体" w:eastAsia="宋体" w:cs="黑体"/>
          <w:color w:val="auto"/>
          <w:sz w:val="28"/>
          <w:szCs w:val="28"/>
          <w:highlight w:val="none"/>
        </w:rPr>
        <w:t>格式三：</w:t>
      </w:r>
    </w:p>
    <w:p>
      <w:pPr>
        <w:pStyle w:val="28"/>
        <w:widowControl/>
        <w:ind w:firstLine="0" w:firstLineChars="0"/>
        <w:jc w:val="center"/>
        <w:outlineLvl w:val="2"/>
        <w:rPr>
          <w:color w:val="auto"/>
          <w:kern w:val="44"/>
          <w:highlight w:val="none"/>
        </w:rPr>
      </w:pPr>
      <w:bookmarkStart w:id="30" w:name="_Toc172416501"/>
      <w:bookmarkEnd w:id="30"/>
      <w:r>
        <w:rPr>
          <w:rFonts w:hint="eastAsia" w:ascii="宋体" w:hAnsi="宋体" w:cs="宋体"/>
          <w:b/>
          <w:color w:val="auto"/>
          <w:sz w:val="30"/>
          <w:szCs w:val="30"/>
          <w:highlight w:val="none"/>
        </w:rPr>
        <w:t>法定代表人证明书</w:t>
      </w:r>
    </w:p>
    <w:p>
      <w:pPr>
        <w:pStyle w:val="28"/>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28"/>
        <w:widowControl/>
        <w:ind w:firstLine="618"/>
        <w:rPr>
          <w:b/>
          <w:color w:val="auto"/>
          <w:sz w:val="30"/>
          <w:szCs w:val="30"/>
          <w:highlight w:val="none"/>
        </w:rPr>
      </w:pPr>
      <w:r>
        <w:rPr>
          <w:b/>
          <w:color w:val="auto"/>
          <w:sz w:val="30"/>
          <w:szCs w:val="30"/>
          <w:highlight w:val="none"/>
        </w:rPr>
        <w:t xml:space="preserve"> </w:t>
      </w:r>
    </w:p>
    <w:p>
      <w:pPr>
        <w:pStyle w:val="28"/>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8"/>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8"/>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6"/>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1" w:name="_Toc216145759"/>
      <w:bookmarkEnd w:id="31"/>
      <w:bookmarkStart w:id="3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6"/>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2"/>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3" w:name="_Toc41822704"/>
      <w:bookmarkEnd w:id="33"/>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南沙天后宫电房地块提升改造--地面提升项目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6"/>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4" w:name="_Toc415833504"/>
      <w:bookmarkEnd w:id="34"/>
      <w:bookmarkStart w:id="35" w:name="_Toc196037098"/>
      <w:bookmarkEnd w:id="35"/>
      <w:bookmarkStart w:id="36" w:name="_Toc197235849"/>
      <w:bookmarkEnd w:id="36"/>
      <w:bookmarkStart w:id="37" w:name="_Toc199647676"/>
      <w:bookmarkEnd w:id="37"/>
      <w:bookmarkStart w:id="38" w:name="_Toc196036942"/>
      <w:bookmarkEnd w:id="38"/>
      <w:bookmarkStart w:id="39" w:name="_Toc196130111"/>
      <w:bookmarkEnd w:id="39"/>
      <w:bookmarkStart w:id="40" w:name="_Toc459403395"/>
      <w:bookmarkEnd w:id="40"/>
      <w:bookmarkStart w:id="41" w:name="_Toc415728298"/>
      <w:bookmarkEnd w:id="41"/>
      <w:bookmarkStart w:id="42" w:name="_Toc196130014"/>
      <w:bookmarkEnd w:id="42"/>
      <w:bookmarkStart w:id="43" w:name="_Toc326909214"/>
      <w:bookmarkEnd w:id="43"/>
      <w:bookmarkStart w:id="44" w:name="_Toc462911099"/>
    </w:p>
    <w:bookmarkEnd w:id="4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start="1"/>
          <w:cols w:space="425" w:num="1"/>
          <w:docGrid w:linePitch="285" w:charSpace="0"/>
        </w:sectPr>
      </w:pPr>
    </w:p>
    <w:p>
      <w:pPr>
        <w:outlineLvl w:val="1"/>
        <w:rPr>
          <w:rFonts w:hint="eastAsia"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widowControl w:val="0"/>
        <w:ind w:firstLine="480"/>
        <w:jc w:val="both"/>
        <w:rPr>
          <w:rFonts w:hint="eastAsia" w:ascii="仿宋" w:hAnsi="仿宋" w:eastAsia="仿宋" w:cs="宋体"/>
          <w:color w:val="auto"/>
          <w:kern w:val="2"/>
          <w:sz w:val="28"/>
          <w:szCs w:val="28"/>
          <w:highlight w:val="none"/>
          <w:lang w:val="en-US" w:eastAsia="zh-CN" w:bidi="ar-SA"/>
        </w:rPr>
      </w:pPr>
    </w:p>
    <w:p>
      <w:pPr>
        <w:widowControl w:val="0"/>
        <w:ind w:firstLine="480"/>
        <w:jc w:val="both"/>
        <w:rPr>
          <w:rFonts w:hint="eastAsia" w:ascii="仿宋" w:hAnsi="仿宋" w:eastAsia="仿宋" w:cs="宋体"/>
          <w:color w:val="auto"/>
          <w:kern w:val="2"/>
          <w:sz w:val="28"/>
          <w:szCs w:val="28"/>
          <w:highlight w:val="none"/>
          <w:lang w:val="en-US" w:eastAsia="zh-CN" w:bidi="ar-SA"/>
        </w:rPr>
      </w:pP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val="0"/>
        <w:ind w:firstLine="480"/>
        <w:jc w:val="both"/>
        <w:rPr>
          <w:rFonts w:hint="eastAsia" w:ascii="仿宋" w:hAnsi="仿宋" w:eastAsia="仿宋" w:cs="仿宋"/>
          <w:color w:val="auto"/>
          <w:kern w:val="2"/>
          <w:sz w:val="24"/>
          <w:szCs w:val="24"/>
          <w:highlight w:val="none"/>
          <w:lang w:val="en-US" w:eastAsia="zh-CN" w:bidi="ar-SA"/>
        </w:rPr>
      </w:pP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highlight w:val="none"/>
          <w:lang w:val="en-US" w:eastAsia="zh-CN" w:bidi="ar-SA"/>
        </w:rPr>
      </w:pPr>
      <w:bookmarkStart w:id="45" w:name="_Toc196037099"/>
      <w:bookmarkEnd w:id="45"/>
      <w:bookmarkStart w:id="46" w:name="_Toc196036943"/>
      <w:bookmarkEnd w:id="46"/>
      <w:bookmarkStart w:id="47" w:name="_Toc197235850"/>
      <w:bookmarkEnd w:id="47"/>
      <w:bookmarkStart w:id="48" w:name="_Toc41822705"/>
      <w:bookmarkEnd w:id="48"/>
      <w:bookmarkStart w:id="49" w:name="_Toc196130015"/>
      <w:bookmarkEnd w:id="49"/>
      <w:bookmarkStart w:id="50" w:name="_Toc199647677"/>
      <w:bookmarkEnd w:id="50"/>
      <w:bookmarkStart w:id="51" w:name="_Toc196130112"/>
      <w:bookmarkEnd w:id="51"/>
      <w:r>
        <w:rPr>
          <w:rFonts w:hint="eastAsia" w:ascii="宋体" w:hAnsi="宋体" w:eastAsia="宋体" w:cs="Times New Roman"/>
          <w:b/>
          <w:bCs/>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highlight w:val="none"/>
          <w:u w:val="none"/>
          <w:lang w:val="en-US" w:eastAsia="zh-CN" w:bidi="ar-SA"/>
        </w:rPr>
      </w:pPr>
      <w:r>
        <w:rPr>
          <w:rFonts w:hint="eastAsia" w:ascii="宋体" w:hAnsi="宋体" w:eastAsia="宋体" w:cs="Times New Roman"/>
          <w:b/>
          <w:bCs/>
          <w:kern w:val="2"/>
          <w:sz w:val="24"/>
          <w:highlight w:val="none"/>
          <w:u w:val="none"/>
          <w:lang w:val="en-US" w:eastAsia="zh-CN" w:bidi="ar-SA"/>
        </w:rPr>
        <w:t xml:space="preserve">项目名称：                  </w:t>
      </w:r>
    </w:p>
    <w:tbl>
      <w:tblPr>
        <w:tblStyle w:val="17"/>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规模</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合同总价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lang w:val="en-US" w:eastAsia="zh-CN"/>
              </w:rPr>
              <w:t>开始</w:t>
            </w:r>
            <w:r>
              <w:rPr>
                <w:rFonts w:hint="eastAsia" w:ascii="宋体" w:hAnsi="宋体" w:eastAsia="宋体" w:cs="Times New Roman"/>
                <w:kern w:val="0"/>
                <w:sz w:val="24"/>
                <w:szCs w:val="20"/>
                <w:highlight w:val="none"/>
              </w:rPr>
              <w:t>时间</w:t>
            </w:r>
          </w:p>
        </w:tc>
        <w:tc>
          <w:tcPr>
            <w:tcW w:w="1708" w:type="dxa"/>
            <w:noWrap w:val="0"/>
            <w:vAlign w:val="center"/>
          </w:tcPr>
          <w:p>
            <w:pPr>
              <w:jc w:val="left"/>
              <w:rPr>
                <w:rFonts w:ascii="宋体" w:hAnsi="宋体" w:eastAsia="宋体" w:cs="Times New Roman"/>
                <w:kern w:val="0"/>
                <w:sz w:val="24"/>
                <w:szCs w:val="20"/>
                <w:highlight w:val="none"/>
              </w:rPr>
            </w:pPr>
            <w:r>
              <w:rPr>
                <w:rFonts w:hint="eastAsia" w:ascii="宋体" w:hAnsi="宋体" w:eastAsia="宋体" w:cs="Times New Roman"/>
                <w:kern w:val="0"/>
                <w:sz w:val="24"/>
                <w:szCs w:val="20"/>
                <w:highlight w:val="none"/>
              </w:rPr>
              <w:t>业主单位、</w:t>
            </w:r>
          </w:p>
          <w:p>
            <w:pPr>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bl>
    <w:p>
      <w:pPr>
        <w:spacing w:line="360" w:lineRule="auto"/>
        <w:rPr>
          <w:rFonts w:ascii="宋体" w:hAnsi="宋体" w:eastAsia="宋体" w:cs="Times New Roman"/>
          <w:kern w:val="2"/>
          <w:sz w:val="24"/>
          <w:szCs w:val="20"/>
          <w:highlight w:val="none"/>
        </w:rPr>
      </w:pP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投标人全称（盖公章）：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法定代表人或投标授权代表（签字或签章）：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highlight w:val="none"/>
          <w:lang w:val="en-US" w:eastAsia="zh-CN" w:bidi="ar-SA"/>
        </w:rPr>
      </w:pPr>
      <w:r>
        <w:rPr>
          <w:rFonts w:hint="eastAsia" w:ascii="宋体" w:hAnsi="宋体" w:eastAsia="宋体" w:cs="Times New Roman"/>
          <w:b/>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pStyle w:val="6"/>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0" w:firstLineChars="0"/>
              <w:jc w:val="left"/>
              <w:rPr>
                <w:rFonts w:hint="eastAsia" w:ascii="宋体" w:hAnsi="宋体" w:cs="宋体"/>
                <w:bCs/>
                <w:color w:val="auto"/>
                <w:szCs w:val="21"/>
                <w:highlight w:val="none"/>
                <w:u w:val="none"/>
                <w:lang w:val="en-US"/>
              </w:rPr>
            </w:pPr>
            <w:r>
              <w:rPr>
                <w:rFonts w:hint="eastAsia" w:ascii="宋体" w:hAnsi="宋体" w:cs="宋体" w:eastAsiaTheme="minorEastAsia"/>
                <w:b w:val="0"/>
                <w:bCs/>
                <w:color w:val="auto"/>
                <w:sz w:val="21"/>
                <w:szCs w:val="21"/>
                <w:highlight w:val="none"/>
                <w:u w:val="none"/>
                <w:lang w:val="en-US" w:eastAsia="zh-CN"/>
              </w:rPr>
              <w:t>南沙天后宫电房地块提升改造--地面提升项目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spacing w:line="360" w:lineRule="auto"/>
        <w:ind w:firstLine="630" w:firstLineChars="3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2" w:name="_Toc374128477"/>
      <w:bookmarkEnd w:id="52"/>
      <w:bookmarkStart w:id="53"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4" w:name="_Toc8367"/>
      <w:bookmarkStart w:id="55" w:name="_Toc24523"/>
      <w:bookmarkStart w:id="56" w:name="_Toc4893"/>
      <w:bookmarkStart w:id="57" w:name="_Toc26234"/>
      <w:bookmarkStart w:id="58" w:name="_Toc25010"/>
      <w:bookmarkStart w:id="59" w:name="_Toc23233"/>
      <w:bookmarkStart w:id="60" w:name="_Toc17859"/>
      <w:r>
        <w:rPr>
          <w:rFonts w:hint="eastAsia" w:ascii="黑体" w:hAnsi="宋体" w:cs="黑体"/>
          <w:b/>
          <w:color w:val="auto"/>
          <w:kern w:val="44"/>
          <w:sz w:val="44"/>
          <w:szCs w:val="44"/>
          <w:highlight w:val="none"/>
        </w:rPr>
        <w:t>第4章 评标办法</w:t>
      </w:r>
      <w:bookmarkEnd w:id="53"/>
      <w:bookmarkEnd w:id="54"/>
      <w:bookmarkEnd w:id="55"/>
      <w:bookmarkEnd w:id="56"/>
      <w:bookmarkEnd w:id="57"/>
      <w:bookmarkEnd w:id="58"/>
      <w:bookmarkEnd w:id="59"/>
      <w:bookmarkEnd w:id="6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w:t>
      </w:r>
      <w:r>
        <w:rPr>
          <w:rFonts w:hint="eastAsia" w:ascii="仿宋" w:hAnsi="仿宋" w:eastAsia="仿宋" w:cs="仿宋"/>
          <w:b/>
          <w:color w:val="auto"/>
          <w:sz w:val="28"/>
          <w:szCs w:val="28"/>
          <w:highlight w:val="none"/>
          <w:u w:val="none"/>
        </w:rPr>
        <w:t>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1"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61"/>
    </w:p>
    <w:p>
      <w:pPr>
        <w:pStyle w:val="25"/>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5"/>
        <w:widowControl/>
        <w:ind w:firstLine="562"/>
        <w:rPr>
          <w:rFonts w:ascii="仿宋" w:hAnsi="仿宋" w:eastAsia="仿宋" w:cs="仿宋"/>
          <w:b/>
          <w:color w:val="auto"/>
          <w:sz w:val="28"/>
          <w:szCs w:val="28"/>
          <w:highlight w:val="none"/>
          <w:u w:val="single"/>
        </w:rPr>
      </w:pPr>
      <w:bookmarkStart w:id="62" w:name="OLE_LINK3"/>
      <w:bookmarkEnd w:id="62"/>
      <w:r>
        <w:rPr>
          <w:rFonts w:ascii="仿宋" w:hAnsi="仿宋" w:eastAsia="仿宋" w:cs="仿宋"/>
          <w:b/>
          <w:color w:val="auto"/>
          <w:sz w:val="28"/>
          <w:szCs w:val="28"/>
          <w:highlight w:val="none"/>
          <w:u w:val="single"/>
        </w:rPr>
        <w:t>附件2 综合评分表</w:t>
      </w:r>
    </w:p>
    <w:p>
      <w:pPr>
        <w:pStyle w:val="25"/>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5"/>
        <w:widowControl/>
        <w:ind w:firstLine="562"/>
        <w:rPr>
          <w:rFonts w:hint="eastAsia" w:ascii="仿宋" w:hAnsi="仿宋" w:eastAsia="仿宋" w:cs="仿宋"/>
          <w:b/>
          <w:color w:val="auto"/>
          <w:kern w:val="0"/>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4</w:t>
      </w:r>
      <w:r>
        <w:rPr>
          <w:rFonts w:hint="eastAsia" w:ascii="仿宋" w:hAnsi="仿宋" w:eastAsia="仿宋" w:cs="仿宋"/>
          <w:b/>
          <w:color w:val="auto"/>
          <w:kern w:val="0"/>
          <w:sz w:val="28"/>
          <w:szCs w:val="28"/>
          <w:highlight w:val="none"/>
          <w:u w:val="single"/>
          <w:lang w:val="en-US" w:eastAsia="zh-CN"/>
        </w:rPr>
        <w:t>非联合体投标声明（格式自拟）</w:t>
      </w:r>
    </w:p>
    <w:p>
      <w:pPr>
        <w:pStyle w:val="25"/>
        <w:widowControl/>
        <w:ind w:firstLine="562"/>
        <w:rPr>
          <w:rFonts w:hint="eastAsia" w:ascii="仿宋" w:hAnsi="仿宋" w:eastAsia="仿宋" w:cs="仿宋"/>
          <w:b/>
          <w:color w:val="auto"/>
          <w:kern w:val="0"/>
          <w:sz w:val="28"/>
          <w:szCs w:val="28"/>
          <w:highlight w:val="none"/>
          <w:u w:val="single"/>
          <w:lang w:val="en-US" w:eastAsia="zh-CN"/>
        </w:rPr>
      </w:pPr>
      <w:r>
        <w:rPr>
          <w:rFonts w:hint="eastAsia" w:ascii="仿宋" w:hAnsi="仿宋" w:eastAsia="仿宋" w:cs="仿宋"/>
          <w:b/>
          <w:color w:val="auto"/>
          <w:kern w:val="0"/>
          <w:sz w:val="28"/>
          <w:szCs w:val="28"/>
          <w:highlight w:val="none"/>
          <w:u w:val="single"/>
          <w:lang w:val="en-US" w:eastAsia="zh-CN" w:bidi="ar-SA"/>
        </w:rPr>
        <w:t>附件5 图纸（另附）</w:t>
      </w:r>
    </w:p>
    <w:p>
      <w:pPr>
        <w:pStyle w:val="25"/>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附件6 工程量清单（另附）</w:t>
      </w:r>
    </w:p>
    <w:p>
      <w:pPr>
        <w:pStyle w:val="25"/>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63" w:name="_Toc6823"/>
      <w:bookmarkStart w:id="64" w:name="_Toc12170"/>
      <w:bookmarkStart w:id="65" w:name="_Toc13788"/>
      <w:bookmarkStart w:id="66" w:name="_Toc5919"/>
      <w:bookmarkStart w:id="67" w:name="_Toc18242"/>
      <w:bookmarkStart w:id="68" w:name="_Toc11051"/>
      <w:bookmarkStart w:id="69" w:name="_Toc3331"/>
      <w:bookmarkStart w:id="70" w:name="_Toc20865"/>
      <w:r>
        <w:rPr>
          <w:rFonts w:hint="eastAsia" w:ascii="宋体" w:hAnsi="宋体" w:eastAsia="宋体" w:cs="宋体"/>
          <w:color w:val="auto"/>
          <w:sz w:val="21"/>
          <w:szCs w:val="21"/>
          <w:highlight w:val="none"/>
        </w:rPr>
        <w:t>附件1：符合性审查表</w:t>
      </w:r>
      <w:bookmarkEnd w:id="63"/>
      <w:bookmarkEnd w:id="64"/>
      <w:bookmarkEnd w:id="65"/>
      <w:bookmarkEnd w:id="66"/>
      <w:bookmarkEnd w:id="67"/>
      <w:bookmarkEnd w:id="68"/>
      <w:bookmarkEnd w:id="69"/>
      <w:bookmarkEnd w:id="7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1" w:name="_Toc18783"/>
    </w:p>
    <w:bookmarkEnd w:id="71"/>
    <w:p>
      <w:pPr>
        <w:snapToGrid w:val="0"/>
        <w:ind w:left="74"/>
        <w:outlineLvl w:val="0"/>
        <w:rPr>
          <w:rFonts w:hint="eastAsia" w:ascii="宋体" w:hAnsi="宋体" w:eastAsia="宋体" w:cs="宋体"/>
          <w:b w:val="0"/>
          <w:bCs/>
          <w:color w:val="auto"/>
          <w:sz w:val="21"/>
          <w:szCs w:val="21"/>
          <w:highlight w:val="none"/>
        </w:rPr>
      </w:pPr>
      <w:bookmarkStart w:id="72" w:name="_Toc4185"/>
      <w:bookmarkStart w:id="73" w:name="_Toc18739"/>
      <w:bookmarkStart w:id="74" w:name="_Toc20704"/>
      <w:bookmarkStart w:id="75" w:name="_Toc2642"/>
      <w:bookmarkStart w:id="76" w:name="_Toc22905"/>
      <w:bookmarkStart w:id="77" w:name="_Toc12016"/>
      <w:bookmarkStart w:id="78" w:name="_Toc31760"/>
      <w:bookmarkStart w:id="79" w:name="_Toc15156"/>
      <w:bookmarkStart w:id="80" w:name="_Toc32519"/>
      <w:bookmarkStart w:id="81" w:name="_Toc5297"/>
      <w:bookmarkStart w:id="82" w:name="_Toc13000"/>
      <w:bookmarkStart w:id="83" w:name="_Toc15249"/>
      <w:bookmarkStart w:id="84" w:name="_Toc6504"/>
      <w:r>
        <w:rPr>
          <w:rFonts w:hint="eastAsia" w:ascii="宋体" w:hAnsi="宋体" w:eastAsia="宋体" w:cs="宋体"/>
          <w:b w:val="0"/>
          <w:bCs/>
          <w:color w:val="auto"/>
          <w:sz w:val="21"/>
          <w:szCs w:val="21"/>
          <w:highlight w:val="none"/>
        </w:rPr>
        <w:t>附件2综合评分表（100分）</w:t>
      </w:r>
      <w:bookmarkEnd w:id="72"/>
      <w:bookmarkEnd w:id="73"/>
      <w:bookmarkEnd w:id="74"/>
      <w:bookmarkEnd w:id="75"/>
      <w:bookmarkEnd w:id="76"/>
      <w:bookmarkEnd w:id="77"/>
      <w:bookmarkEnd w:id="78"/>
      <w:bookmarkEnd w:id="79"/>
      <w:bookmarkEnd w:id="80"/>
      <w:bookmarkEnd w:id="81"/>
      <w:bookmarkEnd w:id="82"/>
    </w:p>
    <w:p>
      <w:pPr>
        <w:pStyle w:val="2"/>
        <w:rPr>
          <w:rFonts w:hint="eastAsia" w:ascii="宋体" w:hAnsi="Courier New" w:eastAsia="宋体" w:cs="Times New Roman"/>
          <w:b w:val="0"/>
          <w:bCs w:val="0"/>
          <w:sz w:val="21"/>
          <w:szCs w:val="21"/>
        </w:rPr>
      </w:pPr>
    </w:p>
    <w:tbl>
      <w:tblPr>
        <w:tblStyle w:val="17"/>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60"/>
        <w:gridCol w:w="735"/>
        <w:gridCol w:w="873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1090" w:type="dxa"/>
            <w:shd w:val="clear" w:color="auto" w:fill="auto"/>
            <w:vAlign w:val="center"/>
          </w:tcPr>
          <w:p>
            <w:pPr>
              <w:snapToGrid w:val="0"/>
              <w:ind w:left="-2" w:leftChars="-1"/>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评审项目</w:t>
            </w:r>
          </w:p>
        </w:tc>
        <w:tc>
          <w:tcPr>
            <w:tcW w:w="156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35"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8730"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8" w:hRule="atLeast"/>
          <w:jc w:val="center"/>
        </w:trPr>
        <w:tc>
          <w:tcPr>
            <w:tcW w:w="1090" w:type="dxa"/>
            <w:vMerge w:val="restart"/>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商务部分</w:t>
            </w:r>
          </w:p>
          <w:p>
            <w:pPr>
              <w:pStyle w:val="8"/>
              <w:pageBreakBefore w:val="0"/>
              <w:widowControl w:val="0"/>
              <w:kinsoku/>
              <w:wordWrap/>
              <w:overflowPunct/>
              <w:topLinePunct w:val="0"/>
              <w:autoSpaceDN/>
              <w:bidi w:val="0"/>
              <w:spacing w:line="360" w:lineRule="exact"/>
              <w:ind w:left="0" w:leftChars="0" w:firstLine="0" w:firstLineChars="0"/>
              <w:jc w:val="center"/>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0分</w:t>
            </w:r>
            <w:r>
              <w:rPr>
                <w:rFonts w:hint="eastAsia" w:ascii="宋体" w:hAnsi="宋体" w:eastAsia="宋体" w:cs="宋体"/>
                <w:b w:val="0"/>
                <w:bCs w:val="0"/>
                <w:color w:val="auto"/>
                <w:sz w:val="21"/>
                <w:szCs w:val="21"/>
                <w:highlight w:val="none"/>
                <w:lang w:eastAsia="zh-CN"/>
              </w:rPr>
              <w:t>）</w:t>
            </w:r>
          </w:p>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eastAsia="zh-CN"/>
              </w:rPr>
            </w:pPr>
          </w:p>
          <w:p>
            <w:pPr>
              <w:pageBreakBefore w:val="0"/>
              <w:widowControl w:val="0"/>
              <w:kinsoku/>
              <w:wordWrap/>
              <w:overflowPunct/>
              <w:topLinePunct w:val="0"/>
              <w:autoSpaceDN/>
              <w:bidi w:val="0"/>
              <w:spacing w:line="360" w:lineRule="exact"/>
              <w:ind w:left="-2" w:leftChars="-1"/>
              <w:textAlignment w:val="auto"/>
              <w:rPr>
                <w:rFonts w:hint="eastAsia"/>
                <w:highlight w:val="none"/>
                <w:lang w:eastAsia="zh-CN"/>
              </w:rPr>
            </w:pPr>
          </w:p>
          <w:p>
            <w:pPr>
              <w:pageBreakBefore w:val="0"/>
              <w:widowControl w:val="0"/>
              <w:kinsoku/>
              <w:wordWrap/>
              <w:overflowPunct/>
              <w:topLinePunct w:val="0"/>
              <w:autoSpaceDN/>
              <w:bidi w:val="0"/>
              <w:snapToGrid w:val="0"/>
              <w:spacing w:line="360" w:lineRule="exact"/>
              <w:ind w:left="-2" w:leftChars="-1"/>
              <w:jc w:val="center"/>
              <w:textAlignment w:val="auto"/>
              <w:rPr>
                <w:rFonts w:hint="eastAsia"/>
                <w:highlight w:val="none"/>
              </w:rPr>
            </w:pPr>
          </w:p>
          <w:p>
            <w:pPr>
              <w:pStyle w:val="6"/>
              <w:rPr>
                <w:rFonts w:hint="eastAsia"/>
                <w:highlight w:val="none"/>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color w:val="auto"/>
                <w:szCs w:val="21"/>
                <w:highlight w:val="none"/>
              </w:rPr>
            </w:pPr>
            <w:r>
              <w:rPr>
                <w:highlight w:val="none"/>
              </w:rPr>
              <w:t>企业业绩</w:t>
            </w:r>
          </w:p>
        </w:tc>
        <w:tc>
          <w:tcPr>
            <w:tcW w:w="735"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default"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8</w:t>
            </w:r>
          </w:p>
        </w:tc>
        <w:tc>
          <w:tcPr>
            <w:tcW w:w="8730" w:type="dxa"/>
            <w:shd w:val="clear" w:color="auto" w:fill="auto"/>
            <w:vAlign w:val="center"/>
          </w:tcPr>
          <w:p>
            <w:pPr>
              <w:widowControl/>
              <w:numPr>
                <w:ilvl w:val="-1"/>
                <w:numId w:val="0"/>
              </w:numPr>
              <w:spacing w:line="240" w:lineRule="auto"/>
              <w:ind w:left="0" w:leftChars="0" w:right="0" w:rightChars="0" w:firstLine="0" w:firstLineChars="0"/>
              <w:jc w:val="left"/>
              <w:rPr>
                <w:rFonts w:hint="default" w:asciiTheme="minorHAnsi" w:hAnsiTheme="minorHAnsi" w:eastAsiaTheme="minorEastAsia" w:cstheme="minorBidi"/>
                <w:b w:val="0"/>
                <w:bCs w:val="0"/>
                <w:kern w:val="2"/>
                <w:sz w:val="21"/>
                <w:szCs w:val="24"/>
                <w:highlight w:val="none"/>
                <w:lang w:val="en-US" w:eastAsia="zh-CN" w:bidi="ar-SA"/>
              </w:rPr>
            </w:pPr>
            <w:r>
              <w:rPr>
                <w:rFonts w:hint="default" w:asciiTheme="minorHAnsi" w:hAnsiTheme="minorHAnsi" w:eastAsiaTheme="minorEastAsia" w:cstheme="minorBidi"/>
                <w:kern w:val="2"/>
                <w:szCs w:val="24"/>
                <w:highlight w:val="none"/>
              </w:rPr>
              <w:t>投标人自</w:t>
            </w:r>
            <w:r>
              <w:rPr>
                <w:rFonts w:hint="default" w:asciiTheme="minorHAnsi" w:hAnsiTheme="minorHAnsi" w:eastAsiaTheme="minorEastAsia" w:cstheme="minorBidi"/>
                <w:kern w:val="2"/>
                <w:szCs w:val="24"/>
                <w:highlight w:val="none"/>
                <w:lang w:val="en-US" w:eastAsia="zh-CN"/>
              </w:rPr>
              <w:t>2020</w:t>
            </w:r>
            <w:r>
              <w:rPr>
                <w:rFonts w:hint="default" w:asciiTheme="minorHAnsi" w:hAnsiTheme="minorHAnsi" w:eastAsiaTheme="minorEastAsia" w:cstheme="minorBidi"/>
                <w:kern w:val="2"/>
                <w:szCs w:val="24"/>
                <w:highlight w:val="none"/>
              </w:rPr>
              <w:t>年1月1日以来（以合同签订时间为准）</w:t>
            </w:r>
            <w:r>
              <w:rPr>
                <w:rFonts w:hint="default" w:asciiTheme="minorHAnsi" w:hAnsiTheme="minorHAnsi" w:eastAsiaTheme="minorEastAsia" w:cstheme="minorBidi"/>
                <w:b w:val="0"/>
                <w:bCs w:val="0"/>
                <w:sz w:val="21"/>
                <w:szCs w:val="24"/>
                <w:highlight w:val="none"/>
                <w:lang w:val="en-US"/>
              </w:rPr>
              <w:t>承接过单项合同金额不低于</w:t>
            </w:r>
            <w:r>
              <w:rPr>
                <w:rFonts w:hint="eastAsia" w:cstheme="minorBidi"/>
                <w:b w:val="0"/>
                <w:bCs w:val="0"/>
                <w:sz w:val="21"/>
                <w:szCs w:val="24"/>
                <w:highlight w:val="none"/>
                <w:lang w:val="en-US" w:eastAsia="zh-CN"/>
              </w:rPr>
              <w:t>27</w:t>
            </w:r>
            <w:r>
              <w:rPr>
                <w:rFonts w:hint="default" w:asciiTheme="minorHAnsi" w:hAnsiTheme="minorHAnsi" w:eastAsiaTheme="minorEastAsia" w:cstheme="minorBidi"/>
                <w:b w:val="0"/>
                <w:bCs w:val="0"/>
                <w:sz w:val="21"/>
                <w:szCs w:val="24"/>
                <w:highlight w:val="none"/>
                <w:lang w:val="en-US"/>
              </w:rPr>
              <w:t>万元（含</w:t>
            </w:r>
            <w:r>
              <w:rPr>
                <w:rFonts w:hint="eastAsia" w:cstheme="minorBidi"/>
                <w:b w:val="0"/>
                <w:bCs w:val="0"/>
                <w:sz w:val="21"/>
                <w:szCs w:val="24"/>
                <w:highlight w:val="none"/>
                <w:lang w:val="en-US" w:eastAsia="zh-CN"/>
              </w:rPr>
              <w:t>27</w:t>
            </w:r>
            <w:r>
              <w:rPr>
                <w:rFonts w:hint="default" w:asciiTheme="minorHAnsi" w:hAnsiTheme="minorHAnsi" w:eastAsiaTheme="minorEastAsia" w:cstheme="minorBidi"/>
                <w:b w:val="0"/>
                <w:bCs w:val="0"/>
                <w:sz w:val="21"/>
                <w:szCs w:val="24"/>
                <w:highlight w:val="none"/>
                <w:lang w:val="en-US"/>
              </w:rPr>
              <w:t>万元）的</w:t>
            </w:r>
            <w:r>
              <w:rPr>
                <w:rFonts w:hint="eastAsia" w:cstheme="minorBidi"/>
                <w:b w:val="0"/>
                <w:bCs w:val="0"/>
                <w:sz w:val="21"/>
                <w:szCs w:val="24"/>
                <w:highlight w:val="none"/>
                <w:lang w:val="en-US" w:eastAsia="zh-CN"/>
              </w:rPr>
              <w:t>类似项目业绩</w:t>
            </w:r>
            <w:r>
              <w:rPr>
                <w:rFonts w:hint="default" w:asciiTheme="minorHAnsi" w:hAnsiTheme="minorHAnsi" w:eastAsiaTheme="minorEastAsia" w:cstheme="minorBidi"/>
                <w:b w:val="0"/>
                <w:bCs w:val="0"/>
                <w:sz w:val="21"/>
                <w:szCs w:val="24"/>
                <w:highlight w:val="none"/>
                <w:lang w:val="en-US"/>
              </w:rPr>
              <w:t>，</w:t>
            </w:r>
            <w:r>
              <w:rPr>
                <w:rFonts w:hint="default" w:asciiTheme="minorHAnsi" w:hAnsiTheme="minorHAnsi" w:eastAsiaTheme="minorEastAsia" w:cstheme="minorBidi"/>
                <w:b w:val="0"/>
                <w:bCs w:val="0"/>
                <w:sz w:val="21"/>
                <w:szCs w:val="24"/>
                <w:highlight w:val="none"/>
                <w:lang w:val="en-US" w:eastAsia="zh-CN"/>
              </w:rPr>
              <w:t>每提供一个得</w:t>
            </w:r>
            <w:r>
              <w:rPr>
                <w:rFonts w:hint="eastAsia" w:cstheme="minorBidi"/>
                <w:b w:val="0"/>
                <w:bCs w:val="0"/>
                <w:sz w:val="21"/>
                <w:szCs w:val="24"/>
                <w:highlight w:val="none"/>
                <w:lang w:val="en-US" w:eastAsia="zh-CN"/>
              </w:rPr>
              <w:t>2</w:t>
            </w:r>
            <w:r>
              <w:rPr>
                <w:rFonts w:hint="default" w:asciiTheme="minorHAnsi" w:hAnsiTheme="minorHAnsi" w:eastAsiaTheme="minorEastAsia" w:cstheme="minorBidi"/>
                <w:b w:val="0"/>
                <w:bCs w:val="0"/>
                <w:sz w:val="21"/>
                <w:szCs w:val="24"/>
                <w:highlight w:val="none"/>
                <w:lang w:val="en-US" w:eastAsia="zh-CN"/>
              </w:rPr>
              <w:t>分，</w:t>
            </w:r>
            <w:r>
              <w:rPr>
                <w:rFonts w:hint="eastAsia" w:asciiTheme="minorHAnsi" w:hAnsiTheme="minorHAnsi" w:eastAsiaTheme="minorEastAsia" w:cstheme="minorBidi"/>
                <w:highlight w:val="none"/>
              </w:rPr>
              <w:t>本项最</w:t>
            </w:r>
            <w:r>
              <w:rPr>
                <w:rFonts w:hint="eastAsia" w:cstheme="minorBidi"/>
                <w:highlight w:val="none"/>
                <w:lang w:val="en-US" w:eastAsia="zh-CN"/>
              </w:rPr>
              <w:t>高得8分</w:t>
            </w:r>
            <w:r>
              <w:rPr>
                <w:rFonts w:hint="eastAsia" w:asciiTheme="minorHAnsi" w:hAnsiTheme="minorHAnsi" w:eastAsiaTheme="minorEastAsia" w:cstheme="minorBidi"/>
                <w:highlight w:val="none"/>
              </w:rPr>
              <w:t>。</w:t>
            </w:r>
            <w:r>
              <w:rPr>
                <w:rFonts w:hint="default" w:asciiTheme="minorHAnsi" w:hAnsiTheme="minorHAnsi" w:eastAsiaTheme="minorEastAsia" w:cstheme="minorBidi"/>
                <w:b w:val="0"/>
                <w:bCs w:val="0"/>
                <w:kern w:val="2"/>
                <w:sz w:val="21"/>
                <w:szCs w:val="24"/>
                <w:highlight w:val="none"/>
                <w:lang w:val="en-US" w:eastAsia="zh-CN" w:bidi="ar-SA"/>
              </w:rPr>
              <w:t>注：需提供项目业绩证明材料（合同关键页复印件加盖公章），</w:t>
            </w:r>
            <w:r>
              <w:rPr>
                <w:rFonts w:hint="default" w:asciiTheme="minorHAnsi" w:hAnsiTheme="minorHAnsi" w:eastAsiaTheme="minorEastAsia" w:cstheme="minorBidi"/>
                <w:kern w:val="2"/>
                <w:szCs w:val="24"/>
                <w:highlight w:val="none"/>
              </w:rPr>
              <w:t>业绩时间以合同签订时间为准</w:t>
            </w:r>
            <w:r>
              <w:rPr>
                <w:rFonts w:hint="default" w:asciiTheme="minorHAnsi" w:hAnsiTheme="minorHAnsi" w:eastAsiaTheme="minorEastAsia" w:cstheme="minorBidi"/>
                <w:kern w:val="2"/>
                <w:szCs w:val="24"/>
                <w:highlight w:val="none"/>
                <w:lang w:eastAsia="zh-CN"/>
              </w:rPr>
              <w:t>，</w:t>
            </w:r>
            <w:r>
              <w:rPr>
                <w:rFonts w:hint="default" w:asciiTheme="minorHAnsi" w:hAnsiTheme="minorHAnsi" w:eastAsiaTheme="minorEastAsia" w:cstheme="minorBidi"/>
                <w:b w:val="0"/>
                <w:bCs w:val="0"/>
                <w:kern w:val="2"/>
                <w:sz w:val="21"/>
                <w:szCs w:val="24"/>
                <w:highlight w:val="none"/>
                <w:lang w:val="en-US" w:eastAsia="zh-CN" w:bidi="ar-SA"/>
              </w:rPr>
              <w:t>不提供不得分。</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2" w:hRule="atLeast"/>
          <w:jc w:val="center"/>
        </w:trPr>
        <w:tc>
          <w:tcPr>
            <w:tcW w:w="1090"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highlight w:val="none"/>
                <w:lang w:val="en-US" w:eastAsia="zh-CN"/>
              </w:rPr>
              <w:t>项目负责人</w:t>
            </w:r>
          </w:p>
        </w:tc>
        <w:tc>
          <w:tcPr>
            <w:tcW w:w="735" w:type="dxa"/>
            <w:shd w:val="clear" w:color="auto" w:fill="auto"/>
            <w:vAlign w:val="center"/>
          </w:tcPr>
          <w:p>
            <w:pPr>
              <w:pageBreakBefore w:val="0"/>
              <w:widowControl w:val="0"/>
              <w:kinsoku/>
              <w:wordWrap/>
              <w:overflowPunct/>
              <w:topLinePunct w:val="0"/>
              <w:autoSpaceDN/>
              <w:bidi w:val="0"/>
              <w:spacing w:line="360" w:lineRule="exact"/>
              <w:ind w:left="42" w:leftChars="20" w:right="42" w:rightChars="20"/>
              <w:jc w:val="center"/>
              <w:textAlignment w:val="auto"/>
              <w:rPr>
                <w:rFonts w:hint="default" w:ascii="宋体" w:hAnsi="宋体" w:eastAsia="宋体" w:cs="宋体"/>
                <w:b w:val="0"/>
                <w:bCs w:val="0"/>
                <w:color w:val="auto"/>
                <w:kern w:val="2"/>
                <w:position w:val="0"/>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8</w:t>
            </w:r>
          </w:p>
        </w:tc>
        <w:tc>
          <w:tcPr>
            <w:tcW w:w="8730" w:type="dxa"/>
            <w:shd w:val="clear" w:color="auto" w:fill="auto"/>
            <w:vAlign w:val="center"/>
          </w:tcPr>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w:t>
            </w:r>
            <w:r>
              <w:rPr>
                <w:rFonts w:hint="eastAsia" w:ascii="Times New Roman" w:eastAsia="宋体"/>
                <w:highlight w:val="none"/>
                <w:lang w:val="en-US" w:eastAsia="zh-CN"/>
              </w:rPr>
              <w:t>项目负责人</w:t>
            </w:r>
            <w:r>
              <w:rPr>
                <w:rFonts w:hint="eastAsia" w:ascii="宋体" w:hAnsi="宋体" w:eastAsia="宋体" w:cs="宋体"/>
                <w:sz w:val="21"/>
                <w:szCs w:val="21"/>
                <w:highlight w:val="none"/>
              </w:rPr>
              <w:t>具有建筑工程</w:t>
            </w:r>
            <w:r>
              <w:rPr>
                <w:rFonts w:hint="eastAsia" w:ascii="宋体" w:hAnsi="宋体" w:eastAsia="宋体" w:cs="宋体"/>
                <w:sz w:val="21"/>
                <w:szCs w:val="21"/>
                <w:highlight w:val="none"/>
                <w:lang w:eastAsia="zh-CN"/>
              </w:rPr>
              <w:t>高</w:t>
            </w:r>
            <w:r>
              <w:rPr>
                <w:rFonts w:hint="eastAsia" w:ascii="宋体" w:hAnsi="宋体" w:eastAsia="宋体" w:cs="宋体"/>
                <w:sz w:val="21"/>
                <w:szCs w:val="21"/>
                <w:highlight w:val="none"/>
              </w:rPr>
              <w:t>级（或以上）职称，得</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分。</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Times New Roman" w:eastAsia="宋体"/>
                <w:highlight w:val="none"/>
                <w:lang w:val="en-US" w:eastAsia="zh-CN"/>
              </w:rPr>
              <w:t>项目负责人</w:t>
            </w:r>
            <w:r>
              <w:rPr>
                <w:rFonts w:hint="eastAsia" w:ascii="宋体" w:hAnsi="宋体" w:eastAsia="宋体" w:cs="宋体"/>
                <w:sz w:val="21"/>
                <w:szCs w:val="21"/>
                <w:highlight w:val="none"/>
              </w:rPr>
              <w:t>具有大学</w:t>
            </w:r>
            <w:r>
              <w:rPr>
                <w:rFonts w:hint="eastAsia" w:ascii="宋体" w:hAnsi="宋体" w:eastAsia="宋体" w:cs="宋体"/>
                <w:sz w:val="21"/>
                <w:szCs w:val="21"/>
                <w:highlight w:val="none"/>
                <w:lang w:eastAsia="zh-CN"/>
              </w:rPr>
              <w:t>专科</w:t>
            </w:r>
            <w:r>
              <w:rPr>
                <w:rFonts w:hint="eastAsia" w:ascii="宋体" w:hAnsi="宋体" w:eastAsia="宋体" w:cs="宋体"/>
                <w:sz w:val="21"/>
                <w:szCs w:val="21"/>
                <w:highlight w:val="none"/>
              </w:rPr>
              <w:t>以上学历且具有1</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年或以上工作经验，得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w:t>
            </w:r>
            <w:r>
              <w:rPr>
                <w:rFonts w:hint="eastAsia" w:ascii="Times New Roman" w:eastAsia="宋体"/>
                <w:highlight w:val="none"/>
                <w:lang w:val="en-US" w:eastAsia="zh-CN"/>
              </w:rPr>
              <w:t>项目负责人</w:t>
            </w:r>
            <w:r>
              <w:rPr>
                <w:rFonts w:hint="eastAsia" w:ascii="宋体" w:hAnsi="宋体" w:eastAsia="宋体" w:cs="宋体"/>
                <w:sz w:val="21"/>
                <w:szCs w:val="21"/>
                <w:highlight w:val="none"/>
              </w:rPr>
              <w:t>具有二级建筑工程、机电工程建造师证，</w:t>
            </w:r>
            <w:r>
              <w:rPr>
                <w:rFonts w:ascii="Calibri" w:hAnsi="Calibri" w:eastAsia="宋体" w:cs="Times New Roman"/>
                <w:highlight w:val="none"/>
              </w:rPr>
              <w:t>每提供一个得</w:t>
            </w:r>
            <w:r>
              <w:rPr>
                <w:rFonts w:hint="eastAsia" w:ascii="Calibri" w:hAnsi="Calibri" w:eastAsia="宋体" w:cs="Times New Roman"/>
                <w:highlight w:val="none"/>
                <w:lang w:val="en-US" w:eastAsia="zh-CN"/>
              </w:rPr>
              <w:t>2</w:t>
            </w:r>
            <w:r>
              <w:rPr>
                <w:rFonts w:ascii="Calibri" w:hAnsi="Calibri" w:eastAsia="宋体" w:cs="Times New Roman"/>
                <w:highlight w:val="none"/>
              </w:rPr>
              <w:t>分，</w:t>
            </w:r>
            <w:r>
              <w:rPr>
                <w:rFonts w:hint="eastAsia" w:ascii="宋体" w:hAnsi="宋体" w:eastAsia="宋体" w:cs="宋体"/>
                <w:sz w:val="21"/>
                <w:szCs w:val="21"/>
                <w:highlight w:val="none"/>
              </w:rPr>
              <w:t>本项最高</w:t>
            </w:r>
            <w:r>
              <w:rPr>
                <w:rFonts w:hint="eastAsia" w:ascii="宋体" w:hAnsi="宋体" w:eastAsia="宋体" w:cs="宋体"/>
                <w:sz w:val="21"/>
                <w:szCs w:val="21"/>
                <w:highlight w:val="none"/>
                <w:lang w:val="en-US" w:eastAsia="zh-CN"/>
              </w:rPr>
              <w:t>得4</w:t>
            </w:r>
            <w:r>
              <w:rPr>
                <w:rFonts w:hint="eastAsia" w:ascii="宋体" w:hAnsi="宋体" w:eastAsia="宋体" w:cs="宋体"/>
                <w:sz w:val="21"/>
                <w:szCs w:val="21"/>
                <w:highlight w:val="none"/>
              </w:rPr>
              <w:t>分。</w:t>
            </w:r>
          </w:p>
          <w:p>
            <w:pPr>
              <w:widowControl/>
              <w:numPr>
                <w:ilvl w:val="-1"/>
                <w:numId w:val="0"/>
              </w:numPr>
              <w:spacing w:line="240" w:lineRule="auto"/>
              <w:ind w:left="0" w:leftChars="0" w:right="0" w:rightChars="0"/>
              <w:jc w:val="left"/>
              <w:rPr>
                <w:rFonts w:hint="default" w:asciiTheme="minorHAnsi" w:hAnsiTheme="minorHAnsi" w:eastAsiaTheme="minorEastAsia" w:cstheme="minorBidi"/>
                <w:b w:val="0"/>
                <w:bCs w:val="0"/>
                <w:kern w:val="2"/>
                <w:sz w:val="21"/>
                <w:szCs w:val="24"/>
                <w:highlight w:val="none"/>
                <w:lang w:val="en-US" w:eastAsia="zh-CN" w:bidi="ar-SA"/>
              </w:rPr>
            </w:pPr>
            <w:r>
              <w:rPr>
                <w:rFonts w:hint="eastAsia" w:ascii="宋体" w:hAnsi="宋体" w:eastAsia="宋体" w:cs="宋体"/>
                <w:sz w:val="21"/>
                <w:szCs w:val="21"/>
                <w:highlight w:val="none"/>
              </w:rPr>
              <w:t>注：</w:t>
            </w:r>
            <w:r>
              <w:rPr>
                <w:rFonts w:hint="eastAsia" w:ascii="宋体" w:hAnsi="宋体" w:eastAsia="宋体" w:cs="宋体"/>
                <w:i w:val="0"/>
                <w:iCs w:val="0"/>
                <w:caps w:val="0"/>
                <w:color w:val="444444"/>
                <w:spacing w:val="0"/>
                <w:sz w:val="21"/>
                <w:szCs w:val="21"/>
                <w:highlight w:val="none"/>
                <w:shd w:val="clear" w:fill="FFFFFF"/>
              </w:rPr>
              <w:t>须提供</w:t>
            </w:r>
            <w:r>
              <w:rPr>
                <w:rFonts w:hint="eastAsia" w:ascii="宋体" w:hAnsi="宋体" w:eastAsia="宋体" w:cs="宋体"/>
                <w:b w:val="0"/>
                <w:bCs w:val="0"/>
                <w:color w:val="auto"/>
                <w:sz w:val="21"/>
                <w:szCs w:val="21"/>
                <w:highlight w:val="none"/>
                <w:lang w:val="en-US" w:eastAsia="zh-CN"/>
              </w:rPr>
              <w:t>相关</w:t>
            </w:r>
            <w:r>
              <w:rPr>
                <w:rFonts w:hint="eastAsia" w:ascii="宋体" w:hAnsi="宋体" w:eastAsia="宋体" w:cs="宋体"/>
                <w:b w:val="0"/>
                <w:bCs w:val="0"/>
                <w:color w:val="auto"/>
                <w:kern w:val="2"/>
                <w:sz w:val="21"/>
                <w:szCs w:val="21"/>
                <w:highlight w:val="none"/>
              </w:rPr>
              <w:t>证书</w:t>
            </w:r>
            <w:r>
              <w:rPr>
                <w:rFonts w:hint="eastAsia" w:ascii="宋体" w:hAnsi="宋体" w:eastAsia="宋体" w:cs="宋体"/>
                <w:i w:val="0"/>
                <w:iCs w:val="0"/>
                <w:caps w:val="0"/>
                <w:color w:val="444444"/>
                <w:spacing w:val="0"/>
                <w:sz w:val="21"/>
                <w:szCs w:val="21"/>
                <w:highlight w:val="none"/>
                <w:shd w:val="clear" w:fill="FFFFFF"/>
              </w:rPr>
              <w:t>、</w:t>
            </w:r>
            <w:r>
              <w:rPr>
                <w:rFonts w:hint="eastAsia" w:ascii="宋体" w:hAnsi="宋体" w:eastAsia="宋体" w:cs="宋体"/>
                <w:b w:val="0"/>
                <w:bCs w:val="0"/>
                <w:color w:val="auto"/>
                <w:kern w:val="2"/>
                <w:sz w:val="21"/>
                <w:szCs w:val="21"/>
                <w:highlight w:val="none"/>
              </w:rPr>
              <w:t>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i w:val="0"/>
                <w:iCs w:val="0"/>
                <w:caps w:val="0"/>
                <w:color w:val="444444"/>
                <w:spacing w:val="0"/>
                <w:sz w:val="21"/>
                <w:szCs w:val="21"/>
                <w:highlight w:val="none"/>
                <w:shd w:val="clear" w:fill="FFFFFF"/>
              </w:rPr>
              <w:t>毕业证</w:t>
            </w:r>
            <w:r>
              <w:rPr>
                <w:rFonts w:hint="eastAsia" w:ascii="宋体" w:hAnsi="宋体" w:eastAsia="宋体" w:cs="宋体"/>
                <w:i w:val="0"/>
                <w:iCs w:val="0"/>
                <w:caps w:val="0"/>
                <w:color w:val="444444"/>
                <w:spacing w:val="0"/>
                <w:sz w:val="21"/>
                <w:szCs w:val="21"/>
                <w:highlight w:val="none"/>
                <w:shd w:val="clear" w:fill="FFFFFF"/>
                <w:lang w:eastAsia="zh-CN"/>
              </w:rPr>
              <w:t>（</w:t>
            </w:r>
            <w:r>
              <w:rPr>
                <w:rFonts w:hint="eastAsia" w:ascii="宋体" w:hAnsi="宋体" w:eastAsia="宋体" w:cs="宋体"/>
                <w:sz w:val="21"/>
                <w:szCs w:val="21"/>
                <w:highlight w:val="none"/>
                <w:lang w:val="en-US" w:eastAsia="zh-CN"/>
              </w:rPr>
              <w:t>工作</w:t>
            </w:r>
            <w:r>
              <w:rPr>
                <w:rFonts w:hint="eastAsia" w:ascii="宋体" w:hAnsi="宋体" w:eastAsia="宋体" w:cs="宋体"/>
                <w:sz w:val="21"/>
                <w:szCs w:val="21"/>
                <w:highlight w:val="none"/>
              </w:rPr>
              <w:t>经验以毕业证的发证时间开始计算</w:t>
            </w:r>
            <w:r>
              <w:rPr>
                <w:rFonts w:hint="eastAsia" w:ascii="宋体" w:hAnsi="宋体" w:eastAsia="宋体" w:cs="宋体"/>
                <w:i w:val="0"/>
                <w:iCs w:val="0"/>
                <w:caps w:val="0"/>
                <w:color w:val="444444"/>
                <w:spacing w:val="0"/>
                <w:sz w:val="21"/>
                <w:szCs w:val="21"/>
                <w:highlight w:val="none"/>
                <w:shd w:val="clear" w:fill="FFFFFF"/>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i w:val="0"/>
                <w:iCs w:val="0"/>
                <w:caps w:val="0"/>
                <w:color w:val="444444"/>
                <w:spacing w:val="0"/>
                <w:sz w:val="21"/>
                <w:szCs w:val="21"/>
                <w:highlight w:val="none"/>
                <w:shd w:val="clear" w:fill="FFFFFF"/>
              </w:rPr>
              <w:t>未提供证明文件或证明文件不满足上述要求，不计分。</w:t>
            </w: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0" w:hRule="atLeast"/>
          <w:jc w:val="center"/>
        </w:trPr>
        <w:tc>
          <w:tcPr>
            <w:tcW w:w="1090"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val="en-US" w:eastAsia="zh-CN"/>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sz w:val="21"/>
                <w:szCs w:val="21"/>
                <w:highlight w:val="none"/>
              </w:rPr>
              <w:t>拟投入本项目人员的配备情况</w:t>
            </w:r>
          </w:p>
        </w:tc>
        <w:tc>
          <w:tcPr>
            <w:tcW w:w="735"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w:t>
            </w:r>
          </w:p>
        </w:tc>
        <w:tc>
          <w:tcPr>
            <w:tcW w:w="8730" w:type="dxa"/>
            <w:shd w:val="clear" w:color="auto" w:fill="auto"/>
            <w:vAlign w:val="center"/>
          </w:tcPr>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人员项目机构配置：</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(1)技术负责人1名(工程类高级职称，工作经验</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 xml:space="preserve">年或以上)； </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)施工员1名（工程类</w:t>
            </w:r>
            <w:r>
              <w:rPr>
                <w:rFonts w:hint="eastAsia" w:ascii="宋体" w:hAnsi="宋体" w:eastAsia="宋体" w:cs="宋体"/>
                <w:sz w:val="21"/>
                <w:szCs w:val="21"/>
                <w:highlight w:val="none"/>
                <w:lang w:eastAsia="zh-CN"/>
              </w:rPr>
              <w:t>高</w:t>
            </w:r>
            <w:r>
              <w:rPr>
                <w:rFonts w:hint="eastAsia" w:ascii="宋体" w:hAnsi="宋体" w:eastAsia="宋体" w:cs="宋体"/>
                <w:sz w:val="21"/>
                <w:szCs w:val="21"/>
                <w:highlight w:val="none"/>
              </w:rPr>
              <w:t>级职称，工作经验</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年或以上）；</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)质量员1名（工程类</w:t>
            </w:r>
            <w:r>
              <w:rPr>
                <w:rFonts w:hint="eastAsia" w:ascii="宋体" w:hAnsi="宋体" w:eastAsia="宋体" w:cs="宋体"/>
                <w:sz w:val="21"/>
                <w:szCs w:val="21"/>
                <w:highlight w:val="none"/>
                <w:lang w:eastAsia="zh-CN"/>
              </w:rPr>
              <w:t>中</w:t>
            </w:r>
            <w:r>
              <w:rPr>
                <w:rFonts w:hint="eastAsia" w:ascii="宋体" w:hAnsi="宋体" w:eastAsia="宋体" w:cs="宋体"/>
                <w:sz w:val="21"/>
                <w:szCs w:val="21"/>
                <w:highlight w:val="none"/>
              </w:rPr>
              <w:t>级或以上职称，工作经验</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0年或以上）；</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)安全员</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名（工程类中级或以上职称，工作经验</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年或以上）；</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 xml:space="preserve"> 一级</w:t>
            </w:r>
            <w:r>
              <w:rPr>
                <w:rFonts w:hint="eastAsia" w:ascii="宋体" w:hAnsi="宋体" w:eastAsia="宋体" w:cs="宋体"/>
                <w:sz w:val="21"/>
                <w:szCs w:val="21"/>
                <w:highlight w:val="none"/>
              </w:rPr>
              <w:t>造价师1名(工作经验</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年或以上)；</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①优于上述人员配置要求得</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分；</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②满</w:t>
            </w:r>
            <w:r>
              <w:rPr>
                <w:rFonts w:hint="eastAsia" w:ascii="宋体" w:hAnsi="宋体" w:eastAsia="宋体" w:cs="宋体"/>
                <w:sz w:val="21"/>
                <w:szCs w:val="21"/>
                <w:highlight w:val="none"/>
              </w:rPr>
              <w:t>足上述人员配置要求得</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③1人或以上不满足上述人员配置要求得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p>
          <w:p>
            <w:pPr>
              <w:pageBreakBefore w:val="0"/>
              <w:widowControl w:val="0"/>
              <w:numPr>
                <w:ilvl w:val="-1"/>
                <w:numId w:val="0"/>
              </w:numPr>
              <w:tabs>
                <w:tab w:val="left" w:pos="360"/>
              </w:tabs>
              <w:kinsoku/>
              <w:wordWrap/>
              <w:overflowPunct/>
              <w:topLinePunct w:val="0"/>
              <w:autoSpaceDN/>
              <w:bidi w:val="0"/>
              <w:snapToGrid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i w:val="0"/>
                <w:iCs w:val="0"/>
                <w:caps w:val="0"/>
                <w:color w:val="auto"/>
                <w:spacing w:val="0"/>
                <w:sz w:val="21"/>
                <w:szCs w:val="21"/>
                <w:highlight w:val="none"/>
                <w:shd w:val="clear"/>
              </w:rPr>
              <w:t>拟投入本项目所有人员只能担任一个岗位，</w:t>
            </w:r>
            <w:r>
              <w:rPr>
                <w:rFonts w:hint="eastAsia" w:ascii="宋体" w:hAnsi="宋体" w:eastAsia="宋体" w:cs="宋体"/>
                <w:i w:val="0"/>
                <w:iCs w:val="0"/>
                <w:caps w:val="0"/>
                <w:color w:val="333333"/>
                <w:spacing w:val="0"/>
                <w:sz w:val="21"/>
                <w:szCs w:val="21"/>
                <w:highlight w:val="none"/>
                <w:shd w:val="clear" w:fill="FFFFFF"/>
              </w:rPr>
              <w:t>不得</w:t>
            </w:r>
            <w:r>
              <w:rPr>
                <w:rFonts w:hint="eastAsia" w:ascii="宋体" w:hAnsi="宋体" w:eastAsia="宋体" w:cs="宋体"/>
                <w:i w:val="0"/>
                <w:iCs w:val="0"/>
                <w:caps w:val="0"/>
                <w:color w:val="auto"/>
                <w:spacing w:val="0"/>
                <w:sz w:val="21"/>
                <w:szCs w:val="21"/>
                <w:highlight w:val="none"/>
                <w:shd w:val="clear"/>
              </w:rPr>
              <w:t>兼任</w:t>
            </w:r>
            <w:r>
              <w:rPr>
                <w:rFonts w:hint="eastAsia" w:ascii="宋体" w:hAnsi="宋体" w:eastAsia="宋体" w:cs="宋体"/>
                <w:i w:val="0"/>
                <w:iCs w:val="0"/>
                <w:caps w:val="0"/>
                <w:color w:val="auto"/>
                <w:spacing w:val="0"/>
                <w:sz w:val="21"/>
                <w:szCs w:val="21"/>
                <w:highlight w:val="none"/>
                <w:shd w:val="clear"/>
                <w:lang w:eastAsia="zh-CN"/>
              </w:rPr>
              <w:t>，</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i w:val="0"/>
                <w:iCs w:val="0"/>
                <w:caps w:val="0"/>
                <w:color w:val="444444"/>
                <w:spacing w:val="0"/>
                <w:sz w:val="21"/>
                <w:szCs w:val="21"/>
                <w:highlight w:val="none"/>
                <w:shd w:val="clear" w:fill="FFFFFF"/>
              </w:rPr>
              <w:t>毕业证</w:t>
            </w:r>
            <w:r>
              <w:rPr>
                <w:rFonts w:hint="eastAsia" w:ascii="宋体" w:hAnsi="宋体" w:eastAsia="宋体" w:cs="宋体"/>
                <w:i w:val="0"/>
                <w:iCs w:val="0"/>
                <w:caps w:val="0"/>
                <w:color w:val="444444"/>
                <w:spacing w:val="0"/>
                <w:sz w:val="21"/>
                <w:szCs w:val="21"/>
                <w:highlight w:val="none"/>
                <w:shd w:val="clear" w:fill="FFFFFF"/>
                <w:lang w:eastAsia="zh-CN"/>
              </w:rPr>
              <w:t>（</w:t>
            </w:r>
            <w:r>
              <w:rPr>
                <w:rFonts w:hint="eastAsia" w:ascii="宋体" w:hAnsi="宋体" w:eastAsia="宋体" w:cs="宋体"/>
                <w:sz w:val="21"/>
                <w:szCs w:val="21"/>
                <w:highlight w:val="none"/>
                <w:lang w:val="en-US" w:eastAsia="zh-CN"/>
              </w:rPr>
              <w:t>工作</w:t>
            </w:r>
            <w:r>
              <w:rPr>
                <w:rFonts w:hint="eastAsia" w:ascii="宋体" w:hAnsi="宋体" w:eastAsia="宋体" w:cs="宋体"/>
                <w:sz w:val="21"/>
                <w:szCs w:val="21"/>
                <w:highlight w:val="none"/>
              </w:rPr>
              <w:t>经验以毕业证的发证时间开始计算</w:t>
            </w:r>
            <w:r>
              <w:rPr>
                <w:rFonts w:hint="eastAsia" w:ascii="宋体" w:hAnsi="宋体" w:eastAsia="宋体" w:cs="宋体"/>
                <w:i w:val="0"/>
                <w:iCs w:val="0"/>
                <w:caps w:val="0"/>
                <w:color w:val="444444"/>
                <w:spacing w:val="0"/>
                <w:sz w:val="21"/>
                <w:szCs w:val="21"/>
                <w:highlight w:val="none"/>
                <w:shd w:val="clear" w:fill="FFFFFF"/>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sz w:val="21"/>
                <w:szCs w:val="21"/>
                <w:highlight w:val="none"/>
              </w:rPr>
              <w:t>提供不齐或不提供不得分</w:t>
            </w:r>
            <w:r>
              <w:rPr>
                <w:rFonts w:hint="eastAsia" w:ascii="宋体" w:hAnsi="宋体" w:eastAsia="宋体" w:cs="宋体"/>
                <w:b w:val="0"/>
                <w:bCs w:val="0"/>
                <w:color w:val="auto"/>
                <w:sz w:val="21"/>
                <w:szCs w:val="21"/>
                <w:highlight w:val="none"/>
              </w:rPr>
              <w:t>。</w:t>
            </w:r>
          </w:p>
        </w:tc>
        <w:tc>
          <w:tcPr>
            <w:tcW w:w="68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1" w:hRule="atLeast"/>
          <w:jc w:val="center"/>
        </w:trPr>
        <w:tc>
          <w:tcPr>
            <w:tcW w:w="1090" w:type="dxa"/>
            <w:vMerge w:val="continue"/>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lang w:val="en-US" w:eastAsia="zh-CN"/>
              </w:rPr>
            </w:pPr>
          </w:p>
        </w:tc>
        <w:tc>
          <w:tcPr>
            <w:tcW w:w="1560"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highlight w:val="none"/>
              </w:rPr>
              <w:t>应急响应能力</w:t>
            </w:r>
          </w:p>
        </w:tc>
        <w:tc>
          <w:tcPr>
            <w:tcW w:w="735" w:type="dxa"/>
            <w:shd w:val="clear" w:color="auto" w:fill="auto"/>
            <w:vAlign w:val="center"/>
          </w:tcPr>
          <w:p>
            <w:pPr>
              <w:pageBreakBefore w:val="0"/>
              <w:widowControl w:val="0"/>
              <w:kinsoku/>
              <w:wordWrap/>
              <w:overflowPunct/>
              <w:topLinePunct w:val="0"/>
              <w:autoSpaceDN/>
              <w:bidi w:val="0"/>
              <w:snapToGrid/>
              <w:spacing w:line="360" w:lineRule="exact"/>
              <w:ind w:left="42" w:leftChars="20" w:right="42" w:rightChars="20" w:firstLine="0" w:firstLineChars="0"/>
              <w:jc w:val="center"/>
              <w:textAlignment w:val="auto"/>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4</w:t>
            </w:r>
          </w:p>
        </w:tc>
        <w:tc>
          <w:tcPr>
            <w:tcW w:w="8730" w:type="dxa"/>
            <w:shd w:val="clear" w:color="auto" w:fill="auto"/>
            <w:vAlign w:val="center"/>
          </w:tcPr>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具有合法经营证照服务点，服务及时便捷、响应及时。如遇紧急情况：</w:t>
            </w:r>
          </w:p>
          <w:p>
            <w:pPr>
              <w:spacing w:line="3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60分钟（不含）内可到达现场，得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分；60分钟≤到达现场时间＜90分钟，得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分；90分钟≤到达现场时间＜120分钟，得1分；其他不得分</w:t>
            </w:r>
          </w:p>
          <w:p>
            <w:pPr>
              <w:pageBreakBefore w:val="0"/>
              <w:widowControl w:val="0"/>
              <w:numPr>
                <w:ilvl w:val="-1"/>
                <w:numId w:val="0"/>
              </w:numPr>
              <w:tabs>
                <w:tab w:val="left" w:pos="360"/>
              </w:tabs>
              <w:kinsoku/>
              <w:wordWrap/>
              <w:overflowPunct/>
              <w:topLinePunct w:val="0"/>
              <w:autoSpaceDN/>
              <w:bidi w:val="0"/>
              <w:snapToGrid w:val="0"/>
              <w:spacing w:line="360" w:lineRule="exact"/>
              <w:textAlignment w:val="auto"/>
              <w:rPr>
                <w:rFonts w:hint="eastAsia" w:ascii="宋体" w:hAnsi="宋体" w:eastAsia="宋体" w:cs="宋体"/>
                <w:b w:val="0"/>
                <w:bCs w:val="0"/>
                <w:sz w:val="21"/>
                <w:szCs w:val="21"/>
                <w:highlight w:val="none"/>
                <w:lang w:val="en-US" w:eastAsia="zh-Hans"/>
              </w:rPr>
            </w:pPr>
            <w:r>
              <w:rPr>
                <w:rFonts w:hint="eastAsia" w:ascii="宋体" w:hAnsi="宋体" w:eastAsia="宋体" w:cs="宋体"/>
                <w:sz w:val="21"/>
                <w:szCs w:val="21"/>
                <w:highlight w:val="none"/>
              </w:rPr>
              <w:t>注：服务机构与</w:t>
            </w:r>
            <w:r>
              <w:rPr>
                <w:rFonts w:hint="eastAsia" w:ascii="宋体" w:hAnsi="宋体" w:eastAsia="宋体" w:cs="宋体"/>
                <w:sz w:val="21"/>
                <w:szCs w:val="21"/>
                <w:highlight w:val="none"/>
                <w:lang w:val="en-US" w:eastAsia="zh-CN"/>
              </w:rPr>
              <w:t>招标</w:t>
            </w:r>
            <w:r>
              <w:rPr>
                <w:rFonts w:hint="eastAsia" w:ascii="宋体" w:hAnsi="宋体" w:eastAsia="宋体" w:cs="宋体"/>
                <w:sz w:val="21"/>
                <w:szCs w:val="21"/>
                <w:highlight w:val="none"/>
              </w:rPr>
              <w:t>人距离以高德地图测算的最短公路距离为准，须提供营业执照或办公场所产权证明或房屋租赁备案合同复印件和高德地图截图，不提供、提供不全的不得分。</w:t>
            </w:r>
          </w:p>
        </w:tc>
        <w:tc>
          <w:tcPr>
            <w:tcW w:w="680" w:type="dxa"/>
            <w:shd w:val="clear" w:color="auto" w:fill="auto"/>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3"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p>
            <w:pPr>
              <w:snapToGrid w:val="0"/>
              <w:ind w:left="-2" w:leftChars="-1"/>
              <w:jc w:val="center"/>
              <w:rPr>
                <w:rFonts w:hint="eastAsia" w:ascii="宋体" w:hAnsi="宋体" w:eastAsia="宋体" w:cs="宋体"/>
                <w:color w:val="auto"/>
                <w:szCs w:val="21"/>
                <w:highlight w:val="none"/>
                <w:lang w:eastAsia="zh-CN"/>
              </w:rPr>
            </w:pPr>
          </w:p>
          <w:p>
            <w:pPr>
              <w:snapToGrid w:val="0"/>
              <w:ind w:left="0" w:left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20分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jc w:val="center"/>
              <w:rPr>
                <w:rFonts w:hint="eastAsia" w:ascii="宋体" w:hAnsi="宋体" w:eastAsia="宋体" w:cs="宋体"/>
                <w:b w:val="0"/>
                <w:bCs w:val="0"/>
                <w:color w:val="auto"/>
                <w:sz w:val="21"/>
                <w:szCs w:val="21"/>
                <w:highlight w:val="none"/>
              </w:rPr>
            </w:pPr>
            <w:r>
              <w:rPr>
                <w:rFonts w:hint="eastAsia" w:ascii="宋体" w:hAnsi="宋体" w:eastAsia="宋体" w:cs="宋体"/>
                <w:sz w:val="21"/>
                <w:szCs w:val="21"/>
              </w:rPr>
              <w:t>项目理解</w:t>
            </w:r>
            <w:r>
              <w:rPr>
                <w:rFonts w:hint="eastAsia" w:ascii="宋体" w:hAnsi="宋体" w:eastAsia="宋体" w:cs="宋体"/>
                <w:szCs w:val="21"/>
              </w:rPr>
              <w:t xml:space="preserve"> </w:t>
            </w:r>
          </w:p>
        </w:tc>
        <w:tc>
          <w:tcPr>
            <w:tcW w:w="735" w:type="dxa"/>
            <w:shd w:val="clear" w:color="auto" w:fill="auto"/>
            <w:vAlign w:val="center"/>
          </w:tcPr>
          <w:p>
            <w:pPr>
              <w:snapToGrid/>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highlight w:val="none"/>
                <w:lang w:val="en-US" w:eastAsia="zh-CN"/>
              </w:rPr>
              <w:t>5</w:t>
            </w:r>
          </w:p>
        </w:tc>
        <w:tc>
          <w:tcPr>
            <w:tcW w:w="8730" w:type="dxa"/>
            <w:shd w:val="clear" w:color="auto" w:fill="auto"/>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针对本项目对项目概况、重点难点的理解程度情况进行比较和评价：</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1.熟悉项目各项工作内容和要求，对该项目重点难点、施工方式方法把握准确，分析深刻透彻，得</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2.较为熟悉项目各项工作内容和要求，对该项目施工重点难点把握较准确，分析较深刻透彻，得</w:t>
            </w:r>
            <w:r>
              <w:rPr>
                <w:rFonts w:hint="eastAsia" w:ascii="宋体" w:hAnsi="宋体" w:eastAsia="宋体" w:cs="宋体"/>
                <w:sz w:val="21"/>
                <w:szCs w:val="21"/>
                <w:lang w:val="en-US" w:eastAsia="zh-CN"/>
              </w:rPr>
              <w:t>4-3</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3.对项目各项工作内容和要求熟悉，对该项目施工重点难点把握分析准确，但不全面，内容稍有欠缺，得</w:t>
            </w:r>
            <w:r>
              <w:rPr>
                <w:rFonts w:hint="eastAsia" w:ascii="宋体" w:hAnsi="宋体" w:eastAsia="宋体" w:cs="宋体"/>
                <w:sz w:val="21"/>
                <w:szCs w:val="21"/>
                <w:lang w:val="en-US" w:eastAsia="zh-CN"/>
              </w:rPr>
              <w:t>3-2</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4.对本项目概况、施工重点难点的理解只是简单描述的，得</w:t>
            </w:r>
            <w:r>
              <w:rPr>
                <w:rFonts w:hint="eastAsia" w:ascii="宋体" w:hAnsi="宋体" w:eastAsia="宋体" w:cs="宋体"/>
                <w:sz w:val="21"/>
                <w:szCs w:val="21"/>
                <w:lang w:val="en-US" w:eastAsia="zh-CN"/>
              </w:rPr>
              <w:t>2-1</w:t>
            </w:r>
            <w:r>
              <w:rPr>
                <w:rFonts w:hint="eastAsia" w:ascii="宋体" w:hAnsi="宋体" w:eastAsia="宋体" w:cs="宋体"/>
                <w:sz w:val="21"/>
                <w:szCs w:val="21"/>
              </w:rPr>
              <w:t>分。</w:t>
            </w:r>
          </w:p>
          <w:p>
            <w:p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rPr>
              <w:t>5.不提供不得分。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8"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施工方案</w:t>
            </w:r>
          </w:p>
        </w:tc>
        <w:tc>
          <w:tcPr>
            <w:tcW w:w="735"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针对本项目的项目特点、项目内容等，提供详细的针对本项目需求的施工方案进行比较和评价（包含但不限于1.施工团队组织；2.工作思路和方法；3.施工材料应用4.施工安全和工期保障措施；5、质量保障方案等：</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1.涵盖上述所有内容且方案内容全面具体、具有针对性，切实可行的，得</w:t>
            </w:r>
            <w:r>
              <w:rPr>
                <w:rFonts w:hint="eastAsia" w:ascii="宋体" w:hAnsi="宋体" w:eastAsia="宋体" w:cs="宋体"/>
                <w:sz w:val="21"/>
                <w:szCs w:val="21"/>
                <w:lang w:val="en-US" w:eastAsia="zh-CN"/>
              </w:rPr>
              <w:t>10-8</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2.涵盖上述所有内容且方案内容全面但不具体的，具有一定的可执行性的，得</w:t>
            </w:r>
            <w:r>
              <w:rPr>
                <w:rFonts w:hint="eastAsia" w:ascii="宋体" w:hAnsi="宋体" w:eastAsia="宋体" w:cs="宋体"/>
                <w:sz w:val="21"/>
                <w:szCs w:val="21"/>
                <w:lang w:val="en-US" w:eastAsia="zh-CN"/>
              </w:rPr>
              <w:t xml:space="preserve">7-5 </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3.涵盖上述所有内容但方案内容全面但不清晰，得</w:t>
            </w:r>
            <w:r>
              <w:rPr>
                <w:rFonts w:hint="eastAsia" w:ascii="宋体" w:hAnsi="宋体" w:eastAsia="宋体" w:cs="宋体"/>
                <w:sz w:val="21"/>
                <w:szCs w:val="21"/>
                <w:lang w:val="en-US" w:eastAsia="zh-CN"/>
              </w:rPr>
              <w:t>4-3</w:t>
            </w:r>
            <w:r>
              <w:rPr>
                <w:rFonts w:hint="eastAsia" w:ascii="宋体" w:hAnsi="宋体" w:eastAsia="宋体" w:cs="宋体"/>
                <w:sz w:val="21"/>
                <w:szCs w:val="21"/>
              </w:rPr>
              <w:t>分；</w:t>
            </w:r>
          </w:p>
          <w:p>
            <w:pPr>
              <w:spacing w:line="360" w:lineRule="exact"/>
              <w:jc w:val="left"/>
              <w:rPr>
                <w:rFonts w:hint="eastAsia" w:ascii="宋体" w:hAnsi="宋体" w:eastAsia="宋体" w:cs="宋体"/>
                <w:sz w:val="21"/>
                <w:szCs w:val="21"/>
              </w:rPr>
            </w:pPr>
            <w:r>
              <w:rPr>
                <w:rFonts w:hint="eastAsia" w:ascii="宋体" w:hAnsi="宋体" w:eastAsia="宋体" w:cs="宋体"/>
                <w:sz w:val="21"/>
                <w:szCs w:val="21"/>
              </w:rPr>
              <w:t>4.涵盖上述所有内容但方案内容不全面的，得</w:t>
            </w:r>
            <w:r>
              <w:rPr>
                <w:rFonts w:hint="eastAsia" w:ascii="宋体" w:hAnsi="宋体" w:eastAsia="宋体" w:cs="宋体"/>
                <w:sz w:val="21"/>
                <w:szCs w:val="21"/>
                <w:lang w:val="en-US" w:eastAsia="zh-CN"/>
              </w:rPr>
              <w:t>2-1</w:t>
            </w:r>
            <w:r>
              <w:rPr>
                <w:rFonts w:hint="eastAsia" w:ascii="宋体" w:hAnsi="宋体" w:eastAsia="宋体" w:cs="宋体"/>
                <w:sz w:val="21"/>
                <w:szCs w:val="21"/>
              </w:rPr>
              <w:t>分；</w:t>
            </w:r>
          </w:p>
          <w:p>
            <w:pPr>
              <w:snapToGrid w:val="0"/>
              <w:ind w:left="-2" w:leftChars="-1"/>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rPr>
              <w:t>5.不提供不得分。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3"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rPr>
              <w:t>应急方案</w:t>
            </w:r>
          </w:p>
        </w:tc>
        <w:tc>
          <w:tcPr>
            <w:tcW w:w="735" w:type="dxa"/>
            <w:shd w:val="clear" w:color="auto" w:fill="auto"/>
            <w:vAlign w:val="center"/>
          </w:tcPr>
          <w:p>
            <w:pPr>
              <w:snapToGrid w:val="0"/>
              <w:ind w:left="-2" w:leftChars="-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730" w:type="dxa"/>
            <w:shd w:val="clear" w:color="auto" w:fill="auto"/>
            <w:vAlign w:val="center"/>
          </w:tcPr>
          <w:p>
            <w:pPr>
              <w:spacing w:line="360" w:lineRule="exact"/>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投标</w:t>
            </w:r>
            <w:r>
              <w:rPr>
                <w:rFonts w:hint="eastAsia" w:ascii="宋体" w:hAnsi="宋体" w:eastAsia="宋体" w:cs="宋体"/>
                <w:sz w:val="21"/>
                <w:szCs w:val="21"/>
              </w:rPr>
              <w:t>人提出的突发事件的应急预案和处理措施（包括应急响应时间、处理措施等）优秀，内容详细全面，可实施性强，得</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p>
            <w:pPr>
              <w:spacing w:line="360" w:lineRule="exac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投标</w:t>
            </w:r>
            <w:r>
              <w:rPr>
                <w:rFonts w:hint="eastAsia" w:ascii="宋体" w:hAnsi="宋体" w:eastAsia="宋体" w:cs="宋体"/>
                <w:sz w:val="21"/>
                <w:szCs w:val="21"/>
              </w:rPr>
              <w:t>人提出的突发事件的应急预案和处理措施（包括应急响应时间、处理措施等）良好，内容较详细，可实施性较强，得</w:t>
            </w:r>
            <w:r>
              <w:rPr>
                <w:rFonts w:hint="eastAsia" w:ascii="宋体" w:hAnsi="宋体" w:eastAsia="宋体" w:cs="宋体"/>
                <w:sz w:val="21"/>
                <w:szCs w:val="21"/>
                <w:lang w:val="en-US" w:eastAsia="zh-CN"/>
              </w:rPr>
              <w:t>4-3</w:t>
            </w:r>
            <w:r>
              <w:rPr>
                <w:rFonts w:hint="eastAsia" w:ascii="宋体" w:hAnsi="宋体" w:eastAsia="宋体" w:cs="宋体"/>
                <w:sz w:val="21"/>
                <w:szCs w:val="21"/>
              </w:rPr>
              <w:t>分；</w:t>
            </w:r>
          </w:p>
          <w:p>
            <w:pPr>
              <w:spacing w:line="360" w:lineRule="exact"/>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投标</w:t>
            </w:r>
            <w:r>
              <w:rPr>
                <w:rFonts w:hint="eastAsia" w:ascii="宋体" w:hAnsi="宋体" w:eastAsia="宋体" w:cs="宋体"/>
                <w:sz w:val="21"/>
                <w:szCs w:val="21"/>
              </w:rPr>
              <w:t>人提出的突发事件的应急预案和处理措施（包括应急响应时间、处理措施等）一般，内容一般，可实施性不强，得</w:t>
            </w:r>
            <w:r>
              <w:rPr>
                <w:rFonts w:hint="eastAsia" w:ascii="宋体" w:hAnsi="宋体" w:eastAsia="宋体" w:cs="宋体"/>
                <w:sz w:val="21"/>
                <w:szCs w:val="21"/>
                <w:lang w:val="en-US" w:eastAsia="zh-CN"/>
              </w:rPr>
              <w:t>2-1</w:t>
            </w:r>
            <w:r>
              <w:rPr>
                <w:rFonts w:hint="eastAsia" w:ascii="宋体" w:hAnsi="宋体" w:eastAsia="宋体" w:cs="宋体"/>
                <w:sz w:val="21"/>
                <w:szCs w:val="21"/>
              </w:rPr>
              <w:t>分；</w:t>
            </w:r>
          </w:p>
          <w:p>
            <w:pPr>
              <w:snapToGrid w:val="0"/>
              <w:ind w:left="-2" w:leftChars="-1"/>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sz w:val="21"/>
                <w:szCs w:val="21"/>
              </w:rPr>
              <w:t>不提供方案不得分</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9" w:hRule="atLeast"/>
          <w:jc w:val="center"/>
        </w:trPr>
        <w:tc>
          <w:tcPr>
            <w:tcW w:w="1090" w:type="dxa"/>
            <w:shd w:val="clear" w:color="auto" w:fill="auto"/>
            <w:vAlign w:val="center"/>
          </w:tcPr>
          <w:p>
            <w:pPr>
              <w:pageBreakBefore w:val="0"/>
              <w:widowControl w:val="0"/>
              <w:kinsoku/>
              <w:wordWrap/>
              <w:overflowPunct/>
              <w:topLinePunct w:val="0"/>
              <w:autoSpaceDN/>
              <w:bidi w:val="0"/>
              <w:snapToGrid w:val="0"/>
              <w:spacing w:line="360" w:lineRule="exact"/>
              <w:ind w:left="-2" w:leftChars="-1"/>
              <w:jc w:val="center"/>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rPr>
              <w:t>经济部分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50分</w:t>
            </w:r>
            <w:r>
              <w:rPr>
                <w:rFonts w:hint="eastAsia" w:ascii="宋体" w:hAnsi="宋体" w:eastAsia="宋体" w:cs="宋体"/>
                <w:b w:val="0"/>
                <w:bCs w:val="0"/>
                <w:color w:val="auto"/>
                <w:sz w:val="21"/>
                <w:szCs w:val="21"/>
                <w:highlight w:val="none"/>
                <w:lang w:eastAsia="zh-CN"/>
              </w:rPr>
              <w:t>）</w:t>
            </w:r>
          </w:p>
        </w:tc>
        <w:tc>
          <w:tcPr>
            <w:tcW w:w="1560" w:type="dxa"/>
            <w:shd w:val="clear" w:color="auto" w:fill="auto"/>
            <w:vAlign w:val="center"/>
          </w:tcPr>
          <w:p>
            <w:pPr>
              <w:pageBreakBefore w:val="0"/>
              <w:widowControl w:val="0"/>
              <w:kinsoku/>
              <w:wordWrap/>
              <w:overflowPunct/>
              <w:topLinePunct w:val="0"/>
              <w:autoSpaceDN/>
              <w:bidi w:val="0"/>
              <w:snapToGrid w:val="0"/>
              <w:spacing w:line="360" w:lineRule="exact"/>
              <w:ind w:left="0" w:leftChars="0"/>
              <w:jc w:val="both"/>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rPr>
              <w:t>报价</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50分</w:t>
            </w:r>
            <w:r>
              <w:rPr>
                <w:rFonts w:hint="eastAsia" w:ascii="宋体" w:hAnsi="宋体" w:eastAsia="宋体" w:cs="宋体"/>
                <w:b w:val="0"/>
                <w:bCs w:val="0"/>
                <w:color w:val="auto"/>
                <w:sz w:val="21"/>
                <w:szCs w:val="21"/>
                <w:highlight w:val="none"/>
                <w:lang w:eastAsia="zh-CN"/>
              </w:rPr>
              <w:t>）</w:t>
            </w:r>
          </w:p>
        </w:tc>
        <w:tc>
          <w:tcPr>
            <w:tcW w:w="735" w:type="dxa"/>
            <w:shd w:val="clear" w:color="auto" w:fill="auto"/>
            <w:vAlign w:val="center"/>
          </w:tcPr>
          <w:p>
            <w:pPr>
              <w:pageBreakBefore w:val="0"/>
              <w:widowControl w:val="0"/>
              <w:kinsoku/>
              <w:wordWrap/>
              <w:overflowPunct/>
              <w:topLinePunct w:val="0"/>
              <w:autoSpaceDN/>
              <w:bidi w:val="0"/>
              <w:spacing w:line="360" w:lineRule="exact"/>
              <w:ind w:left="-2" w:leftChars="-1"/>
              <w:jc w:val="center"/>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auto"/>
                <w:sz w:val="21"/>
                <w:szCs w:val="21"/>
                <w:highlight w:val="none"/>
                <w:lang w:val="en-US" w:eastAsia="zh-CN"/>
              </w:rPr>
              <w:t>50</w:t>
            </w:r>
          </w:p>
        </w:tc>
        <w:tc>
          <w:tcPr>
            <w:tcW w:w="8730" w:type="dxa"/>
            <w:shd w:val="clear" w:color="auto" w:fill="auto"/>
            <w:vAlign w:val="top"/>
          </w:tcPr>
          <w:p>
            <w:pPr>
              <w:pageBreakBefore w:val="0"/>
              <w:widowControl w:val="0"/>
              <w:kinsoku/>
              <w:wordWrap/>
              <w:overflowPunct/>
              <w:topLinePunct w:val="0"/>
              <w:autoSpaceDN/>
              <w:bidi w:val="0"/>
              <w:spacing w:line="360" w:lineRule="exact"/>
              <w:ind w:firstLine="0" w:firstLineChars="0"/>
              <w:textAlignment w:val="auto"/>
              <w:rPr>
                <w:rFonts w:hint="eastAsia" w:ascii="宋体" w:hAnsi="宋体" w:eastAsia="宋体" w:cs="宋体"/>
                <w:b w:val="0"/>
                <w:bCs w:val="0"/>
                <w:color w:val="auto"/>
                <w:sz w:val="21"/>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b w:val="0"/>
                <w:bCs w:val="0"/>
                <w:color w:val="auto"/>
                <w:sz w:val="21"/>
                <w:szCs w:val="21"/>
                <w:highlight w:val="none"/>
                <w:lang w:eastAsia="zh-CN"/>
              </w:rPr>
              <w:t>投标报价</w:t>
            </w:r>
            <w:r>
              <w:rPr>
                <w:rFonts w:hint="eastAsia" w:ascii="宋体" w:hAnsi="宋体" w:eastAsia="宋体" w:cs="宋体"/>
                <w:b w:val="0"/>
                <w:bCs w:val="0"/>
                <w:color w:val="auto"/>
                <w:sz w:val="21"/>
                <w:szCs w:val="21"/>
                <w:highlight w:val="none"/>
              </w:rPr>
              <w:t>等于基准价为满分</w:t>
            </w:r>
            <w:r>
              <w:rPr>
                <w:rFonts w:hint="eastAsia" w:ascii="宋体" w:hAnsi="宋体" w:eastAsia="宋体" w:cs="宋体"/>
                <w:b w:val="0"/>
                <w:bCs w:val="0"/>
                <w:color w:val="auto"/>
                <w:sz w:val="21"/>
                <w:szCs w:val="21"/>
                <w:highlight w:val="none"/>
                <w:lang w:val="en-US" w:eastAsia="zh-CN"/>
              </w:rPr>
              <w:t>50</w:t>
            </w:r>
            <w:r>
              <w:rPr>
                <w:rFonts w:hint="eastAsia" w:ascii="宋体" w:hAnsi="宋体" w:eastAsia="宋体" w:cs="宋体"/>
                <w:b w:val="0"/>
                <w:bCs w:val="0"/>
                <w:color w:val="auto"/>
                <w:sz w:val="21"/>
                <w:szCs w:val="21"/>
                <w:highlight w:val="none"/>
              </w:rPr>
              <w:t>分，高于基准价的1%扣</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分，低于基准价的1%扣</w:t>
            </w:r>
            <w:r>
              <w:rPr>
                <w:rFonts w:hint="eastAsia" w:ascii="宋体" w:hAnsi="宋体" w:eastAsia="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分，以此类推。最低得分0分。得分保留两位小数。</w:t>
            </w:r>
            <w:r>
              <w:rPr>
                <w:rFonts w:hint="eastAsia" w:ascii="宋体" w:hAnsi="宋体" w:eastAsia="宋体" w:cs="宋体"/>
                <w:b w:val="0"/>
                <w:bCs w:val="0"/>
                <w:color w:val="auto"/>
                <w:sz w:val="21"/>
                <w:szCs w:val="21"/>
                <w:highlight w:val="none"/>
                <w:lang w:eastAsia="zh-CN"/>
              </w:rPr>
              <w:t>计算公式如下：</w:t>
            </w:r>
          </w:p>
          <w:p>
            <w:pPr>
              <w:pStyle w:val="2"/>
              <w:pageBreakBefore w:val="0"/>
              <w:widowControl w:val="0"/>
              <w:numPr>
                <w:ilvl w:val="0"/>
                <w:numId w:val="5"/>
              </w:numPr>
              <w:kinsoku/>
              <w:wordWrap/>
              <w:overflowPunct/>
              <w:topLinePunct w:val="0"/>
              <w:autoSpaceDN/>
              <w:bidi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报价等于基准价的，得分=</w:t>
            </w:r>
            <w:r>
              <w:rPr>
                <w:rFonts w:hint="eastAsia"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0。</w:t>
            </w:r>
          </w:p>
          <w:p>
            <w:pPr>
              <w:pStyle w:val="2"/>
              <w:pageBreakBefore w:val="0"/>
              <w:widowControl w:val="0"/>
              <w:numPr>
                <w:ilvl w:val="0"/>
                <w:numId w:val="5"/>
              </w:numPr>
              <w:kinsoku/>
              <w:wordWrap/>
              <w:overflowPunct/>
              <w:topLinePunct w:val="0"/>
              <w:autoSpaceDN/>
              <w:bidi w:val="0"/>
              <w:spacing w:line="360" w:lineRule="exac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报价高于基准价的，得分=</w:t>
            </w:r>
            <w:r>
              <w:rPr>
                <w:rFonts w:hint="eastAsia"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0-[（报价-基准价）/基准价]×100×1</w:t>
            </w:r>
          </w:p>
          <w:p>
            <w:pPr>
              <w:pStyle w:val="2"/>
              <w:pageBreakBefore w:val="0"/>
              <w:widowControl w:val="0"/>
              <w:numPr>
                <w:ilvl w:val="0"/>
                <w:numId w:val="5"/>
              </w:numPr>
              <w:kinsoku/>
              <w:wordWrap/>
              <w:overflowPunct/>
              <w:topLinePunct w:val="0"/>
              <w:autoSpaceDN/>
              <w:bidi w:val="0"/>
              <w:spacing w:line="360" w:lineRule="exact"/>
              <w:textAlignment w:val="auto"/>
              <w:rPr>
                <w:rFonts w:hint="eastAsia" w:ascii="宋体" w:hAnsi="宋体" w:eastAsia="宋体" w:cs="宋体"/>
                <w:color w:val="000000"/>
                <w:kern w:val="0"/>
                <w:sz w:val="21"/>
                <w:szCs w:val="21"/>
                <w:highlight w:val="none"/>
                <w:lang w:eastAsia="zh-CN" w:bidi="ar"/>
              </w:rPr>
            </w:pPr>
            <w:r>
              <w:rPr>
                <w:rFonts w:hint="eastAsia" w:ascii="宋体" w:hAnsi="宋体" w:eastAsia="宋体" w:cs="宋体"/>
                <w:b w:val="0"/>
                <w:bCs w:val="0"/>
                <w:color w:val="auto"/>
                <w:sz w:val="21"/>
                <w:szCs w:val="21"/>
                <w:highlight w:val="none"/>
                <w:lang w:val="en-US" w:eastAsia="zh-CN"/>
              </w:rPr>
              <w:t>报价低于基准价的，得分=</w:t>
            </w:r>
            <w:r>
              <w:rPr>
                <w:rFonts w:hint="eastAsia"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0-[（基准价-报价）/基准价]×100×0.5</w:t>
            </w:r>
          </w:p>
        </w:tc>
        <w:tc>
          <w:tcPr>
            <w:tcW w:w="680"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650" w:type="dxa"/>
            <w:gridSpan w:val="2"/>
            <w:shd w:val="clear" w:color="auto" w:fill="auto"/>
            <w:vAlign w:val="center"/>
          </w:tcPr>
          <w:p>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35" w:type="dxa"/>
            <w:shd w:val="clear" w:color="auto" w:fill="auto"/>
            <w:vAlign w:val="center"/>
          </w:tcPr>
          <w:p>
            <w:pPr>
              <w:spacing w:line="36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873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spacing w:line="360" w:lineRule="exact"/>
        <w:ind w:left="74" w:firstLine="0" w:firstLineChars="0"/>
        <w:jc w:val="left"/>
        <w:rPr>
          <w:rFonts w:ascii="宋体" w:hAnsi="宋体" w:cs="宋体"/>
          <w:color w:val="auto"/>
          <w:szCs w:val="21"/>
          <w:highlight w:val="none"/>
        </w:rPr>
      </w:pPr>
      <w:r>
        <w:rPr>
          <w:rFonts w:hint="eastAsia" w:ascii="仿宋" w:hAnsi="仿宋" w:eastAsia="仿宋" w:cs="宋体"/>
          <w:color w:val="auto"/>
          <w:sz w:val="24"/>
          <w:highlight w:val="none"/>
        </w:rPr>
        <w:t xml:space="preserve"> </w:t>
      </w:r>
      <w:r>
        <w:rPr>
          <w:rFonts w:hint="eastAsia" w:ascii="宋体" w:hAnsi="宋体" w:cs="宋体"/>
          <w:color w:val="auto"/>
          <w:szCs w:val="21"/>
          <w:highlight w:val="none"/>
        </w:rPr>
        <w:t>说明：</w:t>
      </w:r>
    </w:p>
    <w:p>
      <w:pPr>
        <w:rPr>
          <w:highlight w:val="none"/>
        </w:rPr>
      </w:pP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bookmarkEnd w:id="83"/>
    <w:bookmarkEnd w:id="84"/>
    <w:p>
      <w:pPr>
        <w:pStyle w:val="24"/>
        <w:ind w:firstLine="420" w:firstLineChars="200"/>
        <w:rPr>
          <w:rFonts w:hint="default" w:ascii="宋体" w:hAnsi="宋体" w:cs="宋体"/>
          <w:color w:val="auto"/>
          <w:kern w:val="0"/>
          <w:sz w:val="21"/>
          <w:szCs w:val="21"/>
          <w:highlight w:val="none"/>
          <w:lang w:val="en-US" w:eastAsia="zh-CN"/>
        </w:rPr>
      </w:pPr>
    </w:p>
    <w:p>
      <w:pPr>
        <w:rPr>
          <w:rFonts w:hint="default" w:ascii="Calibri" w:hAnsi="Calibri" w:eastAsia="宋体" w:cs="Times New Roman"/>
          <w:bCs/>
          <w:szCs w:val="20"/>
          <w:highlight w:val="none"/>
          <w:lang w:val="en-US" w:eastAsia="zh-CN"/>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p>
      <w:pPr>
        <w:snapToGrid w:val="0"/>
        <w:spacing w:line="360" w:lineRule="auto"/>
        <w:jc w:val="left"/>
        <w:rPr>
          <w:rFonts w:hint="eastAsia" w:ascii="宋体" w:hAnsi="宋体"/>
          <w:color w:val="auto"/>
          <w:sz w:val="21"/>
          <w:szCs w:val="21"/>
          <w:highlight w:val="none"/>
        </w:rPr>
        <w:sectPr>
          <w:pgSz w:w="16838" w:h="11906" w:orient="landscape"/>
          <w:pgMar w:top="1800" w:right="1440" w:bottom="1800" w:left="1440" w:header="851" w:footer="992" w:gutter="0"/>
          <w:pgNumType w:fmt="decimal"/>
          <w:cols w:space="720" w:num="1"/>
          <w:docGrid w:type="lines" w:linePitch="312" w:charSpace="0"/>
        </w:sect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85" w:name="_Toc17435"/>
      <w:bookmarkStart w:id="86" w:name="_Toc17416"/>
      <w:bookmarkStart w:id="87" w:name="_Toc17298"/>
      <w:bookmarkStart w:id="88" w:name="_Toc10364"/>
      <w:bookmarkStart w:id="89" w:name="_Toc27349"/>
      <w:bookmarkStart w:id="90" w:name="_Toc17392"/>
      <w:bookmarkStart w:id="91" w:name="_Toc4858"/>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85"/>
      <w:bookmarkEnd w:id="86"/>
      <w:bookmarkEnd w:id="87"/>
      <w:bookmarkEnd w:id="88"/>
      <w:bookmarkEnd w:id="89"/>
      <w:bookmarkEnd w:id="90"/>
      <w:bookmarkEnd w:id="91"/>
    </w:p>
    <w:p>
      <w:pPr>
        <w:pStyle w:val="39"/>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广州南沙旅游发展有限公司</w:t>
      </w:r>
    </w:p>
    <w:p>
      <w:pPr>
        <w:pStyle w:val="39"/>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color w:val="auto"/>
          <w:spacing w:val="0"/>
          <w:sz w:val="24"/>
          <w:szCs w:val="24"/>
          <w:highlight w:val="none"/>
          <w:u w:val="single"/>
          <w:lang w:val="en-US" w:eastAsia="zh-CN"/>
        </w:rPr>
        <w:t xml:space="preserve"> </w:t>
      </w:r>
      <w:r>
        <w:rPr>
          <w:rFonts w:hint="eastAsia" w:ascii="宋体" w:hAnsi="宋体" w:eastAsia="宋体" w:cs="Times New Roman"/>
          <w:b w:val="0"/>
          <w:bCs w:val="0"/>
          <w:color w:val="auto"/>
          <w:sz w:val="24"/>
          <w:szCs w:val="24"/>
          <w:highlight w:val="none"/>
          <w:u w:val="single"/>
          <w:lang w:val="en-US" w:eastAsia="zh-CN"/>
        </w:rPr>
        <w:t xml:space="preserve">南沙天后宫电房地块提升改造--地面提升项目 </w:t>
      </w:r>
      <w:r>
        <w:rPr>
          <w:rFonts w:hint="eastAsia" w:ascii="宋体" w:hAnsi="宋体" w:eastAsia="宋体"/>
          <w:color w:val="auto"/>
          <w:sz w:val="24"/>
          <w:szCs w:val="24"/>
          <w:highlight w:val="none"/>
        </w:rPr>
        <w:t>投标工作，做出郑重声明：</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9"/>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9"/>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0"/>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9"/>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9"/>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6"/>
        <w:rPr>
          <w:rFonts w:hint="default"/>
          <w:color w:val="auto"/>
          <w:highlight w:val="none"/>
        </w:rPr>
      </w:pPr>
    </w:p>
    <w:p>
      <w:pPr>
        <w:rPr>
          <w:rFonts w:hint="default"/>
          <w:color w:val="auto"/>
          <w:highlight w:val="none"/>
        </w:rPr>
      </w:pPr>
    </w:p>
    <w:p>
      <w:pPr>
        <w:pStyle w:val="6"/>
        <w:rPr>
          <w:rFonts w:hint="default"/>
          <w:color w:val="auto"/>
          <w:highlight w:val="none"/>
        </w:rPr>
      </w:pPr>
    </w:p>
    <w:p>
      <w:pPr>
        <w:rPr>
          <w:rFonts w:hint="default"/>
          <w:color w:val="auto"/>
          <w:highlight w:val="none"/>
        </w:r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92" w:name="_Toc3465"/>
      <w:bookmarkStart w:id="93" w:name="_Toc17693"/>
      <w:bookmarkStart w:id="94" w:name="_Toc24807"/>
      <w:bookmarkStart w:id="95" w:name="_Toc9237"/>
      <w:bookmarkStart w:id="96" w:name="_Toc26871"/>
      <w:r>
        <w:rPr>
          <w:rFonts w:hint="eastAsia" w:ascii="宋体" w:hAnsi="宋体" w:cs="宋体" w:eastAsiaTheme="minorEastAsia"/>
          <w:b/>
          <w:color w:val="auto"/>
          <w:kern w:val="0"/>
          <w:sz w:val="28"/>
          <w:szCs w:val="28"/>
          <w:highlight w:val="none"/>
          <w:lang w:val="en-US" w:eastAsia="zh-CN"/>
        </w:rPr>
        <w:t>非联合体投标声明（格式自拟）</w:t>
      </w:r>
      <w:bookmarkEnd w:id="92"/>
      <w:bookmarkEnd w:id="93"/>
      <w:bookmarkEnd w:id="94"/>
      <w:bookmarkEnd w:id="95"/>
      <w:bookmarkEnd w:id="96"/>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F9153F42"/>
    <w:multiLevelType w:val="singleLevel"/>
    <w:tmpl w:val="F9153F42"/>
    <w:lvl w:ilvl="0" w:tentative="0">
      <w:start w:val="1"/>
      <w:numFmt w:val="decimal"/>
      <w:suff w:val="nothing"/>
      <w:lvlText w:val="%1、"/>
      <w:lvlJc w:val="left"/>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D330E5"/>
    <w:rsid w:val="04E40895"/>
    <w:rsid w:val="05031424"/>
    <w:rsid w:val="051B7598"/>
    <w:rsid w:val="052E78DA"/>
    <w:rsid w:val="0557469B"/>
    <w:rsid w:val="059A4101"/>
    <w:rsid w:val="073B0CB2"/>
    <w:rsid w:val="07746BCF"/>
    <w:rsid w:val="07F66A4C"/>
    <w:rsid w:val="083B43B1"/>
    <w:rsid w:val="08757A2C"/>
    <w:rsid w:val="089D5EE4"/>
    <w:rsid w:val="08A9464F"/>
    <w:rsid w:val="08D505E6"/>
    <w:rsid w:val="09062DA7"/>
    <w:rsid w:val="09A667E8"/>
    <w:rsid w:val="0A621C44"/>
    <w:rsid w:val="0A9867C9"/>
    <w:rsid w:val="0B372B92"/>
    <w:rsid w:val="0BFF40FB"/>
    <w:rsid w:val="0C855B7E"/>
    <w:rsid w:val="0C87037B"/>
    <w:rsid w:val="0CF74903"/>
    <w:rsid w:val="0D2A3B3D"/>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E640E2"/>
    <w:rsid w:val="13E744B7"/>
    <w:rsid w:val="14082F52"/>
    <w:rsid w:val="14085DAD"/>
    <w:rsid w:val="14233C6D"/>
    <w:rsid w:val="14452035"/>
    <w:rsid w:val="1448567A"/>
    <w:rsid w:val="145B3800"/>
    <w:rsid w:val="14DA40AE"/>
    <w:rsid w:val="15B036FB"/>
    <w:rsid w:val="16007AF5"/>
    <w:rsid w:val="163A7468"/>
    <w:rsid w:val="17463991"/>
    <w:rsid w:val="179E3273"/>
    <w:rsid w:val="17DF6EBB"/>
    <w:rsid w:val="17E977C8"/>
    <w:rsid w:val="1873680D"/>
    <w:rsid w:val="18E67433"/>
    <w:rsid w:val="18F12637"/>
    <w:rsid w:val="19095239"/>
    <w:rsid w:val="1A361CF4"/>
    <w:rsid w:val="1AA864E1"/>
    <w:rsid w:val="1AB46DAB"/>
    <w:rsid w:val="1B6C2995"/>
    <w:rsid w:val="1BB630ED"/>
    <w:rsid w:val="1BC44893"/>
    <w:rsid w:val="1BE136FF"/>
    <w:rsid w:val="1C05708F"/>
    <w:rsid w:val="1C307374"/>
    <w:rsid w:val="1C4306F9"/>
    <w:rsid w:val="1C9203A6"/>
    <w:rsid w:val="1E032835"/>
    <w:rsid w:val="1E562810"/>
    <w:rsid w:val="1EBD45C4"/>
    <w:rsid w:val="1F1C5732"/>
    <w:rsid w:val="1F584BD1"/>
    <w:rsid w:val="205D447F"/>
    <w:rsid w:val="206E043A"/>
    <w:rsid w:val="20AD4C4C"/>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776675E"/>
    <w:rsid w:val="2837076A"/>
    <w:rsid w:val="2865301D"/>
    <w:rsid w:val="28C86C87"/>
    <w:rsid w:val="28D56736"/>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EC6390"/>
    <w:rsid w:val="311233CC"/>
    <w:rsid w:val="31B57180"/>
    <w:rsid w:val="321A656D"/>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77019F"/>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57E617A"/>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E2A7035"/>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92898"/>
    <w:rsid w:val="576D49E8"/>
    <w:rsid w:val="57951FF3"/>
    <w:rsid w:val="579C393A"/>
    <w:rsid w:val="583D3C73"/>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6">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7">
    <w:name w:val="heading 3"/>
    <w:next w:val="1"/>
    <w:link w:val="43"/>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6"/>
    <w:qFormat/>
    <w:uiPriority w:val="0"/>
    <w:rPr>
      <w:rFonts w:hint="eastAsia" w:ascii="宋体" w:hAnsi="Courier New" w:eastAsia="宋体" w:cs="Times New Roman"/>
      <w:szCs w:val="21"/>
    </w:rPr>
  </w:style>
  <w:style w:type="paragraph" w:styleId="4">
    <w:name w:val="Body Text First Indent"/>
    <w:basedOn w:val="5"/>
    <w:link w:val="37"/>
    <w:qFormat/>
    <w:uiPriority w:val="0"/>
    <w:pPr>
      <w:spacing w:beforeAutospacing="1" w:after="120"/>
      <w:ind w:firstLine="420"/>
    </w:pPr>
    <w:rPr>
      <w:rFonts w:ascii="Times New Roman" w:hAnsi="Times New Roman" w:eastAsia="宋体" w:cs="Times New Roman"/>
      <w:szCs w:val="21"/>
    </w:rPr>
  </w:style>
  <w:style w:type="paragraph" w:styleId="5">
    <w:name w:val="Body Text"/>
    <w:basedOn w:val="1"/>
    <w:next w:val="1"/>
    <w:qFormat/>
    <w:uiPriority w:val="0"/>
  </w:style>
  <w:style w:type="paragraph" w:styleId="8">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9">
    <w:name w:val="Normal Indent"/>
    <w:basedOn w:val="1"/>
    <w:qFormat/>
    <w:uiPriority w:val="0"/>
    <w:pPr>
      <w:ind w:firstLine="420"/>
    </w:pPr>
    <w:rPr>
      <w:rFonts w:ascii="Times New Roman" w:hAnsi="Times New Roman" w:eastAsia="宋体" w:cs="Times New Roman"/>
      <w:szCs w:val="20"/>
    </w:rPr>
  </w:style>
  <w:style w:type="paragraph" w:styleId="10">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11">
    <w:name w:val="annotation text"/>
    <w:basedOn w:val="1"/>
    <w:semiHidden/>
    <w:unhideWhenUsed/>
    <w:qFormat/>
    <w:uiPriority w:val="0"/>
    <w:pPr>
      <w:jc w:val="left"/>
    </w:pPr>
  </w:style>
  <w:style w:type="paragraph" w:styleId="12">
    <w:name w:val="Balloon Text"/>
    <w:basedOn w:val="1"/>
    <w:link w:val="34"/>
    <w:qFormat/>
    <w:uiPriority w:val="0"/>
    <w:rPr>
      <w:sz w:val="18"/>
      <w:szCs w:val="18"/>
    </w:rPr>
  </w:style>
  <w:style w:type="paragraph" w:styleId="13">
    <w:name w:val="footer"/>
    <w:basedOn w:val="1"/>
    <w:link w:val="33"/>
    <w:qFormat/>
    <w:uiPriority w:val="0"/>
    <w:pPr>
      <w:tabs>
        <w:tab w:val="center" w:pos="4153"/>
        <w:tab w:val="right" w:pos="8306"/>
      </w:tabs>
      <w:snapToGrid w:val="0"/>
      <w:jc w:val="left"/>
    </w:pPr>
    <w:rPr>
      <w:sz w:val="18"/>
      <w:szCs w:val="18"/>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样式 小四 行距: 1.5 倍行距"/>
    <w:basedOn w:val="1"/>
    <w:qFormat/>
    <w:uiPriority w:val="0"/>
    <w:pPr>
      <w:ind w:firstLine="480"/>
    </w:pPr>
    <w:rPr>
      <w:rFonts w:cs="宋体"/>
    </w:rPr>
  </w:style>
  <w:style w:type="paragraph" w:customStyle="1" w:styleId="23">
    <w:name w:val="表格文字"/>
    <w:basedOn w:val="1"/>
    <w:qFormat/>
    <w:uiPriority w:val="0"/>
    <w:pPr>
      <w:spacing w:before="25" w:after="25"/>
      <w:jc w:val="left"/>
    </w:pPr>
    <w:rPr>
      <w:bCs/>
      <w:spacing w:val="10"/>
      <w:kern w:val="0"/>
      <w:sz w:val="24"/>
    </w:rPr>
  </w:style>
  <w:style w:type="paragraph" w:customStyle="1" w:styleId="24">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6">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7">
    <w:name w:val="列出段落1"/>
    <w:basedOn w:val="1"/>
    <w:qFormat/>
    <w:uiPriority w:val="0"/>
    <w:pPr>
      <w:ind w:firstLine="420" w:firstLineChars="200"/>
    </w:pPr>
    <w:rPr>
      <w:rFonts w:ascii="Calibri" w:hAnsi="Calibri" w:eastAsia="宋体" w:cs="Times New Roman"/>
      <w:szCs w:val="21"/>
    </w:rPr>
  </w:style>
  <w:style w:type="paragraph" w:customStyle="1" w:styleId="28">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9">
    <w:name w:val="10"/>
    <w:basedOn w:val="18"/>
    <w:qFormat/>
    <w:uiPriority w:val="0"/>
    <w:rPr>
      <w:rFonts w:hint="default" w:ascii="Times New Roman" w:hAnsi="Times New Roman" w:cs="Times New Roman"/>
    </w:rPr>
  </w:style>
  <w:style w:type="character" w:customStyle="1" w:styleId="30">
    <w:name w:val="15"/>
    <w:basedOn w:val="18"/>
    <w:qFormat/>
    <w:uiPriority w:val="0"/>
    <w:rPr>
      <w:rFonts w:hint="default" w:ascii="Times New Roman" w:hAnsi="Times New Roman" w:cs="Times New Roman"/>
    </w:rPr>
  </w:style>
  <w:style w:type="character" w:customStyle="1" w:styleId="31">
    <w:name w:val="16"/>
    <w:basedOn w:val="18"/>
    <w:qFormat/>
    <w:uiPriority w:val="0"/>
    <w:rPr>
      <w:rFonts w:hint="default" w:ascii="Times New Roman" w:hAnsi="Times New Roman" w:cs="Times New Roman"/>
      <w:color w:val="0000FF"/>
      <w:u w:val="single"/>
    </w:rPr>
  </w:style>
  <w:style w:type="character" w:customStyle="1" w:styleId="32">
    <w:name w:val="页眉 Char"/>
    <w:basedOn w:val="18"/>
    <w:link w:val="14"/>
    <w:qFormat/>
    <w:uiPriority w:val="0"/>
    <w:rPr>
      <w:rFonts w:asciiTheme="minorHAnsi" w:hAnsiTheme="minorHAnsi" w:eastAsiaTheme="minorEastAsia" w:cstheme="minorBidi"/>
      <w:kern w:val="2"/>
      <w:sz w:val="18"/>
      <w:szCs w:val="18"/>
    </w:rPr>
  </w:style>
  <w:style w:type="character" w:customStyle="1" w:styleId="33">
    <w:name w:val="页脚 Char"/>
    <w:basedOn w:val="18"/>
    <w:link w:val="13"/>
    <w:qFormat/>
    <w:uiPriority w:val="0"/>
    <w:rPr>
      <w:rFonts w:asciiTheme="minorHAnsi" w:hAnsiTheme="minorHAnsi" w:eastAsiaTheme="minorEastAsia" w:cstheme="minorBidi"/>
      <w:kern w:val="2"/>
      <w:sz w:val="18"/>
      <w:szCs w:val="18"/>
    </w:rPr>
  </w:style>
  <w:style w:type="character" w:customStyle="1" w:styleId="34">
    <w:name w:val="批注框文本 Char"/>
    <w:basedOn w:val="18"/>
    <w:link w:val="12"/>
    <w:qFormat/>
    <w:uiPriority w:val="0"/>
    <w:rPr>
      <w:rFonts w:asciiTheme="minorHAnsi" w:hAnsiTheme="minorHAnsi" w:eastAsiaTheme="minorEastAsia" w:cstheme="minorBidi"/>
      <w:kern w:val="2"/>
      <w:sz w:val="18"/>
      <w:szCs w:val="18"/>
    </w:rPr>
  </w:style>
  <w:style w:type="paragraph" w:customStyle="1" w:styleId="35">
    <w:name w:val="WPSOffice手动目录 1"/>
    <w:qFormat/>
    <w:uiPriority w:val="0"/>
    <w:rPr>
      <w:rFonts w:ascii="Times New Roman" w:hAnsi="Times New Roman" w:eastAsia="宋体" w:cs="Times New Roman"/>
      <w:lang w:val="en-US" w:eastAsia="zh-CN" w:bidi="ar-SA"/>
    </w:rPr>
  </w:style>
  <w:style w:type="character" w:customStyle="1" w:styleId="36">
    <w:name w:val="纯文本 Char"/>
    <w:link w:val="2"/>
    <w:qFormat/>
    <w:uiPriority w:val="0"/>
    <w:rPr>
      <w:rFonts w:ascii="宋体" w:hAnsi="Courier New"/>
      <w:kern w:val="2"/>
      <w:sz w:val="21"/>
      <w:szCs w:val="21"/>
    </w:rPr>
  </w:style>
  <w:style w:type="character" w:customStyle="1" w:styleId="37">
    <w:name w:val="正文首行缩进 Char"/>
    <w:basedOn w:val="18"/>
    <w:link w:val="4"/>
    <w:qFormat/>
    <w:uiPriority w:val="0"/>
    <w:rPr>
      <w:kern w:val="2"/>
      <w:sz w:val="21"/>
      <w:szCs w:val="21"/>
    </w:rPr>
  </w:style>
  <w:style w:type="paragraph" w:styleId="38">
    <w:name w:val="List Paragraph"/>
    <w:basedOn w:val="1"/>
    <w:unhideWhenUsed/>
    <w:qFormat/>
    <w:uiPriority w:val="99"/>
    <w:pPr>
      <w:ind w:firstLine="420" w:firstLineChars="200"/>
    </w:pPr>
  </w:style>
  <w:style w:type="paragraph" w:customStyle="1" w:styleId="39">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0">
    <w:name w:val="发文落款"/>
    <w:basedOn w:val="39"/>
    <w:qFormat/>
    <w:uiPriority w:val="0"/>
    <w:pPr>
      <w:ind w:left="4094" w:right="607" w:firstLine="0"/>
      <w:jc w:val="center"/>
    </w:pPr>
  </w:style>
  <w:style w:type="character" w:customStyle="1" w:styleId="41">
    <w:name w:val="c Char1"/>
    <w:link w:val="42"/>
    <w:qFormat/>
    <w:uiPriority w:val="0"/>
    <w:rPr>
      <w:rFonts w:eastAsia="仿宋_GB2312" w:cs="宋体"/>
      <w:sz w:val="28"/>
    </w:rPr>
  </w:style>
  <w:style w:type="paragraph" w:customStyle="1" w:styleId="42">
    <w:name w:val="c"/>
    <w:basedOn w:val="1"/>
    <w:link w:val="41"/>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3">
    <w:name w:val="标题 3 Char"/>
    <w:link w:val="7"/>
    <w:qFormat/>
    <w:uiPriority w:val="0"/>
    <w:rPr>
      <w:rFonts w:ascii="宋体" w:hAnsi="宋体"/>
      <w:b/>
      <w:sz w:val="28"/>
      <w:lang w:val="en-US" w:eastAsia="zh-CN" w:bidi="ar-SA"/>
    </w:rPr>
  </w:style>
  <w:style w:type="character" w:customStyle="1" w:styleId="44">
    <w:name w:val="active2"/>
    <w:basedOn w:val="18"/>
    <w:qFormat/>
    <w:uiPriority w:val="0"/>
    <w:rPr>
      <w:color w:val="00FF00"/>
      <w:shd w:val="clear" w:fill="111111"/>
    </w:rPr>
  </w:style>
  <w:style w:type="character" w:customStyle="1" w:styleId="45">
    <w:name w:val="cdropright"/>
    <w:basedOn w:val="18"/>
    <w:qFormat/>
    <w:uiPriority w:val="0"/>
  </w:style>
  <w:style w:type="character" w:customStyle="1" w:styleId="46">
    <w:name w:val="drapbtn"/>
    <w:basedOn w:val="18"/>
    <w:qFormat/>
    <w:uiPriority w:val="0"/>
  </w:style>
  <w:style w:type="character" w:customStyle="1" w:styleId="47">
    <w:name w:val="after"/>
    <w:basedOn w:val="18"/>
    <w:qFormat/>
    <w:uiPriority w:val="0"/>
    <w:rPr>
      <w:sz w:val="0"/>
      <w:szCs w:val="0"/>
    </w:rPr>
  </w:style>
  <w:style w:type="character" w:customStyle="1" w:styleId="48">
    <w:name w:val="pagechatarealistclose_box"/>
    <w:basedOn w:val="18"/>
    <w:qFormat/>
    <w:uiPriority w:val="0"/>
  </w:style>
  <w:style w:type="character" w:customStyle="1" w:styleId="49">
    <w:name w:val="pagechatarealistclose_box1"/>
    <w:basedOn w:val="18"/>
    <w:qFormat/>
    <w:uiPriority w:val="0"/>
  </w:style>
  <w:style w:type="character" w:customStyle="1" w:styleId="50">
    <w:name w:val="hilite5"/>
    <w:basedOn w:val="18"/>
    <w:qFormat/>
    <w:uiPriority w:val="0"/>
    <w:rPr>
      <w:color w:val="FFFFFF"/>
      <w:shd w:val="clear" w:fill="666666"/>
    </w:rPr>
  </w:style>
  <w:style w:type="character" w:customStyle="1" w:styleId="51">
    <w:name w:val="associateddata"/>
    <w:basedOn w:val="18"/>
    <w:qFormat/>
    <w:uiPriority w:val="0"/>
    <w:rPr>
      <w:shd w:val="clear" w:fill="50A6F9"/>
    </w:rPr>
  </w:style>
  <w:style w:type="character" w:customStyle="1" w:styleId="52">
    <w:name w:val="cy"/>
    <w:basedOn w:val="18"/>
    <w:qFormat/>
    <w:uiPriority w:val="0"/>
  </w:style>
  <w:style w:type="character" w:customStyle="1" w:styleId="53">
    <w:name w:val="cdropleft"/>
    <w:basedOn w:val="18"/>
    <w:qFormat/>
    <w:uiPriority w:val="0"/>
  </w:style>
  <w:style w:type="character" w:customStyle="1" w:styleId="54">
    <w:name w:val="ico1654"/>
    <w:basedOn w:val="18"/>
    <w:qFormat/>
    <w:uiPriority w:val="0"/>
  </w:style>
  <w:style w:type="character" w:customStyle="1" w:styleId="55">
    <w:name w:val="ico1655"/>
    <w:basedOn w:val="18"/>
    <w:qFormat/>
    <w:uiPriority w:val="0"/>
  </w:style>
  <w:style w:type="character" w:customStyle="1" w:styleId="56">
    <w:name w:val="layui-layer-tabnow"/>
    <w:basedOn w:val="18"/>
    <w:qFormat/>
    <w:uiPriority w:val="0"/>
    <w:rPr>
      <w:bdr w:val="single" w:color="CCCCCC" w:sz="6" w:space="0"/>
      <w:shd w:val="clear" w:fill="FFFFFF"/>
    </w:rPr>
  </w:style>
  <w:style w:type="character" w:customStyle="1" w:styleId="57">
    <w:name w:val="button4"/>
    <w:basedOn w:val="18"/>
    <w:qFormat/>
    <w:uiPriority w:val="0"/>
  </w:style>
  <w:style w:type="character" w:customStyle="1" w:styleId="58">
    <w:name w:val="w32"/>
    <w:basedOn w:val="18"/>
    <w:qFormat/>
    <w:uiPriority w:val="0"/>
  </w:style>
  <w:style w:type="character" w:customStyle="1" w:styleId="59">
    <w:name w:val="tmpztreemove_arrow"/>
    <w:basedOn w:val="18"/>
    <w:qFormat/>
    <w:uiPriority w:val="0"/>
  </w:style>
  <w:style w:type="character" w:customStyle="1" w:styleId="60">
    <w:name w:val="icontext1"/>
    <w:basedOn w:val="18"/>
    <w:qFormat/>
    <w:uiPriority w:val="0"/>
  </w:style>
  <w:style w:type="character" w:customStyle="1" w:styleId="61">
    <w:name w:val="icontext11"/>
    <w:basedOn w:val="18"/>
    <w:qFormat/>
    <w:uiPriority w:val="0"/>
  </w:style>
  <w:style w:type="character" w:customStyle="1" w:styleId="62">
    <w:name w:val="icontext12"/>
    <w:basedOn w:val="18"/>
    <w:qFormat/>
    <w:uiPriority w:val="0"/>
  </w:style>
  <w:style w:type="character" w:customStyle="1" w:styleId="63">
    <w:name w:val="iconline2"/>
    <w:basedOn w:val="18"/>
    <w:qFormat/>
    <w:uiPriority w:val="0"/>
  </w:style>
  <w:style w:type="character" w:customStyle="1" w:styleId="64">
    <w:name w:val="iconline21"/>
    <w:basedOn w:val="18"/>
    <w:qFormat/>
    <w:uiPriority w:val="0"/>
  </w:style>
  <w:style w:type="character" w:customStyle="1" w:styleId="65">
    <w:name w:val="icontext2"/>
    <w:basedOn w:val="18"/>
    <w:qFormat/>
    <w:uiPriority w:val="0"/>
  </w:style>
  <w:style w:type="character" w:customStyle="1" w:styleId="66">
    <w:name w:val="icontext3"/>
    <w:basedOn w:val="18"/>
    <w:qFormat/>
    <w:uiPriority w:val="0"/>
  </w:style>
  <w:style w:type="character" w:customStyle="1" w:styleId="67">
    <w:name w:val="first-child"/>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9</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作者</cp:lastModifiedBy>
  <cp:lastPrinted>2023-12-08T03:18:40Z</cp:lastPrinted>
  <dcterms:modified xsi:type="dcterms:W3CDTF">2023-12-08T03:26:28Z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78DAB789C8D644C093EEDC224333A106_13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