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宋体"/>
          <w:szCs w:val="21"/>
          <w:highlight w:val="none"/>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黑体"/>
          <w:sz w:val="48"/>
          <w:szCs w:val="48"/>
          <w:highlight w:val="none"/>
          <w:lang w:eastAsia="zh-CN"/>
        </w:rPr>
      </w:pPr>
      <w:r>
        <w:rPr>
          <w:rFonts w:hint="eastAsia" w:ascii="宋体" w:hAnsi="宋体" w:eastAsia="黑体"/>
          <w:sz w:val="48"/>
          <w:szCs w:val="48"/>
          <w:highlight w:val="none"/>
        </w:rPr>
        <w:t>广州南沙区珠江街道2022NJY-9</w:t>
      </w:r>
      <w:r>
        <w:rPr>
          <w:rFonts w:hint="eastAsia" w:ascii="宋体" w:hAnsi="宋体" w:eastAsia="黑体"/>
          <w:sz w:val="48"/>
          <w:szCs w:val="48"/>
          <w:highlight w:val="none"/>
          <w:lang w:eastAsia="zh-CN"/>
        </w:rPr>
        <w:t>（</w:t>
      </w:r>
      <w:r>
        <w:rPr>
          <w:rFonts w:hint="eastAsia" w:ascii="宋体" w:hAnsi="宋体" w:eastAsia="黑体"/>
          <w:sz w:val="48"/>
          <w:szCs w:val="48"/>
          <w:highlight w:val="none"/>
          <w:lang w:val="en-US" w:eastAsia="zh-CN"/>
        </w:rPr>
        <w:t>地块二</w:t>
      </w:r>
      <w:r>
        <w:rPr>
          <w:rFonts w:hint="eastAsia" w:ascii="宋体" w:hAnsi="宋体" w:eastAsia="黑体"/>
          <w:sz w:val="48"/>
          <w:szCs w:val="48"/>
          <w:highlight w:val="none"/>
          <w:lang w:eastAsia="zh-CN"/>
        </w:rPr>
        <w:t>）</w:t>
      </w:r>
    </w:p>
    <w:p>
      <w:pPr>
        <w:keepNext w:val="0"/>
        <w:keepLines w:val="0"/>
        <w:pageBreakBefore w:val="0"/>
        <w:widowControl w:val="0"/>
        <w:kinsoku/>
        <w:wordWrap/>
        <w:overflowPunct/>
        <w:topLinePunct w:val="0"/>
        <w:autoSpaceDE/>
        <w:autoSpaceDN/>
        <w:bidi w:val="0"/>
        <w:adjustRightInd/>
        <w:snapToGrid/>
        <w:jc w:val="center"/>
        <w:textAlignment w:val="auto"/>
        <w:rPr>
          <w:rFonts w:ascii="宋体" w:hAnsi="宋体" w:eastAsia="黑体" w:cs="宋体"/>
          <w:b/>
          <w:sz w:val="44"/>
          <w:szCs w:val="44"/>
          <w:highlight w:val="none"/>
        </w:rPr>
      </w:pPr>
      <w:r>
        <w:rPr>
          <w:rFonts w:ascii="宋体" w:hAnsi="宋体" w:eastAsia="黑体"/>
          <w:sz w:val="48"/>
          <w:szCs w:val="48"/>
          <w:highlight w:val="none"/>
        </w:rPr>
        <w:t>工程</w:t>
      </w:r>
      <w:r>
        <w:rPr>
          <w:rFonts w:hint="eastAsia" w:ascii="宋体" w:hAnsi="宋体" w:eastAsia="黑体"/>
          <w:sz w:val="48"/>
          <w:szCs w:val="48"/>
          <w:highlight w:val="none"/>
        </w:rPr>
        <w:t>勘察服务</w:t>
      </w:r>
    </w:p>
    <w:p>
      <w:pPr>
        <w:jc w:val="center"/>
        <w:rPr>
          <w:rFonts w:ascii="宋体" w:hAnsi="宋体" w:eastAsia="宋体" w:cs="宋体"/>
          <w:sz w:val="44"/>
          <w:szCs w:val="44"/>
          <w:highlight w:val="none"/>
        </w:rPr>
      </w:pPr>
    </w:p>
    <w:p>
      <w:pPr>
        <w:rPr>
          <w:rFonts w:ascii="宋体" w:hAnsi="宋体" w:eastAsia="宋体" w:cs="宋体"/>
          <w:sz w:val="72"/>
          <w:szCs w:val="72"/>
          <w:highlight w:val="none"/>
        </w:rPr>
      </w:pPr>
    </w:p>
    <w:p>
      <w:pPr>
        <w:rPr>
          <w:rFonts w:ascii="宋体" w:hAnsi="宋体" w:eastAsia="宋体" w:cs="宋体"/>
          <w:sz w:val="72"/>
          <w:szCs w:val="72"/>
          <w:highlight w:val="none"/>
        </w:rPr>
      </w:pPr>
    </w:p>
    <w:p>
      <w:pPr>
        <w:jc w:val="center"/>
        <w:rPr>
          <w:rFonts w:ascii="楷体" w:hAnsi="楷体" w:eastAsia="楷体" w:cs="楷体"/>
          <w:b/>
          <w:sz w:val="110"/>
          <w:szCs w:val="110"/>
          <w:highlight w:val="none"/>
        </w:rPr>
      </w:pPr>
      <w:r>
        <w:rPr>
          <w:rFonts w:hint="eastAsia" w:ascii="楷体" w:hAnsi="楷体" w:eastAsia="楷体" w:cs="楷体"/>
          <w:b/>
          <w:sz w:val="110"/>
          <w:szCs w:val="110"/>
          <w:highlight w:val="none"/>
        </w:rPr>
        <w:t>招 标 文 件</w:t>
      </w:r>
    </w:p>
    <w:p>
      <w:pPr>
        <w:jc w:val="center"/>
        <w:rPr>
          <w:rFonts w:ascii="宋体" w:hAnsi="宋体" w:eastAsia="宋体" w:cs="宋体"/>
          <w:sz w:val="32"/>
          <w:szCs w:val="32"/>
          <w:highlight w:val="none"/>
        </w:rPr>
      </w:pPr>
    </w:p>
    <w:p>
      <w:pPr>
        <w:jc w:val="center"/>
        <w:rPr>
          <w:rFonts w:ascii="宋体" w:hAnsi="宋体" w:eastAsia="宋体" w:cs="宋体"/>
          <w:sz w:val="32"/>
          <w:szCs w:val="32"/>
          <w:highlight w:val="none"/>
        </w:rPr>
      </w:pPr>
    </w:p>
    <w:p>
      <w:pPr>
        <w:jc w:val="center"/>
        <w:rPr>
          <w:rFonts w:ascii="宋体" w:hAnsi="宋体" w:eastAsia="宋体" w:cs="宋体"/>
          <w:sz w:val="32"/>
          <w:szCs w:val="32"/>
          <w:highlight w:val="none"/>
        </w:rPr>
      </w:pPr>
    </w:p>
    <w:p>
      <w:pPr>
        <w:jc w:val="center"/>
        <w:rPr>
          <w:rFonts w:ascii="宋体" w:hAnsi="宋体" w:eastAsia="宋体" w:cs="宋体"/>
          <w:sz w:val="32"/>
          <w:szCs w:val="32"/>
          <w:highlight w:val="none"/>
        </w:rPr>
      </w:pPr>
    </w:p>
    <w:p>
      <w:pPr>
        <w:jc w:val="center"/>
        <w:rPr>
          <w:rFonts w:ascii="宋体" w:hAnsi="宋体" w:eastAsia="宋体" w:cs="宋体"/>
          <w:sz w:val="32"/>
          <w:szCs w:val="32"/>
          <w:highlight w:val="none"/>
        </w:rPr>
      </w:pPr>
    </w:p>
    <w:p>
      <w:pPr>
        <w:jc w:val="center"/>
        <w:rPr>
          <w:rFonts w:ascii="宋体" w:hAnsi="宋体" w:eastAsia="宋体" w:cs="宋体"/>
          <w:sz w:val="32"/>
          <w:szCs w:val="32"/>
          <w:highlight w:val="none"/>
        </w:rPr>
      </w:pPr>
    </w:p>
    <w:p>
      <w:pPr>
        <w:jc w:val="center"/>
        <w:rPr>
          <w:rFonts w:ascii="宋体" w:hAnsi="宋体" w:eastAsia="宋体" w:cs="宋体"/>
          <w:sz w:val="32"/>
          <w:szCs w:val="32"/>
          <w:highlight w:val="none"/>
        </w:rPr>
      </w:pPr>
    </w:p>
    <w:p>
      <w:pPr>
        <w:jc w:val="center"/>
        <w:rPr>
          <w:rFonts w:ascii="宋体" w:hAnsi="宋体" w:eastAsia="宋体" w:cs="宋体"/>
          <w:b/>
          <w:sz w:val="32"/>
          <w:szCs w:val="32"/>
          <w:highlight w:val="none"/>
        </w:rPr>
      </w:pPr>
      <w:bookmarkStart w:id="0" w:name="_Toc29976"/>
      <w:r>
        <w:rPr>
          <w:rFonts w:hint="eastAsia" w:ascii="宋体" w:hAnsi="宋体" w:cs="宋体"/>
          <w:b/>
          <w:sz w:val="32"/>
          <w:szCs w:val="32"/>
          <w:highlight w:val="none"/>
        </w:rPr>
        <w:t>招标人：</w:t>
      </w:r>
      <w:r>
        <w:rPr>
          <w:rFonts w:hint="eastAsia" w:ascii="宋体" w:hAnsi="宋体" w:cs="宋体"/>
          <w:b/>
          <w:sz w:val="32"/>
          <w:szCs w:val="32"/>
          <w:highlight w:val="none"/>
          <w:lang w:val="en-US" w:eastAsia="zh-CN"/>
        </w:rPr>
        <w:t>广州南沙盛龙房地产开发有限公司</w:t>
      </w:r>
      <w:bookmarkStart w:id="1" w:name="OLE_LINK4"/>
      <w:bookmarkEnd w:id="1"/>
    </w:p>
    <w:p>
      <w:pPr>
        <w:spacing w:line="520" w:lineRule="exact"/>
        <w:ind w:right="-101" w:rightChars="-48"/>
        <w:jc w:val="center"/>
        <w:rPr>
          <w:rFonts w:ascii="宋体" w:hAnsi="宋体" w:eastAsia="宋体" w:cs="宋体"/>
          <w:spacing w:val="28"/>
          <w:position w:val="8"/>
          <w:sz w:val="28"/>
          <w:szCs w:val="28"/>
          <w:highlight w:val="none"/>
        </w:rPr>
      </w:pPr>
      <w:r>
        <w:rPr>
          <w:rFonts w:hint="eastAsia" w:ascii="宋体" w:hAnsi="宋体" w:eastAsia="宋体" w:cs="宋体"/>
          <w:b/>
          <w:sz w:val="32"/>
          <w:szCs w:val="32"/>
          <w:highlight w:val="none"/>
        </w:rPr>
        <w:t>日    期：202</w:t>
      </w:r>
      <w:r>
        <w:rPr>
          <w:rFonts w:hint="eastAsia" w:ascii="宋体" w:hAnsi="宋体" w:eastAsia="宋体" w:cs="宋体"/>
          <w:b/>
          <w:sz w:val="32"/>
          <w:szCs w:val="32"/>
          <w:highlight w:val="none"/>
          <w:lang w:val="en-US" w:eastAsia="zh-CN"/>
        </w:rPr>
        <w:t>3</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lang w:val="en-US" w:eastAsia="zh-CN"/>
        </w:rPr>
        <w:t>12</w:t>
      </w:r>
      <w:r>
        <w:rPr>
          <w:rFonts w:hint="eastAsia" w:ascii="宋体" w:hAnsi="宋体" w:eastAsia="宋体" w:cs="宋体"/>
          <w:b/>
          <w:sz w:val="32"/>
          <w:szCs w:val="32"/>
          <w:highlight w:val="none"/>
        </w:rPr>
        <w:t>月</w:t>
      </w:r>
    </w:p>
    <w:p>
      <w:pPr>
        <w:rPr>
          <w:rFonts w:ascii="黑体" w:hAnsi="宋体" w:eastAsia="黑体" w:cs="黑体"/>
          <w:sz w:val="36"/>
          <w:szCs w:val="36"/>
          <w:highlight w:val="none"/>
        </w:rPr>
        <w:sectPr>
          <w:pgSz w:w="11915" w:h="16840"/>
          <w:pgMar w:top="1247" w:right="1135" w:bottom="1247" w:left="1361" w:header="720" w:footer="720" w:gutter="0"/>
          <w:cols w:space="425" w:num="1"/>
          <w:docGrid w:type="lines" w:linePitch="285" w:charSpace="0"/>
        </w:sectPr>
      </w:pPr>
    </w:p>
    <w:p>
      <w:pPr>
        <w:rPr>
          <w:rFonts w:ascii="黑体" w:hAnsi="宋体" w:eastAsia="黑体" w:cs="黑体"/>
          <w:sz w:val="36"/>
          <w:szCs w:val="36"/>
          <w:highlight w:val="none"/>
        </w:rPr>
      </w:pPr>
    </w:p>
    <w:bookmarkEnd w:id="0"/>
    <w:sdt>
      <w:sdtPr>
        <w:rPr>
          <w:rFonts w:ascii="宋体" w:hAnsi="宋体" w:eastAsia="宋体"/>
          <w:highlight w:val="none"/>
        </w:rPr>
        <w:id w:val="147481204"/>
        <w:docPartObj>
          <w:docPartGallery w:val="Table of Contents"/>
          <w:docPartUnique/>
        </w:docPartObj>
      </w:sdtPr>
      <w:sdtEndPr>
        <w:rPr>
          <w:rFonts w:ascii="宋体" w:hAnsi="宋体" w:eastAsia="宋体"/>
          <w:highlight w:val="none"/>
        </w:rPr>
      </w:sdtEndPr>
      <w:sdtContent>
        <w:p>
          <w:pPr>
            <w:jc w:val="center"/>
            <w:rPr>
              <w:b/>
              <w:bCs/>
              <w:sz w:val="36"/>
              <w:szCs w:val="36"/>
              <w:highlight w:val="none"/>
            </w:rPr>
          </w:pPr>
          <w:r>
            <w:rPr>
              <w:rFonts w:ascii="宋体" w:hAnsi="宋体" w:eastAsia="宋体"/>
              <w:b/>
              <w:bCs/>
              <w:sz w:val="36"/>
              <w:szCs w:val="36"/>
              <w:highlight w:val="none"/>
            </w:rPr>
            <w:t>目录</w:t>
          </w:r>
        </w:p>
        <w:p>
          <w:pPr>
            <w:pStyle w:val="12"/>
            <w:tabs>
              <w:tab w:val="right" w:leader="dot" w:pos="9419"/>
            </w:tabs>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TOC \o "1-1" \h \u </w:instrText>
          </w:r>
          <w:r>
            <w:rPr>
              <w:rFonts w:hint="eastAsia" w:asciiTheme="minorEastAsia" w:hAnsiTheme="minorEastAsia" w:eastAsiaTheme="minorEastAsia" w:cstheme="minorEastAsia"/>
              <w:sz w:val="24"/>
              <w:szCs w:val="24"/>
              <w:highlight w:val="none"/>
            </w:rPr>
            <w:fldChar w:fldCharType="separate"/>
          </w:r>
        </w:p>
        <w:p>
          <w:pPr>
            <w:pStyle w:val="12"/>
            <w:tabs>
              <w:tab w:val="right" w:leader="dot" w:pos="9419"/>
            </w:tabs>
            <w:rPr>
              <w:rFonts w:asciiTheme="minorEastAsia" w:hAnsiTheme="minorEastAsia" w:eastAsiaTheme="minorEastAsia" w:cstheme="minorEastAsia"/>
              <w:sz w:val="24"/>
              <w:szCs w:val="24"/>
              <w:highlight w:val="none"/>
            </w:rPr>
          </w:pPr>
          <w:r>
            <w:rPr>
              <w:highlight w:val="none"/>
            </w:rPr>
            <w:fldChar w:fldCharType="begin"/>
          </w:r>
          <w:r>
            <w:rPr>
              <w:highlight w:val="none"/>
            </w:rPr>
            <w:instrText xml:space="preserve"> HYPERLINK \l "_Toc13302" </w:instrText>
          </w:r>
          <w:r>
            <w:rPr>
              <w:highlight w:val="none"/>
            </w:rPr>
            <w:fldChar w:fldCharType="separate"/>
          </w:r>
          <w:r>
            <w:rPr>
              <w:rFonts w:hint="eastAsia" w:asciiTheme="minorEastAsia" w:hAnsiTheme="minorEastAsia" w:eastAsiaTheme="minorEastAsia" w:cstheme="minorEastAsia"/>
              <w:kern w:val="44"/>
              <w:sz w:val="24"/>
              <w:szCs w:val="24"/>
              <w:highlight w:val="none"/>
            </w:rPr>
            <w:t>第1章 投标须知及前附表</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_Toc13302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1</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sz w:val="24"/>
              <w:szCs w:val="24"/>
              <w:highlight w:val="none"/>
            </w:rPr>
            <w:fldChar w:fldCharType="end"/>
          </w:r>
        </w:p>
        <w:p>
          <w:pPr>
            <w:pStyle w:val="12"/>
            <w:tabs>
              <w:tab w:val="right" w:leader="dot" w:pos="9419"/>
            </w:tabs>
            <w:rPr>
              <w:rFonts w:asciiTheme="minorEastAsia" w:hAnsiTheme="minorEastAsia" w:eastAsiaTheme="minorEastAsia" w:cstheme="minorEastAsia"/>
              <w:sz w:val="24"/>
              <w:szCs w:val="24"/>
              <w:highlight w:val="none"/>
            </w:rPr>
          </w:pPr>
          <w:r>
            <w:rPr>
              <w:highlight w:val="none"/>
            </w:rPr>
            <w:fldChar w:fldCharType="begin"/>
          </w:r>
          <w:r>
            <w:rPr>
              <w:highlight w:val="none"/>
            </w:rPr>
            <w:instrText xml:space="preserve"> HYPERLINK \l "_Toc1632" </w:instrText>
          </w:r>
          <w:r>
            <w:rPr>
              <w:highlight w:val="none"/>
            </w:rPr>
            <w:fldChar w:fldCharType="separate"/>
          </w:r>
          <w:r>
            <w:rPr>
              <w:rFonts w:hint="eastAsia" w:asciiTheme="minorEastAsia" w:hAnsiTheme="minorEastAsia" w:eastAsiaTheme="minorEastAsia" w:cstheme="minorEastAsia"/>
              <w:kern w:val="44"/>
              <w:sz w:val="24"/>
              <w:szCs w:val="24"/>
              <w:highlight w:val="none"/>
            </w:rPr>
            <w:t>第2章 项目需求书</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_Toc1632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15</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sz w:val="24"/>
              <w:szCs w:val="24"/>
              <w:highlight w:val="none"/>
            </w:rPr>
            <w:fldChar w:fldCharType="end"/>
          </w:r>
        </w:p>
        <w:p>
          <w:pPr>
            <w:pStyle w:val="12"/>
            <w:tabs>
              <w:tab w:val="right" w:leader="dot" w:pos="9419"/>
            </w:tabs>
            <w:rPr>
              <w:rFonts w:asciiTheme="minorEastAsia" w:hAnsiTheme="minorEastAsia" w:eastAsiaTheme="minorEastAsia" w:cstheme="minorEastAsia"/>
              <w:sz w:val="24"/>
              <w:szCs w:val="24"/>
              <w:highlight w:val="none"/>
            </w:rPr>
          </w:pPr>
          <w:r>
            <w:rPr>
              <w:highlight w:val="none"/>
            </w:rPr>
            <w:fldChar w:fldCharType="begin"/>
          </w:r>
          <w:r>
            <w:rPr>
              <w:highlight w:val="none"/>
            </w:rPr>
            <w:instrText xml:space="preserve"> HYPERLINK \l "_Toc27492" </w:instrText>
          </w:r>
          <w:r>
            <w:rPr>
              <w:highlight w:val="none"/>
            </w:rPr>
            <w:fldChar w:fldCharType="separate"/>
          </w:r>
          <w:r>
            <w:rPr>
              <w:rFonts w:hint="eastAsia" w:asciiTheme="minorEastAsia" w:hAnsiTheme="minorEastAsia" w:eastAsiaTheme="minorEastAsia" w:cstheme="minorEastAsia"/>
              <w:kern w:val="44"/>
              <w:sz w:val="24"/>
              <w:szCs w:val="24"/>
              <w:highlight w:val="none"/>
            </w:rPr>
            <w:t>第3章  投标格式文件</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_Toc27492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15</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sz w:val="24"/>
              <w:szCs w:val="24"/>
              <w:highlight w:val="none"/>
            </w:rPr>
            <w:fldChar w:fldCharType="end"/>
          </w:r>
        </w:p>
        <w:p>
          <w:pPr>
            <w:pStyle w:val="12"/>
            <w:tabs>
              <w:tab w:val="right" w:leader="dot" w:pos="9419"/>
            </w:tabs>
            <w:rPr>
              <w:rFonts w:asciiTheme="minorEastAsia" w:hAnsiTheme="minorEastAsia" w:eastAsiaTheme="minorEastAsia" w:cstheme="minorEastAsia"/>
              <w:sz w:val="24"/>
              <w:szCs w:val="24"/>
              <w:highlight w:val="none"/>
            </w:rPr>
          </w:pPr>
          <w:r>
            <w:rPr>
              <w:highlight w:val="none"/>
            </w:rPr>
            <w:fldChar w:fldCharType="begin"/>
          </w:r>
          <w:r>
            <w:rPr>
              <w:highlight w:val="none"/>
            </w:rPr>
            <w:instrText xml:space="preserve"> HYPERLINK \l "_Toc30913" </w:instrText>
          </w:r>
          <w:r>
            <w:rPr>
              <w:highlight w:val="none"/>
            </w:rPr>
            <w:fldChar w:fldCharType="separate"/>
          </w:r>
          <w:r>
            <w:rPr>
              <w:rFonts w:hint="eastAsia" w:asciiTheme="minorEastAsia" w:hAnsiTheme="minorEastAsia" w:eastAsiaTheme="minorEastAsia" w:cstheme="minorEastAsia"/>
              <w:kern w:val="44"/>
              <w:sz w:val="24"/>
              <w:szCs w:val="24"/>
              <w:highlight w:val="none"/>
            </w:rPr>
            <w:t>第4章 评标办法</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_Toc30913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29</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sz w:val="24"/>
              <w:szCs w:val="24"/>
              <w:highlight w:val="none"/>
            </w:rPr>
            <w:fldChar w:fldCharType="end"/>
          </w:r>
        </w:p>
        <w:p>
          <w:pPr>
            <w:pStyle w:val="12"/>
            <w:tabs>
              <w:tab w:val="right" w:leader="dot" w:pos="9419"/>
            </w:tabs>
            <w:rPr>
              <w:rFonts w:asciiTheme="minorEastAsia" w:hAnsiTheme="minorEastAsia" w:eastAsiaTheme="minorEastAsia" w:cstheme="minorEastAsia"/>
              <w:sz w:val="24"/>
              <w:szCs w:val="24"/>
              <w:highlight w:val="none"/>
            </w:rPr>
          </w:pPr>
          <w:r>
            <w:rPr>
              <w:highlight w:val="none"/>
            </w:rPr>
            <w:fldChar w:fldCharType="begin"/>
          </w:r>
          <w:r>
            <w:rPr>
              <w:highlight w:val="none"/>
            </w:rPr>
            <w:instrText xml:space="preserve"> HYPERLINK \l "_Toc26593" </w:instrText>
          </w:r>
          <w:r>
            <w:rPr>
              <w:highlight w:val="none"/>
            </w:rPr>
            <w:fldChar w:fldCharType="separate"/>
          </w:r>
          <w:r>
            <w:rPr>
              <w:rFonts w:hint="eastAsia" w:asciiTheme="minorEastAsia" w:hAnsiTheme="minorEastAsia" w:eastAsiaTheme="minorEastAsia" w:cstheme="minorEastAsia"/>
              <w:kern w:val="44"/>
              <w:sz w:val="24"/>
              <w:szCs w:val="24"/>
              <w:highlight w:val="none"/>
            </w:rPr>
            <w:t>第5章 附件</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_Toc26593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36</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sz w:val="24"/>
              <w:szCs w:val="24"/>
              <w:highlight w:val="none"/>
            </w:rPr>
            <w:fldChar w:fldCharType="end"/>
          </w:r>
        </w:p>
        <w:p>
          <w:pPr>
            <w:pStyle w:val="12"/>
            <w:tabs>
              <w:tab w:val="right" w:leader="dot" w:pos="9419"/>
            </w:tabs>
            <w:rPr>
              <w:rFonts w:asciiTheme="minorEastAsia" w:hAnsiTheme="minorEastAsia" w:eastAsiaTheme="minorEastAsia" w:cstheme="minorEastAsia"/>
              <w:sz w:val="24"/>
              <w:szCs w:val="24"/>
              <w:highlight w:val="none"/>
            </w:rPr>
          </w:pPr>
          <w:r>
            <w:rPr>
              <w:highlight w:val="none"/>
            </w:rPr>
            <w:fldChar w:fldCharType="begin"/>
          </w:r>
          <w:r>
            <w:rPr>
              <w:highlight w:val="none"/>
            </w:rPr>
            <w:instrText xml:space="preserve"> HYPERLINK \l "_Toc12170" </w:instrText>
          </w:r>
          <w:r>
            <w:rPr>
              <w:highlight w:val="none"/>
            </w:rPr>
            <w:fldChar w:fldCharType="separate"/>
          </w:r>
          <w:r>
            <w:rPr>
              <w:rFonts w:hint="eastAsia" w:asciiTheme="minorEastAsia" w:hAnsiTheme="minorEastAsia" w:eastAsiaTheme="minorEastAsia" w:cstheme="minorEastAsia"/>
              <w:sz w:val="24"/>
              <w:szCs w:val="24"/>
              <w:highlight w:val="none"/>
            </w:rPr>
            <w:t>附件1：符合性审查表</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_Toc12170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37</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sz w:val="24"/>
              <w:szCs w:val="24"/>
              <w:highlight w:val="none"/>
            </w:rPr>
            <w:fldChar w:fldCharType="end"/>
          </w:r>
        </w:p>
        <w:p>
          <w:pPr>
            <w:pStyle w:val="12"/>
            <w:tabs>
              <w:tab w:val="right" w:leader="dot" w:pos="9419"/>
            </w:tabs>
            <w:rPr>
              <w:rFonts w:asciiTheme="minorEastAsia" w:hAnsiTheme="minorEastAsia" w:eastAsiaTheme="minorEastAsia" w:cstheme="minorEastAsia"/>
              <w:sz w:val="24"/>
              <w:szCs w:val="24"/>
              <w:highlight w:val="none"/>
            </w:rPr>
          </w:pPr>
          <w:r>
            <w:rPr>
              <w:highlight w:val="none"/>
            </w:rPr>
            <w:fldChar w:fldCharType="begin"/>
          </w:r>
          <w:r>
            <w:rPr>
              <w:highlight w:val="none"/>
            </w:rPr>
            <w:instrText xml:space="preserve"> HYPERLINK \l "_Toc18783" </w:instrText>
          </w:r>
          <w:r>
            <w:rPr>
              <w:highlight w:val="none"/>
            </w:rPr>
            <w:fldChar w:fldCharType="separate"/>
          </w:r>
          <w:r>
            <w:rPr>
              <w:rFonts w:hint="eastAsia" w:asciiTheme="minorEastAsia" w:hAnsiTheme="minorEastAsia" w:eastAsiaTheme="minorEastAsia" w:cstheme="minorEastAsia"/>
              <w:sz w:val="24"/>
              <w:szCs w:val="24"/>
              <w:highlight w:val="none"/>
            </w:rPr>
            <w:t>附件2综合评分表（100分）</w:t>
          </w:r>
          <w:r>
            <w:rPr>
              <w:rFonts w:hint="eastAsia" w:asciiTheme="minorEastAsia" w:hAnsiTheme="minorEastAsia" w:eastAsiaTheme="minorEastAsia" w:cstheme="minorEastAsia"/>
              <w:sz w:val="24"/>
              <w:szCs w:val="24"/>
              <w:highlight w:val="none"/>
            </w:rPr>
            <w:tab/>
          </w:r>
          <w:r>
            <w:rPr>
              <w:rFonts w:hint="eastAsia" w:asciiTheme="minorEastAsia" w:hAnsiTheme="minorEastAsia" w:eastAsiaTheme="minorEastAsia" w:cstheme="minorEastAsia"/>
              <w:sz w:val="24"/>
              <w:szCs w:val="24"/>
              <w:highlight w:val="none"/>
            </w:rPr>
            <w:fldChar w:fldCharType="begin"/>
          </w:r>
          <w:r>
            <w:rPr>
              <w:rFonts w:hint="eastAsia" w:asciiTheme="minorEastAsia" w:hAnsiTheme="minorEastAsia" w:eastAsiaTheme="minorEastAsia" w:cstheme="minorEastAsia"/>
              <w:sz w:val="24"/>
              <w:szCs w:val="24"/>
              <w:highlight w:val="none"/>
            </w:rPr>
            <w:instrText xml:space="preserve"> PAGEREF _Toc18783 </w:instrText>
          </w:r>
          <w:r>
            <w:rPr>
              <w:rFonts w:hint="eastAsia" w:asciiTheme="minorEastAsia" w:hAnsiTheme="minorEastAsia" w:eastAsiaTheme="minorEastAsia" w:cstheme="minorEastAsia"/>
              <w:sz w:val="24"/>
              <w:szCs w:val="24"/>
              <w:highlight w:val="none"/>
            </w:rPr>
            <w:fldChar w:fldCharType="separate"/>
          </w:r>
          <w:r>
            <w:rPr>
              <w:rFonts w:hint="eastAsia" w:asciiTheme="minorEastAsia" w:hAnsiTheme="minorEastAsia" w:eastAsiaTheme="minorEastAsia" w:cstheme="minorEastAsia"/>
              <w:sz w:val="24"/>
              <w:szCs w:val="24"/>
              <w:highlight w:val="none"/>
            </w:rPr>
            <w:t>37</w:t>
          </w:r>
          <w:r>
            <w:rPr>
              <w:rFonts w:hint="eastAsia" w:asciiTheme="minorEastAsia" w:hAnsiTheme="minorEastAsia" w:eastAsiaTheme="minorEastAsia" w:cstheme="minorEastAsia"/>
              <w:sz w:val="24"/>
              <w:szCs w:val="24"/>
              <w:highlight w:val="none"/>
            </w:rPr>
            <w:fldChar w:fldCharType="end"/>
          </w:r>
          <w:r>
            <w:rPr>
              <w:rFonts w:hint="eastAsia" w:asciiTheme="minorEastAsia" w:hAnsiTheme="minorEastAsia" w:eastAsiaTheme="minorEastAsia" w:cstheme="minorEastAsia"/>
              <w:sz w:val="24"/>
              <w:szCs w:val="24"/>
              <w:highlight w:val="none"/>
            </w:rPr>
            <w:fldChar w:fldCharType="end"/>
          </w:r>
        </w:p>
        <w:p>
          <w:pPr>
            <w:rPr>
              <w:highlight w:val="none"/>
            </w:rPr>
          </w:pPr>
          <w:r>
            <w:rPr>
              <w:rFonts w:hint="eastAsia" w:asciiTheme="minorEastAsia" w:hAnsiTheme="minorEastAsia" w:cstheme="minorEastAsia"/>
              <w:sz w:val="24"/>
              <w:highlight w:val="none"/>
            </w:rPr>
            <w:fldChar w:fldCharType="end"/>
          </w:r>
        </w:p>
      </w:sdtContent>
    </w:sdt>
    <w:p>
      <w:pPr>
        <w:pStyle w:val="13"/>
        <w:widowControl/>
        <w:spacing w:after="0"/>
        <w:ind w:firstLine="0"/>
        <w:rPr>
          <w:rFonts w:ascii="宋体" w:hAnsi="宋体" w:cs="宋体"/>
          <w:highlight w:val="none"/>
        </w:rPr>
        <w:sectPr>
          <w:pgSz w:w="11915" w:h="16840"/>
          <w:pgMar w:top="1247" w:right="1135" w:bottom="1247" w:left="1361" w:header="720" w:footer="720" w:gutter="0"/>
          <w:cols w:space="425" w:num="1"/>
          <w:docGrid w:type="lines" w:linePitch="285" w:charSpace="0"/>
        </w:sectPr>
      </w:pPr>
    </w:p>
    <w:p>
      <w:pPr>
        <w:pStyle w:val="2"/>
        <w:widowControl/>
        <w:spacing w:before="0" w:after="0" w:line="360" w:lineRule="auto"/>
        <w:jc w:val="center"/>
        <w:rPr>
          <w:rFonts w:ascii="黑体" w:hAnsi="宋体" w:cs="黑体"/>
          <w:b/>
          <w:color w:val="auto"/>
          <w:kern w:val="44"/>
          <w:sz w:val="44"/>
          <w:szCs w:val="44"/>
          <w:highlight w:val="none"/>
        </w:rPr>
      </w:pPr>
      <w:bookmarkStart w:id="2" w:name="_Toc13302"/>
      <w:bookmarkStart w:id="3" w:name="_Toc374128472"/>
      <w:r>
        <w:rPr>
          <w:rFonts w:hint="eastAsia" w:ascii="黑体" w:hAnsi="宋体" w:cs="黑体"/>
          <w:b/>
          <w:color w:val="auto"/>
          <w:kern w:val="44"/>
          <w:sz w:val="44"/>
          <w:szCs w:val="44"/>
          <w:highlight w:val="none"/>
        </w:rPr>
        <w:t>第1章 投标须知及前附表</w:t>
      </w:r>
      <w:bookmarkEnd w:id="2"/>
      <w:bookmarkEnd w:id="3"/>
    </w:p>
    <w:p>
      <w:pPr>
        <w:spacing w:afterLines="50"/>
        <w:jc w:val="center"/>
        <w:outlineLvl w:val="1"/>
        <w:rPr>
          <w:rFonts w:ascii="黑体" w:hAnsi="宋体" w:eastAsia="黑体" w:cs="黑体"/>
          <w:sz w:val="30"/>
          <w:szCs w:val="30"/>
          <w:highlight w:val="none"/>
        </w:rPr>
      </w:pPr>
      <w:r>
        <w:rPr>
          <w:rFonts w:hint="eastAsia" w:ascii="黑体" w:hAnsi="宋体" w:eastAsia="黑体" w:cs="黑体"/>
          <w:sz w:val="30"/>
          <w:szCs w:val="30"/>
          <w:highlight w:val="none"/>
        </w:rPr>
        <w:t>一、投标须知前附表</w:t>
      </w:r>
    </w:p>
    <w:tbl>
      <w:tblPr>
        <w:tblStyle w:val="14"/>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b/>
                <w:highlight w:val="none"/>
              </w:rPr>
            </w:pPr>
            <w:r>
              <w:rPr>
                <w:rFonts w:hint="eastAsia" w:ascii="宋体" w:hAnsi="宋体" w:cs="宋体"/>
                <w:b/>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b/>
                <w:highlight w:val="none"/>
              </w:rPr>
            </w:pPr>
            <w:r>
              <w:rPr>
                <w:rFonts w:hint="eastAsia" w:ascii="宋体" w:hAnsi="宋体" w:cs="宋体"/>
                <w:b/>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b/>
                <w:highlight w:val="none"/>
              </w:rPr>
            </w:pPr>
            <w:r>
              <w:rPr>
                <w:rFonts w:hint="eastAsia" w:ascii="宋体" w:hAnsi="宋体" w:cs="宋体"/>
                <w:b/>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3"/>
              <w:widowControl/>
              <w:spacing w:after="0" w:line="440" w:lineRule="exact"/>
              <w:ind w:firstLine="0"/>
              <w:jc w:val="center"/>
              <w:rPr>
                <w:rFonts w:ascii="宋体" w:hAnsi="宋体" w:cs="宋体"/>
                <w:b/>
                <w:highlight w:val="none"/>
              </w:rPr>
            </w:pPr>
            <w:r>
              <w:rPr>
                <w:rFonts w:hint="eastAsia" w:ascii="宋体" w:hAnsi="宋体" w:cs="宋体"/>
                <w:b/>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ascii="宋体" w:hAnsi="宋体" w:cs="宋体"/>
                <w:highlight w:val="none"/>
              </w:rPr>
            </w:pPr>
            <w:r>
              <w:rPr>
                <w:rFonts w:hint="eastAsia" w:ascii="宋体" w:hAnsi="宋体" w:cs="宋体"/>
                <w:highlight w:val="none"/>
                <w:lang w:val="en-US" w:eastAsia="zh-CN"/>
              </w:rPr>
              <w:t>广州南沙区</w:t>
            </w:r>
            <w:r>
              <w:rPr>
                <w:rFonts w:hint="eastAsia" w:ascii="宋体" w:hAnsi="宋体" w:cs="宋体"/>
                <w:highlight w:val="none"/>
              </w:rPr>
              <w:t>珠江街道2022NJY-9地块</w:t>
            </w:r>
          </w:p>
        </w:tc>
      </w:tr>
      <w:tr>
        <w:tblPrEx>
          <w:tblCellMar>
            <w:top w:w="0" w:type="dxa"/>
            <w:left w:w="108" w:type="dxa"/>
            <w:bottom w:w="0" w:type="dxa"/>
            <w:right w:w="108" w:type="dxa"/>
          </w:tblCellMar>
        </w:tblPrEx>
        <w:trPr>
          <w:trHeight w:val="4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ascii="宋体" w:hAnsi="宋体" w:cs="宋体"/>
                <w:highlight w:val="none"/>
              </w:rPr>
            </w:pPr>
            <w:r>
              <w:rPr>
                <w:rFonts w:hint="eastAsia" w:ascii="宋体" w:hAnsi="宋体" w:cs="宋体"/>
                <w:highlight w:val="none"/>
              </w:rPr>
              <w:t>广州市南沙区</w:t>
            </w:r>
          </w:p>
        </w:tc>
      </w:tr>
      <w:tr>
        <w:tblPrEx>
          <w:tblCellMar>
            <w:top w:w="0" w:type="dxa"/>
            <w:left w:w="108" w:type="dxa"/>
            <w:bottom w:w="0" w:type="dxa"/>
            <w:right w:w="108" w:type="dxa"/>
          </w:tblCellMar>
        </w:tblPrEx>
        <w:trPr>
          <w:trHeight w:val="96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eastAsia" w:ascii="宋体" w:hAnsi="宋体" w:eastAsia="宋体" w:cs="宋体"/>
                <w:highlight w:val="none"/>
                <w:lang w:eastAsia="zh-CN"/>
              </w:rPr>
            </w:pPr>
            <w:r>
              <w:rPr>
                <w:rFonts w:hint="eastAsia" w:ascii="宋体" w:hAnsi="宋体" w:cs="宋体"/>
                <w:highlight w:val="none"/>
              </w:rPr>
              <w:t>规划总用地面积约14.88万㎡（约223.33亩），规划总计容建筑面积约30.36万㎡（含规划36班中学），学校2.43万㎡，公建配套1.11万㎡，商业务服务设施3.92万㎡（含政策性用房2.3万㎡，可售商业1.62万方）</w:t>
            </w:r>
            <w:r>
              <w:rPr>
                <w:rFonts w:hint="eastAsia" w:ascii="宋体" w:hAnsi="宋体" w:cs="宋体"/>
                <w:highlight w:val="none"/>
                <w:lang w:eastAsia="zh-CN"/>
              </w:rPr>
              <w:t>。</w:t>
            </w:r>
            <w:r>
              <w:rPr>
                <w:rFonts w:hint="eastAsia" w:ascii="宋体" w:hAnsi="宋体" w:cs="宋体"/>
                <w:b/>
                <w:bCs/>
                <w:highlight w:val="none"/>
                <w:lang w:val="en-US" w:eastAsia="zh-CN"/>
              </w:rPr>
              <w:t>此次招标范围为地块二，规划总用地面积38,538㎡,总建筑面积172,265㎡。</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hint="default" w:ascii="宋体" w:hAnsi="宋体" w:eastAsia="宋体" w:cs="宋体"/>
                <w:highlight w:val="none"/>
                <w:lang w:val="en-US" w:eastAsia="zh-CN"/>
              </w:rPr>
            </w:pPr>
            <w:r>
              <w:rPr>
                <w:rFonts w:hint="eastAsia" w:ascii="宋体" w:hAnsi="宋体" w:cs="宋体"/>
                <w:highlight w:val="none"/>
              </w:rPr>
              <w:t>项目总投资</w:t>
            </w:r>
            <w:r>
              <w:rPr>
                <w:rFonts w:hint="eastAsia" w:ascii="宋体" w:hAnsi="宋体" w:cs="宋体"/>
                <w:highlight w:val="none"/>
                <w:lang w:val="en-US" w:eastAsia="zh-CN"/>
              </w:rPr>
              <w:t>54.84亿</w:t>
            </w:r>
            <w:r>
              <w:rPr>
                <w:rFonts w:hint="eastAsia" w:ascii="宋体" w:hAnsi="宋体" w:cs="宋体"/>
                <w:highlight w:val="none"/>
              </w:rPr>
              <w:t>元，其中建安费</w:t>
            </w:r>
            <w:r>
              <w:rPr>
                <w:rFonts w:hint="eastAsia" w:ascii="宋体" w:hAnsi="宋体" w:cs="宋体"/>
                <w:highlight w:val="none"/>
                <w:lang w:val="en-US" w:eastAsia="zh-CN"/>
              </w:rPr>
              <w:t>24.35亿元；地块二建安费9.98亿元。</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ascii="宋体" w:hAnsi="宋体" w:eastAsia="宋体" w:cs="宋体"/>
                <w:highlight w:val="none"/>
              </w:rPr>
            </w:pPr>
            <w:r>
              <w:rPr>
                <w:rFonts w:hint="eastAsia" w:ascii="宋体" w:hAnsi="宋体" w:eastAsia="宋体" w:cs="宋体"/>
                <w:szCs w:val="21"/>
                <w:highlight w:val="none"/>
              </w:rPr>
              <w:t>质量目标：合格</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270" w:lineRule="exact"/>
              <w:rPr>
                <w:rFonts w:hint="eastAsia" w:ascii="宋体" w:hAnsi="宋体" w:cs="宋体"/>
                <w:highlight w:val="none"/>
                <w:lang w:val="en-US" w:eastAsia="zh-CN"/>
              </w:rPr>
            </w:pPr>
            <w:r>
              <w:rPr>
                <w:rFonts w:hint="eastAsia" w:ascii="宋体" w:hAnsi="宋体" w:cs="宋体"/>
                <w:highlight w:val="none"/>
              </w:rPr>
              <w:t>本项目由三块地构成</w:t>
            </w:r>
            <w:r>
              <w:rPr>
                <w:rFonts w:hint="eastAsia" w:ascii="宋体" w:hAnsi="宋体" w:cs="宋体"/>
                <w:highlight w:val="none"/>
                <w:lang w:eastAsia="zh-CN"/>
              </w:rPr>
              <w:t>，</w:t>
            </w:r>
            <w:r>
              <w:rPr>
                <w:rFonts w:hint="eastAsia" w:ascii="宋体" w:hAnsi="宋体" w:cs="宋体"/>
                <w:b/>
                <w:bCs/>
                <w:highlight w:val="none"/>
                <w:lang w:val="en-US" w:eastAsia="zh-CN"/>
              </w:rPr>
              <w:t>此次招标范围为地块二，</w:t>
            </w:r>
            <w:r>
              <w:rPr>
                <w:rFonts w:hint="eastAsia" w:ascii="宋体" w:hAnsi="宋体" w:cs="宋体"/>
                <w:highlight w:val="none"/>
                <w:lang w:val="en-US" w:eastAsia="zh-CN"/>
              </w:rPr>
              <w:t>具体包括：</w:t>
            </w:r>
          </w:p>
          <w:p>
            <w:pPr>
              <w:spacing w:line="270" w:lineRule="exact"/>
              <w:ind w:firstLine="420" w:firstLineChars="200"/>
              <w:rPr>
                <w:highlight w:val="none"/>
              </w:rPr>
            </w:pPr>
            <w:r>
              <w:rPr>
                <w:rFonts w:hint="eastAsia"/>
                <w:highlight w:val="none"/>
              </w:rPr>
              <w:t>1、查明建筑范围内岩土层的类型、深度、分布、工程特性，分析和评价地基的稳定性、均匀性和承载力。</w:t>
            </w:r>
          </w:p>
          <w:p>
            <w:pPr>
              <w:spacing w:line="270" w:lineRule="exact"/>
              <w:ind w:firstLine="435"/>
              <w:rPr>
                <w:highlight w:val="none"/>
              </w:rPr>
            </w:pPr>
            <w:r>
              <w:rPr>
                <w:rFonts w:hint="eastAsia"/>
                <w:highlight w:val="none"/>
              </w:rPr>
              <w:t>2、查明不良地质作用的类型、成因、分布范围、发展趋势和危害程度，提出整治方案的建议。</w:t>
            </w:r>
          </w:p>
          <w:p>
            <w:pPr>
              <w:spacing w:line="270" w:lineRule="exact"/>
              <w:ind w:firstLine="435"/>
              <w:rPr>
                <w:highlight w:val="none"/>
              </w:rPr>
            </w:pPr>
            <w:r>
              <w:rPr>
                <w:rFonts w:hint="eastAsia"/>
                <w:highlight w:val="none"/>
              </w:rPr>
              <w:t>3、地震区应查明有无可液化地层，并对液化可能性作出评价，判明场地土类型和建筑场地类别，提供抗震设计有关参数。</w:t>
            </w:r>
          </w:p>
          <w:p>
            <w:pPr>
              <w:spacing w:line="270" w:lineRule="exact"/>
              <w:ind w:firstLine="435"/>
              <w:rPr>
                <w:highlight w:val="none"/>
              </w:rPr>
            </w:pPr>
            <w:r>
              <w:rPr>
                <w:rFonts w:hint="eastAsia"/>
                <w:highlight w:val="none"/>
              </w:rPr>
              <w:t>4、查明埋藏的河道、沟浜、墓穴、防空洞、孤石、市政管网位置走向等对工程不利的埋藏物。</w:t>
            </w:r>
          </w:p>
          <w:p>
            <w:pPr>
              <w:spacing w:line="270" w:lineRule="exact"/>
              <w:ind w:firstLine="435"/>
              <w:rPr>
                <w:highlight w:val="none"/>
              </w:rPr>
            </w:pPr>
            <w:r>
              <w:rPr>
                <w:rFonts w:hint="eastAsia"/>
                <w:highlight w:val="none"/>
              </w:rPr>
              <w:t>5、查明地下水的埋藏条件，提供地下水及其变化程度。</w:t>
            </w:r>
          </w:p>
          <w:p>
            <w:pPr>
              <w:spacing w:line="270" w:lineRule="exact"/>
              <w:ind w:firstLine="435"/>
              <w:rPr>
                <w:highlight w:val="none"/>
              </w:rPr>
            </w:pPr>
            <w:r>
              <w:rPr>
                <w:rFonts w:hint="eastAsia"/>
                <w:highlight w:val="none"/>
              </w:rPr>
              <w:t>6、判定水和土对建筑材料的腐蚀性，评价地下水对独立柱基础或桩基设计和施工的影响。</w:t>
            </w:r>
          </w:p>
          <w:p>
            <w:pPr>
              <w:spacing w:line="270" w:lineRule="exact"/>
              <w:ind w:firstLine="435"/>
              <w:rPr>
                <w:highlight w:val="none"/>
              </w:rPr>
            </w:pPr>
            <w:r>
              <w:rPr>
                <w:rFonts w:hint="eastAsia"/>
                <w:highlight w:val="none"/>
              </w:rPr>
              <w:t>7、结合总图场地标高及周边道路标高，提供合理的抗浮水位。提供地下水防治方案、防水设计水位和抗浮设计水位。</w:t>
            </w:r>
          </w:p>
          <w:p>
            <w:pPr>
              <w:spacing w:line="270" w:lineRule="exact"/>
              <w:ind w:firstLine="435"/>
              <w:rPr>
                <w:highlight w:val="none"/>
              </w:rPr>
            </w:pPr>
            <w:r>
              <w:rPr>
                <w:rFonts w:hint="eastAsia"/>
                <w:highlight w:val="none"/>
              </w:rPr>
              <w:t>8、对适于采用各类桩基础的建筑，应根据场地条件和施工条件，建议经济合理的桩基类型；选择合理的桩端持力层，并详细查明持力层和软弱下卧层的分布；采用基岩作为桩的持力层时，应查明基岩的岩性、构造、岩面变化、风化程度，确定其坚硬程度、完整程度和基本质量等级，判定有无洞穴、临空面、破碎岩体或软弱岩层。</w:t>
            </w:r>
          </w:p>
          <w:p>
            <w:pPr>
              <w:spacing w:line="270" w:lineRule="exact"/>
              <w:ind w:firstLine="435"/>
              <w:rPr>
                <w:highlight w:val="none"/>
              </w:rPr>
            </w:pPr>
            <w:r>
              <w:rPr>
                <w:highlight w:val="none"/>
              </w:rPr>
              <w:t>9</w:t>
            </w:r>
            <w:r>
              <w:rPr>
                <w:rFonts w:hint="eastAsia"/>
                <w:highlight w:val="none"/>
              </w:rPr>
              <w:t>、结合周边环境，根据本工程地质情况，提出基坑开挖及支护建议，并提供各土层支护设计相关参数。</w:t>
            </w:r>
          </w:p>
          <w:p>
            <w:pPr>
              <w:spacing w:line="270" w:lineRule="exact"/>
              <w:ind w:firstLine="435"/>
              <w:rPr>
                <w:szCs w:val="21"/>
                <w:highlight w:val="none"/>
              </w:rPr>
            </w:pPr>
            <w:r>
              <w:rPr>
                <w:rFonts w:hint="eastAsia"/>
                <w:szCs w:val="21"/>
                <w:highlight w:val="none"/>
              </w:rPr>
              <w:t>1</w:t>
            </w:r>
            <w:r>
              <w:rPr>
                <w:szCs w:val="21"/>
                <w:highlight w:val="none"/>
              </w:rPr>
              <w:t>0</w:t>
            </w:r>
            <w:r>
              <w:rPr>
                <w:rFonts w:hint="eastAsia"/>
                <w:szCs w:val="21"/>
                <w:highlight w:val="none"/>
              </w:rPr>
              <w:t>、划分场地土类型和场地类别，提供抗震设防烈度、设计基本地震加速度值及设计特征周期。</w:t>
            </w:r>
          </w:p>
          <w:p>
            <w:pPr>
              <w:tabs>
                <w:tab w:val="left" w:pos="32"/>
              </w:tabs>
              <w:ind w:left="273" w:hanging="273" w:hangingChars="130"/>
              <w:rPr>
                <w:rFonts w:hint="eastAsia"/>
                <w:szCs w:val="21"/>
                <w:highlight w:val="none"/>
              </w:rPr>
            </w:pPr>
            <w:r>
              <w:rPr>
                <w:rFonts w:hint="eastAsia"/>
                <w:szCs w:val="21"/>
                <w:highlight w:val="none"/>
              </w:rPr>
              <w:t xml:space="preserve">    1</w:t>
            </w:r>
            <w:r>
              <w:rPr>
                <w:szCs w:val="21"/>
                <w:highlight w:val="none"/>
              </w:rPr>
              <w:t>1</w:t>
            </w:r>
            <w:r>
              <w:rPr>
                <w:rFonts w:hint="eastAsia"/>
                <w:szCs w:val="21"/>
                <w:highlight w:val="none"/>
              </w:rPr>
              <w:t>、提供勘察点布置平面图，地质剖面图，钻孔柱状图，各岩层等高线图。地基土物理力学性质指标：一般应包括土层名称、埋藏深度、孔隙比、天然含水量、重度、塑性指数、液性指数、压缩系数、压缩模量、标贯击数、比贯入阻力、渗透系数和无侧限抗压，三轴和固结快剪试验的抗剪强度指标，地基土承载力特征值等。提供各桩型桩周土极限摩阻力值和桩端土极限端承力值，提供当地地基处理经验。各土层的E--P曲线。静力触探试验成果。标准贯入试验成果。</w:t>
            </w:r>
          </w:p>
          <w:p>
            <w:pPr>
              <w:tabs>
                <w:tab w:val="left" w:pos="32"/>
              </w:tabs>
              <w:ind w:left="420" w:leftChars="200" w:firstLine="149" w:firstLineChars="71"/>
              <w:rPr>
                <w:rFonts w:hint="default" w:ascii="宋体" w:hAnsi="宋体" w:eastAsia="宋体" w:cs="宋体"/>
                <w:highlight w:val="none"/>
                <w:lang w:val="en-US" w:eastAsia="zh-CN"/>
              </w:rPr>
            </w:pPr>
            <w:r>
              <w:rPr>
                <w:rFonts w:hint="eastAsia"/>
                <w:szCs w:val="21"/>
                <w:highlight w:val="none"/>
              </w:rPr>
              <w:t>12、其他未明确处，均按</w:t>
            </w:r>
            <w:r>
              <w:rPr>
                <w:rFonts w:hint="eastAsia"/>
                <w:highlight w:val="none"/>
              </w:rPr>
              <w:t>《岩土工程勘察规范》和《高层建筑岩土工程勘察规程》执行。</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服务任务期限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ascii="宋体" w:hAnsi="宋体" w:eastAsia="宋体" w:cs="宋体"/>
                <w:highlight w:val="none"/>
              </w:rPr>
            </w:pPr>
            <w:r>
              <w:rPr>
                <w:rFonts w:hint="eastAsia" w:ascii="宋体" w:hAnsi="宋体" w:eastAsia="宋体" w:cs="宋体"/>
                <w:szCs w:val="21"/>
                <w:highlight w:val="none"/>
              </w:rPr>
              <w:t>自中标通知书发出后，至工程竣工验收结算备案，完成合同约定全部工作为止。</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ascii="宋体" w:hAnsi="宋体" w:cs="宋体"/>
                <w:highlight w:val="none"/>
              </w:rPr>
            </w:pPr>
            <w:r>
              <w:rPr>
                <w:rFonts w:hint="eastAsia" w:ascii="宋体" w:hAnsi="宋体" w:cs="宋体"/>
                <w:highlight w:val="none"/>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numPr>
                <w:ilvl w:val="0"/>
                <w:numId w:val="0"/>
              </w:numPr>
              <w:spacing w:after="0" w:line="320" w:lineRule="exact"/>
              <w:rPr>
                <w:rFonts w:ascii="宋体" w:hAnsi="宋体" w:cs="宋体"/>
                <w:highlight w:val="none"/>
              </w:rPr>
            </w:pPr>
            <w:r>
              <w:rPr>
                <w:rFonts w:hint="eastAsia" w:ascii="宋体" w:hAnsi="宋体" w:cs="宋体"/>
                <w:highlight w:val="none"/>
                <w:lang w:val="en-US" w:eastAsia="zh-CN"/>
              </w:rPr>
              <w:t>1、</w:t>
            </w:r>
            <w:r>
              <w:rPr>
                <w:rFonts w:hint="eastAsia" w:ascii="宋体" w:hAnsi="宋体" w:cs="宋体"/>
                <w:highlight w:val="none"/>
              </w:rPr>
              <w:t>勘察资质：工程勘察专业类乙级或以上。</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投标、分包要求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8"/>
              <w:rPr>
                <w:rFonts w:hint="default" w:hAnsi="宋体" w:cs="宋体"/>
                <w:highlight w:val="none"/>
              </w:rPr>
            </w:pPr>
            <w:r>
              <w:rPr>
                <w:rFonts w:hint="eastAsia" w:hAnsi="宋体" w:cs="宋体"/>
                <w:highlight w:val="none"/>
                <w:lang w:val="en-US" w:eastAsia="zh-CN"/>
              </w:rPr>
              <w:t>2、</w:t>
            </w:r>
            <w:r>
              <w:rPr>
                <w:rFonts w:hAnsi="宋体" w:cs="宋体"/>
                <w:highlight w:val="none"/>
              </w:rPr>
              <w:t>不允许联合体投标。</w:t>
            </w:r>
          </w:p>
          <w:p>
            <w:pPr>
              <w:pStyle w:val="8"/>
              <w:rPr>
                <w:rFonts w:hint="default" w:hAnsi="宋体" w:cs="宋体"/>
                <w:highlight w:val="none"/>
              </w:rPr>
            </w:pPr>
            <w:r>
              <w:rPr>
                <w:rFonts w:hint="eastAsia" w:hAnsi="宋体" w:cs="宋体"/>
                <w:highlight w:val="none"/>
                <w:lang w:val="en-US" w:eastAsia="zh-CN"/>
              </w:rPr>
              <w:t>3、</w:t>
            </w:r>
            <w:r>
              <w:rPr>
                <w:rFonts w:hAnsi="宋体" w:cs="宋体"/>
                <w:highlight w:val="none"/>
              </w:rPr>
              <w:t>允许专业分包。</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服务人员的专业配套要求</w:t>
            </w:r>
          </w:p>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ind w:right="150"/>
              <w:jc w:val="left"/>
              <w:rPr>
                <w:rFonts w:ascii="宋体" w:hAnsi="宋体" w:eastAsia="宋体" w:cs="宋体"/>
                <w:b/>
                <w:highlight w:val="none"/>
              </w:rPr>
            </w:pPr>
            <w:r>
              <w:rPr>
                <w:rFonts w:hint="eastAsia" w:ascii="宋体" w:hAnsi="宋体" w:eastAsia="宋体" w:cs="宋体"/>
                <w:b/>
                <w:szCs w:val="21"/>
                <w:highlight w:val="none"/>
              </w:rPr>
              <w:t>（1）项目负责人要求：</w:t>
            </w:r>
          </w:p>
          <w:p>
            <w:pPr>
              <w:pStyle w:val="13"/>
              <w:widowControl/>
              <w:spacing w:before="100" w:beforeAutospacing="0" w:after="0" w:line="320" w:lineRule="exact"/>
              <w:ind w:right="150" w:firstLine="0"/>
              <w:jc w:val="left"/>
              <w:rPr>
                <w:rFonts w:ascii="宋体" w:hAnsi="宋体" w:cs="宋体"/>
                <w:highlight w:val="none"/>
              </w:rPr>
            </w:pPr>
            <w:r>
              <w:rPr>
                <w:rFonts w:hint="eastAsia" w:ascii="宋体" w:hAnsi="宋体"/>
                <w:highlight w:val="none"/>
              </w:rPr>
              <w:t>项目负责人具备注册土木工程师（岩土）执业资格。</w:t>
            </w:r>
          </w:p>
          <w:p>
            <w:pPr>
              <w:spacing w:line="320" w:lineRule="exact"/>
              <w:ind w:right="150"/>
              <w:jc w:val="left"/>
              <w:rPr>
                <w:rFonts w:ascii="宋体" w:hAnsi="宋体" w:eastAsia="宋体" w:cs="宋体"/>
                <w:highlight w:val="none"/>
              </w:rPr>
            </w:pP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Autospacing="0" w:after="0"/>
              <w:ind w:firstLine="0"/>
              <w:jc w:val="center"/>
              <w:rPr>
                <w:rFonts w:ascii="宋体" w:hAnsi="宋体" w:cs="宋体"/>
                <w:highlight w:val="none"/>
              </w:rPr>
            </w:pPr>
            <w:r>
              <w:rPr>
                <w:rFonts w:hint="eastAsia" w:ascii="宋体" w:hAnsi="宋体" w:cs="宋体"/>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Autospacing="0" w:after="0"/>
              <w:ind w:left="-59" w:leftChars="-28" w:right="-59" w:rightChars="-28" w:firstLine="0"/>
              <w:jc w:val="center"/>
              <w:rPr>
                <w:rFonts w:ascii="宋体" w:hAnsi="宋体" w:cs="宋体"/>
                <w:highlight w:val="none"/>
              </w:rPr>
            </w:pPr>
            <w:r>
              <w:rPr>
                <w:rFonts w:hint="eastAsia" w:ascii="宋体" w:hAnsi="宋体" w:cs="宋体"/>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ascii="宋体" w:hAnsi="宋体" w:cs="宋体"/>
                <w:highlight w:val="none"/>
              </w:rPr>
            </w:pPr>
            <w:r>
              <w:rPr>
                <w:rFonts w:hint="eastAsia"/>
                <w:highlight w:val="none"/>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highlight w:val="none"/>
              </w:rPr>
            </w:pPr>
            <w:r>
              <w:rPr>
                <w:rFonts w:hint="eastAsia" w:ascii="宋体" w:hAnsi="宋体" w:eastAsia="宋体" w:cs="宋体"/>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highlight w:val="none"/>
              </w:rPr>
            </w:pPr>
            <w:r>
              <w:rPr>
                <w:rFonts w:hint="eastAsia" w:ascii="宋体" w:hAnsi="宋体" w:eastAsia="宋体" w:cs="宋体"/>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ascii="宋体" w:hAnsi="宋体" w:eastAsia="宋体" w:cs="宋体"/>
                <w:highlight w:val="none"/>
              </w:rPr>
            </w:pPr>
            <w:r>
              <w:rPr>
                <w:rFonts w:hint="eastAsia" w:ascii="宋体" w:hAnsi="宋体" w:eastAsia="宋体" w:cs="宋体"/>
                <w:szCs w:val="21"/>
                <w:highlight w:val="none"/>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highlight w:val="none"/>
              </w:rPr>
            </w:pPr>
            <w:r>
              <w:rPr>
                <w:rFonts w:hint="eastAsia" w:ascii="宋体" w:hAnsi="宋体" w:eastAsia="宋体" w:cs="宋体"/>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highlight w:val="none"/>
              </w:rPr>
            </w:pPr>
            <w:r>
              <w:rPr>
                <w:rFonts w:hint="eastAsia" w:ascii="宋体" w:hAnsi="宋体" w:eastAsia="宋体" w:cs="宋体"/>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jc w:val="center"/>
              <w:rPr>
                <w:highlight w:val="none"/>
              </w:rPr>
            </w:pPr>
            <w:r>
              <w:rPr>
                <w:rFonts w:hint="eastAsia"/>
                <w:highlight w:val="none"/>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440" w:lineRule="exact"/>
              <w:ind w:left="-59" w:leftChars="-28" w:right="-44" w:rightChars="-21" w:firstLine="0"/>
              <w:jc w:val="center"/>
              <w:rPr>
                <w:rFonts w:ascii="宋体" w:hAnsi="宋体" w:cs="宋体"/>
                <w:highlight w:val="none"/>
              </w:rPr>
            </w:pPr>
            <w:r>
              <w:rPr>
                <w:rFonts w:hint="eastAsia" w:ascii="宋体" w:hAnsi="宋体" w:cs="宋体"/>
                <w:highlight w:val="none"/>
              </w:rPr>
              <w:t>报价及结算方式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8"/>
              <w:widowControl/>
              <w:spacing w:line="360" w:lineRule="auto"/>
              <w:ind w:firstLine="420" w:firstLineChars="200"/>
              <w:rPr>
                <w:rFonts w:hAnsi="宋体" w:cs="宋体"/>
                <w:highlight w:val="none"/>
              </w:rPr>
            </w:pPr>
            <w:r>
              <w:rPr>
                <w:rFonts w:hint="eastAsia" w:hAnsi="宋体" w:cs="宋体"/>
                <w:highlight w:val="none"/>
              </w:rPr>
              <w:t>招标总控制价为</w:t>
            </w:r>
            <w:r>
              <w:rPr>
                <w:rFonts w:hAnsi="宋体" w:cs="宋体"/>
                <w:highlight w:val="none"/>
              </w:rPr>
              <w:t>¥</w:t>
            </w:r>
            <w:r>
              <w:rPr>
                <w:rFonts w:hint="eastAsia" w:hAnsi="宋体" w:cs="宋体"/>
                <w:highlight w:val="none"/>
                <w:lang w:val="en-US" w:eastAsia="zh-CN"/>
              </w:rPr>
              <w:t>663305.5元</w:t>
            </w:r>
            <w:r>
              <w:rPr>
                <w:rFonts w:hint="eastAsia" w:hAnsi="宋体" w:cs="宋体"/>
                <w:highlight w:val="none"/>
              </w:rPr>
              <w:t>，其中：</w:t>
            </w:r>
          </w:p>
          <w:p>
            <w:pPr>
              <w:pStyle w:val="8"/>
              <w:widowControl/>
              <w:spacing w:line="360" w:lineRule="auto"/>
              <w:ind w:firstLine="420" w:firstLineChars="200"/>
              <w:rPr>
                <w:rFonts w:hint="eastAsia" w:hAnsi="宋体" w:cs="宋体"/>
                <w:highlight w:val="none"/>
              </w:rPr>
            </w:pPr>
            <w:r>
              <w:rPr>
                <w:rFonts w:hint="eastAsia" w:hAnsi="宋体" w:cs="宋体"/>
                <w:highlight w:val="none"/>
                <w:lang w:val="en-US" w:eastAsia="zh-CN"/>
              </w:rPr>
              <w:t>1、勘察</w:t>
            </w:r>
            <w:r>
              <w:rPr>
                <w:rFonts w:hint="eastAsia" w:hAnsi="宋体" w:cs="宋体"/>
                <w:highlight w:val="none"/>
              </w:rPr>
              <w:t>费限价为综合单价</w:t>
            </w:r>
            <w:r>
              <w:rPr>
                <w:rFonts w:hint="eastAsia" w:hAnsi="宋体" w:cs="宋体"/>
                <w:highlight w:val="none"/>
                <w:lang w:val="en-US" w:eastAsia="zh-CN"/>
              </w:rPr>
              <w:t>95</w:t>
            </w:r>
            <w:r>
              <w:rPr>
                <w:rFonts w:hint="eastAsia" w:hAnsi="宋体" w:cs="宋体"/>
                <w:highlight w:val="none"/>
              </w:rPr>
              <w:t>元/米（含办理勘察作业手续），暂按</w:t>
            </w:r>
            <w:r>
              <w:rPr>
                <w:rFonts w:hint="eastAsia" w:hAnsi="宋体" w:cs="宋体"/>
                <w:highlight w:val="none"/>
                <w:lang w:val="en-US" w:eastAsia="zh-CN"/>
              </w:rPr>
              <w:t>100</w:t>
            </w:r>
            <w:r>
              <w:rPr>
                <w:rFonts w:hint="eastAsia" w:hAnsi="宋体" w:cs="宋体"/>
                <w:highlight w:val="none"/>
              </w:rPr>
              <w:t>个孔、每个孔勘察</w:t>
            </w:r>
            <w:r>
              <w:rPr>
                <w:rFonts w:hint="eastAsia" w:hAnsi="宋体" w:cs="宋体"/>
                <w:highlight w:val="none"/>
                <w:lang w:val="en-US" w:eastAsia="zh-CN"/>
              </w:rPr>
              <w:t>55</w:t>
            </w:r>
            <w:r>
              <w:rPr>
                <w:rFonts w:hint="eastAsia" w:hAnsi="宋体" w:cs="宋体"/>
                <w:highlight w:val="none"/>
              </w:rPr>
              <w:t>米计算</w:t>
            </w:r>
            <w:r>
              <w:rPr>
                <w:rFonts w:hint="eastAsia" w:hAnsi="宋体" w:cs="宋体"/>
                <w:highlight w:val="none"/>
                <w:lang w:eastAsia="zh-CN"/>
              </w:rPr>
              <w:t>，</w:t>
            </w:r>
            <w:r>
              <w:rPr>
                <w:rFonts w:hint="eastAsia" w:hAnsi="宋体" w:cs="宋体"/>
                <w:highlight w:val="none"/>
                <w:lang w:val="en-US" w:eastAsia="zh-CN"/>
              </w:rPr>
              <w:t>费用暂定522500元</w:t>
            </w:r>
            <w:r>
              <w:rPr>
                <w:rFonts w:hint="eastAsia" w:hAnsi="宋体" w:cs="宋体"/>
                <w:highlight w:val="none"/>
                <w:lang w:eastAsia="zh-CN"/>
              </w:rPr>
              <w:t>。</w:t>
            </w:r>
            <w:r>
              <w:rPr>
                <w:rFonts w:hint="eastAsia" w:hAnsi="宋体" w:cs="宋体"/>
                <w:highlight w:val="none"/>
              </w:rPr>
              <w:t>结算价=实际钻孔数×实际勘察深度×综合单价。</w:t>
            </w:r>
          </w:p>
          <w:p>
            <w:pPr>
              <w:pStyle w:val="8"/>
              <w:widowControl/>
              <w:spacing w:line="360" w:lineRule="auto"/>
              <w:ind w:firstLine="420" w:firstLineChars="200"/>
              <w:rPr>
                <w:rFonts w:hint="eastAsia" w:hAnsi="宋体" w:cs="宋体"/>
                <w:highlight w:val="none"/>
              </w:rPr>
            </w:pPr>
            <w:r>
              <w:rPr>
                <w:rFonts w:hint="eastAsia" w:hAnsi="宋体" w:cs="宋体"/>
                <w:highlight w:val="none"/>
                <w:lang w:val="en-US" w:eastAsia="zh-CN"/>
              </w:rPr>
              <w:t>2、</w:t>
            </w:r>
            <w:r>
              <w:rPr>
                <w:rFonts w:hint="eastAsia" w:hAnsi="宋体" w:cs="宋体"/>
                <w:highlight w:val="none"/>
              </w:rPr>
              <w:t>波速测试限价为综合单价</w:t>
            </w:r>
            <w:r>
              <w:rPr>
                <w:rFonts w:hint="eastAsia" w:hAnsi="宋体" w:cs="宋体"/>
                <w:highlight w:val="none"/>
                <w:lang w:val="en-US" w:eastAsia="zh-CN"/>
              </w:rPr>
              <w:t>3500</w:t>
            </w:r>
            <w:r>
              <w:rPr>
                <w:rFonts w:hint="eastAsia" w:hAnsi="宋体" w:cs="宋体"/>
                <w:highlight w:val="none"/>
              </w:rPr>
              <w:t>元/</w:t>
            </w:r>
            <w:r>
              <w:rPr>
                <w:rFonts w:hint="eastAsia" w:hAnsi="宋体" w:cs="宋体"/>
                <w:highlight w:val="none"/>
                <w:lang w:val="en-US" w:eastAsia="zh-CN"/>
              </w:rPr>
              <w:t>孔，暂按8孔计算，费用暂定28000元。</w:t>
            </w:r>
            <w:r>
              <w:rPr>
                <w:rFonts w:hint="eastAsia" w:hAnsi="宋体" w:cs="宋体"/>
                <w:highlight w:val="none"/>
              </w:rPr>
              <w:t>结算价=实际钻孔数×综合单价。</w:t>
            </w:r>
          </w:p>
          <w:p>
            <w:pPr>
              <w:pStyle w:val="8"/>
              <w:widowControl/>
              <w:spacing w:line="360" w:lineRule="auto"/>
              <w:ind w:firstLine="420" w:firstLineChars="200"/>
              <w:rPr>
                <w:rFonts w:hint="eastAsia" w:hAnsi="宋体" w:cs="宋体"/>
                <w:highlight w:val="none"/>
              </w:rPr>
            </w:pPr>
            <w:r>
              <w:rPr>
                <w:rFonts w:hint="eastAsia" w:hAnsi="宋体" w:cs="宋体"/>
                <w:highlight w:val="none"/>
                <w:lang w:val="en-US" w:eastAsia="zh-CN"/>
              </w:rPr>
              <w:t>3、</w:t>
            </w:r>
            <w:r>
              <w:rPr>
                <w:rFonts w:hint="eastAsia" w:hAnsi="宋体" w:cs="宋体"/>
                <w:highlight w:val="none"/>
              </w:rPr>
              <w:t>抽水试验限价为综合单价</w:t>
            </w:r>
            <w:r>
              <w:rPr>
                <w:rFonts w:hint="eastAsia" w:hAnsi="宋体" w:cs="宋体"/>
                <w:highlight w:val="none"/>
                <w:lang w:val="en-US" w:eastAsia="zh-CN"/>
              </w:rPr>
              <w:t>5500</w:t>
            </w:r>
            <w:r>
              <w:rPr>
                <w:rFonts w:hint="eastAsia" w:hAnsi="宋体" w:cs="宋体"/>
                <w:highlight w:val="none"/>
              </w:rPr>
              <w:t>元/</w:t>
            </w:r>
            <w:r>
              <w:rPr>
                <w:rFonts w:hint="eastAsia" w:hAnsi="宋体" w:cs="宋体"/>
                <w:highlight w:val="none"/>
                <w:lang w:val="en-US" w:eastAsia="zh-CN"/>
              </w:rPr>
              <w:t>孔，暂按2孔计算，费用暂定11000元。</w:t>
            </w:r>
            <w:r>
              <w:rPr>
                <w:rFonts w:hint="eastAsia" w:hAnsi="宋体" w:cs="宋体"/>
                <w:highlight w:val="none"/>
              </w:rPr>
              <w:t>结算价=实际钻孔数×综合单价。</w:t>
            </w:r>
          </w:p>
          <w:p>
            <w:pPr>
              <w:pStyle w:val="8"/>
              <w:widowControl/>
              <w:spacing w:line="360" w:lineRule="auto"/>
              <w:ind w:firstLine="420" w:firstLineChars="200"/>
              <w:rPr>
                <w:rFonts w:hint="eastAsia" w:hAnsi="宋体" w:cs="宋体"/>
                <w:highlight w:val="none"/>
              </w:rPr>
            </w:pPr>
            <w:r>
              <w:rPr>
                <w:rFonts w:hint="eastAsia" w:hAnsi="宋体" w:cs="宋体"/>
                <w:highlight w:val="none"/>
                <w:lang w:val="en-US" w:eastAsia="zh-CN"/>
              </w:rPr>
              <w:t>4、</w:t>
            </w:r>
            <w:r>
              <w:rPr>
                <w:rFonts w:hint="eastAsia" w:hAnsi="宋体" w:cs="宋体"/>
                <w:highlight w:val="none"/>
              </w:rPr>
              <w:t>土壤氡检测限价为综合单价</w:t>
            </w:r>
            <w:r>
              <w:rPr>
                <w:rFonts w:hint="eastAsia" w:hAnsi="宋体" w:cs="宋体"/>
                <w:highlight w:val="none"/>
                <w:lang w:val="en-US" w:eastAsia="zh-CN"/>
              </w:rPr>
              <w:t>110</w:t>
            </w:r>
            <w:r>
              <w:rPr>
                <w:rFonts w:hint="eastAsia" w:hAnsi="宋体" w:cs="宋体"/>
                <w:highlight w:val="none"/>
              </w:rPr>
              <w:t>元/</w:t>
            </w:r>
            <w:r>
              <w:rPr>
                <w:rFonts w:hint="eastAsia" w:hAnsi="宋体" w:cs="宋体"/>
                <w:highlight w:val="none"/>
                <w:lang w:val="en-US" w:eastAsia="zh-CN"/>
              </w:rPr>
              <w:t>点位，暂按400点位计算，费用暂定44000元。</w:t>
            </w:r>
            <w:r>
              <w:rPr>
                <w:rFonts w:hint="eastAsia" w:hAnsi="宋体" w:cs="宋体"/>
                <w:highlight w:val="none"/>
              </w:rPr>
              <w:t>结算价=实际</w:t>
            </w:r>
            <w:r>
              <w:rPr>
                <w:rFonts w:hint="eastAsia" w:hAnsi="宋体" w:cs="宋体"/>
                <w:highlight w:val="none"/>
                <w:lang w:val="en-US" w:eastAsia="zh-CN"/>
              </w:rPr>
              <w:t>检测点位数</w:t>
            </w:r>
            <w:r>
              <w:rPr>
                <w:rFonts w:hint="eastAsia" w:hAnsi="宋体" w:cs="宋体"/>
                <w:highlight w:val="none"/>
              </w:rPr>
              <w:t>×综合单价。</w:t>
            </w:r>
          </w:p>
          <w:p>
            <w:pPr>
              <w:pStyle w:val="8"/>
              <w:widowControl/>
              <w:spacing w:line="360" w:lineRule="auto"/>
              <w:ind w:firstLine="420" w:firstLineChars="200"/>
              <w:rPr>
                <w:rFonts w:hint="eastAsia" w:hAnsi="宋体" w:cs="宋体"/>
                <w:highlight w:val="none"/>
              </w:rPr>
            </w:pPr>
            <w:r>
              <w:rPr>
                <w:rFonts w:hint="eastAsia" w:hAnsi="宋体" w:cs="宋体"/>
                <w:highlight w:val="none"/>
                <w:lang w:val="en-US" w:eastAsia="zh-CN"/>
              </w:rPr>
              <w:t>5、</w:t>
            </w:r>
            <w:r>
              <w:rPr>
                <w:rFonts w:hint="eastAsia" w:hAnsi="宋体" w:cs="宋体"/>
                <w:highlight w:val="none"/>
              </w:rPr>
              <w:t>地下管线探测限价为综合单价</w:t>
            </w:r>
            <w:r>
              <w:rPr>
                <w:rFonts w:hint="eastAsia" w:hAnsi="宋体" w:cs="宋体"/>
                <w:highlight w:val="none"/>
                <w:lang w:val="en-US" w:eastAsia="zh-CN"/>
              </w:rPr>
              <w:t>1.5</w:t>
            </w:r>
            <w:r>
              <w:rPr>
                <w:rFonts w:hint="eastAsia" w:hAnsi="宋体" w:cs="宋体"/>
                <w:highlight w:val="none"/>
              </w:rPr>
              <w:t>元/平方米，暂按用地红线外扩2</w:t>
            </w:r>
            <w:r>
              <w:rPr>
                <w:rFonts w:hint="eastAsia" w:hAnsi="宋体" w:cs="宋体"/>
                <w:highlight w:val="none"/>
                <w:lang w:val="en-US" w:eastAsia="zh-CN"/>
              </w:rPr>
              <w:t>0</w:t>
            </w:r>
            <w:r>
              <w:rPr>
                <w:rFonts w:hint="eastAsia" w:hAnsi="宋体" w:cs="宋体"/>
                <w:highlight w:val="none"/>
              </w:rPr>
              <w:t>米计算</w:t>
            </w:r>
            <w:r>
              <w:rPr>
                <w:rFonts w:hint="eastAsia" w:hAnsi="宋体" w:cs="宋体"/>
                <w:highlight w:val="none"/>
                <w:lang w:eastAsia="zh-CN"/>
              </w:rPr>
              <w:t>（</w:t>
            </w:r>
            <w:r>
              <w:rPr>
                <w:rFonts w:hint="eastAsia" w:hAnsi="宋体" w:cs="宋体"/>
                <w:highlight w:val="none"/>
                <w:lang w:val="en-US" w:eastAsia="zh-CN"/>
              </w:rPr>
              <w:t>即38537㎡），费用暂定57805.5元。</w:t>
            </w:r>
            <w:r>
              <w:rPr>
                <w:rFonts w:hint="eastAsia" w:hAnsi="宋体" w:cs="宋体"/>
                <w:highlight w:val="none"/>
              </w:rPr>
              <w:t>结算价=实际</w:t>
            </w:r>
            <w:r>
              <w:rPr>
                <w:rFonts w:hint="eastAsia" w:hAnsi="宋体" w:cs="宋体"/>
                <w:highlight w:val="none"/>
                <w:lang w:val="en-US" w:eastAsia="zh-CN"/>
              </w:rPr>
              <w:t>探测面积</w:t>
            </w:r>
            <w:r>
              <w:rPr>
                <w:rFonts w:hint="eastAsia" w:hAnsi="宋体" w:cs="宋体"/>
                <w:highlight w:val="none"/>
              </w:rPr>
              <w:t>×综合单价。</w:t>
            </w:r>
          </w:p>
          <w:p>
            <w:pPr>
              <w:pStyle w:val="8"/>
              <w:widowControl/>
              <w:spacing w:line="360" w:lineRule="auto"/>
              <w:ind w:firstLine="420" w:firstLineChars="200"/>
              <w:rPr>
                <w:rFonts w:hint="default" w:hAnsi="宋体" w:cs="宋体"/>
                <w:highlight w:val="none"/>
              </w:rPr>
            </w:pPr>
            <w:r>
              <w:rPr>
                <w:rFonts w:hAnsi="宋体" w:cs="宋体"/>
                <w:highlight w:val="none"/>
              </w:rPr>
              <w:t>注：以上费用均参照计价格[2002]10号文为计费标准。</w:t>
            </w:r>
          </w:p>
          <w:p>
            <w:pPr>
              <w:pStyle w:val="8"/>
              <w:widowControl/>
              <w:spacing w:line="360" w:lineRule="auto"/>
              <w:ind w:firstLine="420" w:firstLineChars="200"/>
              <w:rPr>
                <w:rFonts w:hint="default" w:hAnsi="宋体" w:cs="宋体"/>
                <w:highlight w:val="none"/>
              </w:rPr>
            </w:pPr>
            <w:r>
              <w:rPr>
                <w:rFonts w:hAnsi="宋体" w:cs="宋体"/>
                <w:highlight w:val="none"/>
              </w:rPr>
              <w:t>投标单位自行报价（投标总报价及各分项报价均不能超过限价，否则按废标处理）。（小数点后保留二位小数，第三位小数四舍五入）</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ascii="宋体" w:hAnsi="宋体" w:cs="宋体"/>
                <w:highlight w:val="none"/>
              </w:rPr>
            </w:pPr>
            <w:r>
              <w:rPr>
                <w:rFonts w:hint="eastAsia" w:ascii="宋体" w:hAnsi="宋体" w:cs="宋体"/>
                <w:highlight w:val="none"/>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spacing w:val="-4"/>
                <w:highlight w:val="none"/>
              </w:rPr>
            </w:pPr>
            <w:r>
              <w:rPr>
                <w:rFonts w:hint="eastAsia" w:ascii="宋体" w:hAnsi="宋体" w:cs="宋体"/>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ascii="宋体" w:hAnsi="宋体" w:cs="宋体"/>
                <w:highlight w:val="none"/>
              </w:rPr>
            </w:pPr>
            <w:r>
              <w:rPr>
                <w:rFonts w:hint="eastAsia" w:ascii="宋体" w:hAnsi="宋体" w:cs="宋体"/>
                <w:highlight w:val="none"/>
              </w:rPr>
              <w:t>本项目不收投标保证金</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440" w:lineRule="exact"/>
              <w:ind w:left="-46" w:leftChars="-22" w:right="-59" w:rightChars="-28" w:firstLine="0"/>
              <w:jc w:val="center"/>
              <w:rPr>
                <w:rFonts w:ascii="宋体" w:hAnsi="宋体" w:cs="宋体"/>
                <w:highlight w:val="none"/>
              </w:rPr>
            </w:pPr>
            <w:r>
              <w:rPr>
                <w:rFonts w:hint="eastAsia" w:ascii="宋体" w:hAnsi="宋体" w:cs="宋体"/>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3"/>
              <w:widowControl/>
              <w:spacing w:after="0" w:line="320" w:lineRule="exact"/>
              <w:ind w:firstLine="0"/>
              <w:rPr>
                <w:rFonts w:ascii="黑体" w:hAnsi="宋体" w:eastAsia="黑体" w:cs="黑体"/>
                <w:highlight w:val="none"/>
              </w:rPr>
            </w:pPr>
            <w:r>
              <w:rPr>
                <w:rFonts w:hint="eastAsia" w:ascii="宋体" w:hAnsi="宋体" w:cs="宋体"/>
                <w:highlight w:val="none"/>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before="100" w:beforeAutospacing="0" w:after="0" w:line="440" w:lineRule="exact"/>
              <w:ind w:left="-19" w:leftChars="-9" w:right="-17" w:rightChars="-8" w:firstLine="0"/>
              <w:jc w:val="center"/>
              <w:rPr>
                <w:rFonts w:ascii="宋体" w:hAnsi="宋体" w:cs="宋体"/>
                <w:highlight w:val="none"/>
              </w:rPr>
            </w:pPr>
            <w:r>
              <w:rPr>
                <w:rFonts w:hint="eastAsia" w:ascii="宋体" w:hAnsi="宋体" w:cs="宋体"/>
                <w:highlight w:val="none"/>
              </w:rPr>
              <w:t>投标文件</w:t>
            </w:r>
          </w:p>
          <w:p>
            <w:pPr>
              <w:pStyle w:val="13"/>
              <w:widowControl/>
              <w:spacing w:before="100" w:beforeAutospacing="0" w:after="0" w:line="440" w:lineRule="exact"/>
              <w:ind w:left="-19" w:leftChars="-9" w:right="-17" w:rightChars="-8" w:firstLine="0"/>
              <w:jc w:val="center"/>
              <w:rPr>
                <w:rFonts w:ascii="宋体" w:hAnsi="宋体" w:cs="宋体"/>
                <w:highlight w:val="none"/>
              </w:rPr>
            </w:pPr>
            <w:r>
              <w:rPr>
                <w:rFonts w:hint="eastAsia" w:ascii="宋体" w:hAnsi="宋体" w:cs="宋体"/>
                <w:highlight w:val="none"/>
              </w:rPr>
              <w:t>提交地点及</w:t>
            </w:r>
          </w:p>
          <w:p>
            <w:pPr>
              <w:pStyle w:val="13"/>
              <w:widowControl/>
              <w:spacing w:before="100" w:beforeAutospacing="0" w:after="0" w:line="440" w:lineRule="exact"/>
              <w:ind w:left="-19" w:leftChars="-9" w:right="-17" w:rightChars="-8" w:firstLine="0"/>
              <w:jc w:val="center"/>
              <w:rPr>
                <w:rFonts w:ascii="宋体" w:hAnsi="宋体" w:cs="宋体"/>
                <w:highlight w:val="none"/>
              </w:rPr>
            </w:pPr>
            <w:r>
              <w:rPr>
                <w:rFonts w:hint="eastAsia" w:ascii="宋体" w:hAnsi="宋体" w:cs="宋体"/>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ascii="宋体" w:hAnsi="宋体" w:eastAsia="宋体" w:cs="宋体"/>
                <w:szCs w:val="21"/>
                <w:highlight w:val="none"/>
              </w:rPr>
            </w:pPr>
            <w:r>
              <w:rPr>
                <w:rFonts w:hint="eastAsia" w:ascii="宋体" w:hAnsi="宋体" w:eastAsia="宋体" w:cs="宋体"/>
                <w:szCs w:val="21"/>
                <w:highlight w:val="none"/>
              </w:rPr>
              <w:t>收件人：</w:t>
            </w:r>
          </w:p>
          <w:p>
            <w:pPr>
              <w:spacing w:line="320" w:lineRule="exact"/>
              <w:rPr>
                <w:rFonts w:ascii="宋体" w:hAnsi="宋体" w:eastAsia="宋体" w:cs="宋体"/>
                <w:szCs w:val="21"/>
                <w:highlight w:val="none"/>
              </w:rPr>
            </w:pPr>
            <w:r>
              <w:rPr>
                <w:rFonts w:hint="eastAsia" w:ascii="宋体" w:hAnsi="宋体" w:eastAsia="宋体" w:cs="宋体"/>
                <w:szCs w:val="21"/>
                <w:highlight w:val="none"/>
              </w:rPr>
              <w:t>提交地点：广州市南沙区金融大厦1807会议室</w:t>
            </w:r>
          </w:p>
          <w:p>
            <w:pPr>
              <w:spacing w:line="320" w:lineRule="exact"/>
              <w:rPr>
                <w:rFonts w:ascii="宋体" w:hAnsi="宋体" w:eastAsia="宋体" w:cs="宋体"/>
                <w:szCs w:val="21"/>
                <w:highlight w:val="none"/>
              </w:rPr>
            </w:pPr>
            <w:r>
              <w:rPr>
                <w:rFonts w:hint="eastAsia" w:ascii="宋体" w:hAnsi="宋体" w:eastAsia="宋体" w:cs="宋体"/>
                <w:szCs w:val="21"/>
                <w:highlight w:val="none"/>
              </w:rPr>
              <w:t>投标时间：</w:t>
            </w:r>
            <w:r>
              <w:rPr>
                <w:rFonts w:hint="eastAsia" w:ascii="宋体" w:hAnsi="宋体" w:eastAsia="宋体" w:cs="宋体"/>
                <w:szCs w:val="21"/>
                <w:highlight w:val="none"/>
                <w:lang w:val="en-US" w:eastAsia="zh-CN"/>
              </w:rPr>
              <w:t>2023</w:t>
            </w:r>
            <w:r>
              <w:rPr>
                <w:rFonts w:hint="eastAsia" w:ascii="宋体" w:hAnsi="宋体" w:eastAsia="宋体" w:cs="宋体"/>
                <w:szCs w:val="21"/>
                <w:highlight w:val="none"/>
              </w:rPr>
              <w:t>年</w:t>
            </w:r>
            <w:r>
              <w:rPr>
                <w:rFonts w:hint="eastAsia" w:ascii="宋体" w:hAnsi="宋体" w:eastAsia="宋体" w:cs="宋体"/>
                <w:szCs w:val="21"/>
                <w:highlight w:val="none"/>
                <w:lang w:val="en-US" w:eastAsia="zh-CN"/>
              </w:rPr>
              <w:t>12</w:t>
            </w:r>
            <w:r>
              <w:rPr>
                <w:rFonts w:hint="eastAsia" w:ascii="宋体" w:hAnsi="宋体" w:eastAsia="宋体" w:cs="宋体"/>
                <w:szCs w:val="21"/>
                <w:highlight w:val="none"/>
              </w:rPr>
              <w:t>月</w:t>
            </w:r>
            <w:r>
              <w:rPr>
                <w:rFonts w:hint="eastAsia" w:ascii="宋体" w:hAnsi="宋体" w:eastAsia="宋体" w:cs="宋体"/>
                <w:szCs w:val="21"/>
                <w:highlight w:val="none"/>
                <w:lang w:val="en-US" w:eastAsia="zh-CN"/>
              </w:rPr>
              <w:t>11</w:t>
            </w:r>
            <w:r>
              <w:rPr>
                <w:rFonts w:hint="eastAsia" w:ascii="宋体" w:hAnsi="宋体" w:eastAsia="宋体" w:cs="宋体"/>
                <w:szCs w:val="21"/>
                <w:highlight w:val="none"/>
              </w:rPr>
              <w:t>日（星期</w:t>
            </w:r>
            <w:r>
              <w:rPr>
                <w:rFonts w:hint="eastAsia" w:ascii="宋体" w:hAnsi="宋体" w:eastAsia="宋体" w:cs="宋体"/>
                <w:szCs w:val="21"/>
                <w:highlight w:val="none"/>
                <w:lang w:val="en-US" w:eastAsia="zh-CN"/>
              </w:rPr>
              <w:t>一</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14</w:t>
            </w:r>
            <w:r>
              <w:rPr>
                <w:rFonts w:hint="eastAsia" w:ascii="宋体" w:hAnsi="宋体" w:eastAsia="宋体" w:cs="宋体"/>
                <w:szCs w:val="21"/>
                <w:highlight w:val="none"/>
              </w:rPr>
              <w:t>时</w:t>
            </w:r>
            <w:r>
              <w:rPr>
                <w:rFonts w:hint="eastAsia" w:ascii="宋体" w:hAnsi="宋体" w:eastAsia="宋体" w:cs="宋体"/>
                <w:szCs w:val="21"/>
                <w:highlight w:val="none"/>
                <w:lang w:val="en-US" w:eastAsia="zh-CN"/>
              </w:rPr>
              <w:t>00</w:t>
            </w:r>
            <w:r>
              <w:rPr>
                <w:rFonts w:hint="eastAsia" w:ascii="宋体" w:hAnsi="宋体" w:eastAsia="宋体" w:cs="宋体"/>
                <w:szCs w:val="21"/>
                <w:highlight w:val="none"/>
              </w:rPr>
              <w:t>分至</w:t>
            </w:r>
            <w:r>
              <w:rPr>
                <w:rFonts w:hint="eastAsia" w:ascii="宋体" w:hAnsi="宋体" w:eastAsia="宋体" w:cs="宋体"/>
                <w:szCs w:val="21"/>
                <w:highlight w:val="none"/>
                <w:lang w:val="en-US" w:eastAsia="zh-CN"/>
              </w:rPr>
              <w:t>2023</w:t>
            </w:r>
            <w:r>
              <w:rPr>
                <w:rFonts w:hint="eastAsia" w:ascii="宋体" w:hAnsi="宋体" w:eastAsia="宋体" w:cs="宋体"/>
                <w:szCs w:val="21"/>
                <w:highlight w:val="none"/>
              </w:rPr>
              <w:t>年</w:t>
            </w:r>
            <w:r>
              <w:rPr>
                <w:rFonts w:hint="eastAsia" w:ascii="宋体" w:hAnsi="宋体" w:eastAsia="宋体" w:cs="宋体"/>
                <w:szCs w:val="21"/>
                <w:highlight w:val="none"/>
                <w:lang w:val="en-US" w:eastAsia="zh-CN"/>
              </w:rPr>
              <w:t>12</w:t>
            </w:r>
            <w:r>
              <w:rPr>
                <w:rFonts w:hint="eastAsia" w:ascii="宋体" w:hAnsi="宋体" w:eastAsia="宋体" w:cs="宋体"/>
                <w:szCs w:val="21"/>
                <w:highlight w:val="none"/>
              </w:rPr>
              <w:t>月</w:t>
            </w:r>
            <w:r>
              <w:rPr>
                <w:rFonts w:hint="eastAsia" w:ascii="宋体" w:hAnsi="宋体" w:eastAsia="宋体" w:cs="宋体"/>
                <w:szCs w:val="21"/>
                <w:highlight w:val="none"/>
                <w:lang w:val="en-US" w:eastAsia="zh-CN"/>
              </w:rPr>
              <w:t>15</w:t>
            </w:r>
            <w:r>
              <w:rPr>
                <w:rFonts w:hint="eastAsia" w:ascii="宋体" w:hAnsi="宋体" w:eastAsia="宋体" w:cs="宋体"/>
                <w:szCs w:val="21"/>
                <w:highlight w:val="none"/>
              </w:rPr>
              <w:t>日（星期</w:t>
            </w:r>
            <w:r>
              <w:rPr>
                <w:rFonts w:hint="eastAsia" w:ascii="宋体" w:hAnsi="宋体" w:eastAsia="宋体" w:cs="宋体"/>
                <w:szCs w:val="21"/>
                <w:highlight w:val="none"/>
                <w:lang w:val="en-US" w:eastAsia="zh-CN"/>
              </w:rPr>
              <w:t>五</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10</w:t>
            </w:r>
            <w:r>
              <w:rPr>
                <w:rFonts w:hint="eastAsia" w:ascii="宋体" w:hAnsi="宋体" w:eastAsia="宋体" w:cs="宋体"/>
                <w:szCs w:val="21"/>
                <w:highlight w:val="none"/>
              </w:rPr>
              <w:t>时</w:t>
            </w:r>
            <w:r>
              <w:rPr>
                <w:rFonts w:hint="eastAsia" w:ascii="宋体" w:hAnsi="宋体" w:eastAsia="宋体" w:cs="宋体"/>
                <w:szCs w:val="21"/>
                <w:highlight w:val="none"/>
                <w:lang w:val="en-US" w:eastAsia="zh-CN"/>
              </w:rPr>
              <w:t>00</w:t>
            </w:r>
            <w:r>
              <w:rPr>
                <w:rFonts w:hint="eastAsia" w:ascii="宋体" w:hAnsi="宋体" w:eastAsia="宋体" w:cs="宋体"/>
                <w:szCs w:val="21"/>
                <w:highlight w:val="none"/>
              </w:rPr>
              <w:t>分前。</w:t>
            </w:r>
          </w:p>
          <w:p>
            <w:pPr>
              <w:spacing w:line="320" w:lineRule="exact"/>
              <w:rPr>
                <w:rFonts w:ascii="宋体" w:hAnsi="宋体" w:cs="宋体"/>
                <w:b/>
                <w:highlight w:val="none"/>
              </w:rPr>
            </w:pPr>
            <w:r>
              <w:rPr>
                <w:rFonts w:hint="eastAsia" w:ascii="宋体" w:hAnsi="宋体" w:cs="宋体"/>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ascii="宋体" w:hAnsi="宋体" w:eastAsia="宋体" w:cs="宋体"/>
                <w:highlight w:val="none"/>
              </w:rPr>
            </w:pPr>
            <w:r>
              <w:rPr>
                <w:rFonts w:hint="eastAsia" w:ascii="宋体" w:hAnsi="宋体" w:eastAsia="宋体" w:cs="宋体"/>
                <w:szCs w:val="21"/>
                <w:highlight w:val="none"/>
              </w:rPr>
              <w:t>开标时间：</w:t>
            </w:r>
            <w:r>
              <w:rPr>
                <w:rFonts w:hint="eastAsia" w:ascii="宋体" w:hAnsi="宋体" w:eastAsia="宋体" w:cs="宋体"/>
                <w:szCs w:val="21"/>
                <w:highlight w:val="none"/>
                <w:lang w:val="en-US" w:eastAsia="zh-CN"/>
              </w:rPr>
              <w:t>2023</w:t>
            </w:r>
            <w:r>
              <w:rPr>
                <w:rFonts w:hint="eastAsia" w:ascii="宋体" w:hAnsi="宋体" w:eastAsia="宋体" w:cs="宋体"/>
                <w:szCs w:val="21"/>
                <w:highlight w:val="none"/>
              </w:rPr>
              <w:t>年</w:t>
            </w:r>
            <w:r>
              <w:rPr>
                <w:rFonts w:hint="eastAsia" w:ascii="宋体" w:hAnsi="宋体" w:eastAsia="宋体" w:cs="宋体"/>
                <w:szCs w:val="21"/>
                <w:highlight w:val="none"/>
                <w:lang w:val="en-US" w:eastAsia="zh-CN"/>
              </w:rPr>
              <w:t>12</w:t>
            </w:r>
            <w:r>
              <w:rPr>
                <w:rFonts w:hint="eastAsia" w:ascii="宋体" w:hAnsi="宋体" w:eastAsia="宋体" w:cs="宋体"/>
                <w:szCs w:val="21"/>
                <w:highlight w:val="none"/>
              </w:rPr>
              <w:t>月</w:t>
            </w:r>
            <w:r>
              <w:rPr>
                <w:rFonts w:hint="eastAsia" w:ascii="宋体" w:hAnsi="宋体" w:eastAsia="宋体" w:cs="宋体"/>
                <w:szCs w:val="21"/>
                <w:highlight w:val="none"/>
                <w:lang w:val="en-US" w:eastAsia="zh-CN"/>
              </w:rPr>
              <w:t>15</w:t>
            </w:r>
            <w:r>
              <w:rPr>
                <w:rFonts w:hint="eastAsia" w:ascii="宋体" w:hAnsi="宋体" w:eastAsia="宋体" w:cs="宋体"/>
                <w:szCs w:val="21"/>
                <w:highlight w:val="none"/>
              </w:rPr>
              <w:t>日（星期</w:t>
            </w:r>
            <w:r>
              <w:rPr>
                <w:rFonts w:hint="eastAsia" w:ascii="宋体" w:hAnsi="宋体" w:eastAsia="宋体" w:cs="宋体"/>
                <w:szCs w:val="21"/>
                <w:highlight w:val="none"/>
                <w:lang w:val="en-US" w:eastAsia="zh-CN"/>
              </w:rPr>
              <w:t>五</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10</w:t>
            </w:r>
            <w:r>
              <w:rPr>
                <w:rFonts w:hint="eastAsia" w:ascii="宋体" w:hAnsi="宋体" w:eastAsia="宋体" w:cs="宋体"/>
                <w:szCs w:val="21"/>
                <w:highlight w:val="none"/>
              </w:rPr>
              <w:t>时</w:t>
            </w:r>
            <w:r>
              <w:rPr>
                <w:rFonts w:hint="eastAsia" w:ascii="宋体" w:hAnsi="宋体" w:eastAsia="宋体" w:cs="宋体"/>
                <w:szCs w:val="21"/>
                <w:highlight w:val="none"/>
                <w:lang w:val="en-US" w:eastAsia="zh-CN"/>
              </w:rPr>
              <w:t>00</w:t>
            </w:r>
            <w:r>
              <w:rPr>
                <w:rFonts w:hint="eastAsia" w:ascii="宋体" w:hAnsi="宋体" w:eastAsia="宋体" w:cs="宋体"/>
                <w:szCs w:val="21"/>
                <w:highlight w:val="none"/>
              </w:rPr>
              <w:t>分</w:t>
            </w:r>
          </w:p>
          <w:p>
            <w:pPr>
              <w:spacing w:line="320" w:lineRule="exact"/>
              <w:rPr>
                <w:rFonts w:hint="default" w:ascii="宋体" w:hAnsi="宋体" w:eastAsia="宋体" w:cs="宋体"/>
                <w:highlight w:val="none"/>
                <w:lang w:val="en-US" w:eastAsia="zh-CN"/>
              </w:rPr>
            </w:pPr>
            <w:r>
              <w:rPr>
                <w:rFonts w:hint="eastAsia" w:ascii="宋体" w:hAnsi="宋体" w:eastAsia="宋体" w:cs="宋体"/>
                <w:szCs w:val="21"/>
                <w:highlight w:val="none"/>
              </w:rPr>
              <w:t>地点：广东省广州市南沙区海滨路171号南沙金融大厦</w:t>
            </w:r>
            <w:r>
              <w:rPr>
                <w:rFonts w:hint="eastAsia" w:ascii="宋体" w:hAnsi="宋体" w:eastAsia="宋体" w:cs="宋体"/>
                <w:szCs w:val="21"/>
                <w:highlight w:val="none"/>
                <w:lang w:val="en-US" w:eastAsia="zh-CN"/>
              </w:rPr>
              <w:t>18</w:t>
            </w:r>
            <w:r>
              <w:rPr>
                <w:rFonts w:hint="eastAsia" w:ascii="宋体" w:hAnsi="宋体" w:eastAsia="宋体" w:cs="宋体"/>
                <w:szCs w:val="21"/>
                <w:highlight w:val="none"/>
              </w:rPr>
              <w:t>楼</w:t>
            </w:r>
            <w:r>
              <w:rPr>
                <w:rFonts w:hint="eastAsia" w:ascii="宋体" w:hAnsi="宋体" w:eastAsia="宋体" w:cs="宋体"/>
                <w:szCs w:val="21"/>
                <w:highlight w:val="none"/>
                <w:lang w:val="en-US" w:eastAsia="zh-CN"/>
              </w:rPr>
              <w:t>1807室</w:t>
            </w:r>
          </w:p>
          <w:p>
            <w:pPr>
              <w:spacing w:line="320" w:lineRule="exact"/>
              <w:rPr>
                <w:rFonts w:ascii="宋体" w:hAnsi="宋体" w:eastAsia="宋体" w:cs="宋体"/>
                <w:b/>
                <w:highlight w:val="none"/>
              </w:rPr>
            </w:pPr>
            <w:r>
              <w:rPr>
                <w:rFonts w:hint="eastAsia" w:ascii="宋体" w:hAnsi="宋体" w:eastAsia="宋体" w:cs="宋体"/>
                <w:szCs w:val="21"/>
                <w:highlight w:val="none"/>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ascii="宋体" w:hAnsi="宋体" w:eastAsia="宋体" w:cs="宋体"/>
                <w:highlight w:val="none"/>
              </w:rPr>
            </w:pPr>
            <w:r>
              <w:rPr>
                <w:rFonts w:hint="eastAsia" w:ascii="宋体" w:hAnsi="宋体" w:eastAsia="宋体" w:cs="宋体"/>
                <w:szCs w:val="21"/>
                <w:highlight w:val="none"/>
              </w:rPr>
              <w:t>综合评分法</w:t>
            </w:r>
          </w:p>
        </w:tc>
      </w:tr>
    </w:tbl>
    <w:p>
      <w:pPr>
        <w:rPr>
          <w:rFonts w:ascii="宋体" w:hAnsi="宋体" w:eastAsia="宋体" w:cs="宋体"/>
          <w:highlight w:val="none"/>
        </w:rPr>
      </w:pPr>
    </w:p>
    <w:p>
      <w:pPr>
        <w:spacing w:line="360" w:lineRule="auto"/>
        <w:jc w:val="center"/>
        <w:rPr>
          <w:b/>
          <w:highlight w:val="none"/>
        </w:rPr>
      </w:pPr>
    </w:p>
    <w:p>
      <w:pPr>
        <w:rPr>
          <w:b/>
          <w:highlight w:val="none"/>
        </w:rPr>
      </w:pPr>
      <w:r>
        <w:rPr>
          <w:b/>
          <w:highlight w:val="none"/>
        </w:rPr>
        <w:br w:type="page"/>
      </w:r>
    </w:p>
    <w:p>
      <w:pPr>
        <w:spacing w:line="360" w:lineRule="auto"/>
        <w:jc w:val="center"/>
        <w:outlineLvl w:val="1"/>
        <w:rPr>
          <w:rFonts w:ascii="宋体" w:hAnsi="宋体" w:eastAsia="宋体" w:cs="宋体"/>
          <w:b/>
          <w:sz w:val="36"/>
          <w:szCs w:val="36"/>
          <w:highlight w:val="none"/>
        </w:rPr>
      </w:pPr>
      <w:r>
        <w:rPr>
          <w:rFonts w:hint="eastAsia" w:ascii="宋体" w:hAnsi="宋体" w:eastAsia="宋体" w:cs="宋体"/>
          <w:b/>
          <w:sz w:val="36"/>
          <w:szCs w:val="36"/>
          <w:highlight w:val="none"/>
        </w:rPr>
        <w:t>二、投标须知</w:t>
      </w:r>
    </w:p>
    <w:p>
      <w:pPr>
        <w:spacing w:line="360" w:lineRule="auto"/>
        <w:ind w:firstLine="482" w:firstLineChars="200"/>
        <w:outlineLvl w:val="2"/>
        <w:rPr>
          <w:rFonts w:ascii="宋体" w:hAnsi="宋体" w:eastAsia="宋体" w:cs="宋体"/>
          <w:b/>
          <w:sz w:val="24"/>
          <w:highlight w:val="none"/>
        </w:rPr>
      </w:pPr>
      <w:r>
        <w:rPr>
          <w:rFonts w:hint="eastAsia" w:ascii="宋体" w:hAnsi="宋体" w:eastAsia="宋体" w:cs="宋体"/>
          <w:b/>
          <w:sz w:val="24"/>
          <w:highlight w:val="none"/>
        </w:rPr>
        <w:t>（一）总则</w:t>
      </w:r>
    </w:p>
    <w:p>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1．定义</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本招标文件使用的下列词语具有如下规定的意义：</w:t>
      </w:r>
    </w:p>
    <w:p>
      <w:pPr>
        <w:spacing w:line="360" w:lineRule="auto"/>
        <w:ind w:firstLine="480" w:firstLineChars="200"/>
        <w:rPr>
          <w:rFonts w:ascii="宋体" w:hAnsi="宋体" w:eastAsia="宋体" w:cs="宋体"/>
          <w:sz w:val="24"/>
          <w:highlight w:val="none"/>
          <w:u w:val="single"/>
        </w:rPr>
      </w:pPr>
      <w:r>
        <w:rPr>
          <w:rFonts w:hint="eastAsia" w:ascii="宋体" w:hAnsi="宋体" w:eastAsia="宋体" w:cs="宋体"/>
          <w:sz w:val="24"/>
          <w:highlight w:val="none"/>
        </w:rPr>
        <w:t>1.1 “招标人”（即委托人）指</w:t>
      </w:r>
      <w:r>
        <w:rPr>
          <w:rFonts w:hint="eastAsia" w:ascii="宋体" w:hAnsi="宋体" w:eastAsia="宋体" w:cs="宋体"/>
          <w:sz w:val="24"/>
          <w:highlight w:val="none"/>
          <w:u w:val="single"/>
          <w:lang w:val="en-US" w:eastAsia="zh-CN"/>
        </w:rPr>
        <w:t>广州南沙盛龙房地产开发有限公司</w:t>
      </w:r>
      <w:r>
        <w:rPr>
          <w:rFonts w:hint="eastAsia" w:ascii="宋体" w:hAnsi="宋体" w:eastAsia="宋体" w:cs="宋体"/>
          <w:sz w:val="24"/>
          <w:highlight w:val="none"/>
          <w:u w:val="single"/>
        </w:rPr>
        <w:t>。</w:t>
      </w:r>
    </w:p>
    <w:p>
      <w:pPr>
        <w:spacing w:line="360" w:lineRule="auto"/>
        <w:ind w:firstLine="480" w:firstLineChars="200"/>
        <w:rPr>
          <w:rFonts w:ascii="宋体" w:hAnsi="宋体" w:eastAsia="宋体" w:cs="宋体"/>
          <w:b/>
          <w:sz w:val="24"/>
          <w:highlight w:val="none"/>
        </w:rPr>
      </w:pPr>
      <w:r>
        <w:rPr>
          <w:rFonts w:hint="eastAsia" w:ascii="宋体" w:hAnsi="宋体" w:eastAsia="宋体" w:cs="宋体"/>
          <w:sz w:val="24"/>
          <w:highlight w:val="none"/>
        </w:rPr>
        <w:t>1.2 “项目建设管理单位”指</w:t>
      </w:r>
      <w:r>
        <w:rPr>
          <w:rFonts w:hint="eastAsia" w:ascii="宋体" w:hAnsi="宋体" w:eastAsia="宋体" w:cs="宋体"/>
          <w:sz w:val="24"/>
          <w:highlight w:val="none"/>
          <w:u w:val="single"/>
        </w:rPr>
        <w:t xml:space="preserve">   /  </w:t>
      </w:r>
      <w:r>
        <w:rPr>
          <w:rFonts w:hint="eastAsia" w:ascii="宋体" w:hAnsi="宋体" w:eastAsia="宋体" w:cs="宋体"/>
          <w:sz w:val="24"/>
          <w:highlight w:val="none"/>
        </w:rPr>
        <w:t>。</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1.3 “投标人”指向招标人提交投标文件的当事人。</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1.4 “承包商”指被招标人接受并与其签订承包合同的当事人；</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1.5 “招标代理”指</w:t>
      </w:r>
      <w:r>
        <w:rPr>
          <w:rFonts w:hint="eastAsia" w:ascii="宋体" w:hAnsi="宋体" w:eastAsia="宋体" w:cs="宋体"/>
          <w:sz w:val="24"/>
          <w:highlight w:val="none"/>
          <w:u w:val="single"/>
        </w:rPr>
        <w:t xml:space="preserve">   /  </w:t>
      </w:r>
      <w:r>
        <w:rPr>
          <w:rFonts w:hint="eastAsia" w:ascii="宋体" w:hAnsi="宋体" w:eastAsia="宋体" w:cs="宋体"/>
          <w:sz w:val="24"/>
          <w:highlight w:val="none"/>
        </w:rPr>
        <w:t>。</w:t>
      </w:r>
    </w:p>
    <w:p>
      <w:pPr>
        <w:spacing w:line="360" w:lineRule="auto"/>
        <w:ind w:firstLine="480" w:firstLineChars="200"/>
        <w:rPr>
          <w:rFonts w:ascii="宋体" w:hAnsi="宋体" w:eastAsia="宋体" w:cs="宋体"/>
          <w:sz w:val="24"/>
          <w:highlight w:val="none"/>
          <w:shd w:val="clear" w:color="auto" w:fill="FFFF00"/>
        </w:rPr>
      </w:pPr>
      <w:r>
        <w:rPr>
          <w:rFonts w:hint="eastAsia" w:ascii="宋体" w:hAnsi="宋体" w:eastAsia="宋体" w:cs="宋体"/>
          <w:sz w:val="24"/>
          <w:highlight w:val="none"/>
        </w:rPr>
        <w:t>1.6 “设计人”指</w:t>
      </w:r>
      <w:r>
        <w:rPr>
          <w:rFonts w:hint="eastAsia" w:ascii="宋体" w:hAnsi="宋体" w:eastAsia="宋体" w:cs="宋体"/>
          <w:sz w:val="24"/>
          <w:highlight w:val="none"/>
          <w:u w:val="single"/>
        </w:rPr>
        <w:t xml:space="preserve">   /  </w:t>
      </w:r>
      <w:r>
        <w:rPr>
          <w:rFonts w:hint="eastAsia" w:ascii="宋体" w:hAnsi="宋体" w:eastAsia="宋体" w:cs="宋体"/>
          <w:sz w:val="24"/>
          <w:highlight w:val="none"/>
        </w:rPr>
        <w:t>。</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1.7 “招标文件”指由招标代理发出的本文件（包括全部章节、附件）及澄清补充文件。</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 “投标文件”指投标人根据本招标文件向招标人提交的全部文件。</w:t>
      </w:r>
    </w:p>
    <w:p>
      <w:pPr>
        <w:pStyle w:val="13"/>
        <w:widowControl/>
        <w:spacing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1.9 “书面函件”指打字或印刷的函件，包括电传、电报和传真。</w:t>
      </w:r>
    </w:p>
    <w:p>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2、招标说明</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2.1本招标项目按照《中华人民共和国招标投标法》等有关法律、行政法规和部门规章，采取邀请招标的办法，选择有经验、有实力、社会信誉好的</w:t>
      </w:r>
      <w:r>
        <w:rPr>
          <w:rFonts w:hint="eastAsia" w:ascii="宋体" w:hAnsi="宋体" w:eastAsia="宋体" w:cs="宋体"/>
          <w:sz w:val="24"/>
          <w:highlight w:val="none"/>
          <w:lang w:val="en-US" w:eastAsia="zh-CN"/>
        </w:rPr>
        <w:t>勘察</w:t>
      </w:r>
      <w:r>
        <w:rPr>
          <w:rFonts w:hint="eastAsia" w:ascii="宋体" w:hAnsi="宋体" w:eastAsia="宋体" w:cs="宋体"/>
          <w:sz w:val="24"/>
          <w:highlight w:val="none"/>
        </w:rPr>
        <w:t>单位承担勘察服务，确保本</w:t>
      </w:r>
      <w:r>
        <w:rPr>
          <w:rFonts w:hint="eastAsia" w:ascii="宋体" w:hAnsi="宋体" w:cs="宋体"/>
          <w:highlight w:val="none"/>
        </w:rPr>
        <w:t>项目</w:t>
      </w:r>
      <w:r>
        <w:rPr>
          <w:rFonts w:hint="eastAsia" w:ascii="宋体" w:hAnsi="宋体" w:eastAsia="宋体" w:cs="宋体"/>
          <w:sz w:val="24"/>
          <w:highlight w:val="none"/>
        </w:rPr>
        <w:t>能按期、优质、经济地完成。</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2.2</w:t>
      </w:r>
      <w:r>
        <w:rPr>
          <w:rFonts w:hint="eastAsia" w:ascii="宋体" w:hAnsi="宋体" w:cs="宋体"/>
          <w:highlight w:val="none"/>
        </w:rPr>
        <w:t>项目</w:t>
      </w:r>
      <w:r>
        <w:rPr>
          <w:rFonts w:hint="eastAsia" w:ascii="宋体" w:hAnsi="宋体" w:eastAsia="宋体" w:cs="宋体"/>
          <w:sz w:val="24"/>
          <w:highlight w:val="none"/>
        </w:rPr>
        <w:t>概况：</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2.2.1</w:t>
      </w:r>
      <w:r>
        <w:rPr>
          <w:rFonts w:hint="eastAsia" w:ascii="宋体" w:hAnsi="宋体" w:cs="宋体"/>
          <w:highlight w:val="none"/>
        </w:rPr>
        <w:t>项目</w:t>
      </w:r>
      <w:r>
        <w:rPr>
          <w:rFonts w:hint="eastAsia" w:ascii="宋体" w:hAnsi="宋体" w:eastAsia="宋体" w:cs="宋体"/>
          <w:sz w:val="24"/>
          <w:highlight w:val="none"/>
        </w:rPr>
        <w:t>名称：见投标须知前附表第1项。</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2.2.2建设地点：见投标须知前附表第2项。</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2.2.3建设规模：见投标须知前附表第3项。</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2.2.4投资概算：见投标须知前附表第4项。</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2.2.5服务目标：见投标须知前附表第5项。</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2.3招标范围及服务期及专业配套要求</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2.3.1 本招标项目的招标范围：见投标须知前附表第6项。</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2.3.2 本招标项目的</w:t>
      </w:r>
      <w:r>
        <w:rPr>
          <w:rFonts w:hint="eastAsia" w:ascii="宋体" w:hAnsi="宋体" w:eastAsia="宋体" w:cs="宋体"/>
          <w:sz w:val="24"/>
          <w:highlight w:val="none"/>
          <w:lang w:val="en-US" w:eastAsia="zh-CN"/>
        </w:rPr>
        <w:t>勘察</w:t>
      </w:r>
      <w:r>
        <w:rPr>
          <w:rFonts w:hint="eastAsia" w:ascii="宋体" w:hAnsi="宋体" w:eastAsia="宋体" w:cs="宋体"/>
          <w:sz w:val="24"/>
          <w:highlight w:val="none"/>
        </w:rPr>
        <w:t>服务期要求：见投标须知前附表第7项。</w:t>
      </w:r>
    </w:p>
    <w:p>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2.3.3 项目管理架构要求：见投标须知前附表第10项。</w:t>
      </w:r>
    </w:p>
    <w:p>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3．资金来源</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本招标项目资金来源见投标须知前附表第8项。</w:t>
      </w:r>
    </w:p>
    <w:p>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4．合格投标人的条件</w:t>
      </w:r>
    </w:p>
    <w:p>
      <w:pPr>
        <w:spacing w:line="360" w:lineRule="auto"/>
        <w:ind w:firstLine="480" w:firstLineChars="200"/>
        <w:rPr>
          <w:rFonts w:ascii="宋体" w:hAnsi="宋体" w:eastAsia="宋体" w:cs="宋体"/>
          <w:b/>
          <w:sz w:val="24"/>
          <w:highlight w:val="none"/>
        </w:rPr>
      </w:pPr>
      <w:r>
        <w:rPr>
          <w:rFonts w:hint="eastAsia" w:ascii="宋体" w:hAnsi="宋体" w:eastAsia="宋体" w:cs="宋体"/>
          <w:sz w:val="24"/>
          <w:highlight w:val="none"/>
        </w:rPr>
        <w:t>详见投标须知前附表第9项。</w:t>
      </w:r>
    </w:p>
    <w:p>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5．踏勘现场</w:t>
      </w:r>
    </w:p>
    <w:p>
      <w:pPr>
        <w:spacing w:line="360" w:lineRule="auto"/>
        <w:ind w:firstLine="480" w:firstLineChars="200"/>
        <w:rPr>
          <w:rFonts w:ascii="宋体" w:hAnsi="宋体" w:eastAsia="宋体" w:cs="宋体"/>
          <w:sz w:val="24"/>
          <w:highlight w:val="none"/>
          <w:u w:val="single"/>
        </w:rPr>
      </w:pPr>
      <w:r>
        <w:rPr>
          <w:rFonts w:hint="eastAsia" w:ascii="宋体" w:hAnsi="宋体" w:eastAsia="宋体" w:cs="宋体"/>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6．投标费用</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6.2投标人应承担其参加本招标活动自身所发生的其他一切费用，招标人对上述费用均不负任何责任。</w:t>
      </w:r>
    </w:p>
    <w:p>
      <w:pPr>
        <w:spacing w:line="360" w:lineRule="auto"/>
        <w:ind w:firstLine="241" w:firstLineChars="100"/>
        <w:outlineLvl w:val="2"/>
        <w:rPr>
          <w:rFonts w:ascii="宋体" w:hAnsi="宋体" w:eastAsia="宋体" w:cs="宋体"/>
          <w:b/>
          <w:sz w:val="24"/>
          <w:highlight w:val="none"/>
        </w:rPr>
      </w:pPr>
      <w:r>
        <w:rPr>
          <w:rFonts w:hint="eastAsia" w:ascii="宋体" w:hAnsi="宋体" w:eastAsia="宋体" w:cs="宋体"/>
          <w:b/>
          <w:sz w:val="24"/>
          <w:highlight w:val="none"/>
        </w:rPr>
        <w:t>（二）招标文件</w:t>
      </w:r>
    </w:p>
    <w:p>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7.招标文件的组成</w:t>
      </w:r>
    </w:p>
    <w:p>
      <w:pPr>
        <w:pStyle w:val="13"/>
        <w:widowControl/>
        <w:spacing w:beforeAutospacing="0" w:after="0"/>
        <w:ind w:firstLine="480" w:firstLineChars="200"/>
        <w:rPr>
          <w:rFonts w:ascii="宋体" w:hAnsi="宋体" w:cs="宋体"/>
          <w:b/>
          <w:sz w:val="24"/>
          <w:szCs w:val="24"/>
          <w:highlight w:val="none"/>
        </w:rPr>
      </w:pPr>
      <w:r>
        <w:rPr>
          <w:rFonts w:hint="eastAsia" w:ascii="宋体" w:hAnsi="宋体" w:cs="宋体"/>
          <w:sz w:val="24"/>
          <w:szCs w:val="24"/>
          <w:highlight w:val="none"/>
        </w:rPr>
        <w:t>7.1本招标文件包括下列文件，以及所有按本须知第8条发出的招标答疑会会议纪要和按本须知第9条发出的澄清或修改：</w:t>
      </w:r>
    </w:p>
    <w:p>
      <w:pPr>
        <w:ind w:firstLine="480" w:firstLineChars="200"/>
        <w:rPr>
          <w:rFonts w:ascii="黑体" w:hAnsi="华文楷体" w:eastAsia="黑体" w:cs="黑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1）投标须知及前附表</w:t>
      </w:r>
    </w:p>
    <w:p>
      <w:pPr>
        <w:ind w:firstLine="480" w:firstLineChars="200"/>
        <w:rPr>
          <w:rFonts w:ascii="黑体" w:hAnsi="华文楷体" w:eastAsia="黑体" w:cs="黑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2）</w:t>
      </w:r>
      <w:r>
        <w:rPr>
          <w:rFonts w:hint="eastAsia" w:ascii="黑体" w:hAnsi="宋体" w:eastAsia="黑体" w:cs="黑体"/>
          <w:sz w:val="24"/>
          <w:highlight w:val="none"/>
        </w:rPr>
        <w:t>项目需求书</w:t>
      </w:r>
    </w:p>
    <w:p>
      <w:pPr>
        <w:ind w:firstLine="480" w:firstLineChars="200"/>
        <w:rPr>
          <w:rFonts w:ascii="黑体" w:hAnsi="华文楷体" w:eastAsia="黑体" w:cs="黑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3）投标文件格式</w:t>
      </w:r>
    </w:p>
    <w:p>
      <w:pPr>
        <w:ind w:firstLine="480" w:firstLineChars="200"/>
        <w:rPr>
          <w:rFonts w:ascii="黑体" w:hAnsi="华文楷体" w:eastAsia="黑体" w:cs="黑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4）服务合同</w:t>
      </w:r>
    </w:p>
    <w:p>
      <w:pPr>
        <w:ind w:firstLine="480" w:firstLineChars="200"/>
        <w:rPr>
          <w:rFonts w:ascii="黑体" w:hAnsi="华文楷体" w:eastAsia="黑体" w:cs="黑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5）评标办法</w:t>
      </w:r>
    </w:p>
    <w:p>
      <w:pPr>
        <w:ind w:firstLine="480" w:firstLineChars="200"/>
        <w:rPr>
          <w:rFonts w:ascii="宋体" w:hAnsi="宋体" w:eastAsia="宋体" w:cs="宋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6）附件</w:t>
      </w:r>
    </w:p>
    <w:p>
      <w:pPr>
        <w:pStyle w:val="13"/>
        <w:widowControl/>
        <w:spacing w:beforeAutospacing="0" w:after="0"/>
        <w:ind w:firstLine="480" w:firstLineChars="200"/>
        <w:rPr>
          <w:rFonts w:ascii="宋体" w:hAnsi="宋体" w:cs="宋体"/>
          <w:sz w:val="24"/>
          <w:szCs w:val="24"/>
          <w:highlight w:val="none"/>
        </w:rPr>
      </w:pPr>
      <w:r>
        <w:rPr>
          <w:rFonts w:hint="eastAsia" w:ascii="宋体" w:hAnsi="宋体" w:cs="宋体"/>
          <w:sz w:val="24"/>
          <w:szCs w:val="24"/>
          <w:highlight w:val="none"/>
        </w:rPr>
        <w:t>7.2除7.1内容外，招标人在提交投标文件截止时间</w:t>
      </w:r>
      <w:r>
        <w:rPr>
          <w:rFonts w:hint="eastAsia" w:ascii="宋体" w:hAnsi="宋体" w:cs="宋体"/>
          <w:b/>
          <w:sz w:val="24"/>
          <w:szCs w:val="24"/>
          <w:highlight w:val="none"/>
          <w:u w:val="single"/>
        </w:rPr>
        <w:t>3</w:t>
      </w:r>
      <w:r>
        <w:rPr>
          <w:rFonts w:hint="eastAsia" w:ascii="宋体" w:hAnsi="宋体" w:cs="宋体"/>
          <w:sz w:val="24"/>
          <w:szCs w:val="24"/>
          <w:highlight w:val="none"/>
        </w:rPr>
        <w:t>天前，以书面形式发出的对招标文件的澄清或修改内容，均为招标文件的组成部分，对招标人和投标人起约束作用。</w:t>
      </w:r>
    </w:p>
    <w:p>
      <w:pPr>
        <w:pStyle w:val="13"/>
        <w:widowControl/>
        <w:spacing w:beforeAutospacing="0" w:after="0"/>
        <w:ind w:firstLine="480" w:firstLineChars="200"/>
        <w:rPr>
          <w:rFonts w:ascii="宋体" w:hAnsi="宋体" w:cs="宋体"/>
          <w:sz w:val="24"/>
          <w:szCs w:val="24"/>
          <w:highlight w:val="none"/>
        </w:rPr>
      </w:pPr>
      <w:r>
        <w:rPr>
          <w:rFonts w:hint="eastAsia" w:ascii="宋体" w:hAnsi="宋体" w:cs="宋体"/>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ind w:firstLine="482" w:firstLineChars="200"/>
        <w:outlineLvl w:val="3"/>
        <w:rPr>
          <w:rFonts w:ascii="宋体" w:hAnsi="宋体" w:cs="宋体"/>
          <w:b/>
          <w:sz w:val="24"/>
          <w:highlight w:val="none"/>
        </w:rPr>
      </w:pPr>
      <w:r>
        <w:rPr>
          <w:rFonts w:hint="eastAsia" w:ascii="宋体" w:hAnsi="宋体" w:cs="宋体"/>
          <w:b/>
          <w:sz w:val="24"/>
          <w:highlight w:val="none"/>
        </w:rPr>
        <w:t>8．招标答疑</w:t>
      </w:r>
    </w:p>
    <w:p>
      <w:pPr>
        <w:pStyle w:val="13"/>
        <w:widowControl/>
        <w:spacing w:beforeAutospacing="0" w:after="0"/>
        <w:ind w:firstLine="480" w:firstLineChars="200"/>
        <w:rPr>
          <w:rFonts w:ascii="宋体" w:hAnsi="宋体" w:cs="宋体"/>
          <w:sz w:val="24"/>
          <w:szCs w:val="24"/>
          <w:highlight w:val="none"/>
        </w:rPr>
      </w:pPr>
      <w:r>
        <w:rPr>
          <w:rFonts w:hint="eastAsia" w:ascii="宋体" w:hAnsi="宋体" w:cs="宋体"/>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3"/>
        <w:widowControl/>
        <w:spacing w:beforeAutospacing="0" w:after="0"/>
        <w:ind w:firstLine="480" w:firstLineChars="200"/>
        <w:rPr>
          <w:rFonts w:ascii="宋体" w:hAnsi="宋体" w:cs="宋体"/>
          <w:sz w:val="24"/>
          <w:szCs w:val="24"/>
          <w:highlight w:val="none"/>
        </w:rPr>
      </w:pPr>
      <w:r>
        <w:rPr>
          <w:rFonts w:hint="eastAsia" w:ascii="宋体" w:hAnsi="宋体" w:cs="宋体"/>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8.3答疑会会议纪要为招标文件的一部分。</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9.招标文件的澄清与修改</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9.1招标文件发出后,在提交投标文件截止时间</w:t>
      </w:r>
      <w:r>
        <w:rPr>
          <w:rFonts w:hint="eastAsia" w:ascii="宋体" w:hAnsi="宋体" w:cs="宋体"/>
          <w:b/>
          <w:sz w:val="24"/>
          <w:szCs w:val="24"/>
          <w:highlight w:val="none"/>
          <w:u w:val="single"/>
        </w:rPr>
        <w:t>3</w:t>
      </w:r>
      <w:r>
        <w:rPr>
          <w:rFonts w:hint="eastAsia" w:ascii="宋体" w:hAnsi="宋体" w:cs="宋体"/>
          <w:sz w:val="24"/>
          <w:szCs w:val="24"/>
          <w:highlight w:val="none"/>
        </w:rPr>
        <w:t>日前，招标人可对招标文件进行必要的澄清或修改。</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9.3招标文件的澄清、修改、补充等内容均以书面形式明确的内容为准。当招标文件的澄清、修改、补充等在同一内容的表述不一致时，以最后发出的书面文件为准。</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3"/>
        <w:widowControl/>
        <w:spacing w:beforeAutospacing="0" w:after="0" w:line="360" w:lineRule="auto"/>
        <w:ind w:firstLine="482" w:firstLineChars="200"/>
        <w:outlineLvl w:val="2"/>
        <w:rPr>
          <w:rFonts w:ascii="宋体" w:hAnsi="宋体" w:cs="宋体"/>
          <w:b/>
          <w:sz w:val="24"/>
          <w:szCs w:val="24"/>
          <w:highlight w:val="none"/>
        </w:rPr>
      </w:pPr>
      <w:r>
        <w:rPr>
          <w:rFonts w:hint="eastAsia" w:ascii="宋体" w:hAnsi="宋体" w:cs="宋体"/>
          <w:b/>
          <w:sz w:val="24"/>
          <w:szCs w:val="24"/>
          <w:highlight w:val="none"/>
        </w:rPr>
        <w:t>（三）投标文件的编制</w:t>
      </w:r>
    </w:p>
    <w:p>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10．投标文件的语言及度量衡单位</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10.1 投标文件和与投标有关的所有文件均应使用</w:t>
      </w:r>
      <w:r>
        <w:rPr>
          <w:rFonts w:hint="eastAsia" w:ascii="宋体" w:hAnsi="宋体" w:cs="宋体"/>
          <w:sz w:val="24"/>
          <w:szCs w:val="24"/>
          <w:highlight w:val="none"/>
          <w:u w:val="single"/>
        </w:rPr>
        <w:t>中文</w:t>
      </w:r>
      <w:r>
        <w:rPr>
          <w:rFonts w:hint="eastAsia" w:ascii="宋体" w:hAnsi="宋体" w:cs="宋体"/>
          <w:sz w:val="24"/>
          <w:szCs w:val="24"/>
          <w:highlight w:val="none"/>
        </w:rPr>
        <w:t>。</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10.2 除项目规范另有规定外，投标文件使用的度量衡单位，均采用中华人民共和国法定计量单位。</w:t>
      </w:r>
    </w:p>
    <w:p>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11．投标文件的组成</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11.1投标文件目录。</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11.2投标函（按招标文件第3章格式填写）</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11.3服务承诺书（按招标文件第3章格式填写）。</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11.5公司法人营业执照及资质证书复印件。</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11.6项目负责人职称证复印件。</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11.7</w:t>
      </w:r>
      <w:r>
        <w:rPr>
          <w:rFonts w:hint="eastAsia" w:ascii="宋体" w:hAnsi="宋体" w:eastAsia="宋体" w:cs="宋体"/>
          <w:sz w:val="24"/>
          <w:highlight w:val="none"/>
          <w:lang w:val="en-US" w:eastAsia="zh-CN"/>
        </w:rPr>
        <w:t>勘察</w:t>
      </w:r>
      <w:r>
        <w:rPr>
          <w:rFonts w:hint="eastAsia" w:ascii="宋体" w:hAnsi="宋体" w:eastAsia="宋体" w:cs="宋体"/>
          <w:sz w:val="24"/>
          <w:highlight w:val="none"/>
        </w:rPr>
        <w:t>人员到位承诺书（按招标文件第3章格式填写）；</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11.8投标人综合概况（按招标文件第3章格式填写）；</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11.9企业自20</w:t>
      </w:r>
      <w:r>
        <w:rPr>
          <w:rFonts w:hint="eastAsia" w:ascii="宋体" w:hAnsi="宋体" w:eastAsia="宋体" w:cs="宋体"/>
          <w:sz w:val="24"/>
          <w:highlight w:val="none"/>
          <w:lang w:val="en-US" w:eastAsia="zh-CN"/>
        </w:rPr>
        <w:t>20</w:t>
      </w:r>
      <w:r>
        <w:rPr>
          <w:rFonts w:hint="eastAsia" w:ascii="宋体" w:hAnsi="宋体" w:eastAsia="宋体" w:cs="宋体"/>
          <w:sz w:val="24"/>
          <w:highlight w:val="none"/>
        </w:rPr>
        <w:t>年1月1日至今企业承担的同类项目（按招标文件第3章格式填写）；</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11.10参与本项目的人员一览表及证明文件（按招标文件第3章格式填写）；</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11.11项目负责人相关经验及业绩（按招标文件第3章格式填写）；</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11.12报价表。</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11.13技术标文件（独立成册）。</w:t>
      </w:r>
    </w:p>
    <w:p>
      <w:pPr>
        <w:pStyle w:val="8"/>
        <w:ind w:firstLine="480" w:firstLineChars="200"/>
        <w:rPr>
          <w:rFonts w:hint="default"/>
          <w:highlight w:val="none"/>
        </w:rPr>
      </w:pPr>
      <w:r>
        <w:rPr>
          <w:rFonts w:hAnsi="宋体" w:cs="宋体"/>
          <w:sz w:val="24"/>
          <w:highlight w:val="none"/>
        </w:rPr>
        <w:t>11.14 投标文件电子版（刻录光盘或提供U盘）</w:t>
      </w:r>
    </w:p>
    <w:p>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12．投标文件格式</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12.1 投标文件包括本须知第11条中规定的内容，投标人提交的投标文件应当使用招标文件所提供的投标格式文件的格式（表格可以按同样格式扩展）。</w:t>
      </w:r>
    </w:p>
    <w:p>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13．投标报价</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13.1 本次投标报价采用投标须知前附表第14项所规定的方式。</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13.2 投标人的投标报价，应是完成本须知第2.3款和合同条款所列招标项目服务范围的全部内容为计算投标报价基础。</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13.3投标报价方式：投标单位自行报价（投标总报价及各分项报价均不能超过限价，否则按废标处理）。（小数点后保留二位小数，第三位小数四舍五入）</w:t>
      </w:r>
    </w:p>
    <w:p>
      <w:pPr>
        <w:pStyle w:val="8"/>
        <w:widowControl/>
        <w:spacing w:line="360" w:lineRule="auto"/>
        <w:ind w:firstLine="480" w:firstLineChars="200"/>
        <w:rPr>
          <w:rFonts w:hint="eastAsia" w:hAnsi="宋体" w:cs="宋体"/>
          <w:sz w:val="24"/>
          <w:szCs w:val="24"/>
          <w:highlight w:val="none"/>
        </w:rPr>
      </w:pPr>
      <w:r>
        <w:rPr>
          <w:rFonts w:hAnsi="宋体" w:cs="宋体"/>
          <w:sz w:val="24"/>
          <w:szCs w:val="24"/>
          <w:highlight w:val="none"/>
        </w:rPr>
        <w:t>13.4</w:t>
      </w:r>
      <w:r>
        <w:rPr>
          <w:rFonts w:hint="eastAsia" w:hAnsi="宋体" w:cs="宋体"/>
          <w:sz w:val="24"/>
          <w:szCs w:val="24"/>
          <w:highlight w:val="none"/>
        </w:rPr>
        <w:t>招标总控制价为¥</w:t>
      </w:r>
      <w:r>
        <w:rPr>
          <w:rFonts w:hint="eastAsia" w:hAnsi="宋体" w:cs="宋体"/>
          <w:sz w:val="24"/>
          <w:szCs w:val="24"/>
          <w:highlight w:val="none"/>
          <w:lang w:val="en-US" w:eastAsia="zh-CN"/>
        </w:rPr>
        <w:t>663305.5</w:t>
      </w:r>
      <w:r>
        <w:rPr>
          <w:rFonts w:hint="eastAsia" w:hAnsi="宋体" w:cs="宋体"/>
          <w:sz w:val="24"/>
          <w:szCs w:val="24"/>
          <w:highlight w:val="none"/>
        </w:rPr>
        <w:t>元，其中：</w:t>
      </w:r>
    </w:p>
    <w:p>
      <w:pPr>
        <w:pStyle w:val="8"/>
        <w:widowControl/>
        <w:spacing w:line="360" w:lineRule="auto"/>
        <w:ind w:firstLine="480" w:firstLineChars="200"/>
        <w:rPr>
          <w:rFonts w:hint="default" w:hAnsi="宋体" w:cs="宋体"/>
          <w:sz w:val="24"/>
          <w:szCs w:val="24"/>
          <w:highlight w:val="none"/>
        </w:rPr>
      </w:pPr>
      <w:r>
        <w:rPr>
          <w:rFonts w:hint="eastAsia" w:hAnsi="宋体" w:cs="宋体"/>
          <w:sz w:val="24"/>
          <w:szCs w:val="24"/>
          <w:highlight w:val="none"/>
          <w:lang w:val="en-US" w:eastAsia="zh-CN"/>
        </w:rPr>
        <w:t>1、</w:t>
      </w:r>
      <w:r>
        <w:rPr>
          <w:rFonts w:hint="default" w:hAnsi="宋体" w:cs="宋体"/>
          <w:sz w:val="24"/>
          <w:szCs w:val="24"/>
          <w:highlight w:val="none"/>
          <w:lang w:val="en-US" w:eastAsia="zh-CN"/>
        </w:rPr>
        <w:t>勘察</w:t>
      </w:r>
      <w:r>
        <w:rPr>
          <w:rFonts w:hint="default" w:hAnsi="宋体" w:cs="宋体"/>
          <w:sz w:val="24"/>
          <w:szCs w:val="24"/>
          <w:highlight w:val="none"/>
        </w:rPr>
        <w:t>费限价为综合单价</w:t>
      </w:r>
      <w:r>
        <w:rPr>
          <w:rFonts w:hint="default" w:hAnsi="宋体" w:cs="宋体"/>
          <w:sz w:val="24"/>
          <w:szCs w:val="24"/>
          <w:highlight w:val="none"/>
          <w:lang w:val="en-US" w:eastAsia="zh-CN"/>
        </w:rPr>
        <w:t>95</w:t>
      </w:r>
      <w:r>
        <w:rPr>
          <w:rFonts w:hint="default" w:hAnsi="宋体" w:cs="宋体"/>
          <w:sz w:val="24"/>
          <w:szCs w:val="24"/>
          <w:highlight w:val="none"/>
        </w:rPr>
        <w:t>元/米（含办理勘察作业手续），暂按</w:t>
      </w:r>
      <w:r>
        <w:rPr>
          <w:rFonts w:hint="default" w:hAnsi="宋体" w:cs="宋体"/>
          <w:sz w:val="24"/>
          <w:szCs w:val="24"/>
          <w:highlight w:val="none"/>
          <w:lang w:val="en-US" w:eastAsia="zh-CN"/>
        </w:rPr>
        <w:t>100</w:t>
      </w:r>
      <w:r>
        <w:rPr>
          <w:rFonts w:hint="default" w:hAnsi="宋体" w:cs="宋体"/>
          <w:sz w:val="24"/>
          <w:szCs w:val="24"/>
          <w:highlight w:val="none"/>
        </w:rPr>
        <w:t>个孔、每个孔勘察</w:t>
      </w:r>
      <w:r>
        <w:rPr>
          <w:rFonts w:hint="default" w:hAnsi="宋体" w:cs="宋体"/>
          <w:sz w:val="24"/>
          <w:szCs w:val="24"/>
          <w:highlight w:val="none"/>
          <w:lang w:val="en-US" w:eastAsia="zh-CN"/>
        </w:rPr>
        <w:t>55</w:t>
      </w:r>
      <w:r>
        <w:rPr>
          <w:rFonts w:hint="default" w:hAnsi="宋体" w:cs="宋体"/>
          <w:sz w:val="24"/>
          <w:szCs w:val="24"/>
          <w:highlight w:val="none"/>
        </w:rPr>
        <w:t>米计算</w:t>
      </w:r>
      <w:r>
        <w:rPr>
          <w:rFonts w:hint="default" w:hAnsi="宋体" w:cs="宋体"/>
          <w:sz w:val="24"/>
          <w:szCs w:val="24"/>
          <w:highlight w:val="none"/>
          <w:lang w:eastAsia="zh-CN"/>
        </w:rPr>
        <w:t>，</w:t>
      </w:r>
      <w:r>
        <w:rPr>
          <w:rFonts w:hint="default" w:hAnsi="宋体" w:cs="宋体"/>
          <w:sz w:val="24"/>
          <w:szCs w:val="24"/>
          <w:highlight w:val="none"/>
          <w:lang w:val="en-US" w:eastAsia="zh-CN"/>
        </w:rPr>
        <w:t>费用暂定522500元</w:t>
      </w:r>
      <w:r>
        <w:rPr>
          <w:rFonts w:hint="default" w:hAnsi="宋体" w:cs="宋体"/>
          <w:sz w:val="24"/>
          <w:szCs w:val="24"/>
          <w:highlight w:val="none"/>
          <w:lang w:eastAsia="zh-CN"/>
        </w:rPr>
        <w:t>。</w:t>
      </w:r>
      <w:r>
        <w:rPr>
          <w:rFonts w:hint="default" w:hAnsi="宋体" w:cs="宋体"/>
          <w:sz w:val="24"/>
          <w:szCs w:val="24"/>
          <w:highlight w:val="none"/>
        </w:rPr>
        <w:t>结算价=实际钻孔数×实际勘察深度×综合单价。</w:t>
      </w:r>
    </w:p>
    <w:p>
      <w:pPr>
        <w:pStyle w:val="8"/>
        <w:widowControl/>
        <w:spacing w:line="360" w:lineRule="auto"/>
        <w:ind w:firstLine="480" w:firstLineChars="200"/>
        <w:rPr>
          <w:rFonts w:hint="default" w:hAnsi="宋体" w:cs="宋体"/>
          <w:sz w:val="24"/>
          <w:szCs w:val="24"/>
          <w:highlight w:val="none"/>
        </w:rPr>
      </w:pPr>
      <w:r>
        <w:rPr>
          <w:rFonts w:hint="eastAsia" w:hAnsi="宋体" w:cs="宋体"/>
          <w:sz w:val="24"/>
          <w:szCs w:val="24"/>
          <w:highlight w:val="none"/>
          <w:lang w:val="en-US" w:eastAsia="zh-CN"/>
        </w:rPr>
        <w:t>2、</w:t>
      </w:r>
      <w:r>
        <w:rPr>
          <w:rFonts w:hint="default" w:hAnsi="宋体" w:cs="宋体"/>
          <w:sz w:val="24"/>
          <w:szCs w:val="24"/>
          <w:highlight w:val="none"/>
        </w:rPr>
        <w:t>波速测试限价为综合单价</w:t>
      </w:r>
      <w:r>
        <w:rPr>
          <w:rFonts w:hint="default" w:hAnsi="宋体" w:cs="宋体"/>
          <w:sz w:val="24"/>
          <w:szCs w:val="24"/>
          <w:highlight w:val="none"/>
          <w:lang w:val="en-US" w:eastAsia="zh-CN"/>
        </w:rPr>
        <w:t>350</w:t>
      </w:r>
      <w:r>
        <w:rPr>
          <w:rFonts w:hint="eastAsia" w:hAnsi="宋体" w:cs="宋体"/>
          <w:sz w:val="24"/>
          <w:szCs w:val="24"/>
          <w:highlight w:val="none"/>
          <w:lang w:val="en-US" w:eastAsia="zh-CN"/>
        </w:rPr>
        <w:t>0</w:t>
      </w:r>
      <w:r>
        <w:rPr>
          <w:rFonts w:hint="default" w:hAnsi="宋体" w:cs="宋体"/>
          <w:sz w:val="24"/>
          <w:szCs w:val="24"/>
          <w:highlight w:val="none"/>
        </w:rPr>
        <w:t>元/</w:t>
      </w:r>
      <w:r>
        <w:rPr>
          <w:rFonts w:hint="default" w:hAnsi="宋体" w:cs="宋体"/>
          <w:sz w:val="24"/>
          <w:szCs w:val="24"/>
          <w:highlight w:val="none"/>
          <w:lang w:val="en-US" w:eastAsia="zh-CN"/>
        </w:rPr>
        <w:t>孔，暂按8孔计算，费用暂定28000元。</w:t>
      </w:r>
      <w:r>
        <w:rPr>
          <w:rFonts w:hint="default" w:hAnsi="宋体" w:cs="宋体"/>
          <w:sz w:val="24"/>
          <w:szCs w:val="24"/>
          <w:highlight w:val="none"/>
        </w:rPr>
        <w:t>结算价=实际钻孔数×综合单价。</w:t>
      </w:r>
    </w:p>
    <w:p>
      <w:pPr>
        <w:pStyle w:val="8"/>
        <w:widowControl/>
        <w:spacing w:line="360" w:lineRule="auto"/>
        <w:ind w:firstLine="480" w:firstLineChars="200"/>
        <w:rPr>
          <w:rFonts w:hint="default" w:hAnsi="宋体" w:cs="宋体"/>
          <w:sz w:val="24"/>
          <w:szCs w:val="24"/>
          <w:highlight w:val="none"/>
        </w:rPr>
      </w:pPr>
      <w:r>
        <w:rPr>
          <w:rFonts w:hint="eastAsia" w:hAnsi="宋体" w:cs="宋体"/>
          <w:sz w:val="24"/>
          <w:szCs w:val="24"/>
          <w:highlight w:val="none"/>
          <w:lang w:val="en-US" w:eastAsia="zh-CN"/>
        </w:rPr>
        <w:t>3、</w:t>
      </w:r>
      <w:r>
        <w:rPr>
          <w:rFonts w:hint="default" w:hAnsi="宋体" w:cs="宋体"/>
          <w:sz w:val="24"/>
          <w:szCs w:val="24"/>
          <w:highlight w:val="none"/>
        </w:rPr>
        <w:t>抽水试验限价为综合单价</w:t>
      </w:r>
      <w:r>
        <w:rPr>
          <w:rFonts w:hint="default" w:hAnsi="宋体" w:cs="宋体"/>
          <w:sz w:val="24"/>
          <w:szCs w:val="24"/>
          <w:highlight w:val="none"/>
          <w:lang w:val="en-US" w:eastAsia="zh-CN"/>
        </w:rPr>
        <w:t>5500</w:t>
      </w:r>
      <w:r>
        <w:rPr>
          <w:rFonts w:hint="default" w:hAnsi="宋体" w:cs="宋体"/>
          <w:sz w:val="24"/>
          <w:szCs w:val="24"/>
          <w:highlight w:val="none"/>
        </w:rPr>
        <w:t>元/</w:t>
      </w:r>
      <w:r>
        <w:rPr>
          <w:rFonts w:hint="default" w:hAnsi="宋体" w:cs="宋体"/>
          <w:sz w:val="24"/>
          <w:szCs w:val="24"/>
          <w:highlight w:val="none"/>
          <w:lang w:val="en-US" w:eastAsia="zh-CN"/>
        </w:rPr>
        <w:t>孔，暂按2孔计算，费用暂定11000元。</w:t>
      </w:r>
      <w:r>
        <w:rPr>
          <w:rFonts w:hint="default" w:hAnsi="宋体" w:cs="宋体"/>
          <w:sz w:val="24"/>
          <w:szCs w:val="24"/>
          <w:highlight w:val="none"/>
        </w:rPr>
        <w:t>结算价=实际钻孔数×综合单价。</w:t>
      </w:r>
    </w:p>
    <w:p>
      <w:pPr>
        <w:pStyle w:val="8"/>
        <w:widowControl/>
        <w:spacing w:line="360" w:lineRule="auto"/>
        <w:ind w:firstLine="480" w:firstLineChars="200"/>
        <w:rPr>
          <w:rFonts w:hint="default" w:hAnsi="宋体" w:cs="宋体"/>
          <w:sz w:val="24"/>
          <w:szCs w:val="24"/>
          <w:highlight w:val="none"/>
        </w:rPr>
      </w:pPr>
      <w:r>
        <w:rPr>
          <w:rFonts w:hint="eastAsia" w:hAnsi="宋体" w:cs="宋体"/>
          <w:sz w:val="24"/>
          <w:szCs w:val="24"/>
          <w:highlight w:val="none"/>
          <w:lang w:val="en-US" w:eastAsia="zh-CN"/>
        </w:rPr>
        <w:t>4、</w:t>
      </w:r>
      <w:r>
        <w:rPr>
          <w:rFonts w:hint="default" w:hAnsi="宋体" w:cs="宋体"/>
          <w:sz w:val="24"/>
          <w:szCs w:val="24"/>
          <w:highlight w:val="none"/>
        </w:rPr>
        <w:t>土壤氡检测限价为综合单价</w:t>
      </w:r>
      <w:r>
        <w:rPr>
          <w:rFonts w:hint="default" w:hAnsi="宋体" w:cs="宋体"/>
          <w:sz w:val="24"/>
          <w:szCs w:val="24"/>
          <w:highlight w:val="none"/>
          <w:lang w:val="en-US" w:eastAsia="zh-CN"/>
        </w:rPr>
        <w:t>110</w:t>
      </w:r>
      <w:r>
        <w:rPr>
          <w:rFonts w:hint="default" w:hAnsi="宋体" w:cs="宋体"/>
          <w:sz w:val="24"/>
          <w:szCs w:val="24"/>
          <w:highlight w:val="none"/>
        </w:rPr>
        <w:t>元/</w:t>
      </w:r>
      <w:r>
        <w:rPr>
          <w:rFonts w:hint="default" w:hAnsi="宋体" w:cs="宋体"/>
          <w:sz w:val="24"/>
          <w:szCs w:val="24"/>
          <w:highlight w:val="none"/>
          <w:lang w:val="en-US" w:eastAsia="zh-CN"/>
        </w:rPr>
        <w:t>点位，暂按400点位计算，费用暂定44000元。</w:t>
      </w:r>
      <w:r>
        <w:rPr>
          <w:rFonts w:hint="default" w:hAnsi="宋体" w:cs="宋体"/>
          <w:sz w:val="24"/>
          <w:szCs w:val="24"/>
          <w:highlight w:val="none"/>
        </w:rPr>
        <w:t>结算价=实际</w:t>
      </w:r>
      <w:r>
        <w:rPr>
          <w:rFonts w:hint="default" w:hAnsi="宋体" w:cs="宋体"/>
          <w:sz w:val="24"/>
          <w:szCs w:val="24"/>
          <w:highlight w:val="none"/>
          <w:lang w:val="en-US" w:eastAsia="zh-CN"/>
        </w:rPr>
        <w:t>检测点位数</w:t>
      </w:r>
      <w:r>
        <w:rPr>
          <w:rFonts w:hint="default" w:hAnsi="宋体" w:cs="宋体"/>
          <w:sz w:val="24"/>
          <w:szCs w:val="24"/>
          <w:highlight w:val="none"/>
        </w:rPr>
        <w:t>×综合单价。</w:t>
      </w:r>
    </w:p>
    <w:p>
      <w:pPr>
        <w:pStyle w:val="8"/>
        <w:widowControl/>
        <w:spacing w:line="360" w:lineRule="auto"/>
        <w:ind w:firstLine="480" w:firstLineChars="200"/>
        <w:rPr>
          <w:rFonts w:hint="default" w:hAnsi="宋体" w:cs="宋体"/>
          <w:sz w:val="24"/>
          <w:szCs w:val="24"/>
          <w:highlight w:val="none"/>
        </w:rPr>
      </w:pPr>
      <w:r>
        <w:rPr>
          <w:rFonts w:hint="eastAsia" w:hAnsi="宋体" w:cs="宋体"/>
          <w:sz w:val="24"/>
          <w:szCs w:val="24"/>
          <w:highlight w:val="none"/>
          <w:lang w:val="en-US" w:eastAsia="zh-CN"/>
        </w:rPr>
        <w:t>5、</w:t>
      </w:r>
      <w:r>
        <w:rPr>
          <w:rFonts w:hint="default" w:hAnsi="宋体" w:cs="宋体"/>
          <w:sz w:val="24"/>
          <w:szCs w:val="24"/>
          <w:highlight w:val="none"/>
        </w:rPr>
        <w:t>地下管线探测限价为综合单价</w:t>
      </w:r>
      <w:r>
        <w:rPr>
          <w:rFonts w:hint="default" w:hAnsi="宋体" w:cs="宋体"/>
          <w:sz w:val="24"/>
          <w:szCs w:val="24"/>
          <w:highlight w:val="none"/>
          <w:lang w:val="en-US" w:eastAsia="zh-CN"/>
        </w:rPr>
        <w:t>1.5</w:t>
      </w:r>
      <w:r>
        <w:rPr>
          <w:rFonts w:hint="default" w:hAnsi="宋体" w:cs="宋体"/>
          <w:sz w:val="24"/>
          <w:szCs w:val="24"/>
          <w:highlight w:val="none"/>
        </w:rPr>
        <w:t>元/平方米，暂按用地红线外扩2</w:t>
      </w:r>
      <w:r>
        <w:rPr>
          <w:rFonts w:hint="default" w:hAnsi="宋体" w:cs="宋体"/>
          <w:sz w:val="24"/>
          <w:szCs w:val="24"/>
          <w:highlight w:val="none"/>
          <w:lang w:val="en-US" w:eastAsia="zh-CN"/>
        </w:rPr>
        <w:t>0</w:t>
      </w:r>
      <w:r>
        <w:rPr>
          <w:rFonts w:hint="default" w:hAnsi="宋体" w:cs="宋体"/>
          <w:sz w:val="24"/>
          <w:szCs w:val="24"/>
          <w:highlight w:val="none"/>
        </w:rPr>
        <w:t>米计算</w:t>
      </w:r>
      <w:r>
        <w:rPr>
          <w:rFonts w:hint="default" w:hAnsi="宋体" w:cs="宋体"/>
          <w:sz w:val="24"/>
          <w:szCs w:val="24"/>
          <w:highlight w:val="none"/>
          <w:lang w:eastAsia="zh-CN"/>
        </w:rPr>
        <w:t>（</w:t>
      </w:r>
      <w:r>
        <w:rPr>
          <w:rFonts w:hint="default" w:hAnsi="宋体" w:cs="宋体"/>
          <w:sz w:val="24"/>
          <w:szCs w:val="24"/>
          <w:highlight w:val="none"/>
          <w:lang w:val="en-US" w:eastAsia="zh-CN"/>
        </w:rPr>
        <w:t>即38537㎡），费用暂定57805.5元。</w:t>
      </w:r>
      <w:r>
        <w:rPr>
          <w:rFonts w:hint="default" w:hAnsi="宋体" w:cs="宋体"/>
          <w:sz w:val="24"/>
          <w:szCs w:val="24"/>
          <w:highlight w:val="none"/>
        </w:rPr>
        <w:t>结算价=实际</w:t>
      </w:r>
      <w:r>
        <w:rPr>
          <w:rFonts w:hint="default" w:hAnsi="宋体" w:cs="宋体"/>
          <w:sz w:val="24"/>
          <w:szCs w:val="24"/>
          <w:highlight w:val="none"/>
          <w:lang w:val="en-US" w:eastAsia="zh-CN"/>
        </w:rPr>
        <w:t>探测面积</w:t>
      </w:r>
      <w:r>
        <w:rPr>
          <w:rFonts w:hint="default" w:hAnsi="宋体" w:cs="宋体"/>
          <w:sz w:val="24"/>
          <w:szCs w:val="24"/>
          <w:highlight w:val="none"/>
        </w:rPr>
        <w:t>×综合单价。</w:t>
      </w:r>
    </w:p>
    <w:p>
      <w:pPr>
        <w:pStyle w:val="8"/>
        <w:widowControl/>
        <w:spacing w:line="360" w:lineRule="auto"/>
        <w:rPr>
          <w:rFonts w:hint="default" w:hAnsi="宋体" w:cs="宋体"/>
          <w:sz w:val="24"/>
          <w:szCs w:val="24"/>
          <w:highlight w:val="none"/>
        </w:rPr>
      </w:pPr>
      <w:r>
        <w:rPr>
          <w:rFonts w:hAnsi="宋体" w:cs="宋体"/>
          <w:sz w:val="24"/>
          <w:szCs w:val="24"/>
          <w:highlight w:val="none"/>
        </w:rPr>
        <w:t xml:space="preserve">    注：以上费用均参照计价格[2002]10号文为计费标准。</w:t>
      </w:r>
    </w:p>
    <w:p>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14．投标货币</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14.1 本次投标报价采用的币种为</w:t>
      </w:r>
      <w:r>
        <w:rPr>
          <w:rFonts w:hint="eastAsia" w:ascii="宋体" w:hAnsi="宋体" w:cs="宋体"/>
          <w:b/>
          <w:sz w:val="24"/>
          <w:szCs w:val="24"/>
          <w:highlight w:val="none"/>
        </w:rPr>
        <w:t>人民币</w:t>
      </w:r>
      <w:r>
        <w:rPr>
          <w:rFonts w:hint="eastAsia" w:ascii="宋体" w:hAnsi="宋体" w:cs="宋体"/>
          <w:sz w:val="24"/>
          <w:szCs w:val="24"/>
          <w:highlight w:val="none"/>
        </w:rPr>
        <w:t>。</w:t>
      </w:r>
    </w:p>
    <w:p>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15．投标有效期</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15.1 投标有效期见投标须知前附表第15项所规定的期限，在此期限内，凡符合本招标文件要求的投标文件均保持有效。</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16．投标保证金</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本项目不要求递交投标保证金。</w:t>
      </w:r>
    </w:p>
    <w:p>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17．投标文件的份数和签署</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17.1 投标人应按投标须知前附表第17项规定的份数提交投标文件。</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17.5</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rPr>
        <w:t>投标文件的规格：统一A4印刷本，纸质封面，可双面或单面打印。封面标明招标项目名称、编号、投标人、投标时间，右上角打上正本（或副本）。使用书式装订，装订时书订不外露；不能使用塑料面或塑料胶条装订。</w:t>
      </w:r>
    </w:p>
    <w:p>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17.6</w:t>
      </w:r>
      <w:r>
        <w:rPr>
          <w:rFonts w:hint="eastAsia" w:ascii="宋体" w:hAnsi="宋体" w:cs="宋体"/>
          <w:sz w:val="24"/>
          <w:szCs w:val="24"/>
          <w:highlight w:val="none"/>
          <w:lang w:val="en-US" w:eastAsia="zh-CN"/>
        </w:rPr>
        <w:t xml:space="preserve"> </w:t>
      </w:r>
      <w:r>
        <w:rPr>
          <w:rFonts w:hint="eastAsia" w:ascii="宋体" w:hAnsi="宋体" w:cs="宋体"/>
          <w:sz w:val="24"/>
          <w:szCs w:val="24"/>
          <w:highlight w:val="none"/>
        </w:rPr>
        <w:t>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sz w:val="24"/>
          <w:highlight w:val="none"/>
        </w:rPr>
      </w:pPr>
      <w:r>
        <w:rPr>
          <w:rFonts w:hint="eastAsia" w:ascii="宋体" w:hAnsi="宋体" w:cs="宋体"/>
          <w:b/>
          <w:sz w:val="24"/>
          <w:highlight w:val="none"/>
        </w:rPr>
        <w:t>（四）投标文件的提交</w:t>
      </w:r>
    </w:p>
    <w:p>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18．投标文件的包封、密封和标记</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18.1 投标文件的包封要求：商务标正本（1本）、副本（4本）一起包封；技术标正本（1本）、副本（4本）一起包封</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投标文件正本电子版（1份）</w:t>
      </w:r>
      <w:r>
        <w:rPr>
          <w:rFonts w:hint="eastAsia" w:ascii="宋体" w:hAnsi="宋体" w:eastAsia="宋体" w:cs="宋体"/>
          <w:sz w:val="24"/>
          <w:highlight w:val="none"/>
        </w:rPr>
        <w:t>。</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18.3投标文件的标记要求：每个包封上应具有以下标记：</w:t>
      </w:r>
    </w:p>
    <w:p>
      <w:pPr>
        <w:snapToGrid w:val="0"/>
        <w:spacing w:line="360" w:lineRule="auto"/>
        <w:ind w:left="1" w:hanging="1"/>
        <w:rPr>
          <w:rFonts w:ascii="宋体" w:hAnsi="宋体" w:eastAsia="宋体" w:cs="宋体"/>
          <w:sz w:val="24"/>
          <w:highlight w:val="none"/>
          <w:u w:val="single"/>
        </w:rPr>
      </w:pPr>
      <w:r>
        <w:rPr>
          <w:rFonts w:hint="eastAsia" w:ascii="宋体" w:hAnsi="宋体" w:eastAsia="宋体" w:cs="宋体"/>
          <w:sz w:val="24"/>
          <w:highlight w:val="none"/>
        </w:rPr>
        <w:t xml:space="preserve">    18.3.1招标人的名称和地址：</w:t>
      </w:r>
      <w:r>
        <w:rPr>
          <w:rFonts w:hint="eastAsia" w:ascii="宋体" w:hAnsi="宋体" w:eastAsia="宋体" w:cs="宋体"/>
          <w:sz w:val="24"/>
          <w:highlight w:val="none"/>
          <w:u w:val="single"/>
        </w:rPr>
        <w:t>/</w:t>
      </w:r>
    </w:p>
    <w:p>
      <w:pPr>
        <w:snapToGrid w:val="0"/>
        <w:spacing w:line="360" w:lineRule="auto"/>
        <w:ind w:left="1" w:hanging="1"/>
        <w:rPr>
          <w:rFonts w:ascii="宋体" w:hAnsi="宋体" w:eastAsia="宋体" w:cs="宋体"/>
          <w:sz w:val="24"/>
          <w:highlight w:val="none"/>
        </w:rPr>
      </w:pPr>
      <w:r>
        <w:rPr>
          <w:rFonts w:hint="eastAsia" w:ascii="宋体" w:hAnsi="宋体" w:eastAsia="宋体" w:cs="宋体"/>
          <w:sz w:val="24"/>
          <w:highlight w:val="none"/>
        </w:rPr>
        <w:t xml:space="preserve">    18.3.2 广州南沙区珠江街道2022NJY-9</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地块二</w:t>
      </w:r>
      <w:r>
        <w:rPr>
          <w:rFonts w:hint="eastAsia" w:ascii="宋体" w:hAnsi="宋体" w:eastAsia="宋体" w:cs="宋体"/>
          <w:sz w:val="24"/>
          <w:highlight w:val="none"/>
          <w:lang w:eastAsia="zh-CN"/>
        </w:rPr>
        <w:t>）</w:t>
      </w:r>
      <w:r>
        <w:rPr>
          <w:rFonts w:hint="eastAsia" w:ascii="宋体" w:hAnsi="宋体" w:eastAsia="宋体" w:cs="宋体"/>
          <w:sz w:val="24"/>
          <w:highlight w:val="none"/>
        </w:rPr>
        <w:t>工程勘察服务</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18.3.3</w:t>
      </w:r>
      <w:r>
        <w:rPr>
          <w:rFonts w:hint="eastAsia" w:ascii="宋体" w:hAnsi="宋体" w:eastAsia="宋体" w:cs="宋体"/>
          <w:sz w:val="24"/>
          <w:highlight w:val="none"/>
          <w:u w:val="single"/>
        </w:rPr>
        <w:t>/</w:t>
      </w:r>
      <w:r>
        <w:rPr>
          <w:rFonts w:hint="eastAsia" w:ascii="宋体" w:hAnsi="宋体" w:eastAsia="宋体" w:cs="宋体"/>
          <w:sz w:val="24"/>
          <w:highlight w:val="none"/>
        </w:rPr>
        <w:t>前不得开封（填入前附表第19项所述日期及时间）</w:t>
      </w:r>
    </w:p>
    <w:p>
      <w:pPr>
        <w:snapToGrid w:val="0"/>
        <w:spacing w:line="360" w:lineRule="auto"/>
        <w:ind w:left="1" w:hanging="1"/>
        <w:rPr>
          <w:rFonts w:ascii="宋体" w:hAnsi="宋体" w:eastAsia="宋体" w:cs="宋体"/>
          <w:sz w:val="24"/>
          <w:highlight w:val="none"/>
        </w:rPr>
      </w:pPr>
      <w:r>
        <w:rPr>
          <w:rFonts w:hint="eastAsia" w:ascii="宋体" w:hAnsi="宋体" w:eastAsia="宋体" w:cs="宋体"/>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18.5如果包封上没有按上述规定密封并加写标志，招标人将不承担投标文件错放或提前开封的责任，由此造成的提前开封的投标文件，招标人予以拒绝，并退还给投标人。</w:t>
      </w:r>
    </w:p>
    <w:p>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19．投标</w:t>
      </w:r>
      <w:r>
        <w:rPr>
          <w:rFonts w:hint="eastAsia" w:ascii="宋体" w:hAnsi="宋体" w:cs="宋体"/>
          <w:b/>
          <w:sz w:val="24"/>
          <w:szCs w:val="24"/>
          <w:highlight w:val="none"/>
        </w:rPr>
        <w:t>文件</w:t>
      </w:r>
      <w:r>
        <w:rPr>
          <w:rFonts w:hint="eastAsia" w:ascii="宋体" w:hAnsi="宋体" w:cs="宋体"/>
          <w:b/>
          <w:sz w:val="24"/>
          <w:highlight w:val="none"/>
        </w:rPr>
        <w:t>的提交</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19.1 投标人应按投标须知前附表第19项所规定的地点，于截止时间前提交投标文件，并办理好送达签认手续</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也可采用邮寄的方式递交</w:t>
      </w:r>
      <w:r>
        <w:rPr>
          <w:rFonts w:hint="eastAsia" w:ascii="宋体" w:hAnsi="宋体" w:eastAsia="宋体" w:cs="宋体"/>
          <w:sz w:val="24"/>
          <w:highlight w:val="none"/>
        </w:rPr>
        <w:t>。</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19.2投标文件提交人在提交投标文件时应出示法定代表人证明书（原件）、法定代表人授权委托证明书（原件）及本人身份证（原件）提交投标文件。</w:t>
      </w:r>
    </w:p>
    <w:p>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20．投标文件提交的截止时间</w:t>
      </w:r>
    </w:p>
    <w:p>
      <w:pPr>
        <w:spacing w:line="360" w:lineRule="auto"/>
        <w:ind w:firstLine="480" w:firstLineChars="200"/>
        <w:rPr>
          <w:rFonts w:ascii="宋体" w:hAnsi="宋体" w:eastAsia="宋体" w:cs="宋体"/>
          <w:b/>
          <w:sz w:val="24"/>
          <w:highlight w:val="none"/>
        </w:rPr>
      </w:pPr>
      <w:r>
        <w:rPr>
          <w:rFonts w:hint="eastAsia" w:ascii="宋体" w:hAnsi="宋体" w:eastAsia="宋体" w:cs="宋体"/>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3"/>
        <w:widowControl/>
        <w:spacing w:beforeAutospacing="0" w:after="0" w:line="360" w:lineRule="auto"/>
        <w:ind w:firstLine="482" w:firstLineChars="200"/>
        <w:outlineLvl w:val="3"/>
        <w:rPr>
          <w:rFonts w:ascii="宋体" w:hAnsi="宋体" w:cs="宋体"/>
          <w:sz w:val="24"/>
          <w:highlight w:val="none"/>
        </w:rPr>
      </w:pPr>
      <w:r>
        <w:rPr>
          <w:rFonts w:hint="eastAsia" w:ascii="宋体" w:hAnsi="宋体" w:cs="宋体"/>
          <w:b/>
          <w:sz w:val="24"/>
          <w:highlight w:val="none"/>
        </w:rPr>
        <w:t>21．迟交的投标文件</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21.1 招标人在本须知第19条规定的投标截止时间以后收到的投标文件，将被拒绝并退回给投标人。</w:t>
      </w:r>
    </w:p>
    <w:p>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22．投标文件的补充、修改与撤回</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sz w:val="24"/>
          <w:highlight w:val="none"/>
        </w:rPr>
      </w:pPr>
      <w:r>
        <w:rPr>
          <w:rFonts w:hint="eastAsia" w:ascii="宋体" w:hAnsi="宋体" w:eastAsia="宋体" w:cs="宋体"/>
          <w:b/>
          <w:sz w:val="24"/>
          <w:highlight w:val="none"/>
        </w:rPr>
        <w:t>（五）开标</w:t>
      </w:r>
    </w:p>
    <w:p>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24．开标</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24.4开标程序：</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1）开标由招标人主持；</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3）经确认无误后，由有关工作人员公布下列内容：a.法定代表人证明及授权委托；b.标书密封情况；c.投标报价；d.服务期；e.质量目标；f.项目负责人等主要内容。</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sz w:val="24"/>
          <w:highlight w:val="none"/>
        </w:rPr>
      </w:pPr>
      <w:r>
        <w:rPr>
          <w:rFonts w:hint="eastAsia" w:ascii="宋体" w:hAnsi="宋体" w:eastAsia="宋体" w:cs="宋体"/>
          <w:b/>
          <w:sz w:val="24"/>
          <w:highlight w:val="none"/>
        </w:rPr>
        <w:t>24.6 投标文件有下列情形之一的，招标人不予受理：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24.6.1逾期送达的或者未送达指定地点的；</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24.6.2未按招标文件要求密封的。</w:t>
      </w:r>
    </w:p>
    <w:p>
      <w:pPr>
        <w:spacing w:line="360" w:lineRule="auto"/>
        <w:ind w:firstLine="482" w:firstLineChars="200"/>
        <w:rPr>
          <w:rFonts w:ascii="宋体" w:hAnsi="宋体" w:eastAsia="宋体" w:cs="宋体"/>
          <w:b/>
          <w:sz w:val="24"/>
          <w:highlight w:val="none"/>
        </w:rPr>
      </w:pPr>
      <w:r>
        <w:rPr>
          <w:rFonts w:hint="eastAsia" w:ascii="宋体" w:hAnsi="宋体" w:eastAsia="宋体" w:cs="宋体"/>
          <w:b/>
          <w:sz w:val="24"/>
          <w:highlight w:val="none"/>
        </w:rPr>
        <w:t>24.7招标人将上述符合要求的投标文件，送至评标小组进行评审的。</w:t>
      </w:r>
    </w:p>
    <w:p>
      <w:pPr>
        <w:spacing w:line="360" w:lineRule="auto"/>
        <w:ind w:firstLine="482" w:firstLineChars="200"/>
        <w:outlineLvl w:val="2"/>
        <w:rPr>
          <w:rFonts w:ascii="宋体" w:hAnsi="宋体" w:eastAsia="宋体" w:cs="宋体"/>
          <w:b/>
          <w:sz w:val="24"/>
          <w:highlight w:val="none"/>
        </w:rPr>
      </w:pPr>
      <w:r>
        <w:rPr>
          <w:rFonts w:hint="eastAsia" w:ascii="宋体" w:hAnsi="宋体" w:eastAsia="宋体" w:cs="宋体"/>
          <w:b/>
          <w:sz w:val="24"/>
          <w:highlight w:val="none"/>
        </w:rPr>
        <w:t>（六） 评标</w:t>
      </w:r>
    </w:p>
    <w:p>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25．评标过程的保密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25.2 在投标文件的评审和比较、中标候选人推荐以及授予合同的过程中，投标人向招标人和评标小组施加影响的任何行为，都将会导致其投标被拒绝。</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25.3 中标人确定后，招标人不对未中标人就评标过程以及未能中标原因作出任何解释。未中标人不得向评标小组组成人员或其他有关人员索问评标过程的情况和材料。</w:t>
      </w:r>
    </w:p>
    <w:p>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26．投标文件的澄清</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26.2 如果投标文件实质上不响应招标文件的各项要求，评标小组将予以拒绝，并且不允许投标人通过修改或撤销其不符合要求的差异或保留，使之成为具有响应性的投标。</w:t>
      </w:r>
    </w:p>
    <w:p>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27．投标文件的评审、比较和否决</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27.1 评标小组将按照本须知第26条规定，仅对在实质上响应招标文件要求的投标文件进行评审和比较。</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27.2 在评审过程中，评标小组可以以书面形式要求投标人就投标文件中含义不明确的内容进行书面说明并提供相关材料。</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27.3 评标小组依据投标须知前附表第20项规定的评标标准和方法，详见本招标文件《评标办法》，对投标文件进行评审和比较，向招标人提出书面评标报告，并推荐经评审投标报价由低至高排序的前一～三名为第一、第二和第三中标候选人。招标人根据评标小组提出的书面评标报告和推荐的中标候选人中，按排序依法确定中标人。</w:t>
      </w:r>
    </w:p>
    <w:p>
      <w:pPr>
        <w:spacing w:line="360" w:lineRule="auto"/>
        <w:ind w:firstLine="482" w:firstLineChars="200"/>
        <w:rPr>
          <w:rFonts w:ascii="宋体" w:hAnsi="宋体" w:eastAsia="宋体" w:cs="宋体"/>
          <w:b/>
          <w:sz w:val="24"/>
          <w:highlight w:val="none"/>
        </w:rPr>
      </w:pPr>
      <w:r>
        <w:rPr>
          <w:rFonts w:hint="eastAsia" w:ascii="宋体" w:hAnsi="宋体" w:eastAsia="宋体" w:cs="宋体"/>
          <w:b/>
          <w:sz w:val="24"/>
          <w:highlight w:val="none"/>
        </w:rPr>
        <w:t>28．评标小组依据有关法律、法规和招标文件的规定对投标文件进行评审，经评定的有效投标人不足三名时，招标人应当依法重新组织招标。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sz w:val="24"/>
          <w:highlight w:val="none"/>
        </w:rPr>
      </w:pPr>
      <w:r>
        <w:rPr>
          <w:rFonts w:hint="eastAsia" w:ascii="宋体" w:hAnsi="宋体" w:eastAsia="宋体" w:cs="宋体"/>
          <w:b/>
          <w:sz w:val="24"/>
          <w:highlight w:val="none"/>
        </w:rPr>
        <w:t>（七）合同的授予</w:t>
      </w:r>
    </w:p>
    <w:p>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29．合同授予标准</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29.1 本招标(项目)的</w:t>
      </w:r>
      <w:r>
        <w:rPr>
          <w:rFonts w:hint="eastAsia" w:ascii="宋体" w:hAnsi="宋体" w:eastAsia="宋体" w:cs="宋体"/>
          <w:sz w:val="24"/>
          <w:highlight w:val="none"/>
          <w:lang w:val="en-US" w:eastAsia="zh-CN"/>
        </w:rPr>
        <w:t>勘察服务</w:t>
      </w:r>
      <w:r>
        <w:rPr>
          <w:rFonts w:hint="eastAsia" w:ascii="宋体" w:hAnsi="宋体" w:eastAsia="宋体" w:cs="宋体"/>
          <w:sz w:val="24"/>
          <w:highlight w:val="none"/>
        </w:rPr>
        <w:t>合同将授予按本须知第27.3款所确定的中标人。</w:t>
      </w:r>
    </w:p>
    <w:p>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30．招标人保留接受或拒绝任何某一投标或所有投标的权力</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30.1 招标人不承诺将合同授予报价最低的投标人。招标人在发出中标通知书前，有权依据评标小组的评标报告拒绝不合格的投标。</w:t>
      </w:r>
    </w:p>
    <w:p>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31．中标通知书</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31.1中标通知书经招标人确认，并由招标人颁发。</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31.2中标人必须在收到中标通知书后24小时之内以书面形式回复招标人，确认收到。</w:t>
      </w:r>
    </w:p>
    <w:p>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32．合同协议书的签订</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32.3中标人在投标过程使用的投标人名称、银行名称和账号至项目完成竣工结算不得变更，否则，招标人有权停止勘察服务款项的拨付及至解除合同，由此造成的一切责任由中标人承担。</w:t>
      </w:r>
    </w:p>
    <w:p>
      <w:pPr>
        <w:pStyle w:val="13"/>
        <w:widowControl/>
        <w:numPr>
          <w:ilvl w:val="0"/>
          <w:numId w:val="1"/>
        </w:numPr>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合同生效</w:t>
      </w:r>
    </w:p>
    <w:p>
      <w:pPr>
        <w:pStyle w:val="13"/>
        <w:widowControl/>
        <w:spacing w:beforeAutospacing="0" w:after="0" w:line="360" w:lineRule="auto"/>
        <w:ind w:firstLine="480" w:firstLineChars="200"/>
        <w:outlineLvl w:val="3"/>
        <w:rPr>
          <w:rFonts w:ascii="黑体" w:hAnsi="宋体" w:cs="黑体"/>
          <w:b/>
          <w:kern w:val="44"/>
          <w:sz w:val="44"/>
          <w:szCs w:val="44"/>
          <w:highlight w:val="none"/>
        </w:rPr>
      </w:pPr>
      <w:r>
        <w:rPr>
          <w:rFonts w:hint="eastAsia" w:ascii="宋体" w:hAnsi="宋体" w:cs="宋体"/>
          <w:sz w:val="24"/>
          <w:highlight w:val="none"/>
        </w:rPr>
        <w:t>33.1在合同双方全权代表在合同协议书上签字，并分别加盖双方单位的公章，合同正式生效。</w:t>
      </w:r>
      <w:bookmarkStart w:id="4" w:name="_Toc1632"/>
      <w:bookmarkStart w:id="5" w:name="_Toc27492"/>
    </w:p>
    <w:p>
      <w:pPr>
        <w:pStyle w:val="2"/>
        <w:widowControl/>
        <w:spacing w:before="0" w:after="0" w:line="360" w:lineRule="auto"/>
        <w:jc w:val="center"/>
        <w:rPr>
          <w:rFonts w:ascii="黑体" w:hAnsi="宋体" w:cs="黑体"/>
          <w:b/>
          <w:color w:val="auto"/>
          <w:kern w:val="44"/>
          <w:sz w:val="44"/>
          <w:szCs w:val="44"/>
          <w:highlight w:val="none"/>
        </w:rPr>
      </w:pPr>
    </w:p>
    <w:p>
      <w:pPr>
        <w:pStyle w:val="2"/>
        <w:widowControl/>
        <w:spacing w:before="0" w:after="0" w:line="360" w:lineRule="auto"/>
        <w:jc w:val="center"/>
        <w:rPr>
          <w:rFonts w:ascii="黑体" w:hAnsi="宋体" w:cs="黑体"/>
          <w:b/>
          <w:color w:val="auto"/>
          <w:kern w:val="44"/>
          <w:sz w:val="44"/>
          <w:szCs w:val="44"/>
          <w:highlight w:val="none"/>
        </w:rPr>
      </w:pPr>
    </w:p>
    <w:p>
      <w:pPr>
        <w:pStyle w:val="2"/>
        <w:widowControl/>
        <w:spacing w:before="0" w:after="0" w:line="360" w:lineRule="auto"/>
        <w:jc w:val="center"/>
        <w:rPr>
          <w:rFonts w:ascii="黑体" w:hAnsi="宋体" w:cs="黑体"/>
          <w:b/>
          <w:color w:val="auto"/>
          <w:kern w:val="44"/>
          <w:sz w:val="44"/>
          <w:szCs w:val="44"/>
          <w:highlight w:val="none"/>
        </w:rPr>
      </w:pPr>
    </w:p>
    <w:p>
      <w:pPr>
        <w:pStyle w:val="2"/>
        <w:widowControl/>
        <w:spacing w:before="0" w:after="0" w:line="360" w:lineRule="auto"/>
        <w:jc w:val="center"/>
        <w:rPr>
          <w:rFonts w:ascii="黑体" w:hAnsi="宋体" w:cs="黑体"/>
          <w:b/>
          <w:color w:val="auto"/>
          <w:kern w:val="44"/>
          <w:sz w:val="44"/>
          <w:szCs w:val="44"/>
          <w:highlight w:val="none"/>
        </w:rPr>
      </w:pPr>
    </w:p>
    <w:p>
      <w:pPr>
        <w:pStyle w:val="2"/>
        <w:widowControl/>
        <w:spacing w:before="0" w:after="0" w:line="360" w:lineRule="auto"/>
        <w:jc w:val="center"/>
        <w:rPr>
          <w:rFonts w:ascii="黑体" w:hAnsi="宋体" w:cs="黑体"/>
          <w:b/>
          <w:color w:val="auto"/>
          <w:kern w:val="44"/>
          <w:sz w:val="44"/>
          <w:szCs w:val="44"/>
          <w:highlight w:val="none"/>
        </w:rPr>
      </w:pPr>
    </w:p>
    <w:p>
      <w:pPr>
        <w:pStyle w:val="2"/>
        <w:widowControl/>
        <w:spacing w:before="0" w:after="0" w:line="360" w:lineRule="auto"/>
        <w:jc w:val="center"/>
        <w:rPr>
          <w:rFonts w:hint="eastAsia" w:ascii="黑体" w:hAnsi="宋体" w:cs="黑体"/>
          <w:b/>
          <w:color w:val="auto"/>
          <w:kern w:val="44"/>
          <w:sz w:val="44"/>
          <w:szCs w:val="44"/>
          <w:highlight w:val="none"/>
        </w:rPr>
      </w:pPr>
    </w:p>
    <w:p>
      <w:pPr>
        <w:rPr>
          <w:rFonts w:hint="eastAsia"/>
          <w:highlight w:val="none"/>
        </w:rPr>
      </w:pPr>
    </w:p>
    <w:p>
      <w:pPr>
        <w:rPr>
          <w:highlight w:val="none"/>
        </w:rPr>
      </w:pPr>
    </w:p>
    <w:p>
      <w:pPr>
        <w:pStyle w:val="2"/>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第2章 项目需求书</w:t>
      </w:r>
      <w:bookmarkEnd w:id="4"/>
    </w:p>
    <w:p>
      <w:pPr>
        <w:numPr>
          <w:ilvl w:val="0"/>
          <w:numId w:val="2"/>
        </w:numPr>
        <w:jc w:val="left"/>
        <w:rPr>
          <w:rFonts w:asciiTheme="minorEastAsia" w:hAnsiTheme="minorEastAsia" w:cstheme="minorEastAsia"/>
          <w:b/>
          <w:kern w:val="0"/>
          <w:sz w:val="24"/>
          <w:highlight w:val="none"/>
        </w:rPr>
      </w:pPr>
      <w:r>
        <w:rPr>
          <w:rFonts w:hint="eastAsia" w:asciiTheme="minorEastAsia" w:hAnsiTheme="minorEastAsia" w:cstheme="minorEastAsia"/>
          <w:b/>
          <w:kern w:val="0"/>
          <w:sz w:val="24"/>
          <w:highlight w:val="none"/>
        </w:rPr>
        <w:t>勘察范围</w:t>
      </w:r>
    </w:p>
    <w:p>
      <w:pPr>
        <w:snapToGrid w:val="0"/>
        <w:spacing w:line="360" w:lineRule="auto"/>
        <w:ind w:firstLine="560" w:firstLineChars="200"/>
        <w:rPr>
          <w:rFonts w:hint="eastAsia" w:ascii="宋体" w:hAnsi="宋体" w:eastAsia="宋体" w:cs="Times New Roman"/>
          <w:spacing w:val="20"/>
          <w:sz w:val="24"/>
          <w:highlight w:val="none"/>
        </w:rPr>
      </w:pPr>
      <w:r>
        <w:rPr>
          <w:rFonts w:hint="eastAsia" w:ascii="宋体" w:hAnsi="宋体" w:eastAsia="宋体" w:cs="Times New Roman"/>
          <w:spacing w:val="20"/>
          <w:sz w:val="24"/>
          <w:highlight w:val="none"/>
        </w:rPr>
        <w:t>本项目由三块地构成</w:t>
      </w:r>
      <w:r>
        <w:rPr>
          <w:rFonts w:hint="eastAsia" w:ascii="宋体" w:hAnsi="宋体" w:eastAsia="宋体" w:cs="Times New Roman"/>
          <w:spacing w:val="20"/>
          <w:sz w:val="24"/>
          <w:highlight w:val="none"/>
          <w:lang w:eastAsia="zh-CN"/>
        </w:rPr>
        <w:t>，</w:t>
      </w:r>
      <w:r>
        <w:rPr>
          <w:rFonts w:hint="eastAsia" w:ascii="宋体" w:hAnsi="宋体" w:eastAsia="宋体" w:cs="Times New Roman"/>
          <w:spacing w:val="20"/>
          <w:sz w:val="24"/>
          <w:highlight w:val="none"/>
          <w:lang w:val="en-US" w:eastAsia="zh-CN"/>
        </w:rPr>
        <w:t>此次招标范围为地块二，具体内容包括：</w:t>
      </w:r>
      <w:r>
        <w:rPr>
          <w:rFonts w:hint="eastAsia" w:ascii="宋体" w:hAnsi="宋体" w:eastAsia="宋体" w:cs="Times New Roman"/>
          <w:spacing w:val="20"/>
          <w:sz w:val="24"/>
          <w:highlight w:val="none"/>
        </w:rPr>
        <w:t xml:space="preserve"> </w:t>
      </w:r>
    </w:p>
    <w:p>
      <w:pPr>
        <w:snapToGrid w:val="0"/>
        <w:spacing w:line="360" w:lineRule="auto"/>
        <w:ind w:firstLine="560" w:firstLineChars="200"/>
        <w:rPr>
          <w:rFonts w:hint="eastAsia" w:ascii="宋体" w:hAnsi="宋体" w:eastAsia="宋体" w:cs="Times New Roman"/>
          <w:spacing w:val="20"/>
          <w:sz w:val="24"/>
          <w:highlight w:val="none"/>
        </w:rPr>
      </w:pPr>
      <w:r>
        <w:rPr>
          <w:rFonts w:hint="eastAsia" w:ascii="宋体" w:hAnsi="宋体" w:eastAsia="宋体" w:cs="Times New Roman"/>
          <w:spacing w:val="20"/>
          <w:sz w:val="24"/>
          <w:highlight w:val="none"/>
        </w:rPr>
        <w:t>1、查明建筑范围内岩土层的类型、深度、分布、工程特性，分析和评价地基的稳定性、均匀性和承载力。</w:t>
      </w:r>
    </w:p>
    <w:p>
      <w:pPr>
        <w:snapToGrid w:val="0"/>
        <w:spacing w:line="360" w:lineRule="auto"/>
        <w:ind w:firstLine="560" w:firstLineChars="200"/>
        <w:rPr>
          <w:rFonts w:hint="eastAsia" w:ascii="宋体" w:hAnsi="宋体" w:eastAsia="宋体" w:cs="Times New Roman"/>
          <w:spacing w:val="20"/>
          <w:sz w:val="24"/>
          <w:highlight w:val="none"/>
        </w:rPr>
      </w:pPr>
      <w:r>
        <w:rPr>
          <w:rFonts w:hint="eastAsia" w:ascii="宋体" w:hAnsi="宋体" w:eastAsia="宋体" w:cs="Times New Roman"/>
          <w:spacing w:val="20"/>
          <w:sz w:val="24"/>
          <w:highlight w:val="none"/>
        </w:rPr>
        <w:t>2、查明不良地质作用的类型、成因、分布范围、发展趋势和危害程度，提出整治方案的建议。</w:t>
      </w:r>
    </w:p>
    <w:p>
      <w:pPr>
        <w:snapToGrid w:val="0"/>
        <w:spacing w:line="360" w:lineRule="auto"/>
        <w:ind w:firstLine="560" w:firstLineChars="200"/>
        <w:rPr>
          <w:rFonts w:hint="eastAsia" w:ascii="宋体" w:hAnsi="宋体" w:eastAsia="宋体" w:cs="Times New Roman"/>
          <w:spacing w:val="20"/>
          <w:sz w:val="24"/>
          <w:highlight w:val="none"/>
        </w:rPr>
      </w:pPr>
      <w:r>
        <w:rPr>
          <w:rFonts w:hint="eastAsia" w:ascii="宋体" w:hAnsi="宋体" w:eastAsia="宋体" w:cs="Times New Roman"/>
          <w:spacing w:val="20"/>
          <w:sz w:val="24"/>
          <w:highlight w:val="none"/>
        </w:rPr>
        <w:t>3、地震区应查明有无可液化地层，并对液化可能性作出评价，判明场地土类型和建筑场地类别，提供抗震设计有关参数。</w:t>
      </w:r>
    </w:p>
    <w:p>
      <w:pPr>
        <w:snapToGrid w:val="0"/>
        <w:spacing w:line="360" w:lineRule="auto"/>
        <w:ind w:firstLine="560" w:firstLineChars="200"/>
        <w:rPr>
          <w:rFonts w:hint="eastAsia" w:ascii="宋体" w:hAnsi="宋体" w:eastAsia="宋体" w:cs="Times New Roman"/>
          <w:spacing w:val="20"/>
          <w:sz w:val="24"/>
          <w:highlight w:val="none"/>
        </w:rPr>
      </w:pPr>
      <w:r>
        <w:rPr>
          <w:rFonts w:hint="eastAsia" w:ascii="宋体" w:hAnsi="宋体" w:eastAsia="宋体" w:cs="Times New Roman"/>
          <w:spacing w:val="20"/>
          <w:sz w:val="24"/>
          <w:highlight w:val="none"/>
        </w:rPr>
        <w:t>4、查明埋藏的河道、沟浜、墓穴、防空洞、孤石、市政管网位置走向等对工程不利的埋藏物。</w:t>
      </w:r>
    </w:p>
    <w:p>
      <w:pPr>
        <w:snapToGrid w:val="0"/>
        <w:spacing w:line="360" w:lineRule="auto"/>
        <w:ind w:firstLine="560" w:firstLineChars="200"/>
        <w:rPr>
          <w:rFonts w:hint="eastAsia" w:ascii="宋体" w:hAnsi="宋体" w:eastAsia="宋体" w:cs="Times New Roman"/>
          <w:spacing w:val="20"/>
          <w:sz w:val="24"/>
          <w:highlight w:val="none"/>
        </w:rPr>
      </w:pPr>
      <w:r>
        <w:rPr>
          <w:rFonts w:hint="eastAsia" w:ascii="宋体" w:hAnsi="宋体" w:eastAsia="宋体" w:cs="Times New Roman"/>
          <w:spacing w:val="20"/>
          <w:sz w:val="24"/>
          <w:highlight w:val="none"/>
        </w:rPr>
        <w:t>5、查明地下水的埋藏条件，提供地下水及其变化程度。</w:t>
      </w:r>
    </w:p>
    <w:p>
      <w:pPr>
        <w:snapToGrid w:val="0"/>
        <w:spacing w:line="360" w:lineRule="auto"/>
        <w:ind w:firstLine="560" w:firstLineChars="200"/>
        <w:rPr>
          <w:rFonts w:hint="eastAsia" w:ascii="宋体" w:hAnsi="宋体" w:eastAsia="宋体" w:cs="Times New Roman"/>
          <w:spacing w:val="20"/>
          <w:sz w:val="24"/>
          <w:highlight w:val="none"/>
        </w:rPr>
      </w:pPr>
      <w:r>
        <w:rPr>
          <w:rFonts w:hint="eastAsia" w:ascii="宋体" w:hAnsi="宋体" w:eastAsia="宋体" w:cs="Times New Roman"/>
          <w:spacing w:val="20"/>
          <w:sz w:val="24"/>
          <w:highlight w:val="none"/>
        </w:rPr>
        <w:t>6、判定水和土对建筑材料的腐蚀性，评价地下水对独立柱基础或桩基设计和施工的影响。</w:t>
      </w:r>
    </w:p>
    <w:p>
      <w:pPr>
        <w:snapToGrid w:val="0"/>
        <w:spacing w:line="360" w:lineRule="auto"/>
        <w:ind w:firstLine="560" w:firstLineChars="200"/>
        <w:rPr>
          <w:rFonts w:hint="eastAsia" w:ascii="宋体" w:hAnsi="宋体" w:eastAsia="宋体" w:cs="Times New Roman"/>
          <w:spacing w:val="20"/>
          <w:sz w:val="24"/>
          <w:highlight w:val="none"/>
        </w:rPr>
      </w:pPr>
      <w:r>
        <w:rPr>
          <w:rFonts w:hint="eastAsia" w:ascii="宋体" w:hAnsi="宋体" w:eastAsia="宋体" w:cs="Times New Roman"/>
          <w:spacing w:val="20"/>
          <w:sz w:val="24"/>
          <w:highlight w:val="none"/>
        </w:rPr>
        <w:t>7、结合总图场地标高及周边道路标高，提供合理的抗浮水位。提供地下水防治方案、防水设计水位和抗浮设计水位。</w:t>
      </w:r>
    </w:p>
    <w:p>
      <w:pPr>
        <w:snapToGrid w:val="0"/>
        <w:spacing w:line="360" w:lineRule="auto"/>
        <w:ind w:firstLine="560" w:firstLineChars="200"/>
        <w:rPr>
          <w:rFonts w:hint="eastAsia" w:ascii="宋体" w:hAnsi="宋体" w:eastAsia="宋体" w:cs="Times New Roman"/>
          <w:spacing w:val="20"/>
          <w:sz w:val="24"/>
          <w:highlight w:val="none"/>
        </w:rPr>
      </w:pPr>
      <w:r>
        <w:rPr>
          <w:rFonts w:hint="eastAsia" w:ascii="宋体" w:hAnsi="宋体" w:eastAsia="宋体" w:cs="Times New Roman"/>
          <w:spacing w:val="20"/>
          <w:sz w:val="24"/>
          <w:highlight w:val="none"/>
        </w:rPr>
        <w:t>8、对适于采用各类桩基础的建筑，应根据场地条件和施工条件，建议经济合理的桩基类型；选择合理的桩端持力层，并详细查明持力层和软弱下卧层的分布；采用基岩作为桩的持力层时，应查明基岩的岩性、构造、岩面变化、风化程度，确定其坚硬程度、完整程度和基本质量等级，判定有无洞穴、临空面、破碎岩体或软弱岩层。</w:t>
      </w:r>
    </w:p>
    <w:p>
      <w:pPr>
        <w:snapToGrid w:val="0"/>
        <w:spacing w:line="360" w:lineRule="auto"/>
        <w:ind w:firstLine="560" w:firstLineChars="200"/>
        <w:rPr>
          <w:rFonts w:hint="eastAsia" w:ascii="宋体" w:hAnsi="宋体" w:eastAsia="宋体" w:cs="Times New Roman"/>
          <w:spacing w:val="20"/>
          <w:sz w:val="24"/>
          <w:highlight w:val="none"/>
        </w:rPr>
      </w:pPr>
      <w:r>
        <w:rPr>
          <w:rFonts w:hint="eastAsia" w:ascii="宋体" w:hAnsi="宋体" w:eastAsia="宋体" w:cs="Times New Roman"/>
          <w:spacing w:val="20"/>
          <w:sz w:val="24"/>
          <w:highlight w:val="none"/>
        </w:rPr>
        <w:t>9、结合周边环境，根据本工程地质情况，提出基坑开挖及支护建议，并提供各土层支护设计相关参数。</w:t>
      </w:r>
    </w:p>
    <w:p>
      <w:pPr>
        <w:snapToGrid w:val="0"/>
        <w:spacing w:line="360" w:lineRule="auto"/>
        <w:ind w:firstLine="560" w:firstLineChars="200"/>
        <w:rPr>
          <w:rFonts w:hint="eastAsia" w:ascii="宋体" w:hAnsi="宋体" w:eastAsia="宋体" w:cs="Times New Roman"/>
          <w:spacing w:val="20"/>
          <w:sz w:val="24"/>
          <w:highlight w:val="none"/>
        </w:rPr>
      </w:pPr>
      <w:r>
        <w:rPr>
          <w:rFonts w:hint="eastAsia" w:ascii="宋体" w:hAnsi="宋体" w:eastAsia="宋体" w:cs="Times New Roman"/>
          <w:spacing w:val="20"/>
          <w:sz w:val="24"/>
          <w:highlight w:val="none"/>
        </w:rPr>
        <w:t>10、划分场地土类型和场地类别，提供抗震设防烈度、设计基本地震加速度值及设计特征周期。</w:t>
      </w:r>
    </w:p>
    <w:p>
      <w:pPr>
        <w:snapToGrid w:val="0"/>
        <w:spacing w:line="360" w:lineRule="auto"/>
        <w:ind w:firstLine="560" w:firstLineChars="200"/>
        <w:rPr>
          <w:rFonts w:hint="eastAsia" w:ascii="宋体" w:hAnsi="宋体" w:eastAsia="宋体" w:cs="Times New Roman"/>
          <w:spacing w:val="20"/>
          <w:sz w:val="24"/>
          <w:highlight w:val="none"/>
        </w:rPr>
      </w:pPr>
      <w:r>
        <w:rPr>
          <w:rFonts w:hint="eastAsia" w:ascii="宋体" w:hAnsi="宋体" w:eastAsia="宋体" w:cs="Times New Roman"/>
          <w:spacing w:val="20"/>
          <w:sz w:val="24"/>
          <w:highlight w:val="none"/>
        </w:rPr>
        <w:t>11、提供勘察点布置平面图，地质剖面图，钻孔柱状图，各岩层等高线图。地基土物理力学性质指标：一般应包括土层名称、埋藏深度、孔隙比、天然含水量、重度、塑性指数、液性指数、压缩系数、压缩模量、标贯击数、比贯入阻力、渗透系数和无侧限抗压，三轴和固结快剪试验的抗剪强度指标，地基土承载力特征值等。提供各桩型桩周土极限摩阻力值和桩端土极限端承力值，提供当地地基处理经验。各土层的E--P曲线。静力触探试验成果。标准贯入试验成果。</w:t>
      </w:r>
    </w:p>
    <w:p>
      <w:pPr>
        <w:snapToGrid w:val="0"/>
        <w:spacing w:line="360" w:lineRule="auto"/>
        <w:ind w:firstLine="560" w:firstLineChars="200"/>
        <w:rPr>
          <w:rFonts w:hint="default" w:ascii="宋体" w:hAnsi="宋体" w:eastAsia="宋体" w:cs="Times New Roman"/>
          <w:spacing w:val="20"/>
          <w:sz w:val="24"/>
          <w:highlight w:val="none"/>
          <w:lang w:val="en-US"/>
        </w:rPr>
      </w:pPr>
      <w:r>
        <w:rPr>
          <w:rFonts w:hint="eastAsia" w:ascii="宋体" w:hAnsi="宋体" w:eastAsia="宋体" w:cs="Times New Roman"/>
          <w:spacing w:val="20"/>
          <w:sz w:val="24"/>
          <w:highlight w:val="none"/>
        </w:rPr>
        <w:t>12、其他未明确处，均按《岩土工程勘察规范》和《高层建筑岩土工程勘察规程》执行。</w:t>
      </w:r>
    </w:p>
    <w:p>
      <w:pPr>
        <w:numPr>
          <w:ilvl w:val="0"/>
          <w:numId w:val="2"/>
        </w:numPr>
        <w:rPr>
          <w:rFonts w:asciiTheme="minorEastAsia" w:hAnsiTheme="minorEastAsia" w:cstheme="minorEastAsia"/>
          <w:b/>
          <w:kern w:val="0"/>
          <w:sz w:val="24"/>
          <w:highlight w:val="none"/>
        </w:rPr>
      </w:pPr>
      <w:r>
        <w:rPr>
          <w:rFonts w:hint="eastAsia" w:asciiTheme="minorEastAsia" w:hAnsiTheme="minorEastAsia" w:cstheme="minorEastAsia"/>
          <w:b/>
          <w:kern w:val="0"/>
          <w:sz w:val="24"/>
          <w:highlight w:val="none"/>
        </w:rPr>
        <w:t>建设规模</w:t>
      </w:r>
      <w:r>
        <w:rPr>
          <w:rFonts w:hint="eastAsia" w:asciiTheme="minorEastAsia" w:hAnsiTheme="minorEastAsia" w:cstheme="minorEastAsia"/>
          <w:b/>
          <w:kern w:val="0"/>
          <w:sz w:val="24"/>
          <w:highlight w:val="none"/>
          <w:lang w:eastAsia="zh-CN"/>
        </w:rPr>
        <w:t>（</w:t>
      </w:r>
      <w:r>
        <w:rPr>
          <w:rFonts w:hint="eastAsia" w:asciiTheme="minorEastAsia" w:hAnsiTheme="minorEastAsia" w:cstheme="minorEastAsia"/>
          <w:b/>
          <w:kern w:val="0"/>
          <w:sz w:val="24"/>
          <w:highlight w:val="none"/>
          <w:lang w:val="en-US" w:eastAsia="zh-CN"/>
        </w:rPr>
        <w:t>以实施方案为准</w:t>
      </w:r>
      <w:r>
        <w:rPr>
          <w:rFonts w:hint="eastAsia" w:asciiTheme="minorEastAsia" w:hAnsiTheme="minorEastAsia" w:cstheme="minorEastAsia"/>
          <w:b/>
          <w:kern w:val="0"/>
          <w:sz w:val="24"/>
          <w:highlight w:val="none"/>
          <w:lang w:eastAsia="zh-CN"/>
        </w:rPr>
        <w:t>）</w:t>
      </w:r>
    </w:p>
    <w:p>
      <w:pPr>
        <w:snapToGrid w:val="0"/>
        <w:spacing w:line="360" w:lineRule="auto"/>
        <w:ind w:firstLine="560" w:firstLineChars="200"/>
        <w:rPr>
          <w:rFonts w:hint="eastAsia" w:ascii="宋体" w:hAnsi="宋体" w:eastAsia="宋体" w:cs="Times New Roman"/>
          <w:spacing w:val="20"/>
          <w:sz w:val="24"/>
          <w:highlight w:val="none"/>
        </w:rPr>
      </w:pPr>
      <w:r>
        <w:rPr>
          <w:rFonts w:hint="eastAsia" w:ascii="宋体" w:hAnsi="宋体" w:eastAsia="宋体" w:cs="Times New Roman"/>
          <w:spacing w:val="20"/>
          <w:sz w:val="24"/>
          <w:highlight w:val="none"/>
        </w:rPr>
        <w:t>总用地面积 38538㎡（57.81亩）</w:t>
      </w:r>
    </w:p>
    <w:p>
      <w:pPr>
        <w:snapToGrid w:val="0"/>
        <w:spacing w:line="360" w:lineRule="auto"/>
        <w:ind w:firstLine="560" w:firstLineChars="200"/>
        <w:rPr>
          <w:rFonts w:hint="eastAsia" w:ascii="宋体" w:hAnsi="宋体" w:eastAsia="宋体" w:cs="Times New Roman"/>
          <w:spacing w:val="20"/>
          <w:sz w:val="24"/>
          <w:highlight w:val="none"/>
        </w:rPr>
      </w:pPr>
      <w:r>
        <w:rPr>
          <w:rFonts w:hint="eastAsia" w:ascii="宋体" w:hAnsi="宋体" w:eastAsia="宋体" w:cs="Times New Roman"/>
          <w:spacing w:val="20"/>
          <w:sz w:val="24"/>
          <w:highlight w:val="none"/>
        </w:rPr>
        <w:t>可建设用地面积 38538㎡</w:t>
      </w:r>
    </w:p>
    <w:p>
      <w:pPr>
        <w:snapToGrid w:val="0"/>
        <w:spacing w:line="360" w:lineRule="auto"/>
        <w:ind w:firstLine="560" w:firstLineChars="200"/>
        <w:rPr>
          <w:rFonts w:hint="eastAsia" w:ascii="宋体" w:hAnsi="宋体" w:eastAsia="宋体" w:cs="Times New Roman"/>
          <w:spacing w:val="20"/>
          <w:sz w:val="24"/>
          <w:highlight w:val="none"/>
        </w:rPr>
      </w:pPr>
      <w:r>
        <w:rPr>
          <w:rFonts w:hint="eastAsia" w:ascii="宋体" w:hAnsi="宋体" w:eastAsia="宋体" w:cs="Times New Roman"/>
          <w:spacing w:val="20"/>
          <w:sz w:val="24"/>
          <w:highlight w:val="none"/>
        </w:rPr>
        <w:t>总建筑面积 170172.9㎡</w:t>
      </w:r>
    </w:p>
    <w:p>
      <w:pPr>
        <w:snapToGrid w:val="0"/>
        <w:spacing w:line="360" w:lineRule="auto"/>
        <w:ind w:firstLine="560" w:firstLineChars="200"/>
        <w:rPr>
          <w:rFonts w:hint="eastAsia" w:ascii="宋体" w:hAnsi="宋体" w:eastAsia="宋体" w:cs="Times New Roman"/>
          <w:spacing w:val="20"/>
          <w:sz w:val="24"/>
          <w:highlight w:val="none"/>
        </w:rPr>
      </w:pPr>
      <w:r>
        <w:rPr>
          <w:rFonts w:hint="eastAsia" w:ascii="宋体" w:hAnsi="宋体" w:eastAsia="宋体" w:cs="Times New Roman"/>
          <w:spacing w:val="20"/>
          <w:sz w:val="24"/>
          <w:highlight w:val="none"/>
        </w:rPr>
        <w:t>计容建筑面积 115614㎡</w:t>
      </w:r>
    </w:p>
    <w:p>
      <w:pPr>
        <w:snapToGrid w:val="0"/>
        <w:spacing w:line="360" w:lineRule="auto"/>
        <w:ind w:firstLine="560" w:firstLineChars="200"/>
        <w:rPr>
          <w:rFonts w:hint="eastAsia" w:ascii="宋体" w:hAnsi="宋体" w:eastAsia="宋体" w:cs="Times New Roman"/>
          <w:spacing w:val="20"/>
          <w:sz w:val="24"/>
          <w:highlight w:val="none"/>
        </w:rPr>
      </w:pPr>
      <w:r>
        <w:rPr>
          <w:rFonts w:hint="eastAsia" w:ascii="宋体" w:hAnsi="宋体" w:eastAsia="宋体" w:cs="Times New Roman"/>
          <w:spacing w:val="20"/>
          <w:sz w:val="24"/>
          <w:highlight w:val="none"/>
        </w:rPr>
        <w:t>不计容建筑面 54558.9㎡</w:t>
      </w:r>
    </w:p>
    <w:p>
      <w:pPr>
        <w:snapToGrid w:val="0"/>
        <w:spacing w:line="360" w:lineRule="auto"/>
        <w:ind w:firstLine="560" w:firstLineChars="200"/>
        <w:rPr>
          <w:rFonts w:hint="default" w:ascii="宋体" w:hAnsi="宋体" w:eastAsia="宋体" w:cs="Times New Roman"/>
          <w:spacing w:val="20"/>
          <w:sz w:val="24"/>
          <w:highlight w:val="none"/>
          <w:lang w:val="en-US" w:eastAsia="zh-CN"/>
        </w:rPr>
      </w:pPr>
      <w:r>
        <w:rPr>
          <w:rFonts w:hint="eastAsia" w:ascii="宋体" w:hAnsi="宋体" w:eastAsia="宋体" w:cs="Times New Roman"/>
          <w:spacing w:val="20"/>
          <w:sz w:val="24"/>
          <w:highlight w:val="none"/>
        </w:rPr>
        <w:t>综合容积率 3</w:t>
      </w:r>
      <w:r>
        <w:rPr>
          <w:rFonts w:hint="eastAsia" w:ascii="宋体" w:hAnsi="宋体" w:eastAsia="宋体" w:cs="Times New Roman"/>
          <w:spacing w:val="20"/>
          <w:sz w:val="24"/>
          <w:highlight w:val="none"/>
          <w:lang w:val="en-US" w:eastAsia="zh-CN"/>
        </w:rPr>
        <w:t>.0</w:t>
      </w:r>
    </w:p>
    <w:p>
      <w:pPr>
        <w:pStyle w:val="8"/>
        <w:rPr>
          <w:rFonts w:hint="default"/>
          <w:highlight w:val="none"/>
        </w:rPr>
      </w:pPr>
    </w:p>
    <w:p>
      <w:pPr>
        <w:ind w:firstLine="480" w:firstLineChars="200"/>
        <w:rPr>
          <w:rFonts w:asciiTheme="minorEastAsia" w:hAnsiTheme="minorEastAsia" w:cstheme="minorEastAsia"/>
          <w:kern w:val="0"/>
          <w:sz w:val="24"/>
          <w:highlight w:val="none"/>
        </w:rPr>
      </w:pPr>
    </w:p>
    <w:p>
      <w:pPr>
        <w:rPr>
          <w:rFonts w:ascii="黑体" w:hAnsi="宋体" w:cs="黑体"/>
          <w:b/>
          <w:kern w:val="44"/>
          <w:sz w:val="44"/>
          <w:szCs w:val="44"/>
          <w:highlight w:val="none"/>
        </w:rPr>
      </w:pPr>
    </w:p>
    <w:p>
      <w:pPr>
        <w:rPr>
          <w:rFonts w:ascii="黑体" w:hAnsi="宋体" w:cs="黑体"/>
          <w:b/>
          <w:kern w:val="44"/>
          <w:sz w:val="44"/>
          <w:szCs w:val="44"/>
          <w:highlight w:val="none"/>
        </w:rPr>
      </w:pPr>
      <w:r>
        <w:rPr>
          <w:rFonts w:hint="eastAsia" w:ascii="黑体" w:hAnsi="宋体" w:cs="黑体"/>
          <w:b/>
          <w:kern w:val="44"/>
          <w:sz w:val="44"/>
          <w:szCs w:val="44"/>
          <w:highlight w:val="none"/>
        </w:rPr>
        <w:br w:type="page"/>
      </w:r>
    </w:p>
    <w:p>
      <w:pPr>
        <w:pStyle w:val="2"/>
        <w:widowControl/>
        <w:spacing w:before="0" w:after="0" w:line="360" w:lineRule="auto"/>
        <w:jc w:val="center"/>
        <w:rPr>
          <w:rFonts w:ascii="黑体" w:hAnsi="宋体" w:cs="黑体"/>
          <w:b/>
          <w:color w:val="auto"/>
          <w:kern w:val="44"/>
          <w:sz w:val="44"/>
          <w:szCs w:val="44"/>
          <w:highlight w:val="none"/>
        </w:rPr>
      </w:pPr>
    </w:p>
    <w:p>
      <w:pPr>
        <w:pStyle w:val="2"/>
        <w:widowControl/>
        <w:spacing w:before="0" w:after="0" w:line="360" w:lineRule="auto"/>
        <w:jc w:val="center"/>
        <w:rPr>
          <w:rFonts w:ascii="黑体" w:hAnsi="宋体" w:cs="黑体"/>
          <w:b/>
          <w:color w:val="auto"/>
          <w:kern w:val="44"/>
          <w:sz w:val="44"/>
          <w:szCs w:val="44"/>
          <w:highlight w:val="none"/>
        </w:rPr>
      </w:pPr>
    </w:p>
    <w:p>
      <w:pPr>
        <w:pStyle w:val="2"/>
        <w:widowControl/>
        <w:spacing w:before="0" w:after="0" w:line="360" w:lineRule="auto"/>
        <w:jc w:val="center"/>
        <w:rPr>
          <w:rFonts w:ascii="黑体" w:hAnsi="宋体" w:cs="黑体"/>
          <w:b/>
          <w:color w:val="auto"/>
          <w:kern w:val="44"/>
          <w:sz w:val="44"/>
          <w:szCs w:val="44"/>
          <w:highlight w:val="none"/>
        </w:rPr>
      </w:pPr>
    </w:p>
    <w:p>
      <w:pPr>
        <w:pStyle w:val="2"/>
        <w:widowControl/>
        <w:spacing w:before="0" w:after="0" w:line="360" w:lineRule="auto"/>
        <w:jc w:val="center"/>
        <w:rPr>
          <w:rFonts w:ascii="黑体" w:hAnsi="宋体" w:cs="黑体"/>
          <w:b/>
          <w:color w:val="auto"/>
          <w:kern w:val="44"/>
          <w:sz w:val="44"/>
          <w:szCs w:val="44"/>
          <w:highlight w:val="none"/>
        </w:rPr>
      </w:pPr>
    </w:p>
    <w:p>
      <w:pPr>
        <w:pStyle w:val="2"/>
        <w:widowControl/>
        <w:spacing w:before="0" w:after="0" w:line="360" w:lineRule="auto"/>
        <w:jc w:val="center"/>
        <w:rPr>
          <w:rFonts w:ascii="黑体" w:hAnsi="宋体" w:cs="黑体"/>
          <w:b/>
          <w:color w:val="auto"/>
          <w:kern w:val="44"/>
          <w:sz w:val="44"/>
          <w:szCs w:val="44"/>
          <w:highlight w:val="none"/>
        </w:rPr>
      </w:pPr>
    </w:p>
    <w:p>
      <w:pPr>
        <w:pStyle w:val="2"/>
        <w:widowControl/>
        <w:spacing w:before="0" w:after="0" w:line="360" w:lineRule="auto"/>
        <w:jc w:val="center"/>
        <w:rPr>
          <w:rFonts w:ascii="黑体" w:hAnsi="宋体" w:cs="黑体"/>
          <w:b/>
          <w:color w:val="auto"/>
          <w:kern w:val="44"/>
          <w:sz w:val="44"/>
          <w:szCs w:val="44"/>
          <w:highlight w:val="none"/>
        </w:rPr>
      </w:pPr>
    </w:p>
    <w:p>
      <w:pPr>
        <w:pStyle w:val="2"/>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pPr>
        <w:snapToGrid w:val="0"/>
        <w:rPr>
          <w:rFonts w:ascii="黑体" w:hAnsi="宋体" w:eastAsia="黑体" w:cs="黑体"/>
          <w:b/>
          <w:kern w:val="44"/>
          <w:sz w:val="44"/>
          <w:szCs w:val="44"/>
          <w:highlight w:val="none"/>
        </w:rPr>
      </w:pPr>
    </w:p>
    <w:p>
      <w:pPr>
        <w:snapToGrid w:val="0"/>
        <w:outlineLvl w:val="1"/>
        <w:rPr>
          <w:rFonts w:ascii="宋体" w:hAnsi="宋体" w:eastAsia="宋体" w:cs="宋体"/>
          <w:b/>
          <w:sz w:val="28"/>
          <w:szCs w:val="28"/>
          <w:highlight w:val="none"/>
        </w:rPr>
      </w:pPr>
      <w:r>
        <w:rPr>
          <w:rFonts w:hint="eastAsia" w:ascii="宋体" w:hAnsi="宋体" w:eastAsia="宋体" w:cs="黑体"/>
          <w:b/>
          <w:spacing w:val="20"/>
          <w:sz w:val="28"/>
          <w:szCs w:val="28"/>
          <w:highlight w:val="none"/>
        </w:rPr>
        <w:br w:type="page"/>
      </w:r>
      <w:r>
        <w:rPr>
          <w:rFonts w:hint="eastAsia" w:ascii="宋体" w:hAnsi="宋体" w:eastAsia="宋体" w:cs="黑体"/>
          <w:b/>
          <w:spacing w:val="20"/>
          <w:sz w:val="28"/>
          <w:szCs w:val="28"/>
          <w:highlight w:val="none"/>
        </w:rPr>
        <w:t>格式一：</w:t>
      </w:r>
    </w:p>
    <w:p>
      <w:pPr>
        <w:spacing w:line="360" w:lineRule="auto"/>
        <w:jc w:val="center"/>
        <w:outlineLvl w:val="2"/>
        <w:rPr>
          <w:rFonts w:ascii="宋体" w:hAnsi="宋体" w:eastAsia="宋体" w:cs="宋体"/>
          <w:b/>
          <w:sz w:val="36"/>
          <w:szCs w:val="36"/>
          <w:highlight w:val="none"/>
        </w:rPr>
      </w:pPr>
      <w:r>
        <w:rPr>
          <w:rFonts w:hint="eastAsia" w:ascii="宋体" w:hAnsi="宋体" w:eastAsia="宋体" w:cs="宋体"/>
          <w:b/>
          <w:spacing w:val="34"/>
          <w:sz w:val="36"/>
          <w:szCs w:val="36"/>
          <w:highlight w:val="none"/>
        </w:rPr>
        <w:t>投标函</w:t>
      </w:r>
    </w:p>
    <w:p>
      <w:pPr>
        <w:rPr>
          <w:rFonts w:ascii="宋体" w:hAnsi="宋体" w:eastAsia="宋体" w:cs="宋体"/>
          <w:sz w:val="24"/>
          <w:highlight w:val="none"/>
        </w:rPr>
      </w:pPr>
    </w:p>
    <w:p>
      <w:pPr>
        <w:snapToGrid w:val="0"/>
        <w:spacing w:line="360" w:lineRule="auto"/>
        <w:rPr>
          <w:rFonts w:ascii="宋体" w:hAnsi="宋体" w:eastAsia="宋体" w:cs="Times New Roman"/>
          <w:spacing w:val="20"/>
          <w:sz w:val="24"/>
          <w:highlight w:val="none"/>
          <w:u w:val="single"/>
        </w:rPr>
      </w:pPr>
      <w:r>
        <w:rPr>
          <w:rFonts w:hint="eastAsia" w:ascii="宋体" w:hAnsi="宋体" w:eastAsia="宋体" w:cs="Times New Roman"/>
          <w:spacing w:val="20"/>
          <w:sz w:val="24"/>
          <w:highlight w:val="none"/>
          <w:u w:val="single"/>
          <w:lang w:val="en-US" w:eastAsia="zh-CN"/>
        </w:rPr>
        <w:t>广州南沙盛龙房地产开发有限公司</w:t>
      </w:r>
      <w:r>
        <w:rPr>
          <w:rFonts w:hint="eastAsia" w:ascii="宋体" w:hAnsi="宋体" w:eastAsia="宋体" w:cs="Times New Roman"/>
          <w:spacing w:val="20"/>
          <w:sz w:val="24"/>
          <w:highlight w:val="none"/>
          <w:u w:val="single"/>
        </w:rPr>
        <w:t>：</w:t>
      </w:r>
    </w:p>
    <w:p>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我方决定参加贵方的广州南沙区珠江街道2022NJY-9</w:t>
      </w:r>
      <w:r>
        <w:rPr>
          <w:rFonts w:hint="eastAsia" w:ascii="宋体" w:hAnsi="宋体" w:eastAsia="宋体" w:cs="Times New Roman"/>
          <w:spacing w:val="20"/>
          <w:sz w:val="24"/>
          <w:highlight w:val="none"/>
          <w:lang w:eastAsia="zh-CN"/>
        </w:rPr>
        <w:t>（</w:t>
      </w:r>
      <w:r>
        <w:rPr>
          <w:rFonts w:hint="eastAsia" w:ascii="宋体" w:hAnsi="宋体" w:eastAsia="宋体" w:cs="Times New Roman"/>
          <w:spacing w:val="20"/>
          <w:sz w:val="24"/>
          <w:highlight w:val="none"/>
          <w:lang w:val="en-US" w:eastAsia="zh-CN"/>
        </w:rPr>
        <w:t>地块二</w:t>
      </w:r>
      <w:r>
        <w:rPr>
          <w:rFonts w:hint="eastAsia" w:ascii="宋体" w:hAnsi="宋体" w:eastAsia="宋体" w:cs="Times New Roman"/>
          <w:spacing w:val="20"/>
          <w:sz w:val="24"/>
          <w:highlight w:val="none"/>
          <w:lang w:eastAsia="zh-CN"/>
        </w:rPr>
        <w:t>）</w:t>
      </w:r>
      <w:r>
        <w:rPr>
          <w:rFonts w:hint="eastAsia" w:ascii="宋体" w:hAnsi="宋体" w:eastAsia="宋体" w:cs="Times New Roman"/>
          <w:spacing w:val="20"/>
          <w:sz w:val="24"/>
          <w:highlight w:val="none"/>
        </w:rPr>
        <w:t>工程勘察服务单位选定的竞标，并完全接受贵方发出的招标文件及澄清文件中的所有内容。为此，我方作出如下承诺：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1、我方经分析研究了贵方提供的招标文件中的项目介绍、投标人须知、合同条件以及本次招标答疑或澄清文件后，我公司愿意以投标报价表中承诺报价，完成贵方广州南沙区珠江街道2022NJY-9</w:t>
      </w:r>
      <w:r>
        <w:rPr>
          <w:rFonts w:hint="eastAsia" w:ascii="宋体" w:hAnsi="宋体" w:eastAsia="宋体" w:cs="Times New Roman"/>
          <w:spacing w:val="20"/>
          <w:sz w:val="24"/>
          <w:highlight w:val="none"/>
          <w:lang w:eastAsia="zh-CN"/>
        </w:rPr>
        <w:t>（</w:t>
      </w:r>
      <w:r>
        <w:rPr>
          <w:rFonts w:hint="eastAsia" w:ascii="宋体" w:hAnsi="宋体" w:eastAsia="宋体" w:cs="Times New Roman"/>
          <w:spacing w:val="20"/>
          <w:sz w:val="24"/>
          <w:highlight w:val="none"/>
          <w:lang w:val="en-US" w:eastAsia="zh-CN"/>
        </w:rPr>
        <w:t>地块二</w:t>
      </w:r>
      <w:r>
        <w:rPr>
          <w:rFonts w:hint="eastAsia" w:ascii="宋体" w:hAnsi="宋体" w:eastAsia="宋体" w:cs="Times New Roman"/>
          <w:spacing w:val="20"/>
          <w:sz w:val="24"/>
          <w:highlight w:val="none"/>
          <w:lang w:eastAsia="zh-CN"/>
        </w:rPr>
        <w:t>）</w:t>
      </w:r>
      <w:r>
        <w:rPr>
          <w:rFonts w:hint="eastAsia" w:ascii="宋体" w:hAnsi="宋体" w:eastAsia="宋体" w:cs="Times New Roman"/>
          <w:spacing w:val="20"/>
          <w:sz w:val="24"/>
          <w:highlight w:val="none"/>
        </w:rPr>
        <w:t>工程勘察服务任务，并提供增值税专业发票税率为</w:t>
      </w:r>
      <w:r>
        <w:rPr>
          <w:rFonts w:hint="eastAsia" w:ascii="宋体" w:hAnsi="宋体" w:eastAsia="宋体" w:cs="Times New Roman"/>
          <w:spacing w:val="20"/>
          <w:sz w:val="24"/>
          <w:highlight w:val="none"/>
          <w:lang w:val="en-US" w:eastAsia="zh-CN"/>
        </w:rPr>
        <w:t>6</w:t>
      </w:r>
      <w:r>
        <w:rPr>
          <w:rFonts w:hint="eastAsia" w:ascii="宋体" w:hAnsi="宋体" w:eastAsia="宋体" w:cs="Times New Roman"/>
          <w:spacing w:val="20"/>
          <w:sz w:val="24"/>
          <w:highlight w:val="none"/>
        </w:rPr>
        <w:t>%，并按合同条件的要求，承担并完成勘察服务任务。</w:t>
      </w:r>
    </w:p>
    <w:p>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3、我方同意在规定的投标截止之日起日历天内遵守本投标。在该期限满期之前，本投标书对我单位始终具有约束力，并可随时被接受。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4、在正式签订</w:t>
      </w:r>
      <w:r>
        <w:rPr>
          <w:rFonts w:hint="eastAsia" w:ascii="宋体" w:hAnsi="宋体" w:eastAsia="宋体" w:cs="Times New Roman"/>
          <w:spacing w:val="20"/>
          <w:sz w:val="24"/>
          <w:highlight w:val="none"/>
          <w:lang w:val="en-US" w:eastAsia="zh-CN"/>
        </w:rPr>
        <w:t>勘察</w:t>
      </w:r>
      <w:r>
        <w:rPr>
          <w:rFonts w:hint="eastAsia" w:ascii="宋体" w:hAnsi="宋体" w:eastAsia="宋体" w:cs="Times New Roman"/>
          <w:spacing w:val="20"/>
          <w:sz w:val="24"/>
          <w:highlight w:val="none"/>
        </w:rPr>
        <w:t>服务协议书之前，本投标书连同贵方的中标通知书应成为约束贵、我双方的合同文件。</w:t>
      </w:r>
    </w:p>
    <w:p>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hint="eastAsia" w:ascii="宋体" w:hAnsi="宋体" w:eastAsia="宋体" w:cs="Times New Roman"/>
          <w:spacing w:val="20"/>
          <w:sz w:val="24"/>
          <w:highlight w:val="none"/>
        </w:rPr>
      </w:pPr>
      <w:r>
        <w:rPr>
          <w:rFonts w:hint="eastAsia" w:ascii="宋体" w:hAnsi="宋体" w:eastAsia="宋体" w:cs="Times New Roman"/>
          <w:spacing w:val="20"/>
          <w:sz w:val="24"/>
          <w:highlight w:val="none"/>
        </w:rPr>
        <w:t>6、投标文件中所有关于投标人资格的文件、证明、陈述均是真实的、准确的。若有违背，我方承担由此而产生的一切后果。</w:t>
      </w:r>
    </w:p>
    <w:p>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lang w:val="en-US" w:eastAsia="zh-CN"/>
        </w:rPr>
        <w:t>7、投标人保证与其他投标人之间不存在影响投标公平的关联关系，否则我方承担由此产生的一切后果。</w:t>
      </w:r>
    </w:p>
    <w:p>
      <w:pPr>
        <w:snapToGrid w:val="0"/>
        <w:spacing w:line="360" w:lineRule="auto"/>
        <w:rPr>
          <w:rFonts w:ascii="宋体" w:hAnsi="宋体" w:eastAsia="宋体" w:cs="Times New Roman"/>
          <w:spacing w:val="20"/>
          <w:sz w:val="24"/>
          <w:highlight w:val="none"/>
        </w:rPr>
      </w:pPr>
    </w:p>
    <w:p>
      <w:pPr>
        <w:snapToGrid w:val="0"/>
        <w:spacing w:line="360" w:lineRule="auto"/>
        <w:rPr>
          <w:rFonts w:ascii="宋体" w:hAnsi="宋体" w:eastAsia="宋体" w:cs="Times New Roman"/>
          <w:spacing w:val="20"/>
          <w:sz w:val="24"/>
          <w:highlight w:val="none"/>
        </w:rPr>
      </w:pPr>
      <w:r>
        <w:rPr>
          <w:rFonts w:hint="eastAsia" w:ascii="宋体" w:hAnsi="宋体" w:eastAsia="宋体" w:cs="Times New Roman"/>
          <w:spacing w:val="20"/>
          <w:sz w:val="24"/>
          <w:highlight w:val="none"/>
        </w:rPr>
        <w:t>投标人：（盖章）</w:t>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0"/>
          <w:sz w:val="24"/>
          <w:highlight w:val="none"/>
        </w:rPr>
        <w:tab/>
      </w:r>
      <w:r>
        <w:rPr>
          <w:rFonts w:hint="eastAsia" w:ascii="宋体" w:hAnsi="宋体" w:eastAsia="宋体" w:cs="Times New Roman"/>
          <w:spacing w:val="20"/>
          <w:sz w:val="24"/>
          <w:highlight w:val="none"/>
        </w:rPr>
        <w:tab/>
      </w:r>
    </w:p>
    <w:p>
      <w:pPr>
        <w:snapToGrid w:val="0"/>
        <w:spacing w:line="360" w:lineRule="auto"/>
        <w:rPr>
          <w:rFonts w:ascii="宋体" w:hAnsi="宋体" w:eastAsia="宋体" w:cs="Times New Roman"/>
          <w:spacing w:val="23"/>
          <w:sz w:val="24"/>
          <w:highlight w:val="none"/>
          <w:u w:val="single"/>
        </w:rPr>
      </w:pPr>
      <w:r>
        <w:rPr>
          <w:rFonts w:hint="eastAsia" w:ascii="宋体" w:hAnsi="宋体" w:eastAsia="宋体" w:cs="Times New Roman"/>
          <w:spacing w:val="20"/>
          <w:sz w:val="24"/>
          <w:highlight w:val="none"/>
        </w:rPr>
        <w:t>法定代表人或被授权人（代理人）(签字或签章):</w:t>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p>
    <w:p>
      <w:pPr>
        <w:snapToGrid w:val="0"/>
        <w:spacing w:line="360" w:lineRule="auto"/>
        <w:rPr>
          <w:rFonts w:ascii="宋体" w:hAnsi="宋体" w:eastAsia="宋体" w:cs="Times New Roman"/>
          <w:spacing w:val="20"/>
          <w:sz w:val="24"/>
          <w:highlight w:val="none"/>
        </w:rPr>
      </w:pPr>
      <w:r>
        <w:rPr>
          <w:rFonts w:hint="eastAsia" w:ascii="宋体" w:hAnsi="宋体" w:eastAsia="宋体" w:cs="Times New Roman"/>
          <w:spacing w:val="20"/>
          <w:sz w:val="24"/>
          <w:highlight w:val="none"/>
        </w:rPr>
        <w:t>地    址：</w:t>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0"/>
          <w:sz w:val="24"/>
          <w:highlight w:val="none"/>
        </w:rPr>
        <w:tab/>
      </w:r>
      <w:r>
        <w:rPr>
          <w:rFonts w:hint="eastAsia" w:ascii="宋体" w:hAnsi="宋体" w:eastAsia="宋体" w:cs="Times New Roman"/>
          <w:spacing w:val="20"/>
          <w:sz w:val="24"/>
          <w:highlight w:val="none"/>
        </w:rPr>
        <w:tab/>
      </w:r>
    </w:p>
    <w:p>
      <w:pPr>
        <w:snapToGrid w:val="0"/>
        <w:spacing w:line="360" w:lineRule="auto"/>
        <w:rPr>
          <w:rFonts w:ascii="宋体" w:hAnsi="宋体" w:eastAsia="宋体" w:cs="Times New Roman"/>
          <w:spacing w:val="20"/>
          <w:sz w:val="24"/>
          <w:highlight w:val="none"/>
        </w:rPr>
      </w:pPr>
      <w:r>
        <w:rPr>
          <w:rFonts w:hint="eastAsia" w:ascii="宋体" w:hAnsi="宋体" w:eastAsia="宋体" w:cs="Times New Roman"/>
          <w:spacing w:val="20"/>
          <w:sz w:val="24"/>
          <w:highlight w:val="none"/>
        </w:rPr>
        <w:t>电    话：</w:t>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0"/>
          <w:sz w:val="24"/>
          <w:highlight w:val="none"/>
        </w:rPr>
        <w:tab/>
      </w:r>
      <w:r>
        <w:rPr>
          <w:rFonts w:hint="eastAsia" w:ascii="宋体" w:hAnsi="宋体" w:eastAsia="宋体" w:cs="Times New Roman"/>
          <w:spacing w:val="20"/>
          <w:sz w:val="24"/>
          <w:highlight w:val="none"/>
        </w:rPr>
        <w:tab/>
      </w:r>
    </w:p>
    <w:p>
      <w:pPr>
        <w:snapToGrid w:val="0"/>
        <w:spacing w:line="360" w:lineRule="auto"/>
        <w:rPr>
          <w:rFonts w:ascii="宋体" w:hAnsi="宋体" w:eastAsia="宋体" w:cs="Times New Roman"/>
          <w:b/>
          <w:spacing w:val="20"/>
          <w:sz w:val="24"/>
          <w:highlight w:val="none"/>
        </w:rPr>
      </w:pPr>
      <w:r>
        <w:rPr>
          <w:rFonts w:hint="eastAsia" w:ascii="宋体" w:hAnsi="宋体" w:eastAsia="宋体" w:cs="Times New Roman"/>
          <w:spacing w:val="20"/>
          <w:sz w:val="24"/>
          <w:highlight w:val="none"/>
        </w:rPr>
        <w:t>日    期：</w:t>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b/>
          <w:spacing w:val="20"/>
          <w:sz w:val="24"/>
          <w:highlight w:val="none"/>
        </w:rPr>
        <w:tab/>
      </w:r>
    </w:p>
    <w:p>
      <w:pPr>
        <w:rPr>
          <w:rFonts w:ascii="宋体" w:hAnsi="宋体" w:eastAsia="宋体" w:cs="宋体"/>
          <w:b/>
          <w:sz w:val="28"/>
          <w:szCs w:val="28"/>
          <w:highlight w:val="none"/>
        </w:rPr>
      </w:pPr>
      <w:r>
        <w:rPr>
          <w:rFonts w:hint="eastAsia" w:ascii="宋体" w:hAnsi="宋体" w:eastAsia="宋体" w:cs="宋体"/>
          <w:b/>
          <w:sz w:val="28"/>
          <w:szCs w:val="28"/>
          <w:highlight w:val="none"/>
        </w:rPr>
        <w:br w:type="page"/>
      </w:r>
    </w:p>
    <w:p>
      <w:pPr>
        <w:snapToGrid w:val="0"/>
        <w:spacing w:line="360" w:lineRule="auto"/>
        <w:outlineLvl w:val="1"/>
        <w:rPr>
          <w:rFonts w:ascii="宋体" w:hAnsi="宋体" w:eastAsia="宋体" w:cs="宋体"/>
          <w:b/>
          <w:sz w:val="28"/>
          <w:szCs w:val="28"/>
          <w:highlight w:val="none"/>
        </w:rPr>
      </w:pPr>
      <w:r>
        <w:rPr>
          <w:rFonts w:hint="eastAsia" w:ascii="宋体" w:hAnsi="宋体" w:eastAsia="宋体" w:cs="宋体"/>
          <w:b/>
          <w:sz w:val="28"/>
          <w:szCs w:val="28"/>
          <w:highlight w:val="none"/>
        </w:rPr>
        <w:t>格式二：</w:t>
      </w:r>
    </w:p>
    <w:p>
      <w:pPr>
        <w:snapToGrid w:val="0"/>
        <w:spacing w:line="480" w:lineRule="auto"/>
        <w:jc w:val="center"/>
        <w:outlineLvl w:val="2"/>
        <w:rPr>
          <w:b/>
          <w:sz w:val="28"/>
          <w:szCs w:val="28"/>
          <w:highlight w:val="none"/>
        </w:rPr>
      </w:pPr>
      <w:r>
        <w:rPr>
          <w:rFonts w:hint="eastAsia" w:ascii="宋体" w:hAnsi="宋体" w:eastAsia="宋体" w:cs="宋体"/>
          <w:b/>
          <w:sz w:val="36"/>
          <w:szCs w:val="36"/>
          <w:highlight w:val="none"/>
        </w:rPr>
        <w:t>服务承诺书（格式）</w:t>
      </w:r>
    </w:p>
    <w:p>
      <w:pPr>
        <w:snapToGrid w:val="0"/>
        <w:spacing w:line="480" w:lineRule="auto"/>
        <w:rPr>
          <w:rFonts w:hint="eastAsia" w:ascii="宋体" w:hAnsi="宋体" w:eastAsia="宋体" w:cs="宋体"/>
          <w:sz w:val="24"/>
          <w:highlight w:val="none"/>
          <w:u w:val="single"/>
          <w:lang w:eastAsia="zh-CN"/>
        </w:rPr>
      </w:pPr>
      <w:r>
        <w:rPr>
          <w:rFonts w:hint="eastAsia" w:ascii="宋体" w:hAnsi="宋体" w:eastAsia="宋体" w:cs="宋体"/>
          <w:sz w:val="24"/>
          <w:highlight w:val="none"/>
        </w:rPr>
        <w:t>致：</w:t>
      </w:r>
      <w:r>
        <w:rPr>
          <w:rFonts w:hint="eastAsia" w:ascii="宋体" w:hAnsi="宋体" w:eastAsia="宋体" w:cs="Times New Roman"/>
          <w:spacing w:val="20"/>
          <w:sz w:val="24"/>
          <w:highlight w:val="none"/>
          <w:u w:val="single"/>
          <w:lang w:val="en-US" w:eastAsia="zh-CN"/>
        </w:rPr>
        <w:t>广州南沙盛龙房地产开发有限公司</w:t>
      </w:r>
    </w:p>
    <w:p>
      <w:pPr>
        <w:snapToGrid w:val="0"/>
        <w:spacing w:line="480" w:lineRule="auto"/>
        <w:ind w:firstLine="480" w:firstLineChars="200"/>
        <w:rPr>
          <w:rFonts w:ascii="宋体" w:hAnsi="宋体" w:eastAsia="宋体" w:cs="宋体"/>
          <w:sz w:val="24"/>
          <w:highlight w:val="none"/>
        </w:rPr>
      </w:pPr>
    </w:p>
    <w:p>
      <w:pPr>
        <w:snapToGrid w:val="0"/>
        <w:spacing w:line="48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一旦我方中标，我方愿意做出如下承诺：</w:t>
      </w:r>
    </w:p>
    <w:p>
      <w:pPr>
        <w:snapToGrid w:val="0"/>
        <w:spacing w:line="480" w:lineRule="auto"/>
        <w:ind w:firstLine="480"/>
        <w:rPr>
          <w:rFonts w:ascii="宋体" w:hAnsi="宋体" w:eastAsia="宋体" w:cs="宋体"/>
          <w:sz w:val="24"/>
          <w:highlight w:val="none"/>
        </w:rPr>
      </w:pPr>
      <w:r>
        <w:rPr>
          <w:rFonts w:hint="eastAsia" w:ascii="宋体" w:hAnsi="宋体" w:eastAsia="宋体" w:cs="宋体"/>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sz w:val="24"/>
          <w:highlight w:val="none"/>
        </w:rPr>
      </w:pPr>
      <w:r>
        <w:rPr>
          <w:rFonts w:hint="eastAsia" w:ascii="宋体" w:hAnsi="宋体" w:eastAsia="宋体" w:cs="宋体"/>
          <w:sz w:val="24"/>
          <w:highlight w:val="none"/>
        </w:rPr>
        <w:t>如果我方投标文件中存在计算或表达错误的，我方理解并接受评标小组按照招标文件规定的原则进行修正，这种修正对我方具有约束力，且不需要我方确认。</w:t>
      </w:r>
    </w:p>
    <w:p>
      <w:pPr>
        <w:snapToGrid w:val="0"/>
        <w:spacing w:line="480" w:lineRule="auto"/>
        <w:rPr>
          <w:rFonts w:ascii="宋体" w:hAnsi="宋体" w:eastAsia="宋体" w:cs="宋体"/>
          <w:sz w:val="24"/>
          <w:highlight w:val="none"/>
        </w:rPr>
      </w:pPr>
      <w:r>
        <w:rPr>
          <w:rFonts w:hint="eastAsia" w:ascii="宋体" w:hAnsi="宋体" w:eastAsia="宋体" w:cs="宋体"/>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sz w:val="24"/>
          <w:highlight w:val="none"/>
        </w:rPr>
      </w:pPr>
    </w:p>
    <w:p>
      <w:pPr>
        <w:snapToGrid w:val="0"/>
        <w:spacing w:line="440" w:lineRule="exact"/>
        <w:rPr>
          <w:rFonts w:ascii="宋体" w:hAnsi="宋体" w:eastAsia="宋体" w:cs="宋体"/>
          <w:sz w:val="24"/>
          <w:highlight w:val="none"/>
        </w:rPr>
      </w:pPr>
    </w:p>
    <w:p>
      <w:pPr>
        <w:snapToGrid w:val="0"/>
        <w:spacing w:line="440" w:lineRule="exact"/>
        <w:rPr>
          <w:rFonts w:ascii="宋体" w:hAnsi="宋体" w:eastAsia="宋体" w:cs="宋体"/>
          <w:sz w:val="24"/>
          <w:highlight w:val="none"/>
        </w:rPr>
      </w:pPr>
    </w:p>
    <w:p>
      <w:pPr>
        <w:snapToGrid w:val="0"/>
        <w:spacing w:line="440" w:lineRule="exact"/>
        <w:ind w:firstLine="3240" w:firstLineChars="1350"/>
        <w:rPr>
          <w:rFonts w:ascii="宋体" w:hAnsi="宋体" w:eastAsia="宋体" w:cs="宋体"/>
          <w:sz w:val="24"/>
          <w:highlight w:val="none"/>
          <w:u w:val="single"/>
        </w:rPr>
      </w:pPr>
      <w:r>
        <w:rPr>
          <w:rFonts w:hint="eastAsia" w:ascii="宋体" w:hAnsi="宋体" w:eastAsia="宋体" w:cs="宋体"/>
          <w:sz w:val="24"/>
          <w:highlight w:val="none"/>
        </w:rPr>
        <w:t>投 标 人： (盖公章)</w:t>
      </w:r>
    </w:p>
    <w:p>
      <w:pPr>
        <w:snapToGrid w:val="0"/>
        <w:spacing w:line="440" w:lineRule="exact"/>
        <w:ind w:right="26" w:firstLine="3240" w:firstLineChars="1350"/>
        <w:rPr>
          <w:rFonts w:ascii="宋体" w:hAnsi="宋体" w:eastAsia="宋体" w:cs="宋体"/>
          <w:sz w:val="24"/>
          <w:highlight w:val="none"/>
          <w:u w:val="single"/>
        </w:rPr>
      </w:pPr>
      <w:r>
        <w:rPr>
          <w:rFonts w:hint="eastAsia" w:ascii="宋体" w:hAnsi="宋体" w:eastAsia="宋体" w:cs="宋体"/>
          <w:sz w:val="24"/>
          <w:highlight w:val="none"/>
        </w:rPr>
        <w:t>授权代表： (签  字)</w:t>
      </w:r>
    </w:p>
    <w:p>
      <w:pPr>
        <w:snapToGrid w:val="0"/>
        <w:spacing w:line="440" w:lineRule="exact"/>
        <w:ind w:right="26" w:firstLine="3240" w:firstLineChars="1350"/>
        <w:rPr>
          <w:rFonts w:ascii="宋体" w:hAnsi="宋体" w:eastAsia="宋体" w:cs="宋体"/>
          <w:sz w:val="24"/>
          <w:highlight w:val="none"/>
        </w:rPr>
      </w:pPr>
      <w:r>
        <w:rPr>
          <w:rFonts w:hint="eastAsia" w:ascii="宋体" w:hAnsi="宋体" w:eastAsia="宋体" w:cs="宋体"/>
          <w:sz w:val="24"/>
          <w:highlight w:val="none"/>
        </w:rPr>
        <w:t>日    期：年月日</w:t>
      </w:r>
    </w:p>
    <w:p>
      <w:pPr>
        <w:snapToGrid w:val="0"/>
        <w:spacing w:line="440" w:lineRule="exact"/>
        <w:ind w:right="26" w:firstLine="3240" w:firstLineChars="1350"/>
        <w:rPr>
          <w:rFonts w:ascii="宋体" w:hAnsi="宋体" w:eastAsia="宋体" w:cs="宋体"/>
          <w:sz w:val="24"/>
          <w:highlight w:val="none"/>
          <w:u w:val="single"/>
        </w:rPr>
      </w:pPr>
      <w:r>
        <w:rPr>
          <w:rFonts w:hint="eastAsia" w:ascii="宋体" w:hAnsi="宋体" w:eastAsia="宋体" w:cs="宋体"/>
          <w:sz w:val="24"/>
          <w:highlight w:val="none"/>
        </w:rPr>
        <w:t>电    话：</w:t>
      </w:r>
    </w:p>
    <w:p>
      <w:pPr>
        <w:spacing w:line="360" w:lineRule="auto"/>
        <w:ind w:firstLine="3240" w:firstLineChars="1350"/>
        <w:rPr>
          <w:rFonts w:ascii="宋体" w:hAnsi="宋体" w:eastAsia="宋体" w:cs="宋体"/>
          <w:b/>
          <w:spacing w:val="20"/>
          <w:sz w:val="28"/>
          <w:szCs w:val="28"/>
          <w:highlight w:val="none"/>
        </w:rPr>
      </w:pPr>
      <w:r>
        <w:rPr>
          <w:rFonts w:hint="eastAsia" w:ascii="宋体" w:hAnsi="宋体" w:eastAsia="宋体" w:cs="宋体"/>
          <w:sz w:val="24"/>
          <w:highlight w:val="none"/>
        </w:rPr>
        <w:t>传    真：</w:t>
      </w:r>
    </w:p>
    <w:p>
      <w:pPr>
        <w:spacing w:line="360" w:lineRule="auto"/>
        <w:rPr>
          <w:rFonts w:ascii="黑体" w:hAnsi="宋体" w:eastAsia="黑体" w:cs="黑体"/>
          <w:b/>
          <w:spacing w:val="20"/>
          <w:sz w:val="28"/>
          <w:szCs w:val="28"/>
          <w:highlight w:val="none"/>
        </w:rPr>
      </w:pPr>
    </w:p>
    <w:p>
      <w:pPr>
        <w:spacing w:line="360" w:lineRule="auto"/>
        <w:rPr>
          <w:rFonts w:ascii="黑体" w:hAnsi="宋体" w:eastAsia="黑体" w:cs="黑体"/>
          <w:b/>
          <w:spacing w:val="20"/>
          <w:sz w:val="28"/>
          <w:szCs w:val="28"/>
          <w:highlight w:val="none"/>
        </w:rPr>
      </w:pPr>
    </w:p>
    <w:p>
      <w:pPr>
        <w:spacing w:line="360" w:lineRule="auto"/>
        <w:rPr>
          <w:rFonts w:ascii="黑体" w:hAnsi="宋体" w:eastAsia="黑体" w:cs="黑体"/>
          <w:b/>
          <w:spacing w:val="20"/>
          <w:sz w:val="28"/>
          <w:szCs w:val="28"/>
          <w:highlight w:val="none"/>
        </w:rPr>
      </w:pPr>
    </w:p>
    <w:p>
      <w:pPr>
        <w:spacing w:line="360" w:lineRule="auto"/>
        <w:rPr>
          <w:rFonts w:ascii="黑体" w:hAnsi="宋体" w:eastAsia="黑体" w:cs="黑体"/>
          <w:b/>
          <w:spacing w:val="20"/>
          <w:sz w:val="28"/>
          <w:szCs w:val="28"/>
          <w:highlight w:val="none"/>
        </w:rPr>
      </w:pPr>
    </w:p>
    <w:p>
      <w:pPr>
        <w:spacing w:line="360" w:lineRule="auto"/>
        <w:rPr>
          <w:rFonts w:ascii="黑体" w:hAnsi="宋体" w:eastAsia="黑体" w:cs="黑体"/>
          <w:b/>
          <w:spacing w:val="20"/>
          <w:sz w:val="28"/>
          <w:szCs w:val="28"/>
          <w:highlight w:val="none"/>
        </w:rPr>
      </w:pPr>
    </w:p>
    <w:p>
      <w:pPr>
        <w:spacing w:line="360" w:lineRule="auto"/>
        <w:rPr>
          <w:rFonts w:ascii="黑体" w:hAnsi="宋体" w:eastAsia="黑体" w:cs="黑体"/>
          <w:b/>
          <w:spacing w:val="20"/>
          <w:sz w:val="28"/>
          <w:szCs w:val="28"/>
          <w:highlight w:val="none"/>
        </w:rPr>
      </w:pPr>
    </w:p>
    <w:p>
      <w:pPr>
        <w:pStyle w:val="20"/>
        <w:widowControl/>
        <w:spacing w:before="142"/>
        <w:jc w:val="both"/>
        <w:rPr>
          <w:rFonts w:ascii="宋体" w:hAnsi="宋体" w:eastAsia="宋体" w:cs="宋体"/>
          <w:sz w:val="28"/>
          <w:szCs w:val="28"/>
          <w:highlight w:val="none"/>
        </w:rPr>
      </w:pPr>
      <w:r>
        <w:rPr>
          <w:rFonts w:hint="eastAsia" w:ascii="宋体" w:hAnsi="宋体" w:eastAsia="宋体" w:cs="黑体"/>
          <w:sz w:val="28"/>
          <w:szCs w:val="28"/>
          <w:highlight w:val="none"/>
        </w:rPr>
        <w:br w:type="page"/>
      </w:r>
      <w:bookmarkStart w:id="6" w:name="_Toc223342668"/>
      <w:bookmarkEnd w:id="6"/>
      <w:bookmarkStart w:id="7" w:name="_Toc216145749"/>
      <w:bookmarkEnd w:id="7"/>
      <w:r>
        <w:rPr>
          <w:rFonts w:hint="eastAsia" w:ascii="宋体" w:hAnsi="宋体" w:eastAsia="宋体" w:cs="黑体"/>
          <w:sz w:val="28"/>
          <w:szCs w:val="28"/>
          <w:highlight w:val="none"/>
        </w:rPr>
        <w:t>格式三：</w:t>
      </w:r>
    </w:p>
    <w:p>
      <w:pPr>
        <w:pStyle w:val="22"/>
        <w:widowControl/>
        <w:ind w:firstLine="0" w:firstLineChars="0"/>
        <w:jc w:val="center"/>
        <w:outlineLvl w:val="2"/>
        <w:rPr>
          <w:kern w:val="44"/>
          <w:highlight w:val="none"/>
        </w:rPr>
      </w:pPr>
      <w:bookmarkStart w:id="8" w:name="_Toc172416501"/>
      <w:bookmarkEnd w:id="8"/>
      <w:r>
        <w:rPr>
          <w:rFonts w:hint="eastAsia" w:ascii="宋体" w:hAnsi="宋体" w:cs="宋体"/>
          <w:b/>
          <w:sz w:val="30"/>
          <w:szCs w:val="30"/>
          <w:highlight w:val="none"/>
        </w:rPr>
        <w:t>法定代表人证明书</w:t>
      </w:r>
    </w:p>
    <w:p>
      <w:pPr>
        <w:pStyle w:val="22"/>
        <w:widowControl/>
        <w:ind w:firstLine="496"/>
        <w:jc w:val="right"/>
        <w:rPr>
          <w:b/>
          <w:highlight w:val="none"/>
        </w:rPr>
      </w:pPr>
      <w:r>
        <w:rPr>
          <w:rFonts w:hint="eastAsia" w:ascii="宋体" w:hAnsi="宋体" w:cs="宋体"/>
          <w:highlight w:val="none"/>
        </w:rPr>
        <w:t>（ ）第 号</w:t>
      </w:r>
    </w:p>
    <w:p>
      <w:pPr>
        <w:pStyle w:val="22"/>
        <w:widowControl/>
        <w:ind w:firstLine="0" w:firstLineChars="0"/>
        <w:rPr>
          <w:sz w:val="30"/>
          <w:szCs w:val="30"/>
          <w:highlight w:val="none"/>
        </w:rPr>
      </w:pPr>
      <w:r>
        <w:rPr>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2"/>
        <w:widowControl/>
        <w:ind w:firstLine="618"/>
        <w:rPr>
          <w:b/>
          <w:sz w:val="30"/>
          <w:szCs w:val="30"/>
          <w:highlight w:val="none"/>
        </w:rPr>
      </w:pPr>
    </w:p>
    <w:p>
      <w:pPr>
        <w:pStyle w:val="22"/>
        <w:widowControl/>
        <w:ind w:firstLine="0" w:firstLineChars="0"/>
        <w:jc w:val="center"/>
        <w:outlineLvl w:val="2"/>
        <w:rPr>
          <w:b/>
          <w:sz w:val="30"/>
          <w:szCs w:val="30"/>
          <w:highlight w:val="none"/>
        </w:rPr>
      </w:pPr>
      <w:r>
        <w:rPr>
          <w:rFonts w:hint="eastAsia" w:ascii="宋体" w:hAnsi="宋体" w:cs="宋体"/>
          <w:b/>
          <w:sz w:val="30"/>
          <w:szCs w:val="30"/>
          <w:highlight w:val="none"/>
        </w:rPr>
        <w:t>授权委托证明书</w:t>
      </w:r>
    </w:p>
    <w:p>
      <w:pPr>
        <w:pStyle w:val="22"/>
        <w:widowControl/>
        <w:ind w:firstLine="496"/>
        <w:jc w:val="right"/>
        <w:rPr>
          <w:highlight w:val="none"/>
        </w:rPr>
      </w:pPr>
      <w:r>
        <w:rPr>
          <w:rFonts w:hint="eastAsia" w:ascii="宋体" w:hAnsi="宋体" w:cs="宋体"/>
          <w:highlight w:val="none"/>
        </w:rPr>
        <w:t>（ ）第 号</w:t>
      </w:r>
    </w:p>
    <w:p>
      <w:pPr>
        <w:pStyle w:val="22"/>
        <w:widowControl/>
        <w:ind w:firstLine="0" w:firstLineChars="0"/>
        <w:rPr>
          <w:b/>
          <w:highlight w:val="none"/>
        </w:rPr>
      </w:pPr>
      <w:r>
        <w:rPr>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0"/>
        <w:widowControl/>
        <w:spacing w:before="142"/>
        <w:jc w:val="both"/>
        <w:outlineLvl w:val="9"/>
        <w:rPr>
          <w:rFonts w:ascii="黑体" w:hAnsi="宋体" w:cs="宋体"/>
          <w:b w:val="0"/>
          <w:highlight w:val="none"/>
        </w:rPr>
      </w:pPr>
      <w:r>
        <w:rPr>
          <w:rFonts w:hint="eastAsia" w:ascii="黑体" w:hAnsi="宋体" w:cs="宋体"/>
          <w:b w:val="0"/>
          <w:highlight w:val="none"/>
        </w:rPr>
        <w:t>备注：也可使用从工商管理部门购买的格式填写</w:t>
      </w:r>
      <w:bookmarkStart w:id="9" w:name="_Toc216145759"/>
      <w:bookmarkEnd w:id="9"/>
      <w:bookmarkStart w:id="10" w:name="_Toc223342677"/>
    </w:p>
    <w:p>
      <w:pPr>
        <w:rPr>
          <w:rFonts w:ascii="宋体" w:hAnsi="宋体" w:eastAsia="宋体" w:cs="黑体"/>
          <w:sz w:val="28"/>
          <w:szCs w:val="28"/>
          <w:highlight w:val="none"/>
        </w:rPr>
      </w:pPr>
      <w:r>
        <w:rPr>
          <w:rFonts w:hint="eastAsia" w:ascii="宋体" w:hAnsi="宋体" w:eastAsia="宋体" w:cs="黑体"/>
          <w:sz w:val="28"/>
          <w:szCs w:val="28"/>
          <w:highlight w:val="none"/>
        </w:rPr>
        <w:br w:type="page"/>
      </w:r>
    </w:p>
    <w:p>
      <w:pPr>
        <w:pStyle w:val="20"/>
        <w:widowControl/>
        <w:spacing w:before="142"/>
        <w:jc w:val="both"/>
        <w:rPr>
          <w:rFonts w:ascii="宋体" w:hAnsi="宋体" w:eastAsia="宋体" w:cs="宋体"/>
          <w:sz w:val="28"/>
          <w:szCs w:val="28"/>
          <w:highlight w:val="none"/>
        </w:rPr>
      </w:pPr>
      <w:r>
        <w:rPr>
          <w:rFonts w:hint="eastAsia" w:ascii="宋体" w:hAnsi="宋体" w:eastAsia="宋体" w:cs="黑体"/>
          <w:sz w:val="28"/>
          <w:szCs w:val="28"/>
          <w:highlight w:val="none"/>
        </w:rPr>
        <w:t>格式四：</w:t>
      </w:r>
      <w:bookmarkEnd w:id="10"/>
    </w:p>
    <w:p>
      <w:pPr>
        <w:pStyle w:val="22"/>
        <w:widowControl/>
        <w:ind w:firstLine="0" w:firstLineChars="0"/>
        <w:jc w:val="center"/>
        <w:rPr>
          <w:b/>
          <w:sz w:val="28"/>
          <w:szCs w:val="28"/>
          <w:highlight w:val="none"/>
        </w:rPr>
      </w:pPr>
    </w:p>
    <w:p>
      <w:pPr>
        <w:snapToGrid w:val="0"/>
        <w:spacing w:after="120" w:line="440" w:lineRule="exact"/>
        <w:jc w:val="center"/>
        <w:outlineLvl w:val="2"/>
        <w:rPr>
          <w:rFonts w:ascii="宋体" w:hAnsi="宋体" w:eastAsia="宋体" w:cs="宋体"/>
          <w:b/>
          <w:sz w:val="32"/>
          <w:szCs w:val="32"/>
          <w:highlight w:val="none"/>
        </w:rPr>
      </w:pPr>
      <w:r>
        <w:rPr>
          <w:rFonts w:hint="eastAsia" w:ascii="宋体" w:hAnsi="宋体" w:eastAsia="宋体" w:cs="宋体"/>
          <w:b/>
          <w:sz w:val="32"/>
          <w:szCs w:val="32"/>
          <w:highlight w:val="none"/>
        </w:rPr>
        <w:t>服务人员到位承诺书</w:t>
      </w:r>
    </w:p>
    <w:p>
      <w:pPr>
        <w:spacing w:line="560" w:lineRule="exact"/>
        <w:rPr>
          <w:rFonts w:ascii="宋体" w:hAnsi="宋体" w:eastAsia="宋体" w:cs="宋体"/>
          <w:sz w:val="24"/>
          <w:highlight w:val="none"/>
        </w:rPr>
      </w:pPr>
    </w:p>
    <w:p>
      <w:pPr>
        <w:spacing w:line="560" w:lineRule="exact"/>
        <w:rPr>
          <w:rFonts w:hint="eastAsia" w:ascii="宋体" w:hAnsi="宋体" w:eastAsia="宋体" w:cs="宋体"/>
          <w:sz w:val="24"/>
          <w:highlight w:val="none"/>
          <w:u w:val="single"/>
          <w:lang w:eastAsia="zh-CN"/>
        </w:rPr>
      </w:pPr>
      <w:r>
        <w:rPr>
          <w:rFonts w:hint="eastAsia" w:ascii="宋体" w:hAnsi="宋体" w:eastAsia="宋体" w:cs="宋体"/>
          <w:sz w:val="24"/>
          <w:highlight w:val="none"/>
        </w:rPr>
        <w:t>招标人名称：</w:t>
      </w:r>
      <w:r>
        <w:rPr>
          <w:rFonts w:hint="eastAsia" w:ascii="宋体" w:hAnsi="宋体" w:eastAsia="宋体" w:cs="宋体"/>
          <w:sz w:val="24"/>
          <w:highlight w:val="none"/>
          <w:u w:val="single"/>
          <w:lang w:val="en-US" w:eastAsia="zh-CN"/>
        </w:rPr>
        <w:t>广州南沙盛龙房地产开发有限公司</w:t>
      </w:r>
    </w:p>
    <w:p>
      <w:pPr>
        <w:spacing w:line="560" w:lineRule="exact"/>
        <w:rPr>
          <w:rFonts w:ascii="宋体" w:hAnsi="宋体" w:eastAsia="宋体" w:cs="宋体"/>
          <w:sz w:val="24"/>
          <w:highlight w:val="none"/>
          <w:u w:val="single"/>
        </w:rPr>
      </w:pPr>
      <w:r>
        <w:rPr>
          <w:rFonts w:hint="eastAsia" w:ascii="宋体" w:hAnsi="宋体" w:eastAsia="宋体" w:cs="宋体"/>
          <w:sz w:val="24"/>
          <w:highlight w:val="none"/>
        </w:rPr>
        <w:t>投标项目名称：广州南沙区珠江街道2022NJY-9</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地块二</w:t>
      </w:r>
      <w:r>
        <w:rPr>
          <w:rFonts w:hint="eastAsia" w:ascii="宋体" w:hAnsi="宋体" w:eastAsia="宋体" w:cs="宋体"/>
          <w:sz w:val="24"/>
          <w:highlight w:val="none"/>
          <w:lang w:eastAsia="zh-CN"/>
        </w:rPr>
        <w:t>）</w:t>
      </w:r>
      <w:r>
        <w:rPr>
          <w:rFonts w:hint="eastAsia" w:ascii="宋体" w:hAnsi="宋体" w:eastAsia="宋体" w:cs="宋体"/>
          <w:sz w:val="24"/>
          <w:highlight w:val="none"/>
        </w:rPr>
        <w:t>工程勘察服务</w:t>
      </w:r>
    </w:p>
    <w:p>
      <w:pPr>
        <w:snapToGrid w:val="0"/>
        <w:spacing w:after="120" w:line="440" w:lineRule="exact"/>
        <w:ind w:firstLine="480" w:firstLineChars="200"/>
        <w:rPr>
          <w:rFonts w:ascii="宋体" w:hAnsi="宋体" w:eastAsia="宋体" w:cs="宋体"/>
          <w:sz w:val="24"/>
          <w:highlight w:val="none"/>
        </w:rPr>
      </w:pPr>
    </w:p>
    <w:p>
      <w:pPr>
        <w:snapToGrid w:val="0"/>
        <w:spacing w:after="120" w:line="44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我方如果中标，承诺服务人员的配备不得低于招标人要求（不包括项目负责人）；项目负责人1名，</w:t>
      </w:r>
      <w:r>
        <w:rPr>
          <w:rFonts w:hint="eastAsia" w:ascii="宋体" w:hAnsi="宋体" w:eastAsia="宋体" w:cs="宋体"/>
          <w:sz w:val="24"/>
          <w:highlight w:val="none"/>
          <w:lang w:val="en-US" w:eastAsia="zh-CN"/>
        </w:rPr>
        <w:t>技术负责人</w:t>
      </w:r>
      <w:r>
        <w:rPr>
          <w:rFonts w:hint="eastAsia" w:ascii="宋体" w:hAnsi="宋体" w:eastAsia="宋体" w:cs="宋体"/>
          <w:sz w:val="24"/>
          <w:highlight w:val="none"/>
        </w:rPr>
        <w:t>1名，现场管理人员1名，技术人员2名，均按投标文件人员名单配备。</w:t>
      </w:r>
    </w:p>
    <w:p>
      <w:pPr>
        <w:snapToGrid w:val="0"/>
        <w:spacing w:after="120" w:line="440" w:lineRule="exact"/>
        <w:rPr>
          <w:rFonts w:ascii="宋体" w:hAnsi="宋体" w:eastAsia="宋体" w:cs="宋体"/>
          <w:b/>
          <w:sz w:val="24"/>
          <w:highlight w:val="none"/>
        </w:rPr>
      </w:pPr>
    </w:p>
    <w:p>
      <w:pPr>
        <w:spacing w:line="560" w:lineRule="exact"/>
        <w:rPr>
          <w:rFonts w:ascii="宋体" w:hAnsi="宋体" w:eastAsia="宋体" w:cs="宋体"/>
          <w:sz w:val="24"/>
          <w:highlight w:val="none"/>
          <w:u w:val="single"/>
        </w:rPr>
      </w:pPr>
      <w:r>
        <w:rPr>
          <w:rFonts w:hint="eastAsia" w:ascii="宋体" w:hAnsi="宋体" w:eastAsia="宋体" w:cs="宋体"/>
          <w:sz w:val="24"/>
          <w:highlight w:val="none"/>
        </w:rPr>
        <w:t xml:space="preserve">   投标单位名称（盖法人公章）：</w:t>
      </w:r>
    </w:p>
    <w:p>
      <w:pPr>
        <w:spacing w:line="560" w:lineRule="exact"/>
        <w:rPr>
          <w:rFonts w:ascii="宋体" w:hAnsi="宋体" w:eastAsia="宋体" w:cs="宋体"/>
          <w:sz w:val="24"/>
          <w:highlight w:val="none"/>
        </w:rPr>
      </w:pPr>
    </w:p>
    <w:p>
      <w:pPr>
        <w:spacing w:line="560" w:lineRule="exact"/>
        <w:ind w:firstLine="240" w:firstLineChars="100"/>
        <w:rPr>
          <w:rFonts w:ascii="宋体" w:hAnsi="宋体" w:eastAsia="宋体" w:cs="宋体"/>
          <w:sz w:val="24"/>
          <w:highlight w:val="none"/>
          <w:u w:val="single"/>
        </w:rPr>
      </w:pPr>
      <w:r>
        <w:rPr>
          <w:rFonts w:hint="eastAsia" w:ascii="宋体" w:hAnsi="宋体" w:eastAsia="宋体" w:cs="宋体"/>
          <w:sz w:val="24"/>
          <w:highlight w:val="none"/>
        </w:rPr>
        <w:t xml:space="preserve"> 法定代表人或受委托人（签字或盖章）：</w:t>
      </w:r>
    </w:p>
    <w:p>
      <w:pPr>
        <w:spacing w:line="560" w:lineRule="exact"/>
        <w:rPr>
          <w:rFonts w:ascii="宋体" w:hAnsi="宋体" w:eastAsia="宋体" w:cs="宋体"/>
          <w:sz w:val="24"/>
          <w:highlight w:val="none"/>
          <w:u w:val="single"/>
        </w:rPr>
      </w:pPr>
    </w:p>
    <w:p>
      <w:pPr>
        <w:spacing w:line="560" w:lineRule="exact"/>
        <w:rPr>
          <w:rFonts w:ascii="宋体" w:hAnsi="宋体" w:eastAsia="宋体" w:cs="宋体"/>
          <w:sz w:val="24"/>
          <w:highlight w:val="none"/>
        </w:rPr>
      </w:pPr>
      <w:r>
        <w:rPr>
          <w:rFonts w:hint="eastAsia" w:ascii="宋体" w:hAnsi="宋体" w:eastAsia="宋体" w:cs="宋体"/>
          <w:sz w:val="24"/>
          <w:highlight w:val="none"/>
        </w:rPr>
        <w:t xml:space="preserve">   日期：  年 月  日</w:t>
      </w:r>
    </w:p>
    <w:p>
      <w:pPr>
        <w:snapToGrid w:val="0"/>
        <w:spacing w:after="120" w:line="440" w:lineRule="exact"/>
        <w:rPr>
          <w:rFonts w:ascii="宋体" w:hAnsi="宋体" w:eastAsia="宋体" w:cs="宋体"/>
          <w:sz w:val="24"/>
          <w:highlight w:val="none"/>
        </w:rPr>
      </w:pPr>
    </w:p>
    <w:p>
      <w:pPr>
        <w:outlineLvl w:val="1"/>
        <w:rPr>
          <w:rFonts w:ascii="宋体" w:hAnsi="宋体" w:eastAsia="宋体" w:cs="宋体"/>
          <w:b/>
          <w:sz w:val="28"/>
          <w:szCs w:val="28"/>
          <w:highlight w:val="none"/>
        </w:rPr>
      </w:pPr>
      <w:r>
        <w:rPr>
          <w:rFonts w:ascii="Times New Roman" w:hAnsi="Times New Roman" w:eastAsia="宋体" w:cs="Times New Roman"/>
          <w:spacing w:val="18"/>
          <w:szCs w:val="21"/>
          <w:highlight w:val="none"/>
        </w:rPr>
        <w:br w:type="page"/>
      </w:r>
      <w:bookmarkStart w:id="11" w:name="_Toc459403394"/>
      <w:bookmarkEnd w:id="11"/>
      <w:bookmarkStart w:id="12" w:name="_Toc415833503"/>
      <w:bookmarkEnd w:id="12"/>
      <w:bookmarkStart w:id="13" w:name="_Toc196130013"/>
      <w:bookmarkEnd w:id="13"/>
      <w:bookmarkStart w:id="14" w:name="_Toc326909213"/>
      <w:bookmarkEnd w:id="14"/>
      <w:bookmarkStart w:id="15" w:name="_Toc196130110"/>
      <w:bookmarkEnd w:id="15"/>
      <w:bookmarkStart w:id="16" w:name="_Toc415728297"/>
      <w:bookmarkEnd w:id="16"/>
      <w:bookmarkStart w:id="17" w:name="_Toc199647675"/>
      <w:bookmarkEnd w:id="17"/>
      <w:bookmarkStart w:id="18" w:name="_Toc41822703"/>
      <w:bookmarkEnd w:id="18"/>
      <w:bookmarkStart w:id="19" w:name="_Toc196036941"/>
      <w:bookmarkEnd w:id="19"/>
      <w:bookmarkStart w:id="20" w:name="_Toc197235848"/>
      <w:bookmarkEnd w:id="20"/>
      <w:bookmarkStart w:id="21" w:name="_Toc196037097"/>
      <w:bookmarkEnd w:id="21"/>
      <w:bookmarkStart w:id="22" w:name="_Toc462911098"/>
      <w:r>
        <w:rPr>
          <w:rFonts w:hint="eastAsia" w:ascii="宋体" w:hAnsi="宋体" w:eastAsia="宋体" w:cs="黑体"/>
          <w:b/>
          <w:spacing w:val="4"/>
          <w:kern w:val="0"/>
          <w:sz w:val="28"/>
          <w:szCs w:val="28"/>
          <w:highlight w:val="none"/>
        </w:rPr>
        <w:t>格式五</w:t>
      </w:r>
      <w:bookmarkEnd w:id="22"/>
      <w:r>
        <w:rPr>
          <w:rFonts w:hint="eastAsia" w:ascii="宋体" w:hAnsi="宋体" w:eastAsia="宋体" w:cs="宋体"/>
          <w:sz w:val="28"/>
          <w:szCs w:val="28"/>
          <w:highlight w:val="none"/>
        </w:rPr>
        <w:t>：</w:t>
      </w:r>
    </w:p>
    <w:p>
      <w:pPr>
        <w:spacing w:line="360" w:lineRule="auto"/>
        <w:jc w:val="center"/>
        <w:outlineLvl w:val="2"/>
        <w:rPr>
          <w:rFonts w:ascii="仿宋" w:hAnsi="仿宋" w:eastAsia="仿宋" w:cs="仿宋"/>
          <w:b/>
          <w:bCs/>
          <w:sz w:val="36"/>
          <w:szCs w:val="36"/>
          <w:highlight w:val="none"/>
        </w:rPr>
      </w:pPr>
      <w:bookmarkStart w:id="23" w:name="_Toc41822704"/>
      <w:bookmarkEnd w:id="23"/>
      <w:r>
        <w:rPr>
          <w:rFonts w:hint="eastAsia" w:ascii="仿宋" w:hAnsi="仿宋" w:eastAsia="仿宋" w:cs="仿宋"/>
          <w:b/>
          <w:bCs/>
          <w:sz w:val="36"/>
          <w:szCs w:val="36"/>
          <w:highlight w:val="none"/>
        </w:rPr>
        <w:t>投标人综合概况</w:t>
      </w:r>
    </w:p>
    <w:tbl>
      <w:tblPr>
        <w:tblStyle w:val="14"/>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spacing w:val="30"/>
                <w:sz w:val="24"/>
                <w:highlight w:val="none"/>
              </w:rPr>
            </w:pPr>
            <w:r>
              <w:rPr>
                <w:rFonts w:hint="eastAsia" w:ascii="仿宋" w:hAnsi="仿宋" w:eastAsia="仿宋" w:cs="仿宋"/>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ISO9000认证号、范围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共人，其中，高级职称人，中级职称人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sz w:val="24"/>
                <w:highlight w:val="none"/>
              </w:rPr>
            </w:pPr>
            <w:r>
              <w:rPr>
                <w:rFonts w:hint="eastAsia" w:ascii="仿宋" w:hAnsi="仿宋" w:eastAsia="仿宋" w:cs="仿宋"/>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sz w:val="24"/>
                <w:highlight w:val="none"/>
              </w:rPr>
            </w:pPr>
            <w:r>
              <w:rPr>
                <w:rFonts w:hint="eastAsia" w:ascii="仿宋" w:hAnsi="仿宋" w:eastAsia="仿宋" w:cs="仿宋"/>
                <w:sz w:val="24"/>
                <w:highlight w:val="none"/>
              </w:rPr>
              <w:t>投标单位完成本项目所独有的有利条件及相关</w:t>
            </w:r>
            <w:r>
              <w:rPr>
                <w:rFonts w:hint="eastAsia" w:ascii="仿宋" w:hAnsi="仿宋" w:eastAsia="仿宋" w:cs="仿宋"/>
                <w:sz w:val="24"/>
                <w:highlight w:val="none"/>
                <w:lang w:val="en-US" w:eastAsia="zh-CN"/>
              </w:rPr>
              <w:t>勘察</w:t>
            </w:r>
            <w:r>
              <w:rPr>
                <w:rFonts w:hint="eastAsia" w:ascii="仿宋" w:hAnsi="仿宋" w:eastAsia="仿宋" w:cs="仿宋"/>
                <w:sz w:val="24"/>
                <w:highlight w:val="none"/>
              </w:rPr>
              <w:t>的专业特长：</w:t>
            </w:r>
          </w:p>
        </w:tc>
      </w:tr>
    </w:tbl>
    <w:p>
      <w:pPr>
        <w:rPr>
          <w:rFonts w:ascii="仿宋" w:hAnsi="仿宋" w:eastAsia="仿宋" w:cs="仿宋"/>
          <w:highlight w:val="none"/>
        </w:rPr>
      </w:pPr>
      <w:r>
        <w:rPr>
          <w:rFonts w:hint="eastAsia" w:ascii="仿宋" w:hAnsi="仿宋" w:eastAsia="仿宋" w:cs="仿宋"/>
          <w:szCs w:val="21"/>
          <w:highlight w:val="none"/>
        </w:rPr>
        <w:t>注：企业资质、营业执照需要附上复印件。</w:t>
      </w:r>
    </w:p>
    <w:p>
      <w:pPr>
        <w:rPr>
          <w:rFonts w:ascii="仿宋" w:hAnsi="仿宋" w:eastAsia="仿宋" w:cs="仿宋"/>
          <w:highlight w:val="none"/>
        </w:rPr>
      </w:pPr>
    </w:p>
    <w:p>
      <w:pPr>
        <w:outlineLvl w:val="1"/>
        <w:rPr>
          <w:rFonts w:ascii="宋体" w:hAnsi="宋体" w:eastAsia="宋体" w:cs="黑体"/>
          <w:b/>
          <w:spacing w:val="4"/>
          <w:kern w:val="0"/>
          <w:sz w:val="28"/>
          <w:szCs w:val="28"/>
          <w:highlight w:val="none"/>
        </w:rPr>
      </w:pPr>
      <w:bookmarkStart w:id="24" w:name="_Toc199647676"/>
      <w:bookmarkEnd w:id="24"/>
      <w:bookmarkStart w:id="25" w:name="_Toc196037098"/>
      <w:bookmarkEnd w:id="25"/>
      <w:bookmarkStart w:id="26" w:name="_Toc415833504"/>
      <w:bookmarkEnd w:id="26"/>
      <w:bookmarkStart w:id="27" w:name="_Toc197235849"/>
      <w:bookmarkEnd w:id="27"/>
      <w:bookmarkStart w:id="28" w:name="_Toc415728298"/>
      <w:bookmarkEnd w:id="28"/>
      <w:bookmarkStart w:id="29" w:name="_Toc196130111"/>
      <w:bookmarkEnd w:id="29"/>
      <w:bookmarkStart w:id="30" w:name="_Toc196130014"/>
      <w:bookmarkEnd w:id="30"/>
      <w:bookmarkStart w:id="31" w:name="_Toc459403395"/>
      <w:bookmarkEnd w:id="31"/>
      <w:bookmarkStart w:id="32" w:name="_Toc326909214"/>
      <w:bookmarkEnd w:id="32"/>
      <w:bookmarkStart w:id="33" w:name="_Toc196036942"/>
      <w:bookmarkEnd w:id="33"/>
      <w:bookmarkStart w:id="34" w:name="_Toc462911099"/>
    </w:p>
    <w:p>
      <w:pPr>
        <w:outlineLvl w:val="1"/>
        <w:rPr>
          <w:rFonts w:ascii="仿宋" w:hAnsi="仿宋" w:eastAsia="仿宋" w:cs="仿宋"/>
          <w:kern w:val="24"/>
          <w:sz w:val="28"/>
          <w:szCs w:val="28"/>
          <w:highlight w:val="none"/>
        </w:rPr>
      </w:pPr>
      <w:r>
        <w:rPr>
          <w:rFonts w:hint="eastAsia" w:ascii="宋体" w:hAnsi="宋体" w:eastAsia="宋体" w:cs="黑体"/>
          <w:b/>
          <w:spacing w:val="4"/>
          <w:kern w:val="0"/>
          <w:sz w:val="28"/>
          <w:szCs w:val="28"/>
          <w:highlight w:val="none"/>
        </w:rPr>
        <w:t>格式六</w:t>
      </w:r>
      <w:bookmarkEnd w:id="34"/>
      <w:r>
        <w:rPr>
          <w:rFonts w:hint="eastAsia" w:ascii="仿宋" w:hAnsi="仿宋" w:eastAsia="仿宋" w:cs="仿宋"/>
          <w:kern w:val="24"/>
          <w:sz w:val="28"/>
          <w:szCs w:val="28"/>
          <w:highlight w:val="none"/>
        </w:rPr>
        <w:t>：</w:t>
      </w:r>
    </w:p>
    <w:p>
      <w:pPr>
        <w:ind w:firstLine="480" w:firstLineChars="200"/>
        <w:rPr>
          <w:rFonts w:ascii="仿宋" w:hAnsi="仿宋" w:eastAsia="仿宋" w:cs="仿宋"/>
          <w:kern w:val="24"/>
          <w:sz w:val="24"/>
          <w:highlight w:val="none"/>
        </w:rPr>
      </w:pPr>
      <w:r>
        <w:rPr>
          <w:rFonts w:hint="eastAsia" w:ascii="仿宋" w:hAnsi="仿宋" w:eastAsia="仿宋" w:cs="仿宋"/>
          <w:kern w:val="24"/>
          <w:sz w:val="24"/>
          <w:highlight w:val="none"/>
        </w:rPr>
        <w:t>20</w:t>
      </w:r>
      <w:r>
        <w:rPr>
          <w:rFonts w:hint="eastAsia" w:ascii="仿宋" w:hAnsi="仿宋" w:eastAsia="仿宋" w:cs="仿宋"/>
          <w:kern w:val="24"/>
          <w:sz w:val="24"/>
          <w:highlight w:val="none"/>
          <w:lang w:val="en-US" w:eastAsia="zh-CN"/>
        </w:rPr>
        <w:t>20</w:t>
      </w:r>
      <w:r>
        <w:rPr>
          <w:rFonts w:hint="eastAsia" w:ascii="仿宋" w:hAnsi="仿宋" w:eastAsia="仿宋" w:cs="仿宋"/>
          <w:kern w:val="24"/>
          <w:sz w:val="24"/>
          <w:highlight w:val="none"/>
        </w:rPr>
        <w:t>年1月1日至今企业承担的同类项目</w:t>
      </w:r>
    </w:p>
    <w:p>
      <w:pPr>
        <w:spacing w:beforeLines="30" w:line="360" w:lineRule="auto"/>
        <w:jc w:val="center"/>
        <w:outlineLvl w:val="2"/>
        <w:rPr>
          <w:rFonts w:ascii="仿宋" w:hAnsi="仿宋" w:eastAsia="仿宋" w:cs="仿宋"/>
          <w:kern w:val="24"/>
          <w:sz w:val="28"/>
          <w:szCs w:val="28"/>
          <w:highlight w:val="none"/>
        </w:rPr>
      </w:pPr>
      <w:bookmarkStart w:id="35" w:name="_Toc196130015"/>
      <w:bookmarkEnd w:id="35"/>
      <w:bookmarkStart w:id="36" w:name="_Toc199647677"/>
      <w:bookmarkEnd w:id="36"/>
      <w:bookmarkStart w:id="37" w:name="_Toc197235850"/>
      <w:bookmarkEnd w:id="37"/>
      <w:bookmarkStart w:id="38" w:name="_Toc196036943"/>
      <w:bookmarkEnd w:id="38"/>
      <w:bookmarkStart w:id="39" w:name="_Toc41822705"/>
      <w:bookmarkEnd w:id="39"/>
      <w:bookmarkStart w:id="40" w:name="_Toc196037099"/>
      <w:bookmarkEnd w:id="40"/>
      <w:bookmarkStart w:id="41" w:name="_Toc196130112"/>
      <w:bookmarkEnd w:id="41"/>
      <w:bookmarkStart w:id="42" w:name="_Toc326909215"/>
      <w:r>
        <w:rPr>
          <w:rFonts w:hint="eastAsia" w:ascii="仿宋" w:hAnsi="仿宋" w:eastAsia="仿宋" w:cs="仿宋"/>
          <w:b/>
          <w:bCs/>
          <w:kern w:val="24"/>
          <w:sz w:val="36"/>
          <w:szCs w:val="36"/>
          <w:highlight w:val="none"/>
        </w:rPr>
        <w:t>业绩一览表</w:t>
      </w:r>
      <w:bookmarkEnd w:id="42"/>
    </w:p>
    <w:p>
      <w:pPr>
        <w:adjustRightInd w:val="0"/>
        <w:snapToGrid w:val="0"/>
        <w:spacing w:beforeLines="30"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rPr>
        <w:t>项目名称：</w:t>
      </w:r>
    </w:p>
    <w:tbl>
      <w:tblPr>
        <w:tblStyle w:val="14"/>
        <w:tblW w:w="7926" w:type="dxa"/>
        <w:jc w:val="center"/>
        <w:tblLayout w:type="fixed"/>
        <w:tblCellMar>
          <w:top w:w="0" w:type="dxa"/>
          <w:left w:w="108" w:type="dxa"/>
          <w:bottom w:w="0" w:type="dxa"/>
          <w:right w:w="108" w:type="dxa"/>
        </w:tblCellMar>
      </w:tblPr>
      <w:tblGrid>
        <w:gridCol w:w="724"/>
        <w:gridCol w:w="2002"/>
        <w:gridCol w:w="2567"/>
        <w:gridCol w:w="1303"/>
        <w:gridCol w:w="1330"/>
      </w:tblGrid>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序号</w:t>
            </w: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主要业绩名称</w:t>
            </w: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业绩简介</w:t>
            </w:r>
          </w:p>
        </w:tc>
        <w:tc>
          <w:tcPr>
            <w:tcW w:w="1303"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仿宋" w:hAnsi="仿宋" w:eastAsia="仿宋" w:cs="仿宋"/>
                <w:sz w:val="24"/>
                <w:highlight w:val="none"/>
              </w:rPr>
            </w:pPr>
            <w:r>
              <w:rPr>
                <w:rFonts w:hint="eastAsia" w:ascii="仿宋" w:hAnsi="仿宋" w:eastAsia="仿宋" w:cs="仿宋"/>
                <w:sz w:val="24"/>
                <w:highlight w:val="none"/>
              </w:rPr>
              <w:t>建筑面积</w:t>
            </w: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完成时间</w:t>
            </w: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highlight w:val="none"/>
              </w:rPr>
            </w:pPr>
          </w:p>
        </w:tc>
      </w:tr>
    </w:tbl>
    <w:p>
      <w:pPr>
        <w:spacing w:line="360" w:lineRule="auto"/>
        <w:ind w:firstLine="359" w:firstLineChars="171"/>
        <w:rPr>
          <w:rFonts w:ascii="仿宋" w:hAnsi="仿宋" w:eastAsia="仿宋" w:cs="仿宋"/>
          <w:highlight w:val="none"/>
        </w:rPr>
      </w:pPr>
      <w:r>
        <w:rPr>
          <w:rFonts w:hint="eastAsia" w:ascii="仿宋" w:hAnsi="仿宋" w:eastAsia="仿宋" w:cs="仿宋"/>
          <w:szCs w:val="21"/>
          <w:highlight w:val="none"/>
        </w:rPr>
        <w:t>注：1、投标人提供的同类项目业绩证明资料附于该表后面。业绩证明资料须提供：（1）合同；相关证明资料必须能反映出评标所需指标，否则相应子项不予计分；时间以合同文件签订时间为准。</w:t>
      </w:r>
    </w:p>
    <w:p>
      <w:pPr>
        <w:spacing w:line="360" w:lineRule="auto"/>
        <w:ind w:firstLine="779" w:firstLineChars="371"/>
        <w:rPr>
          <w:rFonts w:ascii="仿宋" w:hAnsi="仿宋" w:eastAsia="仿宋" w:cs="仿宋"/>
          <w:sz w:val="24"/>
          <w:highlight w:val="none"/>
        </w:rPr>
      </w:pPr>
      <w:r>
        <w:rPr>
          <w:rFonts w:hint="eastAsia" w:ascii="仿宋" w:hAnsi="仿宋" w:eastAsia="仿宋" w:cs="仿宋"/>
          <w:szCs w:val="21"/>
          <w:highlight w:val="none"/>
        </w:rPr>
        <w:t>2、如有获奖，请附获奖证书复印件。</w:t>
      </w:r>
    </w:p>
    <w:p>
      <w:pPr>
        <w:adjustRightInd w:val="0"/>
        <w:snapToGrid w:val="0"/>
        <w:spacing w:beforeLines="30" w:line="360" w:lineRule="auto"/>
        <w:rPr>
          <w:rFonts w:ascii="仿宋" w:hAnsi="仿宋" w:eastAsia="仿宋" w:cs="仿宋"/>
          <w:sz w:val="24"/>
          <w:highlight w:val="none"/>
        </w:rPr>
      </w:pPr>
      <w:r>
        <w:rPr>
          <w:rFonts w:hint="eastAsia" w:ascii="仿宋" w:hAnsi="仿宋" w:eastAsia="仿宋" w:cs="仿宋"/>
          <w:sz w:val="24"/>
          <w:highlight w:val="none"/>
        </w:rPr>
        <w:t>投标人名称（盖章）：</w:t>
      </w:r>
    </w:p>
    <w:p>
      <w:pPr>
        <w:adjustRightInd w:val="0"/>
        <w:snapToGrid w:val="0"/>
        <w:spacing w:beforeLines="30" w:line="360" w:lineRule="auto"/>
        <w:rPr>
          <w:rFonts w:ascii="仿宋" w:hAnsi="仿宋" w:eastAsia="仿宋" w:cs="仿宋"/>
          <w:sz w:val="24"/>
          <w:highlight w:val="none"/>
        </w:rPr>
      </w:pPr>
      <w:r>
        <w:rPr>
          <w:rFonts w:hint="eastAsia" w:ascii="仿宋" w:hAnsi="仿宋" w:eastAsia="仿宋" w:cs="仿宋"/>
          <w:sz w:val="24"/>
          <w:highlight w:val="none"/>
        </w:rPr>
        <w:t>授权代表（签名）：</w:t>
      </w:r>
    </w:p>
    <w:p>
      <w:pPr>
        <w:adjustRightInd w:val="0"/>
        <w:snapToGrid w:val="0"/>
        <w:spacing w:beforeLines="30" w:line="360" w:lineRule="auto"/>
        <w:rPr>
          <w:rFonts w:ascii="仿宋" w:hAnsi="仿宋" w:eastAsia="仿宋" w:cs="仿宋"/>
          <w:sz w:val="24"/>
          <w:highlight w:val="none"/>
        </w:rPr>
      </w:pPr>
      <w:r>
        <w:rPr>
          <w:rFonts w:hint="eastAsia" w:ascii="仿宋" w:hAnsi="仿宋" w:eastAsia="仿宋" w:cs="仿宋"/>
          <w:sz w:val="24"/>
          <w:highlight w:val="none"/>
        </w:rPr>
        <w:t>职    务：</w:t>
      </w:r>
    </w:p>
    <w:p>
      <w:pPr>
        <w:spacing w:line="600" w:lineRule="exact"/>
        <w:rPr>
          <w:rFonts w:ascii="仿宋" w:hAnsi="仿宋" w:eastAsia="仿宋" w:cs="宋体"/>
          <w:sz w:val="28"/>
          <w:szCs w:val="28"/>
          <w:highlight w:val="none"/>
        </w:rPr>
      </w:pPr>
      <w:r>
        <w:rPr>
          <w:rFonts w:hint="eastAsia" w:ascii="仿宋" w:hAnsi="仿宋" w:eastAsia="仿宋" w:cs="仿宋"/>
          <w:sz w:val="24"/>
          <w:highlight w:val="none"/>
        </w:rPr>
        <w:t>日    期： 年月日</w:t>
      </w:r>
    </w:p>
    <w:p>
      <w:pPr>
        <w:widowControl/>
        <w:jc w:val="left"/>
        <w:rPr>
          <w:rFonts w:ascii="宋体" w:hAnsi="宋体" w:eastAsia="宋体" w:cs="黑体"/>
          <w:b/>
          <w:spacing w:val="4"/>
          <w:kern w:val="0"/>
          <w:sz w:val="28"/>
          <w:szCs w:val="28"/>
          <w:highlight w:val="none"/>
        </w:rPr>
      </w:pPr>
      <w:r>
        <w:rPr>
          <w:rFonts w:ascii="宋体" w:hAnsi="宋体" w:eastAsia="宋体" w:cs="黑体"/>
          <w:b/>
          <w:spacing w:val="4"/>
          <w:kern w:val="0"/>
          <w:sz w:val="28"/>
          <w:szCs w:val="28"/>
          <w:highlight w:val="none"/>
        </w:rPr>
        <w:br w:type="page"/>
      </w:r>
    </w:p>
    <w:p>
      <w:pPr>
        <w:outlineLvl w:val="1"/>
        <w:rPr>
          <w:rFonts w:ascii="仿宋" w:hAnsi="仿宋" w:eastAsia="宋体" w:cs="宋体"/>
          <w:sz w:val="28"/>
          <w:szCs w:val="28"/>
          <w:highlight w:val="none"/>
        </w:rPr>
      </w:pPr>
      <w:r>
        <w:rPr>
          <w:rFonts w:hint="eastAsia" w:ascii="宋体" w:hAnsi="宋体" w:eastAsia="宋体" w:cs="黑体"/>
          <w:b/>
          <w:spacing w:val="4"/>
          <w:kern w:val="0"/>
          <w:sz w:val="28"/>
          <w:szCs w:val="28"/>
          <w:highlight w:val="none"/>
        </w:rPr>
        <w:t>格式七</w:t>
      </w:r>
      <w:r>
        <w:rPr>
          <w:rFonts w:hint="eastAsia" w:ascii="仿宋" w:hAnsi="仿宋" w:eastAsia="仿宋" w:cs="宋体"/>
          <w:sz w:val="28"/>
          <w:szCs w:val="28"/>
          <w:highlight w:val="none"/>
        </w:rPr>
        <w:t>：</w:t>
      </w:r>
    </w:p>
    <w:p>
      <w:pPr>
        <w:adjustRightInd w:val="0"/>
        <w:snapToGrid w:val="0"/>
        <w:spacing w:beforeLines="30" w:line="360" w:lineRule="auto"/>
        <w:ind w:firstLine="542" w:firstLineChars="150"/>
        <w:jc w:val="center"/>
        <w:outlineLvl w:val="2"/>
        <w:rPr>
          <w:rFonts w:ascii="仿宋" w:hAnsi="仿宋" w:eastAsia="仿宋" w:cs="仿宋"/>
          <w:sz w:val="24"/>
          <w:highlight w:val="none"/>
        </w:rPr>
      </w:pPr>
      <w:r>
        <w:rPr>
          <w:rFonts w:hint="eastAsia" w:ascii="仿宋" w:hAnsi="仿宋" w:eastAsia="仿宋" w:cs="宋体"/>
          <w:b/>
          <w:sz w:val="36"/>
          <w:szCs w:val="36"/>
          <w:highlight w:val="none"/>
        </w:rPr>
        <w:t>参与本项目的人员一览表</w:t>
      </w:r>
    </w:p>
    <w:p>
      <w:pPr>
        <w:adjustRightInd w:val="0"/>
        <w:snapToGrid w:val="0"/>
        <w:spacing w:beforeLines="30" w:line="360" w:lineRule="auto"/>
        <w:ind w:firstLine="360" w:firstLineChars="150"/>
        <w:rPr>
          <w:rFonts w:ascii="仿宋" w:hAnsi="仿宋" w:eastAsia="仿宋" w:cs="仿宋"/>
          <w:sz w:val="24"/>
          <w:highlight w:val="none"/>
        </w:rPr>
      </w:pPr>
      <w:r>
        <w:rPr>
          <w:rFonts w:hint="eastAsia" w:ascii="仿宋" w:hAnsi="仿宋" w:eastAsia="仿宋" w:cs="仿宋"/>
          <w:sz w:val="24"/>
          <w:highlight w:val="none"/>
        </w:rPr>
        <w:t>项目名称：</w:t>
      </w:r>
    </w:p>
    <w:tbl>
      <w:tblPr>
        <w:tblStyle w:val="14"/>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kern w:val="0"/>
                <w:sz w:val="24"/>
                <w:highlight w:val="none"/>
              </w:rPr>
            </w:pPr>
            <w:r>
              <w:rPr>
                <w:rFonts w:hint="eastAsia" w:ascii="仿宋" w:hAnsi="仿宋" w:eastAsia="仿宋" w:cs="宋体"/>
                <w:kern w:val="0"/>
                <w:sz w:val="24"/>
                <w:highlight w:val="none"/>
              </w:rPr>
              <w:t>相关注</w:t>
            </w:r>
          </w:p>
          <w:p>
            <w:pPr>
              <w:snapToGrid w:val="0"/>
              <w:spacing w:line="360" w:lineRule="auto"/>
              <w:jc w:val="center"/>
              <w:rPr>
                <w:rFonts w:ascii="仿宋" w:hAnsi="仿宋" w:eastAsia="仿宋" w:cs="仿宋"/>
                <w:sz w:val="24"/>
                <w:highlight w:val="none"/>
              </w:rPr>
            </w:pPr>
            <w:r>
              <w:rPr>
                <w:rFonts w:hint="eastAsia" w:ascii="仿宋" w:hAnsi="仿宋" w:eastAsia="仿宋" w:cs="宋体"/>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r>
              <w:rPr>
                <w:rFonts w:hint="eastAsia" w:ascii="仿宋" w:hAnsi="仿宋" w:eastAsia="仿宋" w:cs="仿宋"/>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sz w:val="24"/>
                <w:highlight w:val="none"/>
              </w:rPr>
            </w:pPr>
          </w:p>
        </w:tc>
      </w:tr>
    </w:tbl>
    <w:p>
      <w:pPr>
        <w:spacing w:line="360" w:lineRule="auto"/>
        <w:rPr>
          <w:rFonts w:ascii="仿宋" w:hAnsi="仿宋" w:eastAsia="仿宋" w:cs="仿宋"/>
          <w:highlight w:val="none"/>
        </w:rPr>
      </w:pPr>
      <w:r>
        <w:rPr>
          <w:rFonts w:hint="eastAsia" w:ascii="仿宋" w:hAnsi="仿宋" w:eastAsia="仿宋" w:cs="仿宋"/>
          <w:szCs w:val="21"/>
          <w:highlight w:val="none"/>
        </w:rPr>
        <w:t>注：1、“拟承担工作”栏，应注明主要</w:t>
      </w:r>
      <w:r>
        <w:rPr>
          <w:rFonts w:hint="eastAsia" w:ascii="仿宋" w:hAnsi="仿宋" w:eastAsia="仿宋" w:cs="仿宋"/>
          <w:szCs w:val="21"/>
          <w:highlight w:val="none"/>
          <w:lang w:val="en-US" w:eastAsia="zh-CN"/>
        </w:rPr>
        <w:t>勘察</w:t>
      </w:r>
      <w:r>
        <w:rPr>
          <w:rFonts w:hint="eastAsia" w:ascii="仿宋" w:hAnsi="仿宋" w:eastAsia="仿宋" w:cs="仿宋"/>
          <w:szCs w:val="21"/>
          <w:highlight w:val="none"/>
        </w:rPr>
        <w:t>人员（须注明项目负责人、各专业负责人）等。</w:t>
      </w:r>
    </w:p>
    <w:p>
      <w:pPr>
        <w:spacing w:line="360" w:lineRule="auto"/>
        <w:ind w:firstLine="420" w:firstLineChars="200"/>
        <w:rPr>
          <w:rFonts w:ascii="仿宋" w:hAnsi="仿宋" w:eastAsia="仿宋" w:cs="仿宋"/>
          <w:highlight w:val="none"/>
        </w:rPr>
      </w:pPr>
      <w:r>
        <w:rPr>
          <w:rFonts w:hint="eastAsia" w:ascii="仿宋" w:hAnsi="仿宋" w:eastAsia="仿宋" w:cs="仿宋"/>
          <w:szCs w:val="21"/>
          <w:highlight w:val="none"/>
        </w:rPr>
        <w:t>2、项目负责人应按格式八表格及备注的规定附相关证明文件。</w:t>
      </w:r>
    </w:p>
    <w:p>
      <w:pPr>
        <w:adjustRightInd w:val="0"/>
        <w:snapToGrid w:val="0"/>
        <w:spacing w:beforeLines="30" w:line="360" w:lineRule="auto"/>
        <w:ind w:firstLine="420" w:firstLineChars="200"/>
        <w:rPr>
          <w:rFonts w:ascii="仿宋" w:hAnsi="仿宋" w:eastAsia="仿宋" w:cs="仿宋"/>
          <w:highlight w:val="none"/>
        </w:rPr>
      </w:pPr>
      <w:r>
        <w:rPr>
          <w:rFonts w:hint="eastAsia" w:ascii="仿宋" w:hAnsi="仿宋" w:eastAsia="仿宋" w:cs="仿宋"/>
          <w:szCs w:val="21"/>
          <w:highlight w:val="none"/>
        </w:rPr>
        <w:t>3、其他人员应附上个人注册执业资格证、职称证等文件（复印件，加盖单位公章）。</w:t>
      </w:r>
    </w:p>
    <w:p>
      <w:pPr>
        <w:adjustRightInd w:val="0"/>
        <w:snapToGrid w:val="0"/>
        <w:spacing w:beforeLines="30" w:line="360" w:lineRule="auto"/>
        <w:rPr>
          <w:rFonts w:ascii="仿宋" w:hAnsi="仿宋" w:eastAsia="仿宋" w:cs="仿宋"/>
          <w:sz w:val="24"/>
          <w:highlight w:val="none"/>
        </w:rPr>
      </w:pPr>
      <w:r>
        <w:rPr>
          <w:rFonts w:hint="eastAsia" w:ascii="仿宋" w:hAnsi="仿宋" w:eastAsia="仿宋" w:cs="仿宋"/>
          <w:sz w:val="24"/>
          <w:highlight w:val="none"/>
        </w:rPr>
        <w:t>投标人名称（盖章）：</w:t>
      </w:r>
    </w:p>
    <w:p>
      <w:pPr>
        <w:adjustRightInd w:val="0"/>
        <w:snapToGrid w:val="0"/>
        <w:spacing w:beforeLines="30" w:line="360" w:lineRule="auto"/>
        <w:rPr>
          <w:rFonts w:ascii="仿宋" w:hAnsi="仿宋" w:eastAsia="仿宋" w:cs="仿宋"/>
          <w:sz w:val="24"/>
          <w:highlight w:val="none"/>
        </w:rPr>
      </w:pPr>
      <w:r>
        <w:rPr>
          <w:rFonts w:hint="eastAsia" w:ascii="仿宋" w:hAnsi="仿宋" w:eastAsia="仿宋" w:cs="仿宋"/>
          <w:sz w:val="24"/>
          <w:highlight w:val="none"/>
        </w:rPr>
        <w:t>授权代表（签名）：</w:t>
      </w:r>
    </w:p>
    <w:p>
      <w:pPr>
        <w:adjustRightInd w:val="0"/>
        <w:snapToGrid w:val="0"/>
        <w:spacing w:beforeLines="30" w:line="360" w:lineRule="auto"/>
        <w:rPr>
          <w:rFonts w:ascii="仿宋" w:hAnsi="仿宋" w:eastAsia="仿宋" w:cs="仿宋"/>
          <w:sz w:val="24"/>
          <w:highlight w:val="none"/>
        </w:rPr>
      </w:pPr>
      <w:r>
        <w:rPr>
          <w:rFonts w:hint="eastAsia" w:ascii="仿宋" w:hAnsi="仿宋" w:eastAsia="仿宋" w:cs="仿宋"/>
          <w:sz w:val="24"/>
          <w:highlight w:val="none"/>
        </w:rPr>
        <w:t>职    务：</w:t>
      </w:r>
    </w:p>
    <w:p>
      <w:pPr>
        <w:rPr>
          <w:rFonts w:ascii="仿宋" w:hAnsi="仿宋" w:eastAsia="仿宋" w:cs="仿宋"/>
          <w:highlight w:val="none"/>
        </w:rPr>
      </w:pPr>
      <w:r>
        <w:rPr>
          <w:rFonts w:hint="eastAsia" w:ascii="仿宋" w:hAnsi="仿宋" w:eastAsia="仿宋" w:cs="仿宋"/>
          <w:sz w:val="24"/>
          <w:highlight w:val="none"/>
        </w:rPr>
        <w:t>日    期： 年月日</w:t>
      </w:r>
    </w:p>
    <w:p>
      <w:pPr>
        <w:widowControl/>
        <w:jc w:val="left"/>
        <w:rPr>
          <w:rFonts w:ascii="宋体" w:hAnsi="宋体" w:eastAsia="宋体" w:cs="黑体"/>
          <w:b/>
          <w:spacing w:val="4"/>
          <w:kern w:val="0"/>
          <w:sz w:val="28"/>
          <w:szCs w:val="28"/>
          <w:highlight w:val="none"/>
        </w:rPr>
      </w:pPr>
      <w:r>
        <w:rPr>
          <w:rFonts w:ascii="宋体" w:hAnsi="宋体" w:eastAsia="宋体" w:cs="黑体"/>
          <w:b/>
          <w:spacing w:val="4"/>
          <w:kern w:val="0"/>
          <w:sz w:val="28"/>
          <w:szCs w:val="28"/>
          <w:highlight w:val="none"/>
        </w:rPr>
        <w:br w:type="page"/>
      </w:r>
    </w:p>
    <w:p>
      <w:pPr>
        <w:outlineLvl w:val="1"/>
        <w:rPr>
          <w:rFonts w:ascii="仿宋" w:hAnsi="仿宋" w:eastAsia="宋体" w:cs="仿宋"/>
          <w:szCs w:val="21"/>
          <w:highlight w:val="none"/>
        </w:rPr>
      </w:pPr>
      <w:r>
        <w:rPr>
          <w:rFonts w:hint="eastAsia" w:ascii="宋体" w:hAnsi="宋体" w:eastAsia="宋体" w:cs="黑体"/>
          <w:b/>
          <w:spacing w:val="4"/>
          <w:kern w:val="0"/>
          <w:sz w:val="28"/>
          <w:szCs w:val="28"/>
          <w:highlight w:val="none"/>
        </w:rPr>
        <w:t>格式八</w:t>
      </w:r>
      <w:r>
        <w:rPr>
          <w:rFonts w:hint="eastAsia" w:ascii="仿宋" w:hAnsi="仿宋" w:eastAsia="仿宋" w:cs="宋体"/>
          <w:sz w:val="28"/>
          <w:szCs w:val="28"/>
          <w:highlight w:val="none"/>
        </w:rPr>
        <w:t>：</w:t>
      </w:r>
    </w:p>
    <w:p>
      <w:pPr>
        <w:spacing w:line="360" w:lineRule="auto"/>
        <w:jc w:val="center"/>
        <w:outlineLvl w:val="2"/>
        <w:rPr>
          <w:rFonts w:ascii="仿宋" w:hAnsi="仿宋" w:eastAsia="仿宋" w:cs="宋体"/>
          <w:b/>
          <w:sz w:val="36"/>
          <w:szCs w:val="36"/>
          <w:highlight w:val="none"/>
        </w:rPr>
      </w:pPr>
      <w:r>
        <w:rPr>
          <w:rFonts w:hint="eastAsia" w:ascii="仿宋" w:hAnsi="仿宋" w:eastAsia="仿宋" w:cs="宋体"/>
          <w:b/>
          <w:sz w:val="36"/>
          <w:szCs w:val="36"/>
          <w:highlight w:val="none"/>
        </w:rPr>
        <w:t>项目负责人相关经验及业绩</w:t>
      </w:r>
    </w:p>
    <w:p>
      <w:pPr>
        <w:adjustRightInd w:val="0"/>
        <w:snapToGrid w:val="0"/>
        <w:spacing w:beforeLines="30" w:line="360" w:lineRule="auto"/>
        <w:ind w:firstLine="120" w:firstLineChars="50"/>
        <w:rPr>
          <w:rFonts w:ascii="仿宋" w:hAnsi="仿宋" w:eastAsia="仿宋" w:cs="仿宋"/>
          <w:sz w:val="24"/>
          <w:highlight w:val="none"/>
        </w:rPr>
      </w:pPr>
      <w:r>
        <w:rPr>
          <w:rFonts w:hint="eastAsia" w:ascii="仿宋" w:hAnsi="仿宋" w:eastAsia="仿宋" w:cs="仿宋"/>
          <w:sz w:val="24"/>
          <w:highlight w:val="none"/>
        </w:rPr>
        <w:t>项目名称：</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szCs w:val="21"/>
                <w:highlight w:val="none"/>
              </w:rPr>
            </w:pPr>
            <w:r>
              <w:rPr>
                <w:rFonts w:hint="eastAsia" w:ascii="宋体" w:hAnsi="宋体" w:eastAsia="宋体" w:cs="宋体"/>
                <w:szCs w:val="21"/>
                <w:highlight w:val="none"/>
              </w:rPr>
              <w:t>姓  名</w:t>
            </w:r>
          </w:p>
        </w:tc>
        <w:tc>
          <w:tcPr>
            <w:tcW w:w="1079" w:type="dxa"/>
            <w:gridSpan w:val="2"/>
            <w:vAlign w:val="center"/>
          </w:tcPr>
          <w:p>
            <w:pPr>
              <w:spacing w:line="460" w:lineRule="exact"/>
              <w:jc w:val="left"/>
              <w:rPr>
                <w:rFonts w:ascii="宋体" w:hAnsi="宋体" w:eastAsia="宋体" w:cs="宋体"/>
                <w:szCs w:val="21"/>
                <w:highlight w:val="none"/>
              </w:rPr>
            </w:pPr>
          </w:p>
        </w:tc>
        <w:tc>
          <w:tcPr>
            <w:tcW w:w="927" w:type="dxa"/>
            <w:vAlign w:val="center"/>
          </w:tcPr>
          <w:p>
            <w:pPr>
              <w:spacing w:line="460" w:lineRule="exact"/>
              <w:jc w:val="left"/>
              <w:rPr>
                <w:rFonts w:ascii="宋体" w:hAnsi="宋体" w:eastAsia="宋体" w:cs="宋体"/>
                <w:szCs w:val="21"/>
                <w:highlight w:val="none"/>
              </w:rPr>
            </w:pPr>
            <w:r>
              <w:rPr>
                <w:rFonts w:hint="eastAsia" w:ascii="宋体" w:hAnsi="宋体" w:eastAsia="宋体" w:cs="宋体"/>
                <w:szCs w:val="21"/>
                <w:highlight w:val="none"/>
              </w:rPr>
              <w:t>年 龄</w:t>
            </w:r>
          </w:p>
        </w:tc>
        <w:tc>
          <w:tcPr>
            <w:tcW w:w="1065" w:type="dxa"/>
            <w:vAlign w:val="center"/>
          </w:tcPr>
          <w:p>
            <w:pPr>
              <w:spacing w:line="460" w:lineRule="exact"/>
              <w:jc w:val="left"/>
              <w:rPr>
                <w:rFonts w:ascii="宋体" w:hAnsi="宋体" w:eastAsia="宋体" w:cs="宋体"/>
                <w:szCs w:val="21"/>
                <w:highlight w:val="none"/>
              </w:rPr>
            </w:pPr>
          </w:p>
        </w:tc>
        <w:tc>
          <w:tcPr>
            <w:tcW w:w="2130" w:type="dxa"/>
            <w:gridSpan w:val="3"/>
            <w:vAlign w:val="center"/>
          </w:tcPr>
          <w:p>
            <w:pPr>
              <w:spacing w:line="460" w:lineRule="exact"/>
              <w:jc w:val="left"/>
              <w:rPr>
                <w:rFonts w:ascii="宋体" w:hAnsi="宋体" w:eastAsia="宋体" w:cs="宋体"/>
                <w:szCs w:val="21"/>
                <w:highlight w:val="none"/>
              </w:rPr>
            </w:pPr>
            <w:r>
              <w:rPr>
                <w:rFonts w:hint="eastAsia" w:ascii="宋体" w:hAnsi="宋体" w:eastAsia="宋体" w:cs="宋体"/>
                <w:szCs w:val="21"/>
                <w:highlight w:val="none"/>
              </w:rPr>
              <w:t>学 历</w:t>
            </w:r>
          </w:p>
        </w:tc>
        <w:tc>
          <w:tcPr>
            <w:tcW w:w="2135" w:type="dxa"/>
            <w:vAlign w:val="center"/>
          </w:tcPr>
          <w:p>
            <w:pPr>
              <w:spacing w:line="460" w:lineRule="exact"/>
              <w:jc w:val="left"/>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szCs w:val="21"/>
                <w:highlight w:val="none"/>
              </w:rPr>
            </w:pPr>
            <w:r>
              <w:rPr>
                <w:rFonts w:hint="eastAsia" w:ascii="宋体" w:hAnsi="宋体" w:eastAsia="宋体" w:cs="宋体"/>
                <w:szCs w:val="21"/>
                <w:highlight w:val="none"/>
              </w:rPr>
              <w:t>职  称</w:t>
            </w:r>
          </w:p>
        </w:tc>
        <w:tc>
          <w:tcPr>
            <w:tcW w:w="1079" w:type="dxa"/>
            <w:gridSpan w:val="2"/>
            <w:vAlign w:val="center"/>
          </w:tcPr>
          <w:p>
            <w:pPr>
              <w:spacing w:line="460" w:lineRule="exact"/>
              <w:jc w:val="left"/>
              <w:rPr>
                <w:rFonts w:ascii="宋体" w:hAnsi="宋体" w:eastAsia="宋体" w:cs="宋体"/>
                <w:szCs w:val="21"/>
                <w:highlight w:val="none"/>
              </w:rPr>
            </w:pPr>
          </w:p>
        </w:tc>
        <w:tc>
          <w:tcPr>
            <w:tcW w:w="927" w:type="dxa"/>
            <w:vAlign w:val="center"/>
          </w:tcPr>
          <w:p>
            <w:pPr>
              <w:spacing w:line="460" w:lineRule="exact"/>
              <w:jc w:val="left"/>
              <w:rPr>
                <w:rFonts w:ascii="宋体" w:hAnsi="宋体" w:eastAsia="宋体" w:cs="宋体"/>
                <w:szCs w:val="21"/>
                <w:highlight w:val="none"/>
              </w:rPr>
            </w:pPr>
            <w:r>
              <w:rPr>
                <w:rFonts w:hint="eastAsia" w:ascii="宋体" w:hAnsi="宋体" w:eastAsia="宋体" w:cs="宋体"/>
                <w:szCs w:val="21"/>
                <w:highlight w:val="none"/>
              </w:rPr>
              <w:t>职 务</w:t>
            </w:r>
          </w:p>
        </w:tc>
        <w:tc>
          <w:tcPr>
            <w:tcW w:w="1065" w:type="dxa"/>
            <w:vAlign w:val="center"/>
          </w:tcPr>
          <w:p>
            <w:pPr>
              <w:spacing w:line="460" w:lineRule="exact"/>
              <w:jc w:val="left"/>
              <w:rPr>
                <w:rFonts w:ascii="宋体" w:hAnsi="宋体" w:eastAsia="宋体" w:cs="宋体"/>
                <w:szCs w:val="21"/>
                <w:highlight w:val="none"/>
              </w:rPr>
            </w:pPr>
          </w:p>
        </w:tc>
        <w:tc>
          <w:tcPr>
            <w:tcW w:w="2130" w:type="dxa"/>
            <w:gridSpan w:val="3"/>
            <w:vAlign w:val="center"/>
          </w:tcPr>
          <w:p>
            <w:pPr>
              <w:spacing w:line="460" w:lineRule="exact"/>
              <w:jc w:val="left"/>
              <w:rPr>
                <w:rFonts w:ascii="宋体" w:hAnsi="宋体" w:eastAsia="宋体" w:cs="宋体"/>
                <w:szCs w:val="21"/>
                <w:highlight w:val="none"/>
              </w:rPr>
            </w:pPr>
            <w:r>
              <w:rPr>
                <w:rFonts w:hint="eastAsia" w:ascii="宋体" w:hAnsi="宋体" w:eastAsia="宋体" w:cs="宋体"/>
                <w:szCs w:val="21"/>
                <w:highlight w:val="none"/>
              </w:rPr>
              <w:t>拟在本合同任职</w:t>
            </w:r>
          </w:p>
        </w:tc>
        <w:tc>
          <w:tcPr>
            <w:tcW w:w="2135" w:type="dxa"/>
            <w:vAlign w:val="center"/>
          </w:tcPr>
          <w:p>
            <w:pPr>
              <w:spacing w:line="460" w:lineRule="exact"/>
              <w:jc w:val="left"/>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szCs w:val="21"/>
                <w:highlight w:val="none"/>
              </w:rPr>
            </w:pPr>
            <w:r>
              <w:rPr>
                <w:rFonts w:hint="eastAsia" w:ascii="宋体" w:hAnsi="宋体" w:eastAsia="宋体" w:cs="宋体"/>
                <w:szCs w:val="21"/>
                <w:highlight w:val="none"/>
              </w:rPr>
              <w:t>毕业学校</w:t>
            </w:r>
          </w:p>
        </w:tc>
        <w:tc>
          <w:tcPr>
            <w:tcW w:w="7336" w:type="dxa"/>
            <w:gridSpan w:val="8"/>
          </w:tcPr>
          <w:p>
            <w:pPr>
              <w:spacing w:line="460" w:lineRule="exact"/>
              <w:jc w:val="left"/>
              <w:rPr>
                <w:rFonts w:ascii="宋体" w:hAnsi="宋体" w:eastAsia="宋体" w:cs="宋体"/>
                <w:szCs w:val="21"/>
                <w:highlight w:val="none"/>
              </w:rPr>
            </w:pPr>
            <w:r>
              <w:rPr>
                <w:rFonts w:hint="eastAsia" w:ascii="宋体" w:hAnsi="宋体" w:eastAsia="宋体" w:cs="宋体"/>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szCs w:val="21"/>
                <w:highlight w:val="none"/>
              </w:rPr>
            </w:pPr>
            <w:r>
              <w:rPr>
                <w:rFonts w:hint="eastAsia" w:ascii="宋体" w:hAnsi="宋体" w:eastAsia="宋体" w:cs="宋体"/>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szCs w:val="21"/>
                <w:highlight w:val="none"/>
              </w:rPr>
            </w:pPr>
            <w:r>
              <w:rPr>
                <w:rFonts w:hint="eastAsia" w:ascii="宋体" w:hAnsi="宋体" w:eastAsia="宋体" w:cs="宋体"/>
                <w:szCs w:val="21"/>
                <w:highlight w:val="none"/>
              </w:rPr>
              <w:t>时  间</w:t>
            </w:r>
          </w:p>
        </w:tc>
        <w:tc>
          <w:tcPr>
            <w:tcW w:w="3420" w:type="dxa"/>
            <w:gridSpan w:val="4"/>
            <w:vAlign w:val="center"/>
          </w:tcPr>
          <w:p>
            <w:pPr>
              <w:spacing w:line="460" w:lineRule="exact"/>
              <w:jc w:val="left"/>
              <w:rPr>
                <w:rFonts w:ascii="宋体" w:hAnsi="宋体" w:eastAsia="宋体" w:cs="宋体"/>
                <w:szCs w:val="21"/>
                <w:highlight w:val="none"/>
              </w:rPr>
            </w:pPr>
            <w:r>
              <w:rPr>
                <w:rFonts w:hint="eastAsia" w:ascii="宋体" w:hAnsi="宋体" w:eastAsia="宋体" w:cs="宋体"/>
                <w:szCs w:val="21"/>
                <w:highlight w:val="none"/>
              </w:rPr>
              <w:t>参加过的类似项目</w:t>
            </w:r>
          </w:p>
        </w:tc>
        <w:tc>
          <w:tcPr>
            <w:tcW w:w="1261" w:type="dxa"/>
            <w:vAlign w:val="center"/>
          </w:tcPr>
          <w:p>
            <w:pPr>
              <w:spacing w:line="460" w:lineRule="exact"/>
              <w:jc w:val="left"/>
              <w:rPr>
                <w:rFonts w:ascii="宋体" w:hAnsi="宋体" w:eastAsia="宋体" w:cs="宋体"/>
                <w:szCs w:val="21"/>
                <w:highlight w:val="none"/>
              </w:rPr>
            </w:pPr>
            <w:r>
              <w:rPr>
                <w:rFonts w:hint="eastAsia" w:ascii="宋体" w:hAnsi="宋体" w:eastAsia="宋体" w:cs="宋体"/>
                <w:szCs w:val="21"/>
                <w:highlight w:val="none"/>
              </w:rPr>
              <w:t>担任职务</w:t>
            </w:r>
          </w:p>
        </w:tc>
        <w:tc>
          <w:tcPr>
            <w:tcW w:w="2296" w:type="dxa"/>
            <w:gridSpan w:val="2"/>
            <w:vAlign w:val="center"/>
          </w:tcPr>
          <w:p>
            <w:pPr>
              <w:spacing w:line="460" w:lineRule="exact"/>
              <w:jc w:val="left"/>
              <w:rPr>
                <w:rFonts w:ascii="宋体" w:hAnsi="宋体" w:eastAsia="宋体" w:cs="宋体"/>
                <w:szCs w:val="21"/>
                <w:highlight w:val="none"/>
              </w:rPr>
            </w:pPr>
            <w:r>
              <w:rPr>
                <w:rFonts w:hint="eastAsia" w:ascii="宋体" w:hAnsi="宋体" w:eastAsia="宋体" w:cs="宋体"/>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szCs w:val="21"/>
                <w:highlight w:val="none"/>
              </w:rPr>
            </w:pPr>
          </w:p>
        </w:tc>
        <w:tc>
          <w:tcPr>
            <w:tcW w:w="3420" w:type="dxa"/>
            <w:gridSpan w:val="4"/>
          </w:tcPr>
          <w:p>
            <w:pPr>
              <w:spacing w:line="460" w:lineRule="exact"/>
              <w:jc w:val="left"/>
              <w:rPr>
                <w:rFonts w:ascii="宋体" w:hAnsi="宋体" w:eastAsia="宋体" w:cs="宋体"/>
                <w:szCs w:val="21"/>
                <w:highlight w:val="none"/>
              </w:rPr>
            </w:pPr>
          </w:p>
        </w:tc>
        <w:tc>
          <w:tcPr>
            <w:tcW w:w="1261" w:type="dxa"/>
          </w:tcPr>
          <w:p>
            <w:pPr>
              <w:spacing w:line="460" w:lineRule="exact"/>
              <w:jc w:val="left"/>
              <w:rPr>
                <w:rFonts w:ascii="宋体" w:hAnsi="宋体" w:eastAsia="宋体" w:cs="宋体"/>
                <w:szCs w:val="21"/>
                <w:highlight w:val="none"/>
              </w:rPr>
            </w:pPr>
          </w:p>
        </w:tc>
        <w:tc>
          <w:tcPr>
            <w:tcW w:w="2296" w:type="dxa"/>
            <w:gridSpan w:val="2"/>
          </w:tcPr>
          <w:p>
            <w:pPr>
              <w:spacing w:line="460" w:lineRule="exact"/>
              <w:jc w:val="left"/>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szCs w:val="21"/>
                <w:highlight w:val="none"/>
              </w:rPr>
            </w:pPr>
          </w:p>
        </w:tc>
        <w:tc>
          <w:tcPr>
            <w:tcW w:w="3420" w:type="dxa"/>
            <w:gridSpan w:val="4"/>
          </w:tcPr>
          <w:p>
            <w:pPr>
              <w:spacing w:line="460" w:lineRule="exact"/>
              <w:jc w:val="left"/>
              <w:rPr>
                <w:rFonts w:ascii="宋体" w:hAnsi="宋体" w:eastAsia="宋体" w:cs="宋体"/>
                <w:szCs w:val="21"/>
                <w:highlight w:val="none"/>
              </w:rPr>
            </w:pPr>
          </w:p>
        </w:tc>
        <w:tc>
          <w:tcPr>
            <w:tcW w:w="1261" w:type="dxa"/>
          </w:tcPr>
          <w:p>
            <w:pPr>
              <w:spacing w:line="460" w:lineRule="exact"/>
              <w:jc w:val="left"/>
              <w:rPr>
                <w:rFonts w:ascii="宋体" w:hAnsi="宋体" w:eastAsia="宋体" w:cs="宋体"/>
                <w:szCs w:val="21"/>
                <w:highlight w:val="none"/>
              </w:rPr>
            </w:pPr>
          </w:p>
        </w:tc>
        <w:tc>
          <w:tcPr>
            <w:tcW w:w="2296" w:type="dxa"/>
            <w:gridSpan w:val="2"/>
          </w:tcPr>
          <w:p>
            <w:pPr>
              <w:spacing w:line="460" w:lineRule="exact"/>
              <w:jc w:val="left"/>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szCs w:val="21"/>
                <w:highlight w:val="none"/>
              </w:rPr>
            </w:pPr>
          </w:p>
        </w:tc>
        <w:tc>
          <w:tcPr>
            <w:tcW w:w="3420" w:type="dxa"/>
            <w:gridSpan w:val="4"/>
          </w:tcPr>
          <w:p>
            <w:pPr>
              <w:spacing w:line="460" w:lineRule="exact"/>
              <w:jc w:val="left"/>
              <w:rPr>
                <w:rFonts w:ascii="宋体" w:hAnsi="宋体" w:eastAsia="宋体" w:cs="宋体"/>
                <w:szCs w:val="21"/>
                <w:highlight w:val="none"/>
              </w:rPr>
            </w:pPr>
          </w:p>
        </w:tc>
        <w:tc>
          <w:tcPr>
            <w:tcW w:w="1261" w:type="dxa"/>
          </w:tcPr>
          <w:p>
            <w:pPr>
              <w:spacing w:line="460" w:lineRule="exact"/>
              <w:jc w:val="left"/>
              <w:rPr>
                <w:rFonts w:ascii="宋体" w:hAnsi="宋体" w:eastAsia="宋体" w:cs="宋体"/>
                <w:szCs w:val="21"/>
                <w:highlight w:val="none"/>
              </w:rPr>
            </w:pPr>
          </w:p>
        </w:tc>
        <w:tc>
          <w:tcPr>
            <w:tcW w:w="2296" w:type="dxa"/>
            <w:gridSpan w:val="2"/>
          </w:tcPr>
          <w:p>
            <w:pPr>
              <w:spacing w:line="460" w:lineRule="exact"/>
              <w:jc w:val="left"/>
              <w:rPr>
                <w:rFonts w:ascii="宋体" w:hAnsi="宋体" w:eastAsia="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szCs w:val="21"/>
                <w:highlight w:val="none"/>
              </w:rPr>
            </w:pPr>
          </w:p>
        </w:tc>
        <w:tc>
          <w:tcPr>
            <w:tcW w:w="3420" w:type="dxa"/>
            <w:gridSpan w:val="4"/>
            <w:vAlign w:val="center"/>
          </w:tcPr>
          <w:p>
            <w:pPr>
              <w:spacing w:line="460" w:lineRule="exact"/>
              <w:jc w:val="left"/>
              <w:rPr>
                <w:rFonts w:ascii="宋体" w:hAnsi="宋体" w:eastAsia="宋体" w:cs="宋体"/>
                <w:szCs w:val="21"/>
                <w:highlight w:val="none"/>
              </w:rPr>
            </w:pPr>
          </w:p>
        </w:tc>
        <w:tc>
          <w:tcPr>
            <w:tcW w:w="1261" w:type="dxa"/>
            <w:vAlign w:val="center"/>
          </w:tcPr>
          <w:p>
            <w:pPr>
              <w:spacing w:line="460" w:lineRule="exact"/>
              <w:jc w:val="left"/>
              <w:rPr>
                <w:rFonts w:ascii="宋体" w:hAnsi="宋体" w:eastAsia="宋体" w:cs="宋体"/>
                <w:szCs w:val="21"/>
                <w:highlight w:val="none"/>
              </w:rPr>
            </w:pPr>
          </w:p>
        </w:tc>
        <w:tc>
          <w:tcPr>
            <w:tcW w:w="2296" w:type="dxa"/>
            <w:gridSpan w:val="2"/>
            <w:vAlign w:val="center"/>
          </w:tcPr>
          <w:p>
            <w:pPr>
              <w:spacing w:line="460" w:lineRule="exact"/>
              <w:jc w:val="left"/>
              <w:rPr>
                <w:rFonts w:ascii="宋体" w:hAnsi="宋体" w:eastAsia="宋体" w:cs="宋体"/>
                <w:szCs w:val="21"/>
                <w:highlight w:val="none"/>
              </w:rPr>
            </w:pPr>
          </w:p>
        </w:tc>
      </w:tr>
    </w:tbl>
    <w:p>
      <w:pPr>
        <w:rPr>
          <w:rFonts w:ascii="仿宋" w:hAnsi="仿宋" w:eastAsia="仿宋" w:cs="仿宋"/>
          <w:szCs w:val="21"/>
          <w:highlight w:val="none"/>
        </w:rPr>
      </w:pPr>
    </w:p>
    <w:p>
      <w:pPr>
        <w:rPr>
          <w:rFonts w:ascii="仿宋" w:hAnsi="仿宋" w:eastAsia="仿宋" w:cs="Arial"/>
          <w:highlight w:val="none"/>
        </w:rPr>
      </w:pPr>
      <w:r>
        <w:rPr>
          <w:rFonts w:hint="eastAsia" w:ascii="仿宋" w:hAnsi="仿宋" w:eastAsia="仿宋" w:cs="仿宋"/>
          <w:szCs w:val="21"/>
          <w:highlight w:val="none"/>
        </w:rPr>
        <w:t>注：1、</w:t>
      </w:r>
      <w:r>
        <w:rPr>
          <w:rFonts w:hint="eastAsia" w:ascii="仿宋" w:hAnsi="仿宋" w:eastAsia="仿宋" w:cs="Arial"/>
          <w:szCs w:val="21"/>
          <w:highlight w:val="none"/>
        </w:rPr>
        <w:t>本格式仅供参考，投标人可根据实际情况自定。</w:t>
      </w:r>
    </w:p>
    <w:p>
      <w:pPr>
        <w:ind w:firstLine="424" w:firstLineChars="202"/>
        <w:rPr>
          <w:rFonts w:ascii="仿宋" w:hAnsi="仿宋" w:eastAsia="仿宋" w:cs="仿宋"/>
          <w:highlight w:val="none"/>
        </w:rPr>
      </w:pPr>
      <w:r>
        <w:rPr>
          <w:rFonts w:hint="eastAsia" w:ascii="仿宋" w:hAnsi="仿宋" w:eastAsia="仿宋" w:cs="仿宋"/>
          <w:szCs w:val="21"/>
          <w:highlight w:val="none"/>
        </w:rPr>
        <w:t>2、项目负责人必须附执业证书及资格证书（项目负责人提供）、身份证、职称证书及业绩等证明材料（复印件，加盖单位公章）。</w:t>
      </w:r>
    </w:p>
    <w:p>
      <w:pPr>
        <w:ind w:firstLine="424" w:firstLineChars="202"/>
        <w:rPr>
          <w:rFonts w:ascii="仿宋" w:hAnsi="仿宋" w:eastAsia="仿宋" w:cs="仿宋"/>
          <w:highlight w:val="none"/>
        </w:rPr>
      </w:pPr>
      <w:r>
        <w:rPr>
          <w:rFonts w:hint="eastAsia" w:ascii="仿宋" w:hAnsi="仿宋" w:eastAsia="仿宋" w:cs="仿宋"/>
          <w:szCs w:val="21"/>
          <w:highlight w:val="none"/>
        </w:rPr>
        <w:t>3、业绩证明资料须提供：（1）合同；相关证明资料中必须能反映出评标所需指标、人员姓名和岗位等，否则相应子项不予计分。</w:t>
      </w:r>
    </w:p>
    <w:p>
      <w:pPr>
        <w:spacing w:line="360" w:lineRule="auto"/>
        <w:rPr>
          <w:rFonts w:ascii="仿宋" w:hAnsi="仿宋" w:eastAsia="仿宋" w:cs="仿宋"/>
          <w:sz w:val="24"/>
          <w:highlight w:val="none"/>
        </w:rPr>
      </w:pPr>
    </w:p>
    <w:p>
      <w:pPr>
        <w:adjustRightInd w:val="0"/>
        <w:snapToGrid w:val="0"/>
        <w:spacing w:beforeLines="30" w:line="360" w:lineRule="auto"/>
        <w:rPr>
          <w:rFonts w:ascii="仿宋" w:hAnsi="仿宋" w:eastAsia="仿宋" w:cs="仿宋"/>
          <w:sz w:val="24"/>
          <w:highlight w:val="none"/>
        </w:rPr>
      </w:pPr>
      <w:r>
        <w:rPr>
          <w:rFonts w:hint="eastAsia" w:ascii="仿宋" w:hAnsi="仿宋" w:eastAsia="仿宋" w:cs="仿宋"/>
          <w:sz w:val="24"/>
          <w:highlight w:val="none"/>
        </w:rPr>
        <w:t>投标人名称（盖章）：</w:t>
      </w:r>
    </w:p>
    <w:p>
      <w:pPr>
        <w:adjustRightInd w:val="0"/>
        <w:snapToGrid w:val="0"/>
        <w:spacing w:beforeLines="30" w:line="360" w:lineRule="auto"/>
        <w:rPr>
          <w:rFonts w:ascii="仿宋" w:hAnsi="仿宋" w:eastAsia="仿宋" w:cs="仿宋"/>
          <w:sz w:val="24"/>
          <w:highlight w:val="none"/>
        </w:rPr>
      </w:pPr>
      <w:r>
        <w:rPr>
          <w:rFonts w:hint="eastAsia" w:ascii="仿宋" w:hAnsi="仿宋" w:eastAsia="仿宋" w:cs="仿宋"/>
          <w:sz w:val="24"/>
          <w:highlight w:val="none"/>
        </w:rPr>
        <w:t>授权代表（签名）：</w:t>
      </w:r>
    </w:p>
    <w:p>
      <w:pPr>
        <w:adjustRightInd w:val="0"/>
        <w:snapToGrid w:val="0"/>
        <w:spacing w:beforeLines="30" w:line="360" w:lineRule="auto"/>
        <w:rPr>
          <w:rFonts w:ascii="仿宋" w:hAnsi="仿宋" w:eastAsia="仿宋" w:cs="仿宋"/>
          <w:sz w:val="24"/>
          <w:highlight w:val="none"/>
        </w:rPr>
      </w:pPr>
      <w:r>
        <w:rPr>
          <w:rFonts w:hint="eastAsia" w:ascii="仿宋" w:hAnsi="仿宋" w:eastAsia="仿宋" w:cs="仿宋"/>
          <w:sz w:val="24"/>
          <w:highlight w:val="none"/>
        </w:rPr>
        <w:t>职    务：</w:t>
      </w:r>
    </w:p>
    <w:p>
      <w:pPr>
        <w:rPr>
          <w:rFonts w:ascii="仿宋" w:hAnsi="仿宋" w:eastAsia="仿宋" w:cs="仿宋"/>
          <w:sz w:val="24"/>
          <w:highlight w:val="none"/>
        </w:rPr>
      </w:pPr>
      <w:r>
        <w:rPr>
          <w:rFonts w:hint="eastAsia" w:ascii="仿宋" w:hAnsi="仿宋" w:eastAsia="仿宋" w:cs="仿宋"/>
          <w:sz w:val="24"/>
          <w:highlight w:val="none"/>
        </w:rPr>
        <w:t xml:space="preserve">日    期： </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 xml:space="preserve">  </w:t>
      </w:r>
      <w:r>
        <w:rPr>
          <w:rFonts w:hint="eastAsia" w:ascii="仿宋" w:hAnsi="仿宋" w:eastAsia="仿宋" w:cs="仿宋"/>
          <w:sz w:val="24"/>
          <w:highlight w:val="none"/>
        </w:rPr>
        <w:t>日</w:t>
      </w:r>
    </w:p>
    <w:p>
      <w:pPr>
        <w:pStyle w:val="22"/>
        <w:widowControl/>
        <w:ind w:firstLine="0" w:firstLineChars="0"/>
        <w:rPr>
          <w:spacing w:val="18"/>
          <w:highlight w:val="none"/>
        </w:rPr>
      </w:pPr>
    </w:p>
    <w:p>
      <w:pPr>
        <w:widowControl/>
        <w:spacing w:line="360" w:lineRule="auto"/>
        <w:jc w:val="left"/>
        <w:rPr>
          <w:rFonts w:ascii="宋体" w:hAnsi="宋体" w:eastAsia="宋体" w:cs="宋体"/>
          <w:sz w:val="24"/>
          <w:highlight w:val="none"/>
        </w:rPr>
      </w:pPr>
    </w:p>
    <w:p>
      <w:pPr>
        <w:spacing w:line="360" w:lineRule="auto"/>
        <w:rPr>
          <w:rFonts w:ascii="宋体" w:hAnsi="宋体" w:eastAsia="宋体" w:cs="宋体"/>
          <w:sz w:val="24"/>
          <w:highlight w:val="none"/>
        </w:rPr>
      </w:pPr>
    </w:p>
    <w:p>
      <w:pPr>
        <w:spacing w:line="360" w:lineRule="auto"/>
        <w:rPr>
          <w:rFonts w:ascii="宋体" w:hAnsi="宋体" w:eastAsia="宋体" w:cs="宋体"/>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sz w:val="28"/>
          <w:szCs w:val="28"/>
          <w:highlight w:val="none"/>
        </w:rPr>
      </w:pPr>
      <w:r>
        <w:rPr>
          <w:rFonts w:hint="eastAsia" w:ascii="宋体" w:hAnsi="宋体" w:eastAsia="宋体" w:cs="黑体"/>
          <w:b/>
          <w:spacing w:val="4"/>
          <w:kern w:val="0"/>
          <w:sz w:val="28"/>
          <w:szCs w:val="28"/>
          <w:highlight w:val="none"/>
        </w:rPr>
        <w:t>格式九：</w:t>
      </w:r>
    </w:p>
    <w:p>
      <w:pPr>
        <w:autoSpaceDE w:val="0"/>
        <w:autoSpaceDN w:val="0"/>
        <w:adjustRightInd w:val="0"/>
        <w:spacing w:line="360" w:lineRule="auto"/>
        <w:jc w:val="center"/>
        <w:rPr>
          <w:rFonts w:ascii="黑体" w:hAnsi="黑体" w:eastAsia="黑体" w:cs="黑体"/>
          <w:b/>
          <w:bCs/>
          <w:sz w:val="32"/>
          <w:szCs w:val="32"/>
          <w:highlight w:val="none"/>
          <w:lang w:val="zh-CN"/>
        </w:rPr>
      </w:pPr>
      <w:r>
        <w:rPr>
          <w:rFonts w:hint="eastAsia" w:ascii="黑体" w:hAnsi="黑体" w:eastAsia="黑体" w:cs="黑体"/>
          <w:b/>
          <w:bCs/>
          <w:sz w:val="32"/>
          <w:szCs w:val="32"/>
          <w:highlight w:val="none"/>
          <w:lang w:val="zh-CN"/>
        </w:rPr>
        <w:t>报价表</w:t>
      </w:r>
    </w:p>
    <w:p>
      <w:pPr>
        <w:wordWrap w:val="0"/>
        <w:autoSpaceDE w:val="0"/>
        <w:autoSpaceDN w:val="0"/>
        <w:adjustRightInd w:val="0"/>
        <w:spacing w:line="360" w:lineRule="auto"/>
        <w:jc w:val="right"/>
        <w:rPr>
          <w:rFonts w:ascii="宋体" w:hAnsi="宋体" w:cs="宋体"/>
          <w:bCs/>
          <w:szCs w:val="21"/>
          <w:highlight w:val="none"/>
          <w:lang w:val="zh-CN"/>
        </w:rPr>
      </w:pPr>
      <w:r>
        <w:rPr>
          <w:rFonts w:hint="eastAsia" w:ascii="宋体" w:hAnsi="宋体" w:cs="宋体"/>
          <w:bCs/>
          <w:szCs w:val="21"/>
          <w:highlight w:val="none"/>
          <w:lang w:val="zh-CN"/>
        </w:rPr>
        <w:t>投标日期：    年   月   日</w:t>
      </w:r>
    </w:p>
    <w:tbl>
      <w:tblPr>
        <w:tblStyle w:val="14"/>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936"/>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gridSpan w:val="2"/>
            <w:vAlign w:val="center"/>
          </w:tcPr>
          <w:p>
            <w:pPr>
              <w:autoSpaceDE w:val="0"/>
              <w:autoSpaceDN w:val="0"/>
              <w:adjustRightInd w:val="0"/>
              <w:snapToGrid w:val="0"/>
              <w:spacing w:line="360" w:lineRule="auto"/>
              <w:jc w:val="center"/>
              <w:rPr>
                <w:rFonts w:ascii="宋体" w:hAnsi="宋体" w:cs="宋体"/>
                <w:bCs/>
                <w:szCs w:val="21"/>
                <w:highlight w:val="none"/>
                <w:lang w:val="zh-CN"/>
              </w:rPr>
            </w:pPr>
            <w:r>
              <w:rPr>
                <w:rFonts w:hint="eastAsia" w:ascii="宋体" w:hAnsi="宋体" w:cs="宋体"/>
                <w:bCs/>
                <w:szCs w:val="21"/>
                <w:highlight w:val="none"/>
              </w:rPr>
              <w:t>项目</w:t>
            </w:r>
            <w:r>
              <w:rPr>
                <w:rFonts w:hint="eastAsia" w:ascii="宋体" w:hAnsi="宋体" w:cs="宋体"/>
                <w:bCs/>
                <w:szCs w:val="21"/>
                <w:highlight w:val="none"/>
                <w:lang w:val="zh-CN"/>
              </w:rPr>
              <w:t>名称</w:t>
            </w:r>
          </w:p>
        </w:tc>
        <w:tc>
          <w:tcPr>
            <w:tcW w:w="6699" w:type="dxa"/>
            <w:vAlign w:val="center"/>
          </w:tcPr>
          <w:p>
            <w:pPr>
              <w:autoSpaceDE w:val="0"/>
              <w:autoSpaceDN w:val="0"/>
              <w:adjustRightInd w:val="0"/>
              <w:snapToGrid w:val="0"/>
              <w:spacing w:line="360" w:lineRule="auto"/>
              <w:jc w:val="both"/>
              <w:rPr>
                <w:rFonts w:ascii="宋体" w:hAnsi="宋体" w:cs="宋体"/>
                <w:bCs/>
                <w:szCs w:val="21"/>
                <w:highlight w:val="none"/>
                <w:lang w:val="zh-CN"/>
              </w:rPr>
            </w:pPr>
            <w:r>
              <w:rPr>
                <w:rFonts w:hint="eastAsia" w:ascii="宋体" w:hAnsi="宋体" w:cs="宋体"/>
                <w:bCs/>
                <w:szCs w:val="21"/>
                <w:highlight w:val="none"/>
                <w:lang w:val="zh-CN"/>
              </w:rPr>
              <w:t>广州南沙区珠江街道2022NJY-9</w:t>
            </w:r>
            <w:r>
              <w:rPr>
                <w:rFonts w:hint="eastAsia" w:ascii="宋体" w:hAnsi="宋体" w:cs="宋体"/>
                <w:bCs/>
                <w:szCs w:val="21"/>
                <w:highlight w:val="none"/>
                <w:lang w:val="zh-CN" w:eastAsia="zh-CN"/>
              </w:rPr>
              <w:t>（地块二）</w:t>
            </w:r>
            <w:r>
              <w:rPr>
                <w:rFonts w:hint="eastAsia" w:ascii="宋体" w:hAnsi="宋体" w:cs="宋体"/>
                <w:bCs/>
                <w:szCs w:val="21"/>
                <w:highlight w:val="none"/>
                <w:lang w:val="zh-CN"/>
              </w:rPr>
              <w:t>工程勘察服务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gridSpan w:val="2"/>
            <w:vMerge w:val="restart"/>
            <w:vAlign w:val="center"/>
          </w:tcPr>
          <w:p>
            <w:pPr>
              <w:autoSpaceDE w:val="0"/>
              <w:autoSpaceDN w:val="0"/>
              <w:adjustRightInd w:val="0"/>
              <w:snapToGrid w:val="0"/>
              <w:spacing w:line="360" w:lineRule="auto"/>
              <w:jc w:val="center"/>
              <w:rPr>
                <w:rFonts w:ascii="宋体" w:hAnsi="宋体" w:cs="宋体"/>
                <w:bCs/>
                <w:szCs w:val="21"/>
                <w:highlight w:val="none"/>
                <w:lang w:val="zh-CN"/>
              </w:rPr>
            </w:pPr>
            <w:r>
              <w:rPr>
                <w:rFonts w:hint="eastAsia" w:ascii="宋体" w:hAnsi="宋体" w:cs="宋体"/>
                <w:bCs/>
                <w:szCs w:val="21"/>
                <w:highlight w:val="none"/>
                <w:lang w:val="zh-CN"/>
              </w:rPr>
              <w:t>投标总报价</w:t>
            </w:r>
          </w:p>
        </w:tc>
        <w:tc>
          <w:tcPr>
            <w:tcW w:w="6699" w:type="dxa"/>
            <w:vAlign w:val="center"/>
          </w:tcPr>
          <w:p>
            <w:pPr>
              <w:autoSpaceDE w:val="0"/>
              <w:autoSpaceDN w:val="0"/>
              <w:adjustRightInd w:val="0"/>
              <w:snapToGrid w:val="0"/>
              <w:spacing w:line="360" w:lineRule="auto"/>
              <w:jc w:val="left"/>
              <w:rPr>
                <w:rFonts w:ascii="宋体" w:hAnsi="宋体" w:cs="宋体"/>
                <w:bCs/>
                <w:szCs w:val="21"/>
                <w:highlight w:val="none"/>
              </w:rPr>
            </w:pPr>
            <w:r>
              <w:rPr>
                <w:rFonts w:hint="eastAsia" w:ascii="宋体" w:hAnsi="宋体" w:cs="宋体"/>
                <w:bCs/>
                <w:szCs w:val="21"/>
                <w:highlight w:val="none"/>
              </w:rPr>
              <w:t>小写：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gridSpan w:val="2"/>
            <w:vMerge w:val="continue"/>
            <w:vAlign w:val="center"/>
          </w:tcPr>
          <w:p>
            <w:pPr>
              <w:autoSpaceDE w:val="0"/>
              <w:autoSpaceDN w:val="0"/>
              <w:adjustRightInd w:val="0"/>
              <w:snapToGrid w:val="0"/>
              <w:spacing w:line="360" w:lineRule="auto"/>
              <w:jc w:val="center"/>
              <w:rPr>
                <w:rFonts w:ascii="宋体" w:hAnsi="宋体" w:cs="宋体"/>
                <w:bCs/>
                <w:szCs w:val="21"/>
                <w:highlight w:val="none"/>
                <w:lang w:val="zh-CN"/>
              </w:rPr>
            </w:pPr>
          </w:p>
        </w:tc>
        <w:tc>
          <w:tcPr>
            <w:tcW w:w="6699" w:type="dxa"/>
            <w:vAlign w:val="center"/>
          </w:tcPr>
          <w:p>
            <w:pPr>
              <w:autoSpaceDE w:val="0"/>
              <w:autoSpaceDN w:val="0"/>
              <w:adjustRightInd w:val="0"/>
              <w:snapToGrid w:val="0"/>
              <w:spacing w:line="360" w:lineRule="auto"/>
              <w:jc w:val="left"/>
              <w:rPr>
                <w:rFonts w:ascii="宋体" w:hAnsi="宋体" w:cs="宋体"/>
                <w:bCs/>
                <w:szCs w:val="21"/>
                <w:highlight w:val="none"/>
              </w:rPr>
            </w:pPr>
            <w:r>
              <w:rPr>
                <w:rFonts w:hint="eastAsia" w:ascii="宋体" w:hAnsi="宋体" w:cs="宋体"/>
                <w:bCs/>
                <w:szCs w:val="21"/>
                <w:highlight w:val="none"/>
              </w:rPr>
              <w:t>大写：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vMerge w:val="restart"/>
            <w:vAlign w:val="center"/>
          </w:tcPr>
          <w:p>
            <w:pPr>
              <w:autoSpaceDE w:val="0"/>
              <w:autoSpaceDN w:val="0"/>
              <w:adjustRightInd w:val="0"/>
              <w:snapToGrid w:val="0"/>
              <w:spacing w:line="360" w:lineRule="auto"/>
              <w:jc w:val="center"/>
              <w:rPr>
                <w:rFonts w:ascii="宋体" w:hAnsi="宋体" w:cs="宋体"/>
                <w:bCs/>
                <w:szCs w:val="21"/>
                <w:highlight w:val="none"/>
                <w:lang w:val="zh-CN"/>
              </w:rPr>
            </w:pPr>
            <w:r>
              <w:rPr>
                <w:rFonts w:hint="eastAsia" w:ascii="宋体" w:hAnsi="宋体" w:cs="宋体"/>
                <w:bCs/>
                <w:szCs w:val="21"/>
                <w:highlight w:val="none"/>
                <w:lang w:val="zh-CN"/>
              </w:rPr>
              <w:t>各分项报价（元）</w:t>
            </w:r>
          </w:p>
        </w:tc>
        <w:tc>
          <w:tcPr>
            <w:tcW w:w="1936" w:type="dxa"/>
            <w:vAlign w:val="center"/>
          </w:tcPr>
          <w:p>
            <w:pPr>
              <w:autoSpaceDE w:val="0"/>
              <w:autoSpaceDN w:val="0"/>
              <w:adjustRightInd w:val="0"/>
              <w:snapToGrid w:val="0"/>
              <w:spacing w:line="360" w:lineRule="auto"/>
              <w:jc w:val="center"/>
              <w:rPr>
                <w:rFonts w:ascii="宋体" w:hAnsi="宋体" w:cs="宋体"/>
                <w:bCs/>
                <w:szCs w:val="21"/>
                <w:highlight w:val="none"/>
                <w:lang w:val="zh-CN"/>
              </w:rPr>
            </w:pPr>
            <w:r>
              <w:rPr>
                <w:rFonts w:hint="eastAsia" w:ascii="宋体" w:hAnsi="宋体" w:cs="宋体"/>
                <w:bCs/>
                <w:szCs w:val="21"/>
                <w:highlight w:val="none"/>
                <w:lang w:val="zh-CN"/>
              </w:rPr>
              <w:t>勘察费</w:t>
            </w:r>
          </w:p>
        </w:tc>
        <w:tc>
          <w:tcPr>
            <w:tcW w:w="6699" w:type="dxa"/>
            <w:vAlign w:val="center"/>
          </w:tcPr>
          <w:p>
            <w:pPr>
              <w:autoSpaceDE w:val="0"/>
              <w:autoSpaceDN w:val="0"/>
              <w:adjustRightInd w:val="0"/>
              <w:snapToGrid w:val="0"/>
              <w:spacing w:line="360" w:lineRule="auto"/>
              <w:jc w:val="left"/>
              <w:rPr>
                <w:rFonts w:ascii="宋体" w:hAnsi="宋体" w:cs="宋体"/>
                <w:bCs/>
                <w:szCs w:val="21"/>
                <w:highlight w:val="none"/>
              </w:rPr>
            </w:pPr>
            <w:r>
              <w:rPr>
                <w:rFonts w:hint="eastAsia" w:ascii="宋体" w:hAnsi="宋体" w:cs="宋体"/>
                <w:bCs/>
                <w:szCs w:val="21"/>
                <w:highlight w:val="none"/>
              </w:rPr>
              <w:t>小写：综合单价     元/米，总价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vMerge w:val="continue"/>
            <w:vAlign w:val="center"/>
          </w:tcPr>
          <w:p>
            <w:pPr>
              <w:autoSpaceDE w:val="0"/>
              <w:autoSpaceDN w:val="0"/>
              <w:adjustRightInd w:val="0"/>
              <w:snapToGrid w:val="0"/>
              <w:spacing w:line="360" w:lineRule="auto"/>
              <w:jc w:val="center"/>
              <w:rPr>
                <w:rFonts w:ascii="宋体" w:hAnsi="宋体" w:cs="宋体"/>
                <w:bCs/>
                <w:szCs w:val="21"/>
                <w:highlight w:val="none"/>
                <w:lang w:val="zh-CN"/>
              </w:rPr>
            </w:pPr>
          </w:p>
        </w:tc>
        <w:tc>
          <w:tcPr>
            <w:tcW w:w="1936" w:type="dxa"/>
            <w:vAlign w:val="center"/>
          </w:tcPr>
          <w:p>
            <w:pPr>
              <w:autoSpaceDE w:val="0"/>
              <w:autoSpaceDN w:val="0"/>
              <w:adjustRightInd w:val="0"/>
              <w:snapToGrid w:val="0"/>
              <w:spacing w:line="360" w:lineRule="auto"/>
              <w:jc w:val="center"/>
              <w:rPr>
                <w:highlight w:val="none"/>
              </w:rPr>
            </w:pPr>
            <w:r>
              <w:rPr>
                <w:rFonts w:hint="eastAsia" w:ascii="宋体" w:hAnsi="宋体" w:cs="宋体"/>
                <w:bCs/>
                <w:szCs w:val="21"/>
                <w:highlight w:val="none"/>
                <w:lang w:val="zh-CN"/>
              </w:rPr>
              <w:t>波速测试</w:t>
            </w:r>
          </w:p>
        </w:tc>
        <w:tc>
          <w:tcPr>
            <w:tcW w:w="6699" w:type="dxa"/>
            <w:vAlign w:val="center"/>
          </w:tcPr>
          <w:p>
            <w:pPr>
              <w:autoSpaceDE w:val="0"/>
              <w:autoSpaceDN w:val="0"/>
              <w:adjustRightInd w:val="0"/>
              <w:snapToGrid w:val="0"/>
              <w:spacing w:line="360" w:lineRule="auto"/>
              <w:jc w:val="left"/>
              <w:rPr>
                <w:rFonts w:ascii="宋体" w:hAnsi="宋体" w:cs="宋体"/>
                <w:bCs/>
                <w:szCs w:val="21"/>
                <w:highlight w:val="none"/>
              </w:rPr>
            </w:pPr>
            <w:r>
              <w:rPr>
                <w:rFonts w:hint="eastAsia" w:ascii="宋体" w:hAnsi="宋体" w:cs="宋体"/>
                <w:bCs/>
                <w:szCs w:val="21"/>
                <w:highlight w:val="none"/>
              </w:rPr>
              <w:t>小写：综合单价     元/米，总价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vMerge w:val="continue"/>
            <w:vAlign w:val="center"/>
          </w:tcPr>
          <w:p>
            <w:pPr>
              <w:autoSpaceDE w:val="0"/>
              <w:autoSpaceDN w:val="0"/>
              <w:adjustRightInd w:val="0"/>
              <w:snapToGrid w:val="0"/>
              <w:spacing w:line="360" w:lineRule="auto"/>
              <w:jc w:val="center"/>
              <w:rPr>
                <w:rFonts w:ascii="宋体" w:hAnsi="宋体" w:cs="宋体"/>
                <w:bCs/>
                <w:szCs w:val="21"/>
                <w:highlight w:val="none"/>
                <w:lang w:val="zh-CN"/>
              </w:rPr>
            </w:pPr>
          </w:p>
        </w:tc>
        <w:tc>
          <w:tcPr>
            <w:tcW w:w="1936" w:type="dxa"/>
            <w:vAlign w:val="center"/>
          </w:tcPr>
          <w:p>
            <w:pPr>
              <w:autoSpaceDE w:val="0"/>
              <w:autoSpaceDN w:val="0"/>
              <w:adjustRightInd w:val="0"/>
              <w:snapToGrid w:val="0"/>
              <w:spacing w:line="360" w:lineRule="auto"/>
              <w:jc w:val="center"/>
              <w:rPr>
                <w:rFonts w:ascii="宋体" w:hAnsi="宋体" w:cs="宋体"/>
                <w:bCs/>
                <w:szCs w:val="21"/>
                <w:highlight w:val="none"/>
                <w:lang w:val="zh-CN"/>
              </w:rPr>
            </w:pPr>
            <w:r>
              <w:rPr>
                <w:rFonts w:hint="eastAsia" w:ascii="宋体" w:hAnsi="宋体" w:cs="宋体"/>
                <w:bCs/>
                <w:szCs w:val="21"/>
                <w:highlight w:val="none"/>
                <w:lang w:val="zh-CN"/>
              </w:rPr>
              <w:t>抽水试验</w:t>
            </w:r>
          </w:p>
        </w:tc>
        <w:tc>
          <w:tcPr>
            <w:tcW w:w="6699" w:type="dxa"/>
            <w:vAlign w:val="center"/>
          </w:tcPr>
          <w:p>
            <w:pPr>
              <w:autoSpaceDE w:val="0"/>
              <w:autoSpaceDN w:val="0"/>
              <w:adjustRightInd w:val="0"/>
              <w:snapToGrid w:val="0"/>
              <w:spacing w:line="360" w:lineRule="auto"/>
              <w:jc w:val="left"/>
              <w:rPr>
                <w:rFonts w:ascii="宋体" w:hAnsi="宋体" w:cs="宋体"/>
                <w:bCs/>
                <w:szCs w:val="21"/>
                <w:highlight w:val="none"/>
              </w:rPr>
            </w:pPr>
            <w:r>
              <w:rPr>
                <w:rFonts w:hint="eastAsia" w:ascii="宋体" w:hAnsi="宋体" w:cs="宋体"/>
                <w:bCs/>
                <w:szCs w:val="21"/>
                <w:highlight w:val="none"/>
              </w:rPr>
              <w:t>小写：综合单价     元/米，总价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vMerge w:val="continue"/>
            <w:vAlign w:val="center"/>
          </w:tcPr>
          <w:p>
            <w:pPr>
              <w:autoSpaceDE w:val="0"/>
              <w:autoSpaceDN w:val="0"/>
              <w:adjustRightInd w:val="0"/>
              <w:snapToGrid w:val="0"/>
              <w:spacing w:line="360" w:lineRule="auto"/>
              <w:jc w:val="center"/>
              <w:rPr>
                <w:rFonts w:ascii="宋体" w:hAnsi="宋体" w:cs="宋体"/>
                <w:bCs/>
                <w:szCs w:val="21"/>
                <w:highlight w:val="none"/>
                <w:lang w:val="zh-CN"/>
              </w:rPr>
            </w:pPr>
          </w:p>
        </w:tc>
        <w:tc>
          <w:tcPr>
            <w:tcW w:w="1936" w:type="dxa"/>
            <w:vAlign w:val="center"/>
          </w:tcPr>
          <w:p>
            <w:pPr>
              <w:autoSpaceDE w:val="0"/>
              <w:autoSpaceDN w:val="0"/>
              <w:adjustRightInd w:val="0"/>
              <w:snapToGrid w:val="0"/>
              <w:spacing w:line="360" w:lineRule="auto"/>
              <w:jc w:val="center"/>
              <w:rPr>
                <w:rFonts w:ascii="宋体" w:hAnsi="宋体" w:cs="宋体"/>
                <w:bCs/>
                <w:szCs w:val="21"/>
                <w:highlight w:val="none"/>
                <w:lang w:val="zh-CN"/>
              </w:rPr>
            </w:pPr>
            <w:r>
              <w:rPr>
                <w:rFonts w:hint="eastAsia" w:ascii="宋体" w:hAnsi="宋体" w:cs="宋体"/>
                <w:bCs/>
                <w:szCs w:val="21"/>
                <w:highlight w:val="none"/>
                <w:lang w:val="zh-CN"/>
              </w:rPr>
              <w:t>土壤氡检测</w:t>
            </w:r>
          </w:p>
        </w:tc>
        <w:tc>
          <w:tcPr>
            <w:tcW w:w="6699" w:type="dxa"/>
            <w:vAlign w:val="center"/>
          </w:tcPr>
          <w:p>
            <w:pPr>
              <w:autoSpaceDE w:val="0"/>
              <w:autoSpaceDN w:val="0"/>
              <w:adjustRightInd w:val="0"/>
              <w:snapToGrid w:val="0"/>
              <w:spacing w:line="360" w:lineRule="auto"/>
              <w:jc w:val="left"/>
              <w:rPr>
                <w:rFonts w:ascii="宋体" w:hAnsi="宋体" w:cs="宋体"/>
                <w:bCs/>
                <w:szCs w:val="21"/>
                <w:highlight w:val="none"/>
              </w:rPr>
            </w:pPr>
            <w:r>
              <w:rPr>
                <w:rFonts w:hint="eastAsia" w:ascii="宋体" w:hAnsi="宋体" w:cs="宋体"/>
                <w:bCs/>
                <w:szCs w:val="21"/>
                <w:highlight w:val="none"/>
              </w:rPr>
              <w:t>小写：综合单价     元/米，总价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5" w:type="dxa"/>
            <w:vMerge w:val="continue"/>
            <w:vAlign w:val="center"/>
          </w:tcPr>
          <w:p>
            <w:pPr>
              <w:autoSpaceDE w:val="0"/>
              <w:autoSpaceDN w:val="0"/>
              <w:adjustRightInd w:val="0"/>
              <w:snapToGrid w:val="0"/>
              <w:spacing w:line="360" w:lineRule="auto"/>
              <w:jc w:val="center"/>
              <w:rPr>
                <w:rFonts w:ascii="宋体" w:hAnsi="宋体" w:cs="宋体"/>
                <w:bCs/>
                <w:szCs w:val="21"/>
                <w:highlight w:val="none"/>
                <w:lang w:val="zh-CN"/>
              </w:rPr>
            </w:pPr>
          </w:p>
        </w:tc>
        <w:tc>
          <w:tcPr>
            <w:tcW w:w="1936" w:type="dxa"/>
            <w:vAlign w:val="center"/>
          </w:tcPr>
          <w:p>
            <w:pPr>
              <w:autoSpaceDE w:val="0"/>
              <w:autoSpaceDN w:val="0"/>
              <w:adjustRightInd w:val="0"/>
              <w:snapToGrid w:val="0"/>
              <w:spacing w:line="360" w:lineRule="auto"/>
              <w:jc w:val="center"/>
              <w:rPr>
                <w:rFonts w:ascii="宋体" w:hAnsi="宋体" w:cs="宋体"/>
                <w:bCs/>
                <w:szCs w:val="21"/>
                <w:highlight w:val="none"/>
                <w:lang w:val="zh-CN"/>
              </w:rPr>
            </w:pPr>
            <w:r>
              <w:rPr>
                <w:rFonts w:hint="eastAsia" w:ascii="宋体" w:hAnsi="宋体" w:cs="宋体"/>
                <w:bCs/>
                <w:szCs w:val="21"/>
                <w:highlight w:val="none"/>
                <w:lang w:val="zh-CN"/>
              </w:rPr>
              <w:t>地下管线探测</w:t>
            </w:r>
          </w:p>
        </w:tc>
        <w:tc>
          <w:tcPr>
            <w:tcW w:w="6699" w:type="dxa"/>
            <w:vAlign w:val="center"/>
          </w:tcPr>
          <w:p>
            <w:pPr>
              <w:autoSpaceDE w:val="0"/>
              <w:autoSpaceDN w:val="0"/>
              <w:adjustRightInd w:val="0"/>
              <w:snapToGrid w:val="0"/>
              <w:spacing w:line="360" w:lineRule="auto"/>
              <w:jc w:val="left"/>
              <w:rPr>
                <w:rFonts w:ascii="宋体" w:hAnsi="宋体" w:cs="宋体"/>
                <w:bCs/>
                <w:szCs w:val="21"/>
                <w:highlight w:val="none"/>
              </w:rPr>
            </w:pPr>
            <w:r>
              <w:rPr>
                <w:rFonts w:hint="eastAsia" w:ascii="宋体" w:hAnsi="宋体" w:cs="宋体"/>
                <w:bCs/>
                <w:szCs w:val="21"/>
                <w:highlight w:val="none"/>
              </w:rPr>
              <w:t>小写：综合单价     元/米，总价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gridSpan w:val="2"/>
            <w:vAlign w:val="center"/>
          </w:tcPr>
          <w:p>
            <w:pPr>
              <w:autoSpaceDE w:val="0"/>
              <w:autoSpaceDN w:val="0"/>
              <w:adjustRightInd w:val="0"/>
              <w:snapToGrid w:val="0"/>
              <w:spacing w:line="360" w:lineRule="auto"/>
              <w:jc w:val="center"/>
              <w:rPr>
                <w:rFonts w:ascii="宋体" w:hAnsi="宋体" w:cs="宋体"/>
                <w:bCs/>
                <w:szCs w:val="21"/>
                <w:highlight w:val="none"/>
                <w:lang w:val="zh-CN"/>
              </w:rPr>
            </w:pPr>
            <w:r>
              <w:rPr>
                <w:rFonts w:hint="eastAsia" w:ascii="宋体" w:hAnsi="宋体" w:cs="宋体"/>
                <w:bCs/>
                <w:szCs w:val="21"/>
                <w:highlight w:val="none"/>
                <w:lang w:val="zh-CN"/>
              </w:rPr>
              <w:t>法定代表人</w:t>
            </w:r>
          </w:p>
          <w:p>
            <w:pPr>
              <w:autoSpaceDE w:val="0"/>
              <w:autoSpaceDN w:val="0"/>
              <w:adjustRightInd w:val="0"/>
              <w:snapToGrid w:val="0"/>
              <w:spacing w:line="360" w:lineRule="auto"/>
              <w:jc w:val="center"/>
              <w:rPr>
                <w:rFonts w:ascii="宋体" w:hAnsi="宋体" w:cs="宋体"/>
                <w:bCs/>
                <w:szCs w:val="21"/>
                <w:highlight w:val="none"/>
                <w:lang w:val="zh-CN"/>
              </w:rPr>
            </w:pPr>
            <w:r>
              <w:rPr>
                <w:rFonts w:hint="eastAsia" w:ascii="宋体" w:hAnsi="宋体" w:cs="宋体"/>
                <w:bCs/>
                <w:szCs w:val="21"/>
                <w:highlight w:val="none"/>
                <w:lang w:val="zh-CN"/>
              </w:rPr>
              <w:t>（签名或盖章）</w:t>
            </w:r>
          </w:p>
        </w:tc>
        <w:tc>
          <w:tcPr>
            <w:tcW w:w="6699" w:type="dxa"/>
            <w:vAlign w:val="center"/>
          </w:tcPr>
          <w:p>
            <w:pPr>
              <w:autoSpaceDE w:val="0"/>
              <w:autoSpaceDN w:val="0"/>
              <w:adjustRightInd w:val="0"/>
              <w:snapToGrid w:val="0"/>
              <w:spacing w:line="360" w:lineRule="auto"/>
              <w:jc w:val="left"/>
              <w:rPr>
                <w:rFonts w:ascii="宋体" w:hAnsi="宋体" w:cs="宋体"/>
                <w:bCs/>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gridSpan w:val="2"/>
            <w:vAlign w:val="center"/>
          </w:tcPr>
          <w:p>
            <w:pPr>
              <w:autoSpaceDE w:val="0"/>
              <w:autoSpaceDN w:val="0"/>
              <w:adjustRightInd w:val="0"/>
              <w:snapToGrid w:val="0"/>
              <w:spacing w:line="360" w:lineRule="auto"/>
              <w:jc w:val="center"/>
              <w:rPr>
                <w:rFonts w:ascii="宋体" w:hAnsi="宋体" w:cs="宋体"/>
                <w:bCs/>
                <w:szCs w:val="21"/>
                <w:highlight w:val="none"/>
                <w:lang w:val="zh-CN"/>
              </w:rPr>
            </w:pPr>
            <w:r>
              <w:rPr>
                <w:rFonts w:hint="eastAsia" w:ascii="宋体" w:hAnsi="宋体" w:cs="宋体"/>
                <w:bCs/>
                <w:szCs w:val="21"/>
                <w:highlight w:val="none"/>
                <w:lang w:val="zh-CN"/>
              </w:rPr>
              <w:t>授权委托人</w:t>
            </w:r>
          </w:p>
          <w:p>
            <w:pPr>
              <w:autoSpaceDE w:val="0"/>
              <w:autoSpaceDN w:val="0"/>
              <w:adjustRightInd w:val="0"/>
              <w:snapToGrid w:val="0"/>
              <w:spacing w:line="360" w:lineRule="auto"/>
              <w:jc w:val="center"/>
              <w:rPr>
                <w:rFonts w:ascii="宋体" w:hAnsi="宋体" w:cs="宋体"/>
                <w:bCs/>
                <w:szCs w:val="21"/>
                <w:highlight w:val="none"/>
                <w:lang w:val="zh-CN"/>
              </w:rPr>
            </w:pPr>
            <w:r>
              <w:rPr>
                <w:rFonts w:hint="eastAsia" w:ascii="宋体" w:hAnsi="宋体" w:cs="宋体"/>
                <w:bCs/>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gridSpan w:val="2"/>
            <w:vAlign w:val="center"/>
          </w:tcPr>
          <w:p>
            <w:pPr>
              <w:autoSpaceDE w:val="0"/>
              <w:autoSpaceDN w:val="0"/>
              <w:adjustRightInd w:val="0"/>
              <w:snapToGrid w:val="0"/>
              <w:spacing w:line="360" w:lineRule="auto"/>
              <w:jc w:val="center"/>
              <w:rPr>
                <w:rFonts w:ascii="宋体" w:hAnsi="宋体" w:cs="宋体"/>
                <w:bCs/>
                <w:szCs w:val="21"/>
                <w:highlight w:val="none"/>
                <w:lang w:val="zh-CN"/>
              </w:rPr>
            </w:pPr>
          </w:p>
        </w:tc>
        <w:tc>
          <w:tcPr>
            <w:tcW w:w="6699" w:type="dxa"/>
            <w:vAlign w:val="center"/>
          </w:tcPr>
          <w:p>
            <w:pPr>
              <w:autoSpaceDE w:val="0"/>
              <w:autoSpaceDN w:val="0"/>
              <w:adjustRightInd w:val="0"/>
              <w:snapToGrid w:val="0"/>
              <w:spacing w:line="360" w:lineRule="auto"/>
              <w:jc w:val="center"/>
              <w:rPr>
                <w:rFonts w:ascii="宋体" w:hAnsi="宋体" w:cs="宋体"/>
                <w:bCs/>
                <w:szCs w:val="21"/>
                <w:highlight w:val="none"/>
                <w:lang w:val="zh-CN"/>
              </w:rPr>
            </w:pPr>
          </w:p>
        </w:tc>
      </w:tr>
    </w:tbl>
    <w:p>
      <w:pPr>
        <w:pStyle w:val="8"/>
        <w:spacing w:line="360" w:lineRule="auto"/>
        <w:ind w:firstLine="210" w:firstLineChars="100"/>
        <w:rPr>
          <w:rFonts w:hint="default" w:hAnsi="宋体" w:cs="宋体"/>
          <w:bCs/>
          <w:highlight w:val="none"/>
        </w:rPr>
      </w:pPr>
      <w:r>
        <w:rPr>
          <w:rFonts w:hAnsi="宋体" w:cs="宋体"/>
          <w:bCs/>
          <w:highlight w:val="none"/>
        </w:rPr>
        <w:t>注：（1）投标总报价的大写金额和小写金额不一致的，以大写金额为准，投标报价精确到小数点后两位。</w:t>
      </w:r>
    </w:p>
    <w:p>
      <w:pPr>
        <w:pStyle w:val="8"/>
        <w:spacing w:line="360" w:lineRule="auto"/>
        <w:ind w:firstLine="210" w:firstLineChars="100"/>
        <w:rPr>
          <w:rFonts w:hint="default" w:hAnsi="宋体" w:cs="宋体"/>
          <w:highlight w:val="none"/>
        </w:rPr>
      </w:pPr>
      <w:r>
        <w:rPr>
          <w:rFonts w:hAnsi="宋体" w:cs="宋体"/>
          <w:bCs/>
          <w:highlight w:val="none"/>
        </w:rPr>
        <w:t>（2）</w:t>
      </w:r>
      <w:r>
        <w:rPr>
          <w:rFonts w:hAnsi="宋体" w:cs="宋体"/>
          <w:highlight w:val="none"/>
        </w:rPr>
        <w:t>本项目招标总控制价及各分项限价详见投标须知前附表约定。</w:t>
      </w:r>
    </w:p>
    <w:p>
      <w:pPr>
        <w:spacing w:line="360" w:lineRule="auto"/>
        <w:rPr>
          <w:rFonts w:hAnsi="宋体"/>
          <w:b/>
          <w:highlight w:val="none"/>
        </w:rPr>
      </w:pPr>
      <w:r>
        <w:rPr>
          <w:rFonts w:hAnsi="宋体"/>
          <w:b/>
          <w:highlight w:val="none"/>
        </w:rPr>
        <w:br w:type="page"/>
      </w:r>
    </w:p>
    <w:p>
      <w:pPr>
        <w:jc w:val="left"/>
        <w:rPr>
          <w:b/>
          <w:sz w:val="24"/>
          <w:highlight w:val="none"/>
        </w:rPr>
      </w:pPr>
      <w:r>
        <w:rPr>
          <w:rFonts w:hint="eastAsia"/>
          <w:b/>
          <w:sz w:val="24"/>
          <w:highlight w:val="none"/>
        </w:rPr>
        <w:t>封面</w:t>
      </w:r>
      <w:r>
        <w:rPr>
          <w:rFonts w:hint="eastAsia" w:ascii="宋体" w:hAnsi="宋体"/>
          <w:b/>
          <w:sz w:val="24"/>
          <w:highlight w:val="none"/>
        </w:rPr>
        <w:t>格式1：</w:t>
      </w:r>
    </w:p>
    <w:p>
      <w:pPr>
        <w:spacing w:line="400" w:lineRule="exact"/>
        <w:ind w:right="-1359" w:rightChars="-647" w:firstLine="6726" w:firstLineChars="1861"/>
        <w:jc w:val="left"/>
        <w:rPr>
          <w:rFonts w:ascii="黑体" w:eastAsia="黑体"/>
          <w:b/>
          <w:sz w:val="36"/>
          <w:szCs w:val="36"/>
          <w:highlight w:val="none"/>
        </w:rPr>
      </w:pPr>
      <w:r>
        <w:rPr>
          <w:rFonts w:hint="eastAsia" w:ascii="黑体" w:eastAsia="黑体"/>
          <w:b/>
          <w:sz w:val="36"/>
          <w:szCs w:val="36"/>
          <w:highlight w:val="none"/>
        </w:rPr>
        <w:t>正本或副本</w:t>
      </w:r>
    </w:p>
    <w:p>
      <w:pPr>
        <w:jc w:val="center"/>
        <w:rPr>
          <w:rFonts w:ascii="宋体"/>
          <w:b/>
          <w:sz w:val="32"/>
          <w:szCs w:val="32"/>
          <w:highlight w:val="none"/>
        </w:rPr>
      </w:pPr>
    </w:p>
    <w:p>
      <w:pPr>
        <w:jc w:val="center"/>
        <w:rPr>
          <w:rFonts w:ascii="宋体"/>
          <w:b/>
          <w:sz w:val="32"/>
          <w:szCs w:val="32"/>
          <w:highlight w:val="none"/>
        </w:rPr>
      </w:pPr>
    </w:p>
    <w:p>
      <w:pPr>
        <w:jc w:val="center"/>
        <w:rPr>
          <w:rFonts w:ascii="宋体"/>
          <w:b/>
          <w:sz w:val="32"/>
          <w:szCs w:val="32"/>
          <w:highlight w:val="none"/>
        </w:rPr>
      </w:pPr>
    </w:p>
    <w:p>
      <w:pPr>
        <w:jc w:val="center"/>
        <w:rPr>
          <w:rFonts w:ascii="宋体"/>
          <w:b/>
          <w:sz w:val="32"/>
          <w:szCs w:val="32"/>
          <w:highlight w:val="none"/>
        </w:rPr>
      </w:pPr>
    </w:p>
    <w:p>
      <w:pPr>
        <w:jc w:val="center"/>
        <w:rPr>
          <w:b/>
          <w:sz w:val="44"/>
          <w:szCs w:val="44"/>
          <w:highlight w:val="none"/>
        </w:rPr>
      </w:pPr>
      <w:r>
        <w:rPr>
          <w:rFonts w:hint="eastAsia" w:ascii="宋体" w:hAnsi="宋体"/>
          <w:b/>
          <w:sz w:val="44"/>
          <w:szCs w:val="44"/>
          <w:highlight w:val="none"/>
        </w:rPr>
        <w:t>项目名称</w:t>
      </w:r>
    </w:p>
    <w:p>
      <w:pPr>
        <w:jc w:val="center"/>
        <w:rPr>
          <w:b/>
          <w:sz w:val="48"/>
          <w:szCs w:val="48"/>
          <w:highlight w:val="none"/>
        </w:rPr>
      </w:pPr>
    </w:p>
    <w:p>
      <w:pPr>
        <w:rPr>
          <w:rFonts w:eastAsia="黑体"/>
          <w:sz w:val="20"/>
          <w:szCs w:val="20"/>
          <w:highlight w:val="none"/>
        </w:rPr>
      </w:pPr>
    </w:p>
    <w:p>
      <w:pPr>
        <w:rPr>
          <w:rFonts w:eastAsia="黑体"/>
          <w:sz w:val="20"/>
          <w:szCs w:val="20"/>
          <w:highlight w:val="none"/>
        </w:rPr>
      </w:pPr>
    </w:p>
    <w:p>
      <w:pPr>
        <w:rPr>
          <w:rFonts w:eastAsia="黑体"/>
          <w:sz w:val="20"/>
          <w:szCs w:val="20"/>
          <w:highlight w:val="none"/>
        </w:rPr>
      </w:pPr>
    </w:p>
    <w:p>
      <w:pPr>
        <w:rPr>
          <w:rFonts w:eastAsia="黑体"/>
          <w:sz w:val="20"/>
          <w:szCs w:val="20"/>
          <w:highlight w:val="none"/>
        </w:rPr>
      </w:pPr>
    </w:p>
    <w:p>
      <w:pPr>
        <w:jc w:val="center"/>
        <w:rPr>
          <w:rFonts w:eastAsia="黑体"/>
          <w:sz w:val="28"/>
          <w:szCs w:val="28"/>
          <w:highlight w:val="none"/>
        </w:rPr>
      </w:pPr>
      <w:r>
        <w:rPr>
          <w:rFonts w:hint="eastAsia" w:eastAsia="黑体"/>
          <w:sz w:val="52"/>
          <w:szCs w:val="52"/>
          <w:highlight w:val="none"/>
        </w:rPr>
        <w:t>商务文件</w:t>
      </w:r>
    </w:p>
    <w:p>
      <w:pPr>
        <w:rPr>
          <w:rFonts w:eastAsia="黑体"/>
          <w:sz w:val="28"/>
          <w:szCs w:val="28"/>
          <w:highlight w:val="none"/>
        </w:rPr>
      </w:pPr>
    </w:p>
    <w:p>
      <w:pPr>
        <w:rPr>
          <w:rFonts w:eastAsia="黑体"/>
          <w:sz w:val="28"/>
          <w:szCs w:val="28"/>
          <w:highlight w:val="none"/>
        </w:rPr>
      </w:pPr>
    </w:p>
    <w:p>
      <w:pPr>
        <w:rPr>
          <w:rFonts w:eastAsia="黑体"/>
          <w:sz w:val="28"/>
          <w:szCs w:val="28"/>
          <w:highlight w:val="none"/>
        </w:rPr>
      </w:pPr>
    </w:p>
    <w:p>
      <w:pPr>
        <w:rPr>
          <w:rFonts w:eastAsia="黑体"/>
          <w:sz w:val="28"/>
          <w:szCs w:val="28"/>
          <w:highlight w:val="none"/>
        </w:rPr>
      </w:pPr>
    </w:p>
    <w:p>
      <w:pPr>
        <w:spacing w:line="720" w:lineRule="auto"/>
        <w:rPr>
          <w:rFonts w:eastAsia="黑体"/>
          <w:sz w:val="28"/>
          <w:szCs w:val="28"/>
          <w:highlight w:val="none"/>
        </w:rPr>
      </w:pPr>
    </w:p>
    <w:p>
      <w:pPr>
        <w:spacing w:line="480" w:lineRule="auto"/>
        <w:jc w:val="center"/>
        <w:rPr>
          <w:rFonts w:eastAsia="黑体"/>
          <w:sz w:val="28"/>
          <w:szCs w:val="28"/>
          <w:highlight w:val="none"/>
          <w:u w:val="single"/>
        </w:rPr>
      </w:pPr>
      <w:r>
        <w:rPr>
          <w:rFonts w:hint="eastAsia" w:eastAsia="黑体"/>
          <w:sz w:val="28"/>
          <w:szCs w:val="28"/>
          <w:highlight w:val="none"/>
        </w:rPr>
        <w:t>投标人：（盖单位章）</w:t>
      </w:r>
    </w:p>
    <w:p>
      <w:pPr>
        <w:spacing w:line="480" w:lineRule="auto"/>
        <w:jc w:val="center"/>
        <w:rPr>
          <w:rFonts w:eastAsia="黑体"/>
          <w:sz w:val="28"/>
          <w:szCs w:val="28"/>
          <w:highlight w:val="none"/>
        </w:rPr>
      </w:pPr>
      <w:r>
        <w:rPr>
          <w:rFonts w:hint="eastAsia" w:eastAsia="黑体"/>
          <w:sz w:val="28"/>
          <w:szCs w:val="28"/>
          <w:highlight w:val="none"/>
        </w:rPr>
        <w:t>法定代表人或其委托代理人：（签名或盖章）</w:t>
      </w:r>
    </w:p>
    <w:p>
      <w:pPr>
        <w:autoSpaceDE w:val="0"/>
        <w:autoSpaceDN w:val="0"/>
        <w:adjustRightInd w:val="0"/>
        <w:spacing w:line="480" w:lineRule="auto"/>
        <w:jc w:val="center"/>
        <w:rPr>
          <w:rFonts w:eastAsia="黑体"/>
          <w:sz w:val="28"/>
          <w:szCs w:val="28"/>
          <w:highlight w:val="none"/>
        </w:rPr>
      </w:pPr>
      <w:r>
        <w:rPr>
          <w:rFonts w:hint="eastAsia" w:eastAsia="黑体"/>
          <w:sz w:val="28"/>
          <w:szCs w:val="28"/>
          <w:highlight w:val="none"/>
        </w:rPr>
        <w:t>年  月  日</w:t>
      </w:r>
    </w:p>
    <w:p>
      <w:pPr>
        <w:widowControl/>
        <w:jc w:val="left"/>
        <w:rPr>
          <w:b/>
          <w:sz w:val="24"/>
          <w:highlight w:val="none"/>
        </w:rPr>
      </w:pPr>
      <w:r>
        <w:rPr>
          <w:b/>
          <w:sz w:val="24"/>
          <w:highlight w:val="none"/>
        </w:rPr>
        <w:br w:type="page"/>
      </w:r>
    </w:p>
    <w:p>
      <w:pPr>
        <w:jc w:val="left"/>
        <w:rPr>
          <w:b/>
          <w:sz w:val="24"/>
          <w:highlight w:val="none"/>
        </w:rPr>
      </w:pPr>
      <w:r>
        <w:rPr>
          <w:rFonts w:hint="eastAsia"/>
          <w:b/>
          <w:sz w:val="24"/>
          <w:highlight w:val="none"/>
        </w:rPr>
        <w:t>封面</w:t>
      </w:r>
      <w:r>
        <w:rPr>
          <w:rFonts w:hint="eastAsia" w:ascii="宋体" w:hAnsi="宋体"/>
          <w:b/>
          <w:sz w:val="24"/>
          <w:highlight w:val="none"/>
        </w:rPr>
        <w:t>格式2：</w:t>
      </w:r>
    </w:p>
    <w:p>
      <w:pPr>
        <w:spacing w:line="400" w:lineRule="exact"/>
        <w:ind w:right="-1359" w:rightChars="-647" w:firstLine="6726" w:firstLineChars="1861"/>
        <w:jc w:val="left"/>
        <w:rPr>
          <w:rFonts w:ascii="黑体" w:eastAsia="黑体"/>
          <w:b/>
          <w:sz w:val="36"/>
          <w:szCs w:val="36"/>
          <w:highlight w:val="none"/>
        </w:rPr>
      </w:pPr>
      <w:r>
        <w:rPr>
          <w:rFonts w:hint="eastAsia" w:ascii="黑体" w:eastAsia="黑体"/>
          <w:b/>
          <w:sz w:val="36"/>
          <w:szCs w:val="36"/>
          <w:highlight w:val="none"/>
        </w:rPr>
        <w:t>正本或副本</w:t>
      </w:r>
    </w:p>
    <w:p>
      <w:pPr>
        <w:jc w:val="center"/>
        <w:rPr>
          <w:rFonts w:ascii="宋体"/>
          <w:b/>
          <w:sz w:val="32"/>
          <w:szCs w:val="32"/>
          <w:highlight w:val="none"/>
        </w:rPr>
      </w:pPr>
    </w:p>
    <w:p>
      <w:pPr>
        <w:jc w:val="center"/>
        <w:rPr>
          <w:rFonts w:ascii="宋体"/>
          <w:b/>
          <w:sz w:val="32"/>
          <w:szCs w:val="32"/>
          <w:highlight w:val="none"/>
        </w:rPr>
      </w:pPr>
    </w:p>
    <w:p>
      <w:pPr>
        <w:jc w:val="center"/>
        <w:rPr>
          <w:rFonts w:ascii="宋体"/>
          <w:b/>
          <w:sz w:val="32"/>
          <w:szCs w:val="32"/>
          <w:highlight w:val="none"/>
        </w:rPr>
      </w:pPr>
    </w:p>
    <w:p>
      <w:pPr>
        <w:jc w:val="center"/>
        <w:rPr>
          <w:rFonts w:ascii="宋体"/>
          <w:b/>
          <w:sz w:val="32"/>
          <w:szCs w:val="32"/>
          <w:highlight w:val="none"/>
        </w:rPr>
      </w:pPr>
    </w:p>
    <w:p>
      <w:pPr>
        <w:jc w:val="center"/>
        <w:rPr>
          <w:b/>
          <w:sz w:val="44"/>
          <w:szCs w:val="44"/>
          <w:highlight w:val="none"/>
        </w:rPr>
      </w:pPr>
      <w:r>
        <w:rPr>
          <w:rFonts w:hint="eastAsia" w:ascii="宋体" w:hAnsi="宋体"/>
          <w:b/>
          <w:sz w:val="44"/>
          <w:szCs w:val="44"/>
          <w:highlight w:val="none"/>
        </w:rPr>
        <w:t>项目名称</w:t>
      </w:r>
    </w:p>
    <w:p>
      <w:pPr>
        <w:jc w:val="center"/>
        <w:rPr>
          <w:b/>
          <w:sz w:val="48"/>
          <w:szCs w:val="48"/>
          <w:highlight w:val="none"/>
        </w:rPr>
      </w:pPr>
    </w:p>
    <w:p>
      <w:pPr>
        <w:rPr>
          <w:rFonts w:eastAsia="黑体"/>
          <w:sz w:val="20"/>
          <w:szCs w:val="20"/>
          <w:highlight w:val="none"/>
        </w:rPr>
      </w:pPr>
    </w:p>
    <w:p>
      <w:pPr>
        <w:rPr>
          <w:rFonts w:eastAsia="黑体"/>
          <w:sz w:val="20"/>
          <w:szCs w:val="20"/>
          <w:highlight w:val="none"/>
        </w:rPr>
      </w:pPr>
    </w:p>
    <w:p>
      <w:pPr>
        <w:rPr>
          <w:rFonts w:eastAsia="黑体"/>
          <w:sz w:val="20"/>
          <w:szCs w:val="20"/>
          <w:highlight w:val="none"/>
        </w:rPr>
      </w:pPr>
    </w:p>
    <w:p>
      <w:pPr>
        <w:rPr>
          <w:rFonts w:eastAsia="黑体"/>
          <w:sz w:val="20"/>
          <w:szCs w:val="20"/>
          <w:highlight w:val="none"/>
        </w:rPr>
      </w:pPr>
    </w:p>
    <w:p>
      <w:pPr>
        <w:jc w:val="center"/>
        <w:rPr>
          <w:rFonts w:eastAsia="黑体"/>
          <w:sz w:val="52"/>
          <w:szCs w:val="52"/>
          <w:highlight w:val="none"/>
        </w:rPr>
      </w:pPr>
      <w:r>
        <w:rPr>
          <w:rFonts w:hint="eastAsia" w:eastAsia="黑体"/>
          <w:sz w:val="52"/>
          <w:szCs w:val="52"/>
          <w:highlight w:val="none"/>
        </w:rPr>
        <w:t>技术文件</w:t>
      </w:r>
    </w:p>
    <w:p>
      <w:pPr>
        <w:autoSpaceDE w:val="0"/>
        <w:autoSpaceDN w:val="0"/>
        <w:adjustRightInd w:val="0"/>
        <w:spacing w:line="480" w:lineRule="auto"/>
        <w:rPr>
          <w:rFonts w:eastAsia="黑体"/>
          <w:sz w:val="28"/>
          <w:szCs w:val="28"/>
          <w:highlight w:val="none"/>
        </w:rPr>
      </w:pPr>
    </w:p>
    <w:p>
      <w:pPr>
        <w:spacing w:line="480" w:lineRule="auto"/>
        <w:jc w:val="center"/>
        <w:rPr>
          <w:highlight w:val="none"/>
        </w:rPr>
      </w:pPr>
    </w:p>
    <w:p>
      <w:pPr>
        <w:spacing w:line="480" w:lineRule="auto"/>
        <w:jc w:val="center"/>
        <w:rPr>
          <w:highlight w:val="none"/>
        </w:rPr>
      </w:pPr>
    </w:p>
    <w:p>
      <w:pPr>
        <w:spacing w:line="480" w:lineRule="auto"/>
        <w:jc w:val="center"/>
        <w:rPr>
          <w:highlight w:val="none"/>
        </w:rPr>
      </w:pPr>
    </w:p>
    <w:p>
      <w:pPr>
        <w:spacing w:line="480" w:lineRule="auto"/>
        <w:jc w:val="center"/>
        <w:rPr>
          <w:highlight w:val="none"/>
        </w:rPr>
      </w:pPr>
    </w:p>
    <w:p>
      <w:pPr>
        <w:spacing w:line="480" w:lineRule="auto"/>
        <w:jc w:val="center"/>
        <w:rPr>
          <w:highlight w:val="none"/>
        </w:rPr>
      </w:pPr>
    </w:p>
    <w:p>
      <w:pPr>
        <w:spacing w:line="480" w:lineRule="auto"/>
        <w:jc w:val="center"/>
        <w:rPr>
          <w:highlight w:val="none"/>
        </w:rPr>
      </w:pPr>
    </w:p>
    <w:p>
      <w:pPr>
        <w:spacing w:line="480" w:lineRule="auto"/>
        <w:jc w:val="center"/>
        <w:rPr>
          <w:highlight w:val="none"/>
        </w:rPr>
      </w:pPr>
    </w:p>
    <w:p>
      <w:pPr>
        <w:spacing w:line="480" w:lineRule="auto"/>
        <w:jc w:val="center"/>
        <w:rPr>
          <w:highlight w:val="none"/>
        </w:rPr>
      </w:pPr>
    </w:p>
    <w:p>
      <w:pPr>
        <w:spacing w:line="480" w:lineRule="auto"/>
        <w:jc w:val="center"/>
        <w:rPr>
          <w:highlight w:val="none"/>
        </w:rPr>
      </w:pPr>
    </w:p>
    <w:p>
      <w:pPr>
        <w:spacing w:line="480" w:lineRule="auto"/>
        <w:jc w:val="center"/>
        <w:rPr>
          <w:rFonts w:eastAsia="黑体"/>
          <w:sz w:val="28"/>
          <w:szCs w:val="28"/>
          <w:highlight w:val="none"/>
          <w:u w:val="single"/>
        </w:rPr>
      </w:pPr>
      <w:r>
        <w:rPr>
          <w:rFonts w:hint="eastAsia" w:eastAsia="黑体"/>
          <w:sz w:val="28"/>
          <w:szCs w:val="28"/>
          <w:highlight w:val="none"/>
        </w:rPr>
        <w:t>投标人：（盖单位章）</w:t>
      </w:r>
    </w:p>
    <w:p>
      <w:pPr>
        <w:spacing w:line="480" w:lineRule="auto"/>
        <w:jc w:val="center"/>
        <w:rPr>
          <w:rFonts w:eastAsia="黑体"/>
          <w:sz w:val="28"/>
          <w:szCs w:val="28"/>
          <w:highlight w:val="none"/>
        </w:rPr>
      </w:pPr>
      <w:r>
        <w:rPr>
          <w:rFonts w:hint="eastAsia" w:eastAsia="黑体"/>
          <w:sz w:val="28"/>
          <w:szCs w:val="28"/>
          <w:highlight w:val="none"/>
        </w:rPr>
        <w:t>法定代表人或其委托代理人：（签名或盖章）</w:t>
      </w:r>
    </w:p>
    <w:p>
      <w:pPr>
        <w:autoSpaceDE w:val="0"/>
        <w:autoSpaceDN w:val="0"/>
        <w:adjustRightInd w:val="0"/>
        <w:spacing w:line="480" w:lineRule="auto"/>
        <w:jc w:val="center"/>
        <w:rPr>
          <w:rFonts w:eastAsia="黑体"/>
          <w:sz w:val="28"/>
          <w:szCs w:val="28"/>
          <w:highlight w:val="none"/>
        </w:rPr>
      </w:pPr>
      <w:r>
        <w:rPr>
          <w:rFonts w:hint="eastAsia" w:eastAsia="黑体"/>
          <w:sz w:val="28"/>
          <w:szCs w:val="28"/>
          <w:highlight w:val="none"/>
        </w:rPr>
        <w:t>年  月  日</w:t>
      </w:r>
    </w:p>
    <w:p>
      <w:pPr>
        <w:pStyle w:val="8"/>
        <w:rPr>
          <w:rFonts w:hint="default"/>
          <w:highlight w:val="none"/>
        </w:rPr>
      </w:pPr>
    </w:p>
    <w:p>
      <w:pPr>
        <w:spacing w:line="360" w:lineRule="auto"/>
        <w:rPr>
          <w:rFonts w:ascii="宋体" w:hAnsi="宋体" w:eastAsia="宋体" w:cs="宋体"/>
          <w:sz w:val="24"/>
          <w:highlight w:val="none"/>
        </w:rPr>
      </w:pPr>
    </w:p>
    <w:p>
      <w:pPr>
        <w:spacing w:line="360" w:lineRule="auto"/>
        <w:rPr>
          <w:rFonts w:ascii="宋体" w:hAnsi="宋体" w:eastAsia="宋体" w:cs="宋体"/>
          <w:sz w:val="24"/>
          <w:highlight w:val="none"/>
        </w:rPr>
      </w:pPr>
    </w:p>
    <w:p>
      <w:pPr>
        <w:pStyle w:val="2"/>
        <w:widowControl/>
        <w:spacing w:before="0" w:after="0" w:line="360" w:lineRule="auto"/>
        <w:jc w:val="center"/>
        <w:rPr>
          <w:rFonts w:ascii="黑体" w:hAnsi="宋体" w:cs="黑体"/>
          <w:b/>
          <w:color w:val="auto"/>
          <w:kern w:val="44"/>
          <w:sz w:val="44"/>
          <w:szCs w:val="44"/>
          <w:highlight w:val="none"/>
        </w:rPr>
      </w:pPr>
      <w:bookmarkStart w:id="43" w:name="_Toc374128477"/>
      <w:bookmarkEnd w:id="43"/>
      <w:bookmarkStart w:id="44" w:name="_Toc30913"/>
    </w:p>
    <w:p>
      <w:pPr>
        <w:pStyle w:val="2"/>
        <w:widowControl/>
        <w:spacing w:before="0" w:after="0" w:line="360" w:lineRule="auto"/>
        <w:jc w:val="center"/>
        <w:rPr>
          <w:rFonts w:ascii="黑体" w:hAnsi="宋体" w:cs="黑体"/>
          <w:b/>
          <w:color w:val="auto"/>
          <w:kern w:val="44"/>
          <w:sz w:val="44"/>
          <w:szCs w:val="44"/>
          <w:highlight w:val="none"/>
        </w:rPr>
      </w:pPr>
    </w:p>
    <w:p>
      <w:pPr>
        <w:pStyle w:val="2"/>
        <w:widowControl/>
        <w:spacing w:before="0" w:after="0" w:line="360" w:lineRule="auto"/>
        <w:jc w:val="center"/>
        <w:rPr>
          <w:rFonts w:ascii="黑体" w:hAnsi="宋体" w:cs="黑体"/>
          <w:b/>
          <w:color w:val="auto"/>
          <w:kern w:val="44"/>
          <w:sz w:val="44"/>
          <w:szCs w:val="44"/>
          <w:highlight w:val="none"/>
        </w:rPr>
      </w:pPr>
    </w:p>
    <w:p>
      <w:pPr>
        <w:pStyle w:val="2"/>
        <w:widowControl/>
        <w:spacing w:before="0" w:after="0" w:line="360" w:lineRule="auto"/>
        <w:jc w:val="center"/>
        <w:rPr>
          <w:rFonts w:ascii="黑体" w:hAnsi="宋体" w:cs="黑体"/>
          <w:b/>
          <w:color w:val="auto"/>
          <w:kern w:val="44"/>
          <w:sz w:val="44"/>
          <w:szCs w:val="44"/>
          <w:highlight w:val="none"/>
        </w:rPr>
      </w:pPr>
    </w:p>
    <w:p>
      <w:pPr>
        <w:pStyle w:val="2"/>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44"/>
    </w:p>
    <w:p>
      <w:pPr>
        <w:spacing w:afterLines="50"/>
        <w:jc w:val="center"/>
        <w:rPr>
          <w:rFonts w:eastAsia="黑体"/>
          <w:sz w:val="36"/>
          <w:szCs w:val="36"/>
          <w:highlight w:val="none"/>
        </w:rPr>
      </w:pPr>
    </w:p>
    <w:p>
      <w:pPr>
        <w:spacing w:line="500" w:lineRule="exact"/>
        <w:jc w:val="center"/>
        <w:rPr>
          <w:rFonts w:ascii="Times New Roman" w:hAnsi="Times New Roman" w:eastAsia="宋体" w:cs="Times New Roman"/>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szCs w:val="21"/>
          <w:highlight w:val="none"/>
        </w:rPr>
        <w:br w:type="page"/>
      </w:r>
    </w:p>
    <w:p>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一、前言</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1.1本项目采取邀请招标选择</w:t>
      </w:r>
      <w:r>
        <w:rPr>
          <w:rFonts w:hint="eastAsia" w:ascii="仿宋" w:hAnsi="仿宋" w:eastAsia="仿宋" w:cs="仿宋"/>
          <w:sz w:val="28"/>
          <w:szCs w:val="28"/>
          <w:highlight w:val="none"/>
          <w:lang w:val="en-US" w:eastAsia="zh-CN"/>
        </w:rPr>
        <w:t>勘察</w:t>
      </w:r>
      <w:r>
        <w:rPr>
          <w:rFonts w:hint="eastAsia" w:ascii="仿宋" w:hAnsi="仿宋" w:eastAsia="仿宋" w:cs="仿宋"/>
          <w:sz w:val="28"/>
          <w:szCs w:val="28"/>
          <w:highlight w:val="none"/>
        </w:rPr>
        <w:t>单位，为保证招标“公开、公平、公正”，根据国家有关工程建设招标投标的法律、法规和方针、政策，制定本评标细则，实行评标的规范化、标准化、科学化。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1.2  本评标办法仅适用本次勘察招标。</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1.3  本评标办法的解释和修订权属招标人。</w:t>
      </w:r>
    </w:p>
    <w:p>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二、评标依据</w:t>
      </w:r>
    </w:p>
    <w:p>
      <w:pPr>
        <w:spacing w:line="500" w:lineRule="exact"/>
        <w:ind w:firstLine="560" w:firstLineChars="200"/>
        <w:jc w:val="center"/>
        <w:rPr>
          <w:rFonts w:ascii="仿宋" w:hAnsi="仿宋" w:eastAsia="仿宋" w:cs="仿宋"/>
          <w:sz w:val="28"/>
          <w:szCs w:val="28"/>
          <w:highlight w:val="none"/>
        </w:rPr>
      </w:pPr>
      <w:r>
        <w:rPr>
          <w:rFonts w:hint="eastAsia" w:ascii="仿宋" w:hAnsi="仿宋" w:eastAsia="仿宋" w:cs="仿宋"/>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2.1《中华人民共和国民法典》；</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2.2《中华人民共和国招标投标法》；</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2.3《中华人民共和国招标投标法实施条例》</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2.4七部委第12号令《评标小组和评标方法暂行规定》；</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2.5《广东省实施〈中华人民共和国招标投标法〉办法》；</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2.8投标文件及澄清问题书面资料；</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三、评标人员守则</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所有参加评标人员必须遵守国家、地方政府制定的有关工程招标投标的法则、规定，遵守有关工程招标投标的保密制度；如果发现评标专家徇私，违反纪律，则取消其评标资格，并报市公共资源交易中心备案；情节严重，构成犯罪的，由司法机关依法追究其刑事责任。</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全体参与评标人员：</w:t>
      </w:r>
    </w:p>
    <w:p>
      <w:pPr>
        <w:numPr>
          <w:ilvl w:val="0"/>
          <w:numId w:val="3"/>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必须遵守评标纪律、不得泄密；</w:t>
      </w:r>
    </w:p>
    <w:p>
      <w:pPr>
        <w:numPr>
          <w:ilvl w:val="0"/>
          <w:numId w:val="3"/>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必须公正、不得循私；</w:t>
      </w:r>
    </w:p>
    <w:p>
      <w:pPr>
        <w:numPr>
          <w:ilvl w:val="0"/>
          <w:numId w:val="3"/>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必须科学、不得草率；</w:t>
      </w:r>
    </w:p>
    <w:p>
      <w:pPr>
        <w:numPr>
          <w:ilvl w:val="0"/>
          <w:numId w:val="3"/>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必须客观、不得带有成见；</w:t>
      </w:r>
    </w:p>
    <w:p>
      <w:pPr>
        <w:numPr>
          <w:ilvl w:val="0"/>
          <w:numId w:val="3"/>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必须平等、不得强加于人；</w:t>
      </w:r>
    </w:p>
    <w:p>
      <w:pPr>
        <w:numPr>
          <w:ilvl w:val="0"/>
          <w:numId w:val="3"/>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必须严谨、不得随意马虎。</w:t>
      </w:r>
    </w:p>
    <w:p>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四、评标机构</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招标人依法组建评标小组。</w:t>
      </w:r>
    </w:p>
    <w:p>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五、开标、评标、定标办法</w:t>
      </w:r>
    </w:p>
    <w:p>
      <w:pPr>
        <w:pStyle w:val="8"/>
        <w:widowControl/>
        <w:spacing w:line="500" w:lineRule="exact"/>
        <w:ind w:firstLine="562" w:firstLineChars="200"/>
        <w:rPr>
          <w:rFonts w:hint="default" w:ascii="仿宋" w:hAnsi="仿宋" w:eastAsia="仿宋" w:cs="仿宋"/>
          <w:b/>
          <w:sz w:val="28"/>
          <w:szCs w:val="28"/>
          <w:highlight w:val="none"/>
        </w:rPr>
      </w:pPr>
      <w:r>
        <w:rPr>
          <w:rFonts w:ascii="仿宋" w:hAnsi="仿宋" w:eastAsia="仿宋" w:cs="仿宋"/>
          <w:b/>
          <w:sz w:val="28"/>
          <w:szCs w:val="28"/>
          <w:highlight w:val="none"/>
        </w:rPr>
        <w:t>5.1评标小组</w:t>
      </w:r>
    </w:p>
    <w:p>
      <w:pPr>
        <w:pStyle w:val="8"/>
        <w:widowControl/>
        <w:spacing w:line="500" w:lineRule="exact"/>
        <w:ind w:firstLine="560" w:firstLineChars="200"/>
        <w:rPr>
          <w:rFonts w:hint="default" w:ascii="仿宋" w:hAnsi="仿宋" w:eastAsia="仿宋" w:cs="仿宋"/>
          <w:sz w:val="28"/>
          <w:szCs w:val="28"/>
          <w:highlight w:val="none"/>
        </w:rPr>
      </w:pPr>
      <w:r>
        <w:rPr>
          <w:rFonts w:ascii="仿宋" w:hAnsi="仿宋" w:eastAsia="仿宋" w:cs="仿宋"/>
          <w:sz w:val="28"/>
          <w:szCs w:val="28"/>
          <w:highlight w:val="none"/>
        </w:rPr>
        <w:t>5.1.1  评标小组由招标人依法组建的5名专家组成。</w:t>
      </w:r>
    </w:p>
    <w:p>
      <w:pPr>
        <w:pStyle w:val="8"/>
        <w:widowControl/>
        <w:spacing w:line="500" w:lineRule="exact"/>
        <w:ind w:firstLine="560" w:firstLineChars="200"/>
        <w:rPr>
          <w:rFonts w:hint="default" w:ascii="仿宋" w:hAnsi="仿宋" w:eastAsia="仿宋" w:cs="仿宋"/>
          <w:sz w:val="28"/>
          <w:szCs w:val="28"/>
          <w:highlight w:val="none"/>
        </w:rPr>
      </w:pPr>
      <w:r>
        <w:rPr>
          <w:rFonts w:ascii="仿宋" w:hAnsi="仿宋" w:eastAsia="仿宋" w:cs="仿宋"/>
          <w:sz w:val="28"/>
          <w:szCs w:val="28"/>
          <w:highlight w:val="none"/>
        </w:rPr>
        <w:t>5.1.2  评标小组推举产生1名评标组长，主持评审工作，评标组长与其他成员有同等表决权。</w:t>
      </w:r>
    </w:p>
    <w:p>
      <w:pPr>
        <w:pStyle w:val="8"/>
        <w:widowControl/>
        <w:spacing w:line="500" w:lineRule="exact"/>
        <w:rPr>
          <w:rFonts w:hint="default" w:ascii="仿宋" w:hAnsi="仿宋" w:eastAsia="仿宋" w:cs="仿宋"/>
          <w:sz w:val="28"/>
          <w:szCs w:val="28"/>
          <w:highlight w:val="none"/>
        </w:rPr>
      </w:pPr>
    </w:p>
    <w:p>
      <w:pPr>
        <w:spacing w:line="500" w:lineRule="exact"/>
        <w:ind w:firstLine="562" w:firstLineChars="200"/>
        <w:rPr>
          <w:rFonts w:ascii="仿宋" w:hAnsi="仿宋" w:eastAsia="仿宋" w:cs="仿宋"/>
          <w:b/>
          <w:sz w:val="28"/>
          <w:szCs w:val="28"/>
          <w:highlight w:val="none"/>
        </w:rPr>
      </w:pPr>
      <w:r>
        <w:rPr>
          <w:rFonts w:hint="eastAsia" w:ascii="仿宋" w:hAnsi="仿宋" w:eastAsia="仿宋" w:cs="仿宋"/>
          <w:b/>
          <w:sz w:val="28"/>
          <w:szCs w:val="28"/>
          <w:highlight w:val="none"/>
        </w:rPr>
        <w:t>5.2评标原则</w:t>
      </w:r>
    </w:p>
    <w:p>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5.2.1  评标小组根据招标文件规定的评标标准和方法，对投标文件进行评审和比较，招标文件中没有规定的标准和方法不得作为评标的依据。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5.2.2  在符合招标文件规定的前提下，评标小组主要对投标文件进行评议。</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pPr>
        <w:spacing w:line="500" w:lineRule="exact"/>
        <w:ind w:firstLine="560" w:firstLineChars="200"/>
        <w:rPr>
          <w:rFonts w:ascii="仿宋" w:hAnsi="仿宋" w:eastAsia="仿宋" w:cs="仿宋"/>
          <w:sz w:val="28"/>
          <w:szCs w:val="28"/>
          <w:highlight w:val="none"/>
        </w:rPr>
      </w:pPr>
    </w:p>
    <w:p>
      <w:pPr>
        <w:spacing w:line="500" w:lineRule="exact"/>
        <w:ind w:firstLine="562" w:firstLineChars="200"/>
        <w:rPr>
          <w:rFonts w:ascii="仿宋" w:hAnsi="仿宋" w:eastAsia="仿宋" w:cs="仿宋"/>
          <w:b/>
          <w:sz w:val="28"/>
          <w:szCs w:val="28"/>
          <w:highlight w:val="none"/>
        </w:rPr>
      </w:pPr>
      <w:r>
        <w:rPr>
          <w:rFonts w:hint="eastAsia" w:ascii="仿宋" w:hAnsi="仿宋" w:eastAsia="仿宋" w:cs="仿宋"/>
          <w:b/>
          <w:sz w:val="28"/>
          <w:szCs w:val="28"/>
          <w:highlight w:val="none"/>
        </w:rPr>
        <w:t>5.3评标办法 采用</w:t>
      </w:r>
      <w:r>
        <w:rPr>
          <w:rFonts w:hint="eastAsia" w:ascii="仿宋" w:hAnsi="仿宋" w:eastAsia="仿宋" w:cs="仿宋"/>
          <w:b/>
          <w:sz w:val="28"/>
          <w:szCs w:val="28"/>
          <w:highlight w:val="none"/>
          <w:u w:val="single"/>
        </w:rPr>
        <w:t>综合评分法评标</w:t>
      </w:r>
    </w:p>
    <w:p>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5.3.1  开标评标程序</w:t>
      </w:r>
    </w:p>
    <w:p>
      <w:pPr>
        <w:snapToGrid w:val="0"/>
        <w:spacing w:line="500" w:lineRule="exact"/>
        <w:ind w:firstLine="610" w:firstLineChars="218"/>
        <w:rPr>
          <w:rFonts w:ascii="仿宋" w:hAnsi="仿宋" w:eastAsia="仿宋" w:cs="仿宋"/>
          <w:sz w:val="28"/>
          <w:szCs w:val="28"/>
          <w:highlight w:val="none"/>
        </w:rPr>
      </w:pPr>
      <w:r>
        <w:rPr>
          <w:rFonts w:hint="eastAsia" w:ascii="仿宋" w:hAnsi="仿宋" w:eastAsia="仿宋" w:cs="仿宋"/>
          <w:sz w:val="28"/>
          <w:szCs w:val="28"/>
          <w:highlight w:val="none"/>
        </w:rPr>
        <w:t>（1）投标人递交投标文件。</w:t>
      </w:r>
    </w:p>
    <w:p>
      <w:pPr>
        <w:snapToGrid w:val="0"/>
        <w:spacing w:line="500" w:lineRule="exact"/>
        <w:ind w:firstLine="610" w:firstLineChars="218"/>
        <w:rPr>
          <w:rFonts w:ascii="仿宋" w:hAnsi="仿宋" w:eastAsia="仿宋" w:cs="仿宋"/>
          <w:sz w:val="28"/>
          <w:szCs w:val="28"/>
          <w:highlight w:val="none"/>
        </w:rPr>
      </w:pPr>
      <w:r>
        <w:rPr>
          <w:rFonts w:hint="eastAsia" w:ascii="仿宋" w:hAnsi="仿宋" w:eastAsia="仿宋" w:cs="仿宋"/>
          <w:sz w:val="28"/>
          <w:szCs w:val="28"/>
          <w:highlight w:val="none"/>
        </w:rPr>
        <w:t>（2）对投标文件公开开标。</w:t>
      </w:r>
    </w:p>
    <w:p>
      <w:pPr>
        <w:snapToGrid w:val="0"/>
        <w:spacing w:line="500" w:lineRule="exact"/>
        <w:ind w:firstLine="610" w:firstLineChars="218"/>
        <w:rPr>
          <w:rFonts w:ascii="仿宋" w:hAnsi="仿宋" w:eastAsia="仿宋" w:cs="仿宋"/>
          <w:sz w:val="28"/>
          <w:szCs w:val="28"/>
          <w:highlight w:val="none"/>
        </w:rPr>
      </w:pPr>
      <w:r>
        <w:rPr>
          <w:rFonts w:hint="eastAsia" w:ascii="仿宋" w:hAnsi="仿宋" w:eastAsia="仿宋" w:cs="仿宋"/>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sz w:val="28"/>
          <w:szCs w:val="28"/>
          <w:highlight w:val="none"/>
        </w:rPr>
      </w:pPr>
      <w:r>
        <w:rPr>
          <w:rFonts w:hint="eastAsia" w:ascii="仿宋" w:hAnsi="仿宋" w:eastAsia="仿宋" w:cs="仿宋"/>
          <w:sz w:val="28"/>
          <w:szCs w:val="28"/>
          <w:highlight w:val="none"/>
        </w:rPr>
        <w:t>（4）汇总投标人的综合得分，推荐中标候选人并编写评标报告。</w:t>
      </w:r>
    </w:p>
    <w:p>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5.3.2  详细评审步骤</w:t>
      </w:r>
    </w:p>
    <w:p>
      <w:pPr>
        <w:snapToGrid w:val="0"/>
        <w:spacing w:line="500" w:lineRule="exact"/>
        <w:ind w:left="779" w:leftChars="170" w:hanging="422" w:hangingChars="151"/>
        <w:rPr>
          <w:rFonts w:ascii="仿宋" w:hAnsi="仿宋" w:eastAsia="仿宋" w:cs="仿宋"/>
          <w:sz w:val="28"/>
          <w:szCs w:val="28"/>
          <w:highlight w:val="none"/>
        </w:rPr>
      </w:pPr>
      <w:r>
        <w:rPr>
          <w:rFonts w:hint="eastAsia" w:ascii="仿宋" w:hAnsi="仿宋" w:eastAsia="仿宋" w:cs="仿宋"/>
          <w:sz w:val="28"/>
          <w:szCs w:val="28"/>
          <w:highlight w:val="none"/>
        </w:rPr>
        <w:t>(a) 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spacing w:line="500" w:lineRule="exact"/>
        <w:ind w:left="919" w:leftChars="171" w:hanging="560" w:hangingChars="200"/>
        <w:jc w:val="left"/>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(b) 评标小组专家计算各投标人的综合得分</w:t>
      </w:r>
      <w:r>
        <w:rPr>
          <w:rFonts w:hint="eastAsia" w:ascii="仿宋" w:hAnsi="仿宋" w:eastAsia="仿宋" w:cs="仿宋"/>
          <w:sz w:val="28"/>
          <w:szCs w:val="28"/>
          <w:highlight w:val="none"/>
          <w:lang w:eastAsia="zh-CN"/>
        </w:rPr>
        <w:t>。</w:t>
      </w:r>
    </w:p>
    <w:p>
      <w:pPr>
        <w:spacing w:line="500" w:lineRule="exact"/>
        <w:ind w:left="919" w:leftChars="171" w:hanging="560" w:hangingChars="200"/>
        <w:jc w:val="left"/>
        <w:rPr>
          <w:rFonts w:ascii="仿宋" w:hAnsi="仿宋" w:eastAsia="仿宋" w:cs="仿宋"/>
          <w:sz w:val="28"/>
          <w:szCs w:val="28"/>
          <w:highlight w:val="none"/>
        </w:rPr>
      </w:pPr>
      <w:r>
        <w:rPr>
          <w:rFonts w:hint="eastAsia" w:ascii="仿宋" w:hAnsi="仿宋" w:eastAsia="仿宋" w:cs="仿宋"/>
          <w:sz w:val="28"/>
          <w:szCs w:val="28"/>
          <w:highlight w:val="none"/>
        </w:rPr>
        <w:t>(c) 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spacing w:line="500" w:lineRule="exact"/>
        <w:ind w:firstLine="562" w:firstLineChars="200"/>
        <w:jc w:val="left"/>
        <w:rPr>
          <w:rFonts w:ascii="仿宋" w:hAnsi="仿宋" w:eastAsia="仿宋" w:cs="仿宋"/>
          <w:b/>
          <w:sz w:val="28"/>
          <w:szCs w:val="28"/>
          <w:highlight w:val="none"/>
        </w:rPr>
      </w:pPr>
      <w:r>
        <w:rPr>
          <w:rFonts w:hint="eastAsia" w:ascii="仿宋" w:hAnsi="仿宋" w:eastAsia="仿宋" w:cs="仿宋"/>
          <w:b/>
          <w:sz w:val="28"/>
          <w:szCs w:val="28"/>
          <w:highlight w:val="none"/>
        </w:rPr>
        <w:t>5.4定标</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5.4.1  招标人在评标小组推荐的候选方案中确定中标方案。但是，招标人认为评标小组推荐的候选方案不能最大限度满足招标文件规定的要求的，依法重新招标。</w:t>
      </w:r>
    </w:p>
    <w:p>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5.4.2  招标人采用下面方法确定中标人：</w:t>
      </w:r>
    </w:p>
    <w:p>
      <w:pPr>
        <w:spacing w:line="500" w:lineRule="exact"/>
        <w:ind w:left="958" w:hanging="957" w:hangingChars="342"/>
        <w:jc w:val="left"/>
        <w:rPr>
          <w:rFonts w:ascii="仿宋" w:hAnsi="仿宋" w:eastAsia="仿宋" w:cs="仿宋"/>
          <w:sz w:val="28"/>
          <w:szCs w:val="28"/>
          <w:highlight w:val="none"/>
        </w:rPr>
      </w:pPr>
      <w:r>
        <w:rPr>
          <w:rFonts w:hint="eastAsia" w:ascii="仿宋" w:hAnsi="仿宋" w:eastAsia="仿宋" w:cs="仿宋"/>
          <w:sz w:val="28"/>
          <w:szCs w:val="28"/>
          <w:highlight w:val="none"/>
        </w:rPr>
        <w:t>□（a）招标人委托评标小组直接确定中标人；</w:t>
      </w:r>
    </w:p>
    <w:p>
      <w:pPr>
        <w:spacing w:line="500" w:lineRule="exact"/>
        <w:ind w:left="961" w:hanging="961" w:hangingChars="342"/>
        <w:jc w:val="left"/>
        <w:rPr>
          <w:rFonts w:ascii="仿宋" w:hAnsi="仿宋" w:eastAsia="仿宋" w:cs="仿宋"/>
          <w:sz w:val="28"/>
          <w:szCs w:val="28"/>
          <w:highlight w:val="none"/>
        </w:rPr>
      </w:pPr>
      <w:r>
        <w:rPr>
          <w:rFonts w:hint="eastAsia" w:ascii="仿宋" w:hAnsi="仿宋" w:eastAsia="仿宋" w:cs="仿宋"/>
          <w:b/>
          <w:kern w:val="0"/>
          <w:sz w:val="28"/>
          <w:szCs w:val="28"/>
          <w:highlight w:val="none"/>
        </w:rPr>
        <w:t>√</w:t>
      </w:r>
      <w:r>
        <w:rPr>
          <w:rFonts w:hint="eastAsia" w:ascii="仿宋" w:hAnsi="仿宋" w:eastAsia="仿宋" w:cs="仿宋"/>
          <w:sz w:val="28"/>
          <w:szCs w:val="28"/>
          <w:highlight w:val="none"/>
        </w:rPr>
        <w:t>（b）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w:t>
      </w:r>
      <w:r>
        <w:rPr>
          <w:rFonts w:hint="eastAsia" w:ascii="仿宋" w:hAnsi="仿宋" w:eastAsia="仿宋" w:cs="仿宋"/>
          <w:sz w:val="28"/>
          <w:szCs w:val="28"/>
          <w:highlight w:val="none"/>
          <w:lang w:val="en-US" w:eastAsia="zh-CN"/>
        </w:rPr>
        <w:t>招标人有权</w:t>
      </w:r>
      <w:r>
        <w:rPr>
          <w:rFonts w:hint="eastAsia" w:ascii="仿宋" w:hAnsi="仿宋" w:eastAsia="仿宋" w:cs="仿宋"/>
          <w:sz w:val="28"/>
          <w:szCs w:val="28"/>
          <w:highlight w:val="none"/>
        </w:rPr>
        <w:t>确定排名第二的中标候选人为中标人</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亦或重新组织招标</w:t>
      </w:r>
      <w:r>
        <w:rPr>
          <w:rFonts w:hint="eastAsia" w:ascii="仿宋" w:hAnsi="仿宋" w:eastAsia="仿宋" w:cs="仿宋"/>
          <w:sz w:val="28"/>
          <w:szCs w:val="28"/>
          <w:highlight w:val="none"/>
        </w:rPr>
        <w:t>。如排名第二的中标候选人也发生上述问题，则</w:t>
      </w:r>
      <w:r>
        <w:rPr>
          <w:rFonts w:hint="eastAsia" w:ascii="仿宋" w:hAnsi="仿宋" w:eastAsia="仿宋" w:cs="仿宋"/>
          <w:sz w:val="28"/>
          <w:szCs w:val="28"/>
          <w:highlight w:val="none"/>
          <w:lang w:val="en-US" w:eastAsia="zh-CN"/>
        </w:rPr>
        <w:t>招标人有权</w:t>
      </w:r>
      <w:r>
        <w:rPr>
          <w:rFonts w:hint="eastAsia" w:ascii="仿宋" w:hAnsi="仿宋" w:eastAsia="仿宋" w:cs="仿宋"/>
          <w:sz w:val="28"/>
          <w:szCs w:val="28"/>
          <w:highlight w:val="none"/>
        </w:rPr>
        <w:t>确定排名第三的中标候选人为中标人</w:t>
      </w:r>
      <w:r>
        <w:rPr>
          <w:rFonts w:hint="eastAsia" w:ascii="仿宋" w:hAnsi="仿宋" w:eastAsia="仿宋" w:cs="仿宋"/>
          <w:sz w:val="28"/>
          <w:szCs w:val="28"/>
          <w:highlight w:val="none"/>
          <w:lang w:val="en-US" w:eastAsia="zh-CN"/>
        </w:rPr>
        <w:t>或重新组织招标</w:t>
      </w:r>
      <w:r>
        <w:rPr>
          <w:rFonts w:hint="eastAsia" w:ascii="仿宋" w:hAnsi="仿宋" w:eastAsia="仿宋" w:cs="仿宋"/>
          <w:sz w:val="28"/>
          <w:szCs w:val="28"/>
          <w:highlight w:val="none"/>
        </w:rPr>
        <w:t>。</w:t>
      </w:r>
    </w:p>
    <w:p>
      <w:pPr>
        <w:spacing w:line="500" w:lineRule="exact"/>
        <w:ind w:left="958" w:hanging="957" w:hangingChars="342"/>
        <w:jc w:val="left"/>
        <w:rPr>
          <w:rFonts w:ascii="仿宋" w:hAnsi="仿宋" w:eastAsia="仿宋" w:cs="仿宋"/>
          <w:sz w:val="28"/>
          <w:szCs w:val="28"/>
          <w:highlight w:val="none"/>
        </w:rPr>
      </w:pPr>
    </w:p>
    <w:p>
      <w:pPr>
        <w:spacing w:line="500" w:lineRule="exact"/>
        <w:ind w:firstLine="562" w:firstLineChars="200"/>
        <w:rPr>
          <w:rFonts w:ascii="仿宋" w:hAnsi="仿宋" w:eastAsia="仿宋" w:cs="仿宋"/>
          <w:b/>
          <w:sz w:val="28"/>
          <w:szCs w:val="28"/>
          <w:highlight w:val="none"/>
        </w:rPr>
      </w:pPr>
      <w:r>
        <w:rPr>
          <w:rFonts w:hint="eastAsia" w:ascii="仿宋" w:hAnsi="仿宋" w:eastAsia="仿宋" w:cs="仿宋"/>
          <w:b/>
          <w:sz w:val="28"/>
          <w:szCs w:val="28"/>
          <w:highlight w:val="none"/>
        </w:rPr>
        <w:t>5.5发生下列情形之一的，招标人将重新组织招标：</w:t>
      </w:r>
    </w:p>
    <w:p>
      <w:pPr>
        <w:pStyle w:val="8"/>
        <w:widowControl/>
        <w:spacing w:line="500" w:lineRule="exact"/>
        <w:ind w:firstLine="560" w:firstLineChars="200"/>
        <w:jc w:val="left"/>
        <w:rPr>
          <w:rFonts w:hint="default" w:ascii="仿宋" w:hAnsi="仿宋" w:eastAsia="仿宋" w:cs="仿宋"/>
          <w:sz w:val="28"/>
          <w:szCs w:val="28"/>
          <w:highlight w:val="none"/>
        </w:rPr>
      </w:pPr>
      <w:r>
        <w:rPr>
          <w:rFonts w:ascii="仿宋" w:hAnsi="仿宋" w:eastAsia="仿宋" w:cs="仿宋"/>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sz w:val="28"/>
          <w:szCs w:val="28"/>
          <w:highlight w:val="none"/>
        </w:rPr>
      </w:pPr>
      <w:r>
        <w:rPr>
          <w:rFonts w:hint="eastAsia" w:ascii="仿宋" w:hAnsi="仿宋" w:eastAsia="仿宋" w:cs="仿宋"/>
          <w:b/>
          <w:sz w:val="28"/>
          <w:szCs w:val="28"/>
          <w:highlight w:val="none"/>
        </w:rPr>
        <w:t>5.6授予合同</w:t>
      </w:r>
    </w:p>
    <w:p>
      <w:pPr>
        <w:pStyle w:val="8"/>
        <w:widowControl/>
        <w:spacing w:line="500" w:lineRule="exact"/>
        <w:ind w:firstLine="560" w:firstLineChars="200"/>
        <w:jc w:val="left"/>
        <w:rPr>
          <w:rFonts w:hint="default" w:ascii="仿宋" w:hAnsi="仿宋" w:eastAsia="仿宋" w:cs="仿宋"/>
          <w:sz w:val="28"/>
          <w:szCs w:val="28"/>
          <w:highlight w:val="none"/>
        </w:rPr>
      </w:pPr>
      <w:r>
        <w:rPr>
          <w:rFonts w:ascii="仿宋" w:hAnsi="仿宋" w:eastAsia="仿宋" w:cs="仿宋"/>
          <w:sz w:val="28"/>
          <w:szCs w:val="28"/>
          <w:highlight w:val="none"/>
        </w:rPr>
        <w:t>5.6.1  招标人一般将合同授予中标人，合同在投标有效期或投标人接受的延长期内授出。</w:t>
      </w:r>
    </w:p>
    <w:p>
      <w:pPr>
        <w:pStyle w:val="8"/>
        <w:widowControl/>
        <w:spacing w:line="500" w:lineRule="exact"/>
        <w:ind w:firstLine="560" w:firstLineChars="200"/>
        <w:jc w:val="left"/>
        <w:rPr>
          <w:rFonts w:hint="default" w:ascii="仿宋" w:hAnsi="仿宋" w:eastAsia="仿宋" w:cs="仿宋"/>
          <w:sz w:val="28"/>
          <w:szCs w:val="28"/>
          <w:highlight w:val="none"/>
        </w:rPr>
      </w:pPr>
      <w:r>
        <w:rPr>
          <w:rFonts w:ascii="仿宋" w:hAnsi="仿宋" w:eastAsia="仿宋" w:cs="仿宋"/>
          <w:sz w:val="28"/>
          <w:szCs w:val="28"/>
          <w:highlight w:val="none"/>
        </w:rPr>
        <w:t>5.6.2  中标人必须签署并执行招标文件规定的合同条件。</w:t>
      </w:r>
    </w:p>
    <w:p>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六、开标细则</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6.1</w:t>
      </w:r>
      <w:r>
        <w:rPr>
          <w:rFonts w:hint="eastAsia" w:ascii="仿宋" w:hAnsi="仿宋" w:eastAsia="仿宋" w:cs="仿宋"/>
          <w:sz w:val="28"/>
          <w:szCs w:val="28"/>
          <w:highlight w:val="none"/>
          <w:lang w:val="en-US" w:eastAsia="zh-CN"/>
        </w:rPr>
        <w:t xml:space="preserve"> </w:t>
      </w:r>
      <w:r>
        <w:rPr>
          <w:rFonts w:hint="eastAsia" w:ascii="仿宋" w:hAnsi="仿宋" w:eastAsia="仿宋" w:cs="仿宋"/>
          <w:sz w:val="28"/>
          <w:szCs w:val="28"/>
          <w:highlight w:val="none"/>
        </w:rPr>
        <w:t>开标由招标人或招标代理机构主持；</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6.2 由投标人或其推选的代表检查投标文件的密封情况，也可以由招标人委托的公证机构检查并公证；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6.6  招标人将上述符合要求的投标文件，送至评标小组进行评审。</w:t>
      </w:r>
    </w:p>
    <w:p>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七、评标</w:t>
      </w:r>
    </w:p>
    <w:p>
      <w:pPr>
        <w:snapToGrid w:val="0"/>
        <w:spacing w:line="500" w:lineRule="exact"/>
        <w:ind w:firstLine="422" w:firstLineChars="150"/>
        <w:rPr>
          <w:rFonts w:ascii="仿宋" w:hAnsi="仿宋" w:eastAsia="仿宋" w:cs="仿宋"/>
          <w:b/>
          <w:sz w:val="28"/>
          <w:szCs w:val="28"/>
          <w:highlight w:val="none"/>
        </w:rPr>
      </w:pPr>
      <w:r>
        <w:rPr>
          <w:rFonts w:hint="eastAsia" w:ascii="仿宋" w:hAnsi="仿宋" w:eastAsia="仿宋" w:cs="仿宋"/>
          <w:b/>
          <w:sz w:val="28"/>
          <w:szCs w:val="28"/>
          <w:highlight w:val="none"/>
        </w:rPr>
        <w:t>7.1  评标过程</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1）第一步：进行投标文件符合性审查；</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评标小组依据有关法律、法规和招标文件的规定对投标文件进行评审，若本项目经评审有效的投标人不足3名时，本次招标失败，招标人应当依法重新组织招标。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2）第二步：专家对综合评分表进行打分；</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3）第三步：评标小组完成评标报告，向招标人推荐中标候选人。</w:t>
      </w:r>
    </w:p>
    <w:p>
      <w:pPr>
        <w:snapToGrid w:val="0"/>
        <w:spacing w:line="500" w:lineRule="exact"/>
        <w:ind w:firstLine="422" w:firstLineChars="150"/>
        <w:rPr>
          <w:rFonts w:ascii="仿宋" w:hAnsi="仿宋" w:eastAsia="仿宋" w:cs="仿宋"/>
          <w:b/>
          <w:sz w:val="28"/>
          <w:szCs w:val="28"/>
          <w:highlight w:val="none"/>
        </w:rPr>
      </w:pPr>
      <w:r>
        <w:rPr>
          <w:rFonts w:hint="eastAsia" w:ascii="仿宋" w:hAnsi="仿宋" w:eastAsia="仿宋" w:cs="仿宋"/>
          <w:b/>
          <w:sz w:val="28"/>
          <w:szCs w:val="28"/>
          <w:highlight w:val="none"/>
        </w:rPr>
        <w:t>7.2  投标文件的符合性审查</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7.2.1</w:t>
      </w:r>
      <w:r>
        <w:rPr>
          <w:rFonts w:hint="eastAsia" w:ascii="仿宋" w:hAnsi="仿宋" w:eastAsia="仿宋" w:cs="仿宋"/>
          <w:sz w:val="28"/>
          <w:szCs w:val="28"/>
          <w:highlight w:val="none"/>
        </w:rPr>
        <w:tab/>
      </w:r>
      <w:r>
        <w:rPr>
          <w:rFonts w:hint="eastAsia" w:ascii="仿宋" w:hAnsi="仿宋" w:eastAsia="仿宋" w:cs="仿宋"/>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7.2.2</w:t>
      </w:r>
      <w:r>
        <w:rPr>
          <w:rFonts w:hint="eastAsia" w:ascii="仿宋" w:hAnsi="仿宋" w:eastAsia="仿宋" w:cs="仿宋"/>
          <w:sz w:val="28"/>
          <w:szCs w:val="28"/>
          <w:highlight w:val="none"/>
        </w:rPr>
        <w:tab/>
      </w:r>
      <w:r>
        <w:rPr>
          <w:rFonts w:hint="eastAsia" w:ascii="仿宋" w:hAnsi="仿宋" w:eastAsia="仿宋" w:cs="仿宋"/>
          <w:sz w:val="28"/>
          <w:szCs w:val="28"/>
          <w:highlight w:val="none"/>
        </w:rPr>
        <w:t>评标小组对所有投标作否决处理的，招标人应当重新招标。</w:t>
      </w:r>
    </w:p>
    <w:p>
      <w:pPr>
        <w:snapToGrid w:val="0"/>
        <w:spacing w:line="500" w:lineRule="exact"/>
        <w:ind w:firstLine="422" w:firstLineChars="150"/>
        <w:rPr>
          <w:rFonts w:ascii="仿宋" w:hAnsi="仿宋" w:eastAsia="仿宋" w:cs="仿宋"/>
          <w:b/>
          <w:sz w:val="28"/>
          <w:szCs w:val="28"/>
          <w:highlight w:val="none"/>
        </w:rPr>
      </w:pPr>
      <w:r>
        <w:rPr>
          <w:rFonts w:hint="eastAsia" w:ascii="仿宋" w:hAnsi="仿宋" w:eastAsia="仿宋" w:cs="仿宋"/>
          <w:b/>
          <w:sz w:val="28"/>
          <w:szCs w:val="28"/>
          <w:highlight w:val="none"/>
        </w:rPr>
        <w:t xml:space="preserve">7.4  计算投标人总得分（满分为100分） </w:t>
      </w:r>
    </w:p>
    <w:p>
      <w:pPr>
        <w:snapToGrid w:val="0"/>
        <w:spacing w:line="500" w:lineRule="exact"/>
        <w:ind w:firstLine="422" w:firstLineChars="150"/>
        <w:rPr>
          <w:rFonts w:ascii="仿宋" w:hAnsi="仿宋" w:eastAsia="仿宋" w:cs="仿宋"/>
          <w:b/>
          <w:sz w:val="28"/>
          <w:szCs w:val="28"/>
          <w:highlight w:val="none"/>
        </w:rPr>
      </w:pPr>
      <w:r>
        <w:rPr>
          <w:rFonts w:hint="eastAsia" w:ascii="仿宋" w:hAnsi="仿宋" w:eastAsia="仿宋" w:cs="仿宋"/>
          <w:b/>
          <w:sz w:val="28"/>
          <w:szCs w:val="28"/>
          <w:highlight w:val="none"/>
        </w:rPr>
        <w:t>7.5  推荐中标候选人</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7.5.1按投标人总得分高低进行先后排序，取评分最高者为第一中标候选人，次高者为第二中标候选人，依次类推。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7.5.2如果有两个或两个以上的投标人总得分评分相同，则服务报价得分较高的投标人排名优先；如果总得分、服务报价得分均相同的投标文件，则由评标小组采用摇珠方式，确定中标候选人顺序。</w:t>
      </w:r>
    </w:p>
    <w:p>
      <w:pPr>
        <w:snapToGrid w:val="0"/>
        <w:spacing w:line="500" w:lineRule="exact"/>
        <w:ind w:firstLine="422" w:firstLineChars="150"/>
        <w:rPr>
          <w:rFonts w:ascii="仿宋" w:hAnsi="仿宋" w:eastAsia="仿宋" w:cs="仿宋"/>
          <w:b/>
          <w:sz w:val="28"/>
          <w:szCs w:val="28"/>
          <w:highlight w:val="none"/>
        </w:rPr>
      </w:pPr>
      <w:r>
        <w:rPr>
          <w:rFonts w:hint="eastAsia" w:ascii="仿宋" w:hAnsi="仿宋" w:eastAsia="仿宋" w:cs="仿宋"/>
          <w:b/>
          <w:sz w:val="28"/>
          <w:szCs w:val="28"/>
          <w:highlight w:val="none"/>
        </w:rPr>
        <w:t>7.6 确定中标人</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1） 招标人依据评标报告审定本项目的中标人。</w:t>
      </w:r>
    </w:p>
    <w:p>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2）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sz w:val="28"/>
          <w:szCs w:val="28"/>
          <w:highlight w:val="none"/>
        </w:rPr>
      </w:pPr>
      <w:r>
        <w:rPr>
          <w:rFonts w:hint="eastAsia" w:ascii="仿宋" w:hAnsi="仿宋" w:eastAsia="仿宋" w:cs="仿宋"/>
          <w:b/>
          <w:bCs/>
          <w:sz w:val="28"/>
          <w:szCs w:val="28"/>
          <w:highlight w:val="none"/>
        </w:rPr>
        <w:t>7.7招标人将参照以下原则进行本项目中标人的替换：</w:t>
      </w:r>
    </w:p>
    <w:p>
      <w:pPr>
        <w:numPr>
          <w:ilvl w:val="0"/>
          <w:numId w:val="4"/>
        </w:numPr>
        <w:snapToGrid w:val="0"/>
        <w:spacing w:line="360" w:lineRule="auto"/>
        <w:ind w:left="0" w:firstLine="425"/>
        <w:rPr>
          <w:rFonts w:ascii="仿宋" w:hAnsi="仿宋" w:eastAsia="仿宋" w:cs="仿宋"/>
          <w:sz w:val="28"/>
          <w:szCs w:val="28"/>
          <w:highlight w:val="none"/>
        </w:rPr>
      </w:pPr>
      <w:r>
        <w:rPr>
          <w:rFonts w:hint="eastAsia" w:ascii="仿宋" w:hAnsi="仿宋" w:eastAsia="仿宋" w:cs="仿宋"/>
          <w:sz w:val="28"/>
          <w:szCs w:val="28"/>
          <w:highlight w:val="none"/>
        </w:rPr>
        <w:t>若中标人在实际工作中服务质量存在问题，未能表现出符合要求的</w:t>
      </w:r>
      <w:r>
        <w:rPr>
          <w:rFonts w:hint="eastAsia" w:ascii="仿宋" w:hAnsi="仿宋" w:eastAsia="仿宋" w:cs="仿宋"/>
          <w:sz w:val="28"/>
          <w:szCs w:val="28"/>
          <w:highlight w:val="none"/>
          <w:lang w:val="en-US" w:eastAsia="zh-CN"/>
        </w:rPr>
        <w:t>勘察</w:t>
      </w:r>
      <w:r>
        <w:rPr>
          <w:rFonts w:hint="eastAsia" w:ascii="仿宋" w:hAnsi="仿宋" w:eastAsia="仿宋" w:cs="仿宋"/>
          <w:sz w:val="28"/>
          <w:szCs w:val="28"/>
          <w:highlight w:val="none"/>
        </w:rPr>
        <w:t>水平，经招标人研究确定，可解除与中标人的合同关系，并按照中标候选人顺序依次选取新的中标人。</w:t>
      </w:r>
    </w:p>
    <w:p>
      <w:pPr>
        <w:numPr>
          <w:ilvl w:val="0"/>
          <w:numId w:val="4"/>
        </w:numPr>
        <w:snapToGrid w:val="0"/>
        <w:spacing w:line="360" w:lineRule="auto"/>
        <w:ind w:left="0" w:firstLine="425"/>
        <w:rPr>
          <w:rFonts w:ascii="仿宋" w:hAnsi="仿宋" w:eastAsia="仿宋" w:cs="仿宋"/>
          <w:sz w:val="28"/>
          <w:szCs w:val="28"/>
          <w:highlight w:val="none"/>
        </w:rPr>
      </w:pPr>
      <w:r>
        <w:rPr>
          <w:rFonts w:hint="eastAsia" w:ascii="仿宋" w:hAnsi="仿宋" w:eastAsia="仿宋" w:cs="仿宋"/>
          <w:sz w:val="28"/>
          <w:szCs w:val="28"/>
          <w:highlight w:val="none"/>
        </w:rPr>
        <w:t>当中标人以正式的书面函件形式申请放弃中标资格时，招标人可取消其中标人资格，解除与中标人的合同关系，并按照中标候选人顺序依次选取新的中标人。</w:t>
      </w:r>
    </w:p>
    <w:p>
      <w:pPr>
        <w:pStyle w:val="8"/>
        <w:rPr>
          <w:rFonts w:hint="default" w:ascii="仿宋" w:hAnsi="仿宋" w:eastAsia="仿宋" w:cs="仿宋"/>
          <w:sz w:val="28"/>
          <w:szCs w:val="28"/>
          <w:highlight w:val="none"/>
        </w:rPr>
      </w:pPr>
    </w:p>
    <w:p>
      <w:pPr>
        <w:pStyle w:val="8"/>
        <w:rPr>
          <w:rFonts w:hint="default" w:ascii="仿宋" w:hAnsi="仿宋" w:eastAsia="仿宋" w:cs="仿宋"/>
          <w:sz w:val="28"/>
          <w:szCs w:val="28"/>
          <w:highlight w:val="none"/>
        </w:rPr>
      </w:pPr>
    </w:p>
    <w:p>
      <w:pPr>
        <w:snapToGrid w:val="0"/>
        <w:spacing w:line="360" w:lineRule="auto"/>
        <w:rPr>
          <w:rFonts w:ascii="仿宋" w:hAnsi="仿宋" w:eastAsia="仿宋" w:cs="仿宋"/>
          <w:sz w:val="24"/>
          <w:highlight w:val="none"/>
        </w:rPr>
      </w:pPr>
    </w:p>
    <w:p>
      <w:pPr>
        <w:rPr>
          <w:rFonts w:ascii="黑体" w:hAnsi="宋体" w:cs="黑体"/>
          <w:b/>
          <w:kern w:val="44"/>
          <w:sz w:val="44"/>
          <w:szCs w:val="44"/>
          <w:highlight w:val="none"/>
        </w:rPr>
      </w:pPr>
      <w:bookmarkStart w:id="45" w:name="_Toc26593"/>
      <w:r>
        <w:rPr>
          <w:rFonts w:hint="eastAsia" w:ascii="黑体" w:hAnsi="宋体" w:cs="黑体"/>
          <w:b/>
          <w:kern w:val="44"/>
          <w:sz w:val="44"/>
          <w:szCs w:val="44"/>
          <w:highlight w:val="none"/>
        </w:rPr>
        <w:br w:type="page"/>
      </w:r>
    </w:p>
    <w:p>
      <w:pPr>
        <w:snapToGrid w:val="0"/>
        <w:spacing w:line="360" w:lineRule="auto"/>
        <w:ind w:firstLine="663" w:firstLineChars="150"/>
        <w:jc w:val="center"/>
        <w:rPr>
          <w:rFonts w:ascii="黑体" w:hAnsi="宋体" w:cs="黑体"/>
          <w:b/>
          <w:kern w:val="44"/>
          <w:sz w:val="44"/>
          <w:szCs w:val="44"/>
          <w:highlight w:val="none"/>
        </w:rPr>
      </w:pPr>
      <w:r>
        <w:rPr>
          <w:rFonts w:hint="eastAsia" w:ascii="黑体" w:hAnsi="宋体" w:cs="黑体"/>
          <w:b/>
          <w:kern w:val="44"/>
          <w:sz w:val="44"/>
          <w:szCs w:val="44"/>
          <w:highlight w:val="none"/>
        </w:rPr>
        <w:t>第5章 附件</w:t>
      </w:r>
      <w:bookmarkEnd w:id="45"/>
    </w:p>
    <w:p>
      <w:pPr>
        <w:pStyle w:val="19"/>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19"/>
        <w:widowControl/>
        <w:ind w:firstLine="562"/>
        <w:rPr>
          <w:rFonts w:hint="default" w:ascii="仿宋" w:hAnsi="仿宋" w:eastAsia="仿宋" w:cs="仿宋"/>
          <w:b/>
          <w:color w:val="auto"/>
          <w:sz w:val="28"/>
          <w:szCs w:val="28"/>
          <w:highlight w:val="none"/>
          <w:u w:val="single"/>
        </w:rPr>
      </w:pPr>
      <w:bookmarkStart w:id="46" w:name="OLE_LINK3"/>
      <w:bookmarkEnd w:id="46"/>
      <w:r>
        <w:rPr>
          <w:rFonts w:ascii="仿宋" w:hAnsi="仿宋" w:eastAsia="仿宋" w:cs="仿宋"/>
          <w:b/>
          <w:color w:val="auto"/>
          <w:sz w:val="28"/>
          <w:szCs w:val="28"/>
          <w:highlight w:val="none"/>
          <w:u w:val="single"/>
        </w:rPr>
        <w:t>附件2 综合评分表</w:t>
      </w:r>
    </w:p>
    <w:p>
      <w:pPr>
        <w:snapToGrid w:val="0"/>
        <w:spacing w:line="300" w:lineRule="auto"/>
        <w:outlineLvl w:val="0"/>
        <w:rPr>
          <w:rFonts w:ascii="仿宋" w:hAnsi="仿宋" w:eastAsia="仿宋" w:cs="仿宋"/>
          <w:sz w:val="28"/>
          <w:szCs w:val="28"/>
          <w:highlight w:val="none"/>
        </w:rPr>
      </w:pPr>
      <w:r>
        <w:rPr>
          <w:rFonts w:hint="eastAsia" w:ascii="仿宋" w:hAnsi="仿宋" w:eastAsia="仿宋" w:cs="Times New Roman"/>
          <w:sz w:val="28"/>
          <w:szCs w:val="28"/>
          <w:highlight w:val="none"/>
        </w:rPr>
        <w:br w:type="page"/>
      </w:r>
      <w:bookmarkStart w:id="47" w:name="_Toc12170"/>
      <w:r>
        <w:rPr>
          <w:rFonts w:hint="eastAsia" w:ascii="仿宋" w:hAnsi="仿宋" w:eastAsia="仿宋" w:cs="仿宋"/>
          <w:sz w:val="28"/>
          <w:szCs w:val="28"/>
          <w:highlight w:val="none"/>
        </w:rPr>
        <w:t>附件1：符合性审查表</w:t>
      </w:r>
      <w:bookmarkEnd w:id="47"/>
    </w:p>
    <w:p>
      <w:pPr>
        <w:jc w:val="center"/>
        <w:rPr>
          <w:rFonts w:ascii="仿宋" w:hAnsi="仿宋" w:eastAsia="仿宋" w:cs="仿宋"/>
          <w:b/>
          <w:bCs/>
          <w:sz w:val="36"/>
          <w:szCs w:val="36"/>
          <w:highlight w:val="none"/>
        </w:rPr>
      </w:pPr>
      <w:r>
        <w:rPr>
          <w:rFonts w:hint="eastAsia" w:ascii="仿宋" w:hAnsi="仿宋" w:eastAsia="仿宋" w:cs="仿宋"/>
          <w:b/>
          <w:bCs/>
          <w:sz w:val="36"/>
          <w:szCs w:val="36"/>
          <w:highlight w:val="none"/>
        </w:rPr>
        <w:t xml:space="preserve"> 符合性审查表</w:t>
      </w:r>
    </w:p>
    <w:tbl>
      <w:tblPr>
        <w:tblStyle w:val="14"/>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highlight w:val="none"/>
              </w:rPr>
            </w:pPr>
            <w:r>
              <w:rPr>
                <w:rFonts w:hint="eastAsia" w:ascii="仿宋" w:hAnsi="仿宋" w:eastAsia="仿宋" w:cs="仿宋"/>
                <w:b/>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highlight w:val="none"/>
              </w:rPr>
            </w:pPr>
            <w:r>
              <w:rPr>
                <w:rFonts w:hint="eastAsia" w:ascii="仿宋" w:hAnsi="仿宋" w:eastAsia="仿宋" w:cs="仿宋"/>
                <w:b/>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highlight w:val="none"/>
              </w:rPr>
            </w:pPr>
          </w:p>
          <w:p>
            <w:pPr>
              <w:spacing w:beforeLines="50" w:afterLines="50" w:line="240" w:lineRule="exact"/>
              <w:ind w:left="105" w:leftChars="50" w:right="105" w:rightChars="50"/>
              <w:rPr>
                <w:rFonts w:ascii="仿宋" w:hAnsi="仿宋" w:eastAsia="仿宋" w:cs="仿宋"/>
                <w:b/>
                <w:highlight w:val="none"/>
              </w:rPr>
            </w:pPr>
            <w:r>
              <w:rPr>
                <w:rFonts w:hint="eastAsia" w:ascii="仿宋" w:hAnsi="仿宋" w:eastAsia="仿宋" w:cs="仿宋"/>
                <w:b/>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highlight w:val="none"/>
              </w:rPr>
            </w:pPr>
            <w:r>
              <w:rPr>
                <w:rFonts w:hint="eastAsia" w:ascii="仿宋" w:hAnsi="仿宋" w:eastAsia="仿宋" w:cs="仿宋"/>
                <w:b/>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highlight w:val="none"/>
              </w:rPr>
            </w:pPr>
            <w:r>
              <w:rPr>
                <w:rFonts w:hint="eastAsia" w:ascii="仿宋" w:hAnsi="仿宋" w:eastAsia="仿宋" w:cs="仿宋"/>
                <w:b/>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highlight w:val="none"/>
              </w:rPr>
            </w:pPr>
            <w:r>
              <w:rPr>
                <w:rFonts w:hint="eastAsia" w:ascii="仿宋" w:hAnsi="仿宋" w:eastAsia="仿宋" w:cs="仿宋"/>
                <w:b/>
                <w:szCs w:val="21"/>
                <w:highlight w:val="none"/>
              </w:rPr>
              <w:t>投标人3</w:t>
            </w: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highlight w:val="none"/>
              </w:rPr>
            </w:pPr>
            <w:r>
              <w:rPr>
                <w:rFonts w:hint="eastAsia" w:ascii="仿宋" w:hAnsi="仿宋" w:eastAsia="仿宋" w:cs="仿宋"/>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ascii="仿宋" w:hAnsi="仿宋" w:eastAsia="仿宋" w:cs="仿宋"/>
                <w:highlight w:val="none"/>
              </w:rPr>
            </w:pPr>
            <w:r>
              <w:rPr>
                <w:rFonts w:hint="eastAsia" w:ascii="仿宋" w:hAnsi="仿宋" w:eastAsia="仿宋" w:cs="仿宋"/>
                <w:szCs w:val="21"/>
                <w:highlight w:val="none"/>
              </w:rPr>
              <w:t>投标函签名、并加盖公章有效，且内容与招标文件相同</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highlight w:val="none"/>
              </w:rPr>
            </w:pPr>
            <w:r>
              <w:rPr>
                <w:rFonts w:hint="eastAsia" w:ascii="仿宋" w:hAnsi="仿宋" w:eastAsia="仿宋" w:cs="仿宋"/>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highlight w:val="none"/>
              </w:rPr>
            </w:pPr>
            <w:r>
              <w:rPr>
                <w:rFonts w:hint="eastAsia" w:ascii="仿宋" w:hAnsi="仿宋" w:eastAsia="仿宋" w:cs="仿宋"/>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highlight w:val="none"/>
              </w:rPr>
            </w:pPr>
          </w:p>
        </w:tc>
      </w:tr>
      <w:tr>
        <w:tblPrEx>
          <w:tblCellMar>
            <w:top w:w="0" w:type="dxa"/>
            <w:left w:w="108" w:type="dxa"/>
            <w:bottom w:w="0" w:type="dxa"/>
            <w:right w:w="108" w:type="dxa"/>
          </w:tblCellMar>
        </w:tblPrEx>
        <w:trPr>
          <w:trHeight w:val="70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highlight w:val="none"/>
              </w:rPr>
            </w:pPr>
            <w:r>
              <w:rPr>
                <w:rFonts w:hint="eastAsia" w:ascii="仿宋" w:hAnsi="仿宋" w:eastAsia="仿宋" w:cs="仿宋"/>
                <w:szCs w:val="21"/>
                <w:highlight w:val="none"/>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highlight w:val="none"/>
              </w:rPr>
            </w:pPr>
            <w:r>
              <w:rPr>
                <w:rFonts w:hint="eastAsia" w:ascii="仿宋" w:hAnsi="仿宋" w:eastAsia="仿宋" w:cs="仿宋"/>
                <w:szCs w:val="21"/>
                <w:highlight w:val="none"/>
              </w:rPr>
              <w:t>投标文件封面加盖投标人的法定印章并经投标人代表签字（或盖签章）</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highlight w:val="none"/>
              </w:rPr>
            </w:pPr>
            <w:r>
              <w:rPr>
                <w:rFonts w:hint="eastAsia" w:ascii="仿宋" w:hAnsi="仿宋" w:eastAsia="仿宋" w:cs="仿宋"/>
                <w:szCs w:val="21"/>
                <w:highlight w:val="none"/>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highlight w:val="none"/>
              </w:rPr>
            </w:pPr>
            <w:r>
              <w:rPr>
                <w:rFonts w:hint="eastAsia" w:ascii="仿宋" w:hAnsi="仿宋" w:eastAsia="仿宋" w:cs="仿宋"/>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highlight w:val="none"/>
              </w:rPr>
            </w:pPr>
            <w:r>
              <w:rPr>
                <w:rFonts w:hint="eastAsia" w:ascii="仿宋" w:hAnsi="仿宋" w:eastAsia="仿宋" w:cs="仿宋"/>
                <w:szCs w:val="21"/>
                <w:highlight w:val="none"/>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highlight w:val="none"/>
              </w:rPr>
            </w:pPr>
            <w:r>
              <w:rPr>
                <w:rFonts w:hint="eastAsia" w:ascii="仿宋" w:hAnsi="仿宋" w:eastAsia="仿宋" w:cs="仿宋"/>
                <w:szCs w:val="21"/>
                <w:highlight w:val="none"/>
              </w:rPr>
              <w:t>项目负责人资质符合要求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highlight w:val="none"/>
              </w:rPr>
            </w:pPr>
            <w:r>
              <w:rPr>
                <w:rFonts w:hint="eastAsia" w:ascii="仿宋" w:hAnsi="仿宋" w:eastAsia="仿宋" w:cs="仿宋"/>
                <w:szCs w:val="21"/>
                <w:highlight w:val="none"/>
              </w:rPr>
              <w:t>6</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highlight w:val="none"/>
              </w:rPr>
            </w:pPr>
            <w:r>
              <w:rPr>
                <w:rFonts w:hint="eastAsia" w:ascii="仿宋" w:hAnsi="仿宋" w:eastAsia="仿宋" w:cs="仿宋"/>
                <w:szCs w:val="21"/>
                <w:highlight w:val="none"/>
              </w:rPr>
              <w:t>投标总报价及各分项报价均不超过限价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ascii="仿宋" w:hAnsi="仿宋" w:eastAsia="仿宋" w:cs="仿宋"/>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highlight w:val="none"/>
              </w:rPr>
            </w:pPr>
            <w:r>
              <w:rPr>
                <w:rFonts w:hint="eastAsia" w:ascii="仿宋" w:hAnsi="仿宋" w:eastAsia="仿宋" w:cs="仿宋"/>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highlight w:val="none"/>
              </w:rPr>
            </w:pPr>
          </w:p>
        </w:tc>
      </w:tr>
    </w:tbl>
    <w:p>
      <w:pPr>
        <w:snapToGrid w:val="0"/>
        <w:spacing w:line="300" w:lineRule="auto"/>
        <w:jc w:val="left"/>
        <w:rPr>
          <w:rFonts w:ascii="仿宋" w:hAnsi="仿宋" w:eastAsia="仿宋" w:cs="Courier New"/>
          <w:sz w:val="24"/>
          <w:highlight w:val="none"/>
        </w:rPr>
      </w:pPr>
      <w:r>
        <w:rPr>
          <w:rFonts w:hint="eastAsia" w:ascii="仿宋" w:hAnsi="仿宋" w:eastAsia="仿宋" w:cs="Courier New"/>
          <w:sz w:val="24"/>
          <w:highlight w:val="none"/>
        </w:rPr>
        <w:t>注：</w:t>
      </w:r>
    </w:p>
    <w:p>
      <w:pPr>
        <w:snapToGrid w:val="0"/>
        <w:ind w:left="74"/>
        <w:rPr>
          <w:rFonts w:ascii="仿宋" w:hAnsi="仿宋" w:eastAsia="仿宋" w:cs="Courier New"/>
          <w:sz w:val="24"/>
          <w:highlight w:val="none"/>
        </w:rPr>
      </w:pPr>
      <w:r>
        <w:rPr>
          <w:rFonts w:hint="eastAsia" w:ascii="仿宋" w:hAnsi="仿宋" w:eastAsia="仿宋" w:cs="Courier New"/>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sz w:val="28"/>
          <w:szCs w:val="28"/>
          <w:highlight w:val="none"/>
        </w:rPr>
      </w:pPr>
      <w:r>
        <w:rPr>
          <w:rFonts w:hint="eastAsia" w:ascii="仿宋" w:hAnsi="仿宋" w:eastAsia="仿宋" w:cs="Courier New"/>
          <w:sz w:val="24"/>
          <w:highlight w:val="none"/>
        </w:rPr>
        <w:t>2.如对本表中某种情形的评审意见不一致时，以专家组过半数成员的意见作为专家组对该情形的认定结论。</w:t>
      </w:r>
    </w:p>
    <w:p>
      <w:pPr>
        <w:snapToGrid w:val="0"/>
        <w:ind w:left="74"/>
        <w:rPr>
          <w:rFonts w:ascii="仿宋" w:hAnsi="仿宋" w:eastAsia="仿宋" w:cs="Courier New"/>
          <w:sz w:val="28"/>
          <w:szCs w:val="28"/>
          <w:highlight w:val="none"/>
        </w:rPr>
      </w:pPr>
      <w:r>
        <w:rPr>
          <w:rFonts w:hint="eastAsia" w:ascii="仿宋" w:hAnsi="仿宋" w:eastAsia="仿宋" w:cs="Courier New"/>
          <w:sz w:val="28"/>
          <w:szCs w:val="28"/>
          <w:highlight w:val="none"/>
        </w:rPr>
        <w:t>评标专家签名：                     日期：</w:t>
      </w:r>
    </w:p>
    <w:p>
      <w:pPr>
        <w:snapToGrid w:val="0"/>
        <w:ind w:left="74"/>
        <w:rPr>
          <w:rFonts w:ascii="仿宋" w:hAnsi="仿宋" w:eastAsia="仿宋" w:cs="Courier New"/>
          <w:sz w:val="28"/>
          <w:szCs w:val="28"/>
          <w:highlight w:val="none"/>
        </w:rPr>
      </w:pPr>
    </w:p>
    <w:p>
      <w:pPr>
        <w:snapToGrid w:val="0"/>
        <w:ind w:left="74"/>
        <w:outlineLvl w:val="0"/>
        <w:rPr>
          <w:rFonts w:ascii="仿宋" w:hAnsi="仿宋" w:eastAsia="仿宋" w:cs="仿宋"/>
          <w:b/>
          <w:sz w:val="24"/>
          <w:highlight w:val="none"/>
        </w:rPr>
        <w:sectPr>
          <w:footerReference r:id="rId4" w:type="default"/>
          <w:pgSz w:w="12240" w:h="15840"/>
          <w:pgMar w:top="1440" w:right="1797" w:bottom="1440" w:left="1797" w:header="720" w:footer="720" w:gutter="0"/>
          <w:cols w:space="425" w:num="1"/>
          <w:docGrid w:linePitch="312" w:charSpace="0"/>
        </w:sectPr>
      </w:pPr>
      <w:bookmarkStart w:id="48" w:name="_Toc18783"/>
    </w:p>
    <w:bookmarkEnd w:id="48"/>
    <w:p>
      <w:pPr>
        <w:snapToGrid w:val="0"/>
        <w:ind w:left="74"/>
        <w:outlineLvl w:val="0"/>
        <w:rPr>
          <w:rFonts w:ascii="仿宋" w:hAnsi="仿宋" w:eastAsia="仿宋" w:cs="仿宋"/>
          <w:sz w:val="24"/>
          <w:highlight w:val="none"/>
        </w:rPr>
      </w:pPr>
      <w:r>
        <w:rPr>
          <w:rFonts w:hint="eastAsia" w:ascii="仿宋" w:hAnsi="仿宋" w:eastAsia="仿宋" w:cs="仿宋"/>
          <w:b/>
          <w:sz w:val="24"/>
          <w:highlight w:val="none"/>
        </w:rPr>
        <w:t>附件2综合评分表</w:t>
      </w:r>
      <w:r>
        <w:rPr>
          <w:rFonts w:hint="eastAsia" w:ascii="仿宋" w:hAnsi="仿宋" w:eastAsia="仿宋" w:cs="仿宋"/>
          <w:sz w:val="24"/>
          <w:highlight w:val="none"/>
        </w:rPr>
        <w:t>（100分）</w:t>
      </w:r>
    </w:p>
    <w:tbl>
      <w:tblPr>
        <w:tblStyle w:val="14"/>
        <w:tblW w:w="13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06"/>
        <w:gridCol w:w="709"/>
        <w:gridCol w:w="9797"/>
        <w:gridCol w:w="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43" w:type="dxa"/>
            <w:shd w:val="clear" w:color="auto" w:fill="auto"/>
            <w:vAlign w:val="center"/>
          </w:tcPr>
          <w:p>
            <w:pPr>
              <w:snapToGrid w:val="0"/>
              <w:ind w:left="-2" w:leftChars="-1"/>
              <w:jc w:val="center"/>
              <w:rPr>
                <w:rFonts w:ascii="新宋体" w:hAnsi="新宋体" w:eastAsia="新宋体" w:cs="新宋体"/>
                <w:szCs w:val="21"/>
                <w:highlight w:val="none"/>
              </w:rPr>
            </w:pPr>
            <w:r>
              <w:rPr>
                <w:rFonts w:hint="eastAsia" w:ascii="新宋体" w:hAnsi="新宋体" w:eastAsia="新宋体" w:cs="新宋体"/>
                <w:szCs w:val="21"/>
                <w:highlight w:val="none"/>
              </w:rPr>
              <w:t>序号</w:t>
            </w:r>
          </w:p>
        </w:tc>
        <w:tc>
          <w:tcPr>
            <w:tcW w:w="1406" w:type="dxa"/>
            <w:shd w:val="clear" w:color="auto" w:fill="auto"/>
            <w:vAlign w:val="center"/>
          </w:tcPr>
          <w:p>
            <w:pPr>
              <w:snapToGrid w:val="0"/>
              <w:ind w:left="-2" w:leftChars="-1"/>
              <w:jc w:val="center"/>
              <w:rPr>
                <w:rFonts w:ascii="新宋体" w:hAnsi="新宋体" w:eastAsia="新宋体" w:cs="新宋体"/>
                <w:szCs w:val="21"/>
                <w:highlight w:val="none"/>
              </w:rPr>
            </w:pPr>
            <w:r>
              <w:rPr>
                <w:rFonts w:hint="eastAsia" w:ascii="新宋体" w:hAnsi="新宋体" w:eastAsia="新宋体" w:cs="新宋体"/>
                <w:szCs w:val="21"/>
                <w:highlight w:val="none"/>
              </w:rPr>
              <w:t>类别</w:t>
            </w:r>
          </w:p>
        </w:tc>
        <w:tc>
          <w:tcPr>
            <w:tcW w:w="709" w:type="dxa"/>
            <w:shd w:val="clear" w:color="auto" w:fill="auto"/>
            <w:vAlign w:val="center"/>
          </w:tcPr>
          <w:p>
            <w:pPr>
              <w:snapToGrid w:val="0"/>
              <w:ind w:left="-2" w:leftChars="-1"/>
              <w:jc w:val="center"/>
              <w:rPr>
                <w:rFonts w:ascii="新宋体" w:hAnsi="新宋体" w:eastAsia="新宋体" w:cs="新宋体"/>
                <w:szCs w:val="21"/>
                <w:highlight w:val="none"/>
              </w:rPr>
            </w:pPr>
            <w:r>
              <w:rPr>
                <w:rFonts w:hint="eastAsia" w:ascii="新宋体" w:hAnsi="新宋体" w:eastAsia="新宋体" w:cs="新宋体"/>
                <w:szCs w:val="21"/>
                <w:highlight w:val="none"/>
              </w:rPr>
              <w:t>分项</w:t>
            </w:r>
          </w:p>
          <w:p>
            <w:pPr>
              <w:snapToGrid w:val="0"/>
              <w:ind w:left="-2" w:leftChars="-1"/>
              <w:jc w:val="center"/>
              <w:rPr>
                <w:rFonts w:ascii="新宋体" w:hAnsi="新宋体" w:eastAsia="新宋体" w:cs="新宋体"/>
                <w:szCs w:val="21"/>
                <w:highlight w:val="none"/>
              </w:rPr>
            </w:pPr>
            <w:r>
              <w:rPr>
                <w:rFonts w:hint="eastAsia" w:ascii="新宋体" w:hAnsi="新宋体" w:eastAsia="新宋体" w:cs="新宋体"/>
                <w:szCs w:val="21"/>
                <w:highlight w:val="none"/>
              </w:rPr>
              <w:t>分值</w:t>
            </w:r>
          </w:p>
        </w:tc>
        <w:tc>
          <w:tcPr>
            <w:tcW w:w="9797" w:type="dxa"/>
            <w:shd w:val="clear" w:color="auto" w:fill="auto"/>
            <w:vAlign w:val="center"/>
          </w:tcPr>
          <w:p>
            <w:pPr>
              <w:snapToGrid w:val="0"/>
              <w:jc w:val="center"/>
              <w:rPr>
                <w:rFonts w:ascii="新宋体" w:hAnsi="新宋体" w:eastAsia="新宋体" w:cs="新宋体"/>
                <w:szCs w:val="21"/>
                <w:highlight w:val="none"/>
              </w:rPr>
            </w:pPr>
            <w:r>
              <w:rPr>
                <w:rFonts w:hint="eastAsia" w:ascii="新宋体" w:hAnsi="新宋体" w:eastAsia="新宋体" w:cs="新宋体"/>
                <w:szCs w:val="21"/>
                <w:highlight w:val="none"/>
              </w:rPr>
              <w:t>评 分 说 明</w:t>
            </w:r>
          </w:p>
        </w:tc>
        <w:tc>
          <w:tcPr>
            <w:tcW w:w="686" w:type="dxa"/>
            <w:shd w:val="clear" w:color="auto" w:fill="auto"/>
            <w:vAlign w:val="center"/>
          </w:tcPr>
          <w:p>
            <w:pPr>
              <w:snapToGrid w:val="0"/>
              <w:ind w:left="-2" w:leftChars="-1"/>
              <w:jc w:val="center"/>
              <w:rPr>
                <w:rFonts w:ascii="新宋体" w:hAnsi="新宋体" w:eastAsia="新宋体" w:cs="新宋体"/>
                <w:szCs w:val="21"/>
                <w:highlight w:val="none"/>
              </w:rPr>
            </w:pPr>
            <w:r>
              <w:rPr>
                <w:rFonts w:hint="eastAsia" w:ascii="新宋体" w:hAnsi="新宋体" w:eastAsia="新宋体" w:cs="新宋体"/>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restart"/>
            <w:shd w:val="clear" w:color="auto" w:fill="auto"/>
            <w:vAlign w:val="center"/>
          </w:tcPr>
          <w:p>
            <w:pPr>
              <w:snapToGrid w:val="0"/>
              <w:ind w:left="-2" w:leftChars="-1"/>
              <w:jc w:val="center"/>
              <w:rPr>
                <w:rFonts w:hint="eastAsia" w:ascii="新宋体" w:hAnsi="新宋体" w:eastAsia="新宋体" w:cs="新宋体"/>
                <w:szCs w:val="21"/>
                <w:highlight w:val="none"/>
                <w:lang w:val="en-US" w:eastAsia="zh-CN"/>
              </w:rPr>
            </w:pPr>
            <w:r>
              <w:rPr>
                <w:rFonts w:hint="eastAsia" w:ascii="新宋体" w:hAnsi="新宋体" w:eastAsia="新宋体" w:cs="新宋体"/>
                <w:szCs w:val="21"/>
                <w:highlight w:val="none"/>
                <w:lang w:val="en-US" w:eastAsia="zh-CN"/>
              </w:rPr>
              <w:t>商务部分</w:t>
            </w:r>
          </w:p>
        </w:tc>
        <w:tc>
          <w:tcPr>
            <w:tcW w:w="1406" w:type="dxa"/>
            <w:shd w:val="clear" w:color="auto" w:fill="auto"/>
            <w:vAlign w:val="center"/>
          </w:tcPr>
          <w:p>
            <w:pPr>
              <w:snapToGrid w:val="0"/>
              <w:ind w:left="-2" w:leftChars="-1"/>
              <w:jc w:val="center"/>
              <w:rPr>
                <w:rFonts w:ascii="宋体" w:hAnsi="宋体"/>
                <w:highlight w:val="none"/>
              </w:rPr>
            </w:pPr>
            <w:r>
              <w:rPr>
                <w:rFonts w:hint="eastAsia" w:ascii="新宋体" w:hAnsi="新宋体" w:eastAsia="新宋体" w:cs="新宋体"/>
                <w:szCs w:val="21"/>
                <w:highlight w:val="none"/>
              </w:rPr>
              <w:t>企业资质</w:t>
            </w:r>
          </w:p>
        </w:tc>
        <w:tc>
          <w:tcPr>
            <w:tcW w:w="709" w:type="dxa"/>
            <w:shd w:val="clear" w:color="auto" w:fill="auto"/>
            <w:vAlign w:val="center"/>
          </w:tcPr>
          <w:p>
            <w:pPr>
              <w:spacing w:line="220" w:lineRule="exact"/>
              <w:ind w:left="-2" w:leftChars="-1"/>
              <w:jc w:val="center"/>
              <w:rPr>
                <w:rFonts w:hint="eastAsia" w:ascii="宋体" w:hAnsi="宋体" w:cs="宋体"/>
                <w:position w:val="8"/>
                <w:highlight w:val="none"/>
                <w:lang w:val="en-US" w:eastAsia="zh-CN"/>
              </w:rPr>
            </w:pPr>
            <w:r>
              <w:rPr>
                <w:rFonts w:hint="eastAsia" w:ascii="新宋体" w:hAnsi="新宋体" w:eastAsia="新宋体" w:cs="新宋体"/>
                <w:szCs w:val="21"/>
                <w:highlight w:val="none"/>
                <w:lang w:val="en-US" w:eastAsia="zh-CN"/>
              </w:rPr>
              <w:t>10</w:t>
            </w:r>
          </w:p>
        </w:tc>
        <w:tc>
          <w:tcPr>
            <w:tcW w:w="9797" w:type="dxa"/>
            <w:shd w:val="clear" w:color="auto" w:fill="auto"/>
            <w:vAlign w:val="center"/>
          </w:tcPr>
          <w:p>
            <w:pPr>
              <w:rPr>
                <w:rFonts w:hint="eastAsia" w:ascii="宋体" w:hAnsi="宋体"/>
                <w:highlight w:val="none"/>
              </w:rPr>
            </w:pPr>
            <w:r>
              <w:rPr>
                <w:rFonts w:hint="eastAsia"/>
                <w:highlight w:val="none"/>
                <w:lang w:val="en-US" w:eastAsia="zh-CN"/>
              </w:rPr>
              <w:t>投标人具备工程勘察综合资甲级证书或以上的，得10分；投标人具备工程勘察专业甲级证书，得6分；投标人具备工程勘察专业乙级证书，得4分。</w:t>
            </w:r>
          </w:p>
        </w:tc>
        <w:tc>
          <w:tcPr>
            <w:tcW w:w="686" w:type="dxa"/>
            <w:shd w:val="clear" w:color="auto" w:fill="auto"/>
            <w:vAlign w:val="center"/>
          </w:tcPr>
          <w:p>
            <w:pPr>
              <w:spacing w:line="360" w:lineRule="exact"/>
              <w:rPr>
                <w:rFonts w:ascii="仿宋" w:hAnsi="仿宋" w:eastAsia="仿宋"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snapToGrid w:val="0"/>
              <w:ind w:left="-2" w:leftChars="-1"/>
              <w:jc w:val="center"/>
              <w:rPr>
                <w:rFonts w:hint="eastAsia" w:ascii="新宋体" w:hAnsi="新宋体" w:eastAsia="新宋体" w:cs="新宋体"/>
                <w:szCs w:val="21"/>
                <w:highlight w:val="none"/>
              </w:rPr>
            </w:pPr>
          </w:p>
        </w:tc>
        <w:tc>
          <w:tcPr>
            <w:tcW w:w="1406" w:type="dxa"/>
            <w:shd w:val="clear" w:color="auto" w:fill="auto"/>
            <w:vAlign w:val="center"/>
          </w:tcPr>
          <w:p>
            <w:pPr>
              <w:snapToGrid w:val="0"/>
              <w:ind w:left="-2" w:leftChars="-1"/>
              <w:jc w:val="center"/>
              <w:rPr>
                <w:rFonts w:ascii="宋体" w:hAnsi="宋体"/>
                <w:highlight w:val="none"/>
              </w:rPr>
            </w:pPr>
            <w:r>
              <w:rPr>
                <w:rFonts w:hint="eastAsia" w:ascii="新宋体" w:hAnsi="新宋体" w:eastAsia="新宋体" w:cs="新宋体"/>
                <w:szCs w:val="21"/>
                <w:highlight w:val="none"/>
              </w:rPr>
              <w:t>人员配备及技术水平</w:t>
            </w:r>
          </w:p>
        </w:tc>
        <w:tc>
          <w:tcPr>
            <w:tcW w:w="709" w:type="dxa"/>
            <w:shd w:val="clear" w:color="auto" w:fill="auto"/>
            <w:vAlign w:val="center"/>
          </w:tcPr>
          <w:p>
            <w:pPr>
              <w:spacing w:line="220" w:lineRule="exact"/>
              <w:ind w:left="-2" w:leftChars="-1"/>
              <w:jc w:val="center"/>
              <w:rPr>
                <w:rFonts w:hint="eastAsia" w:ascii="宋体" w:hAnsi="宋体" w:cs="宋体"/>
                <w:position w:val="8"/>
                <w:highlight w:val="none"/>
                <w:lang w:val="en-US" w:eastAsia="zh-CN"/>
              </w:rPr>
            </w:pPr>
            <w:r>
              <w:rPr>
                <w:rFonts w:hint="eastAsia" w:ascii="新宋体" w:hAnsi="新宋体" w:eastAsia="新宋体" w:cs="新宋体"/>
                <w:szCs w:val="21"/>
                <w:highlight w:val="none"/>
              </w:rPr>
              <w:t>10</w:t>
            </w:r>
          </w:p>
        </w:tc>
        <w:tc>
          <w:tcPr>
            <w:tcW w:w="9797" w:type="dxa"/>
            <w:shd w:val="clear" w:color="auto" w:fill="auto"/>
            <w:vAlign w:val="center"/>
          </w:tcPr>
          <w:p>
            <w:pPr>
              <w:ind w:right="31" w:rightChars="15"/>
              <w:rPr>
                <w:rFonts w:ascii="宋体" w:hAnsi="宋体"/>
                <w:szCs w:val="21"/>
                <w:highlight w:val="none"/>
              </w:rPr>
            </w:pPr>
            <w:r>
              <w:rPr>
                <w:rFonts w:hint="eastAsia" w:ascii="宋体" w:hAnsi="宋体" w:cs="楷体_GB2312"/>
                <w:szCs w:val="21"/>
                <w:highlight w:val="none"/>
              </w:rPr>
              <w:t>（1）项目负责人同时具备高级工程师和注册土木工程师执业资格证书的得</w:t>
            </w:r>
            <w:r>
              <w:rPr>
                <w:rFonts w:hint="eastAsia" w:ascii="宋体" w:hAnsi="宋体" w:cs="楷体_GB2312"/>
                <w:szCs w:val="21"/>
                <w:highlight w:val="none"/>
                <w:lang w:val="en-US" w:eastAsia="zh-CN"/>
              </w:rPr>
              <w:t>6</w:t>
            </w:r>
            <w:r>
              <w:rPr>
                <w:rFonts w:hint="eastAsia" w:ascii="宋体" w:hAnsi="宋体" w:cs="楷体_GB2312"/>
                <w:szCs w:val="21"/>
                <w:highlight w:val="none"/>
              </w:rPr>
              <w:t>分，只具有注册土木工程师（岩土）执业资格证一项的得</w:t>
            </w:r>
            <w:r>
              <w:rPr>
                <w:rFonts w:hint="eastAsia" w:ascii="宋体" w:hAnsi="宋体" w:cs="楷体_GB2312"/>
                <w:szCs w:val="21"/>
                <w:highlight w:val="none"/>
                <w:lang w:val="en-US" w:eastAsia="zh-CN"/>
              </w:rPr>
              <w:t>3</w:t>
            </w:r>
            <w:r>
              <w:rPr>
                <w:rFonts w:hint="eastAsia" w:ascii="宋体" w:hAnsi="宋体" w:cs="楷体_GB2312"/>
                <w:szCs w:val="21"/>
                <w:highlight w:val="none"/>
              </w:rPr>
              <w:t>分</w:t>
            </w:r>
            <w:r>
              <w:rPr>
                <w:rFonts w:hint="eastAsia" w:ascii="宋体" w:hAnsi="宋体"/>
                <w:szCs w:val="21"/>
                <w:highlight w:val="none"/>
              </w:rPr>
              <w:t>；</w:t>
            </w:r>
          </w:p>
          <w:p>
            <w:pPr>
              <w:ind w:right="31" w:rightChars="15"/>
              <w:rPr>
                <w:rFonts w:ascii="宋体" w:hAnsi="宋体" w:cs="楷体_GB2312"/>
                <w:szCs w:val="21"/>
                <w:highlight w:val="none"/>
              </w:rPr>
            </w:pPr>
            <w:r>
              <w:rPr>
                <w:rFonts w:hint="eastAsia" w:ascii="宋体" w:hAnsi="宋体" w:cs="楷体_GB2312"/>
                <w:szCs w:val="21"/>
                <w:highlight w:val="none"/>
              </w:rPr>
              <w:t>（</w:t>
            </w:r>
            <w:r>
              <w:rPr>
                <w:rFonts w:hint="eastAsia" w:ascii="宋体" w:hAnsi="宋体" w:cs="楷体_GB2312"/>
                <w:szCs w:val="21"/>
                <w:highlight w:val="none"/>
                <w:lang w:val="en-US" w:eastAsia="zh-CN"/>
              </w:rPr>
              <w:t>2</w:t>
            </w:r>
            <w:r>
              <w:rPr>
                <w:rFonts w:hint="eastAsia" w:ascii="宋体" w:hAnsi="宋体" w:cs="楷体_GB2312"/>
                <w:szCs w:val="21"/>
                <w:highlight w:val="none"/>
              </w:rPr>
              <w:t>）</w:t>
            </w:r>
            <w:r>
              <w:rPr>
                <w:rFonts w:hint="eastAsia" w:ascii="宋体" w:hAnsi="宋体" w:cs="楷体_GB2312"/>
                <w:szCs w:val="21"/>
                <w:highlight w:val="none"/>
                <w:lang w:val="en-US" w:eastAsia="zh-CN"/>
              </w:rPr>
              <w:t>项目技术负责人</w:t>
            </w:r>
            <w:r>
              <w:rPr>
                <w:rFonts w:hint="eastAsia" w:ascii="宋体" w:hAnsi="宋体" w:cs="楷体_GB2312"/>
                <w:szCs w:val="21"/>
                <w:highlight w:val="none"/>
              </w:rPr>
              <w:t>同时具备高级工程师和注册土木工程师（岩土）证书的得</w:t>
            </w:r>
            <w:r>
              <w:rPr>
                <w:rFonts w:hint="eastAsia" w:ascii="宋体" w:hAnsi="宋体" w:cs="楷体_GB2312"/>
                <w:szCs w:val="21"/>
                <w:highlight w:val="none"/>
                <w:lang w:val="en-US" w:eastAsia="zh-CN"/>
              </w:rPr>
              <w:t>4</w:t>
            </w:r>
            <w:r>
              <w:rPr>
                <w:rFonts w:hint="eastAsia" w:ascii="宋体" w:hAnsi="宋体" w:cs="楷体_GB2312"/>
                <w:szCs w:val="21"/>
                <w:highlight w:val="none"/>
              </w:rPr>
              <w:t>分，只具有高级工程师或注册土木工程师（岩土）执业资格证一项的得</w:t>
            </w:r>
            <w:r>
              <w:rPr>
                <w:rFonts w:hint="eastAsia" w:ascii="宋体" w:hAnsi="宋体" w:cs="楷体_GB2312"/>
                <w:szCs w:val="21"/>
                <w:highlight w:val="none"/>
                <w:lang w:val="en-US" w:eastAsia="zh-CN"/>
              </w:rPr>
              <w:t>2</w:t>
            </w:r>
            <w:r>
              <w:rPr>
                <w:rFonts w:hint="eastAsia" w:ascii="宋体" w:hAnsi="宋体" w:cs="楷体_GB2312"/>
                <w:szCs w:val="21"/>
                <w:highlight w:val="none"/>
              </w:rPr>
              <w:t>分；</w:t>
            </w:r>
          </w:p>
          <w:p>
            <w:pPr>
              <w:ind w:right="31" w:rightChars="15"/>
              <w:rPr>
                <w:highlight w:val="none"/>
              </w:rPr>
            </w:pPr>
            <w:r>
              <w:rPr>
                <w:rFonts w:hint="eastAsia" w:ascii="宋体" w:hAnsi="宋体" w:cs="楷体_GB2312"/>
                <w:szCs w:val="21"/>
                <w:highlight w:val="none"/>
              </w:rPr>
              <w:t>共计10分。</w:t>
            </w:r>
          </w:p>
          <w:p>
            <w:pPr>
              <w:rPr>
                <w:rFonts w:hint="eastAsia" w:ascii="宋体" w:hAnsi="宋体"/>
                <w:highlight w:val="none"/>
              </w:rPr>
            </w:pPr>
            <w:r>
              <w:rPr>
                <w:rFonts w:hint="eastAsia" w:ascii="宋体" w:hAnsi="宋体" w:cs="宋体"/>
                <w:highlight w:val="none"/>
              </w:rPr>
              <w:t>注：投标文件中提供证书复印件及近期（</w:t>
            </w:r>
            <w:r>
              <w:rPr>
                <w:rFonts w:hint="eastAsia" w:ascii="宋体" w:hAnsi="宋体"/>
                <w:bCs/>
                <w:highlight w:val="none"/>
              </w:rPr>
              <w:t>1个月</w:t>
            </w:r>
            <w:r>
              <w:rPr>
                <w:rFonts w:hint="eastAsia" w:ascii="宋体" w:hAnsi="宋体" w:cs="宋体"/>
                <w:highlight w:val="none"/>
              </w:rPr>
              <w:t>）的社保证明等材料并加盖供应商公章，未提供不得分。</w:t>
            </w:r>
          </w:p>
        </w:tc>
        <w:tc>
          <w:tcPr>
            <w:tcW w:w="686" w:type="dxa"/>
            <w:shd w:val="clear" w:color="auto" w:fill="auto"/>
            <w:vAlign w:val="center"/>
          </w:tcPr>
          <w:p>
            <w:pPr>
              <w:spacing w:line="360" w:lineRule="exact"/>
              <w:rPr>
                <w:rFonts w:ascii="仿宋" w:hAnsi="仿宋" w:eastAsia="仿宋"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restart"/>
            <w:shd w:val="clear" w:color="auto" w:fill="auto"/>
            <w:vAlign w:val="center"/>
          </w:tcPr>
          <w:p>
            <w:pPr>
              <w:snapToGrid w:val="0"/>
              <w:ind w:left="-2" w:leftChars="-1"/>
              <w:jc w:val="center"/>
              <w:rPr>
                <w:rFonts w:ascii="新宋体" w:hAnsi="新宋体" w:eastAsia="新宋体" w:cs="新宋体"/>
                <w:szCs w:val="21"/>
                <w:highlight w:val="none"/>
              </w:rPr>
            </w:pPr>
            <w:r>
              <w:rPr>
                <w:rFonts w:hint="eastAsia" w:ascii="新宋体" w:hAnsi="新宋体" w:eastAsia="新宋体" w:cs="新宋体"/>
                <w:szCs w:val="21"/>
                <w:highlight w:val="none"/>
              </w:rPr>
              <w:t>技术部分</w:t>
            </w:r>
          </w:p>
        </w:tc>
        <w:tc>
          <w:tcPr>
            <w:tcW w:w="1406" w:type="dxa"/>
            <w:shd w:val="clear" w:color="auto" w:fill="auto"/>
            <w:vAlign w:val="center"/>
          </w:tcPr>
          <w:p>
            <w:pPr>
              <w:ind w:left="42" w:leftChars="20" w:right="42" w:rightChars="20"/>
              <w:jc w:val="center"/>
              <w:rPr>
                <w:rFonts w:ascii="宋体" w:hAnsi="宋体"/>
                <w:highlight w:val="none"/>
              </w:rPr>
            </w:pPr>
            <w:r>
              <w:rPr>
                <w:rFonts w:ascii="宋体" w:hAnsi="宋体"/>
                <w:highlight w:val="none"/>
              </w:rPr>
              <w:t>对项目的了解和理解</w:t>
            </w:r>
          </w:p>
        </w:tc>
        <w:tc>
          <w:tcPr>
            <w:tcW w:w="709" w:type="dxa"/>
            <w:shd w:val="clear" w:color="auto" w:fill="auto"/>
            <w:vAlign w:val="center"/>
          </w:tcPr>
          <w:p>
            <w:pPr>
              <w:jc w:val="center"/>
              <w:rPr>
                <w:rFonts w:hint="default" w:ascii="宋体" w:hAnsi="宋体" w:cs="宋体" w:eastAsiaTheme="minorEastAsia"/>
                <w:position w:val="8"/>
                <w:highlight w:val="none"/>
                <w:lang w:val="en-US" w:eastAsia="zh-CN"/>
              </w:rPr>
            </w:pPr>
            <w:r>
              <w:rPr>
                <w:rFonts w:hint="eastAsia" w:ascii="宋体" w:hAnsi="宋体" w:cs="宋体"/>
                <w:position w:val="8"/>
                <w:highlight w:val="none"/>
                <w:lang w:val="en-US" w:eastAsia="zh-CN"/>
              </w:rPr>
              <w:t>10</w:t>
            </w:r>
          </w:p>
        </w:tc>
        <w:tc>
          <w:tcPr>
            <w:tcW w:w="9797" w:type="dxa"/>
            <w:shd w:val="clear" w:color="auto" w:fill="auto"/>
            <w:vAlign w:val="center"/>
          </w:tcPr>
          <w:p>
            <w:pPr>
              <w:adjustRightInd w:val="0"/>
              <w:snapToGrid w:val="0"/>
              <w:rPr>
                <w:rFonts w:ascii="宋体" w:hAnsi="宋体"/>
                <w:highlight w:val="none"/>
              </w:rPr>
            </w:pPr>
            <w:r>
              <w:rPr>
                <w:rFonts w:hint="eastAsia" w:ascii="宋体" w:hAnsi="宋体"/>
                <w:highlight w:val="none"/>
              </w:rPr>
              <w:t>内容与深度符合招标文件要求，对项目的理解透彻、准确的得</w:t>
            </w:r>
            <w:r>
              <w:rPr>
                <w:rFonts w:hint="eastAsia" w:ascii="宋体" w:hAnsi="宋体"/>
                <w:highlight w:val="none"/>
                <w:lang w:val="en-US" w:eastAsia="zh-CN"/>
              </w:rPr>
              <w:t>6</w:t>
            </w:r>
            <w:r>
              <w:rPr>
                <w:rFonts w:hint="eastAsia" w:ascii="宋体" w:hAnsi="宋体"/>
                <w:highlight w:val="none"/>
              </w:rPr>
              <w:t>～</w:t>
            </w:r>
            <w:r>
              <w:rPr>
                <w:rFonts w:hint="eastAsia" w:ascii="宋体" w:hAnsi="宋体"/>
                <w:highlight w:val="none"/>
                <w:lang w:val="en-US" w:eastAsia="zh-CN"/>
              </w:rPr>
              <w:t>10</w:t>
            </w:r>
            <w:r>
              <w:rPr>
                <w:rFonts w:hint="eastAsia" w:ascii="宋体" w:hAnsi="宋体"/>
                <w:highlight w:val="none"/>
              </w:rPr>
              <w:t>分；内容与深度基本符合招标文件要求，对项目的理解基本准确的得2～</w:t>
            </w:r>
            <w:r>
              <w:rPr>
                <w:rFonts w:hint="eastAsia" w:ascii="宋体" w:hAnsi="宋体"/>
                <w:highlight w:val="none"/>
                <w:lang w:val="en-US" w:eastAsia="zh-CN"/>
              </w:rPr>
              <w:t>5</w:t>
            </w:r>
            <w:r>
              <w:rPr>
                <w:rFonts w:hint="eastAsia" w:ascii="宋体" w:hAnsi="宋体"/>
                <w:highlight w:val="none"/>
              </w:rPr>
              <w:t>分；内容符合招标文件要求，对项目的理解不大准确的得0～1分。</w:t>
            </w:r>
          </w:p>
        </w:tc>
        <w:tc>
          <w:tcPr>
            <w:tcW w:w="686" w:type="dxa"/>
            <w:shd w:val="clear" w:color="auto" w:fill="auto"/>
            <w:vAlign w:val="center"/>
          </w:tcPr>
          <w:p>
            <w:pPr>
              <w:spacing w:line="360" w:lineRule="exact"/>
              <w:rPr>
                <w:rFonts w:ascii="仿宋" w:hAnsi="仿宋" w:eastAsia="仿宋"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snapToGrid w:val="0"/>
              <w:ind w:left="-2" w:leftChars="-1"/>
              <w:jc w:val="center"/>
              <w:rPr>
                <w:rFonts w:ascii="新宋体" w:hAnsi="新宋体" w:eastAsia="新宋体" w:cs="新宋体"/>
                <w:szCs w:val="21"/>
                <w:highlight w:val="none"/>
              </w:rPr>
            </w:pPr>
          </w:p>
        </w:tc>
        <w:tc>
          <w:tcPr>
            <w:tcW w:w="1406" w:type="dxa"/>
            <w:shd w:val="clear" w:color="auto" w:fill="auto"/>
            <w:vAlign w:val="center"/>
          </w:tcPr>
          <w:p>
            <w:pPr>
              <w:ind w:left="42" w:leftChars="20" w:right="42" w:rightChars="20"/>
              <w:jc w:val="center"/>
              <w:rPr>
                <w:rFonts w:ascii="宋体" w:hAnsi="宋体"/>
                <w:highlight w:val="none"/>
              </w:rPr>
            </w:pPr>
            <w:r>
              <w:rPr>
                <w:rFonts w:ascii="宋体" w:hAnsi="宋体"/>
                <w:snapToGrid w:val="0"/>
                <w:highlight w:val="none"/>
              </w:rPr>
              <w:t>对本项目重难点和关键性技术难题分析和建议</w:t>
            </w:r>
          </w:p>
        </w:tc>
        <w:tc>
          <w:tcPr>
            <w:tcW w:w="709" w:type="dxa"/>
            <w:shd w:val="clear" w:color="auto" w:fill="auto"/>
            <w:vAlign w:val="center"/>
          </w:tcPr>
          <w:p>
            <w:pPr>
              <w:jc w:val="center"/>
              <w:rPr>
                <w:rFonts w:ascii="宋体" w:hAnsi="宋体"/>
                <w:position w:val="8"/>
                <w:highlight w:val="none"/>
              </w:rPr>
            </w:pPr>
            <w:r>
              <w:rPr>
                <w:rFonts w:hint="eastAsia" w:ascii="宋体" w:hAnsi="宋体"/>
                <w:position w:val="8"/>
                <w:highlight w:val="none"/>
              </w:rPr>
              <w:t>1</w:t>
            </w:r>
            <w:r>
              <w:rPr>
                <w:rFonts w:hint="eastAsia" w:ascii="宋体" w:hAnsi="宋体"/>
                <w:position w:val="8"/>
                <w:highlight w:val="none"/>
                <w:lang w:val="en-US" w:eastAsia="zh-CN"/>
              </w:rPr>
              <w:t>5</w:t>
            </w:r>
          </w:p>
        </w:tc>
        <w:tc>
          <w:tcPr>
            <w:tcW w:w="9797" w:type="dxa"/>
            <w:shd w:val="clear" w:color="auto" w:fill="auto"/>
            <w:vAlign w:val="center"/>
          </w:tcPr>
          <w:p>
            <w:pPr>
              <w:ind w:left="69" w:leftChars="33" w:right="99" w:rightChars="47"/>
              <w:rPr>
                <w:rFonts w:ascii="宋体" w:hAnsi="宋体"/>
                <w:highlight w:val="none"/>
              </w:rPr>
            </w:pPr>
            <w:r>
              <w:rPr>
                <w:rFonts w:hint="eastAsia" w:ascii="宋体" w:hAnsi="宋体"/>
                <w:highlight w:val="none"/>
              </w:rPr>
              <w:t>对</w:t>
            </w:r>
            <w:r>
              <w:rPr>
                <w:rFonts w:ascii="宋体" w:hAnsi="宋体"/>
                <w:highlight w:val="none"/>
              </w:rPr>
              <w:t>本项目重难点和关键性技术难题理解分析</w:t>
            </w:r>
            <w:r>
              <w:rPr>
                <w:rFonts w:hint="eastAsia" w:ascii="宋体" w:hAnsi="宋体"/>
                <w:highlight w:val="none"/>
              </w:rPr>
              <w:t>具有一定的深度且全面，其对策措施明确、具体、可行、针对性好，得</w:t>
            </w:r>
            <w:r>
              <w:rPr>
                <w:rFonts w:hint="eastAsia" w:ascii="宋体" w:hAnsi="宋体"/>
                <w:highlight w:val="none"/>
                <w:lang w:val="en-US" w:eastAsia="zh-CN"/>
              </w:rPr>
              <w:t>10</w:t>
            </w:r>
            <w:r>
              <w:rPr>
                <w:rFonts w:hint="eastAsia" w:ascii="宋体" w:hAnsi="宋体" w:eastAsia="宋体" w:cs="宋体"/>
                <w:highlight w:val="none"/>
              </w:rPr>
              <w:t>～</w:t>
            </w:r>
            <w:r>
              <w:rPr>
                <w:rFonts w:hint="eastAsia" w:ascii="宋体" w:hAnsi="宋体"/>
                <w:highlight w:val="none"/>
              </w:rPr>
              <w:t>1</w:t>
            </w:r>
            <w:r>
              <w:rPr>
                <w:rFonts w:hint="eastAsia" w:ascii="宋体" w:hAnsi="宋体"/>
                <w:highlight w:val="none"/>
                <w:lang w:val="en-US" w:eastAsia="zh-CN"/>
              </w:rPr>
              <w:t>5</w:t>
            </w:r>
            <w:r>
              <w:rPr>
                <w:rFonts w:hint="eastAsia" w:ascii="宋体" w:hAnsi="宋体"/>
                <w:highlight w:val="none"/>
              </w:rPr>
              <w:t>分；对</w:t>
            </w:r>
            <w:r>
              <w:rPr>
                <w:rFonts w:ascii="宋体" w:hAnsi="宋体"/>
                <w:highlight w:val="none"/>
              </w:rPr>
              <w:t>本项目重难点和关键性技术难题理解分析</w:t>
            </w:r>
            <w:r>
              <w:rPr>
                <w:rFonts w:hint="eastAsia" w:ascii="宋体" w:hAnsi="宋体"/>
                <w:highlight w:val="none"/>
              </w:rPr>
              <w:t>基本合理，其对策措施基本明确、基本具体、基本可行、针对性一般，得</w:t>
            </w:r>
            <w:r>
              <w:rPr>
                <w:rFonts w:hint="eastAsia" w:ascii="宋体" w:hAnsi="宋体"/>
                <w:highlight w:val="none"/>
                <w:lang w:val="en-US" w:eastAsia="zh-CN"/>
              </w:rPr>
              <w:t>5</w:t>
            </w:r>
            <w:r>
              <w:rPr>
                <w:rFonts w:hint="eastAsia" w:ascii="宋体" w:hAnsi="宋体"/>
                <w:highlight w:val="none"/>
              </w:rPr>
              <w:t>～</w:t>
            </w:r>
            <w:r>
              <w:rPr>
                <w:rFonts w:hint="eastAsia" w:ascii="宋体" w:hAnsi="宋体"/>
                <w:highlight w:val="none"/>
                <w:lang w:val="en-US" w:eastAsia="zh-CN"/>
              </w:rPr>
              <w:t>9</w:t>
            </w:r>
            <w:r>
              <w:rPr>
                <w:rFonts w:hint="eastAsia" w:ascii="宋体" w:hAnsi="宋体"/>
                <w:highlight w:val="none"/>
              </w:rPr>
              <w:t>分</w:t>
            </w:r>
            <w:r>
              <w:rPr>
                <w:rFonts w:hint="eastAsia" w:ascii="宋体" w:hAnsi="宋体"/>
                <w:highlight w:val="none"/>
                <w:lang w:eastAsia="zh-CN"/>
              </w:rPr>
              <w:t>；</w:t>
            </w:r>
            <w:r>
              <w:rPr>
                <w:rFonts w:hint="eastAsia" w:ascii="宋体" w:hAnsi="宋体"/>
                <w:highlight w:val="none"/>
              </w:rPr>
              <w:t>对</w:t>
            </w:r>
            <w:r>
              <w:rPr>
                <w:rFonts w:ascii="宋体" w:hAnsi="宋体"/>
                <w:highlight w:val="none"/>
              </w:rPr>
              <w:t>本项目重难点和关键性技术难题理解分析</w:t>
            </w:r>
            <w:r>
              <w:rPr>
                <w:rFonts w:hint="eastAsia" w:ascii="宋体" w:hAnsi="宋体"/>
                <w:highlight w:val="none"/>
                <w:lang w:val="en-US" w:eastAsia="zh-CN"/>
              </w:rPr>
              <w:t>不准确得0-4分。</w:t>
            </w:r>
          </w:p>
        </w:tc>
        <w:tc>
          <w:tcPr>
            <w:tcW w:w="686" w:type="dxa"/>
            <w:shd w:val="clear" w:color="auto" w:fill="auto"/>
            <w:vAlign w:val="center"/>
          </w:tcPr>
          <w:p>
            <w:pPr>
              <w:spacing w:line="360" w:lineRule="exact"/>
              <w:rPr>
                <w:rFonts w:ascii="仿宋" w:hAnsi="仿宋" w:eastAsia="仿宋"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snapToGrid w:val="0"/>
              <w:ind w:left="-2" w:leftChars="-1"/>
              <w:jc w:val="center"/>
              <w:rPr>
                <w:rFonts w:ascii="新宋体" w:hAnsi="新宋体" w:eastAsia="新宋体" w:cs="新宋体"/>
                <w:szCs w:val="21"/>
                <w:highlight w:val="none"/>
              </w:rPr>
            </w:pPr>
          </w:p>
        </w:tc>
        <w:tc>
          <w:tcPr>
            <w:tcW w:w="1406" w:type="dxa"/>
            <w:shd w:val="clear" w:color="auto" w:fill="auto"/>
            <w:vAlign w:val="center"/>
          </w:tcPr>
          <w:p>
            <w:pPr>
              <w:ind w:left="42" w:leftChars="20" w:right="42" w:rightChars="20"/>
              <w:jc w:val="center"/>
              <w:rPr>
                <w:rFonts w:ascii="宋体" w:hAnsi="宋体"/>
                <w:highlight w:val="none"/>
              </w:rPr>
            </w:pPr>
            <w:r>
              <w:rPr>
                <w:rFonts w:ascii="宋体" w:hAnsi="宋体"/>
                <w:snapToGrid w:val="0"/>
                <w:highlight w:val="none"/>
              </w:rPr>
              <w:t>进度计划</w:t>
            </w:r>
          </w:p>
        </w:tc>
        <w:tc>
          <w:tcPr>
            <w:tcW w:w="709" w:type="dxa"/>
            <w:shd w:val="clear" w:color="auto" w:fill="auto"/>
            <w:vAlign w:val="center"/>
          </w:tcPr>
          <w:p>
            <w:pPr>
              <w:jc w:val="center"/>
              <w:rPr>
                <w:rFonts w:ascii="宋体" w:hAnsi="宋体" w:cs="宋体"/>
                <w:position w:val="8"/>
                <w:highlight w:val="none"/>
              </w:rPr>
            </w:pPr>
            <w:r>
              <w:rPr>
                <w:rFonts w:hint="eastAsia" w:ascii="宋体" w:hAnsi="宋体" w:cs="宋体"/>
                <w:position w:val="8"/>
                <w:highlight w:val="none"/>
              </w:rPr>
              <w:t>1</w:t>
            </w:r>
            <w:r>
              <w:rPr>
                <w:rFonts w:hint="eastAsia" w:ascii="宋体" w:hAnsi="宋体" w:cs="宋体"/>
                <w:position w:val="8"/>
                <w:highlight w:val="none"/>
                <w:lang w:val="en-US" w:eastAsia="zh-CN"/>
              </w:rPr>
              <w:t>5</w:t>
            </w:r>
          </w:p>
        </w:tc>
        <w:tc>
          <w:tcPr>
            <w:tcW w:w="9797" w:type="dxa"/>
            <w:shd w:val="clear" w:color="auto" w:fill="auto"/>
            <w:vAlign w:val="center"/>
          </w:tcPr>
          <w:p>
            <w:pPr>
              <w:tabs>
                <w:tab w:val="left" w:pos="4200"/>
              </w:tabs>
              <w:ind w:left="69" w:leftChars="33" w:right="99" w:rightChars="47"/>
              <w:rPr>
                <w:rFonts w:ascii="宋体" w:hAnsi="宋体"/>
                <w:highlight w:val="none"/>
              </w:rPr>
            </w:pPr>
            <w:r>
              <w:rPr>
                <w:rFonts w:hint="eastAsia" w:ascii="宋体" w:hAnsi="宋体"/>
                <w:highlight w:val="none"/>
              </w:rPr>
              <w:t>设计工作内容详细完整，计划安排合理，得</w:t>
            </w:r>
            <w:r>
              <w:rPr>
                <w:rFonts w:hint="eastAsia" w:ascii="宋体" w:hAnsi="宋体"/>
                <w:highlight w:val="none"/>
                <w:lang w:val="en-US" w:eastAsia="zh-CN"/>
              </w:rPr>
              <w:t>12</w:t>
            </w:r>
            <w:r>
              <w:rPr>
                <w:rFonts w:hint="eastAsia" w:ascii="宋体" w:hAnsi="宋体"/>
                <w:highlight w:val="none"/>
              </w:rPr>
              <w:t>～1</w:t>
            </w:r>
            <w:r>
              <w:rPr>
                <w:rFonts w:hint="eastAsia" w:ascii="宋体" w:hAnsi="宋体"/>
                <w:highlight w:val="none"/>
                <w:lang w:val="en-US" w:eastAsia="zh-CN"/>
              </w:rPr>
              <w:t>5</w:t>
            </w:r>
            <w:r>
              <w:rPr>
                <w:rFonts w:hint="eastAsia" w:ascii="宋体" w:hAnsi="宋体"/>
                <w:highlight w:val="none"/>
              </w:rPr>
              <w:t>分；设计工作内容基本详细完整，计划安排基本合理，得</w:t>
            </w:r>
            <w:r>
              <w:rPr>
                <w:rFonts w:hint="eastAsia" w:ascii="宋体" w:hAnsi="宋体"/>
                <w:highlight w:val="none"/>
                <w:lang w:val="en-US" w:eastAsia="zh-CN"/>
              </w:rPr>
              <w:t>8</w:t>
            </w:r>
            <w:r>
              <w:rPr>
                <w:rFonts w:hint="eastAsia" w:ascii="宋体" w:hAnsi="宋体"/>
                <w:highlight w:val="none"/>
              </w:rPr>
              <w:t>～</w:t>
            </w:r>
            <w:r>
              <w:rPr>
                <w:rFonts w:hint="eastAsia" w:ascii="宋体" w:hAnsi="宋体"/>
                <w:highlight w:val="none"/>
                <w:lang w:val="en-US" w:eastAsia="zh-CN"/>
              </w:rPr>
              <w:t>11</w:t>
            </w:r>
            <w:r>
              <w:rPr>
                <w:rFonts w:hint="eastAsia" w:ascii="宋体" w:hAnsi="宋体"/>
                <w:highlight w:val="none"/>
              </w:rPr>
              <w:t>分；设计工作内容详细完整程度一般，计划安排一般合理，得</w:t>
            </w:r>
            <w:r>
              <w:rPr>
                <w:rFonts w:hint="eastAsia" w:ascii="宋体" w:hAnsi="宋体"/>
                <w:highlight w:val="none"/>
                <w:lang w:val="en-US" w:eastAsia="zh-CN"/>
              </w:rPr>
              <w:t>4</w:t>
            </w:r>
            <w:r>
              <w:rPr>
                <w:rFonts w:hint="eastAsia" w:ascii="宋体" w:hAnsi="宋体"/>
                <w:highlight w:val="none"/>
              </w:rPr>
              <w:t>～</w:t>
            </w:r>
            <w:r>
              <w:rPr>
                <w:rFonts w:hint="eastAsia" w:ascii="宋体" w:hAnsi="宋体"/>
                <w:highlight w:val="none"/>
                <w:lang w:val="en-US" w:eastAsia="zh-CN"/>
              </w:rPr>
              <w:t>7</w:t>
            </w:r>
            <w:r>
              <w:rPr>
                <w:rFonts w:hint="eastAsia" w:ascii="宋体" w:hAnsi="宋体"/>
                <w:highlight w:val="none"/>
              </w:rPr>
              <w:t>分</w:t>
            </w:r>
            <w:r>
              <w:rPr>
                <w:rFonts w:hint="eastAsia"/>
                <w:lang w:eastAsia="zh-CN"/>
              </w:rPr>
              <w:t>；</w:t>
            </w:r>
            <w:r>
              <w:rPr>
                <w:rFonts w:hint="eastAsia" w:ascii="宋体" w:hAnsi="宋体"/>
                <w:highlight w:val="none"/>
              </w:rPr>
              <w:t>对</w:t>
            </w:r>
            <w:r>
              <w:rPr>
                <w:rFonts w:ascii="宋体" w:hAnsi="宋体"/>
                <w:highlight w:val="none"/>
              </w:rPr>
              <w:t>本项目</w:t>
            </w:r>
            <w:r>
              <w:rPr>
                <w:rFonts w:hint="eastAsia" w:ascii="宋体" w:hAnsi="宋体"/>
                <w:highlight w:val="none"/>
                <w:lang w:val="en-US" w:eastAsia="zh-CN"/>
              </w:rPr>
              <w:t>进度计划</w:t>
            </w:r>
            <w:r>
              <w:rPr>
                <w:rFonts w:ascii="宋体" w:hAnsi="宋体"/>
                <w:highlight w:val="none"/>
              </w:rPr>
              <w:t>分析</w:t>
            </w:r>
            <w:r>
              <w:rPr>
                <w:rFonts w:hint="eastAsia" w:ascii="宋体" w:hAnsi="宋体"/>
                <w:highlight w:val="none"/>
                <w:lang w:val="en-US" w:eastAsia="zh-CN"/>
              </w:rPr>
              <w:t>不准确得0</w:t>
            </w:r>
            <w:r>
              <w:rPr>
                <w:rFonts w:hint="eastAsia" w:ascii="宋体" w:hAnsi="宋体"/>
                <w:highlight w:val="none"/>
              </w:rPr>
              <w:t>～</w:t>
            </w:r>
            <w:r>
              <w:rPr>
                <w:rFonts w:hint="eastAsia" w:ascii="宋体" w:hAnsi="宋体"/>
                <w:highlight w:val="none"/>
                <w:lang w:val="en-US" w:eastAsia="zh-CN"/>
              </w:rPr>
              <w:t>3分。</w:t>
            </w:r>
          </w:p>
        </w:tc>
        <w:tc>
          <w:tcPr>
            <w:tcW w:w="686" w:type="dxa"/>
            <w:shd w:val="clear" w:color="auto" w:fill="auto"/>
            <w:vAlign w:val="center"/>
          </w:tcPr>
          <w:p>
            <w:pPr>
              <w:spacing w:line="360" w:lineRule="exact"/>
              <w:rPr>
                <w:rFonts w:ascii="仿宋" w:hAnsi="仿宋" w:eastAsia="仿宋"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snapToGrid w:val="0"/>
              <w:ind w:left="-2" w:leftChars="-1"/>
              <w:jc w:val="center"/>
              <w:rPr>
                <w:rFonts w:ascii="新宋体" w:hAnsi="新宋体" w:eastAsia="新宋体" w:cs="新宋体"/>
                <w:szCs w:val="21"/>
                <w:highlight w:val="none"/>
              </w:rPr>
            </w:pPr>
          </w:p>
        </w:tc>
        <w:tc>
          <w:tcPr>
            <w:tcW w:w="1406" w:type="dxa"/>
            <w:shd w:val="clear" w:color="auto" w:fill="auto"/>
            <w:vAlign w:val="center"/>
          </w:tcPr>
          <w:p>
            <w:pPr>
              <w:ind w:left="42" w:leftChars="20" w:right="42" w:rightChars="20"/>
              <w:jc w:val="center"/>
              <w:rPr>
                <w:rFonts w:ascii="宋体" w:hAnsi="宋体"/>
                <w:snapToGrid w:val="0"/>
                <w:highlight w:val="none"/>
              </w:rPr>
            </w:pPr>
            <w:r>
              <w:rPr>
                <w:rFonts w:ascii="宋体" w:hAnsi="宋体"/>
                <w:snapToGrid w:val="0"/>
                <w:highlight w:val="none"/>
              </w:rPr>
              <w:t>质量保证承诺</w:t>
            </w:r>
          </w:p>
        </w:tc>
        <w:tc>
          <w:tcPr>
            <w:tcW w:w="709" w:type="dxa"/>
            <w:shd w:val="clear" w:color="auto" w:fill="auto"/>
            <w:vAlign w:val="center"/>
          </w:tcPr>
          <w:p>
            <w:pPr>
              <w:jc w:val="center"/>
              <w:rPr>
                <w:rFonts w:ascii="宋体" w:hAnsi="宋体" w:cs="宋体"/>
                <w:position w:val="8"/>
                <w:highlight w:val="none"/>
              </w:rPr>
            </w:pPr>
            <w:r>
              <w:rPr>
                <w:rFonts w:hint="eastAsia" w:ascii="宋体" w:hAnsi="宋体" w:cs="宋体"/>
                <w:position w:val="8"/>
                <w:highlight w:val="none"/>
                <w:lang w:val="en-US" w:eastAsia="zh-CN"/>
              </w:rPr>
              <w:t>10</w:t>
            </w:r>
          </w:p>
        </w:tc>
        <w:tc>
          <w:tcPr>
            <w:tcW w:w="9797" w:type="dxa"/>
            <w:shd w:val="clear" w:color="auto" w:fill="auto"/>
            <w:vAlign w:val="center"/>
          </w:tcPr>
          <w:p>
            <w:pPr>
              <w:tabs>
                <w:tab w:val="left" w:pos="4200"/>
              </w:tabs>
              <w:ind w:left="69" w:leftChars="33" w:right="99" w:rightChars="47"/>
              <w:rPr>
                <w:rFonts w:ascii="宋体" w:hAnsi="宋体"/>
                <w:highlight w:val="none"/>
              </w:rPr>
            </w:pPr>
            <w:r>
              <w:rPr>
                <w:rFonts w:hint="eastAsia" w:ascii="宋体" w:hAnsi="宋体"/>
                <w:highlight w:val="none"/>
              </w:rPr>
              <w:t>满足招标文件质量要求，质量保证措施明确、具体、可行、针对性好、各项落实，得</w:t>
            </w:r>
            <w:r>
              <w:rPr>
                <w:rFonts w:hint="eastAsia" w:ascii="宋体" w:hAnsi="宋体"/>
                <w:highlight w:val="none"/>
                <w:lang w:val="en-US" w:eastAsia="zh-CN"/>
              </w:rPr>
              <w:t>8</w:t>
            </w:r>
            <w:r>
              <w:rPr>
                <w:rFonts w:hint="eastAsia" w:ascii="宋体" w:hAnsi="宋体"/>
                <w:highlight w:val="none"/>
              </w:rPr>
              <w:t>～</w:t>
            </w:r>
            <w:r>
              <w:rPr>
                <w:rFonts w:hint="eastAsia" w:ascii="宋体" w:hAnsi="宋体"/>
                <w:highlight w:val="none"/>
                <w:lang w:val="en-US" w:eastAsia="zh-CN"/>
              </w:rPr>
              <w:t>10</w:t>
            </w:r>
            <w:r>
              <w:rPr>
                <w:rFonts w:hint="eastAsia" w:ascii="宋体" w:hAnsi="宋体"/>
                <w:highlight w:val="none"/>
              </w:rPr>
              <w:t>分；一般满足招标文件质量要求，质量保证措施一般化、但对质量保证措施有认识，得</w:t>
            </w:r>
            <w:r>
              <w:rPr>
                <w:rFonts w:hint="eastAsia" w:ascii="宋体" w:hAnsi="宋体"/>
                <w:highlight w:val="none"/>
                <w:lang w:val="en-US" w:eastAsia="zh-CN"/>
              </w:rPr>
              <w:t>4</w:t>
            </w:r>
            <w:r>
              <w:rPr>
                <w:rFonts w:hint="eastAsia" w:ascii="宋体" w:hAnsi="宋体"/>
                <w:highlight w:val="none"/>
              </w:rPr>
              <w:t>～</w:t>
            </w:r>
            <w:r>
              <w:rPr>
                <w:rFonts w:hint="eastAsia" w:ascii="宋体" w:hAnsi="宋体"/>
                <w:highlight w:val="none"/>
                <w:lang w:val="en-US" w:eastAsia="zh-CN"/>
              </w:rPr>
              <w:t>8</w:t>
            </w:r>
            <w:r>
              <w:rPr>
                <w:rFonts w:hint="eastAsia" w:ascii="宋体" w:hAnsi="宋体"/>
                <w:highlight w:val="none"/>
              </w:rPr>
              <w:t>分</w:t>
            </w:r>
            <w:r>
              <w:rPr>
                <w:rFonts w:hint="eastAsia" w:ascii="宋体" w:hAnsi="宋体"/>
                <w:highlight w:val="none"/>
                <w:lang w:eastAsia="zh-CN"/>
              </w:rPr>
              <w:t>；</w:t>
            </w:r>
            <w:r>
              <w:rPr>
                <w:rFonts w:hint="eastAsia" w:ascii="宋体" w:hAnsi="宋体"/>
                <w:highlight w:val="none"/>
                <w:lang w:val="en-US" w:eastAsia="zh-CN"/>
              </w:rPr>
              <w:t>不</w:t>
            </w:r>
            <w:r>
              <w:rPr>
                <w:rFonts w:hint="eastAsia" w:ascii="宋体" w:hAnsi="宋体"/>
                <w:highlight w:val="none"/>
              </w:rPr>
              <w:t>满足招标文件质量要求，质量保证措施一般化、对质量保证措施</w:t>
            </w:r>
            <w:r>
              <w:rPr>
                <w:rFonts w:hint="eastAsia" w:ascii="宋体" w:hAnsi="宋体"/>
                <w:highlight w:val="none"/>
                <w:lang w:val="en-US" w:eastAsia="zh-CN"/>
              </w:rPr>
              <w:t>没</w:t>
            </w:r>
            <w:r>
              <w:rPr>
                <w:rFonts w:hint="eastAsia" w:ascii="宋体" w:hAnsi="宋体"/>
                <w:highlight w:val="none"/>
              </w:rPr>
              <w:t>有认识</w:t>
            </w:r>
            <w:r>
              <w:rPr>
                <w:rFonts w:hint="eastAsia" w:ascii="宋体" w:hAnsi="宋体"/>
                <w:highlight w:val="none"/>
                <w:lang w:eastAsia="zh-CN"/>
              </w:rPr>
              <w:t>的</w:t>
            </w:r>
            <w:r>
              <w:rPr>
                <w:rFonts w:hint="eastAsia" w:ascii="宋体" w:hAnsi="宋体"/>
                <w:highlight w:val="none"/>
              </w:rPr>
              <w:t>，</w:t>
            </w:r>
            <w:r>
              <w:rPr>
                <w:rFonts w:hint="eastAsia" w:ascii="宋体" w:hAnsi="宋体"/>
                <w:highlight w:val="none"/>
                <w:lang w:val="en-US" w:eastAsia="zh-CN"/>
              </w:rPr>
              <w:t>得0</w:t>
            </w:r>
            <w:r>
              <w:rPr>
                <w:rFonts w:hint="eastAsia" w:ascii="宋体" w:hAnsi="宋体"/>
                <w:highlight w:val="none"/>
              </w:rPr>
              <w:t>～</w:t>
            </w:r>
            <w:r>
              <w:rPr>
                <w:rFonts w:hint="eastAsia" w:ascii="宋体" w:hAnsi="宋体"/>
                <w:highlight w:val="none"/>
                <w:lang w:val="en-US" w:eastAsia="zh-CN"/>
              </w:rPr>
              <w:t>3分。</w:t>
            </w:r>
          </w:p>
        </w:tc>
        <w:tc>
          <w:tcPr>
            <w:tcW w:w="686" w:type="dxa"/>
            <w:shd w:val="clear" w:color="auto" w:fill="auto"/>
            <w:vAlign w:val="center"/>
          </w:tcPr>
          <w:p>
            <w:pPr>
              <w:spacing w:line="360" w:lineRule="exact"/>
              <w:rPr>
                <w:rFonts w:ascii="仿宋" w:hAnsi="仿宋" w:eastAsia="仿宋"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jc w:val="center"/>
        </w:trPr>
        <w:tc>
          <w:tcPr>
            <w:tcW w:w="643" w:type="dxa"/>
            <w:shd w:val="clear" w:color="auto" w:fill="auto"/>
            <w:vAlign w:val="center"/>
          </w:tcPr>
          <w:p>
            <w:pPr>
              <w:snapToGrid w:val="0"/>
              <w:ind w:left="-2" w:leftChars="-1"/>
              <w:jc w:val="center"/>
              <w:rPr>
                <w:rFonts w:ascii="新宋体" w:hAnsi="新宋体" w:eastAsia="新宋体" w:cs="新宋体"/>
                <w:szCs w:val="21"/>
                <w:highlight w:val="none"/>
              </w:rPr>
            </w:pPr>
            <w:r>
              <w:rPr>
                <w:rFonts w:hint="eastAsia" w:ascii="新宋体" w:hAnsi="新宋体" w:eastAsia="新宋体" w:cs="新宋体"/>
                <w:szCs w:val="21"/>
                <w:highlight w:val="none"/>
              </w:rPr>
              <w:t>经济部分</w:t>
            </w:r>
          </w:p>
        </w:tc>
        <w:tc>
          <w:tcPr>
            <w:tcW w:w="1406" w:type="dxa"/>
            <w:shd w:val="clear" w:color="auto" w:fill="auto"/>
            <w:vAlign w:val="center"/>
          </w:tcPr>
          <w:p>
            <w:pPr>
              <w:snapToGrid w:val="0"/>
              <w:ind w:left="-2" w:leftChars="-1"/>
              <w:jc w:val="center"/>
              <w:rPr>
                <w:rFonts w:ascii="新宋体" w:hAnsi="新宋体" w:eastAsia="新宋体" w:cs="新宋体"/>
                <w:szCs w:val="21"/>
                <w:highlight w:val="none"/>
              </w:rPr>
            </w:pPr>
            <w:r>
              <w:rPr>
                <w:rFonts w:hint="eastAsia" w:ascii="新宋体" w:hAnsi="新宋体" w:eastAsia="新宋体" w:cs="新宋体"/>
                <w:szCs w:val="21"/>
                <w:highlight w:val="none"/>
              </w:rPr>
              <w:t>服务</w:t>
            </w:r>
          </w:p>
          <w:p>
            <w:pPr>
              <w:snapToGrid w:val="0"/>
              <w:ind w:left="-2" w:leftChars="-1"/>
              <w:jc w:val="center"/>
              <w:rPr>
                <w:rFonts w:ascii="新宋体" w:hAnsi="新宋体" w:eastAsia="新宋体" w:cs="新宋体"/>
                <w:szCs w:val="21"/>
                <w:highlight w:val="none"/>
              </w:rPr>
            </w:pPr>
            <w:r>
              <w:rPr>
                <w:rFonts w:hint="eastAsia" w:ascii="新宋体" w:hAnsi="新宋体" w:eastAsia="新宋体" w:cs="新宋体"/>
                <w:szCs w:val="21"/>
                <w:highlight w:val="none"/>
              </w:rPr>
              <w:t>报价</w:t>
            </w:r>
          </w:p>
        </w:tc>
        <w:tc>
          <w:tcPr>
            <w:tcW w:w="709" w:type="dxa"/>
            <w:shd w:val="clear" w:color="auto" w:fill="auto"/>
            <w:vAlign w:val="center"/>
          </w:tcPr>
          <w:p>
            <w:pPr>
              <w:spacing w:line="220" w:lineRule="exact"/>
              <w:ind w:left="-2" w:leftChars="-1"/>
              <w:jc w:val="center"/>
              <w:rPr>
                <w:rFonts w:hint="default" w:ascii="仿宋" w:hAnsi="仿宋" w:cs="宋体" w:eastAsiaTheme="minorEastAsia"/>
                <w:szCs w:val="21"/>
                <w:highlight w:val="none"/>
                <w:lang w:val="en-US" w:eastAsia="zh-CN"/>
              </w:rPr>
            </w:pPr>
            <w:r>
              <w:rPr>
                <w:rFonts w:hint="eastAsia" w:ascii="仿宋" w:hAnsi="仿宋" w:eastAsia="仿宋" w:cs="宋体"/>
                <w:szCs w:val="21"/>
                <w:highlight w:val="none"/>
                <w:lang w:val="en-US" w:eastAsia="zh-CN"/>
              </w:rPr>
              <w:t>30</w:t>
            </w:r>
          </w:p>
        </w:tc>
        <w:tc>
          <w:tcPr>
            <w:tcW w:w="9797" w:type="dxa"/>
            <w:shd w:val="clear" w:color="auto" w:fill="auto"/>
          </w:tcPr>
          <w:p>
            <w:pPr>
              <w:rPr>
                <w:highlight w:val="none"/>
              </w:rPr>
            </w:pPr>
            <w:r>
              <w:rPr>
                <w:rFonts w:hint="eastAsia"/>
                <w:highlight w:val="none"/>
              </w:rPr>
              <w:t>经济标报价部分以投标单位的有效总报价的平均数作为基准价，等于基准价为满分</w:t>
            </w:r>
            <w:r>
              <w:rPr>
                <w:rFonts w:hint="eastAsia"/>
                <w:highlight w:val="none"/>
                <w:lang w:val="en-US" w:eastAsia="zh-CN"/>
              </w:rPr>
              <w:t>30</w:t>
            </w:r>
            <w:r>
              <w:rPr>
                <w:rFonts w:hint="eastAsia"/>
                <w:highlight w:val="none"/>
              </w:rPr>
              <w:t>分，高于基准价的1%扣1分，低于基准价的1%扣0.</w:t>
            </w:r>
            <w:r>
              <w:rPr>
                <w:rFonts w:hint="eastAsia"/>
                <w:highlight w:val="none"/>
                <w:lang w:val="en-US" w:eastAsia="zh-CN"/>
              </w:rPr>
              <w:t>3</w:t>
            </w:r>
            <w:r>
              <w:rPr>
                <w:rFonts w:hint="eastAsia"/>
                <w:highlight w:val="none"/>
              </w:rPr>
              <w:t>分，以此类推。最低得分0分。得分保留两位小数。计算公式如下：</w:t>
            </w:r>
          </w:p>
          <w:p>
            <w:pPr>
              <w:pStyle w:val="8"/>
              <w:numPr>
                <w:ilvl w:val="0"/>
                <w:numId w:val="5"/>
              </w:numPr>
              <w:rPr>
                <w:rFonts w:hint="default"/>
                <w:highlight w:val="none"/>
              </w:rPr>
            </w:pPr>
            <w:r>
              <w:rPr>
                <w:highlight w:val="none"/>
              </w:rPr>
              <w:t>报价等于基准价的，得分=</w:t>
            </w:r>
            <w:r>
              <w:rPr>
                <w:rFonts w:hint="eastAsia"/>
                <w:highlight w:val="none"/>
                <w:lang w:val="en-US" w:eastAsia="zh-CN"/>
              </w:rPr>
              <w:t>30</w:t>
            </w:r>
          </w:p>
          <w:p>
            <w:pPr>
              <w:pStyle w:val="8"/>
              <w:numPr>
                <w:ilvl w:val="0"/>
                <w:numId w:val="5"/>
              </w:numPr>
              <w:rPr>
                <w:rFonts w:hint="default"/>
                <w:highlight w:val="none"/>
              </w:rPr>
            </w:pPr>
            <w:r>
              <w:rPr>
                <w:highlight w:val="none"/>
              </w:rPr>
              <w:t>报价高于基准价的，得分=</w:t>
            </w:r>
            <w:r>
              <w:rPr>
                <w:rFonts w:hint="eastAsia"/>
                <w:highlight w:val="none"/>
                <w:lang w:val="en-US" w:eastAsia="zh-CN"/>
              </w:rPr>
              <w:t>30</w:t>
            </w:r>
            <w:r>
              <w:rPr>
                <w:highlight w:val="none"/>
              </w:rPr>
              <w:t>-[（报价-基准价）/基准价]×100×1</w:t>
            </w:r>
          </w:p>
          <w:p>
            <w:pPr>
              <w:pStyle w:val="8"/>
              <w:numPr>
                <w:ilvl w:val="0"/>
                <w:numId w:val="5"/>
              </w:numPr>
              <w:rPr>
                <w:rFonts w:hint="default"/>
                <w:highlight w:val="none"/>
              </w:rPr>
            </w:pPr>
            <w:r>
              <w:rPr>
                <w:highlight w:val="none"/>
              </w:rPr>
              <w:t>报价低于基准价的，得分=</w:t>
            </w:r>
            <w:r>
              <w:rPr>
                <w:rFonts w:hint="eastAsia"/>
                <w:highlight w:val="none"/>
                <w:lang w:val="en-US" w:eastAsia="zh-CN"/>
              </w:rPr>
              <w:t>30</w:t>
            </w:r>
            <w:r>
              <w:rPr>
                <w:highlight w:val="none"/>
              </w:rPr>
              <w:t>-[（基准价-报价）/基准价]×100×0.</w:t>
            </w:r>
            <w:r>
              <w:rPr>
                <w:rFonts w:hint="eastAsia"/>
                <w:highlight w:val="none"/>
                <w:lang w:val="en-US" w:eastAsia="zh-CN"/>
              </w:rPr>
              <w:t>3</w:t>
            </w:r>
          </w:p>
        </w:tc>
        <w:tc>
          <w:tcPr>
            <w:tcW w:w="686" w:type="dxa"/>
            <w:shd w:val="clear" w:color="auto" w:fill="auto"/>
            <w:vAlign w:val="center"/>
          </w:tcPr>
          <w:p>
            <w:pPr>
              <w:spacing w:line="360" w:lineRule="exact"/>
              <w:rPr>
                <w:rFonts w:ascii="仿宋" w:hAnsi="仿宋" w:eastAsia="仿宋" w:cs="宋体"/>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49" w:type="dxa"/>
            <w:gridSpan w:val="2"/>
            <w:shd w:val="clear" w:color="auto" w:fill="auto"/>
            <w:vAlign w:val="center"/>
          </w:tcPr>
          <w:p>
            <w:pPr>
              <w:jc w:val="center"/>
              <w:rPr>
                <w:rFonts w:ascii="宋体" w:hAnsi="宋体" w:eastAsia="宋体" w:cs="宋体"/>
                <w:sz w:val="18"/>
                <w:szCs w:val="18"/>
                <w:highlight w:val="none"/>
              </w:rPr>
            </w:pPr>
            <w:bookmarkStart w:id="49" w:name="_GoBack"/>
            <w:bookmarkEnd w:id="49"/>
            <w:r>
              <w:rPr>
                <w:rFonts w:hint="eastAsia" w:ascii="宋体" w:hAnsi="宋体" w:eastAsia="宋体" w:cs="宋体"/>
                <w:sz w:val="18"/>
                <w:szCs w:val="18"/>
                <w:highlight w:val="none"/>
              </w:rPr>
              <w:t>合计</w:t>
            </w:r>
          </w:p>
        </w:tc>
        <w:tc>
          <w:tcPr>
            <w:tcW w:w="709" w:type="dxa"/>
            <w:shd w:val="clear" w:color="auto" w:fill="auto"/>
            <w:vAlign w:val="center"/>
          </w:tcPr>
          <w:p>
            <w:pPr>
              <w:spacing w:line="220" w:lineRule="exact"/>
              <w:ind w:left="-2" w:leftChars="-1"/>
              <w:jc w:val="center"/>
              <w:rPr>
                <w:rFonts w:ascii="仿宋" w:hAnsi="仿宋" w:eastAsia="仿宋" w:cs="宋体"/>
                <w:szCs w:val="21"/>
                <w:highlight w:val="none"/>
              </w:rPr>
            </w:pPr>
            <w:r>
              <w:rPr>
                <w:rFonts w:hint="eastAsia" w:ascii="仿宋" w:hAnsi="仿宋" w:eastAsia="仿宋" w:cs="宋体"/>
                <w:szCs w:val="21"/>
                <w:highlight w:val="none"/>
              </w:rPr>
              <w:t>100</w:t>
            </w:r>
          </w:p>
        </w:tc>
        <w:tc>
          <w:tcPr>
            <w:tcW w:w="9797" w:type="dxa"/>
            <w:shd w:val="clear" w:color="auto" w:fill="auto"/>
            <w:vAlign w:val="center"/>
          </w:tcPr>
          <w:p>
            <w:pPr>
              <w:spacing w:line="220" w:lineRule="exact"/>
              <w:ind w:left="-2" w:leftChars="-1"/>
              <w:rPr>
                <w:rFonts w:ascii="仿宋" w:hAnsi="仿宋" w:eastAsia="仿宋" w:cs="宋体"/>
                <w:sz w:val="18"/>
                <w:szCs w:val="18"/>
                <w:highlight w:val="none"/>
              </w:rPr>
            </w:pPr>
          </w:p>
        </w:tc>
        <w:tc>
          <w:tcPr>
            <w:tcW w:w="686" w:type="dxa"/>
            <w:shd w:val="clear" w:color="auto" w:fill="auto"/>
            <w:vAlign w:val="center"/>
          </w:tcPr>
          <w:p>
            <w:pPr>
              <w:spacing w:line="360" w:lineRule="exact"/>
              <w:ind w:left="-2" w:leftChars="-1"/>
              <w:rPr>
                <w:rFonts w:ascii="仿宋" w:hAnsi="仿宋" w:eastAsia="仿宋" w:cs="宋体"/>
                <w:sz w:val="18"/>
                <w:szCs w:val="18"/>
                <w:highlight w:val="none"/>
              </w:rPr>
            </w:pPr>
          </w:p>
        </w:tc>
      </w:tr>
    </w:tbl>
    <w:p>
      <w:pPr>
        <w:snapToGrid w:val="0"/>
        <w:ind w:left="74"/>
        <w:rPr>
          <w:rFonts w:ascii="仿宋" w:hAnsi="仿宋" w:eastAsia="仿宋" w:cs="宋体"/>
          <w:sz w:val="24"/>
          <w:highlight w:val="none"/>
        </w:rPr>
      </w:pPr>
    </w:p>
    <w:p>
      <w:pPr>
        <w:spacing w:line="320" w:lineRule="exact"/>
        <w:ind w:firstLine="420" w:firstLineChars="200"/>
        <w:jc w:val="left"/>
        <w:rPr>
          <w:rFonts w:ascii="宋体" w:hAnsi="宋体" w:cs="宋体"/>
          <w:szCs w:val="21"/>
          <w:highlight w:val="none"/>
        </w:rPr>
      </w:pPr>
      <w:r>
        <w:rPr>
          <w:rFonts w:hint="eastAsia" w:ascii="宋体" w:hAnsi="宋体" w:cs="宋体"/>
          <w:szCs w:val="21"/>
          <w:highlight w:val="none"/>
        </w:rPr>
        <w:t>说明：</w:t>
      </w:r>
    </w:p>
    <w:p>
      <w:pPr>
        <w:spacing w:line="320" w:lineRule="exact"/>
        <w:ind w:firstLine="420" w:firstLineChars="200"/>
        <w:jc w:val="left"/>
        <w:rPr>
          <w:rFonts w:ascii="宋体" w:hAnsi="宋体" w:cs="宋体"/>
          <w:szCs w:val="18"/>
          <w:highlight w:val="none"/>
        </w:rPr>
      </w:pPr>
      <w:r>
        <w:rPr>
          <w:rFonts w:hint="eastAsia" w:ascii="宋体" w:hAnsi="宋体" w:cs="宋体"/>
          <w:szCs w:val="18"/>
          <w:highlight w:val="none"/>
        </w:rPr>
        <w:t>1、企</w:t>
      </w:r>
      <w:r>
        <w:rPr>
          <w:rFonts w:hint="eastAsia" w:hAnsi="宋体" w:cs="宋体"/>
          <w:szCs w:val="18"/>
          <w:highlight w:val="none"/>
        </w:rPr>
        <w:t>业业绩认定证明材料需提供合同复印件；业绩认定时间以合同签订时间为准。如业绩资料不能证明业绩合同额，须另提供经业主确认的证明资料复印件。</w:t>
      </w:r>
    </w:p>
    <w:p>
      <w:pPr>
        <w:spacing w:line="320" w:lineRule="exact"/>
        <w:ind w:firstLine="420" w:firstLineChars="200"/>
        <w:jc w:val="left"/>
        <w:rPr>
          <w:rFonts w:ascii="宋体" w:hAnsi="宋体" w:cs="宋体"/>
          <w:szCs w:val="18"/>
          <w:highlight w:val="none"/>
        </w:rPr>
      </w:pPr>
      <w:r>
        <w:rPr>
          <w:rFonts w:hint="eastAsia" w:ascii="宋体" w:hAnsi="宋体" w:cs="宋体"/>
          <w:szCs w:val="18"/>
          <w:highlight w:val="none"/>
          <w:lang w:val="en-US" w:eastAsia="zh-CN"/>
        </w:rPr>
        <w:t>2</w:t>
      </w:r>
      <w:r>
        <w:rPr>
          <w:rFonts w:hint="eastAsia" w:ascii="宋体" w:hAnsi="宋体" w:cs="宋体"/>
          <w:szCs w:val="18"/>
          <w:highlight w:val="none"/>
        </w:rPr>
        <w:t>、</w:t>
      </w:r>
      <w:r>
        <w:rPr>
          <w:rFonts w:hint="eastAsia" w:ascii="宋体" w:hAnsi="宋体" w:cs="宋体"/>
          <w:szCs w:val="21"/>
          <w:highlight w:val="none"/>
        </w:rPr>
        <w:t>人员配备及技术水平</w:t>
      </w:r>
      <w:r>
        <w:rPr>
          <w:rFonts w:hint="eastAsia" w:ascii="宋体" w:hAnsi="宋体" w:cs="宋体"/>
          <w:spacing w:val="4"/>
          <w:szCs w:val="21"/>
          <w:highlight w:val="none"/>
        </w:rPr>
        <w:t>：</w:t>
      </w:r>
      <w:r>
        <w:rPr>
          <w:rFonts w:ascii="宋体" w:hAnsi="宋体" w:cs="宋体"/>
          <w:szCs w:val="18"/>
          <w:highlight w:val="none"/>
        </w:rPr>
        <w:t>所提供的投入人员必须为投标单位人员，以提供投标人为其购买的</w:t>
      </w:r>
      <w:r>
        <w:rPr>
          <w:rFonts w:hint="eastAsia" w:ascii="宋体" w:hAnsi="宋体" w:cs="宋体"/>
          <w:highlight w:val="none"/>
        </w:rPr>
        <w:t>近期（</w:t>
      </w:r>
      <w:r>
        <w:rPr>
          <w:rFonts w:hint="eastAsia" w:ascii="宋体" w:hAnsi="宋体"/>
          <w:bCs/>
          <w:highlight w:val="none"/>
        </w:rPr>
        <w:t>1个月</w:t>
      </w:r>
      <w:r>
        <w:rPr>
          <w:rFonts w:hint="eastAsia" w:ascii="宋体" w:hAnsi="宋体" w:cs="宋体"/>
          <w:highlight w:val="none"/>
        </w:rPr>
        <w:t>）</w:t>
      </w:r>
      <w:r>
        <w:rPr>
          <w:rFonts w:ascii="宋体" w:hAnsi="宋体" w:cs="宋体"/>
          <w:szCs w:val="18"/>
          <w:highlight w:val="none"/>
        </w:rPr>
        <w:t>社保证明为准。</w:t>
      </w:r>
      <w:r>
        <w:rPr>
          <w:rFonts w:hint="eastAsia" w:ascii="宋体" w:hAnsi="宋体" w:cs="宋体"/>
          <w:szCs w:val="18"/>
          <w:highlight w:val="none"/>
        </w:rPr>
        <w:t>项目负责人、</w:t>
      </w:r>
      <w:r>
        <w:rPr>
          <w:rFonts w:hint="eastAsia" w:ascii="宋体" w:hAnsi="宋体" w:cs="宋体"/>
          <w:szCs w:val="18"/>
          <w:highlight w:val="none"/>
          <w:lang w:val="en-US" w:eastAsia="zh-CN"/>
        </w:rPr>
        <w:t>技术</w:t>
      </w:r>
      <w:r>
        <w:rPr>
          <w:rFonts w:hint="eastAsia" w:ascii="宋体" w:hAnsi="宋体" w:cs="宋体"/>
          <w:szCs w:val="18"/>
          <w:highlight w:val="none"/>
        </w:rPr>
        <w:t>负责人注册关系必须在本单位，以上注册及职称均需提供相应证明材料。</w:t>
      </w:r>
    </w:p>
    <w:p>
      <w:pPr>
        <w:snapToGrid w:val="0"/>
        <w:ind w:left="74" w:firstLine="420" w:firstLineChars="200"/>
        <w:rPr>
          <w:rFonts w:hint="eastAsia" w:ascii="宋体" w:hAnsi="宋体" w:cs="宋体" w:eastAsiaTheme="minorEastAsia"/>
          <w:sz w:val="24"/>
          <w:highlight w:val="none"/>
          <w:lang w:eastAsia="zh-CN"/>
        </w:rPr>
        <w:sectPr>
          <w:pgSz w:w="16838" w:h="11905" w:orient="landscape"/>
          <w:pgMar w:top="1797" w:right="1440" w:bottom="1797" w:left="1440" w:header="720" w:footer="720" w:gutter="0"/>
          <w:paperSrc/>
          <w:cols w:space="0" w:num="1"/>
          <w:rtlGutter w:val="0"/>
          <w:docGrid w:linePitch="312" w:charSpace="0"/>
        </w:sectPr>
      </w:pPr>
      <w:r>
        <w:rPr>
          <w:rFonts w:hint="eastAsia" w:ascii="宋体" w:hAnsi="宋体" w:cs="宋体"/>
          <w:szCs w:val="18"/>
          <w:highlight w:val="none"/>
          <w:lang w:val="en-US" w:eastAsia="zh-CN"/>
        </w:rPr>
        <w:t>3</w:t>
      </w:r>
      <w:r>
        <w:rPr>
          <w:rFonts w:hint="eastAsia" w:ascii="宋体" w:hAnsi="宋体" w:cs="宋体"/>
          <w:szCs w:val="18"/>
          <w:highlight w:val="none"/>
        </w:rPr>
        <w:t>、本表中所有要求提供的证明资料复印件均需加盖投标人公章。未提供证明资料或提供的证明材料不齐全、不符合要求的，不得分</w:t>
      </w:r>
      <w:r>
        <w:rPr>
          <w:rFonts w:hint="eastAsia" w:ascii="宋体" w:hAnsi="宋体" w:cs="宋体"/>
          <w:szCs w:val="18"/>
          <w:highlight w:val="none"/>
          <w:lang w:eastAsia="zh-CN"/>
        </w:rPr>
        <w:t>。</w:t>
      </w:r>
    </w:p>
    <w:p>
      <w:pPr>
        <w:pStyle w:val="8"/>
        <w:rPr>
          <w:rFonts w:hint="default"/>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path/>
          <v:fill on="f" focussize="0,0"/>
          <v:stroke on="f" weight="0.5pt" joinstyle="miter"/>
          <v:imagedata o:title=""/>
          <o:lock v:ext="edit"/>
          <v:textbox inset="0mm,0mm,0mm,0mm" style="mso-fit-shape-to-text:t;">
            <w:txbxContent>
              <w:p>
                <w:pPr>
                  <w:pStyle w:val="10"/>
                </w:pPr>
                <w:r>
                  <w:fldChar w:fldCharType="begin"/>
                </w:r>
                <w:r>
                  <w:instrText xml:space="preserve"> PAGE  \* MERGEFORMAT </w:instrText>
                </w:r>
                <w:r>
                  <w:fldChar w:fldCharType="separate"/>
                </w:r>
                <w:r>
                  <w:t>24</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_x0000_s1027" o:spid="_x0000_s102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path/>
          <v:fill on="f" focussize="0,0"/>
          <v:stroke on="f" weight="0.5pt" joinstyle="miter"/>
          <v:imagedata o:title=""/>
          <o:lock v:ext="edit"/>
          <v:textbox inset="0mm,0mm,0mm,0mm" style="mso-fit-shape-to-text:t;">
            <w:txbxContent>
              <w:p>
                <w:pPr>
                  <w:pStyle w:val="10"/>
                </w:pPr>
                <w:r>
                  <w:fldChar w:fldCharType="begin"/>
                </w:r>
                <w:r>
                  <w:instrText xml:space="preserve"> PAGE  \* MERGEFORMAT </w:instrText>
                </w:r>
                <w:r>
                  <w:fldChar w:fldCharType="separate"/>
                </w:r>
                <w:r>
                  <w:t>38</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F9153F42"/>
    <w:multiLevelType w:val="singleLevel"/>
    <w:tmpl w:val="F9153F42"/>
    <w:lvl w:ilvl="0" w:tentative="0">
      <w:start w:val="1"/>
      <w:numFmt w:val="decimal"/>
      <w:suff w:val="nothing"/>
      <w:lvlText w:val="%1、"/>
      <w:lvlJc w:val="left"/>
    </w:lvl>
  </w:abstractNum>
  <w:abstractNum w:abstractNumId="2">
    <w:nsid w:val="61B5240C"/>
    <w:multiLevelType w:val="singleLevel"/>
    <w:tmpl w:val="61B5240C"/>
    <w:lvl w:ilvl="0" w:tentative="0">
      <w:start w:val="1"/>
      <w:numFmt w:val="decimal"/>
      <w:lvlText w:val="%1)"/>
      <w:lvlJc w:val="left"/>
      <w:pPr>
        <w:ind w:left="425" w:hanging="425"/>
      </w:pPr>
      <w:rPr>
        <w:rFonts w:hint="default"/>
      </w:rPr>
    </w:lvl>
  </w:abstractNum>
  <w:abstractNum w:abstractNumId="3">
    <w:nsid w:val="71BD1A65"/>
    <w:multiLevelType w:val="singleLevel"/>
    <w:tmpl w:val="71BD1A65"/>
    <w:lvl w:ilvl="0" w:tentative="0">
      <w:start w:val="1"/>
      <w:numFmt w:val="chineseCounting"/>
      <w:suff w:val="nothing"/>
      <w:lvlText w:val="%1、"/>
      <w:lvlJc w:val="left"/>
      <w:rPr>
        <w:rFonts w:hint="eastAsia"/>
      </w:rPr>
    </w:lvl>
  </w:abstractNum>
  <w:abstractNum w:abstractNumId="4">
    <w:nsid w:val="7A7B36A8"/>
    <w:multiLevelType w:val="singleLevel"/>
    <w:tmpl w:val="7A7B36A8"/>
    <w:lvl w:ilvl="0" w:tentative="0">
      <w:start w:val="33"/>
      <w:numFmt w:val="decimal"/>
      <w:suff w:val="nothing"/>
      <w:lvlText w:val="%1．"/>
      <w:lvlJc w:val="left"/>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DY2NjRkOWMwZmQ1MzRkNDc5MGIzNjRmZTQ3OGZiMzQifQ=="/>
  </w:docVars>
  <w:rsids>
    <w:rsidRoot w:val="3B6D4312"/>
    <w:rsid w:val="0002289A"/>
    <w:rsid w:val="0002557B"/>
    <w:rsid w:val="000327CF"/>
    <w:rsid w:val="0005254F"/>
    <w:rsid w:val="0006659E"/>
    <w:rsid w:val="000744F3"/>
    <w:rsid w:val="00085D0C"/>
    <w:rsid w:val="000B7B0A"/>
    <w:rsid w:val="000E0EC3"/>
    <w:rsid w:val="000F63F4"/>
    <w:rsid w:val="0010188E"/>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B1295"/>
    <w:rsid w:val="002B764E"/>
    <w:rsid w:val="002D7B13"/>
    <w:rsid w:val="003418D5"/>
    <w:rsid w:val="00396E4B"/>
    <w:rsid w:val="003B47E8"/>
    <w:rsid w:val="003D0F57"/>
    <w:rsid w:val="003D6230"/>
    <w:rsid w:val="0040578E"/>
    <w:rsid w:val="00407F49"/>
    <w:rsid w:val="00456C93"/>
    <w:rsid w:val="00464100"/>
    <w:rsid w:val="0048290C"/>
    <w:rsid w:val="004B2C05"/>
    <w:rsid w:val="004D6177"/>
    <w:rsid w:val="00524AD0"/>
    <w:rsid w:val="00551BD0"/>
    <w:rsid w:val="00553FDF"/>
    <w:rsid w:val="00571117"/>
    <w:rsid w:val="005A19E6"/>
    <w:rsid w:val="005C4427"/>
    <w:rsid w:val="00641255"/>
    <w:rsid w:val="00646FE0"/>
    <w:rsid w:val="0065458C"/>
    <w:rsid w:val="0065720F"/>
    <w:rsid w:val="00697CBD"/>
    <w:rsid w:val="006A18B1"/>
    <w:rsid w:val="006D13F4"/>
    <w:rsid w:val="006D7EB2"/>
    <w:rsid w:val="007055DD"/>
    <w:rsid w:val="00722415"/>
    <w:rsid w:val="007309C3"/>
    <w:rsid w:val="0075587D"/>
    <w:rsid w:val="00790D6C"/>
    <w:rsid w:val="00791D3B"/>
    <w:rsid w:val="00793DB5"/>
    <w:rsid w:val="007A633F"/>
    <w:rsid w:val="007A7407"/>
    <w:rsid w:val="007B6565"/>
    <w:rsid w:val="007B7E26"/>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A3BF5"/>
    <w:rsid w:val="009B3C24"/>
    <w:rsid w:val="009B4E73"/>
    <w:rsid w:val="009C14AA"/>
    <w:rsid w:val="009C50DE"/>
    <w:rsid w:val="009D0B60"/>
    <w:rsid w:val="009E4EFF"/>
    <w:rsid w:val="009F672A"/>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C0443"/>
    <w:rsid w:val="00BD0854"/>
    <w:rsid w:val="00C532AA"/>
    <w:rsid w:val="00CA20C7"/>
    <w:rsid w:val="00CA24DF"/>
    <w:rsid w:val="00CA49A2"/>
    <w:rsid w:val="00CC34A7"/>
    <w:rsid w:val="00D04FBA"/>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C7073"/>
    <w:rsid w:val="00FF33A0"/>
    <w:rsid w:val="00FF76D9"/>
    <w:rsid w:val="01E200EE"/>
    <w:rsid w:val="02F7533D"/>
    <w:rsid w:val="03562994"/>
    <w:rsid w:val="035F590D"/>
    <w:rsid w:val="03CB6D70"/>
    <w:rsid w:val="04364A4F"/>
    <w:rsid w:val="04E40895"/>
    <w:rsid w:val="051B7598"/>
    <w:rsid w:val="0639166E"/>
    <w:rsid w:val="08054F50"/>
    <w:rsid w:val="083B43B1"/>
    <w:rsid w:val="08757A2C"/>
    <w:rsid w:val="08C27377"/>
    <w:rsid w:val="09062DA7"/>
    <w:rsid w:val="09A667E8"/>
    <w:rsid w:val="0A0017C2"/>
    <w:rsid w:val="0B372B92"/>
    <w:rsid w:val="0C6E60F3"/>
    <w:rsid w:val="0C855B7E"/>
    <w:rsid w:val="0C87037B"/>
    <w:rsid w:val="0DD60F5E"/>
    <w:rsid w:val="0E1B10A8"/>
    <w:rsid w:val="0E80564C"/>
    <w:rsid w:val="0EA03B8A"/>
    <w:rsid w:val="0EAC0C18"/>
    <w:rsid w:val="0EB25F9A"/>
    <w:rsid w:val="0F8D0176"/>
    <w:rsid w:val="10FC5D0E"/>
    <w:rsid w:val="11BE05A3"/>
    <w:rsid w:val="11F528ED"/>
    <w:rsid w:val="12E86716"/>
    <w:rsid w:val="14082F52"/>
    <w:rsid w:val="14085DAD"/>
    <w:rsid w:val="14233C6D"/>
    <w:rsid w:val="14452035"/>
    <w:rsid w:val="145B3800"/>
    <w:rsid w:val="16007AF5"/>
    <w:rsid w:val="17E977C8"/>
    <w:rsid w:val="1873680D"/>
    <w:rsid w:val="18F12637"/>
    <w:rsid w:val="18FC5D7F"/>
    <w:rsid w:val="19AB3919"/>
    <w:rsid w:val="1A11228E"/>
    <w:rsid w:val="1AB46DAB"/>
    <w:rsid w:val="1B6C2995"/>
    <w:rsid w:val="1BC44893"/>
    <w:rsid w:val="1BE136FF"/>
    <w:rsid w:val="1C05708F"/>
    <w:rsid w:val="1C307374"/>
    <w:rsid w:val="1C9203A6"/>
    <w:rsid w:val="1E032835"/>
    <w:rsid w:val="1F1C5732"/>
    <w:rsid w:val="205D447F"/>
    <w:rsid w:val="21424D60"/>
    <w:rsid w:val="224A02E7"/>
    <w:rsid w:val="227411DF"/>
    <w:rsid w:val="24856237"/>
    <w:rsid w:val="24987C54"/>
    <w:rsid w:val="25053D8A"/>
    <w:rsid w:val="25687B33"/>
    <w:rsid w:val="25791876"/>
    <w:rsid w:val="26236584"/>
    <w:rsid w:val="26B94C66"/>
    <w:rsid w:val="26FF6942"/>
    <w:rsid w:val="272B74FA"/>
    <w:rsid w:val="2865301D"/>
    <w:rsid w:val="28C86C87"/>
    <w:rsid w:val="29051210"/>
    <w:rsid w:val="296119D7"/>
    <w:rsid w:val="2A97100B"/>
    <w:rsid w:val="2B401296"/>
    <w:rsid w:val="2BEC17AE"/>
    <w:rsid w:val="2C1B0D4A"/>
    <w:rsid w:val="2D0635AD"/>
    <w:rsid w:val="2DDB1EBF"/>
    <w:rsid w:val="2DF963B5"/>
    <w:rsid w:val="2EC40C57"/>
    <w:rsid w:val="2EE433BF"/>
    <w:rsid w:val="30334755"/>
    <w:rsid w:val="30EC6390"/>
    <w:rsid w:val="311233CC"/>
    <w:rsid w:val="33381B43"/>
    <w:rsid w:val="342A4220"/>
    <w:rsid w:val="344432B9"/>
    <w:rsid w:val="34935BA4"/>
    <w:rsid w:val="34A264CA"/>
    <w:rsid w:val="3700775A"/>
    <w:rsid w:val="37A26BD4"/>
    <w:rsid w:val="37AE7FE3"/>
    <w:rsid w:val="380E4678"/>
    <w:rsid w:val="38417D8A"/>
    <w:rsid w:val="39731517"/>
    <w:rsid w:val="39FC703A"/>
    <w:rsid w:val="3A00614F"/>
    <w:rsid w:val="3B183024"/>
    <w:rsid w:val="3B6D4312"/>
    <w:rsid w:val="3BD724E0"/>
    <w:rsid w:val="3CB7521C"/>
    <w:rsid w:val="3CE76215"/>
    <w:rsid w:val="3CFF0303"/>
    <w:rsid w:val="3D7619F9"/>
    <w:rsid w:val="3D96007A"/>
    <w:rsid w:val="3F5F332B"/>
    <w:rsid w:val="3F8502F8"/>
    <w:rsid w:val="3FD704B2"/>
    <w:rsid w:val="405854B3"/>
    <w:rsid w:val="40896772"/>
    <w:rsid w:val="409313F9"/>
    <w:rsid w:val="40CA2819"/>
    <w:rsid w:val="41543BC9"/>
    <w:rsid w:val="41EC3A6C"/>
    <w:rsid w:val="42A2655E"/>
    <w:rsid w:val="436C5E0D"/>
    <w:rsid w:val="44631084"/>
    <w:rsid w:val="446A549B"/>
    <w:rsid w:val="44800368"/>
    <w:rsid w:val="46871AD6"/>
    <w:rsid w:val="47025D0E"/>
    <w:rsid w:val="4735560E"/>
    <w:rsid w:val="47413F22"/>
    <w:rsid w:val="4792678F"/>
    <w:rsid w:val="47D76015"/>
    <w:rsid w:val="481D5A38"/>
    <w:rsid w:val="487975A7"/>
    <w:rsid w:val="48E72086"/>
    <w:rsid w:val="49732ED5"/>
    <w:rsid w:val="4986242B"/>
    <w:rsid w:val="499C01CA"/>
    <w:rsid w:val="4A1079FD"/>
    <w:rsid w:val="4A1D620C"/>
    <w:rsid w:val="4BC136D0"/>
    <w:rsid w:val="4BF328A0"/>
    <w:rsid w:val="4C2E17B4"/>
    <w:rsid w:val="4C81677F"/>
    <w:rsid w:val="4D904DD7"/>
    <w:rsid w:val="4D9C287D"/>
    <w:rsid w:val="4DC53F66"/>
    <w:rsid w:val="4E2A0E48"/>
    <w:rsid w:val="4E967676"/>
    <w:rsid w:val="4FC91A1A"/>
    <w:rsid w:val="4FED4628"/>
    <w:rsid w:val="51552F81"/>
    <w:rsid w:val="51AB2104"/>
    <w:rsid w:val="528B2681"/>
    <w:rsid w:val="530E35F9"/>
    <w:rsid w:val="53427976"/>
    <w:rsid w:val="53A07C03"/>
    <w:rsid w:val="53A63423"/>
    <w:rsid w:val="54386D63"/>
    <w:rsid w:val="54A36172"/>
    <w:rsid w:val="54BC0EE8"/>
    <w:rsid w:val="55D41C4B"/>
    <w:rsid w:val="55F12998"/>
    <w:rsid w:val="572444C0"/>
    <w:rsid w:val="588D470F"/>
    <w:rsid w:val="594F1692"/>
    <w:rsid w:val="59566C52"/>
    <w:rsid w:val="5AAF5CCA"/>
    <w:rsid w:val="5B0326EA"/>
    <w:rsid w:val="5B10566E"/>
    <w:rsid w:val="5B6E68B8"/>
    <w:rsid w:val="5B8D6C19"/>
    <w:rsid w:val="5B8E3311"/>
    <w:rsid w:val="5BCE61FA"/>
    <w:rsid w:val="5C9B134E"/>
    <w:rsid w:val="5DAA1580"/>
    <w:rsid w:val="5DF14932"/>
    <w:rsid w:val="5E1A6FB5"/>
    <w:rsid w:val="5E7A3CE2"/>
    <w:rsid w:val="5F1A1CD1"/>
    <w:rsid w:val="5F355496"/>
    <w:rsid w:val="5F865CD7"/>
    <w:rsid w:val="60F61E20"/>
    <w:rsid w:val="61A7533B"/>
    <w:rsid w:val="621244D5"/>
    <w:rsid w:val="62227AF7"/>
    <w:rsid w:val="62B2296D"/>
    <w:rsid w:val="636147EE"/>
    <w:rsid w:val="63DB6B9E"/>
    <w:rsid w:val="65B441A4"/>
    <w:rsid w:val="65D8147F"/>
    <w:rsid w:val="66373494"/>
    <w:rsid w:val="66591B82"/>
    <w:rsid w:val="6898637C"/>
    <w:rsid w:val="68B16D7B"/>
    <w:rsid w:val="68BA7003"/>
    <w:rsid w:val="69A40D72"/>
    <w:rsid w:val="6C920572"/>
    <w:rsid w:val="6DC31ECB"/>
    <w:rsid w:val="6E20114A"/>
    <w:rsid w:val="6E656845"/>
    <w:rsid w:val="6F471F5D"/>
    <w:rsid w:val="70CF07C8"/>
    <w:rsid w:val="710F157A"/>
    <w:rsid w:val="718C3480"/>
    <w:rsid w:val="72F3401B"/>
    <w:rsid w:val="731416B4"/>
    <w:rsid w:val="73712518"/>
    <w:rsid w:val="738E7AB2"/>
    <w:rsid w:val="74624F7D"/>
    <w:rsid w:val="74B72A06"/>
    <w:rsid w:val="7546516B"/>
    <w:rsid w:val="75AF555B"/>
    <w:rsid w:val="75DB6764"/>
    <w:rsid w:val="763204BA"/>
    <w:rsid w:val="76F3488A"/>
    <w:rsid w:val="77281C38"/>
    <w:rsid w:val="7743043E"/>
    <w:rsid w:val="781828A1"/>
    <w:rsid w:val="781C3DC0"/>
    <w:rsid w:val="78780B98"/>
    <w:rsid w:val="788E06C1"/>
    <w:rsid w:val="78D76423"/>
    <w:rsid w:val="78DF7509"/>
    <w:rsid w:val="79E02BD8"/>
    <w:rsid w:val="7A2B55F9"/>
    <w:rsid w:val="7A3458D0"/>
    <w:rsid w:val="7A4B048B"/>
    <w:rsid w:val="7A96669D"/>
    <w:rsid w:val="7B672810"/>
    <w:rsid w:val="7B681B66"/>
    <w:rsid w:val="7C1474DB"/>
    <w:rsid w:val="7C3E0025"/>
    <w:rsid w:val="7C6B2EC5"/>
    <w:rsid w:val="7C831CEC"/>
    <w:rsid w:val="7DDF7DDD"/>
    <w:rsid w:val="7E300909"/>
    <w:rsid w:val="7EC84C80"/>
    <w:rsid w:val="7EF55FF4"/>
    <w:rsid w:val="7F0627ED"/>
    <w:rsid w:val="7FEA4922"/>
    <w:rsid w:val="7FED130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3">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5">
    <w:name w:val="Normal Indent"/>
    <w:basedOn w:val="1"/>
    <w:qFormat/>
    <w:uiPriority w:val="0"/>
    <w:pPr>
      <w:ind w:firstLine="420"/>
    </w:pPr>
    <w:rPr>
      <w:rFonts w:ascii="Times New Roman" w:hAnsi="Times New Roman" w:eastAsia="宋体" w:cs="Times New Roman"/>
      <w:szCs w:val="20"/>
    </w:rPr>
  </w:style>
  <w:style w:type="paragraph" w:styleId="6">
    <w:name w:val="annotation text"/>
    <w:basedOn w:val="1"/>
    <w:semiHidden/>
    <w:unhideWhenUsed/>
    <w:qFormat/>
    <w:uiPriority w:val="0"/>
    <w:pPr>
      <w:jc w:val="left"/>
    </w:pPr>
  </w:style>
  <w:style w:type="paragraph" w:styleId="7">
    <w:name w:val="Body Text"/>
    <w:basedOn w:val="1"/>
    <w:qFormat/>
    <w:uiPriority w:val="0"/>
  </w:style>
  <w:style w:type="paragraph" w:styleId="8">
    <w:name w:val="Plain Text"/>
    <w:basedOn w:val="1"/>
    <w:link w:val="30"/>
    <w:qFormat/>
    <w:uiPriority w:val="0"/>
    <w:rPr>
      <w:rFonts w:hint="eastAsia" w:ascii="宋体" w:hAnsi="Courier New" w:eastAsia="宋体" w:cs="Times New Roman"/>
      <w:szCs w:val="21"/>
    </w:rPr>
  </w:style>
  <w:style w:type="paragraph" w:styleId="9">
    <w:name w:val="Balloon Text"/>
    <w:basedOn w:val="1"/>
    <w:link w:val="28"/>
    <w:qFormat/>
    <w:uiPriority w:val="0"/>
    <w:rPr>
      <w:sz w:val="18"/>
      <w:szCs w:val="18"/>
    </w:rPr>
  </w:style>
  <w:style w:type="paragraph" w:styleId="10">
    <w:name w:val="footer"/>
    <w:basedOn w:val="1"/>
    <w:link w:val="27"/>
    <w:qFormat/>
    <w:uiPriority w:val="0"/>
    <w:pPr>
      <w:tabs>
        <w:tab w:val="center" w:pos="4153"/>
        <w:tab w:val="right" w:pos="8306"/>
      </w:tabs>
      <w:snapToGrid w:val="0"/>
      <w:jc w:val="left"/>
    </w:pPr>
    <w:rPr>
      <w:sz w:val="18"/>
      <w:szCs w:val="18"/>
    </w:rPr>
  </w:style>
  <w:style w:type="paragraph" w:styleId="11">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rPr>
      <w:rFonts w:ascii="Times New Roman" w:hAnsi="Times New Roman" w:eastAsia="宋体" w:cs="Times New Roman"/>
      <w:szCs w:val="21"/>
    </w:rPr>
  </w:style>
  <w:style w:type="paragraph" w:styleId="13">
    <w:name w:val="Body Text First Indent"/>
    <w:basedOn w:val="7"/>
    <w:link w:val="31"/>
    <w:qFormat/>
    <w:uiPriority w:val="0"/>
    <w:pPr>
      <w:spacing w:beforeAutospacing="1" w:after="120"/>
      <w:ind w:firstLine="420"/>
    </w:pPr>
    <w:rPr>
      <w:rFonts w:ascii="Times New Roman" w:hAnsi="Times New Roman" w:eastAsia="宋体" w:cs="Times New Roman"/>
      <w:szCs w:val="21"/>
    </w:rPr>
  </w:style>
  <w:style w:type="character" w:styleId="16">
    <w:name w:val="page number"/>
    <w:basedOn w:val="15"/>
    <w:qFormat/>
    <w:uiPriority w:val="0"/>
  </w:style>
  <w:style w:type="character" w:styleId="17">
    <w:name w:val="FollowedHyperlink"/>
    <w:basedOn w:val="15"/>
    <w:qFormat/>
    <w:uiPriority w:val="0"/>
    <w:rPr>
      <w:color w:val="0000FF"/>
      <w:u w:val="single"/>
    </w:rPr>
  </w:style>
  <w:style w:type="character" w:styleId="18">
    <w:name w:val="Hyperlink"/>
    <w:basedOn w:val="15"/>
    <w:qFormat/>
    <w:uiPriority w:val="0"/>
    <w:rPr>
      <w:color w:val="0000FF"/>
      <w:u w:val="single"/>
    </w:rPr>
  </w:style>
  <w:style w:type="paragraph" w:customStyle="1" w:styleId="19">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0">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1">
    <w:name w:val="列出段落1"/>
    <w:basedOn w:val="1"/>
    <w:qFormat/>
    <w:uiPriority w:val="0"/>
    <w:pPr>
      <w:ind w:firstLine="420" w:firstLineChars="200"/>
    </w:pPr>
    <w:rPr>
      <w:rFonts w:ascii="Calibri" w:hAnsi="Calibri" w:eastAsia="宋体" w:cs="Times New Roman"/>
      <w:szCs w:val="21"/>
    </w:rPr>
  </w:style>
  <w:style w:type="paragraph" w:customStyle="1" w:styleId="22">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3">
    <w:name w:val="10"/>
    <w:basedOn w:val="15"/>
    <w:qFormat/>
    <w:uiPriority w:val="0"/>
    <w:rPr>
      <w:rFonts w:hint="default" w:ascii="Times New Roman" w:hAnsi="Times New Roman" w:cs="Times New Roman"/>
    </w:rPr>
  </w:style>
  <w:style w:type="character" w:customStyle="1" w:styleId="24">
    <w:name w:val="15"/>
    <w:basedOn w:val="15"/>
    <w:qFormat/>
    <w:uiPriority w:val="0"/>
    <w:rPr>
      <w:rFonts w:hint="default" w:ascii="Times New Roman" w:hAnsi="Times New Roman" w:cs="Times New Roman"/>
    </w:rPr>
  </w:style>
  <w:style w:type="character" w:customStyle="1" w:styleId="25">
    <w:name w:val="16"/>
    <w:basedOn w:val="15"/>
    <w:qFormat/>
    <w:uiPriority w:val="0"/>
    <w:rPr>
      <w:rFonts w:hint="default" w:ascii="Times New Roman" w:hAnsi="Times New Roman" w:cs="Times New Roman"/>
      <w:color w:val="0000FF"/>
      <w:u w:val="single"/>
    </w:rPr>
  </w:style>
  <w:style w:type="character" w:customStyle="1" w:styleId="26">
    <w:name w:val="页眉 Char"/>
    <w:basedOn w:val="15"/>
    <w:link w:val="11"/>
    <w:qFormat/>
    <w:uiPriority w:val="0"/>
    <w:rPr>
      <w:rFonts w:asciiTheme="minorHAnsi" w:hAnsiTheme="minorHAnsi" w:eastAsiaTheme="minorEastAsia" w:cstheme="minorBidi"/>
      <w:kern w:val="2"/>
      <w:sz w:val="18"/>
      <w:szCs w:val="18"/>
    </w:rPr>
  </w:style>
  <w:style w:type="character" w:customStyle="1" w:styleId="27">
    <w:name w:val="页脚 Char"/>
    <w:basedOn w:val="15"/>
    <w:link w:val="10"/>
    <w:qFormat/>
    <w:uiPriority w:val="0"/>
    <w:rPr>
      <w:rFonts w:asciiTheme="minorHAnsi" w:hAnsiTheme="minorHAnsi" w:eastAsiaTheme="minorEastAsia" w:cstheme="minorBidi"/>
      <w:kern w:val="2"/>
      <w:sz w:val="18"/>
      <w:szCs w:val="18"/>
    </w:rPr>
  </w:style>
  <w:style w:type="character" w:customStyle="1" w:styleId="28">
    <w:name w:val="批注框文本 Char"/>
    <w:basedOn w:val="15"/>
    <w:link w:val="9"/>
    <w:qFormat/>
    <w:uiPriority w:val="0"/>
    <w:rPr>
      <w:rFonts w:asciiTheme="minorHAnsi" w:hAnsiTheme="minorHAnsi" w:eastAsiaTheme="minorEastAsia" w:cstheme="minorBidi"/>
      <w:kern w:val="2"/>
      <w:sz w:val="18"/>
      <w:szCs w:val="18"/>
    </w:rPr>
  </w:style>
  <w:style w:type="paragraph" w:customStyle="1" w:styleId="29">
    <w:name w:val="WPSOffice手动目录 1"/>
    <w:qFormat/>
    <w:uiPriority w:val="0"/>
    <w:rPr>
      <w:rFonts w:ascii="Times New Roman" w:hAnsi="Times New Roman" w:eastAsia="宋体" w:cs="Times New Roman"/>
      <w:lang w:val="en-US" w:eastAsia="zh-CN" w:bidi="ar-SA"/>
    </w:rPr>
  </w:style>
  <w:style w:type="character" w:customStyle="1" w:styleId="30">
    <w:name w:val="纯文本 Char"/>
    <w:link w:val="8"/>
    <w:qFormat/>
    <w:uiPriority w:val="0"/>
    <w:rPr>
      <w:rFonts w:ascii="宋体" w:hAnsi="Courier New"/>
      <w:kern w:val="2"/>
      <w:sz w:val="21"/>
      <w:szCs w:val="21"/>
    </w:rPr>
  </w:style>
  <w:style w:type="character" w:customStyle="1" w:styleId="31">
    <w:name w:val="正文首行缩进 Char"/>
    <w:basedOn w:val="15"/>
    <w:link w:val="13"/>
    <w:qFormat/>
    <w:uiPriority w:val="0"/>
    <w:rPr>
      <w:kern w:val="2"/>
      <w:sz w:val="21"/>
      <w:szCs w:val="21"/>
    </w:rPr>
  </w:style>
  <w:style w:type="paragraph" w:styleId="32">
    <w:name w:val="List Paragraph"/>
    <w:basedOn w:val="1"/>
    <w:unhideWhenUsed/>
    <w:qFormat/>
    <w:uiPriority w:val="99"/>
    <w:pPr>
      <w:ind w:firstLine="420" w:firstLineChars="200"/>
    </w:pPr>
  </w:style>
  <w:style w:type="paragraph" w:customStyle="1" w:styleId="33">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4">
    <w:name w:val="发文落款"/>
    <w:basedOn w:val="33"/>
    <w:qFormat/>
    <w:uiPriority w:val="0"/>
    <w:pPr>
      <w:ind w:left="4094" w:right="607" w:firstLine="0"/>
      <w:jc w:val="center"/>
    </w:pPr>
  </w:style>
  <w:style w:type="character" w:customStyle="1" w:styleId="35">
    <w:name w:val="c Char1"/>
    <w:link w:val="36"/>
    <w:qFormat/>
    <w:uiPriority w:val="0"/>
    <w:rPr>
      <w:rFonts w:eastAsia="仿宋_GB2312" w:cs="宋体"/>
      <w:sz w:val="28"/>
    </w:rPr>
  </w:style>
  <w:style w:type="paragraph" w:customStyle="1" w:styleId="36">
    <w:name w:val="c"/>
    <w:basedOn w:val="1"/>
    <w:link w:val="35"/>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41</Pages>
  <Words>15030</Words>
  <Characters>15831</Characters>
  <Lines>120</Lines>
  <Paragraphs>33</Paragraphs>
  <TotalTime>14</TotalTime>
  <ScaleCrop>false</ScaleCrop>
  <LinksUpToDate>false</LinksUpToDate>
  <CharactersWithSpaces>16494</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梁永仪</cp:lastModifiedBy>
  <cp:lastPrinted>2023-12-11T03:07:32Z</cp:lastPrinted>
  <dcterms:modified xsi:type="dcterms:W3CDTF">2023-12-11T03:16:14Z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9628AA374998423190E9DBCF58C772B7_13</vt:lpwstr>
  </property>
</Properties>
</file>