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pStyle w:val="2"/>
        <w:rPr>
          <w:rFonts w:ascii="宋体" w:hAnsi="宋体" w:eastAsia="宋体" w:cs="宋体"/>
          <w:color w:val="auto"/>
          <w:szCs w:val="21"/>
          <w:highlight w:val="none"/>
        </w:rPr>
      </w:pPr>
    </w:p>
    <w:p>
      <w:pPr>
        <w:pStyle w:val="2"/>
        <w:rPr>
          <w:rFonts w:ascii="宋体" w:hAnsi="宋体" w:eastAsia="宋体" w:cs="宋体"/>
          <w:color w:val="auto"/>
          <w:szCs w:val="21"/>
          <w:highlight w:val="none"/>
        </w:rPr>
      </w:pPr>
    </w:p>
    <w:p>
      <w:pPr>
        <w:pStyle w:val="2"/>
        <w:rPr>
          <w:rFonts w:ascii="宋体" w:hAnsi="宋体" w:eastAsia="宋体" w:cs="宋体"/>
          <w:color w:val="auto"/>
          <w:szCs w:val="21"/>
          <w:highlight w:val="none"/>
        </w:rPr>
      </w:pPr>
    </w:p>
    <w:p>
      <w:pPr>
        <w:spacing w:line="360" w:lineRule="auto"/>
        <w:jc w:val="center"/>
        <w:rPr>
          <w:rFonts w:ascii="宋体" w:hAnsi="宋体" w:eastAsia="宋体" w:cs="宋体"/>
          <w:b/>
          <w:color w:val="auto"/>
          <w:sz w:val="44"/>
          <w:szCs w:val="44"/>
          <w:highlight w:val="none"/>
        </w:rPr>
      </w:pPr>
      <w:r>
        <w:rPr>
          <w:rFonts w:hint="eastAsia" w:ascii="宋体" w:hAnsi="宋体" w:eastAsia="宋体" w:cs="宋体"/>
          <w:b/>
          <w:color w:val="auto"/>
          <w:sz w:val="44"/>
          <w:szCs w:val="44"/>
          <w:highlight w:val="none"/>
        </w:rPr>
        <w:t>广州南沙建设维护管理有限公司</w:t>
      </w:r>
    </w:p>
    <w:p>
      <w:pPr>
        <w:spacing w:line="360" w:lineRule="auto"/>
        <w:jc w:val="center"/>
        <w:rPr>
          <w:rFonts w:ascii="宋体" w:hAnsi="宋体" w:eastAsia="宋体" w:cs="宋体"/>
          <w:b/>
          <w:color w:val="auto"/>
          <w:sz w:val="44"/>
          <w:szCs w:val="44"/>
          <w:highlight w:val="none"/>
        </w:rPr>
      </w:pPr>
      <w:r>
        <w:rPr>
          <w:rFonts w:hint="eastAsia" w:ascii="宋体" w:hAnsi="宋体" w:eastAsia="宋体" w:cs="宋体"/>
          <w:b/>
          <w:color w:val="auto"/>
          <w:sz w:val="44"/>
          <w:szCs w:val="44"/>
          <w:highlight w:val="none"/>
        </w:rPr>
        <w:t>2024年度项目造价咨询服务</w:t>
      </w:r>
    </w:p>
    <w:p>
      <w:pPr>
        <w:jc w:val="center"/>
        <w:rPr>
          <w:rFonts w:ascii="宋体" w:hAnsi="宋体" w:eastAsia="宋体" w:cs="宋体"/>
          <w:color w:val="auto"/>
          <w:sz w:val="44"/>
          <w:szCs w:val="44"/>
          <w:highlight w:val="none"/>
        </w:rPr>
      </w:pPr>
      <w:r>
        <w:rPr>
          <w:rFonts w:hint="eastAsia" w:ascii="宋体" w:hAnsi="宋体" w:eastAsia="宋体" w:cs="宋体"/>
          <w:color w:val="auto"/>
          <w:sz w:val="44"/>
          <w:szCs w:val="44"/>
          <w:highlight w:val="none"/>
        </w:rPr>
        <w:t xml:space="preserve"> </w:t>
      </w:r>
    </w:p>
    <w:p>
      <w:pPr>
        <w:rPr>
          <w:rFonts w:ascii="宋体" w:hAnsi="宋体" w:eastAsia="宋体" w:cs="宋体"/>
          <w:color w:val="auto"/>
          <w:sz w:val="72"/>
          <w:szCs w:val="72"/>
          <w:highlight w:val="none"/>
        </w:rPr>
      </w:pP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p>
    <w:p>
      <w:pP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spacing w:line="360" w:lineRule="auto"/>
        <w:ind w:firstLine="1805" w:firstLineChars="562"/>
        <w:rPr>
          <w:rFonts w:ascii="宋体" w:hAnsi="宋体" w:eastAsia="宋体" w:cs="宋体"/>
          <w:b/>
          <w:color w:val="auto"/>
          <w:sz w:val="32"/>
          <w:szCs w:val="32"/>
          <w:highlight w:val="none"/>
        </w:rPr>
      </w:pPr>
      <w:bookmarkStart w:id="0" w:name="OLE_LINK4"/>
      <w:bookmarkEnd w:id="0"/>
      <w:r>
        <w:rPr>
          <w:rFonts w:hint="eastAsia" w:ascii="宋体" w:hAnsi="宋体" w:eastAsia="宋体" w:cs="宋体"/>
          <w:b/>
          <w:color w:val="auto"/>
          <w:sz w:val="32"/>
          <w:szCs w:val="32"/>
          <w:highlight w:val="none"/>
        </w:rPr>
        <w:t>招标人：广州南沙建设维护管理有限公司</w:t>
      </w:r>
    </w:p>
    <w:p>
      <w:pPr>
        <w:spacing w:line="520" w:lineRule="exact"/>
        <w:ind w:right="-101" w:rightChars="-48" w:firstLine="1751" w:firstLineChars="545"/>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    期：2024年1月</w:t>
      </w:r>
    </w:p>
    <w:p>
      <w:pP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bookmarkStart w:id="1" w:name="_Toc29976"/>
    </w:p>
    <w:p>
      <w:pPr>
        <w:rPr>
          <w:rFonts w:ascii="黑体" w:hAnsi="宋体" w:eastAsia="黑体" w:cs="黑体"/>
          <w:color w:val="auto"/>
          <w:sz w:val="36"/>
          <w:szCs w:val="36"/>
          <w:highlight w:val="none"/>
        </w:rPr>
      </w:pPr>
    </w:p>
    <w:bookmarkEnd w:id="1"/>
    <w:sdt>
      <w:sdtPr>
        <w:rPr>
          <w:rFonts w:ascii="宋体" w:hAnsi="宋体" w:eastAsia="宋体"/>
          <w:color w:val="auto"/>
          <w:highlight w:val="none"/>
        </w:rPr>
        <w:id w:val="147481204"/>
        <w15:color w:val="DBDBDB"/>
        <w:docPartObj>
          <w:docPartGallery w:val="Table of Contents"/>
          <w:docPartUnique/>
        </w:docPartObj>
      </w:sdtPr>
      <w:sdtEndPr>
        <w:rPr>
          <w:rFonts w:ascii="宋体" w:hAnsi="宋体" w:eastAsia="宋体"/>
          <w:color w:val="auto"/>
          <w:highlight w:val="none"/>
        </w:rPr>
      </w:sdtEndPr>
      <w:sdtContent>
        <w:p>
          <w:pPr>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1"/>
            <w:tabs>
              <w:tab w:val="right" w:leader="dot" w:pos="9419"/>
            </w:tabs>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TOC \o "1-1" \h \u </w:instrText>
          </w:r>
          <w:r>
            <w:rPr>
              <w:rFonts w:hint="eastAsia" w:asciiTheme="minorEastAsia" w:hAnsiTheme="minorEastAsia" w:eastAsiaTheme="minorEastAsia" w:cstheme="minorEastAsia"/>
              <w:color w:val="auto"/>
              <w:sz w:val="24"/>
              <w:szCs w:val="24"/>
              <w:highlight w:val="none"/>
            </w:rPr>
            <w:fldChar w:fldCharType="separate"/>
          </w:r>
          <w:r>
            <w:rPr>
              <w:color w:val="auto"/>
              <w:highlight w:val="none"/>
            </w:rPr>
            <w:fldChar w:fldCharType="begin"/>
          </w:r>
          <w:r>
            <w:rPr>
              <w:color w:val="auto"/>
              <w:highlight w:val="none"/>
            </w:rPr>
            <w:instrText xml:space="preserve"> HYPERLINK \l "_Toc14617" </w:instrText>
          </w:r>
          <w:r>
            <w:rPr>
              <w:color w:val="auto"/>
              <w:highlight w:val="none"/>
            </w:rPr>
            <w:fldChar w:fldCharType="separate"/>
          </w:r>
          <w:r>
            <w:rPr>
              <w:rFonts w:hint="eastAsia" w:asciiTheme="minorEastAsia" w:hAnsiTheme="minorEastAsia" w:eastAsiaTheme="minorEastAsia" w:cstheme="minorEastAsia"/>
              <w:color w:val="auto"/>
              <w:spacing w:val="34"/>
              <w:kern w:val="44"/>
              <w:sz w:val="24"/>
              <w:szCs w:val="24"/>
              <w:highlight w:val="none"/>
            </w:rPr>
            <w:t>投标邀请函</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_Toc14617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1"/>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"_Toc13302"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第1章 投标须知及前附表</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_Toc13302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1"/>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"_Toc1632"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第2章 项目需求书</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_Toc1632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16</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1"/>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"_Toc27492"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第3章  投标格式文件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_Toc27492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19</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1"/>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"_Toc30913"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第4章 评标办法</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_Toc30913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30</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1"/>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"_Toc26593"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第5章 附件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_Toc26593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37</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1"/>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"_Toc12170" </w:instrText>
          </w:r>
          <w:r>
            <w:rPr>
              <w:color w:val="auto"/>
              <w:highlight w:val="none"/>
            </w:rPr>
            <w:fldChar w:fldCharType="separate"/>
          </w:r>
          <w:r>
            <w:rPr>
              <w:rFonts w:hint="eastAsia" w:asciiTheme="minorEastAsia" w:hAnsiTheme="minorEastAsia" w:eastAsiaTheme="minorEastAsia" w:cstheme="minorEastAsia"/>
              <w:color w:val="auto"/>
              <w:sz w:val="24"/>
              <w:szCs w:val="24"/>
              <w:highlight w:val="none"/>
            </w:rPr>
            <w:t>附件1：符合性审查表</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_Toc12170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38</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1"/>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"_Toc18783" </w:instrText>
          </w:r>
          <w:r>
            <w:rPr>
              <w:color w:val="auto"/>
              <w:highlight w:val="none"/>
            </w:rPr>
            <w:fldChar w:fldCharType="separate"/>
          </w:r>
          <w:r>
            <w:rPr>
              <w:rFonts w:hint="eastAsia" w:asciiTheme="minorEastAsia" w:hAnsiTheme="minorEastAsia" w:eastAsiaTheme="minorEastAsia" w:cstheme="minorEastAsia"/>
              <w:color w:val="auto"/>
              <w:sz w:val="24"/>
              <w:szCs w:val="24"/>
              <w:highlight w:val="none"/>
            </w:rPr>
            <w:t>附件2综合评分表</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_Toc18783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39</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rPr>
              <w:color w:val="auto"/>
              <w:highlight w:val="none"/>
            </w:rPr>
          </w:pPr>
          <w:r>
            <w:rPr>
              <w:rFonts w:hint="eastAsia" w:asciiTheme="minorEastAsia" w:hAnsiTheme="minorEastAsia" w:cstheme="minorEastAsia"/>
              <w:color w:val="auto"/>
              <w:sz w:val="24"/>
              <w:highlight w:val="none"/>
            </w:rPr>
            <w:fldChar w:fldCharType="end"/>
          </w:r>
        </w:p>
      </w:sdtContent>
    </w:sdt>
    <w:p>
      <w:pPr>
        <w:pStyle w:val="13"/>
        <w:widowControl/>
        <w:spacing w:after="0"/>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p>
    <w:p>
      <w:pPr>
        <w:pStyle w:val="3"/>
        <w:widowControl/>
        <w:spacing w:before="0" w:after="0" w:line="360" w:lineRule="auto"/>
        <w:jc w:val="center"/>
        <w:rPr>
          <w:rFonts w:ascii="黑体" w:hAnsi="宋体" w:cs="黑体"/>
          <w:b/>
          <w:color w:val="auto"/>
          <w:kern w:val="44"/>
          <w:sz w:val="44"/>
          <w:szCs w:val="44"/>
          <w:highlight w:val="none"/>
        </w:rPr>
      </w:pPr>
      <w:bookmarkStart w:id="2" w:name="_Toc13302"/>
      <w:bookmarkStart w:id="3" w:name="_Toc374128472"/>
      <w:r>
        <w:rPr>
          <w:rFonts w:hint="eastAsia" w:ascii="黑体" w:hAnsi="宋体" w:cs="黑体"/>
          <w:b/>
          <w:color w:val="auto"/>
          <w:kern w:val="44"/>
          <w:sz w:val="44"/>
          <w:szCs w:val="44"/>
          <w:highlight w:val="none"/>
        </w:rPr>
        <w:t>第1章 投标须知及前附表</w:t>
      </w:r>
      <w:bookmarkEnd w:id="2"/>
      <w:bookmarkEnd w:id="3"/>
    </w:p>
    <w:p>
      <w:pPr>
        <w:spacing w:after="142"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4"/>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b/>
                <w:color w:val="auto"/>
                <w:highlight w:val="none"/>
              </w:rPr>
            </w:pPr>
            <w:r>
              <w:rPr>
                <w:rFonts w:hint="eastAsia" w:ascii="宋体" w:hAnsi="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b/>
                <w:color w:val="auto"/>
                <w:highlight w:val="none"/>
              </w:rPr>
            </w:pPr>
            <w:r>
              <w:rPr>
                <w:rFonts w:hint="eastAsia" w:ascii="宋体" w:hAnsi="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b/>
                <w:color w:val="auto"/>
                <w:highlight w:val="none"/>
              </w:rPr>
            </w:pPr>
            <w:r>
              <w:rPr>
                <w:rFonts w:hint="eastAsia" w:ascii="宋体" w:hAnsi="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jc w:val="center"/>
              <w:rPr>
                <w:rFonts w:ascii="宋体" w:hAnsi="宋体" w:cs="宋体"/>
                <w:b/>
                <w:color w:val="auto"/>
                <w:highlight w:val="none"/>
              </w:rPr>
            </w:pPr>
            <w:r>
              <w:rPr>
                <w:rFonts w:hint="eastAsia" w:ascii="宋体" w:hAnsi="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ascii="宋体" w:hAnsi="宋体" w:cs="宋体"/>
                <w:color w:val="auto"/>
                <w:highlight w:val="none"/>
              </w:rPr>
            </w:pPr>
            <w:r>
              <w:rPr>
                <w:rFonts w:hint="eastAsia" w:ascii="宋体" w:hAnsi="宋体" w:cs="宋体"/>
                <w:color w:val="auto"/>
                <w:highlight w:val="none"/>
                <w:u w:val="single"/>
              </w:rPr>
              <w:t>广州南沙建设维护管理有限公司2024年度项目造价咨询服务</w:t>
            </w:r>
          </w:p>
        </w:tc>
      </w:tr>
      <w:tr>
        <w:tblPrEx>
          <w:tblCellMar>
            <w:top w:w="0" w:type="dxa"/>
            <w:left w:w="108" w:type="dxa"/>
            <w:bottom w:w="0" w:type="dxa"/>
            <w:right w:w="108" w:type="dxa"/>
          </w:tblCellMar>
        </w:tblPrEx>
        <w:trPr>
          <w:trHeight w:val="4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ascii="宋体" w:hAnsi="宋体" w:cs="宋体"/>
                <w:color w:val="auto"/>
                <w:highlight w:val="none"/>
                <w:u w:val="single"/>
              </w:rPr>
            </w:pPr>
            <w:r>
              <w:rPr>
                <w:rFonts w:hint="eastAsia" w:ascii="宋体" w:hAnsi="宋体" w:cs="宋体"/>
                <w:color w:val="auto"/>
                <w:highlight w:val="none"/>
                <w:u w:val="single"/>
              </w:rPr>
              <w:t>广州市南沙区</w:t>
            </w:r>
          </w:p>
        </w:tc>
      </w:tr>
      <w:tr>
        <w:tblPrEx>
          <w:tblCellMar>
            <w:top w:w="0" w:type="dxa"/>
            <w:left w:w="108" w:type="dxa"/>
            <w:bottom w:w="0" w:type="dxa"/>
            <w:right w:w="108" w:type="dxa"/>
          </w:tblCellMar>
        </w:tblPrEx>
        <w:trPr>
          <w:trHeight w:val="96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项目规模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ascii="宋体" w:hAnsi="宋体" w:cs="宋体"/>
                <w:color w:val="auto"/>
                <w:highlight w:val="none"/>
                <w:u w:val="single"/>
              </w:rPr>
            </w:pPr>
            <w:r>
              <w:rPr>
                <w:rFonts w:hint="eastAsia" w:ascii="宋体" w:hAnsi="宋体" w:cs="宋体"/>
                <w:color w:val="auto"/>
                <w:highlight w:val="none"/>
                <w:u w:val="single"/>
              </w:rPr>
              <w:t>本次招标具体为广州南沙建设维护管理有限公司及其受托管理单位年度项目造价咨询服务外包，要求中标单位有一定的服务质量保证，且态度良好，信誉可靠</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计划费用总额</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ascii="宋体" w:hAnsi="宋体" w:cs="宋体"/>
                <w:color w:val="auto"/>
                <w:highlight w:val="none"/>
                <w:u w:val="single"/>
              </w:rPr>
            </w:pPr>
            <w:r>
              <w:rPr>
                <w:rFonts w:hint="eastAsia" w:ascii="宋体" w:hAnsi="宋体" w:cs="宋体"/>
                <w:color w:val="auto"/>
                <w:highlight w:val="none"/>
                <w:u w:val="single"/>
              </w:rPr>
              <w:t>本项目年度计划费用总额为100万元以下，项目数为若干，单个项目不超过50万元，以最终投标人报价（下浮率）为准，计算单个项目的服务费。</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ascii="宋体" w:hAnsi="宋体" w:eastAsia="宋体" w:cs="宋体"/>
                <w:color w:val="auto"/>
                <w:szCs w:val="21"/>
                <w:highlight w:val="none"/>
                <w:u w:val="single"/>
              </w:rPr>
            </w:pPr>
            <w:r>
              <w:rPr>
                <w:rFonts w:hint="eastAsia" w:ascii="宋体" w:hAnsi="宋体" w:eastAsia="宋体" w:cs="宋体"/>
                <w:color w:val="auto"/>
                <w:szCs w:val="21"/>
                <w:highlight w:val="none"/>
                <w:u w:val="single"/>
              </w:rPr>
              <w:t>符合法律、法规及工程造价计价办法和规定</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Ansi="宋体"/>
                <w:color w:val="auto"/>
                <w:kern w:val="0"/>
                <w:highlight w:val="none"/>
                <w:u w:val="single"/>
              </w:rPr>
            </w:pPr>
            <w:r>
              <w:rPr>
                <w:rFonts w:hAnsi="宋体"/>
                <w:color w:val="auto"/>
                <w:kern w:val="0"/>
                <w:highlight w:val="none"/>
                <w:u w:val="single"/>
              </w:rPr>
              <w:t>本项目为造价咨询年度服务外包，具体内容</w:t>
            </w:r>
            <w:r>
              <w:rPr>
                <w:rFonts w:hint="eastAsia" w:hAnsi="宋体"/>
                <w:color w:val="auto"/>
                <w:kern w:val="0"/>
                <w:highlight w:val="none"/>
                <w:u w:val="single"/>
                <w:lang w:eastAsia="zh-CN"/>
              </w:rPr>
              <w:t>为</w:t>
            </w:r>
            <w:r>
              <w:rPr>
                <w:rFonts w:hAnsi="宋体"/>
                <w:color w:val="auto"/>
                <w:kern w:val="0"/>
                <w:highlight w:val="none"/>
                <w:u w:val="single"/>
              </w:rPr>
              <w:t>招标人</w:t>
            </w:r>
            <w:r>
              <w:rPr>
                <w:rFonts w:hint="eastAsia" w:hAnsi="宋体"/>
                <w:color w:val="auto"/>
                <w:kern w:val="0"/>
                <w:highlight w:val="none"/>
                <w:u w:val="single"/>
              </w:rPr>
              <w:t>及其受托管理单位</w:t>
            </w:r>
            <w:r>
              <w:rPr>
                <w:rFonts w:hAnsi="宋体"/>
                <w:color w:val="auto"/>
                <w:kern w:val="0"/>
                <w:highlight w:val="none"/>
                <w:u w:val="single"/>
              </w:rPr>
              <w:t>所有需要完成造价咨询的项目服务（含自有项目、代建项目等），包括但不限</w:t>
            </w:r>
            <w:r>
              <w:rPr>
                <w:rFonts w:ascii="Times New Roman" w:hAnsi="宋体" w:eastAsia="宋体" w:cs="Times New Roman"/>
                <w:color w:val="auto"/>
                <w:kern w:val="0"/>
                <w:highlight w:val="none"/>
                <w:u w:val="single"/>
              </w:rPr>
              <w:t>于</w:t>
            </w:r>
            <w:r>
              <w:rPr>
                <w:rFonts w:hint="eastAsia" w:ascii="Times New Roman" w:hAnsi="宋体" w:eastAsia="宋体" w:cs="Times New Roman"/>
                <w:color w:val="auto"/>
                <w:kern w:val="0"/>
                <w:highlight w:val="none"/>
                <w:u w:val="single"/>
                <w:lang w:val="en-US" w:eastAsia="zh-CN"/>
              </w:rPr>
              <w:t>概算编制，招标控制价编制及结算审核等；及时提出图纸疑问，能积极配合协助</w:t>
            </w:r>
            <w:r>
              <w:rPr>
                <w:rFonts w:hint="eastAsia" w:hAnsi="宋体" w:cs="Times New Roman"/>
                <w:color w:val="auto"/>
                <w:kern w:val="0"/>
                <w:highlight w:val="none"/>
                <w:u w:val="single"/>
                <w:lang w:val="en-US" w:eastAsia="zh-CN"/>
              </w:rPr>
              <w:t>招标人</w:t>
            </w:r>
            <w:r>
              <w:rPr>
                <w:rFonts w:hint="eastAsia" w:ascii="Times New Roman" w:hAnsi="宋体" w:cs="Times New Roman"/>
                <w:b w:val="0"/>
                <w:bCs w:val="0"/>
                <w:color w:val="auto"/>
                <w:kern w:val="0"/>
                <w:sz w:val="21"/>
                <w:szCs w:val="21"/>
                <w:highlight w:val="none"/>
                <w:u w:val="single"/>
                <w:lang w:val="en-US" w:eastAsia="zh-CN"/>
              </w:rPr>
              <w:t>对立项前期投资估算审核把控，对项目过程</w:t>
            </w:r>
            <w:r>
              <w:rPr>
                <w:rFonts w:hint="eastAsia" w:ascii="Times New Roman" w:hAnsi="宋体" w:eastAsia="宋体" w:cs="Times New Roman"/>
                <w:color w:val="auto"/>
                <w:kern w:val="0"/>
                <w:highlight w:val="none"/>
                <w:u w:val="single"/>
                <w:lang w:val="en-US" w:eastAsia="zh-CN"/>
              </w:rPr>
              <w:t>提出成本评估及优化意见，并有效实施；能按项目需求，及时派遣人员勘察现场或洽谈工作，能调动专业人员完成紧急性工作。</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服务任务期限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ascii="宋体" w:hAnsi="宋体" w:eastAsia="宋体" w:cs="宋体"/>
                <w:color w:val="auto"/>
                <w:highlight w:val="none"/>
                <w:u w:val="single"/>
              </w:rPr>
            </w:pPr>
            <w:r>
              <w:rPr>
                <w:rFonts w:hint="eastAsia" w:hAnsi="宋体"/>
                <w:color w:val="auto"/>
                <w:highlight w:val="none"/>
              </w:rPr>
              <w:t>自合同签订之日起计1年时间</w:t>
            </w:r>
            <w:r>
              <w:rPr>
                <w:rFonts w:hint="eastAsia" w:ascii="宋体" w:hAnsi="宋体" w:eastAsia="宋体" w:cs="宋体"/>
                <w:color w:val="auto"/>
                <w:szCs w:val="21"/>
                <w:highlight w:val="none"/>
              </w:rPr>
              <w:t>或者累计造价咨询服务费接近100万为止。</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ascii="宋体" w:hAnsi="宋体" w:cs="宋体"/>
                <w:color w:val="auto"/>
                <w:highlight w:val="none"/>
              </w:rPr>
            </w:pPr>
            <w:r>
              <w:rPr>
                <w:rFonts w:hint="eastAsia" w:ascii="宋体" w:hAnsi="宋体" w:cs="宋体"/>
                <w:color w:val="auto"/>
                <w:highlight w:val="none"/>
                <w:u w:val="single"/>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ascii="宋体" w:hAnsi="宋体" w:cs="宋体"/>
                <w:color w:val="auto"/>
                <w:highlight w:val="none"/>
              </w:rPr>
            </w:pPr>
            <w:r>
              <w:rPr>
                <w:rFonts w:hint="eastAsia" w:ascii="宋体" w:hAnsi="宋体" w:cs="宋体"/>
                <w:color w:val="auto"/>
                <w:highlight w:val="none"/>
              </w:rPr>
              <w:t>/</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服务人员的专业配套要求</w:t>
            </w:r>
          </w:p>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ind w:right="150"/>
              <w:jc w:val="left"/>
              <w:rPr>
                <w:color w:val="auto"/>
                <w:highlight w:val="none"/>
              </w:rPr>
            </w:pPr>
            <w:r>
              <w:rPr>
                <w:rFonts w:hint="eastAsia"/>
                <w:color w:val="auto"/>
                <w:highlight w:val="none"/>
              </w:rPr>
              <w:t>人员配备要求：</w:t>
            </w:r>
          </w:p>
          <w:p>
            <w:pPr>
              <w:numPr>
                <w:ilvl w:val="255"/>
                <w:numId w:val="0"/>
              </w:numPr>
              <w:spacing w:line="360" w:lineRule="auto"/>
              <w:ind w:right="150"/>
              <w:jc w:val="left"/>
              <w:rPr>
                <w:color w:val="auto"/>
                <w:highlight w:val="none"/>
              </w:rPr>
            </w:pPr>
            <w:r>
              <w:rPr>
                <w:rFonts w:hint="eastAsia"/>
                <w:color w:val="auto"/>
                <w:highlight w:val="none"/>
              </w:rPr>
              <w:t>（1）项目负责人（人数1名）：具有高级或以上技术职称，且具有一级注册造价工程师资格或造价工程师证书。</w:t>
            </w:r>
          </w:p>
          <w:p>
            <w:pPr>
              <w:numPr>
                <w:ilvl w:val="255"/>
                <w:numId w:val="0"/>
              </w:numPr>
              <w:spacing w:line="360" w:lineRule="auto"/>
              <w:ind w:right="150"/>
              <w:jc w:val="left"/>
              <w:rPr>
                <w:color w:val="auto"/>
                <w:highlight w:val="none"/>
              </w:rPr>
            </w:pPr>
            <w:r>
              <w:rPr>
                <w:rFonts w:hint="eastAsia"/>
                <w:color w:val="auto"/>
                <w:highlight w:val="none"/>
              </w:rPr>
              <w:t>（2）审核和复核人（人数2名）：具有一级注册造价工程师资格或造价工程师证书。</w:t>
            </w:r>
          </w:p>
          <w:p>
            <w:pPr>
              <w:spacing w:line="360" w:lineRule="auto"/>
              <w:ind w:right="150"/>
              <w:jc w:val="left"/>
              <w:rPr>
                <w:color w:val="auto"/>
                <w:highlight w:val="none"/>
              </w:rPr>
            </w:pPr>
            <w:r>
              <w:rPr>
                <w:rFonts w:hint="eastAsia"/>
                <w:color w:val="auto"/>
                <w:highlight w:val="none"/>
              </w:rPr>
              <w:t>（3）编制人员和辅助人员：具有二级注册造价工程师或以上执业资格，或造价员证书。</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符合性审查方式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ascii="宋体" w:hAnsi="宋体" w:cs="宋体"/>
                <w:color w:val="auto"/>
                <w:highlight w:val="none"/>
              </w:rPr>
            </w:pPr>
            <w:r>
              <w:rPr>
                <w:rFonts w:hint="eastAsia" w:ascii="宋体" w:hAnsi="宋体" w:cs="宋体"/>
                <w:color w:val="auto"/>
                <w:highlight w:val="none"/>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ascii="宋体" w:hAnsi="宋体" w:eastAsia="宋体" w:cs="宋体"/>
                <w:color w:val="auto"/>
                <w:highlight w:val="none"/>
                <w:u w:val="single"/>
              </w:rPr>
            </w:pPr>
            <w:r>
              <w:rPr>
                <w:rFonts w:hint="eastAsia" w:ascii="宋体" w:hAnsi="宋体" w:eastAsia="宋体" w:cs="宋体"/>
                <w:color w:val="auto"/>
                <w:szCs w:val="21"/>
                <w:highlight w:val="none"/>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color w:val="auto"/>
                <w:highlight w:val="none"/>
              </w:rPr>
            </w:pPr>
            <w:r>
              <w:rPr>
                <w:rFonts w:hint="eastAsia" w:ascii="宋体" w:hAnsi="宋体" w:eastAsia="宋体" w:cs="宋体"/>
                <w:color w:val="auto"/>
                <w:szCs w:val="21"/>
                <w:highlight w:val="none"/>
              </w:rPr>
              <w:t xml:space="preserve">                        /</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360" w:lineRule="auto"/>
              <w:ind w:left="-59" w:leftChars="-28" w:right="-44" w:rightChars="-21" w:firstLine="0"/>
              <w:jc w:val="center"/>
              <w:rPr>
                <w:rFonts w:ascii="宋体" w:hAnsi="宋体" w:cs="宋体"/>
                <w:color w:val="auto"/>
                <w:highlight w:val="none"/>
              </w:rPr>
            </w:pPr>
            <w:r>
              <w:rPr>
                <w:rFonts w:hint="eastAsia" w:ascii="宋体" w:hAnsi="宋体" w:cs="宋体"/>
                <w:color w:val="auto"/>
                <w:highlight w:val="none"/>
              </w:rPr>
              <w:t>报价及结算方式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ascii="宋体" w:hAnsi="宋体" w:cs="宋体"/>
                <w:color w:val="auto"/>
                <w:highlight w:val="none"/>
              </w:rPr>
            </w:pPr>
            <w:r>
              <w:rPr>
                <w:rFonts w:hint="eastAsia" w:ascii="宋体" w:hAnsi="宋体" w:cs="宋体"/>
                <w:color w:val="auto"/>
                <w:highlight w:val="none"/>
              </w:rPr>
              <w:t>1、投标单位自行报下浮率，投标下浮率控制在：10%&lt;投标下浮率≤</w:t>
            </w:r>
            <w:r>
              <w:rPr>
                <w:rFonts w:hint="eastAsia" w:ascii="宋体" w:hAnsi="宋体" w:cs="宋体"/>
                <w:color w:val="auto"/>
                <w:highlight w:val="none"/>
                <w:lang w:val="en-US" w:eastAsia="zh-CN"/>
              </w:rPr>
              <w:t>3</w:t>
            </w:r>
            <w:r>
              <w:rPr>
                <w:rFonts w:hint="eastAsia" w:ascii="宋体" w:hAnsi="宋体" w:cs="宋体"/>
                <w:color w:val="auto"/>
                <w:highlight w:val="none"/>
              </w:rPr>
              <w:t>0%，投标下浮率不得超出范围，否则按废标处理。（小数点后保留二位小数）。</w:t>
            </w:r>
          </w:p>
          <w:p>
            <w:pPr>
              <w:tabs>
                <w:tab w:val="left" w:pos="630"/>
              </w:tabs>
              <w:spacing w:line="360" w:lineRule="auto"/>
              <w:rPr>
                <w:rFonts w:ascii="宋体" w:hAnsi="宋体" w:cs="宋体"/>
                <w:color w:val="auto"/>
                <w:highlight w:val="none"/>
              </w:rPr>
            </w:pPr>
            <w:r>
              <w:rPr>
                <w:rFonts w:hint="eastAsia" w:ascii="宋体" w:hAnsi="宋体" w:cs="宋体"/>
                <w:color w:val="auto"/>
                <w:highlight w:val="none"/>
              </w:rPr>
              <w:t>2、</w:t>
            </w:r>
            <w:r>
              <w:rPr>
                <w:rFonts w:hint="eastAsia" w:ascii="宋体" w:hAnsi="宋体" w:eastAsia="宋体" w:cs="宋体"/>
                <w:color w:val="auto"/>
                <w:szCs w:val="21"/>
                <w:highlight w:val="none"/>
              </w:rPr>
              <w:t>造价咨询服务费按单个服务项目进行结算，以《关于调整我省建设工程造价咨询服务收费的复函》（粤价函【2011】742号）为计费依据，结合投标下浮率计算得出。单个项目造价咨询服务费不超过50万元。</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ascii="宋体" w:hAnsi="宋体" w:cs="宋体"/>
                <w:color w:val="auto"/>
                <w:highlight w:val="none"/>
                <w:u w:val="single"/>
              </w:rPr>
            </w:pPr>
            <w:r>
              <w:rPr>
                <w:rFonts w:hint="eastAsia" w:ascii="宋体" w:hAnsi="宋体" w:cs="宋体"/>
                <w:color w:val="auto"/>
                <w:highlight w:val="none"/>
                <w:u w:val="single"/>
              </w:rPr>
              <w:t>90</w:t>
            </w:r>
            <w:r>
              <w:rPr>
                <w:rFonts w:hint="eastAsia" w:ascii="宋体" w:hAnsi="宋体" w:cs="宋体"/>
                <w:color w:val="auto"/>
                <w:highlight w:val="none"/>
              </w:rPr>
              <w:t>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spacing w:val="-4"/>
                <w:highlight w:val="none"/>
              </w:rPr>
            </w:pPr>
            <w:r>
              <w:rPr>
                <w:rFonts w:hint="eastAsia" w:ascii="宋体" w:hAnsi="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beforeAutospacing="0" w:after="0" w:line="360" w:lineRule="auto"/>
              <w:ind w:firstLine="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1、金额：人民币</w:t>
            </w:r>
            <w:r>
              <w:rPr>
                <w:rFonts w:hint="eastAsia" w:asciiTheme="minorEastAsia" w:hAnsiTheme="minorEastAsia" w:eastAsiaTheme="minorEastAsia"/>
                <w:color w:val="auto"/>
                <w:highlight w:val="none"/>
                <w:u w:val="single"/>
              </w:rPr>
              <w:t>壹</w:t>
            </w:r>
            <w:r>
              <w:rPr>
                <w:rFonts w:hint="eastAsia" w:asciiTheme="minorEastAsia" w:hAnsiTheme="minorEastAsia" w:eastAsiaTheme="minorEastAsia"/>
                <w:color w:val="auto"/>
                <w:highlight w:val="none"/>
              </w:rPr>
              <w:t>万元。</w:t>
            </w:r>
          </w:p>
          <w:p>
            <w:pPr>
              <w:pStyle w:val="13"/>
              <w:widowControl/>
              <w:spacing w:beforeAutospacing="0" w:after="0" w:line="360" w:lineRule="auto"/>
              <w:ind w:firstLine="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2、缴纳方式：</w:t>
            </w:r>
            <w:r>
              <w:rPr>
                <w:rFonts w:hint="eastAsia" w:asciiTheme="minorEastAsia" w:hAnsiTheme="minorEastAsia"/>
                <w:color w:val="auto"/>
                <w:highlight w:val="none"/>
              </w:rPr>
              <w:t>银行转账。</w:t>
            </w:r>
          </w:p>
          <w:p>
            <w:pPr>
              <w:pStyle w:val="13"/>
              <w:widowControl/>
              <w:spacing w:beforeAutospacing="0" w:after="0" w:line="360" w:lineRule="auto"/>
              <w:ind w:firstLine="0"/>
              <w:rPr>
                <w:rFonts w:ascii="宋体" w:hAnsi="宋体"/>
                <w:color w:val="auto"/>
                <w:highlight w:val="none"/>
              </w:rPr>
            </w:pPr>
            <w:r>
              <w:rPr>
                <w:rFonts w:hint="eastAsia" w:ascii="宋体" w:hAnsi="宋体"/>
                <w:color w:val="auto"/>
                <w:highlight w:val="none"/>
              </w:rPr>
              <w:t>账户名称：</w:t>
            </w:r>
            <w:r>
              <w:rPr>
                <w:rFonts w:ascii="宋体" w:hAnsi="宋体" w:cs="宋体"/>
                <w:color w:val="auto"/>
                <w:highlight w:val="none"/>
              </w:rPr>
              <w:t>广州南沙建设维护管理有限公司</w:t>
            </w:r>
          </w:p>
          <w:p>
            <w:pPr>
              <w:pStyle w:val="13"/>
              <w:widowControl/>
              <w:spacing w:beforeAutospacing="0" w:after="0" w:line="360" w:lineRule="auto"/>
              <w:ind w:firstLine="0"/>
              <w:rPr>
                <w:rFonts w:ascii="宋体" w:hAnsi="宋体" w:cs="宋体"/>
                <w:color w:val="auto"/>
                <w:highlight w:val="none"/>
              </w:rPr>
            </w:pPr>
            <w:r>
              <w:rPr>
                <w:rFonts w:hint="eastAsia" w:ascii="宋体" w:hAnsi="宋体"/>
                <w:color w:val="auto"/>
                <w:highlight w:val="none"/>
              </w:rPr>
              <w:t>开户银行：</w:t>
            </w:r>
            <w:r>
              <w:rPr>
                <w:rFonts w:ascii="宋体" w:hAnsi="宋体" w:cs="宋体"/>
                <w:color w:val="auto"/>
                <w:highlight w:val="none"/>
              </w:rPr>
              <w:t>中国工商银行广东自由贸易试验区南沙分行</w:t>
            </w:r>
            <w:r>
              <w:rPr>
                <w:rFonts w:hint="eastAsia" w:ascii="宋体" w:hAnsi="宋体" w:cs="宋体"/>
                <w:color w:val="auto"/>
                <w:highlight w:val="none"/>
              </w:rPr>
              <w:t xml:space="preserve"> </w:t>
            </w:r>
          </w:p>
          <w:p>
            <w:pPr>
              <w:pStyle w:val="13"/>
              <w:widowControl/>
              <w:spacing w:beforeAutospacing="0" w:after="0" w:line="360" w:lineRule="auto"/>
              <w:ind w:firstLine="0"/>
              <w:rPr>
                <w:rFonts w:ascii="宋体" w:hAnsi="宋体"/>
                <w:color w:val="auto"/>
                <w:highlight w:val="none"/>
              </w:rPr>
            </w:pPr>
            <w:r>
              <w:rPr>
                <w:rFonts w:hint="eastAsia" w:ascii="宋体" w:hAnsi="宋体"/>
                <w:color w:val="auto"/>
                <w:highlight w:val="none"/>
              </w:rPr>
              <w:t>账号：</w:t>
            </w:r>
            <w:r>
              <w:rPr>
                <w:rFonts w:ascii="宋体" w:hAnsi="宋体" w:cs="宋体"/>
                <w:color w:val="auto"/>
                <w:highlight w:val="none"/>
              </w:rPr>
              <w:t>3602056909200030855</w:t>
            </w:r>
          </w:p>
          <w:p>
            <w:pPr>
              <w:pStyle w:val="13"/>
              <w:widowControl/>
              <w:spacing w:beforeAutospacing="0" w:after="0" w:line="360" w:lineRule="auto"/>
              <w:ind w:firstLine="0"/>
              <w:rPr>
                <w:rFonts w:ascii="宋体" w:hAnsi="宋体" w:cs="宋体"/>
                <w:color w:val="auto"/>
                <w:highlight w:val="none"/>
              </w:rPr>
            </w:pPr>
            <w:r>
              <w:rPr>
                <w:rFonts w:hint="eastAsia" w:asciiTheme="minorEastAsia" w:hAnsiTheme="minorEastAsia" w:eastAsiaTheme="minorEastAsia"/>
                <w:color w:val="auto"/>
                <w:highlight w:val="none"/>
              </w:rPr>
              <w:t>3、缴纳时间：投标单位须在</w:t>
            </w:r>
            <w:r>
              <w:rPr>
                <w:rFonts w:hint="eastAsia" w:ascii="宋体" w:hAnsi="宋体" w:cs="宋体"/>
                <w:color w:val="auto"/>
                <w:highlight w:val="none"/>
                <w:lang w:eastAsia="zh-CN"/>
              </w:rPr>
              <w:t>2024</w:t>
            </w:r>
            <w:r>
              <w:rPr>
                <w:rFonts w:hint="eastAsia" w:ascii="宋体" w:hAnsi="宋体" w:cs="宋体"/>
                <w:color w:val="auto"/>
                <w:highlight w:val="none"/>
              </w:rPr>
              <w:t>年</w:t>
            </w:r>
            <w:r>
              <w:rPr>
                <w:rFonts w:hint="eastAsia" w:ascii="宋体" w:hAnsi="宋体" w:cs="宋体"/>
                <w:color w:val="auto"/>
                <w:highlight w:val="none"/>
                <w:lang w:val="en-US" w:eastAsia="zh-CN"/>
              </w:rPr>
              <w:t>2</w:t>
            </w:r>
            <w:r>
              <w:rPr>
                <w:rFonts w:hint="eastAsia" w:ascii="宋体" w:hAnsi="宋体" w:cs="宋体"/>
                <w:color w:val="auto"/>
                <w:highlight w:val="none"/>
              </w:rPr>
              <w:t>月</w:t>
            </w:r>
            <w:r>
              <w:rPr>
                <w:rFonts w:hint="eastAsia" w:ascii="宋体" w:hAnsi="宋体" w:cs="宋体"/>
                <w:color w:val="auto"/>
                <w:highlight w:val="none"/>
                <w:lang w:val="en-US" w:eastAsia="zh-CN"/>
              </w:rPr>
              <w:t>4</w:t>
            </w:r>
            <w:r>
              <w:rPr>
                <w:rFonts w:hint="eastAsia" w:ascii="宋体" w:hAnsi="宋体" w:cs="宋体"/>
                <w:color w:val="auto"/>
                <w:highlight w:val="none"/>
              </w:rPr>
              <w:t>日（星期</w:t>
            </w:r>
            <w:r>
              <w:rPr>
                <w:rFonts w:hint="eastAsia" w:ascii="宋体" w:hAnsi="宋体" w:cs="宋体"/>
                <w:color w:val="auto"/>
                <w:highlight w:val="none"/>
                <w:lang w:eastAsia="zh-CN"/>
              </w:rPr>
              <w:t>日</w:t>
            </w:r>
            <w:r>
              <w:rPr>
                <w:rFonts w:hint="eastAsia" w:ascii="宋体" w:hAnsi="宋体" w:cs="宋体"/>
                <w:color w:val="auto"/>
                <w:highlight w:val="none"/>
              </w:rPr>
              <w:t>）17时00分</w:t>
            </w:r>
            <w:r>
              <w:rPr>
                <w:rFonts w:hint="eastAsia" w:ascii="宋体" w:hAnsi="宋体"/>
                <w:color w:val="auto"/>
                <w:highlight w:val="none"/>
                <w:u w:val="single"/>
              </w:rPr>
              <w:t>前</w:t>
            </w:r>
            <w:r>
              <w:rPr>
                <w:rFonts w:hint="eastAsia" w:asciiTheme="minorEastAsia" w:hAnsiTheme="minorEastAsia" w:eastAsiaTheme="minorEastAsia"/>
                <w:color w:val="auto"/>
                <w:highlight w:val="none"/>
              </w:rPr>
              <w:t>以</w:t>
            </w:r>
            <w:r>
              <w:rPr>
                <w:rFonts w:hint="eastAsia"/>
                <w:color w:val="auto"/>
                <w:highlight w:val="none"/>
              </w:rPr>
              <w:t>投标人转出【以招标单位查询的信息为准，汇款时备注：</w:t>
            </w:r>
            <w:r>
              <w:rPr>
                <w:rFonts w:hint="eastAsia" w:ascii="宋体" w:hAnsi="宋体" w:cs="宋体"/>
                <w:color w:val="auto"/>
                <w:highlight w:val="none"/>
                <w:u w:val="single"/>
              </w:rPr>
              <w:t>广州南沙建设维护管理有限公司2024年度项目造价咨询服务</w:t>
            </w:r>
            <w:r>
              <w:rPr>
                <w:rFonts w:hint="eastAsia"/>
                <w:color w:val="auto"/>
                <w:highlight w:val="none"/>
              </w:rPr>
              <w:t>投标保证金】</w:t>
            </w:r>
          </w:p>
          <w:p>
            <w:pPr>
              <w:pStyle w:val="13"/>
              <w:widowControl/>
              <w:spacing w:beforeAutospacing="0" w:after="0" w:line="360" w:lineRule="auto"/>
              <w:ind w:firstLine="0"/>
              <w:rPr>
                <w:rFonts w:ascii="宋体" w:hAnsi="宋体" w:cs="宋体"/>
                <w:color w:val="auto"/>
                <w:highlight w:val="none"/>
                <w:u w:val="single"/>
              </w:rPr>
            </w:pPr>
            <w:r>
              <w:rPr>
                <w:rFonts w:hint="eastAsia"/>
                <w:color w:val="auto"/>
                <w:highlight w:val="none"/>
              </w:rPr>
              <w:t>4、未按规定缴纳投标保证金的正式投标人将被视为自动放弃本工程的投标资格。</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360" w:lineRule="auto"/>
              <w:ind w:left="-46" w:leftChars="-22" w:right="-59" w:rightChars="-28" w:firstLine="0"/>
              <w:jc w:val="center"/>
              <w:rPr>
                <w:rFonts w:ascii="宋体" w:hAnsi="宋体" w:cs="宋体"/>
                <w:color w:val="auto"/>
                <w:highlight w:val="none"/>
              </w:rPr>
            </w:pPr>
            <w:r>
              <w:rPr>
                <w:rFonts w:hint="eastAsia" w:ascii="宋体" w:hAnsi="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ascii="黑体" w:hAnsi="宋体" w:eastAsia="黑体" w:cs="黑体"/>
                <w:color w:val="auto"/>
                <w:highlight w:val="none"/>
              </w:rPr>
            </w:pPr>
            <w:r>
              <w:rPr>
                <w:rFonts w:hint="eastAsia" w:ascii="宋体" w:hAnsi="宋体" w:cs="宋体"/>
                <w:color w:val="auto"/>
                <w:highlight w:val="none"/>
              </w:rPr>
              <w:t>投标文件：1份正本（含电子文件一套），</w:t>
            </w:r>
            <w:r>
              <w:rPr>
                <w:rFonts w:hint="eastAsia" w:ascii="宋体" w:hAnsi="宋体" w:cs="宋体"/>
                <w:color w:val="auto"/>
                <w:highlight w:val="none"/>
                <w:u w:val="single"/>
              </w:rPr>
              <w:t>4</w:t>
            </w:r>
            <w:r>
              <w:rPr>
                <w:rFonts w:hint="eastAsia" w:ascii="宋体" w:hAnsi="宋体" w:cs="宋体"/>
                <w:color w:val="auto"/>
                <w:highlight w:val="none"/>
              </w:rPr>
              <w:t>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360" w:lineRule="auto"/>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投标文件</w:t>
            </w:r>
          </w:p>
          <w:p>
            <w:pPr>
              <w:pStyle w:val="13"/>
              <w:widowControl/>
              <w:spacing w:before="100" w:beforeAutospacing="0" w:after="0" w:line="360" w:lineRule="auto"/>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提交地点及</w:t>
            </w:r>
          </w:p>
          <w:p>
            <w:pPr>
              <w:pStyle w:val="13"/>
              <w:widowControl/>
              <w:spacing w:before="100" w:beforeAutospacing="0" w:after="0" w:line="360" w:lineRule="auto"/>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收件人：李工，66806279</w:t>
            </w:r>
          </w:p>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提交地点：广州南沙区环市大道中富汇街3号楼7楼会议室</w:t>
            </w:r>
          </w:p>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投标时间：</w:t>
            </w:r>
            <w:r>
              <w:rPr>
                <w:rFonts w:hint="eastAsia" w:ascii="宋体" w:hAnsi="宋体" w:eastAsia="宋体" w:cs="宋体"/>
                <w:color w:val="auto"/>
                <w:szCs w:val="21"/>
                <w:highlight w:val="none"/>
                <w:lang w:eastAsia="zh-CN"/>
              </w:rPr>
              <w:t>2024</w:t>
            </w:r>
            <w:r>
              <w:rPr>
                <w:rFonts w:hint="eastAsia" w:ascii="宋体" w:hAnsi="宋体" w:eastAsia="宋体" w:cs="宋体"/>
                <w:color w:val="auto"/>
                <w:szCs w:val="21"/>
                <w:highlight w:val="none"/>
              </w:rPr>
              <w:t>年</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rPr>
              <w:t>月</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rPr>
              <w:t>日09时00分至</w:t>
            </w:r>
            <w:r>
              <w:rPr>
                <w:rFonts w:hint="eastAsia" w:ascii="宋体" w:hAnsi="宋体" w:eastAsia="宋体" w:cs="宋体"/>
                <w:color w:val="auto"/>
                <w:szCs w:val="21"/>
                <w:highlight w:val="none"/>
                <w:lang w:eastAsia="zh-CN"/>
              </w:rPr>
              <w:t>2024</w:t>
            </w:r>
            <w:r>
              <w:rPr>
                <w:rFonts w:hint="eastAsia" w:ascii="宋体" w:hAnsi="宋体" w:eastAsia="宋体" w:cs="宋体"/>
                <w:color w:val="auto"/>
                <w:szCs w:val="21"/>
                <w:highlight w:val="none"/>
              </w:rPr>
              <w:t>年</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rPr>
              <w:t>月</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rPr>
              <w:t>日09时30分前</w:t>
            </w:r>
          </w:p>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开标时间：</w:t>
            </w:r>
            <w:r>
              <w:rPr>
                <w:rFonts w:hint="eastAsia" w:ascii="宋体" w:hAnsi="宋体" w:eastAsia="宋体" w:cs="宋体"/>
                <w:color w:val="auto"/>
                <w:szCs w:val="21"/>
                <w:highlight w:val="none"/>
                <w:lang w:eastAsia="zh-CN"/>
              </w:rPr>
              <w:t>2024</w:t>
            </w:r>
            <w:r>
              <w:rPr>
                <w:rFonts w:hint="eastAsia" w:ascii="宋体" w:hAnsi="宋体" w:eastAsia="宋体" w:cs="宋体"/>
                <w:color w:val="auto"/>
                <w:szCs w:val="21"/>
                <w:highlight w:val="none"/>
              </w:rPr>
              <w:t>年</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rPr>
              <w:t>月</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rPr>
              <w:t>日09时30分</w:t>
            </w:r>
          </w:p>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地点：广州南沙区环市大道中富汇街3号楼7楼会议室</w:t>
            </w:r>
          </w:p>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20</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60" w:lineRule="auto"/>
              <w:rPr>
                <w:rFonts w:ascii="宋体" w:hAnsi="宋体" w:eastAsia="宋体" w:cs="宋体"/>
                <w:color w:val="auto"/>
                <w:highlight w:val="none"/>
              </w:rPr>
            </w:pPr>
            <w:r>
              <w:rPr>
                <w:rFonts w:hint="eastAsia" w:ascii="宋体" w:hAnsi="宋体" w:eastAsia="宋体" w:cs="宋体"/>
                <w:color w:val="auto"/>
                <w:szCs w:val="21"/>
                <w:highlight w:val="none"/>
              </w:rPr>
              <w:t>综合评分法</w:t>
            </w:r>
          </w:p>
        </w:tc>
      </w:tr>
    </w:tbl>
    <w:p>
      <w:pPr>
        <w:rPr>
          <w:rFonts w:ascii="宋体" w:hAnsi="宋体" w:eastAsia="宋体" w:cs="宋体"/>
          <w:color w:val="auto"/>
          <w:highlight w:val="none"/>
        </w:rPr>
      </w:pPr>
      <w:r>
        <w:rPr>
          <w:rFonts w:hint="eastAsia" w:ascii="宋体" w:hAnsi="宋体" w:eastAsia="宋体" w:cs="宋体"/>
          <w:color w:val="auto"/>
          <w:szCs w:val="21"/>
          <w:highlight w:val="none"/>
        </w:rPr>
        <w:t xml:space="preserve"> </w:t>
      </w:r>
    </w:p>
    <w:p>
      <w:pPr>
        <w:spacing w:line="360" w:lineRule="auto"/>
        <w:jc w:val="center"/>
        <w:rPr>
          <w:b/>
          <w:color w:val="auto"/>
          <w:highlight w:val="none"/>
        </w:rPr>
      </w:pPr>
      <w:r>
        <w:rPr>
          <w:b/>
          <w:color w:val="auto"/>
          <w:highlight w:val="none"/>
        </w:rPr>
        <w:t xml:space="preserve"> </w:t>
      </w:r>
    </w:p>
    <w:p>
      <w:pPr>
        <w:rPr>
          <w:b/>
          <w:color w:val="auto"/>
          <w:highlight w:val="none"/>
        </w:rPr>
      </w:pPr>
      <w:r>
        <w:rPr>
          <w:b/>
          <w:color w:val="auto"/>
          <w:highlight w:val="none"/>
        </w:rPr>
        <w:br w:type="page"/>
      </w:r>
    </w:p>
    <w:p>
      <w:pPr>
        <w:spacing w:line="360" w:lineRule="auto"/>
        <w:jc w:val="center"/>
        <w:outlineLvl w:val="1"/>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b/>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rPr>
        <w:t>广州南沙建设维护管理有限公司</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“项目建设管理单位”指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“承包商”指被招标人接受并与其签订工程承包合同的当事人；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pStyle w:val="13"/>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 “书面函件”指打字或印刷的函件，包括电传、电报和传真。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2、招标说明</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本招标工程项目按照《中华人民共和国招标投标法》等有关法律、行政法规和部门规章，采取邀请招标的办法，选择有经验、有实力、社会信誉好的造价咨询单位承担造价咨询服务，确保本工程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2.2工程概况：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2.2.1工程名称：见投标须知前附表第1项。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2.2.3项目规模：见投标须知前附表第3项。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2.2.4投资概算：见投标须知前附表第4项。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2.2.5服务目标：见投标须知前附表第5项。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本招标项目的造价咨询服务期要求：见投标须知前附表第7项。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2.3.3 项目管理架构要求：见投标须知前附表第10项。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本招标工程项目资金来源见投标须知前附表第8项。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工程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241" w:firstLineChars="1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3"/>
        <w:widowControl/>
        <w:spacing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4）评标办法</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5）附件</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6）服务合同</w:t>
      </w:r>
    </w:p>
    <w:p>
      <w:pPr>
        <w:pStyle w:val="13"/>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3"/>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rPr>
        <w:t>1</w:t>
      </w:r>
      <w:r>
        <w:rPr>
          <w:rFonts w:hint="eastAsia" w:ascii="宋体" w:hAnsi="宋体" w:cs="宋体"/>
          <w:color w:val="auto"/>
          <w:sz w:val="24"/>
          <w:szCs w:val="24"/>
          <w:highlight w:val="none"/>
        </w:rPr>
        <w:t>日前，招标人可对招标文件进行必要的澄清或修改。</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3"/>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（三）投标文件的编制</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除工程规范另有规定外，投标文件使用的度量衡单位，均采用中华人民共和国法定计量单位。</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11.6项目负责人身份证、职称证和资格证复印件；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11.9企业自</w:t>
      </w:r>
      <w:r>
        <w:rPr>
          <w:rFonts w:hint="eastAsia" w:ascii="宋体" w:hAnsi="宋体" w:eastAsia="宋体" w:cs="宋体"/>
          <w:color w:val="auto"/>
          <w:sz w:val="24"/>
          <w:highlight w:val="none"/>
          <w:lang w:eastAsia="zh-CN"/>
        </w:rPr>
        <w:t>2019</w:t>
      </w:r>
      <w:r>
        <w:rPr>
          <w:rFonts w:hint="eastAsia" w:ascii="宋体" w:hAnsi="宋体" w:eastAsia="宋体" w:cs="宋体"/>
          <w:color w:val="auto"/>
          <w:sz w:val="24"/>
          <w:highlight w:val="none"/>
        </w:rPr>
        <w:t>年1月至今企业承担的同类项目（按招标文件第3章格式填写）；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11.10参与本项目的人员一览表及证明文件（按招标文件第3章格式填写）；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11.11项目负责人相关经验及业绩（按招标文件第3章格式填写）；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11.12报价表。★分公司报价的，提供具有法人资格的总公司的营业执照副本复印件及授权书，授权书须加盖总公司公章。</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11.13 ★实质性响应条款一览表</w:t>
      </w:r>
    </w:p>
    <w:p>
      <w:pPr>
        <w:pStyle w:val="2"/>
        <w:ind w:firstLine="480" w:firstLineChars="200"/>
        <w:rPr>
          <w:color w:val="auto"/>
          <w:highlight w:val="none"/>
        </w:rPr>
      </w:pPr>
      <w:r>
        <w:rPr>
          <w:rFonts w:hint="eastAsia" w:ascii="宋体" w:hAnsi="宋体" w:eastAsia="宋体" w:cs="宋体"/>
          <w:color w:val="auto"/>
          <w:sz w:val="24"/>
          <w:highlight w:val="none"/>
        </w:rPr>
        <w:t>11.14 ★投标申请人声明</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11.15其它需要提交的资料。</w:t>
      </w:r>
    </w:p>
    <w:p>
      <w:pPr>
        <w:spacing w:line="360" w:lineRule="auto"/>
        <w:ind w:firstLine="482" w:firstLineChars="200"/>
        <w:rPr>
          <w:rFonts w:ascii="宋体" w:hAnsi="宋体" w:eastAsia="宋体" w:cs="宋体"/>
          <w:color w:val="auto"/>
          <w:sz w:val="24"/>
          <w:highlight w:val="none"/>
        </w:rPr>
      </w:pPr>
      <w:r>
        <w:rPr>
          <w:rFonts w:hint="eastAsia" w:ascii="宋体" w:hAnsi="宋体" w:eastAsia="宋体" w:cs="宋体"/>
          <w:b/>
          <w:bCs/>
          <w:color w:val="auto"/>
          <w:sz w:val="24"/>
          <w:highlight w:val="none"/>
        </w:rPr>
        <w:t>特别提醒：</w:t>
      </w:r>
      <w:r>
        <w:rPr>
          <w:rFonts w:hint="eastAsia" w:ascii="宋体" w:hAnsi="宋体" w:eastAsia="宋体" w:cs="宋体"/>
          <w:color w:val="auto"/>
          <w:sz w:val="24"/>
          <w:highlight w:val="none"/>
        </w:rPr>
        <w:t>带★号为重要文件，投标人必须有效、完整地提供，否则将按无效报价处理。所有证书类文件需提供原件核对复印件且必须在有效期内。</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本工程的投标报价采用投标须知前附表第14项所规定的方式。</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本工程投标报价采用的币种为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编号、投标人、投标时间，右上角打上正本（或副本）。使用书式装订，装订时书订不外露；不能使用塑料面或塑料胶条装订。</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（四）投标文件的提交</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投标文件的包封要求：正本（1本）、副本（4本）一起包封；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广州南沙建设维护管理有限公司2024年度项目造价咨询服务  </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2024</w:t>
      </w:r>
      <w:r>
        <w:rPr>
          <w:rFonts w:hint="eastAsia" w:ascii="宋体" w:hAnsi="宋体" w:eastAsia="宋体" w:cs="宋体"/>
          <w:color w:val="auto"/>
          <w:sz w:val="24"/>
          <w:highlight w:val="none"/>
          <w:u w:val="single"/>
        </w:rPr>
        <w:t>年</w:t>
      </w:r>
      <w:r>
        <w:rPr>
          <w:rFonts w:hint="eastAsia" w:ascii="宋体" w:hAnsi="宋体" w:eastAsia="宋体" w:cs="宋体"/>
          <w:color w:val="auto"/>
          <w:sz w:val="24"/>
          <w:highlight w:val="none"/>
          <w:u w:val="single"/>
          <w:lang w:val="en-US" w:eastAsia="zh-CN"/>
        </w:rPr>
        <w:t>2</w:t>
      </w:r>
      <w:r>
        <w:rPr>
          <w:rFonts w:hint="eastAsia" w:ascii="宋体" w:hAnsi="宋体" w:eastAsia="宋体" w:cs="宋体"/>
          <w:color w:val="auto"/>
          <w:sz w:val="24"/>
          <w:highlight w:val="none"/>
          <w:u w:val="single"/>
        </w:rPr>
        <w:t>月</w:t>
      </w:r>
      <w:r>
        <w:rPr>
          <w:rFonts w:hint="eastAsia" w:ascii="宋体" w:hAnsi="宋体" w:eastAsia="宋体" w:cs="宋体"/>
          <w:color w:val="auto"/>
          <w:sz w:val="24"/>
          <w:highlight w:val="none"/>
          <w:u w:val="single"/>
          <w:lang w:val="en-US" w:eastAsia="zh-CN"/>
        </w:rPr>
        <w:t>5</w:t>
      </w:r>
      <w:r>
        <w:rPr>
          <w:rFonts w:hint="eastAsia" w:ascii="宋体" w:hAnsi="宋体" w:eastAsia="宋体" w:cs="宋体"/>
          <w:color w:val="auto"/>
          <w:sz w:val="24"/>
          <w:highlight w:val="none"/>
          <w:u w:val="single"/>
        </w:rPr>
        <w:t xml:space="preserve">日09时30分  </w:t>
      </w:r>
      <w:r>
        <w:rPr>
          <w:rFonts w:hint="eastAsia" w:ascii="宋体" w:hAnsi="宋体" w:eastAsia="宋体" w:cs="宋体"/>
          <w:color w:val="auto"/>
          <w:sz w:val="24"/>
          <w:highlight w:val="none"/>
        </w:rPr>
        <w:t>前不得开封（填入前附表第19项所述日期及时间）</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13"/>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（五）开标</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24.7招标人将上述符合要求的投标文件，送至评标小组进行评审的。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 评标</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在投标文件的评审和比较、中标候选人推荐以及授予合同的过程中，投标人向招标人和评标小组施加影响的任何行为，都将会导致其投标被拒绝。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中标人确定后，招标人不对未中标人就评标过程以及未能中标原因作出任何解释。未中标人不得向评标小组组成人员或其他有关人员索问评标过程的情况和材料。</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如果投标文件实质上不响应招标文件的各项要求，评标小组将予以拒绝，并且不允许投标人通过修改或撤销其不符合要求的差异或保留，使之成为具有响应性的投标。</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27.1 评标小组将按照本须知第26条规定，仅对在实质上响应招标文件要求的投标文件进行评审和比较。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在评审过程中，评标小组可以以书面形式要求投标人就投标文件中含义不明确的内容进行书面说明并提供相关材料。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27.3 评标小组依据投标须知前附表第20项规定的评标标准和方法，详见本招标文件《评标办法》，对投标文件进行评审和比较，向招标人提出书面评标报告，并推荐经评审综合得分由高至低排序的前一～三名为第一、第二和第三中标候选人。招标人根据评标小组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28．评标小组依据有关法律、法规和招标文件的规定对投标文件进行评审，经评定的有效投标人不足三名时，招标人应当依法重新组织招标。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（七）合同的授予</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本招标(项目)的造价咨询合同将授予按本须知第27.3款所确定的中标人。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招标人不承诺将合同授予报价最低的投标人。招标人在发出中标通知书前，有权依据评标小组的评标报告拒绝不合格的投标。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31.1中标通知书经招标人及招标代理机构确认，并由招标人颁发。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32.3中标人在投标过程使用的投标人名称、银行名称和账号至完成竣工结算不得变更，否则，招标人有权停止款项的拨付及至解除合同，由此造成的一切责任由中标人承担。</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33．合同生效</w:t>
      </w:r>
    </w:p>
    <w:p>
      <w:pPr>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p>
    <w:p>
      <w:pPr>
        <w:rPr>
          <w:rFonts w:ascii="黑体" w:hAnsi="宋体" w:cs="黑体"/>
          <w:b/>
          <w:color w:val="auto"/>
          <w:kern w:val="44"/>
          <w:sz w:val="44"/>
          <w:szCs w:val="44"/>
          <w:highlight w:val="none"/>
        </w:rPr>
      </w:pPr>
      <w:bookmarkStart w:id="4" w:name="_Toc374128473"/>
      <w:bookmarkEnd w:id="4"/>
      <w:r>
        <w:rPr>
          <w:rFonts w:hint="eastAsia" w:ascii="黑体" w:hAnsi="宋体" w:cs="黑体"/>
          <w:b/>
          <w:color w:val="auto"/>
          <w:kern w:val="44"/>
          <w:sz w:val="44"/>
          <w:szCs w:val="44"/>
          <w:highlight w:val="none"/>
        </w:rPr>
        <w:br w:type="page"/>
      </w:r>
    </w:p>
    <w:p>
      <w:pPr>
        <w:keepNext/>
        <w:keepLines/>
        <w:widowControl/>
        <w:adjustRightInd w:val="0"/>
        <w:spacing w:line="360" w:lineRule="auto"/>
        <w:jc w:val="center"/>
        <w:rPr>
          <w:rFonts w:ascii="黑体" w:hAnsi="宋体" w:cs="黑体"/>
          <w:b/>
          <w:color w:val="auto"/>
          <w:kern w:val="44"/>
          <w:sz w:val="44"/>
          <w:szCs w:val="44"/>
          <w:highlight w:val="none"/>
        </w:rPr>
      </w:pPr>
    </w:p>
    <w:p>
      <w:pPr>
        <w:keepNext/>
        <w:keepLines/>
        <w:widowControl/>
        <w:adjustRightInd w:val="0"/>
        <w:spacing w:line="360" w:lineRule="auto"/>
        <w:jc w:val="center"/>
        <w:rPr>
          <w:rFonts w:ascii="黑体" w:hAnsi="宋体" w:cs="黑体"/>
          <w:b/>
          <w:color w:val="auto"/>
          <w:kern w:val="44"/>
          <w:sz w:val="44"/>
          <w:szCs w:val="44"/>
          <w:highlight w:val="none"/>
        </w:rPr>
      </w:pPr>
    </w:p>
    <w:p>
      <w:pPr>
        <w:keepNext/>
        <w:keepLines/>
        <w:widowControl/>
        <w:adjustRightInd w:val="0"/>
        <w:spacing w:line="360" w:lineRule="auto"/>
        <w:jc w:val="center"/>
        <w:rPr>
          <w:rFonts w:ascii="黑体" w:hAnsi="宋体" w:cs="黑体"/>
          <w:b/>
          <w:color w:val="auto"/>
          <w:kern w:val="44"/>
          <w:sz w:val="44"/>
          <w:szCs w:val="44"/>
          <w:highlight w:val="none"/>
        </w:rPr>
      </w:pPr>
    </w:p>
    <w:p>
      <w:pPr>
        <w:keepNext/>
        <w:keepLines/>
        <w:widowControl/>
        <w:adjustRightInd w:val="0"/>
        <w:spacing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5" w:name="_Toc1632"/>
      <w:r>
        <w:rPr>
          <w:rFonts w:hint="eastAsia" w:ascii="黑体" w:hAnsi="宋体" w:cs="黑体"/>
          <w:b/>
          <w:color w:val="auto"/>
          <w:kern w:val="44"/>
          <w:sz w:val="44"/>
          <w:szCs w:val="44"/>
          <w:highlight w:val="none"/>
        </w:rPr>
        <w:t>第2章 项目需求书</w:t>
      </w:r>
      <w:bookmarkEnd w:id="5"/>
    </w:p>
    <w:p>
      <w:pPr>
        <w:spacing w:line="500" w:lineRule="exact"/>
        <w:ind w:firstLine="301" w:firstLineChars="100"/>
        <w:rPr>
          <w:rFonts w:ascii="宋体" w:hAnsi="宋体" w:eastAsia="宋体" w:cs="宋体"/>
          <w:b/>
          <w:color w:val="auto"/>
          <w:sz w:val="30"/>
          <w:szCs w:val="30"/>
          <w:highlight w:val="none"/>
        </w:rPr>
      </w:pPr>
    </w:p>
    <w:p>
      <w:pPr>
        <w:rPr>
          <w:rFonts w:ascii="宋体" w:hAnsi="宋体" w:eastAsia="宋体" w:cs="宋体"/>
          <w:b/>
          <w:color w:val="auto"/>
          <w:sz w:val="30"/>
          <w:szCs w:val="30"/>
          <w:highlight w:val="none"/>
        </w:rPr>
      </w:pPr>
      <w:r>
        <w:rPr>
          <w:rFonts w:hint="eastAsia" w:ascii="宋体" w:hAnsi="宋体" w:eastAsia="宋体" w:cs="宋体"/>
          <w:b/>
          <w:color w:val="auto"/>
          <w:sz w:val="30"/>
          <w:szCs w:val="30"/>
          <w:highlight w:val="none"/>
        </w:rPr>
        <w:br w:type="page"/>
      </w:r>
    </w:p>
    <w:p>
      <w:pPr>
        <w:numPr>
          <w:ilvl w:val="0"/>
          <w:numId w:val="1"/>
        </w:numPr>
        <w:spacing w:line="360" w:lineRule="auto"/>
        <w:ind w:firstLine="602" w:firstLineChars="200"/>
        <w:outlineLvl w:val="1"/>
        <w:rPr>
          <w:rFonts w:ascii="宋体" w:hAnsi="宋体" w:eastAsia="宋体" w:cs="宋体"/>
          <w:b/>
          <w:color w:val="auto"/>
          <w:sz w:val="30"/>
          <w:szCs w:val="30"/>
          <w:highlight w:val="none"/>
        </w:rPr>
      </w:pPr>
      <w:r>
        <w:rPr>
          <w:rFonts w:hint="eastAsia" w:ascii="宋体" w:hAnsi="宋体" w:eastAsia="宋体" w:cs="宋体"/>
          <w:b/>
          <w:color w:val="auto"/>
          <w:sz w:val="30"/>
          <w:szCs w:val="30"/>
          <w:highlight w:val="none"/>
        </w:rPr>
        <w:t>项目概况</w:t>
      </w:r>
    </w:p>
    <w:p>
      <w:pPr>
        <w:spacing w:line="360" w:lineRule="auto"/>
        <w:rPr>
          <w:rFonts w:ascii="宋体" w:hAnsi="宋体" w:eastAsia="宋体" w:cs="宋体"/>
          <w:color w:val="auto"/>
          <w:sz w:val="24"/>
          <w:highlight w:val="none"/>
          <w:u w:val="single"/>
        </w:rPr>
      </w:pPr>
      <w:r>
        <w:rPr>
          <w:rFonts w:hint="eastAsia" w:ascii="宋体" w:hAnsi="宋体" w:eastAsia="宋体" w:cs="宋体"/>
          <w:b/>
          <w:bCs/>
          <w:color w:val="auto"/>
          <w:sz w:val="24"/>
          <w:highlight w:val="none"/>
        </w:rPr>
        <w:t>1、招标人：</w:t>
      </w:r>
      <w:r>
        <w:rPr>
          <w:rFonts w:hint="eastAsia" w:ascii="宋体" w:hAnsi="宋体" w:eastAsia="宋体" w:cs="宋体"/>
          <w:color w:val="auto"/>
          <w:sz w:val="24"/>
          <w:highlight w:val="none"/>
          <w:u w:val="single"/>
        </w:rPr>
        <w:t>广州南沙建设维护管理有限公司</w:t>
      </w:r>
    </w:p>
    <w:p>
      <w:pPr>
        <w:spacing w:line="360" w:lineRule="auto"/>
        <w:rPr>
          <w:rFonts w:ascii="宋体" w:hAnsi="宋体" w:eastAsia="宋体" w:cs="宋体"/>
          <w:color w:val="auto"/>
          <w:sz w:val="24"/>
          <w:highlight w:val="none"/>
        </w:rPr>
      </w:pPr>
      <w:r>
        <w:rPr>
          <w:rFonts w:hint="eastAsia" w:ascii="宋体" w:hAnsi="宋体" w:eastAsia="宋体" w:cs="宋体"/>
          <w:b/>
          <w:bCs/>
          <w:color w:val="auto"/>
          <w:sz w:val="24"/>
          <w:highlight w:val="none"/>
        </w:rPr>
        <w:t>2、项目名称：</w:t>
      </w:r>
      <w:r>
        <w:rPr>
          <w:rFonts w:hint="eastAsia" w:ascii="宋体" w:hAnsi="宋体" w:eastAsia="宋体" w:cs="宋体"/>
          <w:color w:val="auto"/>
          <w:sz w:val="24"/>
          <w:highlight w:val="none"/>
        </w:rPr>
        <w:t>广州南沙建设维护管理有限公司2024年度项目造价咨询服务</w:t>
      </w:r>
    </w:p>
    <w:p>
      <w:pPr>
        <w:spacing w:line="360" w:lineRule="auto"/>
        <w:rPr>
          <w:rFonts w:ascii="宋体" w:hAnsi="宋体" w:eastAsia="宋体" w:cs="宋体"/>
          <w:color w:val="auto"/>
          <w:sz w:val="24"/>
          <w:highlight w:val="none"/>
        </w:rPr>
      </w:pPr>
      <w:r>
        <w:rPr>
          <w:rFonts w:hint="eastAsia" w:ascii="宋体" w:hAnsi="宋体" w:eastAsia="宋体" w:cs="宋体"/>
          <w:b/>
          <w:bCs/>
          <w:color w:val="auto"/>
          <w:sz w:val="24"/>
          <w:highlight w:val="none"/>
        </w:rPr>
        <w:t>3、项目地点：</w:t>
      </w:r>
      <w:r>
        <w:rPr>
          <w:rFonts w:hint="eastAsia" w:ascii="宋体" w:hAnsi="宋体" w:eastAsia="宋体" w:cs="宋体"/>
          <w:color w:val="auto"/>
          <w:sz w:val="24"/>
          <w:highlight w:val="none"/>
        </w:rPr>
        <w:t>广州市南沙区</w:t>
      </w:r>
    </w:p>
    <w:p>
      <w:pPr>
        <w:spacing w:line="360" w:lineRule="auto"/>
        <w:rPr>
          <w:rFonts w:ascii="宋体" w:hAnsi="宋体" w:eastAsia="宋体" w:cs="宋体"/>
          <w:color w:val="auto"/>
          <w:sz w:val="24"/>
          <w:highlight w:val="none"/>
        </w:rPr>
      </w:pPr>
      <w:r>
        <w:rPr>
          <w:rFonts w:hint="eastAsia" w:ascii="宋体" w:hAnsi="宋体" w:eastAsia="宋体" w:cs="宋体"/>
          <w:b/>
          <w:bCs/>
          <w:color w:val="auto"/>
          <w:sz w:val="24"/>
          <w:highlight w:val="none"/>
        </w:rPr>
        <w:t>4、项目规模：</w:t>
      </w:r>
      <w:r>
        <w:rPr>
          <w:rFonts w:hint="eastAsia" w:ascii="宋体" w:hAnsi="宋体" w:eastAsia="宋体" w:cs="宋体"/>
          <w:color w:val="auto"/>
          <w:sz w:val="24"/>
          <w:highlight w:val="none"/>
        </w:rPr>
        <w:t>本次招标具体为广州南沙建设维护管理有限公司及其受托管理单位年度项目造价咨询服务外包，要求中标单位有一定的服务质量保证，且态度良好，信誉可靠。</w:t>
      </w:r>
    </w:p>
    <w:p>
      <w:pPr>
        <w:spacing w:line="360" w:lineRule="auto"/>
        <w:rPr>
          <w:rFonts w:ascii="宋体" w:hAnsi="宋体" w:eastAsia="宋体" w:cs="宋体"/>
          <w:color w:val="auto"/>
          <w:sz w:val="24"/>
          <w:highlight w:val="none"/>
        </w:rPr>
      </w:pPr>
      <w:r>
        <w:rPr>
          <w:rFonts w:hint="eastAsia" w:ascii="宋体" w:hAnsi="宋体" w:cs="宋体"/>
          <w:b/>
          <w:bCs/>
          <w:color w:val="auto"/>
          <w:sz w:val="24"/>
          <w:highlight w:val="none"/>
        </w:rPr>
        <w:t>5、计划费用总额</w:t>
      </w:r>
      <w:r>
        <w:rPr>
          <w:rFonts w:hint="eastAsia" w:ascii="宋体" w:hAnsi="宋体" w:eastAsia="宋体" w:cs="宋体"/>
          <w:b/>
          <w:bCs/>
          <w:color w:val="auto"/>
          <w:sz w:val="24"/>
          <w:highlight w:val="none"/>
        </w:rPr>
        <w:t>：</w:t>
      </w:r>
      <w:r>
        <w:rPr>
          <w:rFonts w:hint="eastAsia" w:ascii="宋体" w:hAnsi="宋体" w:eastAsia="宋体" w:cs="宋体"/>
          <w:color w:val="auto"/>
          <w:sz w:val="24"/>
          <w:highlight w:val="none"/>
        </w:rPr>
        <w:t>本项目年度计划费用总额不超过100万元，项目数量若干，单个项目不超过50万元，以中标单位服务报价（即投标下浮率）为准，计算单个项目的服务费。</w:t>
      </w:r>
    </w:p>
    <w:p>
      <w:pPr>
        <w:spacing w:line="360" w:lineRule="auto"/>
        <w:rPr>
          <w:rFonts w:ascii="宋体" w:hAnsi="宋体" w:eastAsia="宋体" w:cs="宋体"/>
          <w:color w:val="auto"/>
          <w:sz w:val="24"/>
          <w:highlight w:val="none"/>
        </w:rPr>
      </w:pPr>
      <w:r>
        <w:rPr>
          <w:rFonts w:hint="eastAsia" w:ascii="宋体" w:hAnsi="宋体" w:eastAsia="宋体" w:cs="宋体"/>
          <w:b/>
          <w:bCs/>
          <w:color w:val="auto"/>
          <w:sz w:val="24"/>
          <w:highlight w:val="none"/>
        </w:rPr>
        <w:t>6、招标内容：</w:t>
      </w:r>
      <w:r>
        <w:rPr>
          <w:rFonts w:hint="eastAsia" w:ascii="宋体" w:hAnsi="宋体" w:eastAsia="宋体" w:cs="宋体"/>
          <w:color w:val="auto"/>
          <w:sz w:val="24"/>
          <w:highlight w:val="none"/>
        </w:rPr>
        <w:t>本项目为造价咨询年度服务外包，具体内容包括招标人及其受托管理单位所有需要完成造价咨询的项目服务（含自有项目、代建项目等），包括但不限于</w:t>
      </w:r>
      <w:r>
        <w:rPr>
          <w:rFonts w:hint="eastAsia" w:ascii="宋体" w:hAnsi="宋体" w:eastAsia="宋体" w:cs="宋体"/>
          <w:b w:val="0"/>
          <w:bCs w:val="0"/>
          <w:color w:val="auto"/>
          <w:kern w:val="2"/>
          <w:sz w:val="24"/>
          <w:szCs w:val="24"/>
          <w:highlight w:val="none"/>
          <w:u w:val="none"/>
          <w:lang w:val="en-US" w:eastAsia="zh-CN"/>
        </w:rPr>
        <w:t>概算编制，招标控制价编制及结算</w:t>
      </w:r>
      <w:r>
        <w:rPr>
          <w:rFonts w:hint="eastAsia" w:ascii="宋体" w:hAnsi="宋体" w:eastAsia="宋体" w:cs="宋体"/>
          <w:b w:val="0"/>
          <w:bCs w:val="0"/>
          <w:color w:val="auto"/>
          <w:kern w:val="2"/>
          <w:sz w:val="24"/>
          <w:szCs w:val="24"/>
          <w:highlight w:val="none"/>
          <w:u w:val="none"/>
          <w:lang w:val="en-US" w:eastAsia="zh-CN"/>
        </w:rPr>
        <w:t>审核等；</w:t>
      </w:r>
      <w:r>
        <w:rPr>
          <w:rFonts w:hint="eastAsia" w:ascii="宋体" w:hAnsi="宋体" w:eastAsia="宋体" w:cs="宋体"/>
          <w:b w:val="0"/>
          <w:bCs w:val="0"/>
          <w:color w:val="auto"/>
          <w:kern w:val="2"/>
          <w:sz w:val="24"/>
          <w:szCs w:val="24"/>
          <w:highlight w:val="none"/>
          <w:lang w:val="en-US" w:eastAsia="zh-CN"/>
        </w:rPr>
        <w:t>及时提出图纸疑问，能积极配合协助招标人对立项前期投资估算审核把控，对项目过程提出成本评估及优化意见，并有效实施</w:t>
      </w:r>
      <w:r>
        <w:rPr>
          <w:rFonts w:hint="eastAsia" w:ascii="宋体" w:hAnsi="宋体" w:eastAsia="宋体" w:cs="宋体"/>
          <w:b w:val="0"/>
          <w:bCs w:val="0"/>
          <w:color w:val="auto"/>
          <w:kern w:val="2"/>
          <w:sz w:val="24"/>
          <w:szCs w:val="24"/>
          <w:highlight w:val="none"/>
          <w:u w:val="none"/>
          <w:lang w:val="en-US" w:eastAsia="zh-CN"/>
        </w:rPr>
        <w:t>；能按项目需</w:t>
      </w:r>
      <w:r>
        <w:rPr>
          <w:rFonts w:hint="eastAsia" w:ascii="宋体" w:hAnsi="宋体" w:eastAsia="宋体" w:cs="宋体"/>
          <w:b w:val="0"/>
          <w:bCs w:val="0"/>
          <w:color w:val="auto"/>
          <w:kern w:val="2"/>
          <w:sz w:val="24"/>
          <w:szCs w:val="24"/>
          <w:highlight w:val="none"/>
          <w:u w:val="none"/>
          <w:lang w:val="en-US" w:eastAsia="zh-CN"/>
        </w:rPr>
        <w:t>求，及时派遣人员勘察现场或洽谈工作，能调动专业人员完成紧急性工作</w:t>
      </w:r>
      <w:r>
        <w:rPr>
          <w:rFonts w:hint="eastAsia" w:ascii="宋体" w:hAnsi="宋体" w:eastAsia="宋体" w:cs="宋体"/>
          <w:color w:val="auto"/>
          <w:sz w:val="24"/>
          <w:highlight w:val="none"/>
        </w:rPr>
        <w:t>。</w:t>
      </w:r>
    </w:p>
    <w:p>
      <w:pPr>
        <w:pStyle w:val="2"/>
        <w:ind w:firstLine="0"/>
        <w:rPr>
          <w:rFonts w:eastAsia="宋体"/>
          <w:color w:val="auto"/>
          <w:highlight w:val="none"/>
        </w:rPr>
      </w:pPr>
      <w:r>
        <w:rPr>
          <w:rFonts w:hint="eastAsia" w:ascii="宋体" w:hAnsi="宋体" w:eastAsia="宋体" w:cs="宋体"/>
          <w:b/>
          <w:bCs/>
          <w:color w:val="auto"/>
          <w:sz w:val="24"/>
          <w:highlight w:val="none"/>
        </w:rPr>
        <w:t>7、服务期限：</w:t>
      </w:r>
      <w:r>
        <w:rPr>
          <w:rFonts w:hint="eastAsia" w:ascii="宋体" w:hAnsi="宋体" w:eastAsia="宋体" w:cs="宋体"/>
          <w:color w:val="auto"/>
          <w:sz w:val="24"/>
          <w:highlight w:val="none"/>
        </w:rPr>
        <w:t>自合同签订之日起计1年时间或者累计造价咨询服务费接近100万为止。</w:t>
      </w:r>
    </w:p>
    <w:p>
      <w:pPr>
        <w:numPr>
          <w:ilvl w:val="0"/>
          <w:numId w:val="1"/>
        </w:numPr>
        <w:spacing w:line="360" w:lineRule="auto"/>
        <w:ind w:firstLine="602" w:firstLineChars="200"/>
        <w:outlineLvl w:val="1"/>
        <w:rPr>
          <w:rFonts w:ascii="宋体" w:hAnsi="宋体" w:eastAsia="宋体" w:cs="宋体"/>
          <w:b/>
          <w:color w:val="auto"/>
          <w:sz w:val="30"/>
          <w:szCs w:val="30"/>
          <w:highlight w:val="none"/>
        </w:rPr>
      </w:pPr>
      <w:r>
        <w:rPr>
          <w:rFonts w:hint="eastAsia" w:ascii="宋体" w:hAnsi="宋体" w:eastAsia="宋体" w:cs="宋体"/>
          <w:b/>
          <w:color w:val="auto"/>
          <w:sz w:val="30"/>
          <w:szCs w:val="30"/>
          <w:highlight w:val="none"/>
        </w:rPr>
        <w:t>需求</w:t>
      </w:r>
    </w:p>
    <w:p>
      <w:pPr>
        <w:numPr>
          <w:ilvl w:val="0"/>
          <w:numId w:val="2"/>
        </w:numPr>
        <w:tabs>
          <w:tab w:val="left" w:pos="840"/>
        </w:tabs>
        <w:spacing w:line="360" w:lineRule="auto"/>
        <w:ind w:firstLine="482" w:firstLineChars="200"/>
        <w:outlineLvl w:val="2"/>
        <w:rPr>
          <w:rFonts w:ascii="宋体" w:hAnsi="宋体" w:eastAsia="宋体" w:cs="宋体"/>
          <w:b/>
          <w:bCs/>
          <w:color w:val="auto"/>
          <w:sz w:val="24"/>
          <w:highlight w:val="none"/>
        </w:rPr>
      </w:pPr>
      <w:r>
        <w:rPr>
          <w:rFonts w:hint="eastAsia" w:ascii="宋体" w:hAnsi="宋体" w:eastAsia="宋体" w:cs="宋体"/>
          <w:b/>
          <w:bCs/>
          <w:color w:val="auto"/>
          <w:sz w:val="24"/>
          <w:highlight w:val="none"/>
        </w:rPr>
        <w:t>人员配置要求</w:t>
      </w:r>
    </w:p>
    <w:tbl>
      <w:tblPr>
        <w:tblStyle w:val="14"/>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1150"/>
        <w:gridCol w:w="5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3" w:hRule="atLeast"/>
          <w:jc w:val="center"/>
        </w:trPr>
        <w:tc>
          <w:tcPr>
            <w:tcW w:w="1419" w:type="dxa"/>
            <w:vAlign w:val="center"/>
          </w:tcPr>
          <w:p>
            <w:pPr>
              <w:adjustRightInd w:val="0"/>
              <w:snapToGrid w:val="0"/>
              <w:spacing w:line="360" w:lineRule="auto"/>
              <w:jc w:val="center"/>
              <w:rPr>
                <w:rFonts w:ascii="宋体" w:hAnsi="宋体"/>
                <w:color w:val="auto"/>
                <w:szCs w:val="21"/>
                <w:highlight w:val="none"/>
              </w:rPr>
            </w:pPr>
            <w:r>
              <w:rPr>
                <w:rFonts w:ascii="宋体" w:hAnsi="宋体"/>
                <w:color w:val="auto"/>
                <w:szCs w:val="21"/>
                <w:highlight w:val="none"/>
              </w:rPr>
              <w:t>人  员</w:t>
            </w:r>
          </w:p>
        </w:tc>
        <w:tc>
          <w:tcPr>
            <w:tcW w:w="1150" w:type="dxa"/>
            <w:vAlign w:val="center"/>
          </w:tcPr>
          <w:p>
            <w:pPr>
              <w:adjustRightInd w:val="0"/>
              <w:snapToGrid w:val="0"/>
              <w:spacing w:line="360" w:lineRule="auto"/>
              <w:jc w:val="center"/>
              <w:rPr>
                <w:rFonts w:ascii="宋体" w:hAnsi="宋体"/>
                <w:color w:val="auto"/>
                <w:szCs w:val="21"/>
                <w:highlight w:val="none"/>
              </w:rPr>
            </w:pPr>
            <w:r>
              <w:rPr>
                <w:rFonts w:ascii="宋体" w:hAnsi="宋体"/>
                <w:color w:val="auto"/>
                <w:szCs w:val="21"/>
                <w:highlight w:val="none"/>
              </w:rPr>
              <w:t>数  量</w:t>
            </w:r>
          </w:p>
        </w:tc>
        <w:tc>
          <w:tcPr>
            <w:tcW w:w="5954" w:type="dxa"/>
            <w:vAlign w:val="center"/>
          </w:tcPr>
          <w:p>
            <w:pPr>
              <w:adjustRightInd w:val="0"/>
              <w:snapToGrid w:val="0"/>
              <w:spacing w:line="360" w:lineRule="auto"/>
              <w:jc w:val="center"/>
              <w:rPr>
                <w:rFonts w:ascii="宋体" w:hAnsi="宋体"/>
                <w:color w:val="auto"/>
                <w:szCs w:val="21"/>
                <w:highlight w:val="none"/>
              </w:rPr>
            </w:pPr>
            <w:r>
              <w:rPr>
                <w:rFonts w:ascii="宋体" w:hAnsi="宋体"/>
                <w:color w:val="auto"/>
                <w:szCs w:val="21"/>
                <w:highlight w:val="none"/>
              </w:rPr>
              <w:t>资 格 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419" w:type="dxa"/>
            <w:vAlign w:val="center"/>
          </w:tcPr>
          <w:p>
            <w:pPr>
              <w:spacing w:line="360" w:lineRule="auto"/>
              <w:jc w:val="center"/>
              <w:rPr>
                <w:rFonts w:ascii="宋体" w:hAnsi="宋体"/>
                <w:color w:val="auto"/>
                <w:szCs w:val="21"/>
                <w:highlight w:val="none"/>
              </w:rPr>
            </w:pPr>
            <w:r>
              <w:rPr>
                <w:rFonts w:hint="eastAsia" w:ascii="宋体"/>
                <w:color w:val="auto"/>
                <w:szCs w:val="21"/>
                <w:highlight w:val="none"/>
              </w:rPr>
              <w:t>项目负责人</w:t>
            </w:r>
          </w:p>
        </w:tc>
        <w:tc>
          <w:tcPr>
            <w:tcW w:w="1150" w:type="dxa"/>
            <w:vAlign w:val="center"/>
          </w:tcPr>
          <w:p>
            <w:pPr>
              <w:adjustRightInd w:val="0"/>
              <w:snapToGrid w:val="0"/>
              <w:spacing w:line="360" w:lineRule="auto"/>
              <w:jc w:val="center"/>
              <w:rPr>
                <w:rFonts w:ascii="宋体" w:hAnsi="宋体"/>
                <w:color w:val="auto"/>
                <w:szCs w:val="21"/>
                <w:highlight w:val="none"/>
              </w:rPr>
            </w:pPr>
            <w:r>
              <w:rPr>
                <w:rFonts w:hint="eastAsia" w:ascii="宋体" w:hAnsi="宋体"/>
                <w:color w:val="auto"/>
                <w:szCs w:val="21"/>
                <w:highlight w:val="none"/>
              </w:rPr>
              <w:t>1</w:t>
            </w:r>
          </w:p>
        </w:tc>
        <w:tc>
          <w:tcPr>
            <w:tcW w:w="5954" w:type="dxa"/>
            <w:vAlign w:val="center"/>
          </w:tcPr>
          <w:p>
            <w:pPr>
              <w:spacing w:line="360" w:lineRule="auto"/>
              <w:jc w:val="center"/>
              <w:rPr>
                <w:rFonts w:ascii="宋体"/>
                <w:color w:val="auto"/>
                <w:szCs w:val="21"/>
                <w:highlight w:val="none"/>
              </w:rPr>
            </w:pPr>
            <w:r>
              <w:rPr>
                <w:rFonts w:hint="eastAsia" w:ascii="宋体"/>
                <w:color w:val="auto"/>
                <w:szCs w:val="21"/>
                <w:highlight w:val="none"/>
              </w:rPr>
              <w:t>具有高级或以上技术职称，且具有一级注册造价工程师资格造价工程师证书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5" w:hRule="atLeast"/>
          <w:jc w:val="center"/>
        </w:trPr>
        <w:tc>
          <w:tcPr>
            <w:tcW w:w="1419" w:type="dxa"/>
            <w:vAlign w:val="center"/>
          </w:tcPr>
          <w:p>
            <w:pPr>
              <w:spacing w:line="360" w:lineRule="auto"/>
              <w:jc w:val="center"/>
              <w:rPr>
                <w:rFonts w:ascii="宋体"/>
                <w:color w:val="auto"/>
                <w:szCs w:val="21"/>
                <w:highlight w:val="none"/>
              </w:rPr>
            </w:pPr>
            <w:r>
              <w:rPr>
                <w:rFonts w:hint="eastAsia" w:ascii="宋体"/>
                <w:color w:val="auto"/>
                <w:szCs w:val="21"/>
                <w:highlight w:val="none"/>
              </w:rPr>
              <w:t>审核人和复核人员</w:t>
            </w:r>
          </w:p>
        </w:tc>
        <w:tc>
          <w:tcPr>
            <w:tcW w:w="1150" w:type="dxa"/>
            <w:vAlign w:val="center"/>
          </w:tcPr>
          <w:p>
            <w:pPr>
              <w:spacing w:line="360" w:lineRule="auto"/>
              <w:jc w:val="center"/>
              <w:rPr>
                <w:rFonts w:ascii="宋体"/>
                <w:color w:val="auto"/>
                <w:szCs w:val="21"/>
                <w:highlight w:val="none"/>
              </w:rPr>
            </w:pPr>
            <w:r>
              <w:rPr>
                <w:rFonts w:hint="eastAsia" w:ascii="宋体"/>
                <w:color w:val="auto"/>
                <w:szCs w:val="21"/>
                <w:highlight w:val="none"/>
              </w:rPr>
              <w:t>2</w:t>
            </w:r>
          </w:p>
        </w:tc>
        <w:tc>
          <w:tcPr>
            <w:tcW w:w="5954" w:type="dxa"/>
            <w:vAlign w:val="center"/>
          </w:tcPr>
          <w:p>
            <w:pPr>
              <w:numPr>
                <w:ilvl w:val="255"/>
                <w:numId w:val="0"/>
              </w:numPr>
              <w:spacing w:line="360" w:lineRule="auto"/>
              <w:jc w:val="center"/>
              <w:rPr>
                <w:rFonts w:ascii="宋体"/>
                <w:color w:val="auto"/>
                <w:szCs w:val="21"/>
                <w:highlight w:val="none"/>
              </w:rPr>
            </w:pPr>
            <w:r>
              <w:rPr>
                <w:rFonts w:hint="eastAsia" w:ascii="宋体"/>
                <w:color w:val="auto"/>
                <w:szCs w:val="21"/>
                <w:highlight w:val="none"/>
              </w:rPr>
              <w:t>具有一级注册造价工程师资格或造价工程师证书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5" w:hRule="atLeast"/>
          <w:jc w:val="center"/>
        </w:trPr>
        <w:tc>
          <w:tcPr>
            <w:tcW w:w="1419" w:type="dxa"/>
            <w:vAlign w:val="center"/>
          </w:tcPr>
          <w:p>
            <w:pPr>
              <w:spacing w:line="360" w:lineRule="auto"/>
              <w:jc w:val="center"/>
              <w:rPr>
                <w:rFonts w:ascii="宋体"/>
                <w:color w:val="auto"/>
                <w:szCs w:val="21"/>
                <w:highlight w:val="none"/>
              </w:rPr>
            </w:pPr>
            <w:r>
              <w:rPr>
                <w:rFonts w:hint="eastAsia" w:ascii="宋体"/>
                <w:color w:val="auto"/>
                <w:szCs w:val="21"/>
                <w:highlight w:val="none"/>
              </w:rPr>
              <w:t>编制人员和辅助人员</w:t>
            </w:r>
          </w:p>
        </w:tc>
        <w:tc>
          <w:tcPr>
            <w:tcW w:w="1150" w:type="dxa"/>
            <w:vAlign w:val="center"/>
          </w:tcPr>
          <w:p>
            <w:pPr>
              <w:spacing w:line="360" w:lineRule="auto"/>
              <w:jc w:val="center"/>
              <w:rPr>
                <w:rFonts w:ascii="宋体"/>
                <w:color w:val="auto"/>
                <w:szCs w:val="21"/>
                <w:highlight w:val="none"/>
              </w:rPr>
            </w:pPr>
            <w:r>
              <w:rPr>
                <w:rFonts w:hint="eastAsia" w:ascii="宋体"/>
                <w:color w:val="auto"/>
                <w:szCs w:val="21"/>
                <w:highlight w:val="none"/>
              </w:rPr>
              <w:t>满足项目规模需要</w:t>
            </w:r>
          </w:p>
        </w:tc>
        <w:tc>
          <w:tcPr>
            <w:tcW w:w="5954" w:type="dxa"/>
            <w:vAlign w:val="center"/>
          </w:tcPr>
          <w:p>
            <w:pPr>
              <w:spacing w:line="360" w:lineRule="auto"/>
              <w:jc w:val="center"/>
              <w:rPr>
                <w:rFonts w:ascii="宋体"/>
                <w:color w:val="auto"/>
                <w:szCs w:val="21"/>
                <w:highlight w:val="none"/>
              </w:rPr>
            </w:pPr>
            <w:r>
              <w:rPr>
                <w:rFonts w:hint="eastAsia" w:ascii="宋体"/>
                <w:color w:val="auto"/>
                <w:szCs w:val="21"/>
                <w:highlight w:val="none"/>
              </w:rPr>
              <w:t>具有二级注册造价工程师或以上执业资格，或造价员证书</w:t>
            </w:r>
          </w:p>
        </w:tc>
      </w:tr>
    </w:tbl>
    <w:p>
      <w:pPr>
        <w:tabs>
          <w:tab w:val="left" w:pos="840"/>
        </w:tabs>
        <w:spacing w:line="360" w:lineRule="auto"/>
        <w:rPr>
          <w:rFonts w:ascii="宋体" w:hAnsi="宋体" w:eastAsia="宋体" w:cs="宋体"/>
          <w:b/>
          <w:bCs/>
          <w:color w:val="auto"/>
          <w:sz w:val="24"/>
          <w:highlight w:val="none"/>
        </w:rPr>
      </w:pPr>
      <w:r>
        <w:rPr>
          <w:rFonts w:hint="eastAsia" w:ascii="宋体" w:hAnsi="宋体" w:eastAsia="宋体" w:cs="宋体"/>
          <w:b/>
          <w:bCs/>
          <w:color w:val="auto"/>
          <w:sz w:val="24"/>
          <w:highlight w:val="none"/>
        </w:rPr>
        <w:t>说明：要求项目负责人须提供相应业绩的有效证明材料，否则视为无效业绩。</w:t>
      </w:r>
    </w:p>
    <w:p>
      <w:pPr>
        <w:numPr>
          <w:ilvl w:val="0"/>
          <w:numId w:val="2"/>
        </w:numPr>
        <w:tabs>
          <w:tab w:val="left" w:pos="840"/>
        </w:tabs>
        <w:spacing w:line="360" w:lineRule="auto"/>
        <w:ind w:firstLine="482" w:firstLineChars="200"/>
        <w:outlineLvl w:val="2"/>
        <w:rPr>
          <w:rFonts w:ascii="宋体" w:hAnsi="宋体" w:eastAsia="宋体" w:cs="宋体"/>
          <w:b/>
          <w:bCs/>
          <w:color w:val="auto"/>
          <w:sz w:val="24"/>
          <w:highlight w:val="none"/>
        </w:rPr>
      </w:pPr>
      <w:r>
        <w:rPr>
          <w:rFonts w:hint="eastAsia" w:ascii="宋体" w:hAnsi="宋体" w:eastAsia="宋体" w:cs="宋体"/>
          <w:b/>
          <w:bCs/>
          <w:color w:val="auto"/>
          <w:sz w:val="24"/>
          <w:highlight w:val="none"/>
        </w:rPr>
        <w:t>服务费计算依据</w:t>
      </w:r>
    </w:p>
    <w:p>
      <w:pPr>
        <w:tabs>
          <w:tab w:val="left" w:pos="630"/>
        </w:tab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广东省建设工程造价咨询服务收费标准：《关于调整我省建设工程造价咨询服务收费的复函》（粤价函【2011】742号），下浮率以投标下浮率为准。</w:t>
      </w:r>
    </w:p>
    <w:p>
      <w:pPr>
        <w:spacing w:line="240" w:lineRule="auto"/>
        <w:rPr>
          <w:rFonts w:ascii="宋体" w:hAnsi="宋体" w:eastAsia="宋体" w:cs="宋体"/>
          <w:color w:val="auto"/>
          <w:sz w:val="24"/>
          <w:highlight w:val="none"/>
        </w:rPr>
      </w:pPr>
      <w:r>
        <w:rPr>
          <w:rFonts w:ascii="宋体" w:hAnsi="宋体" w:eastAsia="宋体" w:cs="宋体"/>
          <w:color w:val="auto"/>
          <w:sz w:val="24"/>
          <w:highlight w:val="none"/>
        </w:rPr>
        <w:br w:type="page"/>
      </w:r>
    </w:p>
    <w:p>
      <w:pPr>
        <w:pStyle w:val="2"/>
        <w:rPr>
          <w:color w:val="auto"/>
          <w:highlight w:val="none"/>
        </w:rPr>
      </w:pPr>
    </w:p>
    <w:p>
      <w:pPr>
        <w:tabs>
          <w:tab w:val="left" w:pos="630"/>
        </w:tabs>
        <w:spacing w:line="360" w:lineRule="auto"/>
        <w:rPr>
          <w:rFonts w:ascii="宋体" w:hAnsi="宋体" w:eastAsia="宋体" w:cs="宋体"/>
          <w:color w:val="auto"/>
          <w:sz w:val="24"/>
          <w:highlight w:val="none"/>
        </w:rPr>
      </w:pPr>
    </w:p>
    <w:p>
      <w:pPr>
        <w:tabs>
          <w:tab w:val="left" w:pos="630"/>
        </w:tabs>
        <w:spacing w:line="360" w:lineRule="auto"/>
        <w:rPr>
          <w:rFonts w:ascii="宋体" w:hAnsi="宋体" w:eastAsia="宋体" w:cs="宋体"/>
          <w:color w:val="auto"/>
          <w:sz w:val="24"/>
          <w:highlight w:val="none"/>
        </w:rPr>
      </w:pPr>
    </w:p>
    <w:p>
      <w:pPr>
        <w:tabs>
          <w:tab w:val="left" w:pos="630"/>
        </w:tabs>
        <w:spacing w:line="360" w:lineRule="auto"/>
        <w:rPr>
          <w:rFonts w:ascii="宋体" w:hAnsi="宋体" w:eastAsia="宋体" w:cs="宋体"/>
          <w:color w:val="auto"/>
          <w:sz w:val="24"/>
          <w:highlight w:val="none"/>
        </w:rPr>
      </w:pPr>
    </w:p>
    <w:p>
      <w:pPr>
        <w:tabs>
          <w:tab w:val="left" w:pos="630"/>
        </w:tabs>
        <w:rPr>
          <w:rFonts w:ascii="宋体" w:hAnsi="宋体" w:eastAsia="宋体" w:cs="宋体"/>
          <w:color w:val="auto"/>
          <w:sz w:val="24"/>
          <w:highlight w:val="none"/>
        </w:rPr>
      </w:pPr>
    </w:p>
    <w:p>
      <w:pPr>
        <w:tabs>
          <w:tab w:val="left" w:pos="630"/>
        </w:tabs>
        <w:rPr>
          <w:rFonts w:ascii="宋体" w:hAnsi="宋体" w:eastAsia="宋体" w:cs="宋体"/>
          <w:color w:val="auto"/>
          <w:sz w:val="24"/>
          <w:highlight w:val="none"/>
        </w:rPr>
      </w:pPr>
    </w:p>
    <w:p>
      <w:pPr>
        <w:tabs>
          <w:tab w:val="left" w:pos="630"/>
        </w:tabs>
        <w:rPr>
          <w:rFonts w:ascii="宋体" w:hAnsi="宋体" w:eastAsia="宋体" w:cs="宋体"/>
          <w:color w:val="auto"/>
          <w:sz w:val="24"/>
          <w:highlight w:val="none"/>
        </w:rPr>
      </w:pPr>
    </w:p>
    <w:p>
      <w:pPr>
        <w:tabs>
          <w:tab w:val="left" w:pos="630"/>
        </w:tabs>
        <w:rPr>
          <w:rFonts w:ascii="宋体" w:hAnsi="宋体" w:eastAsia="宋体" w:cs="宋体"/>
          <w:color w:val="auto"/>
          <w:sz w:val="24"/>
          <w:highlight w:val="none"/>
        </w:rPr>
      </w:pPr>
    </w:p>
    <w:p>
      <w:pPr>
        <w:tabs>
          <w:tab w:val="left" w:pos="630"/>
        </w:tabs>
        <w:rPr>
          <w:rFonts w:ascii="宋体" w:hAnsi="宋体" w:eastAsia="宋体" w:cs="宋体"/>
          <w:color w:val="auto"/>
          <w:sz w:val="24"/>
          <w:highlight w:val="none"/>
        </w:rPr>
      </w:pPr>
    </w:p>
    <w:p>
      <w:pPr>
        <w:tabs>
          <w:tab w:val="left" w:pos="630"/>
        </w:tabs>
        <w:rPr>
          <w:rFonts w:ascii="宋体" w:hAnsi="宋体" w:eastAsia="宋体" w:cs="宋体"/>
          <w:color w:val="auto"/>
          <w:sz w:val="24"/>
          <w:highlight w:val="none"/>
        </w:rPr>
      </w:pPr>
    </w:p>
    <w:p>
      <w:pPr>
        <w:spacing w:line="360" w:lineRule="auto"/>
        <w:rPr>
          <w:rFonts w:ascii="黑体" w:hAnsi="宋体" w:cs="黑体"/>
          <w:b/>
          <w:color w:val="auto"/>
          <w:kern w:val="44"/>
          <w:sz w:val="44"/>
          <w:szCs w:val="44"/>
          <w:highlight w:val="none"/>
        </w:rPr>
      </w:pPr>
      <w:bookmarkStart w:id="6" w:name="_Toc264562491"/>
      <w:bookmarkEnd w:id="6"/>
    </w:p>
    <w:p>
      <w:pPr>
        <w:pStyle w:val="3"/>
        <w:widowControl/>
        <w:spacing w:before="0" w:after="0" w:line="360" w:lineRule="auto"/>
        <w:jc w:val="center"/>
        <w:rPr>
          <w:rFonts w:ascii="黑体" w:hAnsi="宋体" w:cs="黑体"/>
          <w:b/>
          <w:color w:val="auto"/>
          <w:kern w:val="44"/>
          <w:sz w:val="44"/>
          <w:szCs w:val="44"/>
          <w:highlight w:val="none"/>
        </w:rPr>
      </w:pPr>
      <w:bookmarkStart w:id="7" w:name="_Toc27492"/>
      <w:r>
        <w:rPr>
          <w:rFonts w:hint="eastAsia" w:ascii="黑体" w:hAnsi="宋体" w:cs="黑体"/>
          <w:b/>
          <w:color w:val="auto"/>
          <w:kern w:val="44"/>
          <w:sz w:val="44"/>
          <w:szCs w:val="44"/>
          <w:highlight w:val="none"/>
        </w:rPr>
        <w:t>第3章  投标格式文件</w:t>
      </w:r>
      <w:bookmarkEnd w:id="7"/>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广州南沙建设维护管理有限公司：</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rPr>
        <w:t>广州南沙建设维护管理有限公司2024年度项目造价咨询服务</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上述工程的招标文件中的项目介绍、投标人须知、合同条件以及本次招标答疑或澄清文件后，我公司愿意以投标报价表中承诺报价，完成贵方年度造价咨询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%，并按合同条件的要求，承担并完成上述工程的造价咨询服务任务。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4、在正式签订造价咨询服务合同之前，本投标书连同贵方的中标通知书应成为约束贵、我双方的合同文件。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如果我方投标文件中存在计算或表达错误的，我方理解并接受评标小组按照招标文件规定的原则进行修正，这种修正对我方具有约束力，且不需要我方确认。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0"/>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8" w:name="_Toc223342668"/>
      <w:bookmarkEnd w:id="8"/>
      <w:bookmarkStart w:id="9" w:name="_Toc216145749"/>
      <w:bookmarkEnd w:id="9"/>
      <w:r>
        <w:rPr>
          <w:rFonts w:hint="eastAsia" w:ascii="宋体" w:hAnsi="宋体" w:eastAsia="宋体" w:cs="黑体"/>
          <w:color w:val="auto"/>
          <w:sz w:val="28"/>
          <w:szCs w:val="28"/>
          <w:highlight w:val="none"/>
        </w:rPr>
        <w:t>格式三：</w:t>
      </w:r>
    </w:p>
    <w:p>
      <w:pPr>
        <w:pStyle w:val="22"/>
        <w:widowControl/>
        <w:ind w:firstLine="0" w:firstLineChars="0"/>
        <w:jc w:val="center"/>
        <w:outlineLvl w:val="2"/>
        <w:rPr>
          <w:color w:val="auto"/>
          <w:kern w:val="44"/>
          <w:highlight w:val="none"/>
        </w:rPr>
      </w:pPr>
      <w:bookmarkStart w:id="10" w:name="_Toc172416501"/>
      <w:bookmarkEnd w:id="10"/>
      <w:r>
        <w:rPr>
          <w:rFonts w:hint="eastAsia" w:ascii="宋体" w:hAnsi="宋体" w:cs="宋体"/>
          <w:b/>
          <w:color w:val="auto"/>
          <w:sz w:val="30"/>
          <w:szCs w:val="30"/>
          <w:highlight w:val="none"/>
        </w:rPr>
        <w:t>法定代表人证明书</w:t>
      </w:r>
    </w:p>
    <w:p>
      <w:pPr>
        <w:pStyle w:val="22"/>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2"/>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2"/>
        <w:widowControl/>
        <w:ind w:firstLine="618"/>
        <w:rPr>
          <w:b/>
          <w:color w:val="auto"/>
          <w:sz w:val="30"/>
          <w:szCs w:val="30"/>
          <w:highlight w:val="none"/>
        </w:rPr>
      </w:pPr>
      <w:r>
        <w:rPr>
          <w:b/>
          <w:color w:val="auto"/>
          <w:sz w:val="30"/>
          <w:szCs w:val="30"/>
          <w:highlight w:val="none"/>
        </w:rPr>
        <w:t xml:space="preserve"> </w:t>
      </w:r>
    </w:p>
    <w:p>
      <w:pPr>
        <w:pStyle w:val="22"/>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2"/>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2"/>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20"/>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11" w:name="_Toc216145759"/>
      <w:bookmarkEnd w:id="11"/>
      <w:bookmarkStart w:id="12"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0"/>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2"/>
      <w:r>
        <w:rPr>
          <w:rFonts w:hint="eastAsia" w:ascii="宋体" w:hAnsi="宋体" w:eastAsia="宋体" w:cs="宋体"/>
          <w:color w:val="auto"/>
          <w:sz w:val="28"/>
          <w:szCs w:val="28"/>
          <w:highlight w:val="none"/>
        </w:rPr>
        <w:t xml:space="preserve"> </w:t>
      </w:r>
    </w:p>
    <w:p>
      <w:pPr>
        <w:pStyle w:val="22"/>
        <w:widowControl/>
        <w:ind w:firstLine="0" w:firstLineChars="0"/>
        <w:jc w:val="center"/>
        <w:rPr>
          <w:b/>
          <w:color w:val="auto"/>
          <w:sz w:val="28"/>
          <w:szCs w:val="28"/>
          <w:highlight w:val="none"/>
        </w:rPr>
      </w:pPr>
      <w:r>
        <w:rPr>
          <w:b/>
          <w:color w:val="auto"/>
          <w:sz w:val="28"/>
          <w:szCs w:val="28"/>
          <w:highlight w:val="none"/>
        </w:rPr>
        <w:t xml:space="preserve"> </w:t>
      </w: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建设单位名称：</w:t>
      </w:r>
      <w:r>
        <w:rPr>
          <w:rFonts w:hint="eastAsia" w:ascii="宋体" w:hAnsi="宋体" w:eastAsia="宋体" w:cs="宋体"/>
          <w:color w:val="auto"/>
          <w:sz w:val="24"/>
          <w:highlight w:val="none"/>
          <w:u w:val="single"/>
        </w:rPr>
        <w:t>广州南沙建设维护管理有限公司</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投标工程名称：</w:t>
      </w:r>
      <w:r>
        <w:rPr>
          <w:rFonts w:hint="eastAsia" w:ascii="宋体" w:hAnsi="宋体" w:eastAsia="宋体" w:cs="宋体"/>
          <w:color w:val="auto"/>
          <w:sz w:val="24"/>
          <w:highlight w:val="none"/>
          <w:u w:val="single"/>
        </w:rPr>
        <w:t>广州南沙建设维护管理有限公司2024年度项目造价咨询服务</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我方如果中标，承诺实际工作的人员配备与投标文件中提供的名单一致。</w:t>
      </w:r>
    </w:p>
    <w:p>
      <w:pPr>
        <w:snapToGrid w:val="0"/>
        <w:spacing w:after="120" w:line="440" w:lineRule="exact"/>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3" w:name="_Toc196036941"/>
      <w:bookmarkEnd w:id="13"/>
      <w:bookmarkStart w:id="14" w:name="_Toc326909213"/>
      <w:bookmarkEnd w:id="14"/>
      <w:bookmarkStart w:id="15" w:name="_Toc415833503"/>
      <w:bookmarkEnd w:id="15"/>
      <w:bookmarkStart w:id="16" w:name="_Toc196037097"/>
      <w:bookmarkEnd w:id="16"/>
      <w:bookmarkStart w:id="17" w:name="_Toc197235848"/>
      <w:bookmarkEnd w:id="17"/>
      <w:bookmarkStart w:id="18" w:name="_Toc41822703"/>
      <w:bookmarkEnd w:id="18"/>
      <w:bookmarkStart w:id="19" w:name="_Toc196130110"/>
      <w:bookmarkEnd w:id="19"/>
      <w:bookmarkStart w:id="20" w:name="_Toc199647675"/>
      <w:bookmarkEnd w:id="20"/>
      <w:bookmarkStart w:id="21" w:name="_Toc415728297"/>
      <w:bookmarkEnd w:id="21"/>
      <w:bookmarkStart w:id="22" w:name="_Toc459403394"/>
      <w:bookmarkEnd w:id="22"/>
      <w:bookmarkStart w:id="23" w:name="_Toc196130013"/>
      <w:bookmarkEnd w:id="23"/>
      <w:bookmarkStart w:id="24" w:name="_Toc462911098"/>
      <w:r>
        <w:rPr>
          <w:rFonts w:hint="eastAsia" w:ascii="宋体" w:hAnsi="宋体" w:eastAsia="宋体" w:cs="黑体"/>
          <w:b/>
          <w:color w:val="auto"/>
          <w:spacing w:val="4"/>
          <w:kern w:val="0"/>
          <w:sz w:val="28"/>
          <w:szCs w:val="28"/>
          <w:highlight w:val="none"/>
        </w:rPr>
        <w:t>格式五</w:t>
      </w:r>
      <w:bookmarkEnd w:id="24"/>
      <w:r>
        <w:rPr>
          <w:rFonts w:hint="eastAsia" w:ascii="宋体" w:hAnsi="宋体" w:eastAsia="宋体" w:cs="宋体"/>
          <w:color w:val="auto"/>
          <w:sz w:val="28"/>
          <w:szCs w:val="28"/>
          <w:highlight w:val="none"/>
        </w:rPr>
        <w:t>：</w:t>
      </w:r>
    </w:p>
    <w:p>
      <w:pPr>
        <w:spacing w:line="360" w:lineRule="auto"/>
        <w:jc w:val="center"/>
        <w:outlineLvl w:val="2"/>
        <w:rPr>
          <w:rFonts w:ascii="仿宋" w:hAnsi="仿宋" w:eastAsia="仿宋" w:cs="仿宋"/>
          <w:b/>
          <w:bCs/>
          <w:color w:val="auto"/>
          <w:sz w:val="36"/>
          <w:szCs w:val="36"/>
          <w:highlight w:val="none"/>
        </w:rPr>
      </w:pPr>
      <w:bookmarkStart w:id="25" w:name="_Toc41822704"/>
      <w:bookmarkEnd w:id="25"/>
      <w:r>
        <w:rPr>
          <w:rFonts w:hint="eastAsia" w:ascii="仿宋" w:hAnsi="仿宋" w:eastAsia="仿宋" w:cs="仿宋"/>
          <w:b/>
          <w:bCs/>
          <w:color w:val="auto"/>
          <w:sz w:val="36"/>
          <w:szCs w:val="36"/>
          <w:highlight w:val="none"/>
        </w:rPr>
        <w:t>投标人综合概况</w:t>
      </w:r>
    </w:p>
    <w:tbl>
      <w:tblPr>
        <w:tblStyle w:val="14"/>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工程资质证号、范围和等级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投标单位完成本项目所独有的有利条件及相关造价的专业特长：</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仿宋" w:hAnsi="仿宋" w:eastAsia="仿宋" w:cs="仿宋"/>
          <w:color w:val="auto"/>
          <w:kern w:val="24"/>
          <w:sz w:val="28"/>
          <w:szCs w:val="28"/>
          <w:highlight w:val="none"/>
        </w:rPr>
      </w:pPr>
      <w:bookmarkStart w:id="26" w:name="_Toc415833504"/>
      <w:bookmarkEnd w:id="26"/>
      <w:bookmarkStart w:id="27" w:name="_Toc197235849"/>
      <w:bookmarkEnd w:id="27"/>
      <w:bookmarkStart w:id="28" w:name="_Toc196036942"/>
      <w:bookmarkEnd w:id="28"/>
      <w:bookmarkStart w:id="29" w:name="_Toc199647676"/>
      <w:bookmarkEnd w:id="29"/>
      <w:bookmarkStart w:id="30" w:name="_Toc196130111"/>
      <w:bookmarkEnd w:id="30"/>
      <w:bookmarkStart w:id="31" w:name="_Toc326909214"/>
      <w:bookmarkEnd w:id="31"/>
      <w:bookmarkStart w:id="32" w:name="_Toc459403395"/>
      <w:bookmarkEnd w:id="32"/>
      <w:bookmarkStart w:id="33" w:name="_Toc196037098"/>
      <w:bookmarkEnd w:id="33"/>
      <w:bookmarkStart w:id="34" w:name="_Toc196130014"/>
      <w:bookmarkEnd w:id="34"/>
      <w:bookmarkStart w:id="35" w:name="_Toc415728298"/>
      <w:bookmarkEnd w:id="35"/>
      <w:bookmarkStart w:id="36" w:name="_Toc462911099"/>
      <w:r>
        <w:rPr>
          <w:rFonts w:hint="eastAsia" w:ascii="宋体" w:hAnsi="宋体" w:eastAsia="宋体" w:cs="黑体"/>
          <w:b/>
          <w:color w:val="auto"/>
          <w:spacing w:val="4"/>
          <w:kern w:val="0"/>
          <w:sz w:val="28"/>
          <w:szCs w:val="28"/>
          <w:highlight w:val="none"/>
        </w:rPr>
        <w:t>格式六</w:t>
      </w:r>
      <w:bookmarkEnd w:id="36"/>
      <w:r>
        <w:rPr>
          <w:rFonts w:hint="eastAsia" w:ascii="仿宋" w:hAnsi="仿宋" w:eastAsia="仿宋" w:cs="仿宋"/>
          <w:color w:val="auto"/>
          <w:kern w:val="24"/>
          <w:sz w:val="28"/>
          <w:szCs w:val="28"/>
          <w:highlight w:val="none"/>
        </w:rPr>
        <w:t>：</w:t>
      </w:r>
    </w:p>
    <w:p>
      <w:pPr>
        <w:ind w:firstLine="480" w:firstLineChars="200"/>
        <w:rPr>
          <w:rFonts w:ascii="仿宋" w:hAnsi="仿宋" w:eastAsia="仿宋" w:cs="仿宋"/>
          <w:color w:val="auto"/>
          <w:kern w:val="24"/>
          <w:sz w:val="24"/>
          <w:highlight w:val="none"/>
        </w:rPr>
      </w:pPr>
      <w:r>
        <w:rPr>
          <w:rFonts w:hint="eastAsia" w:ascii="仿宋" w:hAnsi="仿宋" w:eastAsia="仿宋" w:cs="仿宋"/>
          <w:color w:val="auto"/>
          <w:kern w:val="24"/>
          <w:sz w:val="24"/>
          <w:highlight w:val="none"/>
          <w:lang w:eastAsia="zh-CN"/>
        </w:rPr>
        <w:t>2019</w:t>
      </w:r>
      <w:r>
        <w:rPr>
          <w:rFonts w:hint="eastAsia" w:ascii="仿宋" w:hAnsi="仿宋" w:eastAsia="仿宋" w:cs="仿宋"/>
          <w:color w:val="auto"/>
          <w:kern w:val="24"/>
          <w:sz w:val="24"/>
          <w:highlight w:val="none"/>
        </w:rPr>
        <w:t>年1月1日至今投标人承担的项目</w:t>
      </w:r>
    </w:p>
    <w:p>
      <w:pPr>
        <w:spacing w:before="85" w:beforeLines="30" w:line="360" w:lineRule="auto"/>
        <w:jc w:val="center"/>
        <w:outlineLvl w:val="2"/>
        <w:rPr>
          <w:rFonts w:ascii="仿宋" w:hAnsi="仿宋" w:eastAsia="仿宋" w:cs="仿宋"/>
          <w:color w:val="auto"/>
          <w:kern w:val="24"/>
          <w:sz w:val="28"/>
          <w:szCs w:val="28"/>
          <w:highlight w:val="none"/>
        </w:rPr>
      </w:pPr>
      <w:bookmarkStart w:id="37" w:name="_Toc196036943"/>
      <w:bookmarkEnd w:id="37"/>
      <w:bookmarkStart w:id="38" w:name="_Toc197235850"/>
      <w:bookmarkEnd w:id="38"/>
      <w:bookmarkStart w:id="39" w:name="_Toc199647677"/>
      <w:bookmarkEnd w:id="39"/>
      <w:bookmarkStart w:id="40" w:name="_Toc41822705"/>
      <w:bookmarkEnd w:id="40"/>
      <w:bookmarkStart w:id="41" w:name="_Toc196130015"/>
      <w:bookmarkEnd w:id="41"/>
      <w:bookmarkStart w:id="42" w:name="_Toc196130112"/>
      <w:bookmarkEnd w:id="42"/>
      <w:bookmarkStart w:id="43" w:name="_Toc196037099"/>
      <w:bookmarkEnd w:id="43"/>
      <w:bookmarkStart w:id="44" w:name="_Toc326909215"/>
      <w:r>
        <w:rPr>
          <w:rFonts w:hint="eastAsia" w:ascii="仿宋" w:hAnsi="仿宋" w:eastAsia="仿宋" w:cs="仿宋"/>
          <w:b/>
          <w:bCs/>
          <w:color w:val="auto"/>
          <w:kern w:val="24"/>
          <w:sz w:val="36"/>
          <w:szCs w:val="36"/>
          <w:highlight w:val="none"/>
        </w:rPr>
        <w:t>业绩一览表</w:t>
      </w:r>
      <w:bookmarkEnd w:id="44"/>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964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3969"/>
        <w:gridCol w:w="1134"/>
        <w:gridCol w:w="1701"/>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8" w:type="dxa"/>
            <w:vAlign w:val="center"/>
          </w:tcPr>
          <w:p>
            <w:pPr>
              <w:adjustRightInd w:val="0"/>
              <w:snapToGrid w:val="0"/>
              <w:spacing w:line="400" w:lineRule="atLeast"/>
              <w:jc w:val="center"/>
              <w:rPr>
                <w:rFonts w:asciiTheme="minorEastAsia" w:hAnsiTheme="minorEastAsia" w:cstheme="minorEastAsia"/>
                <w:b/>
                <w:bCs/>
                <w:color w:val="auto"/>
                <w:sz w:val="28"/>
                <w:szCs w:val="28"/>
                <w:highlight w:val="none"/>
              </w:rPr>
            </w:pPr>
            <w:r>
              <w:rPr>
                <w:rFonts w:hint="eastAsia" w:asciiTheme="minorEastAsia" w:hAnsiTheme="minorEastAsia" w:cstheme="minorEastAsia"/>
                <w:b/>
                <w:bCs/>
                <w:color w:val="auto"/>
                <w:sz w:val="28"/>
                <w:szCs w:val="28"/>
                <w:highlight w:val="none"/>
              </w:rPr>
              <w:t>序号</w:t>
            </w:r>
          </w:p>
        </w:tc>
        <w:tc>
          <w:tcPr>
            <w:tcW w:w="3969" w:type="dxa"/>
            <w:tcBorders>
              <w:top w:val="single" w:color="auto" w:sz="4" w:space="0"/>
              <w:left w:val="single" w:color="auto" w:sz="4" w:space="0"/>
              <w:bottom w:val="single" w:color="auto" w:sz="4" w:space="0"/>
              <w:right w:val="single" w:color="auto" w:sz="4" w:space="0"/>
            </w:tcBorders>
            <w:vAlign w:val="center"/>
          </w:tcPr>
          <w:p>
            <w:pPr>
              <w:spacing w:before="142" w:beforeLines="50" w:line="320" w:lineRule="exact"/>
              <w:jc w:val="center"/>
              <w:rPr>
                <w:rFonts w:asciiTheme="minorEastAsia" w:hAnsiTheme="minorEastAsia" w:cstheme="minorEastAsia"/>
                <w:b/>
                <w:bCs/>
                <w:color w:val="auto"/>
                <w:sz w:val="28"/>
                <w:szCs w:val="28"/>
                <w:highlight w:val="none"/>
              </w:rPr>
            </w:pPr>
            <w:r>
              <w:rPr>
                <w:rFonts w:hint="eastAsia" w:asciiTheme="minorEastAsia" w:hAnsiTheme="minorEastAsia" w:cstheme="minorEastAsia"/>
                <w:b/>
                <w:bCs/>
                <w:color w:val="auto"/>
                <w:sz w:val="28"/>
                <w:szCs w:val="28"/>
                <w:highlight w:val="none"/>
              </w:rPr>
              <w:t>委托人</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before="142" w:beforeLines="50" w:line="320" w:lineRule="exact"/>
              <w:jc w:val="center"/>
              <w:rPr>
                <w:rFonts w:asciiTheme="minorEastAsia" w:hAnsiTheme="minorEastAsia" w:cstheme="minorEastAsia"/>
                <w:b/>
                <w:bCs/>
                <w:color w:val="auto"/>
                <w:sz w:val="28"/>
                <w:szCs w:val="28"/>
                <w:highlight w:val="none"/>
              </w:rPr>
            </w:pPr>
            <w:r>
              <w:rPr>
                <w:rFonts w:hint="eastAsia" w:asciiTheme="minorEastAsia" w:hAnsiTheme="minorEastAsia" w:cstheme="minorEastAsia"/>
                <w:b/>
                <w:bCs/>
                <w:color w:val="auto"/>
                <w:sz w:val="28"/>
                <w:szCs w:val="28"/>
                <w:highlight w:val="none"/>
              </w:rPr>
              <w:t>主要服务内容</w:t>
            </w:r>
          </w:p>
        </w:tc>
        <w:tc>
          <w:tcPr>
            <w:tcW w:w="1701" w:type="dxa"/>
            <w:vAlign w:val="center"/>
          </w:tcPr>
          <w:p>
            <w:pPr>
              <w:adjustRightInd w:val="0"/>
              <w:snapToGrid w:val="0"/>
              <w:spacing w:line="400" w:lineRule="atLeast"/>
              <w:jc w:val="center"/>
              <w:rPr>
                <w:rFonts w:asciiTheme="minorEastAsia" w:hAnsiTheme="minorEastAsia" w:cstheme="minorEastAsia"/>
                <w:b/>
                <w:bCs/>
                <w:color w:val="auto"/>
                <w:sz w:val="28"/>
                <w:szCs w:val="28"/>
                <w:highlight w:val="none"/>
              </w:rPr>
            </w:pPr>
            <w:r>
              <w:rPr>
                <w:rFonts w:hint="eastAsia" w:asciiTheme="minorEastAsia" w:hAnsiTheme="minorEastAsia" w:cstheme="minorEastAsia"/>
                <w:b/>
                <w:bCs/>
                <w:color w:val="auto"/>
                <w:sz w:val="28"/>
                <w:szCs w:val="28"/>
                <w:highlight w:val="none"/>
              </w:rPr>
              <w:t>主要造价服务合同额</w:t>
            </w:r>
          </w:p>
          <w:p>
            <w:pPr>
              <w:adjustRightInd w:val="0"/>
              <w:snapToGrid w:val="0"/>
              <w:spacing w:line="400" w:lineRule="atLeast"/>
              <w:jc w:val="center"/>
              <w:rPr>
                <w:rFonts w:asciiTheme="minorEastAsia" w:hAnsiTheme="minorEastAsia" w:cstheme="minorEastAsia"/>
                <w:b/>
                <w:bCs/>
                <w:color w:val="auto"/>
                <w:sz w:val="28"/>
                <w:szCs w:val="28"/>
                <w:highlight w:val="none"/>
              </w:rPr>
            </w:pPr>
            <w:r>
              <w:rPr>
                <w:rFonts w:hint="eastAsia" w:asciiTheme="minorEastAsia" w:hAnsiTheme="minorEastAsia" w:cstheme="minorEastAsia"/>
                <w:b/>
                <w:bCs/>
                <w:color w:val="auto"/>
                <w:sz w:val="28"/>
                <w:szCs w:val="28"/>
                <w:highlight w:val="none"/>
              </w:rPr>
              <w:t>（万元）</w:t>
            </w:r>
          </w:p>
        </w:tc>
        <w:tc>
          <w:tcPr>
            <w:tcW w:w="1134" w:type="dxa"/>
            <w:vAlign w:val="center"/>
          </w:tcPr>
          <w:p>
            <w:pPr>
              <w:adjustRightInd w:val="0"/>
              <w:snapToGrid w:val="0"/>
              <w:spacing w:line="400" w:lineRule="atLeast"/>
              <w:jc w:val="center"/>
              <w:rPr>
                <w:rFonts w:asciiTheme="minorEastAsia" w:hAnsiTheme="minorEastAsia" w:cstheme="minorEastAsia"/>
                <w:b/>
                <w:bCs/>
                <w:color w:val="auto"/>
                <w:sz w:val="28"/>
                <w:szCs w:val="28"/>
                <w:highlight w:val="none"/>
              </w:rPr>
            </w:pPr>
            <w:r>
              <w:rPr>
                <w:rFonts w:hint="eastAsia" w:asciiTheme="minorEastAsia" w:hAnsiTheme="minorEastAsia" w:cstheme="minorEastAsia"/>
                <w:b/>
                <w:bCs/>
                <w:color w:val="auto"/>
                <w:sz w:val="28"/>
                <w:szCs w:val="28"/>
                <w:highlight w:val="none"/>
              </w:rPr>
              <w:t>签定时间</w:t>
            </w:r>
          </w:p>
        </w:tc>
        <w:tc>
          <w:tcPr>
            <w:tcW w:w="1134" w:type="dxa"/>
          </w:tcPr>
          <w:p>
            <w:pPr>
              <w:adjustRightInd w:val="0"/>
              <w:snapToGrid w:val="0"/>
              <w:spacing w:line="400" w:lineRule="atLeast"/>
              <w:jc w:val="center"/>
              <w:rPr>
                <w:rFonts w:asciiTheme="minorEastAsia" w:hAnsiTheme="minorEastAsia" w:cstheme="minorEastAsia"/>
                <w:b/>
                <w:bCs/>
                <w:color w:val="auto"/>
                <w:sz w:val="28"/>
                <w:szCs w:val="28"/>
                <w:highlight w:val="none"/>
              </w:rPr>
            </w:pPr>
            <w:r>
              <w:rPr>
                <w:rFonts w:hint="eastAsia" w:asciiTheme="minorEastAsia" w:hAnsiTheme="minorEastAsia" w:cstheme="minorEastAsia"/>
                <w:b/>
                <w:bCs/>
                <w:color w:val="auto"/>
                <w:sz w:val="28"/>
                <w:szCs w:val="28"/>
                <w:highlight w:val="none"/>
              </w:rPr>
              <w:t>是否为国有投资项目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adjustRightInd w:val="0"/>
              <w:snapToGrid w:val="0"/>
              <w:spacing w:line="400" w:lineRule="atLeast"/>
              <w:jc w:val="center"/>
              <w:rPr>
                <w:rFonts w:asciiTheme="minorEastAsia" w:hAnsiTheme="minorEastAsia" w:cstheme="minorEastAsia"/>
                <w:color w:val="auto"/>
                <w:sz w:val="28"/>
                <w:szCs w:val="28"/>
                <w:highlight w:val="none"/>
              </w:rPr>
            </w:pPr>
            <w:r>
              <w:rPr>
                <w:rFonts w:hint="eastAsia" w:asciiTheme="minorEastAsia" w:hAnsiTheme="minorEastAsia" w:cstheme="minorEastAsia"/>
                <w:color w:val="auto"/>
                <w:sz w:val="28"/>
                <w:szCs w:val="28"/>
                <w:highlight w:val="none"/>
              </w:rPr>
              <w:t>1</w:t>
            </w:r>
          </w:p>
        </w:tc>
        <w:tc>
          <w:tcPr>
            <w:tcW w:w="3969" w:type="dxa"/>
            <w:vAlign w:val="center"/>
          </w:tcPr>
          <w:p>
            <w:pPr>
              <w:spacing w:before="142" w:beforeLines="50"/>
              <w:jc w:val="center"/>
              <w:rPr>
                <w:rFonts w:asciiTheme="minorEastAsia" w:hAnsiTheme="minorEastAsia" w:cstheme="minorEastAsia"/>
                <w:color w:val="auto"/>
                <w:sz w:val="28"/>
                <w:szCs w:val="28"/>
                <w:highlight w:val="none"/>
              </w:rPr>
            </w:pPr>
          </w:p>
        </w:tc>
        <w:tc>
          <w:tcPr>
            <w:tcW w:w="1134" w:type="dxa"/>
            <w:vAlign w:val="center"/>
          </w:tcPr>
          <w:p>
            <w:pPr>
              <w:jc w:val="center"/>
              <w:rPr>
                <w:rFonts w:asciiTheme="minorEastAsia" w:hAnsiTheme="minorEastAsia" w:cstheme="minorEastAsia"/>
                <w:color w:val="auto"/>
                <w:sz w:val="28"/>
                <w:szCs w:val="28"/>
                <w:highlight w:val="none"/>
              </w:rPr>
            </w:pPr>
          </w:p>
        </w:tc>
        <w:tc>
          <w:tcPr>
            <w:tcW w:w="1701" w:type="dxa"/>
          </w:tcPr>
          <w:p>
            <w:pPr>
              <w:adjustRightInd w:val="0"/>
              <w:snapToGrid w:val="0"/>
              <w:spacing w:line="400" w:lineRule="atLeast"/>
              <w:jc w:val="center"/>
              <w:rPr>
                <w:rFonts w:asciiTheme="minorEastAsia" w:hAnsiTheme="minorEastAsia" w:cstheme="minorEastAsia"/>
                <w:color w:val="auto"/>
                <w:sz w:val="28"/>
                <w:szCs w:val="28"/>
                <w:highlight w:val="none"/>
              </w:rPr>
            </w:pPr>
          </w:p>
        </w:tc>
        <w:tc>
          <w:tcPr>
            <w:tcW w:w="1134" w:type="dxa"/>
          </w:tcPr>
          <w:p>
            <w:pPr>
              <w:adjustRightInd w:val="0"/>
              <w:snapToGrid w:val="0"/>
              <w:spacing w:line="400" w:lineRule="atLeast"/>
              <w:jc w:val="left"/>
              <w:rPr>
                <w:rFonts w:asciiTheme="minorEastAsia" w:hAnsiTheme="minorEastAsia" w:cstheme="minorEastAsia"/>
                <w:color w:val="auto"/>
                <w:sz w:val="28"/>
                <w:szCs w:val="28"/>
                <w:highlight w:val="none"/>
              </w:rPr>
            </w:pPr>
          </w:p>
        </w:tc>
        <w:tc>
          <w:tcPr>
            <w:tcW w:w="1134" w:type="dxa"/>
          </w:tcPr>
          <w:p>
            <w:pPr>
              <w:adjustRightInd w:val="0"/>
              <w:snapToGrid w:val="0"/>
              <w:spacing w:line="400" w:lineRule="atLeast"/>
              <w:jc w:val="left"/>
              <w:rPr>
                <w:rFonts w:asciiTheme="minorEastAsia" w:hAnsiTheme="minorEastAsia" w:cs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adjustRightInd w:val="0"/>
              <w:snapToGrid w:val="0"/>
              <w:spacing w:line="400" w:lineRule="atLeast"/>
              <w:jc w:val="center"/>
              <w:rPr>
                <w:rFonts w:asciiTheme="minorEastAsia" w:hAnsiTheme="minorEastAsia" w:cstheme="minorEastAsia"/>
                <w:color w:val="auto"/>
                <w:sz w:val="28"/>
                <w:szCs w:val="28"/>
                <w:highlight w:val="none"/>
              </w:rPr>
            </w:pPr>
            <w:r>
              <w:rPr>
                <w:rFonts w:hint="eastAsia" w:asciiTheme="minorEastAsia" w:hAnsiTheme="minorEastAsia" w:cstheme="minorEastAsia"/>
                <w:color w:val="auto"/>
                <w:sz w:val="28"/>
                <w:szCs w:val="28"/>
                <w:highlight w:val="none"/>
              </w:rPr>
              <w:t>2</w:t>
            </w:r>
          </w:p>
        </w:tc>
        <w:tc>
          <w:tcPr>
            <w:tcW w:w="3969" w:type="dxa"/>
            <w:vAlign w:val="center"/>
          </w:tcPr>
          <w:p>
            <w:pPr>
              <w:spacing w:before="142" w:beforeLines="50"/>
              <w:jc w:val="center"/>
              <w:rPr>
                <w:rFonts w:asciiTheme="minorEastAsia" w:hAnsiTheme="minorEastAsia" w:cstheme="minorEastAsia"/>
                <w:color w:val="auto"/>
                <w:sz w:val="28"/>
                <w:szCs w:val="28"/>
                <w:highlight w:val="none"/>
              </w:rPr>
            </w:pPr>
          </w:p>
        </w:tc>
        <w:tc>
          <w:tcPr>
            <w:tcW w:w="1134" w:type="dxa"/>
            <w:vAlign w:val="center"/>
          </w:tcPr>
          <w:p>
            <w:pPr>
              <w:snapToGrid w:val="0"/>
              <w:spacing w:before="142" w:beforeLines="50" w:line="260" w:lineRule="exact"/>
              <w:jc w:val="center"/>
              <w:rPr>
                <w:rFonts w:asciiTheme="minorEastAsia" w:hAnsiTheme="minorEastAsia" w:cstheme="minorEastAsia"/>
                <w:color w:val="auto"/>
                <w:sz w:val="28"/>
                <w:szCs w:val="28"/>
                <w:highlight w:val="none"/>
              </w:rPr>
            </w:pPr>
          </w:p>
        </w:tc>
        <w:tc>
          <w:tcPr>
            <w:tcW w:w="1701" w:type="dxa"/>
          </w:tcPr>
          <w:p>
            <w:pPr>
              <w:adjustRightInd w:val="0"/>
              <w:snapToGrid w:val="0"/>
              <w:spacing w:line="400" w:lineRule="atLeast"/>
              <w:jc w:val="center"/>
              <w:rPr>
                <w:rFonts w:asciiTheme="minorEastAsia" w:hAnsiTheme="minorEastAsia" w:cstheme="minorEastAsia"/>
                <w:color w:val="auto"/>
                <w:sz w:val="28"/>
                <w:szCs w:val="28"/>
                <w:highlight w:val="none"/>
              </w:rPr>
            </w:pPr>
          </w:p>
        </w:tc>
        <w:tc>
          <w:tcPr>
            <w:tcW w:w="1134" w:type="dxa"/>
          </w:tcPr>
          <w:p>
            <w:pPr>
              <w:adjustRightInd w:val="0"/>
              <w:snapToGrid w:val="0"/>
              <w:spacing w:line="400" w:lineRule="atLeast"/>
              <w:jc w:val="left"/>
              <w:rPr>
                <w:rFonts w:asciiTheme="minorEastAsia" w:hAnsiTheme="minorEastAsia" w:cstheme="minorEastAsia"/>
                <w:color w:val="auto"/>
                <w:sz w:val="28"/>
                <w:szCs w:val="28"/>
                <w:highlight w:val="none"/>
              </w:rPr>
            </w:pPr>
          </w:p>
        </w:tc>
        <w:tc>
          <w:tcPr>
            <w:tcW w:w="1134" w:type="dxa"/>
          </w:tcPr>
          <w:p>
            <w:pPr>
              <w:adjustRightInd w:val="0"/>
              <w:snapToGrid w:val="0"/>
              <w:spacing w:line="400" w:lineRule="atLeast"/>
              <w:jc w:val="left"/>
              <w:rPr>
                <w:rFonts w:asciiTheme="minorEastAsia" w:hAnsiTheme="minorEastAsia" w:cs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adjustRightInd w:val="0"/>
              <w:snapToGrid w:val="0"/>
              <w:spacing w:line="400" w:lineRule="atLeast"/>
              <w:jc w:val="center"/>
              <w:rPr>
                <w:rFonts w:asciiTheme="minorEastAsia" w:hAnsiTheme="minorEastAsia" w:cstheme="minorEastAsia"/>
                <w:color w:val="auto"/>
                <w:sz w:val="28"/>
                <w:szCs w:val="28"/>
                <w:highlight w:val="none"/>
              </w:rPr>
            </w:pPr>
            <w:r>
              <w:rPr>
                <w:rFonts w:hint="eastAsia" w:asciiTheme="minorEastAsia" w:hAnsiTheme="minorEastAsia" w:cstheme="minorEastAsia"/>
                <w:color w:val="auto"/>
                <w:sz w:val="28"/>
                <w:szCs w:val="28"/>
                <w:highlight w:val="none"/>
              </w:rPr>
              <w:t>3</w:t>
            </w:r>
          </w:p>
        </w:tc>
        <w:tc>
          <w:tcPr>
            <w:tcW w:w="3969" w:type="dxa"/>
            <w:vAlign w:val="center"/>
          </w:tcPr>
          <w:p>
            <w:pPr>
              <w:spacing w:before="142" w:beforeLines="50"/>
              <w:jc w:val="center"/>
              <w:rPr>
                <w:rFonts w:asciiTheme="minorEastAsia" w:hAnsiTheme="minorEastAsia" w:cstheme="minorEastAsia"/>
                <w:color w:val="auto"/>
                <w:sz w:val="28"/>
                <w:szCs w:val="28"/>
                <w:highlight w:val="none"/>
              </w:rPr>
            </w:pPr>
          </w:p>
        </w:tc>
        <w:tc>
          <w:tcPr>
            <w:tcW w:w="1134" w:type="dxa"/>
            <w:vAlign w:val="center"/>
          </w:tcPr>
          <w:p>
            <w:pPr>
              <w:snapToGrid w:val="0"/>
              <w:spacing w:before="142" w:beforeLines="50" w:line="260" w:lineRule="exact"/>
              <w:jc w:val="center"/>
              <w:rPr>
                <w:rFonts w:asciiTheme="minorEastAsia" w:hAnsiTheme="minorEastAsia" w:cstheme="minorEastAsia"/>
                <w:color w:val="auto"/>
                <w:sz w:val="28"/>
                <w:szCs w:val="28"/>
                <w:highlight w:val="none"/>
              </w:rPr>
            </w:pPr>
          </w:p>
        </w:tc>
        <w:tc>
          <w:tcPr>
            <w:tcW w:w="1701" w:type="dxa"/>
          </w:tcPr>
          <w:p>
            <w:pPr>
              <w:adjustRightInd w:val="0"/>
              <w:snapToGrid w:val="0"/>
              <w:spacing w:line="400" w:lineRule="atLeast"/>
              <w:jc w:val="center"/>
              <w:rPr>
                <w:rFonts w:asciiTheme="minorEastAsia" w:hAnsiTheme="minorEastAsia" w:cstheme="minorEastAsia"/>
                <w:color w:val="auto"/>
                <w:sz w:val="28"/>
                <w:szCs w:val="28"/>
                <w:highlight w:val="none"/>
              </w:rPr>
            </w:pPr>
          </w:p>
        </w:tc>
        <w:tc>
          <w:tcPr>
            <w:tcW w:w="1134" w:type="dxa"/>
          </w:tcPr>
          <w:p>
            <w:pPr>
              <w:adjustRightInd w:val="0"/>
              <w:snapToGrid w:val="0"/>
              <w:spacing w:line="400" w:lineRule="atLeast"/>
              <w:jc w:val="left"/>
              <w:rPr>
                <w:rFonts w:asciiTheme="minorEastAsia" w:hAnsiTheme="minorEastAsia" w:cstheme="minorEastAsia"/>
                <w:color w:val="auto"/>
                <w:sz w:val="28"/>
                <w:szCs w:val="28"/>
                <w:highlight w:val="none"/>
              </w:rPr>
            </w:pPr>
          </w:p>
        </w:tc>
        <w:tc>
          <w:tcPr>
            <w:tcW w:w="1134" w:type="dxa"/>
          </w:tcPr>
          <w:p>
            <w:pPr>
              <w:adjustRightInd w:val="0"/>
              <w:snapToGrid w:val="0"/>
              <w:spacing w:line="400" w:lineRule="atLeast"/>
              <w:jc w:val="left"/>
              <w:rPr>
                <w:rFonts w:asciiTheme="minorEastAsia" w:hAnsiTheme="minorEastAsia" w:cs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adjustRightInd w:val="0"/>
              <w:snapToGrid w:val="0"/>
              <w:spacing w:line="400" w:lineRule="atLeast"/>
              <w:jc w:val="center"/>
              <w:rPr>
                <w:rFonts w:asciiTheme="minorEastAsia" w:hAnsiTheme="minorEastAsia" w:cstheme="minorEastAsia"/>
                <w:color w:val="auto"/>
                <w:sz w:val="28"/>
                <w:szCs w:val="28"/>
                <w:highlight w:val="none"/>
              </w:rPr>
            </w:pPr>
            <w:r>
              <w:rPr>
                <w:rFonts w:hint="eastAsia" w:asciiTheme="minorEastAsia" w:hAnsiTheme="minorEastAsia" w:cstheme="minorEastAsia"/>
                <w:color w:val="auto"/>
                <w:sz w:val="28"/>
                <w:szCs w:val="28"/>
                <w:highlight w:val="none"/>
              </w:rPr>
              <w:t>4</w:t>
            </w:r>
          </w:p>
        </w:tc>
        <w:tc>
          <w:tcPr>
            <w:tcW w:w="3969" w:type="dxa"/>
            <w:vAlign w:val="center"/>
          </w:tcPr>
          <w:p>
            <w:pPr>
              <w:spacing w:before="142" w:beforeLines="50"/>
              <w:jc w:val="center"/>
              <w:rPr>
                <w:rFonts w:asciiTheme="minorEastAsia" w:hAnsiTheme="minorEastAsia" w:cstheme="minorEastAsia"/>
                <w:color w:val="auto"/>
                <w:sz w:val="28"/>
                <w:szCs w:val="28"/>
                <w:highlight w:val="none"/>
              </w:rPr>
            </w:pPr>
          </w:p>
        </w:tc>
        <w:tc>
          <w:tcPr>
            <w:tcW w:w="1134" w:type="dxa"/>
            <w:vAlign w:val="center"/>
          </w:tcPr>
          <w:p>
            <w:pPr>
              <w:snapToGrid w:val="0"/>
              <w:spacing w:before="142" w:beforeLines="50" w:line="260" w:lineRule="exact"/>
              <w:jc w:val="center"/>
              <w:rPr>
                <w:rFonts w:asciiTheme="minorEastAsia" w:hAnsiTheme="minorEastAsia" w:cstheme="minorEastAsia"/>
                <w:color w:val="auto"/>
                <w:sz w:val="28"/>
                <w:szCs w:val="28"/>
                <w:highlight w:val="none"/>
              </w:rPr>
            </w:pPr>
          </w:p>
        </w:tc>
        <w:tc>
          <w:tcPr>
            <w:tcW w:w="1701" w:type="dxa"/>
          </w:tcPr>
          <w:p>
            <w:pPr>
              <w:adjustRightInd w:val="0"/>
              <w:snapToGrid w:val="0"/>
              <w:spacing w:line="400" w:lineRule="atLeast"/>
              <w:jc w:val="center"/>
              <w:rPr>
                <w:rFonts w:asciiTheme="minorEastAsia" w:hAnsiTheme="minorEastAsia" w:cstheme="minorEastAsia"/>
                <w:color w:val="auto"/>
                <w:sz w:val="28"/>
                <w:szCs w:val="28"/>
                <w:highlight w:val="none"/>
              </w:rPr>
            </w:pPr>
          </w:p>
        </w:tc>
        <w:tc>
          <w:tcPr>
            <w:tcW w:w="1134" w:type="dxa"/>
          </w:tcPr>
          <w:p>
            <w:pPr>
              <w:adjustRightInd w:val="0"/>
              <w:snapToGrid w:val="0"/>
              <w:spacing w:line="400" w:lineRule="atLeast"/>
              <w:jc w:val="left"/>
              <w:rPr>
                <w:rFonts w:asciiTheme="minorEastAsia" w:hAnsiTheme="minorEastAsia" w:cstheme="minorEastAsia"/>
                <w:color w:val="auto"/>
                <w:sz w:val="28"/>
                <w:szCs w:val="28"/>
                <w:highlight w:val="none"/>
              </w:rPr>
            </w:pPr>
          </w:p>
        </w:tc>
        <w:tc>
          <w:tcPr>
            <w:tcW w:w="1134" w:type="dxa"/>
          </w:tcPr>
          <w:p>
            <w:pPr>
              <w:adjustRightInd w:val="0"/>
              <w:snapToGrid w:val="0"/>
              <w:spacing w:line="400" w:lineRule="atLeast"/>
              <w:jc w:val="left"/>
              <w:rPr>
                <w:rFonts w:asciiTheme="minorEastAsia" w:hAnsiTheme="minorEastAsia" w:cs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adjustRightInd w:val="0"/>
              <w:snapToGrid w:val="0"/>
              <w:spacing w:line="400" w:lineRule="atLeast"/>
              <w:jc w:val="center"/>
              <w:rPr>
                <w:rFonts w:asciiTheme="minorEastAsia" w:hAnsiTheme="minorEastAsia" w:cstheme="minorEastAsia"/>
                <w:color w:val="auto"/>
                <w:sz w:val="28"/>
                <w:szCs w:val="28"/>
                <w:highlight w:val="none"/>
              </w:rPr>
            </w:pPr>
            <w:r>
              <w:rPr>
                <w:rFonts w:hint="eastAsia" w:asciiTheme="minorEastAsia" w:hAnsiTheme="minorEastAsia" w:cstheme="minorEastAsia"/>
                <w:color w:val="auto"/>
                <w:sz w:val="28"/>
                <w:szCs w:val="28"/>
                <w:highlight w:val="none"/>
              </w:rPr>
              <w:t>5</w:t>
            </w:r>
          </w:p>
        </w:tc>
        <w:tc>
          <w:tcPr>
            <w:tcW w:w="3969" w:type="dxa"/>
            <w:vAlign w:val="center"/>
          </w:tcPr>
          <w:p>
            <w:pPr>
              <w:spacing w:before="142" w:beforeLines="50"/>
              <w:jc w:val="center"/>
              <w:rPr>
                <w:rFonts w:asciiTheme="minorEastAsia" w:hAnsiTheme="minorEastAsia" w:cstheme="minorEastAsia"/>
                <w:color w:val="auto"/>
                <w:sz w:val="28"/>
                <w:szCs w:val="28"/>
                <w:highlight w:val="none"/>
              </w:rPr>
            </w:pPr>
          </w:p>
        </w:tc>
        <w:tc>
          <w:tcPr>
            <w:tcW w:w="1134" w:type="dxa"/>
            <w:vAlign w:val="center"/>
          </w:tcPr>
          <w:p>
            <w:pPr>
              <w:spacing w:before="142" w:beforeLines="50" w:line="260" w:lineRule="exact"/>
              <w:jc w:val="center"/>
              <w:rPr>
                <w:rFonts w:asciiTheme="minorEastAsia" w:hAnsiTheme="minorEastAsia" w:cstheme="minorEastAsia"/>
                <w:color w:val="auto"/>
                <w:sz w:val="28"/>
                <w:szCs w:val="28"/>
                <w:highlight w:val="none"/>
              </w:rPr>
            </w:pPr>
          </w:p>
        </w:tc>
        <w:tc>
          <w:tcPr>
            <w:tcW w:w="1701" w:type="dxa"/>
          </w:tcPr>
          <w:p>
            <w:pPr>
              <w:adjustRightInd w:val="0"/>
              <w:snapToGrid w:val="0"/>
              <w:spacing w:line="400" w:lineRule="atLeast"/>
              <w:jc w:val="center"/>
              <w:rPr>
                <w:rFonts w:asciiTheme="minorEastAsia" w:hAnsiTheme="minorEastAsia" w:cstheme="minorEastAsia"/>
                <w:color w:val="auto"/>
                <w:sz w:val="28"/>
                <w:szCs w:val="28"/>
                <w:highlight w:val="none"/>
              </w:rPr>
            </w:pPr>
          </w:p>
        </w:tc>
        <w:tc>
          <w:tcPr>
            <w:tcW w:w="1134" w:type="dxa"/>
          </w:tcPr>
          <w:p>
            <w:pPr>
              <w:adjustRightInd w:val="0"/>
              <w:snapToGrid w:val="0"/>
              <w:spacing w:line="400" w:lineRule="atLeast"/>
              <w:jc w:val="left"/>
              <w:rPr>
                <w:rFonts w:asciiTheme="minorEastAsia" w:hAnsiTheme="minorEastAsia" w:cstheme="minorEastAsia"/>
                <w:color w:val="auto"/>
                <w:sz w:val="28"/>
                <w:szCs w:val="28"/>
                <w:highlight w:val="none"/>
              </w:rPr>
            </w:pPr>
          </w:p>
        </w:tc>
        <w:tc>
          <w:tcPr>
            <w:tcW w:w="1134" w:type="dxa"/>
          </w:tcPr>
          <w:p>
            <w:pPr>
              <w:adjustRightInd w:val="0"/>
              <w:snapToGrid w:val="0"/>
              <w:spacing w:line="400" w:lineRule="atLeast"/>
              <w:jc w:val="left"/>
              <w:rPr>
                <w:rFonts w:asciiTheme="minorEastAsia" w:hAnsiTheme="minorEastAsia" w:cs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adjustRightInd w:val="0"/>
              <w:snapToGrid w:val="0"/>
              <w:spacing w:line="400" w:lineRule="atLeast"/>
              <w:jc w:val="center"/>
              <w:rPr>
                <w:rFonts w:asciiTheme="minorEastAsia" w:hAnsiTheme="minorEastAsia" w:cstheme="minorEastAsia"/>
                <w:color w:val="auto"/>
                <w:sz w:val="28"/>
                <w:szCs w:val="28"/>
                <w:highlight w:val="none"/>
              </w:rPr>
            </w:pPr>
            <w:r>
              <w:rPr>
                <w:rFonts w:hint="eastAsia" w:asciiTheme="minorEastAsia" w:hAnsiTheme="minorEastAsia" w:cstheme="minorEastAsia"/>
                <w:color w:val="auto"/>
                <w:sz w:val="28"/>
                <w:szCs w:val="28"/>
                <w:highlight w:val="none"/>
              </w:rPr>
              <w:t>6</w:t>
            </w:r>
          </w:p>
        </w:tc>
        <w:tc>
          <w:tcPr>
            <w:tcW w:w="3969" w:type="dxa"/>
            <w:vAlign w:val="center"/>
          </w:tcPr>
          <w:p>
            <w:pPr>
              <w:spacing w:before="142" w:beforeLines="50"/>
              <w:jc w:val="center"/>
              <w:rPr>
                <w:rFonts w:asciiTheme="minorEastAsia" w:hAnsiTheme="minorEastAsia" w:cstheme="minorEastAsia"/>
                <w:color w:val="auto"/>
                <w:sz w:val="28"/>
                <w:szCs w:val="28"/>
                <w:highlight w:val="none"/>
              </w:rPr>
            </w:pPr>
          </w:p>
        </w:tc>
        <w:tc>
          <w:tcPr>
            <w:tcW w:w="1134" w:type="dxa"/>
            <w:vAlign w:val="center"/>
          </w:tcPr>
          <w:p>
            <w:pPr>
              <w:spacing w:before="142" w:beforeLines="50"/>
              <w:jc w:val="center"/>
              <w:rPr>
                <w:rFonts w:asciiTheme="minorEastAsia" w:hAnsiTheme="minorEastAsia" w:cstheme="minorEastAsia"/>
                <w:color w:val="auto"/>
                <w:sz w:val="28"/>
                <w:szCs w:val="28"/>
                <w:highlight w:val="none"/>
              </w:rPr>
            </w:pPr>
          </w:p>
        </w:tc>
        <w:tc>
          <w:tcPr>
            <w:tcW w:w="1701" w:type="dxa"/>
          </w:tcPr>
          <w:p>
            <w:pPr>
              <w:adjustRightInd w:val="0"/>
              <w:snapToGrid w:val="0"/>
              <w:spacing w:line="400" w:lineRule="atLeast"/>
              <w:jc w:val="center"/>
              <w:rPr>
                <w:rFonts w:asciiTheme="minorEastAsia" w:hAnsiTheme="minorEastAsia" w:cstheme="minorEastAsia"/>
                <w:color w:val="auto"/>
                <w:sz w:val="28"/>
                <w:szCs w:val="28"/>
                <w:highlight w:val="none"/>
              </w:rPr>
            </w:pPr>
          </w:p>
        </w:tc>
        <w:tc>
          <w:tcPr>
            <w:tcW w:w="1134" w:type="dxa"/>
          </w:tcPr>
          <w:p>
            <w:pPr>
              <w:adjustRightInd w:val="0"/>
              <w:snapToGrid w:val="0"/>
              <w:spacing w:line="400" w:lineRule="atLeast"/>
              <w:jc w:val="left"/>
              <w:rPr>
                <w:rFonts w:asciiTheme="minorEastAsia" w:hAnsiTheme="minorEastAsia" w:cstheme="minorEastAsia"/>
                <w:color w:val="auto"/>
                <w:sz w:val="28"/>
                <w:szCs w:val="28"/>
                <w:highlight w:val="none"/>
              </w:rPr>
            </w:pPr>
          </w:p>
        </w:tc>
        <w:tc>
          <w:tcPr>
            <w:tcW w:w="1134" w:type="dxa"/>
          </w:tcPr>
          <w:p>
            <w:pPr>
              <w:adjustRightInd w:val="0"/>
              <w:snapToGrid w:val="0"/>
              <w:spacing w:line="400" w:lineRule="atLeast"/>
              <w:jc w:val="left"/>
              <w:rPr>
                <w:rFonts w:asciiTheme="minorEastAsia" w:hAnsiTheme="minorEastAsia" w:cs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spacing w:before="142" w:beforeLines="50"/>
              <w:jc w:val="center"/>
              <w:rPr>
                <w:rFonts w:asciiTheme="minorEastAsia" w:hAnsiTheme="minorEastAsia" w:cstheme="minorEastAsia"/>
                <w:color w:val="auto"/>
                <w:sz w:val="28"/>
                <w:szCs w:val="28"/>
                <w:highlight w:val="none"/>
              </w:rPr>
            </w:pPr>
            <w:r>
              <w:rPr>
                <w:rFonts w:hint="eastAsia" w:asciiTheme="minorEastAsia" w:hAnsiTheme="minorEastAsia" w:cstheme="minorEastAsia"/>
                <w:color w:val="auto"/>
                <w:sz w:val="28"/>
                <w:szCs w:val="28"/>
                <w:highlight w:val="none"/>
              </w:rPr>
              <w:t>7</w:t>
            </w:r>
          </w:p>
        </w:tc>
        <w:tc>
          <w:tcPr>
            <w:tcW w:w="3969" w:type="dxa"/>
            <w:vAlign w:val="center"/>
          </w:tcPr>
          <w:p>
            <w:pPr>
              <w:spacing w:before="142" w:beforeLines="50"/>
              <w:jc w:val="center"/>
              <w:rPr>
                <w:rFonts w:asciiTheme="minorEastAsia" w:hAnsiTheme="minorEastAsia" w:cstheme="minorEastAsia"/>
                <w:color w:val="auto"/>
                <w:sz w:val="28"/>
                <w:szCs w:val="28"/>
                <w:highlight w:val="none"/>
              </w:rPr>
            </w:pPr>
          </w:p>
        </w:tc>
        <w:tc>
          <w:tcPr>
            <w:tcW w:w="1134" w:type="dxa"/>
            <w:vAlign w:val="center"/>
          </w:tcPr>
          <w:p>
            <w:pPr>
              <w:spacing w:before="142" w:beforeLines="50"/>
              <w:ind w:firstLine="140" w:firstLineChars="50"/>
              <w:jc w:val="center"/>
              <w:rPr>
                <w:rFonts w:asciiTheme="minorEastAsia" w:hAnsiTheme="minorEastAsia" w:cstheme="minorEastAsia"/>
                <w:color w:val="auto"/>
                <w:sz w:val="28"/>
                <w:szCs w:val="28"/>
                <w:highlight w:val="none"/>
              </w:rPr>
            </w:pPr>
          </w:p>
        </w:tc>
        <w:tc>
          <w:tcPr>
            <w:tcW w:w="1701" w:type="dxa"/>
          </w:tcPr>
          <w:p>
            <w:pPr>
              <w:spacing w:before="142" w:beforeLines="50"/>
              <w:jc w:val="center"/>
              <w:rPr>
                <w:rFonts w:asciiTheme="minorEastAsia" w:hAnsiTheme="minorEastAsia" w:cstheme="minorEastAsia"/>
                <w:color w:val="auto"/>
                <w:sz w:val="28"/>
                <w:szCs w:val="28"/>
                <w:highlight w:val="none"/>
              </w:rPr>
            </w:pPr>
          </w:p>
        </w:tc>
        <w:tc>
          <w:tcPr>
            <w:tcW w:w="1134" w:type="dxa"/>
          </w:tcPr>
          <w:p>
            <w:pPr>
              <w:spacing w:before="142" w:beforeLines="50"/>
              <w:jc w:val="left"/>
              <w:rPr>
                <w:rFonts w:asciiTheme="minorEastAsia" w:hAnsiTheme="minorEastAsia" w:cstheme="minorEastAsia"/>
                <w:color w:val="auto"/>
                <w:sz w:val="28"/>
                <w:szCs w:val="28"/>
                <w:highlight w:val="none"/>
              </w:rPr>
            </w:pPr>
          </w:p>
        </w:tc>
        <w:tc>
          <w:tcPr>
            <w:tcW w:w="1134" w:type="dxa"/>
          </w:tcPr>
          <w:p>
            <w:pPr>
              <w:spacing w:before="142" w:beforeLines="50"/>
              <w:jc w:val="left"/>
              <w:rPr>
                <w:rFonts w:asciiTheme="minorEastAsia" w:hAnsiTheme="minorEastAsia" w:cs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spacing w:before="142" w:beforeLines="50"/>
              <w:jc w:val="center"/>
              <w:rPr>
                <w:rFonts w:asciiTheme="minorEastAsia" w:hAnsiTheme="minorEastAsia" w:cstheme="minorEastAsia"/>
                <w:color w:val="auto"/>
                <w:sz w:val="28"/>
                <w:szCs w:val="28"/>
                <w:highlight w:val="none"/>
              </w:rPr>
            </w:pPr>
            <w:r>
              <w:rPr>
                <w:rFonts w:hint="eastAsia" w:asciiTheme="minorEastAsia" w:hAnsiTheme="minorEastAsia" w:cstheme="minorEastAsia"/>
                <w:color w:val="auto"/>
                <w:sz w:val="28"/>
                <w:szCs w:val="28"/>
                <w:highlight w:val="none"/>
              </w:rPr>
              <w:t>8</w:t>
            </w:r>
          </w:p>
        </w:tc>
        <w:tc>
          <w:tcPr>
            <w:tcW w:w="3969" w:type="dxa"/>
            <w:vAlign w:val="center"/>
          </w:tcPr>
          <w:p>
            <w:pPr>
              <w:spacing w:before="142" w:beforeLines="50"/>
              <w:jc w:val="center"/>
              <w:rPr>
                <w:rFonts w:asciiTheme="minorEastAsia" w:hAnsiTheme="minorEastAsia" w:cstheme="minorEastAsia"/>
                <w:color w:val="auto"/>
                <w:sz w:val="28"/>
                <w:szCs w:val="28"/>
                <w:highlight w:val="none"/>
              </w:rPr>
            </w:pPr>
          </w:p>
        </w:tc>
        <w:tc>
          <w:tcPr>
            <w:tcW w:w="1134" w:type="dxa"/>
            <w:vAlign w:val="center"/>
          </w:tcPr>
          <w:p>
            <w:pPr>
              <w:spacing w:before="142" w:beforeLines="50"/>
              <w:ind w:firstLine="140" w:firstLineChars="50"/>
              <w:jc w:val="center"/>
              <w:rPr>
                <w:rFonts w:asciiTheme="minorEastAsia" w:hAnsiTheme="minorEastAsia" w:cstheme="minorEastAsia"/>
                <w:color w:val="auto"/>
                <w:sz w:val="28"/>
                <w:szCs w:val="28"/>
                <w:highlight w:val="none"/>
              </w:rPr>
            </w:pPr>
          </w:p>
        </w:tc>
        <w:tc>
          <w:tcPr>
            <w:tcW w:w="1701" w:type="dxa"/>
          </w:tcPr>
          <w:p>
            <w:pPr>
              <w:spacing w:before="142" w:beforeLines="50"/>
              <w:jc w:val="center"/>
              <w:rPr>
                <w:rFonts w:asciiTheme="minorEastAsia" w:hAnsiTheme="minorEastAsia" w:cstheme="minorEastAsia"/>
                <w:color w:val="auto"/>
                <w:sz w:val="28"/>
                <w:szCs w:val="28"/>
                <w:highlight w:val="none"/>
              </w:rPr>
            </w:pPr>
          </w:p>
        </w:tc>
        <w:tc>
          <w:tcPr>
            <w:tcW w:w="1134" w:type="dxa"/>
          </w:tcPr>
          <w:p>
            <w:pPr>
              <w:spacing w:before="142" w:beforeLines="50"/>
              <w:jc w:val="left"/>
              <w:rPr>
                <w:rFonts w:asciiTheme="minorEastAsia" w:hAnsiTheme="minorEastAsia" w:cstheme="minorEastAsia"/>
                <w:color w:val="auto"/>
                <w:sz w:val="28"/>
                <w:szCs w:val="28"/>
                <w:highlight w:val="none"/>
              </w:rPr>
            </w:pPr>
          </w:p>
        </w:tc>
        <w:tc>
          <w:tcPr>
            <w:tcW w:w="1134" w:type="dxa"/>
          </w:tcPr>
          <w:p>
            <w:pPr>
              <w:spacing w:before="142" w:beforeLines="50"/>
              <w:jc w:val="left"/>
              <w:rPr>
                <w:rFonts w:asciiTheme="minorEastAsia" w:hAnsiTheme="minorEastAsia" w:cs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568" w:type="dxa"/>
          </w:tcPr>
          <w:p>
            <w:pPr>
              <w:spacing w:before="142" w:beforeLines="50"/>
              <w:jc w:val="center"/>
              <w:rPr>
                <w:rFonts w:asciiTheme="minorEastAsia" w:hAnsiTheme="minorEastAsia" w:cstheme="minorEastAsia"/>
                <w:color w:val="auto"/>
                <w:sz w:val="28"/>
                <w:szCs w:val="28"/>
                <w:highlight w:val="none"/>
              </w:rPr>
            </w:pPr>
          </w:p>
        </w:tc>
        <w:tc>
          <w:tcPr>
            <w:tcW w:w="3969" w:type="dxa"/>
            <w:vAlign w:val="center"/>
          </w:tcPr>
          <w:p>
            <w:pPr>
              <w:spacing w:before="142" w:beforeLines="50"/>
              <w:jc w:val="center"/>
              <w:rPr>
                <w:rFonts w:asciiTheme="minorEastAsia" w:hAnsiTheme="minorEastAsia" w:cstheme="minorEastAsia"/>
                <w:color w:val="auto"/>
                <w:sz w:val="28"/>
                <w:szCs w:val="28"/>
                <w:highlight w:val="none"/>
              </w:rPr>
            </w:pPr>
          </w:p>
        </w:tc>
        <w:tc>
          <w:tcPr>
            <w:tcW w:w="1134" w:type="dxa"/>
            <w:vAlign w:val="center"/>
          </w:tcPr>
          <w:p>
            <w:pPr>
              <w:spacing w:before="142" w:beforeLines="50"/>
              <w:jc w:val="center"/>
              <w:rPr>
                <w:rFonts w:asciiTheme="minorEastAsia" w:hAnsiTheme="minorEastAsia" w:cstheme="minorEastAsia"/>
                <w:color w:val="auto"/>
                <w:sz w:val="28"/>
                <w:szCs w:val="28"/>
                <w:highlight w:val="none"/>
              </w:rPr>
            </w:pPr>
          </w:p>
        </w:tc>
        <w:tc>
          <w:tcPr>
            <w:tcW w:w="1701" w:type="dxa"/>
          </w:tcPr>
          <w:p>
            <w:pPr>
              <w:spacing w:before="142" w:beforeLines="50"/>
              <w:jc w:val="center"/>
              <w:rPr>
                <w:rFonts w:asciiTheme="minorEastAsia" w:hAnsiTheme="minorEastAsia" w:cstheme="minorEastAsia"/>
                <w:color w:val="auto"/>
                <w:sz w:val="28"/>
                <w:szCs w:val="28"/>
                <w:highlight w:val="none"/>
              </w:rPr>
            </w:pPr>
          </w:p>
        </w:tc>
        <w:tc>
          <w:tcPr>
            <w:tcW w:w="1134" w:type="dxa"/>
          </w:tcPr>
          <w:p>
            <w:pPr>
              <w:spacing w:before="142" w:beforeLines="50"/>
              <w:jc w:val="left"/>
              <w:rPr>
                <w:rFonts w:asciiTheme="minorEastAsia" w:hAnsiTheme="minorEastAsia" w:cstheme="minorEastAsia"/>
                <w:color w:val="auto"/>
                <w:sz w:val="28"/>
                <w:szCs w:val="28"/>
                <w:highlight w:val="none"/>
              </w:rPr>
            </w:pPr>
          </w:p>
        </w:tc>
        <w:tc>
          <w:tcPr>
            <w:tcW w:w="1134" w:type="dxa"/>
          </w:tcPr>
          <w:p>
            <w:pPr>
              <w:spacing w:before="142" w:beforeLines="50"/>
              <w:jc w:val="left"/>
              <w:rPr>
                <w:rFonts w:asciiTheme="minorEastAsia" w:hAnsiTheme="minorEastAsia" w:cstheme="minorEastAsia"/>
                <w:color w:val="auto"/>
                <w:sz w:val="28"/>
                <w:szCs w:val="28"/>
                <w:highlight w:val="none"/>
              </w:rPr>
            </w:pPr>
          </w:p>
        </w:tc>
      </w:tr>
    </w:tbl>
    <w:p>
      <w:pPr>
        <w:spacing w:line="360" w:lineRule="auto"/>
        <w:ind w:firstLine="359" w:firstLineChars="171"/>
        <w:rPr>
          <w:rFonts w:ascii="仿宋" w:hAnsi="仿宋" w:eastAsia="仿宋" w:cs="仿宋"/>
          <w:color w:val="auto"/>
          <w:highlight w:val="none"/>
        </w:rPr>
      </w:pPr>
      <w:r>
        <w:rPr>
          <w:rFonts w:hint="eastAsia" w:ascii="仿宋" w:hAnsi="仿宋" w:eastAsia="仿宋" w:cs="仿宋"/>
          <w:color w:val="auto"/>
          <w:szCs w:val="21"/>
          <w:highlight w:val="none"/>
        </w:rPr>
        <w:t>注：1、投标人提供的同类工程业绩证明资料附于该表后面。业绩证明资料须提供合同，相关证明资料必须能反映出评标所需指标，否则相应子项不予计分；时间以合同文件签订时间为准。</w:t>
      </w:r>
    </w:p>
    <w:p>
      <w:pPr>
        <w:spacing w:line="360" w:lineRule="auto"/>
        <w:ind w:firstLine="779" w:firstLineChars="371"/>
        <w:rPr>
          <w:rFonts w:ascii="仿宋" w:hAnsi="仿宋" w:eastAsia="仿宋" w:cs="仿宋"/>
          <w:color w:val="auto"/>
          <w:sz w:val="24"/>
          <w:highlight w:val="none"/>
        </w:rPr>
      </w:pPr>
      <w:r>
        <w:rPr>
          <w:rFonts w:hint="eastAsia" w:ascii="仿宋" w:hAnsi="仿宋" w:eastAsia="仿宋" w:cs="仿宋"/>
          <w:color w:val="auto"/>
          <w:szCs w:val="21"/>
          <w:highlight w:val="none"/>
        </w:rPr>
        <w:t>2、如有获奖，请附获奖证书复印件。</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600" w:lineRule="exact"/>
        <w:rPr>
          <w:rFonts w:ascii="仿宋" w:hAnsi="仿宋" w:eastAsia="仿宋" w:cs="宋体"/>
          <w:color w:val="auto"/>
          <w:sz w:val="28"/>
          <w:szCs w:val="28"/>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格式七</w:t>
      </w:r>
      <w:r>
        <w:rPr>
          <w:rFonts w:hint="eastAsia" w:ascii="仿宋" w:hAnsi="仿宋" w:eastAsia="仿宋" w:cs="宋体"/>
          <w:color w:val="auto"/>
          <w:sz w:val="28"/>
          <w:szCs w:val="28"/>
          <w:highlight w:val="none"/>
        </w:rPr>
        <w:t>：</w:t>
      </w:r>
    </w:p>
    <w:p>
      <w:pPr>
        <w:adjustRightInd w:val="0"/>
        <w:snapToGrid w:val="0"/>
        <w:spacing w:before="85"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10209" w:type="dxa"/>
        <w:jc w:val="center"/>
        <w:tblLayout w:type="fixed"/>
        <w:tblCellMar>
          <w:top w:w="0" w:type="dxa"/>
          <w:left w:w="108" w:type="dxa"/>
          <w:bottom w:w="0" w:type="dxa"/>
          <w:right w:w="108" w:type="dxa"/>
        </w:tblCellMar>
      </w:tblPr>
      <w:tblGrid>
        <w:gridCol w:w="552"/>
        <w:gridCol w:w="915"/>
        <w:gridCol w:w="887"/>
        <w:gridCol w:w="887"/>
        <w:gridCol w:w="1066"/>
        <w:gridCol w:w="886"/>
        <w:gridCol w:w="884"/>
        <w:gridCol w:w="1250"/>
        <w:gridCol w:w="715"/>
        <w:gridCol w:w="2167"/>
      </w:tblGrid>
      <w:tr>
        <w:tblPrEx>
          <w:tblCellMar>
            <w:top w:w="0" w:type="dxa"/>
            <w:left w:w="108" w:type="dxa"/>
            <w:bottom w:w="0" w:type="dxa"/>
            <w:right w:w="108" w:type="dxa"/>
          </w:tblCellMar>
        </w:tblPrEx>
        <w:trPr>
          <w:trHeight w:val="454" w:hRule="atLeast"/>
          <w:jc w:val="center"/>
        </w:trPr>
        <w:tc>
          <w:tcPr>
            <w:tcW w:w="5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9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经验年限</w:t>
            </w:r>
          </w:p>
        </w:tc>
        <w:tc>
          <w:tcPr>
            <w:tcW w:w="216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5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9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216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5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9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216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5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9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216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5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9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216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5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9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216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5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9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216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5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9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216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5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9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216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5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9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216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szCs w:val="21"/>
          <w:highlight w:val="none"/>
        </w:rPr>
      </w:pPr>
      <w:r>
        <w:rPr>
          <w:rFonts w:hint="eastAsia" w:ascii="仿宋" w:hAnsi="仿宋" w:eastAsia="仿宋" w:cs="仿宋"/>
          <w:color w:val="auto"/>
          <w:szCs w:val="21"/>
          <w:highlight w:val="none"/>
        </w:rPr>
        <w:t>注：1、“拟承担工作”栏，应注明主要造价咨询人员（须注明项目负责人、审核和复核人、编制人员和辅助人员）等。</w:t>
      </w:r>
    </w:p>
    <w:p>
      <w:pPr>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2、项目负责人应按格式八表格及备注的规定附相关证明文件。</w:t>
      </w:r>
    </w:p>
    <w:p>
      <w:pPr>
        <w:adjustRightInd w:val="0"/>
        <w:snapToGrid w:val="0"/>
        <w:spacing w:before="85"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3、其他人员应附上个人注册执业资格证、职称证等文件（复印件，加盖单位公章）。</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格式八</w:t>
      </w:r>
      <w:r>
        <w:rPr>
          <w:rFonts w:hint="eastAsia" w:ascii="仿宋" w:hAnsi="仿宋" w:eastAsia="仿宋" w:cs="宋体"/>
          <w:color w:val="auto"/>
          <w:sz w:val="28"/>
          <w:szCs w:val="28"/>
          <w:highlight w:val="none"/>
        </w:rPr>
        <w:t>：</w:t>
      </w: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adjustRightInd w:val="0"/>
        <w:snapToGrid w:val="0"/>
        <w:spacing w:before="85"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拟在本合同任职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2、项目负责人必须附执业证书及资格证书、身份证、职称证书及业绩等证明材料（复印件，加盖单位公章）。</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3、业绩证明资料须提供合同，相关证明资料中必须能反映出评标所需指标、人员姓名和岗位等，否则相应子项不予计分。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2"/>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格式九：</w:t>
      </w:r>
    </w:p>
    <w:p>
      <w:pPr>
        <w:spacing w:line="360" w:lineRule="auto"/>
        <w:jc w:val="center"/>
        <w:outlineLvl w:val="2"/>
        <w:rPr>
          <w:rFonts w:ascii="宋体" w:hAnsi="宋体" w:eastAsia="宋体" w:cs="宋体"/>
          <w:color w:val="auto"/>
          <w:sz w:val="24"/>
          <w:highlight w:val="none"/>
        </w:rPr>
      </w:pPr>
      <w:r>
        <w:rPr>
          <w:rFonts w:hint="eastAsia" w:ascii="仿宋" w:hAnsi="仿宋" w:eastAsia="仿宋" w:cs="宋体"/>
          <w:b/>
          <w:color w:val="auto"/>
          <w:sz w:val="36"/>
          <w:szCs w:val="36"/>
          <w:highlight w:val="none"/>
        </w:rPr>
        <w:t>报价表</w:t>
      </w:r>
    </w:p>
    <w:p>
      <w:pPr>
        <w:jc w:val="right"/>
        <w:rPr>
          <w:rFonts w:ascii="仿宋" w:hAnsi="仿宋" w:eastAsia="仿宋" w:cs="仿宋"/>
          <w:color w:val="auto"/>
          <w:sz w:val="28"/>
          <w:szCs w:val="28"/>
          <w:highlight w:val="none"/>
        </w:rPr>
      </w:pPr>
      <w:r>
        <w:rPr>
          <w:rFonts w:hint="eastAsia" w:ascii="仿宋" w:hAnsi="仿宋" w:eastAsia="仿宋" w:cs="仿宋"/>
          <w:color w:val="auto"/>
          <w:szCs w:val="21"/>
          <w:highlight w:val="none"/>
        </w:rPr>
        <w:t xml:space="preserve"> </w:t>
      </w:r>
    </w:p>
    <w:tbl>
      <w:tblPr>
        <w:tblStyle w:val="14"/>
        <w:tblW w:w="9047" w:type="dxa"/>
        <w:tblInd w:w="0" w:type="dxa"/>
        <w:tblLayout w:type="fixed"/>
        <w:tblCellMar>
          <w:top w:w="0" w:type="dxa"/>
          <w:left w:w="30" w:type="dxa"/>
          <w:bottom w:w="0" w:type="dxa"/>
          <w:right w:w="30" w:type="dxa"/>
        </w:tblCellMar>
      </w:tblPr>
      <w:tblGrid>
        <w:gridCol w:w="5467"/>
        <w:gridCol w:w="3580"/>
      </w:tblGrid>
      <w:tr>
        <w:trPr>
          <w:cantSplit/>
          <w:trHeight w:val="454" w:hRule="atLeast"/>
        </w:trPr>
        <w:tc>
          <w:tcPr>
            <w:tcW w:w="5467" w:type="dxa"/>
            <w:tcBorders>
              <w:top w:val="single" w:color="auto" w:sz="4" w:space="0"/>
              <w:left w:val="single" w:color="auto" w:sz="4" w:space="0"/>
              <w:bottom w:val="single" w:color="auto" w:sz="4" w:space="0"/>
              <w:right w:val="single" w:color="auto" w:sz="6" w:space="0"/>
            </w:tcBorders>
            <w:vAlign w:val="center"/>
          </w:tcPr>
          <w:p>
            <w:pPr>
              <w:pStyle w:val="33"/>
              <w:autoSpaceDE w:val="0"/>
              <w:autoSpaceDN w:val="0"/>
              <w:adjustRightInd w:val="0"/>
              <w:spacing w:line="276" w:lineRule="auto"/>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分项</w:t>
            </w:r>
          </w:p>
        </w:tc>
        <w:tc>
          <w:tcPr>
            <w:tcW w:w="3580" w:type="dxa"/>
            <w:tcBorders>
              <w:top w:val="single" w:color="auto" w:sz="4" w:space="0"/>
              <w:left w:val="single" w:color="auto" w:sz="6" w:space="0"/>
              <w:bottom w:val="single" w:color="auto" w:sz="4" w:space="0"/>
              <w:right w:val="single" w:color="auto" w:sz="4" w:space="0"/>
            </w:tcBorders>
            <w:vAlign w:val="center"/>
          </w:tcPr>
          <w:p>
            <w:pPr>
              <w:pStyle w:val="33"/>
              <w:autoSpaceDE w:val="0"/>
              <w:autoSpaceDN w:val="0"/>
              <w:adjustRightInd w:val="0"/>
              <w:spacing w:line="276" w:lineRule="auto"/>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分项内容</w:t>
            </w:r>
          </w:p>
        </w:tc>
      </w:tr>
      <w:tr>
        <w:trPr>
          <w:cantSplit/>
          <w:trHeight w:val="454" w:hRule="atLeast"/>
        </w:trPr>
        <w:tc>
          <w:tcPr>
            <w:tcW w:w="5467" w:type="dxa"/>
            <w:tcBorders>
              <w:top w:val="single" w:color="auto" w:sz="4" w:space="0"/>
              <w:left w:val="single" w:color="auto" w:sz="4" w:space="0"/>
              <w:bottom w:val="single" w:color="auto" w:sz="6" w:space="0"/>
              <w:right w:val="single" w:color="auto" w:sz="6" w:space="0"/>
            </w:tcBorders>
            <w:vAlign w:val="center"/>
          </w:tcPr>
          <w:p>
            <w:pPr>
              <w:pStyle w:val="33"/>
              <w:autoSpaceDE w:val="0"/>
              <w:autoSpaceDN w:val="0"/>
              <w:adjustRightInd w:val="0"/>
              <w:spacing w:line="276" w:lineRule="auto"/>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依据广东省建设工程造价咨询服务收费标准：粤价函【2011】742号文，投标下浮率为</w:t>
            </w:r>
          </w:p>
        </w:tc>
        <w:tc>
          <w:tcPr>
            <w:tcW w:w="3580" w:type="dxa"/>
            <w:tcBorders>
              <w:top w:val="single" w:color="auto" w:sz="4" w:space="0"/>
              <w:left w:val="single" w:color="auto" w:sz="6" w:space="0"/>
              <w:bottom w:val="single" w:color="auto" w:sz="6" w:space="0"/>
              <w:right w:val="single" w:color="auto" w:sz="4" w:space="0"/>
            </w:tcBorders>
            <w:vAlign w:val="center"/>
          </w:tcPr>
          <w:p>
            <w:pPr>
              <w:pStyle w:val="33"/>
              <w:autoSpaceDE w:val="0"/>
              <w:autoSpaceDN w:val="0"/>
              <w:adjustRightInd w:val="0"/>
              <w:spacing w:line="276" w:lineRule="auto"/>
              <w:jc w:val="righ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w:t>
            </w:r>
            <w:r>
              <w:rPr>
                <w:rFonts w:ascii="仿宋_GB2312" w:hAnsi="宋体" w:eastAsia="仿宋_GB2312"/>
                <w:color w:val="auto"/>
                <w:sz w:val="28"/>
                <w:szCs w:val="28"/>
                <w:highlight w:val="none"/>
              </w:rPr>
              <w:t xml:space="preserve"> </w:t>
            </w:r>
          </w:p>
        </w:tc>
      </w:tr>
    </w:tbl>
    <w:p>
      <w:pPr>
        <w:rPr>
          <w:rFonts w:ascii="仿宋" w:hAnsi="仿宋" w:eastAsia="仿宋" w:cs="仿宋"/>
          <w:color w:val="auto"/>
          <w:sz w:val="28"/>
          <w:szCs w:val="28"/>
          <w:highlight w:val="none"/>
        </w:rPr>
      </w:pPr>
    </w:p>
    <w:p>
      <w:pP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注：投标人应根据企业自身能力报出符合《关于调整我省建设工程造价咨询服务收费的复函》（粤价函【2011】742号）为计费标准的下浮率（小数点后保留二位小数），下浮率不得为区间值（如：1%～3%）且控制在10%&lt;投标下浮率≤</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0%。</w:t>
      </w:r>
    </w:p>
    <w:p>
      <w:pPr>
        <w:rPr>
          <w:rFonts w:ascii="宋体" w:hAnsi="宋体" w:eastAsia="宋体" w:cs="宋体"/>
          <w:color w:val="auto"/>
          <w:sz w:val="24"/>
          <w:highlight w:val="none"/>
        </w:rPr>
      </w:pPr>
      <w:r>
        <w:rPr>
          <w:rFonts w:ascii="宋体" w:hAnsi="宋体" w:eastAsia="宋体" w:cs="宋体"/>
          <w:color w:val="auto"/>
          <w:sz w:val="24"/>
          <w:highlight w:val="none"/>
        </w:rPr>
        <w:br w:type="page"/>
      </w:r>
    </w:p>
    <w:p>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格式十：</w:t>
      </w:r>
    </w:p>
    <w:p>
      <w:pPr>
        <w:spacing w:line="360" w:lineRule="auto"/>
        <w:rPr>
          <w:rFonts w:ascii="宋体" w:hAnsi="宋体" w:eastAsia="宋体" w:cs="宋体"/>
          <w:color w:val="auto"/>
          <w:sz w:val="24"/>
          <w:highlight w:val="none"/>
        </w:rPr>
      </w:pP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实质性响应条款一览表</w:t>
      </w:r>
    </w:p>
    <w:tbl>
      <w:tblPr>
        <w:tblStyle w:val="14"/>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4760"/>
        <w:gridCol w:w="2422"/>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tcBorders>
              <w:top w:val="single" w:color="auto" w:sz="4" w:space="0"/>
              <w:left w:val="single" w:color="auto" w:sz="4" w:space="0"/>
              <w:bottom w:val="single" w:color="auto" w:sz="4" w:space="0"/>
              <w:right w:val="single" w:color="auto" w:sz="4" w:space="0"/>
            </w:tcBorders>
          </w:tcPr>
          <w:p>
            <w:pPr>
              <w:pStyle w:val="33"/>
              <w:autoSpaceDE w:val="0"/>
              <w:autoSpaceDN w:val="0"/>
              <w:adjustRightInd w:val="0"/>
              <w:spacing w:line="276" w:lineRule="auto"/>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序号</w:t>
            </w:r>
          </w:p>
        </w:tc>
        <w:tc>
          <w:tcPr>
            <w:tcW w:w="4760" w:type="dxa"/>
            <w:tcBorders>
              <w:top w:val="single" w:color="auto" w:sz="4" w:space="0"/>
              <w:left w:val="single" w:color="auto" w:sz="4" w:space="0"/>
              <w:bottom w:val="single" w:color="auto" w:sz="4" w:space="0"/>
              <w:right w:val="single" w:color="auto" w:sz="4" w:space="0"/>
            </w:tcBorders>
          </w:tcPr>
          <w:p>
            <w:pPr>
              <w:pStyle w:val="33"/>
              <w:autoSpaceDE w:val="0"/>
              <w:autoSpaceDN w:val="0"/>
              <w:adjustRightInd w:val="0"/>
              <w:spacing w:line="276" w:lineRule="auto"/>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实质性响应条款</w:t>
            </w:r>
          </w:p>
        </w:tc>
        <w:tc>
          <w:tcPr>
            <w:tcW w:w="2422" w:type="dxa"/>
            <w:tcBorders>
              <w:top w:val="single" w:color="auto" w:sz="4" w:space="0"/>
              <w:left w:val="single" w:color="auto" w:sz="4" w:space="0"/>
              <w:bottom w:val="single" w:color="auto" w:sz="4" w:space="0"/>
              <w:right w:val="single" w:color="auto" w:sz="4" w:space="0"/>
            </w:tcBorders>
          </w:tcPr>
          <w:p>
            <w:pPr>
              <w:pStyle w:val="33"/>
              <w:autoSpaceDE w:val="0"/>
              <w:autoSpaceDN w:val="0"/>
              <w:adjustRightInd w:val="0"/>
              <w:spacing w:line="276" w:lineRule="auto"/>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投标人响应情况</w:t>
            </w:r>
          </w:p>
        </w:tc>
        <w:tc>
          <w:tcPr>
            <w:tcW w:w="1559" w:type="dxa"/>
            <w:tcBorders>
              <w:top w:val="single" w:color="auto" w:sz="4" w:space="0"/>
              <w:left w:val="single" w:color="auto" w:sz="4" w:space="0"/>
              <w:bottom w:val="single" w:color="auto" w:sz="4" w:space="0"/>
              <w:right w:val="single" w:color="auto" w:sz="4" w:space="0"/>
            </w:tcBorders>
          </w:tcPr>
          <w:p>
            <w:pPr>
              <w:pStyle w:val="33"/>
              <w:autoSpaceDE w:val="0"/>
              <w:autoSpaceDN w:val="0"/>
              <w:adjustRightInd w:val="0"/>
              <w:spacing w:line="276" w:lineRule="auto"/>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tcBorders>
              <w:top w:val="single" w:color="auto" w:sz="4" w:space="0"/>
              <w:left w:val="single" w:color="auto" w:sz="4" w:space="0"/>
              <w:bottom w:val="single" w:color="auto" w:sz="4" w:space="0"/>
              <w:right w:val="single" w:color="auto" w:sz="4" w:space="0"/>
            </w:tcBorders>
          </w:tcPr>
          <w:p>
            <w:pPr>
              <w:pStyle w:val="33"/>
              <w:autoSpaceDE w:val="0"/>
              <w:autoSpaceDN w:val="0"/>
              <w:adjustRightInd w:val="0"/>
              <w:spacing w:line="276" w:lineRule="auto"/>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1</w:t>
            </w:r>
          </w:p>
        </w:tc>
        <w:tc>
          <w:tcPr>
            <w:tcW w:w="4760" w:type="dxa"/>
            <w:tcBorders>
              <w:top w:val="single" w:color="auto" w:sz="4" w:space="0"/>
              <w:left w:val="single" w:color="auto" w:sz="4" w:space="0"/>
              <w:bottom w:val="single" w:color="auto" w:sz="4" w:space="0"/>
              <w:right w:val="single" w:color="auto" w:sz="4" w:space="0"/>
            </w:tcBorders>
          </w:tcPr>
          <w:p>
            <w:pPr>
              <w:pStyle w:val="33"/>
              <w:autoSpaceDE w:val="0"/>
              <w:autoSpaceDN w:val="0"/>
              <w:adjustRightInd w:val="0"/>
              <w:spacing w:line="276" w:lineRule="auto"/>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★投标人应根据企业自身能力报出</w:t>
            </w:r>
            <w:r>
              <w:rPr>
                <w:rFonts w:hint="eastAsia" w:ascii="仿宋" w:hAnsi="仿宋" w:eastAsia="仿宋" w:cs="仿宋"/>
                <w:color w:val="auto"/>
                <w:sz w:val="28"/>
                <w:szCs w:val="28"/>
                <w:highlight w:val="none"/>
              </w:rPr>
              <w:t>符合《关于调整我省建设工程造价咨询服务收费的复函》（粤价函【2011】742号）为计费标准</w:t>
            </w:r>
            <w:r>
              <w:rPr>
                <w:rFonts w:hint="eastAsia" w:ascii="仿宋_GB2312" w:hAnsi="宋体" w:eastAsia="仿宋_GB2312"/>
                <w:color w:val="auto"/>
                <w:sz w:val="28"/>
                <w:szCs w:val="28"/>
                <w:highlight w:val="none"/>
              </w:rPr>
              <w:t>的下浮率</w:t>
            </w:r>
            <w:r>
              <w:rPr>
                <w:rFonts w:hint="eastAsia" w:ascii="仿宋" w:hAnsi="仿宋" w:eastAsia="仿宋" w:cs="仿宋"/>
                <w:color w:val="auto"/>
                <w:sz w:val="28"/>
                <w:szCs w:val="28"/>
                <w:highlight w:val="none"/>
              </w:rPr>
              <w:t>（小数点后保留二位小数）</w:t>
            </w:r>
            <w:r>
              <w:rPr>
                <w:rFonts w:hint="eastAsia" w:ascii="仿宋_GB2312" w:hAnsi="宋体" w:eastAsia="仿宋_GB2312"/>
                <w:color w:val="auto"/>
                <w:sz w:val="28"/>
                <w:szCs w:val="28"/>
                <w:highlight w:val="none"/>
              </w:rPr>
              <w:t>，下浮率不得为区间值（如：1%～3%），且控制在</w:t>
            </w:r>
            <w:r>
              <w:rPr>
                <w:rFonts w:hint="eastAsia" w:ascii="仿宋" w:hAnsi="仿宋" w:eastAsia="仿宋" w:cs="仿宋"/>
                <w:color w:val="auto"/>
                <w:sz w:val="28"/>
                <w:szCs w:val="28"/>
                <w:highlight w:val="none"/>
              </w:rPr>
              <w:t>10%&lt;投标下浮率≤</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0%</w:t>
            </w:r>
            <w:r>
              <w:rPr>
                <w:rFonts w:hint="eastAsia" w:ascii="仿宋_GB2312" w:hAnsi="宋体" w:eastAsia="仿宋_GB2312"/>
                <w:color w:val="auto"/>
                <w:sz w:val="28"/>
                <w:szCs w:val="28"/>
                <w:highlight w:val="none"/>
              </w:rPr>
              <w:t>。</w:t>
            </w:r>
          </w:p>
        </w:tc>
        <w:tc>
          <w:tcPr>
            <w:tcW w:w="2422" w:type="dxa"/>
            <w:tcBorders>
              <w:top w:val="single" w:color="auto" w:sz="4" w:space="0"/>
              <w:left w:val="single" w:color="auto" w:sz="4" w:space="0"/>
              <w:bottom w:val="single" w:color="auto" w:sz="4" w:space="0"/>
              <w:right w:val="single" w:color="auto" w:sz="4" w:space="0"/>
            </w:tcBorders>
          </w:tcPr>
          <w:p>
            <w:pPr>
              <w:pStyle w:val="33"/>
              <w:autoSpaceDE w:val="0"/>
              <w:autoSpaceDN w:val="0"/>
              <w:adjustRightInd w:val="0"/>
              <w:spacing w:line="276" w:lineRule="auto"/>
              <w:jc w:val="center"/>
              <w:rPr>
                <w:rFonts w:ascii="仿宋_GB2312" w:hAnsi="宋体" w:eastAsia="仿宋_GB2312"/>
                <w:color w:val="auto"/>
                <w:sz w:val="28"/>
                <w:szCs w:val="28"/>
                <w:highlight w:val="none"/>
              </w:rPr>
            </w:pPr>
          </w:p>
        </w:tc>
        <w:tc>
          <w:tcPr>
            <w:tcW w:w="1559" w:type="dxa"/>
            <w:tcBorders>
              <w:top w:val="single" w:color="auto" w:sz="4" w:space="0"/>
              <w:left w:val="single" w:color="auto" w:sz="4" w:space="0"/>
              <w:bottom w:val="single" w:color="auto" w:sz="4" w:space="0"/>
              <w:right w:val="single" w:color="auto" w:sz="4" w:space="0"/>
            </w:tcBorders>
          </w:tcPr>
          <w:p>
            <w:pPr>
              <w:pStyle w:val="33"/>
              <w:autoSpaceDE w:val="0"/>
              <w:autoSpaceDN w:val="0"/>
              <w:adjustRightInd w:val="0"/>
              <w:spacing w:line="276" w:lineRule="auto"/>
              <w:jc w:val="center"/>
              <w:rPr>
                <w:rFonts w:ascii="仿宋_GB2312" w:hAnsi="宋体" w:eastAsia="仿宋_GB2312"/>
                <w:color w:val="auto"/>
                <w:sz w:val="28"/>
                <w:szCs w:val="28"/>
                <w:highlight w:val="none"/>
              </w:rPr>
            </w:pPr>
          </w:p>
        </w:tc>
      </w:tr>
    </w:tbl>
    <w:p>
      <w:pPr>
        <w:pStyle w:val="35"/>
        <w:spacing w:line="276" w:lineRule="auto"/>
        <w:rPr>
          <w:rFonts w:ascii="仿宋_GB2312" w:eastAsia="仿宋_GB2312"/>
          <w:color w:val="auto"/>
          <w:sz w:val="28"/>
          <w:szCs w:val="28"/>
          <w:highlight w:val="none"/>
        </w:rPr>
      </w:pPr>
      <w:r>
        <w:rPr>
          <w:rFonts w:hint="eastAsia" w:ascii="仿宋" w:hAnsi="仿宋" w:eastAsia="仿宋" w:cs="仿宋"/>
          <w:color w:val="auto"/>
          <w:sz w:val="28"/>
          <w:szCs w:val="28"/>
          <w:highlight w:val="none"/>
        </w:rPr>
        <w:t>说明：</w:t>
      </w:r>
    </w:p>
    <w:p>
      <w:pPr>
        <w:pStyle w:val="35"/>
        <w:numPr>
          <w:ilvl w:val="0"/>
          <w:numId w:val="3"/>
        </w:numPr>
        <w:spacing w:line="276" w:lineRule="auto"/>
        <w:rPr>
          <w:rFonts w:ascii="仿宋_GB2312" w:eastAsia="仿宋_GB2312"/>
          <w:color w:val="auto"/>
          <w:sz w:val="28"/>
          <w:szCs w:val="28"/>
          <w:highlight w:val="none"/>
        </w:rPr>
      </w:pPr>
      <w:r>
        <w:rPr>
          <w:rFonts w:hint="eastAsia" w:ascii="仿宋_GB2312" w:eastAsia="仿宋_GB2312"/>
          <w:color w:val="auto"/>
          <w:sz w:val="28"/>
          <w:szCs w:val="28"/>
          <w:highlight w:val="none"/>
        </w:rPr>
        <w:t>本表所列条款必须一一予以响应，“</w:t>
      </w:r>
      <w:r>
        <w:rPr>
          <w:rFonts w:hint="eastAsia" w:ascii="仿宋_GB2312" w:hAnsi="仿宋_GB2312" w:eastAsia="仿宋_GB2312" w:cs="仿宋_GB2312"/>
          <w:color w:val="auto"/>
          <w:sz w:val="28"/>
          <w:szCs w:val="28"/>
          <w:highlight w:val="none"/>
        </w:rPr>
        <w:t>投标人</w:t>
      </w:r>
      <w:r>
        <w:rPr>
          <w:rFonts w:hint="eastAsia" w:ascii="仿宋_GB2312" w:eastAsia="仿宋_GB2312"/>
          <w:color w:val="auto"/>
          <w:sz w:val="28"/>
          <w:szCs w:val="28"/>
          <w:highlight w:val="none"/>
        </w:rPr>
        <w:t>响应情况”一栏应</w:t>
      </w:r>
      <w:r>
        <w:rPr>
          <w:rFonts w:hint="eastAsia" w:ascii="仿宋_GB2312" w:eastAsia="仿宋_GB2312"/>
          <w:b/>
          <w:color w:val="auto"/>
          <w:sz w:val="28"/>
          <w:szCs w:val="28"/>
          <w:highlight w:val="none"/>
        </w:rPr>
        <w:t>填写具体的响应内容，有差异的</w:t>
      </w:r>
      <w:r>
        <w:rPr>
          <w:rFonts w:hint="eastAsia" w:ascii="仿宋_GB2312" w:eastAsia="仿宋_GB2312"/>
          <w:color w:val="auto"/>
          <w:sz w:val="28"/>
          <w:szCs w:val="28"/>
          <w:highlight w:val="none"/>
        </w:rPr>
        <w:t>要具体说明。</w:t>
      </w:r>
    </w:p>
    <w:p>
      <w:pPr>
        <w:pStyle w:val="35"/>
        <w:numPr>
          <w:ilvl w:val="0"/>
          <w:numId w:val="3"/>
        </w:numPr>
        <w:spacing w:line="276" w:lineRule="auto"/>
        <w:rPr>
          <w:rFonts w:ascii="仿宋_GB2312" w:eastAsia="仿宋_GB2312"/>
          <w:color w:val="auto"/>
          <w:sz w:val="28"/>
          <w:szCs w:val="28"/>
          <w:highlight w:val="none"/>
        </w:rPr>
      </w:pPr>
      <w:r>
        <w:rPr>
          <w:rFonts w:hint="eastAsia" w:ascii="仿宋_GB2312" w:eastAsia="仿宋_GB2312"/>
          <w:color w:val="auto"/>
          <w:sz w:val="28"/>
          <w:szCs w:val="28"/>
          <w:highlight w:val="none"/>
        </w:rPr>
        <w:t>请</w:t>
      </w:r>
      <w:r>
        <w:rPr>
          <w:rFonts w:hint="eastAsia" w:ascii="仿宋_GB2312" w:hAnsi="仿宋_GB2312" w:eastAsia="仿宋_GB2312" w:cs="仿宋_GB2312"/>
          <w:color w:val="auto"/>
          <w:sz w:val="28"/>
          <w:szCs w:val="28"/>
          <w:highlight w:val="none"/>
        </w:rPr>
        <w:t>投标人</w:t>
      </w:r>
      <w:r>
        <w:rPr>
          <w:rFonts w:hint="eastAsia" w:ascii="仿宋_GB2312" w:eastAsia="仿宋_GB2312"/>
          <w:color w:val="auto"/>
          <w:sz w:val="28"/>
          <w:szCs w:val="28"/>
          <w:highlight w:val="none"/>
        </w:rPr>
        <w:t>认真填写本表内容，如填写错误将可能导致报价无效。</w:t>
      </w:r>
    </w:p>
    <w:p>
      <w:pPr>
        <w:spacing w:line="360" w:lineRule="auto"/>
        <w:rPr>
          <w:rFonts w:ascii="宋体" w:hAnsi="宋体" w:eastAsia="宋体" w:cs="宋体"/>
          <w:color w:val="auto"/>
          <w:sz w:val="24"/>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rPr>
          <w:rFonts w:ascii="黑体" w:hAnsi="宋体" w:cs="黑体"/>
          <w:b/>
          <w:color w:val="auto"/>
          <w:kern w:val="44"/>
          <w:sz w:val="44"/>
          <w:szCs w:val="44"/>
          <w:highlight w:val="none"/>
        </w:rPr>
        <w:sectPr>
          <w:pgSz w:w="11915" w:h="16840"/>
          <w:pgMar w:top="1247" w:right="1135" w:bottom="1247" w:left="1361" w:header="720" w:footer="720" w:gutter="0"/>
          <w:cols w:space="0" w:num="1"/>
          <w:docGrid w:type="linesAndChars" w:linePitch="285" w:charSpace="833"/>
        </w:sectPr>
      </w:pPr>
      <w:bookmarkStart w:id="45" w:name="_Toc374128477"/>
      <w:bookmarkEnd w:id="45"/>
    </w:p>
    <w:p>
      <w:pPr>
        <w:pStyle w:val="3"/>
        <w:widowControl/>
        <w:spacing w:before="0" w:after="0" w:line="360" w:lineRule="auto"/>
        <w:jc w:val="center"/>
        <w:rPr>
          <w:rFonts w:ascii="黑体" w:hAnsi="宋体" w:cs="黑体"/>
          <w:b/>
          <w:color w:val="auto"/>
          <w:kern w:val="44"/>
          <w:sz w:val="44"/>
          <w:szCs w:val="44"/>
          <w:highlight w:val="none"/>
        </w:rPr>
      </w:pPr>
      <w:bookmarkStart w:id="46" w:name="_Toc3091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评标办法</w:t>
      </w:r>
      <w:bookmarkEnd w:id="46"/>
    </w:p>
    <w:p>
      <w:pPr>
        <w:spacing w:after="120"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1.1本项目采取邀请招标选择造价咨询服务单位，为保证招标“公开、公平、公正”，根据国家有关工程建设招标投标的法律、法规和方针、政策，制定本评标细则，实行评标的规范化、标准化、科学化。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本评标办法仅适用本次造价咨询服务招标。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本评标办法的解释和修订权属本工程建设招标人。</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2.1《中华人民共和国民法典》；</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2.4七部委第12号令《评标委员会和评标方法暂行规定》；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2.7本招标工程项目的招标文件、评标办法及其补充通知；</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情节严重，构成犯罪的，由司法机关依法追究其刑事责任。</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4"/>
        </w:numPr>
        <w:spacing w:line="500" w:lineRule="exact"/>
        <w:jc w:val="both"/>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4"/>
        </w:numPr>
        <w:spacing w:line="500" w:lineRule="exact"/>
        <w:jc w:val="both"/>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4"/>
        </w:numPr>
        <w:spacing w:line="500" w:lineRule="exact"/>
        <w:jc w:val="both"/>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4"/>
        </w:numPr>
        <w:spacing w:line="500" w:lineRule="exact"/>
        <w:jc w:val="both"/>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4"/>
        </w:numPr>
        <w:spacing w:line="500" w:lineRule="exact"/>
        <w:jc w:val="both"/>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招标人依法组建评标小组。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7"/>
        <w:widowControl/>
        <w:spacing w:line="500" w:lineRule="exact"/>
        <w:ind w:firstLine="562" w:firstLineChars="200"/>
        <w:rPr>
          <w:rFonts w:hint="default" w:ascii="仿宋" w:hAnsi="仿宋" w:eastAsia="仿宋" w:cs="仿宋"/>
          <w:b/>
          <w:color w:val="auto"/>
          <w:sz w:val="28"/>
          <w:szCs w:val="28"/>
          <w:highlight w:val="none"/>
        </w:rPr>
      </w:pPr>
      <w:r>
        <w:rPr>
          <w:rFonts w:ascii="仿宋" w:hAnsi="仿宋" w:eastAsia="仿宋" w:cs="仿宋"/>
          <w:b/>
          <w:color w:val="auto"/>
          <w:sz w:val="28"/>
          <w:szCs w:val="28"/>
          <w:highlight w:val="none"/>
        </w:rPr>
        <w:t>5.1评标小组</w:t>
      </w:r>
    </w:p>
    <w:p>
      <w:pPr>
        <w:pStyle w:val="7"/>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5.1.1  评标小组由招标人依法组建的5名专家组成。</w:t>
      </w:r>
    </w:p>
    <w:p>
      <w:pPr>
        <w:pStyle w:val="7"/>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5.1.2  评标小组推举产生1名组长，主持评审工作，组长与其他成员有同等表决权。</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5.2.1 评标小组根据招标文件规定的评标标准和方法，对投标文件进行评审和比较，招标文件中没有规定的标准和方法不得作为评标的依据。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在符合招标文件规定的前提下，评标小组主要对投标文件进行评议。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如果少数投标人超越招标文件要求提交了模型、演示动画、特殊规格展示图纸或发生其他特殊情况，评标小组对超越招标文件要求的内容不进行评审，只评审该投标文件符合要求的内容。</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 采用</w:t>
      </w:r>
      <w:r>
        <w:rPr>
          <w:rFonts w:hint="eastAsia" w:ascii="仿宋" w:hAnsi="仿宋" w:eastAsia="仿宋" w:cs="仿宋"/>
          <w:b/>
          <w:color w:val="auto"/>
          <w:sz w:val="28"/>
          <w:szCs w:val="28"/>
          <w:highlight w:val="none"/>
          <w:u w:val="single"/>
        </w:rPr>
        <w:t>综合评分法评标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（4）汇总投标人的综合得分，推荐中标候选人并编写评审报告。</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500" w:lineRule="exact"/>
        <w:ind w:left="423" w:hanging="422" w:hangingChars="151"/>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 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pPr>
        <w:spacing w:line="500" w:lineRule="exact"/>
        <w:ind w:left="560"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 评标小组专家计算各投标人的综合得分.</w:t>
      </w:r>
    </w:p>
    <w:p>
      <w:pPr>
        <w:spacing w:line="500" w:lineRule="exact"/>
        <w:ind w:left="560"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 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pPr>
        <w:spacing w:line="50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招标人在评标小组推荐的中标候选人中确定中标人。但是，招标人认为评标小组推荐的中标候选人不能最大限度满足招标文件规定的要求的，依法重新招标。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□（1）招标人委托评标小组直接确定中标人；</w:t>
      </w:r>
    </w:p>
    <w:p>
      <w:pPr>
        <w:spacing w:line="500" w:lineRule="exact"/>
        <w:ind w:left="961" w:hanging="961" w:hangingChars="342"/>
        <w:jc w:val="left"/>
        <w:rPr>
          <w:rFonts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rPr>
        <w:t>√</w:t>
      </w:r>
      <w:r>
        <w:rPr>
          <w:rFonts w:hint="eastAsia" w:ascii="仿宋" w:hAnsi="仿宋" w:eastAsia="仿宋" w:cs="仿宋"/>
          <w:color w:val="auto"/>
          <w:sz w:val="28"/>
          <w:szCs w:val="28"/>
          <w:highlight w:val="none"/>
        </w:rPr>
        <w:t>（2）确定评标小组推荐的排名第一、第二的中标候选人为中标人。如排名第一或第二的中标候选人放弃中标或因不可抗力提出不能履行合同，或者存在违法行为被有关部门依法查处且其违法行为影响中标结果的，则确定排名第三的中标候选人为中标人。如排名第三的中标候选人也发生上述问题，招标人可重新组织招标。</w:t>
      </w:r>
    </w:p>
    <w:p>
      <w:pPr>
        <w:spacing w:line="500" w:lineRule="exact"/>
        <w:ind w:left="958" w:hanging="957" w:hangingChars="342"/>
        <w:jc w:val="left"/>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 xml:space="preserve"> </w:t>
      </w:r>
      <w:r>
        <w:rPr>
          <w:rFonts w:hint="eastAsia" w:ascii="仿宋" w:hAnsi="仿宋" w:eastAsia="仿宋" w:cs="仿宋"/>
          <w:b/>
          <w:color w:val="auto"/>
          <w:sz w:val="28"/>
          <w:szCs w:val="28"/>
          <w:highlight w:val="none"/>
        </w:rPr>
        <w:t xml:space="preserve">  5.5 发生下列情形之一的，招标人将重新组织招标：</w:t>
      </w:r>
    </w:p>
    <w:p>
      <w:pPr>
        <w:pStyle w:val="7"/>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7"/>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7"/>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 开标由招标人或招标代理机构主持；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a、投标人名称；b、标书密封情况；c、法定代表人证明及授权委托；d、项目负责人名称；e、投标报价等主要内容以及开标记录表中的其他必要内容，并予以记录，记录提交评标小组评审。</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招标人将上述符合要求的投标文件，送至评标小组进行评审。</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1）第一步：进行投标文件符合性审查；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评标小组依据有关法律、法规和招标文件的规定对投标文件进行评审，若本项目经评审有效的投标人不足3名时，本次招标失败，招标人应当依法重新组织招标。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2）第二步：专家对综合评分表进行打分；</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3）第三步：评标小组完成评标报告，向招标人推荐中标候选人。</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根据附件1“符合性审查表”进行评审。投标文件中没有任一种列于附件1《符合性审查表》中情形的，为通过符合性审查。否则其投标文件将被否决。如评标小组成员的评审意见不一致时，以评标小组过半数成员的意见作为评标小组对该情形的认定结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评标小组对所有投标作否决处理的，招标人应当重新招标。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7.3 计算投标人总得分（满分为100分） </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7.4 推荐中标候选人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7.4.1按投标人总得分高低进行先后排序，取评分最高的为第一中标候选人，第二高的为第二中标候选人，第三高的为第三中标候选人。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7.4.2如果有两个或两个以上的投标人总得分评分相同，则商务评分较高的投标人排名优先；如果总得分、商务评分均相同的投标文件，则由评标小组采用摇珠方式，确定中标候选人顺序。</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1）招标人依据评标报告审定本项目的中标人。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2）虽然经招标人审定为中标人，但在签订合同前的任何时候，招标人、评标专家以及其他人员发现投标人在招标投标过程有弄虚作假行为、虚报资料情况，一经查实，立即取消其中标人资格。</w:t>
      </w:r>
    </w:p>
    <w:p>
      <w:pPr>
        <w:pStyle w:val="39"/>
        <w:widowControl w:val="0"/>
        <w:spacing w:after="0" w:line="360" w:lineRule="auto"/>
        <w:ind w:firstLine="562" w:firstLineChars="200"/>
        <w:outlineLvl w:val="1"/>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 xml:space="preserve">7.7 </w:t>
      </w:r>
      <w:r>
        <w:rPr>
          <w:rFonts w:hint="eastAsia" w:ascii="仿宋" w:hAnsi="仿宋" w:eastAsia="仿宋" w:cs="仿宋"/>
          <w:b/>
          <w:color w:val="auto"/>
          <w:sz w:val="28"/>
          <w:szCs w:val="28"/>
          <w:highlight w:val="none"/>
        </w:rPr>
        <w:t>项目委托分配方法</w:t>
      </w:r>
      <w:bookmarkStart w:id="47" w:name="_Toc393283320"/>
      <w:r>
        <w:rPr>
          <w:rFonts w:hint="eastAsia" w:ascii="仿宋" w:hAnsi="仿宋" w:eastAsia="仿宋" w:cs="仿宋"/>
          <w:b/>
          <w:color w:val="auto"/>
          <w:sz w:val="28"/>
          <w:szCs w:val="28"/>
          <w:highlight w:val="none"/>
        </w:rPr>
        <w:t>：</w:t>
      </w:r>
      <w:r>
        <w:rPr>
          <w:rFonts w:hint="eastAsia" w:ascii="仿宋" w:hAnsi="仿宋" w:eastAsia="仿宋" w:cs="仿宋"/>
          <w:color w:val="auto"/>
          <w:kern w:val="2"/>
          <w:sz w:val="28"/>
          <w:szCs w:val="28"/>
          <w:highlight w:val="none"/>
        </w:rPr>
        <w:t>项目委托采用随机选取的方法分配。</w:t>
      </w:r>
      <w:bookmarkEnd w:id="47"/>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7.8招标人将参照以下原则进行本项目中标人的替换：</w:t>
      </w:r>
    </w:p>
    <w:p>
      <w:pPr>
        <w:numPr>
          <w:ilvl w:val="0"/>
          <w:numId w:val="5"/>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若中标人在实际工作中服务质量存在问题，未能表现出符合要求的造价咨询水平，经招标人研究确定，可解除与中标人的合同关系，并按照中标候选人顺序依次选取新的中标人，或重新招标。</w:t>
      </w:r>
    </w:p>
    <w:p>
      <w:pPr>
        <w:numPr>
          <w:ilvl w:val="0"/>
          <w:numId w:val="5"/>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当中标人服务费累计接近100万时（或服务期限达到一年），招标人可按相关条款约定解除与中标人的合同关系，并按照中标候选人顺序依次选取新的中标人，或由招标人对中标人在服务期间的工作质量、时间节点、人员配备、服务态度等内容进行评价并审议后，决定是否与中标人续签服务合同（最多续签1次），或重新招标。</w:t>
      </w:r>
    </w:p>
    <w:p>
      <w:pPr>
        <w:numPr>
          <w:ilvl w:val="0"/>
          <w:numId w:val="5"/>
        </w:numPr>
        <w:snapToGrid w:val="0"/>
        <w:spacing w:line="360" w:lineRule="auto"/>
        <w:ind w:left="0" w:firstLine="425"/>
        <w:rPr>
          <w:rFonts w:ascii="仿宋" w:hAnsi="仿宋" w:eastAsia="仿宋" w:cs="仿宋"/>
          <w:color w:val="auto"/>
          <w:sz w:val="24"/>
          <w:highlight w:val="none"/>
        </w:rPr>
      </w:pP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当中标人以正式的书面函件形式申请放弃中标资格时，招标人可取消其中标人资格，解除与中标人的合同关系，并按照中标候选人顺序依次选取新的中标人，或重新招标。</w:t>
      </w:r>
    </w:p>
    <w:p>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48" w:name="_Toc462911104"/>
      <w:bookmarkEnd w:id="48"/>
      <w:bookmarkStart w:id="49" w:name="_Toc26593"/>
      <w:r>
        <w:rPr>
          <w:rFonts w:hint="eastAsia" w:ascii="黑体" w:hAnsi="宋体" w:cs="黑体"/>
          <w:b/>
          <w:color w:val="auto"/>
          <w:kern w:val="44"/>
          <w:sz w:val="44"/>
          <w:szCs w:val="44"/>
          <w:highlight w:val="none"/>
        </w:rPr>
        <w:t>第5章 附件</w:t>
      </w:r>
      <w:bookmarkEnd w:id="49"/>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50" w:name="_Toc12170"/>
      <w:r>
        <w:rPr>
          <w:rFonts w:hint="eastAsia" w:ascii="仿宋" w:hAnsi="仿宋" w:eastAsia="仿宋" w:cs="仿宋"/>
          <w:color w:val="auto"/>
          <w:sz w:val="28"/>
          <w:szCs w:val="28"/>
          <w:highlight w:val="none"/>
        </w:rPr>
        <w:t>附件1：符合性审查表</w:t>
      </w:r>
      <w:bookmarkEnd w:id="50"/>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4"/>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120" w:beforeLines="50" w:after="120" w:afterLines="50" w:line="240" w:lineRule="exact"/>
              <w:ind w:left="105" w:leftChars="50" w:right="105" w:rightChars="50"/>
              <w:jc w:val="center"/>
              <w:rPr>
                <w:rFonts w:ascii="仿宋" w:hAnsi="仿宋" w:eastAsia="仿宋" w:cs="仿宋"/>
                <w:b/>
                <w:color w:val="auto"/>
                <w:highlight w:val="none"/>
              </w:rPr>
            </w:pPr>
          </w:p>
          <w:p>
            <w:pPr>
              <w:spacing w:before="120" w:beforeLines="50" w:after="12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szCs w:val="21"/>
                <w:highlight w:val="none"/>
              </w:rPr>
            </w:pPr>
            <w:r>
              <w:rPr>
                <w:rFonts w:hint="eastAsia" w:ascii="仿宋" w:hAnsi="仿宋" w:eastAsia="仿宋" w:cs="仿宋"/>
                <w:color w:val="auto"/>
                <w:szCs w:val="21"/>
                <w:highlight w:val="none"/>
              </w:rPr>
              <w:t>项目负责人资质符合招标文件要求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szCs w:val="21"/>
                <w:highlight w:val="none"/>
              </w:rPr>
            </w:pPr>
            <w:r>
              <w:rPr>
                <w:rFonts w:hint="eastAsia" w:ascii="仿宋" w:hAnsi="仿宋" w:eastAsia="仿宋" w:cs="仿宋"/>
                <w:color w:val="auto"/>
                <w:szCs w:val="21"/>
                <w:highlight w:val="none"/>
              </w:rPr>
              <w:t>投标下浮率符合招标文件要求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nil"/>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p>
        </w:tc>
        <w:tc>
          <w:tcPr>
            <w:tcW w:w="3533" w:type="dxa"/>
            <w:tcBorders>
              <w:top w:val="nil"/>
              <w:left w:val="single" w:color="auto" w:sz="4" w:space="0"/>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nil"/>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nil"/>
              <w:left w:val="single" w:color="auto" w:sz="4" w:space="0"/>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nil"/>
              <w:left w:val="single" w:color="auto" w:sz="4" w:space="0"/>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bookmarkStart w:id="51" w:name="_Toc18783"/>
    </w:p>
    <w:p>
      <w:pPr>
        <w:snapToGrid w:val="0"/>
        <w:ind w:left="74"/>
        <w:outlineLvl w:val="0"/>
        <w:rPr>
          <w:rFonts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附件2综合评分表</w:t>
      </w:r>
      <w:bookmarkEnd w:id="51"/>
    </w:p>
    <w:p>
      <w:pPr>
        <w:snapToGrid w:val="0"/>
        <w:ind w:left="74"/>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6"/>
          <w:szCs w:val="36"/>
          <w:highlight w:val="none"/>
        </w:rPr>
        <w:t>综合评分表</w:t>
      </w:r>
    </w:p>
    <w:tbl>
      <w:tblPr>
        <w:tblStyle w:val="14"/>
        <w:tblW w:w="8939" w:type="dxa"/>
        <w:tblInd w:w="0" w:type="dxa"/>
        <w:tblBorders>
          <w:top w:val="single" w:color="auto" w:sz="4" w:space="0"/>
          <w:left w:val="outset" w:color="auto" w:sz="6"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28"/>
        <w:gridCol w:w="1290"/>
        <w:gridCol w:w="6621"/>
      </w:tblGrid>
      <w:tr>
        <w:tblPrEx>
          <w:tblBorders>
            <w:top w:val="single" w:color="auto" w:sz="4" w:space="0"/>
            <w:left w:val="outset" w:color="auto" w:sz="6" w:space="0"/>
            <w:bottom w:val="single" w:color="auto" w:sz="4" w:space="0"/>
            <w:right w:val="single" w:color="auto" w:sz="4" w:space="0"/>
            <w:insideH w:val="single" w:color="auto" w:sz="4" w:space="0"/>
            <w:insideV w:val="single" w:color="auto" w:sz="4" w:space="0"/>
          </w:tblBorders>
        </w:tblPrEx>
        <w:tc>
          <w:tcPr>
            <w:tcW w:w="1028" w:type="dxa"/>
            <w:tcBorders>
              <w:tl2br w:val="nil"/>
              <w:tr2bl w:val="nil"/>
            </w:tcBorders>
            <w:vAlign w:val="center"/>
          </w:tcPr>
          <w:p>
            <w:pPr>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评审内容</w:t>
            </w:r>
          </w:p>
        </w:tc>
        <w:tc>
          <w:tcPr>
            <w:tcW w:w="1290" w:type="dxa"/>
            <w:tcBorders>
              <w:tl2br w:val="nil"/>
              <w:tr2bl w:val="nil"/>
            </w:tcBorders>
            <w:vAlign w:val="center"/>
          </w:tcPr>
          <w:p>
            <w:pPr>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评分因素</w:t>
            </w:r>
          </w:p>
        </w:tc>
        <w:tc>
          <w:tcPr>
            <w:tcW w:w="6621" w:type="dxa"/>
            <w:tcBorders>
              <w:tl2br w:val="nil"/>
              <w:tr2bl w:val="nil"/>
            </w:tcBorders>
            <w:vAlign w:val="center"/>
          </w:tcPr>
          <w:p>
            <w:pPr>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评分细则</w:t>
            </w:r>
          </w:p>
        </w:tc>
      </w:tr>
      <w:tr>
        <w:tblPrEx>
          <w:tblBorders>
            <w:top w:val="single" w:color="auto" w:sz="4" w:space="0"/>
            <w:left w:val="outset" w:color="auto" w:sz="6"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44" w:hRule="atLeast"/>
        </w:trPr>
        <w:tc>
          <w:tcPr>
            <w:tcW w:w="1028" w:type="dxa"/>
            <w:vMerge w:val="restart"/>
            <w:tcBorders>
              <w:tl2br w:val="nil"/>
              <w:tr2bl w:val="nil"/>
            </w:tcBorders>
            <w:vAlign w:val="center"/>
          </w:tcPr>
          <w:p>
            <w:pPr>
              <w:jc w:val="center"/>
              <w:rPr>
                <w:rFonts w:ascii="宋体" w:hAnsi="宋体" w:eastAsia="宋体" w:cs="宋体"/>
                <w:bCs/>
                <w:color w:val="auto"/>
                <w:szCs w:val="21"/>
                <w:highlight w:val="none"/>
              </w:rPr>
            </w:pPr>
          </w:p>
          <w:p>
            <w:pPr>
              <w:jc w:val="center"/>
              <w:rPr>
                <w:rFonts w:ascii="宋体" w:hAnsi="宋体" w:eastAsia="宋体" w:cs="宋体"/>
                <w:bCs/>
                <w:color w:val="auto"/>
                <w:szCs w:val="21"/>
                <w:highlight w:val="none"/>
              </w:rPr>
            </w:pPr>
          </w:p>
          <w:p>
            <w:pPr>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商务部分（40分）</w:t>
            </w:r>
          </w:p>
          <w:p>
            <w:pPr>
              <w:jc w:val="center"/>
              <w:rPr>
                <w:rFonts w:ascii="宋体" w:hAnsi="宋体" w:eastAsia="宋体" w:cs="宋体"/>
                <w:bCs/>
                <w:color w:val="auto"/>
                <w:szCs w:val="21"/>
                <w:highlight w:val="none"/>
              </w:rPr>
            </w:pPr>
          </w:p>
          <w:p>
            <w:pPr>
              <w:jc w:val="center"/>
              <w:rPr>
                <w:rFonts w:ascii="宋体" w:hAnsi="宋体" w:eastAsia="宋体" w:cs="宋体"/>
                <w:bCs/>
                <w:color w:val="auto"/>
                <w:szCs w:val="21"/>
                <w:highlight w:val="none"/>
              </w:rPr>
            </w:pPr>
          </w:p>
        </w:tc>
        <w:tc>
          <w:tcPr>
            <w:tcW w:w="1290" w:type="dxa"/>
            <w:tcBorders>
              <w:tl2br w:val="nil"/>
              <w:tr2bl w:val="nil"/>
            </w:tcBorders>
            <w:vAlign w:val="center"/>
          </w:tcPr>
          <w:p>
            <w:pPr>
              <w:jc w:val="center"/>
              <w:rPr>
                <w:rFonts w:ascii="宋体" w:hAnsi="宋体" w:eastAsia="宋体" w:cs="宋体"/>
                <w:color w:val="auto"/>
                <w:szCs w:val="21"/>
                <w:highlight w:val="none"/>
              </w:rPr>
            </w:pPr>
            <w:r>
              <w:rPr>
                <w:rFonts w:hint="eastAsia" w:ascii="宋体" w:hAnsi="宋体" w:eastAsia="宋体" w:cs="宋体"/>
                <w:color w:val="auto"/>
                <w:szCs w:val="21"/>
                <w:highlight w:val="none"/>
              </w:rPr>
              <w:t>企业业绩</w:t>
            </w:r>
          </w:p>
          <w:p>
            <w:pPr>
              <w:pStyle w:val="2"/>
              <w:ind w:firstLine="0"/>
              <w:jc w:val="center"/>
              <w:rPr>
                <w:rFonts w:ascii="宋体" w:hAnsi="宋体" w:eastAsia="宋体" w:cs="宋体"/>
                <w:color w:val="auto"/>
                <w:szCs w:val="21"/>
                <w:highlight w:val="none"/>
              </w:rPr>
            </w:pPr>
            <w:r>
              <w:rPr>
                <w:rFonts w:hint="eastAsia" w:ascii="宋体" w:hAnsi="宋体" w:eastAsia="宋体" w:cs="宋体"/>
                <w:bCs/>
                <w:color w:val="auto"/>
                <w:szCs w:val="21"/>
                <w:highlight w:val="none"/>
              </w:rPr>
              <w:t>（12分）</w:t>
            </w:r>
          </w:p>
        </w:tc>
        <w:tc>
          <w:tcPr>
            <w:tcW w:w="6621" w:type="dxa"/>
            <w:tcBorders>
              <w:tl2br w:val="nil"/>
              <w:tr2bl w:val="nil"/>
            </w:tcBorders>
            <w:vAlign w:val="center"/>
          </w:tcPr>
          <w:p>
            <w:pPr>
              <w:rPr>
                <w:rFonts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2019</w:t>
            </w:r>
            <w:r>
              <w:rPr>
                <w:rFonts w:hint="eastAsia" w:ascii="宋体" w:hAnsi="宋体" w:eastAsia="宋体" w:cs="宋体"/>
                <w:color w:val="auto"/>
                <w:szCs w:val="21"/>
                <w:highlight w:val="none"/>
              </w:rPr>
              <w:t>年1月1日至今完成或承担过全过程造价咨询服务业绩，投资金额在1亿元及以上的，每项业绩得2分，本项最高得8分；</w:t>
            </w:r>
          </w:p>
          <w:p>
            <w:pPr>
              <w:pStyle w:val="2"/>
              <w:ind w:firstLine="0"/>
              <w:rPr>
                <w:rFonts w:hint="eastAsia" w:eastAsia="宋体"/>
                <w:color w:val="auto"/>
                <w:highlight w:val="none"/>
                <w:lang w:eastAsia="zh-CN"/>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eastAsia="zh-CN"/>
              </w:rPr>
              <w:t>2019</w:t>
            </w:r>
            <w:r>
              <w:rPr>
                <w:rFonts w:hint="eastAsia" w:ascii="宋体" w:hAnsi="宋体" w:eastAsia="宋体" w:cs="宋体"/>
                <w:color w:val="auto"/>
                <w:szCs w:val="21"/>
                <w:highlight w:val="none"/>
              </w:rPr>
              <w:t>年1月1日至今有类似年度造价咨询服务工作业绩的每项得</w:t>
            </w:r>
            <w:r>
              <w:rPr>
                <w:rFonts w:ascii="宋体" w:hAnsi="宋体" w:eastAsia="宋体" w:cs="宋体"/>
                <w:color w:val="auto"/>
                <w:szCs w:val="21"/>
                <w:highlight w:val="none"/>
              </w:rPr>
              <w:t>2分</w:t>
            </w:r>
            <w:r>
              <w:rPr>
                <w:rFonts w:hint="eastAsia" w:ascii="宋体" w:hAnsi="宋体" w:eastAsia="宋体" w:cs="宋体"/>
                <w:color w:val="auto"/>
                <w:szCs w:val="21"/>
                <w:highlight w:val="none"/>
              </w:rPr>
              <w:t>，本项最高得4分</w:t>
            </w:r>
            <w:r>
              <w:rPr>
                <w:rFonts w:hint="eastAsia" w:ascii="宋体" w:hAnsi="宋体" w:eastAsia="宋体" w:cs="宋体"/>
                <w:color w:val="auto"/>
                <w:szCs w:val="21"/>
                <w:highlight w:val="none"/>
                <w:lang w:eastAsia="zh-CN"/>
              </w:rPr>
              <w:t>。</w:t>
            </w:r>
          </w:p>
          <w:p>
            <w:pPr>
              <w:jc w:val="left"/>
              <w:rPr>
                <w:rFonts w:ascii="宋体" w:hAnsi="宋体" w:eastAsia="宋体" w:cs="宋体"/>
                <w:bCs/>
                <w:color w:val="auto"/>
                <w:szCs w:val="21"/>
                <w:highlight w:val="none"/>
              </w:rPr>
            </w:pPr>
            <w:r>
              <w:rPr>
                <w:rFonts w:hint="eastAsia" w:ascii="宋体" w:hAnsi="宋体" w:eastAsia="宋体" w:cs="宋体"/>
                <w:color w:val="auto"/>
                <w:szCs w:val="21"/>
                <w:highlight w:val="none"/>
              </w:rPr>
              <w:t>注：业绩需</w:t>
            </w:r>
            <w:r>
              <w:rPr>
                <w:rFonts w:hint="eastAsia" w:ascii="宋体" w:hAnsi="宋体" w:eastAsia="宋体" w:cs="宋体"/>
                <w:color w:val="auto"/>
                <w:szCs w:val="21"/>
                <w:highlight w:val="none"/>
                <w:lang w:eastAsia="zh-CN"/>
              </w:rPr>
              <w:t>提供</w:t>
            </w:r>
            <w:r>
              <w:rPr>
                <w:rFonts w:hint="eastAsia" w:ascii="宋体" w:hAnsi="宋体" w:eastAsia="宋体" w:cs="宋体"/>
                <w:color w:val="auto"/>
                <w:szCs w:val="21"/>
                <w:highlight w:val="none"/>
              </w:rPr>
              <w:t>造价咨询合同的主要页作为证明资料；同一合同项下的不同标段可以累加计算业绩金额。所有评审业绩证明文件包括造价咨询合同或业务委托书或中标通知书、评审结果通知文件封面或其他形式的评审结果。</w:t>
            </w:r>
          </w:p>
        </w:tc>
      </w:tr>
      <w:tr>
        <w:tblPrEx>
          <w:tblBorders>
            <w:top w:val="single" w:color="auto" w:sz="4" w:space="0"/>
            <w:left w:val="outset" w:color="auto" w:sz="6"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9" w:hRule="atLeast"/>
        </w:trPr>
        <w:tc>
          <w:tcPr>
            <w:tcW w:w="1028" w:type="dxa"/>
            <w:vMerge w:val="continue"/>
            <w:tcBorders>
              <w:tl2br w:val="nil"/>
              <w:tr2bl w:val="nil"/>
            </w:tcBorders>
            <w:vAlign w:val="center"/>
          </w:tcPr>
          <w:p>
            <w:pPr>
              <w:jc w:val="center"/>
              <w:rPr>
                <w:rFonts w:ascii="宋体" w:hAnsi="宋体" w:eastAsia="宋体" w:cs="宋体"/>
                <w:bCs/>
                <w:color w:val="auto"/>
                <w:szCs w:val="21"/>
                <w:highlight w:val="none"/>
              </w:rPr>
            </w:pPr>
          </w:p>
        </w:tc>
        <w:tc>
          <w:tcPr>
            <w:tcW w:w="1290" w:type="dxa"/>
            <w:vMerge w:val="restart"/>
            <w:tcBorders>
              <w:tl2br w:val="nil"/>
              <w:tr2bl w:val="nil"/>
            </w:tcBorders>
            <w:vAlign w:val="center"/>
          </w:tcPr>
          <w:p>
            <w:pPr>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企业荣誉</w:t>
            </w:r>
          </w:p>
          <w:p>
            <w:pPr>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（5分）</w:t>
            </w:r>
          </w:p>
        </w:tc>
        <w:tc>
          <w:tcPr>
            <w:tcW w:w="6621" w:type="dxa"/>
            <w:tcBorders>
              <w:tl2br w:val="nil"/>
              <w:tr2bl w:val="nil"/>
            </w:tcBorders>
            <w:vAlign w:val="center"/>
          </w:tcPr>
          <w:p>
            <w:pPr>
              <w:rPr>
                <w:rFonts w:ascii="宋体" w:hAnsi="宋体" w:eastAsia="宋体" w:cs="宋体"/>
                <w:color w:val="auto"/>
                <w:szCs w:val="21"/>
                <w:highlight w:val="none"/>
              </w:rPr>
            </w:pPr>
            <w:r>
              <w:rPr>
                <w:rFonts w:hint="eastAsia" w:ascii="宋体" w:hAnsi="宋体" w:eastAsia="宋体" w:cs="宋体"/>
                <w:color w:val="auto"/>
                <w:szCs w:val="21"/>
                <w:highlight w:val="none"/>
              </w:rPr>
              <w:t>投标人获得过国家级工程造价管理协会授予的“先进单位会员”的，</w:t>
            </w:r>
            <w:r>
              <w:rPr>
                <w:rFonts w:hint="eastAsia" w:ascii="宋体" w:hAnsi="宋体" w:eastAsia="宋体" w:cs="宋体"/>
                <w:color w:val="auto"/>
                <w:szCs w:val="21"/>
                <w:highlight w:val="none"/>
                <w:lang w:eastAsia="zh-CN"/>
              </w:rPr>
              <w:t>每有</w:t>
            </w:r>
            <w:r>
              <w:rPr>
                <w:rFonts w:hint="eastAsia" w:ascii="宋体" w:hAnsi="宋体" w:eastAsia="宋体" w:cs="宋体"/>
                <w:color w:val="auto"/>
                <w:szCs w:val="21"/>
                <w:highlight w:val="none"/>
                <w:lang w:val="en-US" w:eastAsia="zh-CN"/>
              </w:rPr>
              <w:t>1项</w:t>
            </w:r>
            <w:r>
              <w:rPr>
                <w:rFonts w:hint="eastAsia" w:ascii="宋体" w:hAnsi="宋体" w:eastAsia="宋体" w:cs="宋体"/>
                <w:color w:val="auto"/>
                <w:szCs w:val="21"/>
                <w:highlight w:val="none"/>
              </w:rPr>
              <w:t>得3分；获得过省级工程造价管理协会授予的“先进单位会员”的，</w:t>
            </w:r>
            <w:r>
              <w:rPr>
                <w:rFonts w:hint="eastAsia" w:ascii="宋体" w:hAnsi="宋体" w:eastAsia="宋体" w:cs="宋体"/>
                <w:color w:val="auto"/>
                <w:szCs w:val="21"/>
                <w:highlight w:val="none"/>
                <w:lang w:eastAsia="zh-CN"/>
              </w:rPr>
              <w:t>每有</w:t>
            </w:r>
            <w:r>
              <w:rPr>
                <w:rFonts w:hint="eastAsia" w:ascii="宋体" w:hAnsi="宋体" w:eastAsia="宋体" w:cs="宋体"/>
                <w:color w:val="auto"/>
                <w:szCs w:val="21"/>
                <w:highlight w:val="none"/>
                <w:lang w:val="en-US" w:eastAsia="zh-CN"/>
              </w:rPr>
              <w:t>1项</w:t>
            </w:r>
            <w:r>
              <w:rPr>
                <w:rFonts w:hint="eastAsia" w:ascii="宋体" w:hAnsi="宋体" w:eastAsia="宋体" w:cs="宋体"/>
                <w:color w:val="auto"/>
                <w:szCs w:val="21"/>
                <w:highlight w:val="none"/>
              </w:rPr>
              <w:t>得2分；获得过市级造价管理协会授予的“先进会员单位”，</w:t>
            </w:r>
            <w:r>
              <w:rPr>
                <w:rFonts w:hint="eastAsia" w:ascii="宋体" w:hAnsi="宋体" w:eastAsia="宋体" w:cs="宋体"/>
                <w:color w:val="auto"/>
                <w:szCs w:val="21"/>
                <w:highlight w:val="none"/>
                <w:lang w:eastAsia="zh-CN"/>
              </w:rPr>
              <w:t>每有</w:t>
            </w:r>
            <w:r>
              <w:rPr>
                <w:rFonts w:hint="eastAsia" w:ascii="宋体" w:hAnsi="宋体" w:eastAsia="宋体" w:cs="宋体"/>
                <w:color w:val="auto"/>
                <w:szCs w:val="21"/>
                <w:highlight w:val="none"/>
                <w:lang w:val="en-US" w:eastAsia="zh-CN"/>
              </w:rPr>
              <w:t>1项</w:t>
            </w:r>
            <w:r>
              <w:rPr>
                <w:rFonts w:hint="eastAsia" w:ascii="宋体" w:hAnsi="宋体" w:eastAsia="宋体" w:cs="宋体"/>
                <w:color w:val="auto"/>
                <w:szCs w:val="21"/>
                <w:highlight w:val="none"/>
              </w:rPr>
              <w:t>得1分；没有不得分。本项最多得</w:t>
            </w:r>
            <w:r>
              <w:rPr>
                <w:rFonts w:ascii="宋体" w:hAnsi="宋体" w:eastAsia="宋体" w:cs="宋体"/>
                <w:color w:val="auto"/>
                <w:szCs w:val="21"/>
                <w:highlight w:val="none"/>
              </w:rPr>
              <w:t>5</w:t>
            </w:r>
            <w:r>
              <w:rPr>
                <w:rFonts w:hint="eastAsia" w:ascii="宋体" w:hAnsi="宋体" w:eastAsia="宋体" w:cs="宋体"/>
                <w:color w:val="auto"/>
                <w:szCs w:val="21"/>
                <w:highlight w:val="none"/>
              </w:rPr>
              <w:t>分。</w:t>
            </w:r>
          </w:p>
        </w:tc>
      </w:tr>
      <w:tr>
        <w:tblPrEx>
          <w:tblBorders>
            <w:top w:val="single" w:color="auto" w:sz="4" w:space="0"/>
            <w:left w:val="outset" w:color="auto" w:sz="6"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28" w:type="dxa"/>
            <w:vMerge w:val="continue"/>
            <w:tcBorders>
              <w:tl2br w:val="nil"/>
              <w:tr2bl w:val="nil"/>
            </w:tcBorders>
            <w:vAlign w:val="center"/>
          </w:tcPr>
          <w:p>
            <w:pPr>
              <w:rPr>
                <w:rFonts w:ascii="宋体" w:hAnsi="宋体" w:eastAsia="宋体" w:cs="宋体"/>
                <w:bCs/>
                <w:color w:val="auto"/>
                <w:szCs w:val="21"/>
                <w:highlight w:val="none"/>
              </w:rPr>
            </w:pPr>
          </w:p>
        </w:tc>
        <w:tc>
          <w:tcPr>
            <w:tcW w:w="1290" w:type="dxa"/>
            <w:tcBorders>
              <w:tl2br w:val="nil"/>
              <w:tr2bl w:val="nil"/>
            </w:tcBorders>
            <w:vAlign w:val="center"/>
          </w:tcPr>
          <w:p>
            <w:pPr>
              <w:jc w:val="center"/>
              <w:rPr>
                <w:rFonts w:ascii="宋体" w:hAnsi="宋体" w:eastAsia="宋体" w:cs="宋体"/>
                <w:color w:val="auto"/>
                <w:szCs w:val="21"/>
                <w:highlight w:val="none"/>
              </w:rPr>
            </w:pPr>
            <w:r>
              <w:rPr>
                <w:rFonts w:hint="eastAsia" w:ascii="宋体" w:hAnsi="宋体" w:eastAsia="宋体" w:cs="宋体"/>
                <w:color w:val="auto"/>
                <w:szCs w:val="21"/>
                <w:highlight w:val="none"/>
              </w:rPr>
              <w:t>诚信纳税情况</w:t>
            </w:r>
          </w:p>
          <w:p>
            <w:pPr>
              <w:pStyle w:val="2"/>
              <w:ind w:firstLine="0"/>
              <w:jc w:val="center"/>
              <w:rPr>
                <w:rFonts w:ascii="宋体" w:hAnsi="宋体" w:eastAsia="宋体" w:cs="宋体"/>
                <w:color w:val="auto"/>
                <w:szCs w:val="21"/>
                <w:highlight w:val="none"/>
              </w:rPr>
            </w:pPr>
            <w:r>
              <w:rPr>
                <w:rFonts w:hint="eastAsia" w:ascii="宋体" w:hAnsi="宋体" w:eastAsia="宋体" w:cs="宋体"/>
                <w:color w:val="auto"/>
                <w:szCs w:val="21"/>
                <w:highlight w:val="none"/>
              </w:rPr>
              <w:t>（5分）</w:t>
            </w:r>
          </w:p>
          <w:p>
            <w:pPr>
              <w:jc w:val="left"/>
              <w:rPr>
                <w:rFonts w:ascii="宋体" w:hAnsi="宋体" w:eastAsia="宋体" w:cs="宋体"/>
                <w:bCs/>
                <w:color w:val="auto"/>
                <w:szCs w:val="21"/>
                <w:highlight w:val="none"/>
              </w:rPr>
            </w:pPr>
          </w:p>
        </w:tc>
        <w:tc>
          <w:tcPr>
            <w:tcW w:w="6621" w:type="dxa"/>
            <w:tcBorders>
              <w:tl2br w:val="nil"/>
              <w:tr2bl w:val="nil"/>
            </w:tcBorders>
            <w:vAlign w:val="center"/>
          </w:tcPr>
          <w:p>
            <w:pPr>
              <w:widowControl/>
              <w:jc w:val="left"/>
              <w:rPr>
                <w:rFonts w:ascii="宋体" w:hAnsi="宋体" w:eastAsia="宋体" w:cs="宋体"/>
                <w:color w:val="auto"/>
                <w:szCs w:val="21"/>
                <w:highlight w:val="none"/>
              </w:rPr>
            </w:pPr>
            <w:r>
              <w:rPr>
                <w:rFonts w:hint="eastAsia" w:ascii="宋体" w:hAnsi="宋体" w:eastAsia="宋体" w:cs="宋体"/>
                <w:color w:val="auto"/>
                <w:szCs w:val="21"/>
                <w:highlight w:val="none"/>
              </w:rPr>
              <w:t>投标人(不含分支机构)</w:t>
            </w:r>
            <w:r>
              <w:rPr>
                <w:rFonts w:hint="eastAsia" w:ascii="宋体" w:hAnsi="宋体" w:eastAsia="宋体" w:cs="宋体"/>
                <w:color w:val="auto"/>
                <w:szCs w:val="21"/>
                <w:highlight w:val="none"/>
                <w:lang w:eastAsia="zh-CN"/>
              </w:rPr>
              <w:t>2019</w:t>
            </w:r>
            <w:r>
              <w:rPr>
                <w:rFonts w:hint="eastAsia" w:ascii="宋体" w:hAnsi="宋体" w:eastAsia="宋体" w:cs="宋体"/>
                <w:color w:val="auto"/>
                <w:szCs w:val="21"/>
                <w:highlight w:val="none"/>
              </w:rPr>
              <w:t>年1月1日至今：</w:t>
            </w:r>
          </w:p>
          <w:p>
            <w:pPr>
              <w:widowControl/>
              <w:jc w:val="left"/>
              <w:rPr>
                <w:rFonts w:ascii="宋体" w:hAnsi="宋体" w:eastAsia="宋体" w:cs="宋体"/>
                <w:color w:val="auto"/>
                <w:szCs w:val="21"/>
                <w:highlight w:val="none"/>
              </w:rPr>
            </w:pPr>
            <w:r>
              <w:rPr>
                <w:rFonts w:hint="eastAsia" w:ascii="宋体" w:hAnsi="宋体" w:eastAsia="宋体" w:cs="宋体"/>
                <w:color w:val="auto"/>
                <w:szCs w:val="21"/>
                <w:highlight w:val="none"/>
              </w:rPr>
              <w:t>1、连续获得</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年或以上被税务主管部门评为年度纳税信用A级或以上等级的，得5分；</w:t>
            </w:r>
          </w:p>
          <w:p>
            <w:pPr>
              <w:widowControl/>
              <w:jc w:val="left"/>
              <w:rPr>
                <w:rFonts w:ascii="宋体" w:hAnsi="宋体" w:eastAsia="宋体" w:cs="宋体"/>
                <w:color w:val="auto"/>
                <w:szCs w:val="21"/>
                <w:highlight w:val="none"/>
              </w:rPr>
            </w:pPr>
            <w:r>
              <w:rPr>
                <w:rFonts w:hint="eastAsia" w:ascii="宋体" w:hAnsi="宋体" w:eastAsia="宋体" w:cs="宋体"/>
                <w:color w:val="auto"/>
                <w:szCs w:val="21"/>
                <w:highlight w:val="none"/>
              </w:rPr>
              <w:t>2、被税务主管部门评为年度纳税信用A级或以上等级的，得</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eastAsia="zh-CN"/>
              </w:rPr>
              <w:t>。</w:t>
            </w:r>
          </w:p>
          <w:p>
            <w:pPr>
              <w:rPr>
                <w:rFonts w:ascii="宋体" w:hAnsi="宋体" w:eastAsia="宋体" w:cs="宋体"/>
                <w:color w:val="auto"/>
                <w:szCs w:val="21"/>
                <w:highlight w:val="none"/>
              </w:rPr>
            </w:pPr>
            <w:r>
              <w:rPr>
                <w:rFonts w:hint="eastAsia" w:ascii="宋体" w:hAnsi="宋体" w:eastAsia="宋体" w:cs="宋体"/>
                <w:color w:val="auto"/>
                <w:szCs w:val="21"/>
                <w:highlight w:val="none"/>
              </w:rPr>
              <w:t>注：符合多项情况的，按最高档次只计取一次得分；需提供税务部门官网查询截图或相关证书扫描件。提供证书扫描件的需加盖投标单位公章。本项最高得5分。</w:t>
            </w:r>
          </w:p>
        </w:tc>
      </w:tr>
      <w:tr>
        <w:tblPrEx>
          <w:tblBorders>
            <w:top w:val="single" w:color="auto" w:sz="4" w:space="0"/>
            <w:left w:val="outset" w:color="auto" w:sz="6"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28" w:type="dxa"/>
            <w:vMerge w:val="continue"/>
            <w:tcBorders>
              <w:tl2br w:val="nil"/>
              <w:tr2bl w:val="nil"/>
            </w:tcBorders>
            <w:vAlign w:val="center"/>
          </w:tcPr>
          <w:p>
            <w:pPr>
              <w:jc w:val="center"/>
              <w:rPr>
                <w:rFonts w:ascii="宋体" w:hAnsi="宋体" w:eastAsia="宋体" w:cs="宋体"/>
                <w:bCs/>
                <w:color w:val="auto"/>
                <w:szCs w:val="21"/>
                <w:highlight w:val="none"/>
              </w:rPr>
            </w:pPr>
          </w:p>
        </w:tc>
        <w:tc>
          <w:tcPr>
            <w:tcW w:w="1290" w:type="dxa"/>
            <w:tcBorders>
              <w:tl2br w:val="nil"/>
              <w:tr2bl w:val="nil"/>
            </w:tcBorders>
            <w:vAlign w:val="center"/>
          </w:tcPr>
          <w:p>
            <w:pPr>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项目负责人</w:t>
            </w:r>
          </w:p>
          <w:p>
            <w:pPr>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（8分）</w:t>
            </w:r>
          </w:p>
        </w:tc>
        <w:tc>
          <w:tcPr>
            <w:tcW w:w="6621" w:type="dxa"/>
            <w:tcBorders>
              <w:tl2br w:val="nil"/>
              <w:tr2bl w:val="nil"/>
            </w:tcBorders>
            <w:vAlign w:val="center"/>
          </w:tcPr>
          <w:p>
            <w:pPr>
              <w:pStyle w:val="2"/>
              <w:numPr>
                <w:ilvl w:val="0"/>
                <w:numId w:val="6"/>
              </w:numPr>
              <w:ind w:firstLine="0"/>
              <w:rPr>
                <w:rFonts w:ascii="宋体" w:hAnsi="宋体" w:eastAsia="宋体" w:cs="宋体"/>
                <w:color w:val="auto"/>
                <w:szCs w:val="21"/>
                <w:highlight w:val="none"/>
              </w:rPr>
            </w:pPr>
            <w:r>
              <w:rPr>
                <w:rFonts w:hint="eastAsia" w:ascii="宋体" w:hAnsi="宋体" w:eastAsia="宋体" w:cs="宋体"/>
                <w:color w:val="auto"/>
                <w:szCs w:val="21"/>
                <w:highlight w:val="none"/>
              </w:rPr>
              <w:t>项目负责人为公司副总或总工程师及以上职位的，得2分。</w:t>
            </w:r>
          </w:p>
          <w:p>
            <w:pPr>
              <w:pStyle w:val="2"/>
              <w:ind w:firstLine="0"/>
              <w:rPr>
                <w:rFonts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eastAsia="zh-CN"/>
              </w:rPr>
              <w:t>2019</w:t>
            </w:r>
            <w:r>
              <w:rPr>
                <w:rFonts w:hint="eastAsia" w:ascii="宋体" w:hAnsi="宋体" w:eastAsia="宋体" w:cs="宋体"/>
                <w:color w:val="auto"/>
                <w:szCs w:val="21"/>
                <w:highlight w:val="none"/>
              </w:rPr>
              <w:t>年1月1日至今，担任过省、市、区政府投资或国企项目造价咨询工作的项目负责人，每有一项业绩得</w:t>
            </w:r>
            <w:r>
              <w:rPr>
                <w:rFonts w:ascii="宋体" w:hAnsi="宋体" w:eastAsia="宋体" w:cs="宋体"/>
                <w:color w:val="auto"/>
                <w:szCs w:val="21"/>
                <w:highlight w:val="none"/>
              </w:rPr>
              <w:t>1分，最多得</w:t>
            </w:r>
            <w:r>
              <w:rPr>
                <w:rFonts w:hint="eastAsia" w:ascii="宋体" w:hAnsi="宋体" w:eastAsia="宋体" w:cs="宋体"/>
                <w:color w:val="auto"/>
                <w:szCs w:val="21"/>
                <w:highlight w:val="none"/>
                <w:lang w:val="en-US" w:eastAsia="zh-CN"/>
              </w:rPr>
              <w:t>6</w:t>
            </w:r>
            <w:r>
              <w:rPr>
                <w:rFonts w:ascii="宋体" w:hAnsi="宋体" w:eastAsia="宋体" w:cs="宋体"/>
                <w:color w:val="auto"/>
                <w:szCs w:val="21"/>
                <w:highlight w:val="none"/>
              </w:rPr>
              <w:t>分</w:t>
            </w:r>
            <w:r>
              <w:rPr>
                <w:rFonts w:hint="eastAsia" w:ascii="宋体" w:hAnsi="宋体" w:eastAsia="宋体" w:cs="宋体"/>
                <w:color w:val="auto"/>
                <w:szCs w:val="21"/>
                <w:highlight w:val="none"/>
              </w:rPr>
              <w:t>。</w:t>
            </w:r>
          </w:p>
          <w:p>
            <w:pPr>
              <w:pStyle w:val="2"/>
              <w:ind w:firstLine="0"/>
              <w:rPr>
                <w:rFonts w:ascii="宋体" w:hAnsi="宋体" w:eastAsia="宋体" w:cs="宋体"/>
                <w:color w:val="auto"/>
                <w:szCs w:val="21"/>
                <w:highlight w:val="none"/>
              </w:rPr>
            </w:pPr>
            <w:r>
              <w:rPr>
                <w:rFonts w:hint="eastAsia" w:ascii="宋体" w:hAnsi="宋体" w:eastAsia="宋体" w:cs="宋体"/>
                <w:color w:val="auto"/>
                <w:szCs w:val="21"/>
                <w:highlight w:val="none"/>
              </w:rPr>
              <w:t>注：须提供证书扫描件、职位证明及投标人为其购买至投标截止日期近1个月（202</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年12月）有效的社会保险证明文件扫描件并加盖单位公章，否则不得分。业绩证明资料须提供合同，相关证明资料必须能反映出评标所需指标，否则相应子项不予计分；时间以合同文件签订时间为准。</w:t>
            </w:r>
          </w:p>
        </w:tc>
      </w:tr>
      <w:tr>
        <w:tblPrEx>
          <w:tblBorders>
            <w:top w:val="single" w:color="auto" w:sz="4" w:space="0"/>
            <w:left w:val="outset" w:color="auto" w:sz="6"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28" w:type="dxa"/>
            <w:vMerge w:val="continue"/>
            <w:tcBorders>
              <w:tl2br w:val="nil"/>
              <w:tr2bl w:val="nil"/>
            </w:tcBorders>
            <w:vAlign w:val="center"/>
          </w:tcPr>
          <w:p>
            <w:pPr>
              <w:jc w:val="center"/>
              <w:rPr>
                <w:rFonts w:ascii="宋体" w:hAnsi="宋体" w:eastAsia="宋体" w:cs="宋体"/>
                <w:bCs/>
                <w:color w:val="auto"/>
                <w:szCs w:val="21"/>
                <w:highlight w:val="none"/>
              </w:rPr>
            </w:pPr>
          </w:p>
        </w:tc>
        <w:tc>
          <w:tcPr>
            <w:tcW w:w="1290" w:type="dxa"/>
            <w:tcBorders>
              <w:tl2br w:val="nil"/>
              <w:tr2bl w:val="nil"/>
            </w:tcBorders>
            <w:vAlign w:val="center"/>
          </w:tcPr>
          <w:p>
            <w:pPr>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审核和复核人员</w:t>
            </w:r>
          </w:p>
          <w:p>
            <w:pPr>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w:t>
            </w:r>
            <w:r>
              <w:rPr>
                <w:rFonts w:hint="eastAsia" w:ascii="宋体" w:hAnsi="宋体" w:eastAsia="宋体" w:cs="宋体"/>
                <w:bCs/>
                <w:color w:val="auto"/>
                <w:szCs w:val="21"/>
                <w:highlight w:val="none"/>
                <w:lang w:val="en-US" w:eastAsia="zh-CN"/>
              </w:rPr>
              <w:t>4</w:t>
            </w:r>
            <w:r>
              <w:rPr>
                <w:rFonts w:hint="eastAsia" w:ascii="宋体" w:hAnsi="宋体" w:eastAsia="宋体" w:cs="宋体"/>
                <w:bCs/>
                <w:color w:val="auto"/>
                <w:szCs w:val="21"/>
                <w:highlight w:val="none"/>
              </w:rPr>
              <w:t>分）</w:t>
            </w:r>
          </w:p>
        </w:tc>
        <w:tc>
          <w:tcPr>
            <w:tcW w:w="6621" w:type="dxa"/>
            <w:tcBorders>
              <w:tl2br w:val="nil"/>
              <w:tr2bl w:val="nil"/>
            </w:tcBorders>
            <w:vAlign w:val="center"/>
          </w:tcPr>
          <w:p>
            <w:pPr>
              <w:rPr>
                <w:rFonts w:ascii="宋体" w:hAnsi="宋体" w:eastAsia="宋体" w:cs="宋体"/>
                <w:color w:val="auto"/>
                <w:szCs w:val="21"/>
                <w:highlight w:val="none"/>
              </w:rPr>
            </w:pPr>
            <w:r>
              <w:rPr>
                <w:rFonts w:hint="eastAsia" w:ascii="宋体" w:hAnsi="宋体" w:eastAsia="宋体" w:cs="宋体"/>
                <w:color w:val="auto"/>
                <w:szCs w:val="21"/>
                <w:highlight w:val="none"/>
              </w:rPr>
              <w:t>1、工作经验超过15年的，每有1人符合的得1分。本项最多得</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分；</w:t>
            </w:r>
          </w:p>
          <w:p>
            <w:pPr>
              <w:rPr>
                <w:rFonts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color w:val="auto"/>
                <w:highlight w:val="none"/>
              </w:rPr>
              <w:t>具有高级或以上技术职称的</w:t>
            </w:r>
            <w:r>
              <w:rPr>
                <w:rFonts w:hint="eastAsia" w:ascii="宋体" w:hAnsi="宋体" w:eastAsia="宋体" w:cs="宋体"/>
                <w:color w:val="auto"/>
                <w:szCs w:val="21"/>
                <w:highlight w:val="none"/>
              </w:rPr>
              <w:t>，每有1人符合的得1分。本项最多得2分。</w:t>
            </w:r>
          </w:p>
          <w:p>
            <w:pPr>
              <w:rPr>
                <w:rFonts w:ascii="宋体" w:hAnsi="宋体" w:eastAsia="宋体" w:cs="宋体"/>
                <w:color w:val="auto"/>
                <w:szCs w:val="21"/>
                <w:highlight w:val="none"/>
              </w:rPr>
            </w:pPr>
            <w:r>
              <w:rPr>
                <w:rFonts w:hint="eastAsia" w:ascii="宋体" w:hAnsi="宋体" w:eastAsia="宋体" w:cs="宋体"/>
                <w:color w:val="auto"/>
                <w:szCs w:val="21"/>
                <w:highlight w:val="none"/>
              </w:rPr>
              <w:t>注：须提供职称证、毕业证书复印件并加盖投标人公章，工作经验以毕业证时间为准。须提供投标人为其购买至投标截止日期近1个月（202</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年12月）有效的社会保险证明文件扫描件并加盖投标人公章，否则不得分。</w:t>
            </w:r>
          </w:p>
        </w:tc>
      </w:tr>
      <w:tr>
        <w:tblPrEx>
          <w:tblBorders>
            <w:top w:val="single" w:color="auto" w:sz="4" w:space="0"/>
            <w:left w:val="outset" w:color="auto" w:sz="6"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28" w:type="dxa"/>
            <w:vMerge w:val="continue"/>
            <w:tcBorders>
              <w:tl2br w:val="nil"/>
              <w:tr2bl w:val="nil"/>
            </w:tcBorders>
            <w:vAlign w:val="center"/>
          </w:tcPr>
          <w:p>
            <w:pPr>
              <w:jc w:val="center"/>
              <w:rPr>
                <w:rFonts w:ascii="宋体" w:hAnsi="宋体" w:eastAsia="宋体" w:cs="宋体"/>
                <w:bCs/>
                <w:color w:val="auto"/>
                <w:szCs w:val="21"/>
                <w:highlight w:val="none"/>
              </w:rPr>
            </w:pPr>
          </w:p>
        </w:tc>
        <w:tc>
          <w:tcPr>
            <w:tcW w:w="1290" w:type="dxa"/>
            <w:tcBorders>
              <w:tl2br w:val="nil"/>
              <w:tr2bl w:val="nil"/>
            </w:tcBorders>
            <w:vAlign w:val="center"/>
          </w:tcPr>
          <w:p>
            <w:pPr>
              <w:jc w:val="center"/>
              <w:rPr>
                <w:rFonts w:ascii="宋体" w:hAnsi="宋体" w:eastAsia="宋体" w:cs="宋体"/>
                <w:color w:val="auto"/>
                <w:szCs w:val="21"/>
                <w:highlight w:val="none"/>
              </w:rPr>
            </w:pPr>
            <w:r>
              <w:rPr>
                <w:rFonts w:hint="eastAsia" w:ascii="宋体" w:hAnsi="宋体" w:eastAsia="宋体" w:cs="宋体"/>
                <w:color w:val="auto"/>
                <w:szCs w:val="21"/>
                <w:highlight w:val="none"/>
              </w:rPr>
              <w:t>编制人员及辅助人员</w:t>
            </w:r>
          </w:p>
          <w:p>
            <w:pPr>
              <w:pStyle w:val="2"/>
              <w:ind w:firstLine="0"/>
              <w:jc w:val="center"/>
              <w:rPr>
                <w:rFonts w:ascii="宋体" w:hAnsi="宋体" w:eastAsia="宋体" w:cs="宋体"/>
                <w:color w:val="auto"/>
                <w:szCs w:val="21"/>
                <w:highlight w:val="none"/>
              </w:rPr>
            </w:pPr>
            <w:r>
              <w:rPr>
                <w:rFonts w:hint="eastAsia" w:ascii="宋体" w:hAnsi="宋体" w:eastAsia="宋体" w:cs="宋体"/>
                <w:bCs/>
                <w:color w:val="auto"/>
                <w:szCs w:val="21"/>
                <w:highlight w:val="none"/>
              </w:rPr>
              <w:t>（</w:t>
            </w:r>
            <w:r>
              <w:rPr>
                <w:rFonts w:hint="eastAsia" w:ascii="宋体" w:hAnsi="宋体" w:eastAsia="宋体" w:cs="宋体"/>
                <w:bCs/>
                <w:color w:val="auto"/>
                <w:szCs w:val="21"/>
                <w:highlight w:val="none"/>
                <w:lang w:val="en-US" w:eastAsia="zh-CN"/>
              </w:rPr>
              <w:t>6</w:t>
            </w:r>
            <w:r>
              <w:rPr>
                <w:rFonts w:hint="eastAsia" w:ascii="宋体" w:hAnsi="宋体" w:eastAsia="宋体" w:cs="宋体"/>
                <w:bCs/>
                <w:color w:val="auto"/>
                <w:szCs w:val="21"/>
                <w:highlight w:val="none"/>
              </w:rPr>
              <w:t>分）</w:t>
            </w:r>
          </w:p>
        </w:tc>
        <w:tc>
          <w:tcPr>
            <w:tcW w:w="6621" w:type="dxa"/>
            <w:tcBorders>
              <w:tl2br w:val="nil"/>
              <w:tr2bl w:val="nil"/>
            </w:tcBorders>
            <w:vAlign w:val="center"/>
          </w:tcPr>
          <w:p>
            <w:pPr>
              <w:ind w:right="105" w:rightChars="50"/>
              <w:rPr>
                <w:rFonts w:ascii="宋体" w:hAnsi="宋体" w:eastAsia="宋体" w:cs="宋体"/>
                <w:color w:val="auto"/>
                <w:szCs w:val="21"/>
                <w:highlight w:val="none"/>
              </w:rPr>
            </w:pPr>
            <w:r>
              <w:rPr>
                <w:rFonts w:hint="eastAsia" w:ascii="宋体" w:hAnsi="宋体" w:eastAsia="宋体" w:cs="宋体"/>
                <w:color w:val="auto"/>
                <w:szCs w:val="21"/>
                <w:highlight w:val="none"/>
              </w:rPr>
              <w:t>1、拟投入人员中，每具有一名土建（或土木建筑工程）专业一级注册造价工程师的得1分，本小项最多得3分；</w:t>
            </w:r>
          </w:p>
          <w:p>
            <w:pPr>
              <w:rPr>
                <w:rFonts w:ascii="宋体" w:hAnsi="宋体" w:eastAsia="宋体" w:cs="宋体"/>
                <w:color w:val="auto"/>
                <w:szCs w:val="21"/>
                <w:highlight w:val="none"/>
              </w:rPr>
            </w:pPr>
            <w:r>
              <w:rPr>
                <w:rFonts w:hint="eastAsia" w:ascii="宋体" w:hAnsi="宋体" w:eastAsia="宋体" w:cs="宋体"/>
                <w:color w:val="auto"/>
                <w:szCs w:val="21"/>
                <w:highlight w:val="none"/>
              </w:rPr>
              <w:t>2、拟投入人员中，每具有一名安装工程专业一级注册造价工程师的得1分，本小项最多得</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分。</w:t>
            </w:r>
          </w:p>
          <w:p>
            <w:pPr>
              <w:pStyle w:val="2"/>
              <w:ind w:firstLine="0"/>
              <w:rPr>
                <w:rFonts w:ascii="宋体" w:hAnsi="宋体" w:eastAsia="宋体" w:cs="宋体"/>
                <w:color w:val="auto"/>
                <w:szCs w:val="21"/>
                <w:highlight w:val="none"/>
              </w:rPr>
            </w:pPr>
            <w:r>
              <w:rPr>
                <w:rFonts w:hint="eastAsia" w:ascii="宋体" w:hAnsi="宋体" w:eastAsia="宋体" w:cs="宋体"/>
                <w:color w:val="auto"/>
                <w:szCs w:val="21"/>
                <w:highlight w:val="none"/>
              </w:rPr>
              <w:t>注：须提供证书扫描件及投标人为其购买至投标截止日期近1个月（202</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年12月）有效的社会保险证明文件扫描件并加盖单位公章，否则不得分。</w:t>
            </w:r>
          </w:p>
        </w:tc>
      </w:tr>
      <w:tr>
        <w:tblPrEx>
          <w:tblBorders>
            <w:top w:val="single" w:color="auto" w:sz="4" w:space="0"/>
            <w:left w:val="outset" w:color="auto" w:sz="6"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64" w:hRule="atLeast"/>
        </w:trPr>
        <w:tc>
          <w:tcPr>
            <w:tcW w:w="1028" w:type="dxa"/>
            <w:vMerge w:val="restart"/>
            <w:tcBorders>
              <w:tl2br w:val="nil"/>
              <w:tr2bl w:val="nil"/>
            </w:tcBorders>
            <w:vAlign w:val="center"/>
          </w:tcPr>
          <w:p>
            <w:pPr>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技术部分（30分）</w:t>
            </w:r>
          </w:p>
        </w:tc>
        <w:tc>
          <w:tcPr>
            <w:tcW w:w="1290" w:type="dxa"/>
            <w:tcBorders>
              <w:tl2br w:val="nil"/>
              <w:tr2bl w:val="nil"/>
            </w:tcBorders>
            <w:vAlign w:val="center"/>
          </w:tcPr>
          <w:p>
            <w:pPr>
              <w:jc w:val="center"/>
              <w:rPr>
                <w:rFonts w:ascii="宋体" w:hAnsi="宋体" w:eastAsia="宋体" w:cs="宋体"/>
                <w:bCs/>
                <w:color w:val="auto"/>
                <w:szCs w:val="21"/>
                <w:highlight w:val="none"/>
              </w:rPr>
            </w:pPr>
            <w:r>
              <w:rPr>
                <w:rFonts w:hint="eastAsia" w:ascii="宋体" w:hAnsi="宋体" w:eastAsia="宋体" w:cs="宋体"/>
                <w:color w:val="auto"/>
                <w:szCs w:val="21"/>
                <w:highlight w:val="none"/>
              </w:rPr>
              <w:t>对年度造价咨询服务工作的理解（8分）</w:t>
            </w:r>
          </w:p>
        </w:tc>
        <w:tc>
          <w:tcPr>
            <w:tcW w:w="6621" w:type="dxa"/>
            <w:tcBorders>
              <w:tl2br w:val="nil"/>
              <w:tr2bl w:val="nil"/>
            </w:tcBorders>
            <w:vAlign w:val="center"/>
          </w:tcPr>
          <w:p>
            <w:pPr>
              <w:pStyle w:val="5"/>
              <w:rPr>
                <w:rFonts w:ascii="宋体" w:hAnsi="宋体" w:eastAsia="宋体" w:cs="宋体"/>
                <w:color w:val="auto"/>
                <w:szCs w:val="21"/>
                <w:highlight w:val="none"/>
              </w:rPr>
            </w:pPr>
            <w:r>
              <w:rPr>
                <w:rFonts w:hint="eastAsia" w:ascii="宋体" w:hAnsi="宋体" w:eastAsia="宋体" w:cs="宋体"/>
                <w:color w:val="auto"/>
                <w:szCs w:val="21"/>
                <w:highlight w:val="none"/>
              </w:rPr>
              <w:t>优:对年度造价咨询服务工作的理解准确、深入，重点难点剖析到位、合理，得</w:t>
            </w:r>
            <w:r>
              <w:rPr>
                <w:rFonts w:ascii="宋体" w:hAnsi="宋体" w:eastAsia="宋体" w:cs="宋体"/>
                <w:color w:val="auto"/>
                <w:szCs w:val="21"/>
                <w:highlight w:val="none"/>
              </w:rPr>
              <w:t>7-8分</w:t>
            </w:r>
            <w:r>
              <w:rPr>
                <w:rFonts w:hint="eastAsia" w:ascii="宋体" w:hAnsi="宋体" w:eastAsia="宋体" w:cs="宋体"/>
                <w:color w:val="auto"/>
                <w:szCs w:val="21"/>
                <w:highlight w:val="none"/>
              </w:rPr>
              <w:t>；</w:t>
            </w:r>
          </w:p>
          <w:p>
            <w:pPr>
              <w:pStyle w:val="5"/>
              <w:rPr>
                <w:rFonts w:ascii="宋体" w:hAnsi="宋体" w:eastAsia="宋体" w:cs="宋体"/>
                <w:color w:val="auto"/>
                <w:szCs w:val="21"/>
                <w:highlight w:val="none"/>
              </w:rPr>
            </w:pPr>
            <w:r>
              <w:rPr>
                <w:rFonts w:hint="eastAsia" w:ascii="宋体" w:hAnsi="宋体" w:eastAsia="宋体" w:cs="宋体"/>
                <w:color w:val="auto"/>
                <w:szCs w:val="21"/>
                <w:highlight w:val="none"/>
              </w:rPr>
              <w:t>中:对年度造价咨询服务工作的理解较准确、较深入，重点难点剖析较到位、较合理，得3-6分；</w:t>
            </w:r>
          </w:p>
          <w:p>
            <w:pPr>
              <w:pStyle w:val="5"/>
              <w:rPr>
                <w:rFonts w:ascii="宋体" w:hAnsi="宋体" w:eastAsia="宋体" w:cs="宋体"/>
                <w:color w:val="auto"/>
                <w:szCs w:val="21"/>
                <w:highlight w:val="none"/>
              </w:rPr>
            </w:pPr>
            <w:r>
              <w:rPr>
                <w:rFonts w:hint="eastAsia" w:ascii="宋体" w:hAnsi="宋体" w:eastAsia="宋体" w:cs="宋体"/>
                <w:color w:val="auto"/>
                <w:szCs w:val="21"/>
                <w:highlight w:val="none"/>
              </w:rPr>
              <w:t>差:对年度造价咨询服务工作的理解不够准确、不够深入，重点难点剖析不够到位、不够合理，得0-2分。</w:t>
            </w:r>
          </w:p>
        </w:tc>
      </w:tr>
      <w:tr>
        <w:tblPrEx>
          <w:tblBorders>
            <w:top w:val="single" w:color="auto" w:sz="4" w:space="0"/>
            <w:left w:val="outset" w:color="auto" w:sz="6"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44" w:hRule="atLeast"/>
        </w:trPr>
        <w:tc>
          <w:tcPr>
            <w:tcW w:w="1028" w:type="dxa"/>
            <w:vMerge w:val="continue"/>
            <w:tcBorders>
              <w:tl2br w:val="nil"/>
              <w:tr2bl w:val="nil"/>
            </w:tcBorders>
            <w:vAlign w:val="center"/>
          </w:tcPr>
          <w:p>
            <w:pPr>
              <w:jc w:val="center"/>
              <w:rPr>
                <w:rFonts w:ascii="宋体" w:hAnsi="宋体" w:eastAsia="宋体" w:cs="宋体"/>
                <w:bCs/>
                <w:color w:val="auto"/>
                <w:szCs w:val="21"/>
                <w:highlight w:val="none"/>
              </w:rPr>
            </w:pPr>
          </w:p>
        </w:tc>
        <w:tc>
          <w:tcPr>
            <w:tcW w:w="1290" w:type="dxa"/>
            <w:tcBorders>
              <w:tl2br w:val="nil"/>
              <w:tr2bl w:val="nil"/>
            </w:tcBorders>
            <w:vAlign w:val="center"/>
          </w:tcPr>
          <w:p>
            <w:pPr>
              <w:jc w:val="center"/>
              <w:rPr>
                <w:rFonts w:ascii="宋体" w:hAnsi="宋体" w:eastAsia="宋体" w:cs="宋体"/>
                <w:bCs/>
                <w:color w:val="auto"/>
                <w:szCs w:val="21"/>
                <w:highlight w:val="none"/>
              </w:rPr>
            </w:pPr>
            <w:r>
              <w:rPr>
                <w:rFonts w:hint="eastAsia" w:ascii="宋体" w:hAnsi="宋体" w:eastAsia="宋体" w:cs="宋体"/>
                <w:color w:val="auto"/>
                <w:szCs w:val="21"/>
                <w:highlight w:val="none"/>
              </w:rPr>
              <w:t>年度造价咨询工作实施方案（8分）</w:t>
            </w:r>
          </w:p>
        </w:tc>
        <w:tc>
          <w:tcPr>
            <w:tcW w:w="6621" w:type="dxa"/>
            <w:tcBorders>
              <w:tl2br w:val="nil"/>
              <w:tr2bl w:val="nil"/>
            </w:tcBorders>
            <w:vAlign w:val="center"/>
          </w:tcPr>
          <w:p>
            <w:pPr>
              <w:pStyle w:val="5"/>
              <w:rPr>
                <w:rFonts w:ascii="宋体" w:hAnsi="宋体" w:eastAsia="宋体" w:cs="宋体"/>
                <w:color w:val="auto"/>
                <w:szCs w:val="21"/>
                <w:highlight w:val="none"/>
              </w:rPr>
            </w:pPr>
            <w:r>
              <w:rPr>
                <w:rFonts w:hint="eastAsia" w:ascii="宋体" w:hAnsi="宋体" w:eastAsia="宋体" w:cs="宋体"/>
                <w:color w:val="auto"/>
                <w:szCs w:val="21"/>
                <w:highlight w:val="none"/>
              </w:rPr>
              <w:t>优：实施方案具体、合理，可操作性强，配合措施到位，并能有效把握关键节点工作，得7-8分；</w:t>
            </w:r>
          </w:p>
          <w:p>
            <w:pPr>
              <w:rPr>
                <w:rFonts w:ascii="宋体" w:hAnsi="宋体" w:eastAsia="宋体" w:cs="宋体"/>
                <w:color w:val="auto"/>
                <w:szCs w:val="21"/>
                <w:highlight w:val="none"/>
              </w:rPr>
            </w:pPr>
            <w:r>
              <w:rPr>
                <w:rFonts w:hint="eastAsia" w:ascii="宋体" w:hAnsi="宋体" w:eastAsia="宋体" w:cs="宋体"/>
                <w:color w:val="auto"/>
                <w:szCs w:val="21"/>
                <w:highlight w:val="none"/>
              </w:rPr>
              <w:t>中；实施方案比较具体、合理，可操作实施，配合措施一般，较能把握关键节点工作，得3-6分；</w:t>
            </w:r>
          </w:p>
          <w:p>
            <w:pPr>
              <w:rPr>
                <w:rFonts w:ascii="宋体" w:hAnsi="宋体" w:eastAsia="宋体" w:cs="宋体"/>
                <w:color w:val="auto"/>
                <w:szCs w:val="21"/>
                <w:highlight w:val="none"/>
              </w:rPr>
            </w:pPr>
            <w:r>
              <w:rPr>
                <w:rFonts w:hint="eastAsia" w:ascii="宋体" w:hAnsi="宋体" w:eastAsia="宋体" w:cs="宋体"/>
                <w:color w:val="auto"/>
                <w:szCs w:val="21"/>
                <w:highlight w:val="none"/>
              </w:rPr>
              <w:t>差：实施方案不够具体，配合措施不足，不能把握关键节点工作，得0-2分。</w:t>
            </w:r>
          </w:p>
        </w:tc>
      </w:tr>
      <w:tr>
        <w:tblPrEx>
          <w:tblBorders>
            <w:top w:val="single" w:color="auto" w:sz="4" w:space="0"/>
            <w:left w:val="outset" w:color="auto" w:sz="6"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9" w:hRule="atLeast"/>
        </w:trPr>
        <w:tc>
          <w:tcPr>
            <w:tcW w:w="1028" w:type="dxa"/>
            <w:vMerge w:val="continue"/>
            <w:tcBorders>
              <w:tl2br w:val="nil"/>
              <w:tr2bl w:val="nil"/>
            </w:tcBorders>
            <w:vAlign w:val="center"/>
          </w:tcPr>
          <w:p>
            <w:pPr>
              <w:jc w:val="center"/>
              <w:rPr>
                <w:rFonts w:ascii="宋体" w:hAnsi="宋体" w:eastAsia="宋体" w:cs="宋体"/>
                <w:bCs/>
                <w:color w:val="auto"/>
                <w:szCs w:val="21"/>
                <w:highlight w:val="none"/>
              </w:rPr>
            </w:pPr>
          </w:p>
        </w:tc>
        <w:tc>
          <w:tcPr>
            <w:tcW w:w="1290" w:type="dxa"/>
            <w:tcBorders>
              <w:tl2br w:val="nil"/>
              <w:tr2bl w:val="nil"/>
            </w:tcBorders>
            <w:vAlign w:val="center"/>
          </w:tcPr>
          <w:p>
            <w:pPr>
              <w:jc w:val="center"/>
              <w:rPr>
                <w:rFonts w:ascii="宋体" w:hAnsi="宋体" w:eastAsia="宋体" w:cs="宋体"/>
                <w:bCs/>
                <w:color w:val="auto"/>
                <w:szCs w:val="21"/>
                <w:highlight w:val="none"/>
              </w:rPr>
            </w:pPr>
            <w:r>
              <w:rPr>
                <w:rFonts w:hint="eastAsia" w:ascii="宋体" w:hAnsi="宋体" w:eastAsia="宋体" w:cs="宋体"/>
                <w:color w:val="auto"/>
                <w:szCs w:val="21"/>
                <w:highlight w:val="none"/>
              </w:rPr>
              <w:t>质量保证措施（8分）</w:t>
            </w:r>
          </w:p>
        </w:tc>
        <w:tc>
          <w:tcPr>
            <w:tcW w:w="6621" w:type="dxa"/>
            <w:tcBorders>
              <w:tl2br w:val="nil"/>
              <w:tr2bl w:val="nil"/>
            </w:tcBorders>
            <w:vAlign w:val="center"/>
          </w:tcPr>
          <w:p>
            <w:pPr>
              <w:pStyle w:val="5"/>
              <w:rPr>
                <w:rFonts w:ascii="宋体" w:hAnsi="宋体" w:eastAsia="宋体" w:cs="宋体"/>
                <w:color w:val="auto"/>
                <w:szCs w:val="21"/>
                <w:highlight w:val="none"/>
              </w:rPr>
            </w:pPr>
            <w:r>
              <w:rPr>
                <w:rFonts w:hint="eastAsia" w:ascii="宋体" w:hAnsi="宋体" w:eastAsia="宋体" w:cs="宋体"/>
                <w:color w:val="auto"/>
                <w:szCs w:val="21"/>
                <w:highlight w:val="none"/>
              </w:rPr>
              <w:t>优：对年度造价咨询服务工作能提出具体、有效、可行的保证措施，且保证措施全面，得7-8分；</w:t>
            </w:r>
          </w:p>
          <w:p>
            <w:pPr>
              <w:rPr>
                <w:rFonts w:ascii="宋体" w:hAnsi="宋体" w:eastAsia="宋体" w:cs="宋体"/>
                <w:color w:val="auto"/>
                <w:szCs w:val="21"/>
                <w:highlight w:val="none"/>
              </w:rPr>
            </w:pPr>
            <w:r>
              <w:rPr>
                <w:rFonts w:hint="eastAsia" w:ascii="宋体" w:hAnsi="宋体" w:eastAsia="宋体" w:cs="宋体"/>
                <w:color w:val="auto"/>
                <w:szCs w:val="21"/>
                <w:highlight w:val="none"/>
              </w:rPr>
              <w:t>中：对年度造价咨询服务工作能提出较有效、可行的保证措施，且保证措施为中等，得3-6分；</w:t>
            </w:r>
          </w:p>
          <w:p>
            <w:pPr>
              <w:rPr>
                <w:rFonts w:ascii="宋体" w:hAnsi="宋体" w:eastAsia="宋体" w:cs="宋体"/>
                <w:color w:val="auto"/>
                <w:szCs w:val="21"/>
                <w:highlight w:val="none"/>
              </w:rPr>
            </w:pPr>
            <w:r>
              <w:rPr>
                <w:rFonts w:hint="eastAsia" w:ascii="宋体" w:hAnsi="宋体" w:eastAsia="宋体" w:cs="宋体"/>
                <w:color w:val="auto"/>
                <w:szCs w:val="21"/>
                <w:highlight w:val="none"/>
              </w:rPr>
              <w:t>差：对年度造价咨询服务工作不能提出有效、可行的保证措施，不够具体、全面，得0-2分。</w:t>
            </w:r>
          </w:p>
        </w:tc>
      </w:tr>
      <w:tr>
        <w:tblPrEx>
          <w:tblBorders>
            <w:top w:val="single" w:color="auto" w:sz="4" w:space="0"/>
            <w:left w:val="outset" w:color="auto" w:sz="6"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2" w:hRule="atLeast"/>
        </w:trPr>
        <w:tc>
          <w:tcPr>
            <w:tcW w:w="1028" w:type="dxa"/>
            <w:vMerge w:val="continue"/>
            <w:tcBorders>
              <w:tl2br w:val="nil"/>
              <w:tr2bl w:val="nil"/>
            </w:tcBorders>
            <w:vAlign w:val="center"/>
          </w:tcPr>
          <w:p>
            <w:pPr>
              <w:jc w:val="center"/>
              <w:rPr>
                <w:rFonts w:ascii="宋体" w:hAnsi="宋体" w:eastAsia="宋体" w:cs="宋体"/>
                <w:bCs/>
                <w:color w:val="auto"/>
                <w:szCs w:val="21"/>
                <w:highlight w:val="none"/>
              </w:rPr>
            </w:pPr>
          </w:p>
        </w:tc>
        <w:tc>
          <w:tcPr>
            <w:tcW w:w="1290" w:type="dxa"/>
            <w:tcBorders>
              <w:tl2br w:val="nil"/>
              <w:tr2bl w:val="nil"/>
            </w:tcBorders>
            <w:vAlign w:val="center"/>
          </w:tcPr>
          <w:p>
            <w:pPr>
              <w:jc w:val="center"/>
              <w:rPr>
                <w:rFonts w:ascii="宋体" w:hAnsi="宋体" w:eastAsia="宋体" w:cs="宋体"/>
                <w:color w:val="auto"/>
                <w:szCs w:val="21"/>
                <w:highlight w:val="none"/>
              </w:rPr>
            </w:pPr>
            <w:r>
              <w:rPr>
                <w:rFonts w:hint="eastAsia" w:ascii="宋体" w:hAnsi="宋体" w:eastAsia="宋体" w:cs="宋体"/>
                <w:color w:val="auto"/>
                <w:szCs w:val="21"/>
                <w:highlight w:val="none"/>
              </w:rPr>
              <w:t>合理化建议</w:t>
            </w:r>
          </w:p>
          <w:p>
            <w:pPr>
              <w:jc w:val="center"/>
              <w:rPr>
                <w:rFonts w:ascii="宋体" w:hAnsi="宋体" w:eastAsia="宋体" w:cs="宋体"/>
                <w:bCs/>
                <w:color w:val="auto"/>
                <w:szCs w:val="21"/>
                <w:highlight w:val="none"/>
              </w:rPr>
            </w:pPr>
            <w:r>
              <w:rPr>
                <w:rFonts w:hint="eastAsia" w:ascii="宋体" w:hAnsi="宋体" w:eastAsia="宋体" w:cs="宋体"/>
                <w:color w:val="auto"/>
                <w:szCs w:val="21"/>
                <w:highlight w:val="none"/>
              </w:rPr>
              <w:t>（6分）</w:t>
            </w:r>
          </w:p>
        </w:tc>
        <w:tc>
          <w:tcPr>
            <w:tcW w:w="6621" w:type="dxa"/>
            <w:tcBorders>
              <w:tl2br w:val="nil"/>
              <w:tr2bl w:val="nil"/>
            </w:tcBorders>
            <w:vAlign w:val="center"/>
          </w:tcPr>
          <w:p>
            <w:pPr>
              <w:pStyle w:val="5"/>
              <w:rPr>
                <w:rFonts w:ascii="宋体" w:hAnsi="宋体" w:eastAsia="宋体" w:cs="宋体"/>
                <w:color w:val="auto"/>
                <w:szCs w:val="21"/>
                <w:highlight w:val="none"/>
              </w:rPr>
            </w:pPr>
            <w:r>
              <w:rPr>
                <w:rFonts w:hint="eastAsia" w:ascii="宋体" w:hAnsi="宋体" w:eastAsia="宋体" w:cs="宋体"/>
                <w:color w:val="auto"/>
                <w:szCs w:val="21"/>
                <w:highlight w:val="none"/>
              </w:rPr>
              <w:t>优：合理化建议全面细致，结合实际，得5-6分。</w:t>
            </w:r>
          </w:p>
          <w:p>
            <w:pPr>
              <w:rPr>
                <w:rFonts w:ascii="宋体" w:hAnsi="宋体" w:eastAsia="宋体" w:cs="宋体"/>
                <w:color w:val="auto"/>
                <w:szCs w:val="21"/>
                <w:highlight w:val="none"/>
              </w:rPr>
            </w:pPr>
            <w:r>
              <w:rPr>
                <w:rFonts w:hint="eastAsia" w:ascii="宋体" w:hAnsi="宋体" w:eastAsia="宋体" w:cs="宋体"/>
                <w:color w:val="auto"/>
                <w:szCs w:val="21"/>
                <w:highlight w:val="none"/>
              </w:rPr>
              <w:t>中：合理化建议比较全面细致，比较结合实际，得3-4分。</w:t>
            </w:r>
          </w:p>
          <w:p>
            <w:pPr>
              <w:rPr>
                <w:rFonts w:ascii="宋体" w:hAnsi="宋体" w:eastAsia="宋体" w:cs="宋体"/>
                <w:color w:val="auto"/>
                <w:szCs w:val="21"/>
                <w:highlight w:val="none"/>
              </w:rPr>
            </w:pPr>
            <w:r>
              <w:rPr>
                <w:rFonts w:hint="eastAsia" w:ascii="宋体" w:hAnsi="宋体" w:eastAsia="宋体" w:cs="宋体"/>
                <w:color w:val="auto"/>
                <w:szCs w:val="21"/>
                <w:highlight w:val="none"/>
              </w:rPr>
              <w:t>差：合理化建议不全面细致，不结合实际，得0-2分。</w:t>
            </w:r>
          </w:p>
        </w:tc>
      </w:tr>
      <w:tr>
        <w:tblPrEx>
          <w:tblBorders>
            <w:top w:val="single" w:color="auto" w:sz="4" w:space="0"/>
            <w:left w:val="outset" w:color="auto" w:sz="6"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9" w:hRule="atLeast"/>
        </w:trPr>
        <w:tc>
          <w:tcPr>
            <w:tcW w:w="1028" w:type="dxa"/>
            <w:tcBorders>
              <w:tl2br w:val="nil"/>
              <w:tr2bl w:val="nil"/>
            </w:tcBorders>
            <w:vAlign w:val="center"/>
          </w:tcPr>
          <w:p>
            <w:pPr>
              <w:jc w:val="center"/>
              <w:rPr>
                <w:rFonts w:ascii="宋体" w:hAnsi="宋体" w:eastAsia="宋体" w:cs="宋体"/>
                <w:color w:val="auto"/>
                <w:szCs w:val="21"/>
                <w:highlight w:val="none"/>
              </w:rPr>
            </w:pPr>
            <w:r>
              <w:rPr>
                <w:rFonts w:hint="eastAsia" w:ascii="宋体" w:hAnsi="宋体" w:eastAsia="宋体" w:cs="宋体"/>
                <w:color w:val="auto"/>
                <w:szCs w:val="21"/>
                <w:highlight w:val="none"/>
              </w:rPr>
              <w:t>经济部分</w:t>
            </w:r>
          </w:p>
          <w:p>
            <w:pPr>
              <w:pStyle w:val="2"/>
              <w:ind w:firstLine="0"/>
              <w:rPr>
                <w:rFonts w:ascii="宋体" w:hAnsi="宋体" w:eastAsia="宋体" w:cs="宋体"/>
                <w:color w:val="auto"/>
                <w:szCs w:val="21"/>
                <w:highlight w:val="none"/>
              </w:rPr>
            </w:pPr>
            <w:r>
              <w:rPr>
                <w:rFonts w:hint="eastAsia" w:ascii="宋体" w:hAnsi="宋体" w:eastAsia="宋体" w:cs="宋体"/>
                <w:bCs/>
                <w:color w:val="auto"/>
                <w:szCs w:val="21"/>
                <w:highlight w:val="none"/>
              </w:rPr>
              <w:t>（30分）</w:t>
            </w:r>
          </w:p>
        </w:tc>
        <w:tc>
          <w:tcPr>
            <w:tcW w:w="1290" w:type="dxa"/>
            <w:tcBorders>
              <w:tl2br w:val="nil"/>
              <w:tr2bl w:val="nil"/>
            </w:tcBorders>
            <w:vAlign w:val="center"/>
          </w:tcPr>
          <w:p>
            <w:pPr>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报价得分</w:t>
            </w:r>
          </w:p>
          <w:p>
            <w:pPr>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（30分）</w:t>
            </w:r>
          </w:p>
        </w:tc>
        <w:tc>
          <w:tcPr>
            <w:tcW w:w="6621" w:type="dxa"/>
            <w:tcBorders>
              <w:tl2br w:val="nil"/>
              <w:tr2bl w:val="nil"/>
            </w:tcBorders>
            <w:vAlign w:val="center"/>
          </w:tcPr>
          <w:p>
            <w:pPr>
              <w:rPr>
                <w:color w:val="auto"/>
                <w:highlight w:val="none"/>
              </w:rPr>
            </w:pPr>
            <w:r>
              <w:rPr>
                <w:rFonts w:hint="eastAsia"/>
                <w:color w:val="auto"/>
                <w:highlight w:val="none"/>
              </w:rPr>
              <w:t>若经过符合性审查，（1）入围投标单位为3至5家的，则经济部分以入围投标单位的有效总报价的算术平均值作为基准价；（2）入围投标单位为6家或以上的，则去掉报价最高及报价最低的两家单位后，经济部分以剩余入围投标单位有效报价的算术平均值作为基准价。</w:t>
            </w:r>
          </w:p>
          <w:p>
            <w:pPr>
              <w:rPr>
                <w:color w:val="auto"/>
                <w:highlight w:val="none"/>
              </w:rPr>
            </w:pPr>
            <w:r>
              <w:rPr>
                <w:rFonts w:hint="eastAsia"/>
                <w:color w:val="auto"/>
                <w:highlight w:val="none"/>
              </w:rPr>
              <w:t>投标下浮率比基准值每上偏1%扣0.5分，每下偏1%扣1分。计分公式：</w:t>
            </w:r>
          </w:p>
          <w:p>
            <w:pPr>
              <w:rPr>
                <w:color w:val="auto"/>
                <w:highlight w:val="none"/>
              </w:rPr>
            </w:pPr>
            <w:r>
              <w:rPr>
                <w:rFonts w:hint="eastAsia"/>
                <w:color w:val="auto"/>
                <w:highlight w:val="none"/>
              </w:rPr>
              <w:t>1、若投标下浮率大于基准值，则得分=30-[（投标下浮率-基准值）/基准值]*100*0.5</w:t>
            </w:r>
          </w:p>
          <w:p>
            <w:pPr>
              <w:rPr>
                <w:color w:val="auto"/>
                <w:highlight w:val="none"/>
              </w:rPr>
            </w:pPr>
            <w:r>
              <w:rPr>
                <w:rFonts w:hint="eastAsia"/>
                <w:color w:val="auto"/>
                <w:highlight w:val="none"/>
              </w:rPr>
              <w:t>2、若投标下浮率小于基准值，则得分=30-[（基准值-投标下浮率）/基准值]*100*1</w:t>
            </w:r>
          </w:p>
          <w:p>
            <w:pPr>
              <w:pStyle w:val="2"/>
              <w:ind w:firstLine="0"/>
              <w:rPr>
                <w:rFonts w:hint="eastAsia" w:eastAsiaTheme="minorEastAsia"/>
                <w:color w:val="auto"/>
                <w:highlight w:val="none"/>
                <w:lang w:eastAsia="zh-CN"/>
              </w:rPr>
            </w:pPr>
            <w:r>
              <w:rPr>
                <w:rFonts w:hint="eastAsia"/>
                <w:color w:val="auto"/>
                <w:highlight w:val="none"/>
              </w:rPr>
              <w:t>3、若投标下浮率等于基准值，则得分=30</w:t>
            </w:r>
            <w:r>
              <w:rPr>
                <w:rFonts w:hint="eastAsia"/>
                <w:color w:val="auto"/>
                <w:highlight w:val="none"/>
                <w:lang w:eastAsia="zh-CN"/>
              </w:rPr>
              <w:t>。</w:t>
            </w:r>
          </w:p>
        </w:tc>
      </w:tr>
    </w:tbl>
    <w:p>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p>
      <w:pPr>
        <w:spacing w:line="360" w:lineRule="exact"/>
        <w:rPr>
          <w:rFonts w:ascii="宋体" w:hAnsi="宋体"/>
          <w:color w:val="auto"/>
          <w:szCs w:val="21"/>
          <w:highlight w:val="none"/>
        </w:rPr>
      </w:pPr>
      <w:r>
        <w:rPr>
          <w:rFonts w:hint="eastAsia" w:ascii="宋体" w:hAnsi="宋体"/>
          <w:color w:val="auto"/>
          <w:szCs w:val="21"/>
          <w:highlight w:val="none"/>
        </w:rPr>
        <w:t>注：1、中标后，招标人有权核查中标人投标文件中对应的各项原件，如发现存在提供虚假资料情况，招标人有权取消中标人的中标资格。</w:t>
      </w:r>
    </w:p>
    <w:p>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2、评分如出现小数点，则保留小数点后两位，第三位四舍五入。</w:t>
      </w:r>
      <w:bookmarkStart w:id="52" w:name="_GoBack"/>
      <w:bookmarkEnd w:id="52"/>
    </w:p>
    <w:p>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3、投标人的综合得分为各评委的算术平均分。</w:t>
      </w:r>
    </w:p>
    <w:p>
      <w:pPr>
        <w:snapToGrid w:val="0"/>
        <w:ind w:left="74"/>
        <w:rPr>
          <w:rFonts w:ascii="仿宋" w:hAnsi="仿宋" w:eastAsia="仿宋" w:cs="仿宋"/>
          <w:color w:val="auto"/>
          <w:szCs w:val="21"/>
          <w:highlight w:val="none"/>
        </w:rPr>
      </w:pPr>
    </w:p>
    <w:p>
      <w:pPr>
        <w:snapToGrid w:val="0"/>
        <w:ind w:left="74"/>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w:t>
      </w:r>
    </w:p>
    <w:p>
      <w:pPr>
        <w:jc w:val="left"/>
        <w:rPr>
          <w:rFonts w:ascii="宋体" w:hAnsi="宋体" w:eastAsia="宋体" w:cs="宋体"/>
          <w:color w:val="auto"/>
          <w:sz w:val="24"/>
          <w:highlight w:val="none"/>
        </w:rPr>
      </w:pPr>
      <w:r>
        <w:rPr>
          <w:rFonts w:hint="eastAsia" w:ascii="宋体" w:hAnsi="宋体" w:eastAsia="宋体" w:cs="宋体"/>
          <w:color w:val="auto"/>
          <w:sz w:val="24"/>
          <w:highlight w:val="none"/>
        </w:rPr>
        <w:br w:type="page"/>
      </w: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附件3：</w:t>
      </w:r>
    </w:p>
    <w:p>
      <w:pPr>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pPr>
        <w:pStyle w:val="40"/>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 xml:space="preserve"> 广州南沙建设维护管理有限公司 </w:t>
      </w:r>
    </w:p>
    <w:p>
      <w:pPr>
        <w:pStyle w:val="40"/>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 广州南沙建设维护管理有限公司2024年度项目造价咨询服务 投标工作，做出郑重声明：</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40"/>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，本公司保证上述单位不参加本次投标。（注：本条由投标人如实填写，如有，应列出全部满足招标公告资质要求的相关单位的名称；如无，则填写“无”。）</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41"/>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40"/>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40"/>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7"/>
        <w:rPr>
          <w:rFonts w:hint="default"/>
          <w:color w:val="auto"/>
          <w:highlight w:val="none"/>
        </w:rPr>
      </w:pPr>
    </w:p>
    <w:p>
      <w:pPr>
        <w:pStyle w:val="2"/>
        <w:rPr>
          <w:color w:val="auto"/>
          <w:highlight w:val="none"/>
        </w:rPr>
      </w:pPr>
    </w:p>
    <w:sectPr>
      <w:pgSz w:w="12240" w:h="15840"/>
      <w:pgMar w:top="1440" w:right="1797" w:bottom="1440" w:left="1797" w:header="720" w:footer="720"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3544"/>
        </w:tabs>
        <w:ind w:left="-236" w:firstLine="397"/>
      </w:pPr>
      <w:rPr>
        <w:rFonts w:hint="default" w:ascii="宋体" w:hAnsi="宋体" w:eastAsia="宋体" w:cs="宋体"/>
      </w:rPr>
    </w:lvl>
  </w:abstractNum>
  <w:abstractNum w:abstractNumId="1">
    <w:nsid w:val="D658D1EC"/>
    <w:multiLevelType w:val="singleLevel"/>
    <w:tmpl w:val="D658D1EC"/>
    <w:lvl w:ilvl="0" w:tentative="0">
      <w:start w:val="1"/>
      <w:numFmt w:val="chineseCounting"/>
      <w:suff w:val="nothing"/>
      <w:lvlText w:val="%1、"/>
      <w:lvlJc w:val="left"/>
      <w:pPr>
        <w:ind w:left="0" w:firstLine="1134"/>
      </w:pPr>
      <w:rPr>
        <w:rFonts w:hint="eastAsia"/>
        <w:b/>
        <w:sz w:val="24"/>
      </w:rPr>
    </w:lvl>
  </w:abstractNum>
  <w:abstractNum w:abstractNumId="2">
    <w:nsid w:val="09AA123D"/>
    <w:multiLevelType w:val="singleLevel"/>
    <w:tmpl w:val="09AA123D"/>
    <w:lvl w:ilvl="0" w:tentative="0">
      <w:start w:val="1"/>
      <w:numFmt w:val="chineseCounting"/>
      <w:suff w:val="nothing"/>
      <w:lvlText w:val="（%1）"/>
      <w:lvlJc w:val="left"/>
      <w:pPr>
        <w:ind w:left="0" w:firstLine="1134"/>
      </w:pPr>
      <w:rPr>
        <w:rFonts w:hint="eastAsia"/>
      </w:rPr>
    </w:lvl>
  </w:abstractNum>
  <w:abstractNum w:abstractNumId="3">
    <w:nsid w:val="1A74046B"/>
    <w:multiLevelType w:val="singleLevel"/>
    <w:tmpl w:val="1A74046B"/>
    <w:lvl w:ilvl="0" w:tentative="0">
      <w:start w:val="1"/>
      <w:numFmt w:val="decimal"/>
      <w:suff w:val="nothing"/>
      <w:lvlText w:val="%1、"/>
      <w:lvlJc w:val="left"/>
    </w:lvl>
  </w:abstractNum>
  <w:abstractNum w:abstractNumId="4">
    <w:nsid w:val="61B5240C"/>
    <w:multiLevelType w:val="singleLevel"/>
    <w:tmpl w:val="61B5240C"/>
    <w:lvl w:ilvl="0" w:tentative="0">
      <w:start w:val="1"/>
      <w:numFmt w:val="decimal"/>
      <w:lvlText w:val="%1)"/>
      <w:lvlJc w:val="left"/>
      <w:pPr>
        <w:ind w:left="425" w:hanging="425"/>
      </w:pPr>
      <w:rPr>
        <w:rFonts w:hint="default"/>
      </w:rPr>
    </w:lvl>
  </w:abstractNum>
  <w:abstractNum w:abstractNumId="5">
    <w:nsid w:val="7C1C07B8"/>
    <w:multiLevelType w:val="multilevel"/>
    <w:tmpl w:val="7C1C07B8"/>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2"/>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trackRevisions w:val="1"/>
  <w:documentProtection w:enforcement="0"/>
  <w:defaultTabStop w:val="420"/>
  <w:drawingGridHorizontalSpacing w:val="107"/>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JjMjg4NjNjMGQ5OWQxMjU2NzFkNWEwMzQxMDU5MzIifQ=="/>
  </w:docVars>
  <w:rsids>
    <w:rsidRoot w:val="3B6D4312"/>
    <w:rsid w:val="00004BAB"/>
    <w:rsid w:val="0002289A"/>
    <w:rsid w:val="0002557B"/>
    <w:rsid w:val="0005254F"/>
    <w:rsid w:val="00085D0C"/>
    <w:rsid w:val="00093CE9"/>
    <w:rsid w:val="000B7B0A"/>
    <w:rsid w:val="000E0EC3"/>
    <w:rsid w:val="001062CA"/>
    <w:rsid w:val="00134FF9"/>
    <w:rsid w:val="001544AB"/>
    <w:rsid w:val="00164413"/>
    <w:rsid w:val="001921E8"/>
    <w:rsid w:val="001940CE"/>
    <w:rsid w:val="00196AB6"/>
    <w:rsid w:val="001D1F1F"/>
    <w:rsid w:val="001D4DCD"/>
    <w:rsid w:val="001E1021"/>
    <w:rsid w:val="001E32B6"/>
    <w:rsid w:val="001F66EC"/>
    <w:rsid w:val="002D7B13"/>
    <w:rsid w:val="0034547A"/>
    <w:rsid w:val="003B47E8"/>
    <w:rsid w:val="003D0F57"/>
    <w:rsid w:val="0040578E"/>
    <w:rsid w:val="00456C93"/>
    <w:rsid w:val="004B2C05"/>
    <w:rsid w:val="004D6177"/>
    <w:rsid w:val="00524AD0"/>
    <w:rsid w:val="00535A8B"/>
    <w:rsid w:val="005A19E6"/>
    <w:rsid w:val="0065458C"/>
    <w:rsid w:val="0065720F"/>
    <w:rsid w:val="00697CBD"/>
    <w:rsid w:val="006A18B1"/>
    <w:rsid w:val="006D7EB2"/>
    <w:rsid w:val="007055DD"/>
    <w:rsid w:val="00723ABC"/>
    <w:rsid w:val="007309C3"/>
    <w:rsid w:val="00793DB5"/>
    <w:rsid w:val="007A7407"/>
    <w:rsid w:val="007C0AF5"/>
    <w:rsid w:val="007E14F9"/>
    <w:rsid w:val="007F42A9"/>
    <w:rsid w:val="00802BFD"/>
    <w:rsid w:val="0080751A"/>
    <w:rsid w:val="00841D4A"/>
    <w:rsid w:val="008F47DB"/>
    <w:rsid w:val="008F491E"/>
    <w:rsid w:val="009538E5"/>
    <w:rsid w:val="009B4E73"/>
    <w:rsid w:val="009C14AA"/>
    <w:rsid w:val="009C32D5"/>
    <w:rsid w:val="009C50DE"/>
    <w:rsid w:val="00A05D0A"/>
    <w:rsid w:val="00A14DC5"/>
    <w:rsid w:val="00A367D2"/>
    <w:rsid w:val="00A81829"/>
    <w:rsid w:val="00A920B1"/>
    <w:rsid w:val="00AE32CF"/>
    <w:rsid w:val="00B11F8D"/>
    <w:rsid w:val="00B96CE0"/>
    <w:rsid w:val="00BB3D24"/>
    <w:rsid w:val="00C36372"/>
    <w:rsid w:val="00CA24DF"/>
    <w:rsid w:val="00D06D88"/>
    <w:rsid w:val="00D0796B"/>
    <w:rsid w:val="00D50CF1"/>
    <w:rsid w:val="00D650B3"/>
    <w:rsid w:val="00D85D6D"/>
    <w:rsid w:val="00DD64C1"/>
    <w:rsid w:val="00E14E87"/>
    <w:rsid w:val="00E414EE"/>
    <w:rsid w:val="00E85F0E"/>
    <w:rsid w:val="00EC3FB8"/>
    <w:rsid w:val="00ED464C"/>
    <w:rsid w:val="00EE23EE"/>
    <w:rsid w:val="00F15754"/>
    <w:rsid w:val="00F5751A"/>
    <w:rsid w:val="00F72367"/>
    <w:rsid w:val="00FF33A0"/>
    <w:rsid w:val="00FF76D9"/>
    <w:rsid w:val="01345BFC"/>
    <w:rsid w:val="02781FBE"/>
    <w:rsid w:val="02E502D3"/>
    <w:rsid w:val="03404493"/>
    <w:rsid w:val="03B83D64"/>
    <w:rsid w:val="056F1061"/>
    <w:rsid w:val="060468F4"/>
    <w:rsid w:val="06093262"/>
    <w:rsid w:val="065D0FE0"/>
    <w:rsid w:val="07FB6510"/>
    <w:rsid w:val="090441B5"/>
    <w:rsid w:val="0A2B0D06"/>
    <w:rsid w:val="0D330BC5"/>
    <w:rsid w:val="0EA03B8A"/>
    <w:rsid w:val="0F843597"/>
    <w:rsid w:val="0FA24D7D"/>
    <w:rsid w:val="0FE8213B"/>
    <w:rsid w:val="1015122F"/>
    <w:rsid w:val="117C26EA"/>
    <w:rsid w:val="12696667"/>
    <w:rsid w:val="13261131"/>
    <w:rsid w:val="13E64311"/>
    <w:rsid w:val="141958FD"/>
    <w:rsid w:val="14233C6D"/>
    <w:rsid w:val="14452035"/>
    <w:rsid w:val="14DE6CDA"/>
    <w:rsid w:val="159D39C7"/>
    <w:rsid w:val="168674BE"/>
    <w:rsid w:val="17681DB3"/>
    <w:rsid w:val="17882B1B"/>
    <w:rsid w:val="183F48C2"/>
    <w:rsid w:val="1944028F"/>
    <w:rsid w:val="1A626F8D"/>
    <w:rsid w:val="1B4C759A"/>
    <w:rsid w:val="1C05708F"/>
    <w:rsid w:val="1C7E0797"/>
    <w:rsid w:val="1EAE27A1"/>
    <w:rsid w:val="1EEF7BEC"/>
    <w:rsid w:val="1F6B0D23"/>
    <w:rsid w:val="1FD8393E"/>
    <w:rsid w:val="22573EF3"/>
    <w:rsid w:val="227411DF"/>
    <w:rsid w:val="23120459"/>
    <w:rsid w:val="23F41535"/>
    <w:rsid w:val="24267371"/>
    <w:rsid w:val="243F7487"/>
    <w:rsid w:val="25053D8A"/>
    <w:rsid w:val="256C0CC0"/>
    <w:rsid w:val="272B74FA"/>
    <w:rsid w:val="284F1DD9"/>
    <w:rsid w:val="29483920"/>
    <w:rsid w:val="296D72B6"/>
    <w:rsid w:val="299959C8"/>
    <w:rsid w:val="29DD3F3B"/>
    <w:rsid w:val="2A522B7B"/>
    <w:rsid w:val="2D371624"/>
    <w:rsid w:val="2EC40C57"/>
    <w:rsid w:val="2FD80F2E"/>
    <w:rsid w:val="30155E33"/>
    <w:rsid w:val="30CD65D8"/>
    <w:rsid w:val="3153699B"/>
    <w:rsid w:val="31793F79"/>
    <w:rsid w:val="31E7287D"/>
    <w:rsid w:val="32701D7C"/>
    <w:rsid w:val="333268AE"/>
    <w:rsid w:val="33BF416F"/>
    <w:rsid w:val="3720190B"/>
    <w:rsid w:val="372C4753"/>
    <w:rsid w:val="37A26BD4"/>
    <w:rsid w:val="39F64130"/>
    <w:rsid w:val="3B6D4312"/>
    <w:rsid w:val="3D874491"/>
    <w:rsid w:val="3FA94C48"/>
    <w:rsid w:val="405D772B"/>
    <w:rsid w:val="4139103A"/>
    <w:rsid w:val="41B97E43"/>
    <w:rsid w:val="42C276A3"/>
    <w:rsid w:val="44800368"/>
    <w:rsid w:val="44B6565C"/>
    <w:rsid w:val="44BB42C8"/>
    <w:rsid w:val="453B44DF"/>
    <w:rsid w:val="467A1037"/>
    <w:rsid w:val="475D213E"/>
    <w:rsid w:val="48280C73"/>
    <w:rsid w:val="49460550"/>
    <w:rsid w:val="499D2BE5"/>
    <w:rsid w:val="4A1D620C"/>
    <w:rsid w:val="4CB2280F"/>
    <w:rsid w:val="4D1B2D86"/>
    <w:rsid w:val="4D9C287D"/>
    <w:rsid w:val="4DC53F66"/>
    <w:rsid w:val="4FDC4577"/>
    <w:rsid w:val="503A5229"/>
    <w:rsid w:val="509D28FE"/>
    <w:rsid w:val="50C807B8"/>
    <w:rsid w:val="53621A67"/>
    <w:rsid w:val="55D41C4B"/>
    <w:rsid w:val="587B16E4"/>
    <w:rsid w:val="5A625C12"/>
    <w:rsid w:val="5C2E2250"/>
    <w:rsid w:val="5D6E232A"/>
    <w:rsid w:val="5DCF1811"/>
    <w:rsid w:val="5DEB5222"/>
    <w:rsid w:val="5E1A6FB5"/>
    <w:rsid w:val="5F8D0480"/>
    <w:rsid w:val="5FE66831"/>
    <w:rsid w:val="60011137"/>
    <w:rsid w:val="60885EAF"/>
    <w:rsid w:val="60FC21BE"/>
    <w:rsid w:val="616F1702"/>
    <w:rsid w:val="63DB6B9E"/>
    <w:rsid w:val="64F55A2C"/>
    <w:rsid w:val="65407FEA"/>
    <w:rsid w:val="66CD362A"/>
    <w:rsid w:val="67550263"/>
    <w:rsid w:val="679077E4"/>
    <w:rsid w:val="67BE4CCD"/>
    <w:rsid w:val="69DF38CB"/>
    <w:rsid w:val="69E040E1"/>
    <w:rsid w:val="6A81518C"/>
    <w:rsid w:val="6CAF678B"/>
    <w:rsid w:val="6E1E08B2"/>
    <w:rsid w:val="6ED52E44"/>
    <w:rsid w:val="6F943663"/>
    <w:rsid w:val="6FC82564"/>
    <w:rsid w:val="70373C13"/>
    <w:rsid w:val="71082014"/>
    <w:rsid w:val="715A0096"/>
    <w:rsid w:val="718C1FF2"/>
    <w:rsid w:val="721247B4"/>
    <w:rsid w:val="73691968"/>
    <w:rsid w:val="75633B4C"/>
    <w:rsid w:val="76132A39"/>
    <w:rsid w:val="77173809"/>
    <w:rsid w:val="781828A1"/>
    <w:rsid w:val="7890139C"/>
    <w:rsid w:val="79DB3251"/>
    <w:rsid w:val="7A15284A"/>
    <w:rsid w:val="7A4B048B"/>
    <w:rsid w:val="7A96669D"/>
    <w:rsid w:val="7AD74D51"/>
    <w:rsid w:val="7C054C60"/>
    <w:rsid w:val="7C77067A"/>
    <w:rsid w:val="7CA258FC"/>
    <w:rsid w:val="7D3768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autoRedefine/>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autoRedefine/>
    <w:semiHidden/>
    <w:unhideWhenUsed/>
    <w:qFormat/>
    <w:uiPriority w:val="0"/>
    <w:pPr>
      <w:keepNext/>
      <w:keepLines/>
      <w:spacing w:before="260" w:after="260" w:line="413" w:lineRule="auto"/>
      <w:outlineLvl w:val="1"/>
    </w:pPr>
    <w:rPr>
      <w:rFonts w:ascii="Arial" w:hAnsi="Arial" w:eastAsia="黑体"/>
      <w:b/>
      <w:sz w:val="32"/>
    </w:rPr>
  </w:style>
  <w:style w:type="character" w:default="1" w:styleId="15">
    <w:name w:val="Default Paragraph Font"/>
    <w:autoRedefine/>
    <w:semiHidden/>
    <w:unhideWhenUsed/>
    <w:qFormat/>
    <w:uiPriority w:val="1"/>
  </w:style>
  <w:style w:type="table" w:default="1" w:styleId="14">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pPr>
    <w:rPr>
      <w:rFonts w:ascii="Calibri" w:hAnsi="Calibri"/>
      <w:szCs w:val="22"/>
    </w:rPr>
  </w:style>
  <w:style w:type="paragraph" w:styleId="5">
    <w:name w:val="annotation text"/>
    <w:basedOn w:val="1"/>
    <w:link w:val="43"/>
    <w:autoRedefine/>
    <w:unhideWhenUsed/>
    <w:qFormat/>
    <w:uiPriority w:val="0"/>
    <w:pPr>
      <w:jc w:val="left"/>
    </w:pPr>
  </w:style>
  <w:style w:type="paragraph" w:styleId="6">
    <w:name w:val="Body Text"/>
    <w:basedOn w:val="1"/>
    <w:autoRedefine/>
    <w:qFormat/>
    <w:uiPriority w:val="0"/>
  </w:style>
  <w:style w:type="paragraph" w:styleId="7">
    <w:name w:val="Plain Text"/>
    <w:basedOn w:val="1"/>
    <w:next w:val="1"/>
    <w:link w:val="30"/>
    <w:autoRedefine/>
    <w:qFormat/>
    <w:uiPriority w:val="0"/>
    <w:rPr>
      <w:rFonts w:hint="eastAsia" w:ascii="宋体" w:hAnsi="Courier New" w:eastAsia="宋体" w:cs="Times New Roman"/>
      <w:szCs w:val="21"/>
    </w:rPr>
  </w:style>
  <w:style w:type="paragraph" w:styleId="8">
    <w:name w:val="Balloon Text"/>
    <w:basedOn w:val="1"/>
    <w:link w:val="28"/>
    <w:autoRedefine/>
    <w:qFormat/>
    <w:uiPriority w:val="0"/>
    <w:rPr>
      <w:sz w:val="18"/>
      <w:szCs w:val="18"/>
    </w:rPr>
  </w:style>
  <w:style w:type="paragraph" w:styleId="9">
    <w:name w:val="footer"/>
    <w:basedOn w:val="1"/>
    <w:link w:val="27"/>
    <w:autoRedefine/>
    <w:qFormat/>
    <w:uiPriority w:val="0"/>
    <w:pPr>
      <w:tabs>
        <w:tab w:val="center" w:pos="4153"/>
        <w:tab w:val="right" w:pos="8306"/>
      </w:tabs>
      <w:snapToGrid w:val="0"/>
      <w:jc w:val="left"/>
    </w:pPr>
    <w:rPr>
      <w:sz w:val="18"/>
      <w:szCs w:val="18"/>
    </w:rPr>
  </w:style>
  <w:style w:type="paragraph" w:styleId="10">
    <w:name w:val="header"/>
    <w:basedOn w:val="1"/>
    <w:link w:val="26"/>
    <w:autoRedefine/>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autoRedefine/>
    <w:qFormat/>
    <w:uiPriority w:val="0"/>
    <w:rPr>
      <w:rFonts w:ascii="Times New Roman" w:hAnsi="Times New Roman" w:eastAsia="宋体" w:cs="Times New Roman"/>
      <w:szCs w:val="21"/>
    </w:rPr>
  </w:style>
  <w:style w:type="paragraph" w:styleId="12">
    <w:name w:val="annotation subject"/>
    <w:basedOn w:val="5"/>
    <w:next w:val="5"/>
    <w:link w:val="44"/>
    <w:autoRedefine/>
    <w:semiHidden/>
    <w:unhideWhenUsed/>
    <w:qFormat/>
    <w:uiPriority w:val="0"/>
    <w:rPr>
      <w:b/>
      <w:bCs/>
    </w:rPr>
  </w:style>
  <w:style w:type="paragraph" w:styleId="13">
    <w:name w:val="Body Text First Indent"/>
    <w:basedOn w:val="6"/>
    <w:link w:val="31"/>
    <w:autoRedefine/>
    <w:qFormat/>
    <w:uiPriority w:val="0"/>
    <w:pPr>
      <w:spacing w:beforeAutospacing="1" w:after="120"/>
      <w:ind w:firstLine="420"/>
    </w:pPr>
    <w:rPr>
      <w:rFonts w:ascii="Times New Roman" w:hAnsi="Times New Roman" w:eastAsia="宋体" w:cs="Times New Roman"/>
      <w:szCs w:val="21"/>
    </w:rPr>
  </w:style>
  <w:style w:type="character" w:styleId="16">
    <w:name w:val="FollowedHyperlink"/>
    <w:basedOn w:val="15"/>
    <w:autoRedefine/>
    <w:qFormat/>
    <w:uiPriority w:val="0"/>
    <w:rPr>
      <w:color w:val="0000FF"/>
      <w:u w:val="single"/>
    </w:rPr>
  </w:style>
  <w:style w:type="character" w:styleId="17">
    <w:name w:val="Hyperlink"/>
    <w:basedOn w:val="15"/>
    <w:autoRedefine/>
    <w:qFormat/>
    <w:uiPriority w:val="0"/>
    <w:rPr>
      <w:color w:val="0000FF"/>
      <w:u w:val="single"/>
    </w:rPr>
  </w:style>
  <w:style w:type="character" w:styleId="18">
    <w:name w:val="annotation reference"/>
    <w:basedOn w:val="15"/>
    <w:autoRedefine/>
    <w:semiHidden/>
    <w:unhideWhenUsed/>
    <w:qFormat/>
    <w:uiPriority w:val="0"/>
    <w:rPr>
      <w:sz w:val="21"/>
      <w:szCs w:val="21"/>
    </w:rPr>
  </w:style>
  <w:style w:type="paragraph" w:customStyle="1" w:styleId="19">
    <w:name w:val="正文文本缩进 21"/>
    <w:basedOn w:val="1"/>
    <w:autoRedefine/>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0">
    <w:name w:val="章节二"/>
    <w:basedOn w:val="1"/>
    <w:next w:val="1"/>
    <w:autoRedefine/>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1">
    <w:name w:val="列出段落1"/>
    <w:basedOn w:val="1"/>
    <w:autoRedefine/>
    <w:qFormat/>
    <w:uiPriority w:val="0"/>
    <w:pPr>
      <w:ind w:firstLine="420" w:firstLineChars="200"/>
    </w:pPr>
    <w:rPr>
      <w:rFonts w:ascii="Calibri" w:hAnsi="Calibri" w:eastAsia="宋体" w:cs="Times New Roman"/>
      <w:szCs w:val="21"/>
    </w:rPr>
  </w:style>
  <w:style w:type="paragraph" w:customStyle="1" w:styleId="22">
    <w:name w:val="文一"/>
    <w:basedOn w:val="1"/>
    <w:autoRedefine/>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3">
    <w:name w:val="10"/>
    <w:basedOn w:val="15"/>
    <w:autoRedefine/>
    <w:qFormat/>
    <w:uiPriority w:val="0"/>
    <w:rPr>
      <w:rFonts w:hint="default" w:ascii="Times New Roman" w:hAnsi="Times New Roman" w:cs="Times New Roman"/>
    </w:rPr>
  </w:style>
  <w:style w:type="character" w:customStyle="1" w:styleId="24">
    <w:name w:val="15"/>
    <w:basedOn w:val="15"/>
    <w:autoRedefine/>
    <w:qFormat/>
    <w:uiPriority w:val="0"/>
    <w:rPr>
      <w:rFonts w:hint="default" w:ascii="Times New Roman" w:hAnsi="Times New Roman" w:cs="Times New Roman"/>
    </w:rPr>
  </w:style>
  <w:style w:type="character" w:customStyle="1" w:styleId="25">
    <w:name w:val="16"/>
    <w:basedOn w:val="15"/>
    <w:autoRedefine/>
    <w:qFormat/>
    <w:uiPriority w:val="0"/>
    <w:rPr>
      <w:rFonts w:hint="default" w:ascii="Times New Roman" w:hAnsi="Times New Roman" w:cs="Times New Roman"/>
      <w:color w:val="0000FF"/>
      <w:u w:val="single"/>
    </w:rPr>
  </w:style>
  <w:style w:type="character" w:customStyle="1" w:styleId="26">
    <w:name w:val="页眉 字符"/>
    <w:basedOn w:val="15"/>
    <w:link w:val="10"/>
    <w:autoRedefine/>
    <w:qFormat/>
    <w:uiPriority w:val="0"/>
    <w:rPr>
      <w:rFonts w:asciiTheme="minorHAnsi" w:hAnsiTheme="minorHAnsi" w:eastAsiaTheme="minorEastAsia" w:cstheme="minorBidi"/>
      <w:kern w:val="2"/>
      <w:sz w:val="18"/>
      <w:szCs w:val="18"/>
    </w:rPr>
  </w:style>
  <w:style w:type="character" w:customStyle="1" w:styleId="27">
    <w:name w:val="页脚 字符"/>
    <w:basedOn w:val="15"/>
    <w:link w:val="9"/>
    <w:autoRedefine/>
    <w:qFormat/>
    <w:uiPriority w:val="0"/>
    <w:rPr>
      <w:rFonts w:asciiTheme="minorHAnsi" w:hAnsiTheme="minorHAnsi" w:eastAsiaTheme="minorEastAsia" w:cstheme="minorBidi"/>
      <w:kern w:val="2"/>
      <w:sz w:val="18"/>
      <w:szCs w:val="18"/>
    </w:rPr>
  </w:style>
  <w:style w:type="character" w:customStyle="1" w:styleId="28">
    <w:name w:val="批注框文本 字符"/>
    <w:basedOn w:val="15"/>
    <w:link w:val="8"/>
    <w:autoRedefine/>
    <w:qFormat/>
    <w:uiPriority w:val="0"/>
    <w:rPr>
      <w:rFonts w:asciiTheme="minorHAnsi" w:hAnsiTheme="minorHAnsi" w:eastAsiaTheme="minorEastAsia" w:cstheme="minorBidi"/>
      <w:kern w:val="2"/>
      <w:sz w:val="18"/>
      <w:szCs w:val="18"/>
    </w:rPr>
  </w:style>
  <w:style w:type="paragraph" w:customStyle="1" w:styleId="29">
    <w:name w:val="WPSOffice手动目录 1"/>
    <w:autoRedefine/>
    <w:qFormat/>
    <w:uiPriority w:val="0"/>
    <w:rPr>
      <w:rFonts w:ascii="Times New Roman" w:hAnsi="Times New Roman" w:eastAsia="宋体" w:cs="Times New Roman"/>
      <w:lang w:val="en-US" w:eastAsia="zh-CN" w:bidi="ar-SA"/>
    </w:rPr>
  </w:style>
  <w:style w:type="character" w:customStyle="1" w:styleId="30">
    <w:name w:val="纯文本 字符"/>
    <w:link w:val="7"/>
    <w:autoRedefine/>
    <w:qFormat/>
    <w:uiPriority w:val="0"/>
    <w:rPr>
      <w:rFonts w:ascii="宋体" w:hAnsi="Courier New"/>
      <w:kern w:val="2"/>
      <w:sz w:val="21"/>
      <w:szCs w:val="21"/>
    </w:rPr>
  </w:style>
  <w:style w:type="character" w:customStyle="1" w:styleId="31">
    <w:name w:val="正文文本首行缩进 字符"/>
    <w:basedOn w:val="15"/>
    <w:link w:val="13"/>
    <w:autoRedefine/>
    <w:qFormat/>
    <w:uiPriority w:val="0"/>
    <w:rPr>
      <w:kern w:val="2"/>
      <w:sz w:val="21"/>
      <w:szCs w:val="21"/>
    </w:rPr>
  </w:style>
  <w:style w:type="paragraph" w:styleId="32">
    <w:name w:val="List Paragraph"/>
    <w:basedOn w:val="1"/>
    <w:autoRedefine/>
    <w:unhideWhenUsed/>
    <w:qFormat/>
    <w:uiPriority w:val="99"/>
    <w:pPr>
      <w:ind w:firstLine="420" w:firstLineChars="200"/>
    </w:pPr>
  </w:style>
  <w:style w:type="paragraph" w:customStyle="1" w:styleId="33">
    <w:name w:val="正文_1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4">
    <w:name w:val="p0"/>
    <w:basedOn w:val="1"/>
    <w:autoRedefine/>
    <w:qFormat/>
    <w:uiPriority w:val="0"/>
    <w:pPr>
      <w:widowControl/>
    </w:pPr>
    <w:rPr>
      <w:rFonts w:ascii="宋体" w:hAnsi="宋体" w:eastAsia="宋体" w:cs="宋体"/>
      <w:kern w:val="0"/>
      <w:szCs w:val="21"/>
    </w:rPr>
  </w:style>
  <w:style w:type="paragraph" w:customStyle="1" w:styleId="35">
    <w:name w:val="正文_1_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6">
    <w:name w:val="表格文字"/>
    <w:basedOn w:val="1"/>
    <w:autoRedefine/>
    <w:qFormat/>
    <w:uiPriority w:val="0"/>
    <w:pPr>
      <w:spacing w:before="25" w:after="25"/>
      <w:jc w:val="left"/>
    </w:pPr>
    <w:rPr>
      <w:bCs/>
      <w:spacing w:val="10"/>
      <w:kern w:val="0"/>
      <w:sz w:val="24"/>
    </w:rPr>
  </w:style>
  <w:style w:type="paragraph" w:customStyle="1" w:styleId="37">
    <w:name w:val="正文_1_0"/>
    <w:autoRedefine/>
    <w:qFormat/>
    <w:uiPriority w:val="0"/>
    <w:pPr>
      <w:spacing w:after="200" w:line="276" w:lineRule="auto"/>
    </w:pPr>
    <w:rPr>
      <w:rFonts w:ascii="Times New Roman" w:hAnsi="Times New Roman" w:eastAsia="宋体" w:cs="Times New Roman"/>
      <w:sz w:val="21"/>
      <w:lang w:val="en-US" w:eastAsia="zh-CN" w:bidi="ar-SA"/>
    </w:rPr>
  </w:style>
  <w:style w:type="paragraph" w:customStyle="1" w:styleId="38">
    <w:name w:val="正文_8_0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9">
    <w:name w:val="正文_0"/>
    <w:autoRedefine/>
    <w:qFormat/>
    <w:uiPriority w:val="0"/>
    <w:pPr>
      <w:spacing w:after="200" w:line="276" w:lineRule="auto"/>
    </w:pPr>
    <w:rPr>
      <w:rFonts w:ascii="Times New Roman" w:hAnsi="Times New Roman" w:eastAsia="宋体" w:cs="Times New Roman"/>
      <w:sz w:val="21"/>
      <w:lang w:val="en-US" w:eastAsia="zh-CN" w:bidi="ar-SA"/>
    </w:rPr>
  </w:style>
  <w:style w:type="paragraph" w:customStyle="1" w:styleId="40">
    <w:name w:val="公文正文"/>
    <w:autoRedefine/>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41">
    <w:name w:val="发文落款"/>
    <w:basedOn w:val="40"/>
    <w:autoRedefine/>
    <w:qFormat/>
    <w:uiPriority w:val="0"/>
    <w:pPr>
      <w:ind w:left="4094" w:right="607" w:firstLine="0"/>
      <w:jc w:val="center"/>
    </w:pPr>
  </w:style>
  <w:style w:type="paragraph" w:customStyle="1" w:styleId="42">
    <w:name w:val="修订1"/>
    <w:autoRedefine/>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43">
    <w:name w:val="批注文字 字符"/>
    <w:basedOn w:val="15"/>
    <w:link w:val="5"/>
    <w:autoRedefine/>
    <w:qFormat/>
    <w:uiPriority w:val="0"/>
    <w:rPr>
      <w:rFonts w:asciiTheme="minorHAnsi" w:hAnsiTheme="minorHAnsi" w:eastAsiaTheme="minorEastAsia" w:cstheme="minorBidi"/>
      <w:kern w:val="2"/>
      <w:sz w:val="21"/>
      <w:szCs w:val="24"/>
    </w:rPr>
  </w:style>
  <w:style w:type="character" w:customStyle="1" w:styleId="44">
    <w:name w:val="批注主题 字符"/>
    <w:basedOn w:val="43"/>
    <w:link w:val="12"/>
    <w:autoRedefine/>
    <w:semiHidden/>
    <w:qFormat/>
    <w:uiPriority w:val="0"/>
    <w:rPr>
      <w:rFonts w:asciiTheme="minorHAnsi" w:hAnsiTheme="minorHAnsi" w:eastAsiaTheme="minorEastAsia" w:cstheme="minorBidi"/>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0Internet%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0Internet%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02E346-3C4A-4BDB-BC49-390A630B5768}">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41</Pages>
  <Words>2952</Words>
  <Characters>16833</Characters>
  <Lines>140</Lines>
  <Paragraphs>39</Paragraphs>
  <TotalTime>2</TotalTime>
  <ScaleCrop>false</ScaleCrop>
  <LinksUpToDate>false</LinksUpToDate>
  <CharactersWithSpaces>19746</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2024-01-17T01:37:00Z</dcterms:created>
  <dc:creator>李晓晨</dc:creator>
  <cp:lastModifiedBy>Lenovo</cp:lastModifiedBy>
  <dcterms:modified xsi:type="dcterms:W3CDTF">2024-01-30T02:27:56Z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175FB7F813BF4FC4A53FBEF52411FFA5</vt:lpwstr>
  </property>
</Properties>
</file>