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hint="eastAsia" w:ascii="仿宋_GB2312" w:hAnsi="仿宋_GB2312" w:eastAsia="仿宋_GB2312" w:cs="仿宋_GB2312"/>
          <w:b/>
          <w:bCs/>
          <w:color w:val="auto"/>
          <w:szCs w:val="21"/>
          <w:highlight w:val="none"/>
        </w:rPr>
      </w:pPr>
    </w:p>
    <w:p>
      <w:pPr>
        <w:pStyle w:val="8"/>
        <w:rPr>
          <w:rFonts w:ascii="仿宋_GB2312" w:hAnsi="仿宋_GB2312" w:eastAsia="仿宋_GB2312" w:cs="仿宋_GB2312"/>
          <w:b/>
          <w:bCs/>
          <w:color w:val="auto"/>
          <w:szCs w:val="21"/>
          <w:highlight w:val="none"/>
        </w:rPr>
      </w:pPr>
    </w:p>
    <w:p>
      <w:pPr>
        <w:rPr>
          <w:rFonts w:hint="eastAsia" w:ascii="仿宋_GB2312" w:hAnsi="仿宋_GB2312" w:eastAsia="仿宋_GB2312" w:cs="仿宋_GB2312"/>
          <w:b/>
          <w:bCs/>
          <w:color w:val="auto"/>
          <w:szCs w:val="21"/>
          <w:highlight w:val="none"/>
        </w:rPr>
      </w:pPr>
    </w:p>
    <w:p>
      <w:pPr>
        <w:pStyle w:val="8"/>
        <w:rPr>
          <w:rFonts w:ascii="仿宋_GB2312" w:hAnsi="仿宋_GB2312" w:eastAsia="仿宋_GB2312" w:cs="仿宋_GB2312"/>
          <w:b/>
          <w:bCs/>
          <w:color w:val="auto"/>
          <w:szCs w:val="21"/>
          <w:highlight w:val="none"/>
        </w:rPr>
      </w:pPr>
    </w:p>
    <w:p>
      <w:pPr>
        <w:rPr>
          <w:rFonts w:hint="eastAsia" w:ascii="仿宋_GB2312" w:hAnsi="仿宋_GB2312" w:eastAsia="仿宋_GB2312" w:cs="仿宋_GB2312"/>
          <w:b/>
          <w:bCs/>
          <w:color w:val="auto"/>
          <w:szCs w:val="21"/>
          <w:highlight w:val="none"/>
        </w:rPr>
      </w:pPr>
    </w:p>
    <w:p>
      <w:pPr>
        <w:pStyle w:val="8"/>
        <w:rPr>
          <w:rFonts w:ascii="仿宋_GB2312" w:hAnsi="仿宋_GB2312" w:eastAsia="仿宋_GB2312" w:cs="仿宋_GB2312"/>
          <w:b/>
          <w:bCs/>
          <w:color w:val="auto"/>
          <w:szCs w:val="21"/>
          <w:highlight w:val="none"/>
        </w:rPr>
      </w:pPr>
    </w:p>
    <w:p>
      <w:pPr>
        <w:rPr>
          <w:rFonts w:hint="eastAsia" w:ascii="仿宋_GB2312" w:hAnsi="仿宋_GB2312" w:eastAsia="仿宋_GB2312" w:cs="仿宋_GB2312"/>
          <w:b/>
          <w:bCs/>
          <w:color w:val="auto"/>
          <w:szCs w:val="21"/>
          <w:highlight w:val="none"/>
        </w:rPr>
      </w:pPr>
    </w:p>
    <w:p>
      <w:pPr>
        <w:pStyle w:val="8"/>
        <w:rPr>
          <w:rFonts w:ascii="仿宋_GB2312" w:hAnsi="仿宋_GB2312" w:eastAsia="仿宋_GB2312" w:cs="仿宋_GB2312"/>
          <w:b/>
          <w:bCs/>
          <w:color w:val="auto"/>
          <w:szCs w:val="21"/>
          <w:highlight w:val="none"/>
        </w:rPr>
      </w:pPr>
    </w:p>
    <w:p>
      <w:pPr>
        <w:rPr>
          <w:rFonts w:hint="eastAsia" w:ascii="仿宋_GB2312" w:hAnsi="仿宋_GB2312" w:eastAsia="仿宋_GB2312" w:cs="仿宋_GB2312"/>
          <w:b/>
          <w:bCs/>
          <w:highlight w:val="none"/>
        </w:rPr>
      </w:pPr>
    </w:p>
    <w:p>
      <w:pPr>
        <w:jc w:val="center"/>
        <w:rPr>
          <w:rFonts w:hint="eastAsia" w:ascii="仿宋_GB2312" w:hAnsi="仿宋_GB2312" w:eastAsia="仿宋_GB2312" w:cs="仿宋_GB2312"/>
          <w:b/>
          <w:bCs/>
          <w:color w:val="auto"/>
          <w:sz w:val="52"/>
          <w:szCs w:val="52"/>
          <w:highlight w:val="none"/>
        </w:rPr>
      </w:pPr>
      <w:r>
        <w:rPr>
          <w:rFonts w:hint="eastAsia" w:ascii="仿宋_GB2312" w:hAnsi="仿宋_GB2312" w:eastAsia="仿宋_GB2312" w:cs="仿宋_GB2312"/>
          <w:b/>
          <w:bCs/>
          <w:color w:val="auto"/>
          <w:sz w:val="52"/>
          <w:szCs w:val="52"/>
          <w:highlight w:val="none"/>
          <w:lang w:eastAsia="zh-CN"/>
        </w:rPr>
        <w:t>前锋水乡一、二涌已移交物业</w:t>
      </w:r>
      <w:r>
        <w:rPr>
          <w:rFonts w:hint="eastAsia" w:ascii="仿宋_GB2312" w:hAnsi="仿宋_GB2312" w:eastAsia="仿宋_GB2312" w:cs="仿宋_GB2312"/>
          <w:b/>
          <w:bCs/>
          <w:color w:val="auto"/>
          <w:sz w:val="52"/>
          <w:szCs w:val="52"/>
          <w:highlight w:val="none"/>
          <w:lang w:val="en-US" w:eastAsia="zh-CN"/>
        </w:rPr>
        <w:t>危房</w:t>
      </w:r>
      <w:r>
        <w:rPr>
          <w:rFonts w:hint="eastAsia" w:ascii="仿宋_GB2312" w:hAnsi="仿宋_GB2312" w:eastAsia="仿宋_GB2312" w:cs="仿宋_GB2312"/>
          <w:b/>
          <w:bCs/>
          <w:color w:val="auto"/>
          <w:sz w:val="52"/>
          <w:szCs w:val="52"/>
          <w:highlight w:val="none"/>
          <w:lang w:eastAsia="zh-CN"/>
        </w:rPr>
        <w:t>鉴定</w:t>
      </w:r>
    </w:p>
    <w:p>
      <w:pPr>
        <w:jc w:val="center"/>
        <w:rPr>
          <w:rFonts w:hint="eastAsia" w:ascii="仿宋_GB2312" w:hAnsi="仿宋_GB2312" w:eastAsia="仿宋_GB2312" w:cs="仿宋_GB2312"/>
          <w:b/>
          <w:bCs/>
          <w:color w:val="auto"/>
          <w:sz w:val="52"/>
          <w:szCs w:val="52"/>
          <w:highlight w:val="none"/>
        </w:rPr>
      </w:pPr>
    </w:p>
    <w:p>
      <w:pPr>
        <w:jc w:val="center"/>
        <w:rPr>
          <w:rFonts w:hint="eastAsia" w:ascii="仿宋_GB2312" w:hAnsi="仿宋_GB2312" w:eastAsia="仿宋_GB2312" w:cs="仿宋_GB2312"/>
          <w:b/>
          <w:bCs/>
          <w:color w:val="auto"/>
          <w:sz w:val="84"/>
          <w:szCs w:val="84"/>
          <w:highlight w:val="none"/>
        </w:rPr>
      </w:pPr>
      <w:r>
        <w:rPr>
          <w:rFonts w:hint="eastAsia" w:ascii="仿宋_GB2312" w:hAnsi="仿宋_GB2312" w:eastAsia="仿宋_GB2312" w:cs="仿宋_GB2312"/>
          <w:b/>
          <w:bCs/>
          <w:color w:val="auto"/>
          <w:sz w:val="84"/>
          <w:szCs w:val="84"/>
          <w:highlight w:val="none"/>
        </w:rPr>
        <w:t>招 标 文 件</w:t>
      </w:r>
    </w:p>
    <w:p>
      <w:pPr>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pPr>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pPr>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pPr>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pPr>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pPr>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pPr>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pPr>
        <w:ind w:firstLine="1285" w:firstLineChars="400"/>
        <w:jc w:val="both"/>
        <w:rPr>
          <w:rFonts w:hint="eastAsia" w:ascii="仿宋_GB2312" w:hAnsi="仿宋_GB2312" w:eastAsia="仿宋_GB2312" w:cs="仿宋_GB2312"/>
          <w:b/>
          <w:bCs/>
          <w:color w:val="auto"/>
          <w:sz w:val="32"/>
          <w:szCs w:val="32"/>
          <w:highlight w:val="none"/>
        </w:rPr>
      </w:pPr>
      <w:bookmarkStart w:id="0" w:name="_Toc29976"/>
      <w:r>
        <w:rPr>
          <w:rFonts w:hint="eastAsia" w:ascii="仿宋_GB2312" w:hAnsi="仿宋_GB2312" w:eastAsia="仿宋_GB2312" w:cs="仿宋_GB2312"/>
          <w:b/>
          <w:bCs/>
          <w:color w:val="auto"/>
          <w:sz w:val="32"/>
          <w:szCs w:val="32"/>
          <w:highlight w:val="none"/>
        </w:rPr>
        <w:t>招标人：</w:t>
      </w:r>
      <w:r>
        <w:rPr>
          <w:rFonts w:hint="eastAsia" w:ascii="仿宋_GB2312" w:hAnsi="仿宋_GB2312" w:eastAsia="仿宋_GB2312" w:cs="仿宋_GB2312"/>
          <w:b/>
          <w:bCs/>
          <w:color w:val="auto"/>
          <w:sz w:val="32"/>
          <w:szCs w:val="32"/>
          <w:highlight w:val="none"/>
          <w:lang w:eastAsia="zh-CN"/>
        </w:rPr>
        <w:t>广州南沙</w:t>
      </w:r>
      <w:r>
        <w:rPr>
          <w:rFonts w:hint="eastAsia" w:ascii="仿宋_GB2312" w:hAnsi="仿宋_GB2312" w:eastAsia="仿宋_GB2312" w:cs="仿宋_GB2312"/>
          <w:b/>
          <w:bCs/>
          <w:color w:val="auto"/>
          <w:sz w:val="32"/>
          <w:szCs w:val="32"/>
          <w:highlight w:val="none"/>
          <w:lang w:val="en-US" w:eastAsia="zh-CN"/>
        </w:rPr>
        <w:t>科技</w:t>
      </w:r>
      <w:r>
        <w:rPr>
          <w:rFonts w:hint="eastAsia" w:ascii="仿宋_GB2312" w:hAnsi="仿宋_GB2312" w:eastAsia="仿宋_GB2312" w:cs="仿宋_GB2312"/>
          <w:b/>
          <w:bCs/>
          <w:color w:val="auto"/>
          <w:sz w:val="32"/>
          <w:szCs w:val="32"/>
          <w:highlight w:val="none"/>
          <w:lang w:eastAsia="zh-CN"/>
        </w:rPr>
        <w:t>投资有限公司</w:t>
      </w:r>
    </w:p>
    <w:p>
      <w:pPr>
        <w:spacing w:line="520" w:lineRule="exact"/>
        <w:ind w:right="-101" w:rightChars="-48" w:firstLine="1285" w:firstLineChars="400"/>
        <w:rPr>
          <w:rFonts w:hint="eastAsia" w:ascii="仿宋_GB2312" w:hAnsi="仿宋_GB2312" w:eastAsia="仿宋_GB2312" w:cs="仿宋_GB2312"/>
          <w:b/>
          <w:bCs/>
          <w:color w:val="auto"/>
          <w:spacing w:val="28"/>
          <w:position w:val="8"/>
          <w:sz w:val="32"/>
          <w:szCs w:val="32"/>
          <w:highlight w:val="none"/>
          <w:lang w:val="en-US"/>
        </w:rPr>
      </w:pPr>
      <w:bookmarkStart w:id="1" w:name="OLE_LINK4"/>
      <w:bookmarkEnd w:id="1"/>
      <w:r>
        <w:rPr>
          <w:rFonts w:hint="eastAsia" w:ascii="仿宋_GB2312" w:hAnsi="仿宋_GB2312" w:eastAsia="仿宋_GB2312" w:cs="仿宋_GB2312"/>
          <w:b/>
          <w:bCs/>
          <w:color w:val="auto"/>
          <w:sz w:val="32"/>
          <w:szCs w:val="32"/>
          <w:highlight w:val="none"/>
        </w:rPr>
        <w:t>日</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b/>
          <w:bCs/>
          <w:color w:val="auto"/>
          <w:sz w:val="32"/>
          <w:szCs w:val="32"/>
          <w:highlight w:val="none"/>
        </w:rPr>
        <w:t>期：202</w:t>
      </w:r>
      <w:r>
        <w:rPr>
          <w:rFonts w:hint="eastAsia" w:ascii="仿宋_GB2312" w:hAnsi="仿宋_GB2312" w:eastAsia="仿宋_GB2312" w:cs="仿宋_GB2312"/>
          <w:b/>
          <w:bCs/>
          <w:color w:val="auto"/>
          <w:sz w:val="32"/>
          <w:szCs w:val="32"/>
          <w:highlight w:val="none"/>
          <w:lang w:val="en-US" w:eastAsia="zh-CN"/>
        </w:rPr>
        <w:t>4</w:t>
      </w:r>
      <w:r>
        <w:rPr>
          <w:rFonts w:hint="eastAsia" w:ascii="仿宋_GB2312" w:hAnsi="仿宋_GB2312" w:eastAsia="仿宋_GB2312" w:cs="仿宋_GB2312"/>
          <w:b/>
          <w:bCs/>
          <w:color w:val="auto"/>
          <w:sz w:val="32"/>
          <w:szCs w:val="32"/>
          <w:highlight w:val="none"/>
        </w:rPr>
        <w:t>年</w:t>
      </w:r>
      <w:r>
        <w:rPr>
          <w:rFonts w:hint="eastAsia" w:ascii="仿宋_GB2312" w:hAnsi="仿宋_GB2312" w:eastAsia="仿宋_GB2312" w:cs="仿宋_GB2312"/>
          <w:b/>
          <w:bCs/>
          <w:color w:val="auto"/>
          <w:sz w:val="32"/>
          <w:szCs w:val="32"/>
          <w:highlight w:val="none"/>
          <w:lang w:val="en-US" w:eastAsia="zh-CN"/>
        </w:rPr>
        <w:t>2月</w:t>
      </w:r>
    </w:p>
    <w:p>
      <w:pPr>
        <w:rPr>
          <w:rFonts w:hint="eastAsia" w:ascii="仿宋_GB2312" w:hAnsi="仿宋_GB2312" w:eastAsia="仿宋_GB2312" w:cs="仿宋_GB2312"/>
          <w:color w:val="auto"/>
          <w:sz w:val="36"/>
          <w:szCs w:val="36"/>
          <w:highlight w:val="none"/>
        </w:rPr>
        <w:sectPr>
          <w:pgSz w:w="11915" w:h="16840"/>
          <w:pgMar w:top="1247" w:right="1094" w:bottom="1247" w:left="1361" w:header="720" w:footer="720" w:gutter="0"/>
          <w:cols w:space="425" w:num="1"/>
          <w:docGrid w:type="lines" w:linePitch="285" w:charSpace="0"/>
        </w:sectPr>
      </w:pPr>
    </w:p>
    <w:p>
      <w:pPr>
        <w:rPr>
          <w:rFonts w:hint="eastAsia" w:ascii="仿宋_GB2312" w:hAnsi="仿宋_GB2312" w:eastAsia="仿宋_GB2312" w:cs="仿宋_GB2312"/>
          <w:color w:val="auto"/>
          <w:sz w:val="36"/>
          <w:szCs w:val="36"/>
          <w:highlight w:val="none"/>
        </w:rPr>
      </w:pPr>
    </w:p>
    <w:bookmarkEnd w:id="0"/>
    <w:sdt>
      <w:sdtPr>
        <w:rPr>
          <w:rFonts w:hint="eastAsia" w:ascii="仿宋_GB2312" w:hAnsi="仿宋_GB2312" w:eastAsia="仿宋_GB2312" w:cs="仿宋_GB2312"/>
          <w:color w:val="auto"/>
          <w:sz w:val="32"/>
          <w:szCs w:val="32"/>
          <w:highlight w:val="none"/>
        </w:rPr>
        <w:id w:val="147481204"/>
        <w:docPartObj>
          <w:docPartGallery w:val="Table of Contents"/>
          <w:docPartUnique/>
        </w:docPartObj>
      </w:sdtPr>
      <w:sdtEndPr>
        <w:rPr>
          <w:rFonts w:hint="eastAsia" w:ascii="仿宋_GB2312" w:hAnsi="仿宋_GB2312" w:eastAsia="仿宋_GB2312" w:cs="仿宋_GB2312"/>
          <w:color w:val="auto"/>
          <w:sz w:val="32"/>
          <w:szCs w:val="32"/>
          <w:highlight w:val="none"/>
        </w:rPr>
      </w:sdtEndPr>
      <w:sdtContent>
        <w:p>
          <w:pPr>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目 录</w:t>
          </w:r>
        </w:p>
        <w:p>
          <w:pPr>
            <w:pStyle w:val="12"/>
            <w:tabs>
              <w:tab w:val="right" w:leader="dot" w:pos="9419"/>
            </w:tabs>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TOC \o "1-1" \h \u </w:instrText>
          </w:r>
          <w:r>
            <w:rPr>
              <w:rFonts w:hint="eastAsia" w:ascii="仿宋_GB2312" w:hAnsi="仿宋_GB2312" w:eastAsia="仿宋_GB2312" w:cs="仿宋_GB2312"/>
              <w:color w:val="auto"/>
              <w:sz w:val="24"/>
              <w:szCs w:val="24"/>
              <w:highlight w:val="none"/>
            </w:rPr>
            <w:fldChar w:fldCharType="separate"/>
          </w:r>
        </w:p>
        <w:p>
          <w:pPr>
            <w:pStyle w:val="12"/>
            <w:tabs>
              <w:tab w:val="right" w:leader="dot" w:pos="9419"/>
            </w:tabs>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\l "_Toc13302"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kern w:val="44"/>
              <w:sz w:val="24"/>
              <w:szCs w:val="24"/>
              <w:highlight w:val="none"/>
            </w:rPr>
            <w:t>第1章 投标须知及前附表</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_Toc13302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pPr>
            <w:pStyle w:val="12"/>
            <w:tabs>
              <w:tab w:val="right" w:leader="dot" w:pos="9419"/>
            </w:tabs>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\l "_Toc1632"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kern w:val="44"/>
              <w:sz w:val="24"/>
              <w:szCs w:val="24"/>
              <w:highlight w:val="none"/>
            </w:rPr>
            <w:t>第2章 项目需求书</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_Toc1632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12</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pPr>
            <w:pStyle w:val="12"/>
            <w:tabs>
              <w:tab w:val="right" w:leader="dot" w:pos="9419"/>
            </w:tabs>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\l "_Toc27492"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kern w:val="44"/>
              <w:sz w:val="24"/>
              <w:szCs w:val="24"/>
              <w:highlight w:val="none"/>
            </w:rPr>
            <w:t>第3章 投标格式文件</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_Toc27492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lang w:val="en-US" w:eastAsia="zh-CN"/>
            </w:rPr>
            <w:t>3</w:t>
          </w:r>
        </w:p>
        <w:p>
          <w:pPr>
            <w:pStyle w:val="12"/>
            <w:tabs>
              <w:tab w:val="right" w:leader="dot" w:pos="9419"/>
            </w:tabs>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\l "_Toc30913"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kern w:val="44"/>
              <w:sz w:val="24"/>
              <w:szCs w:val="24"/>
              <w:highlight w:val="none"/>
            </w:rPr>
            <w:t>第4章 评标办法</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_Toc30913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24</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pPr>
            <w:pStyle w:val="12"/>
            <w:tabs>
              <w:tab w:val="right" w:leader="dot" w:pos="9419"/>
            </w:tabs>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\l "_Toc26593"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kern w:val="44"/>
              <w:sz w:val="24"/>
              <w:szCs w:val="24"/>
              <w:highlight w:val="none"/>
            </w:rPr>
            <w:t>第5章 附件</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_Toc26593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30</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pP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fldChar w:fldCharType="end"/>
          </w:r>
        </w:p>
      </w:sdtContent>
    </w:sdt>
    <w:p>
      <w:pPr>
        <w:pStyle w:val="13"/>
        <w:widowControl/>
        <w:spacing w:after="0"/>
        <w:ind w:firstLine="0"/>
        <w:rPr>
          <w:rFonts w:hint="eastAsia" w:ascii="仿宋_GB2312" w:hAnsi="仿宋_GB2312" w:eastAsia="仿宋_GB2312" w:cs="仿宋_GB2312"/>
          <w:color w:val="auto"/>
          <w:highlight w:val="none"/>
        </w:rPr>
        <w:sectPr>
          <w:pgSz w:w="11915" w:h="16840"/>
          <w:pgMar w:top="1247" w:right="1135" w:bottom="1247" w:left="1361" w:header="720" w:footer="720" w:gutter="0"/>
          <w:cols w:space="425" w:num="1"/>
          <w:docGrid w:type="lines" w:linePitch="285" w:charSpace="0"/>
        </w:sectPr>
      </w:pPr>
      <w:r>
        <w:rPr>
          <w:rFonts w:hint="eastAsia" w:ascii="仿宋_GB2312" w:hAnsi="仿宋_GB2312" w:eastAsia="仿宋_GB2312" w:cs="仿宋_GB2312"/>
          <w:color w:val="auto"/>
          <w:highlight w:val="none"/>
        </w:rPr>
        <w:t xml:space="preserve"> </w:t>
      </w:r>
    </w:p>
    <w:p>
      <w:pPr>
        <w:pStyle w:val="3"/>
        <w:widowControl/>
        <w:spacing w:before="0" w:after="0" w:line="360" w:lineRule="auto"/>
        <w:jc w:val="center"/>
        <w:rPr>
          <w:rFonts w:hint="eastAsia" w:ascii="仿宋_GB2312" w:hAnsi="仿宋_GB2312" w:eastAsia="仿宋_GB2312" w:cs="仿宋_GB2312"/>
          <w:b/>
          <w:bCs w:val="0"/>
          <w:color w:val="auto"/>
          <w:kern w:val="44"/>
          <w:sz w:val="32"/>
          <w:szCs w:val="32"/>
          <w:highlight w:val="none"/>
        </w:rPr>
      </w:pPr>
      <w:bookmarkStart w:id="2" w:name="_Toc374128472"/>
      <w:bookmarkStart w:id="3" w:name="_Toc13302"/>
      <w:r>
        <w:rPr>
          <w:rFonts w:hint="eastAsia" w:ascii="仿宋_GB2312" w:hAnsi="仿宋_GB2312" w:eastAsia="仿宋_GB2312" w:cs="仿宋_GB2312"/>
          <w:b/>
          <w:bCs w:val="0"/>
          <w:color w:val="auto"/>
          <w:kern w:val="44"/>
          <w:sz w:val="32"/>
          <w:szCs w:val="32"/>
          <w:highlight w:val="none"/>
        </w:rPr>
        <w:t>第1章 投标须知及前附表</w:t>
      </w:r>
      <w:bookmarkEnd w:id="2"/>
      <w:bookmarkEnd w:id="3"/>
    </w:p>
    <w:p>
      <w:pPr>
        <w:spacing w:afterLines="50"/>
        <w:jc w:val="center"/>
        <w:outlineLvl w:val="1"/>
        <w:rPr>
          <w:rFonts w:hint="eastAsia" w:ascii="仿宋_GB2312" w:hAnsi="仿宋_GB2312" w:eastAsia="仿宋_GB2312" w:cs="仿宋_GB2312"/>
          <w:b/>
          <w:bCs w:val="0"/>
          <w:color w:val="auto"/>
          <w:sz w:val="28"/>
          <w:szCs w:val="28"/>
          <w:highlight w:val="none"/>
        </w:rPr>
      </w:pPr>
      <w:r>
        <w:rPr>
          <w:rFonts w:hint="eastAsia" w:ascii="仿宋_GB2312" w:hAnsi="仿宋_GB2312" w:eastAsia="仿宋_GB2312" w:cs="仿宋_GB2312"/>
          <w:b/>
          <w:bCs w:val="0"/>
          <w:color w:val="auto"/>
          <w:sz w:val="28"/>
          <w:szCs w:val="28"/>
          <w:highlight w:val="none"/>
        </w:rPr>
        <w:t>一、投标须知前附表</w:t>
      </w:r>
    </w:p>
    <w:tbl>
      <w:tblPr>
        <w:tblStyle w:val="14"/>
        <w:tblW w:w="8719" w:type="dxa"/>
        <w:jc w:val="center"/>
        <w:tblLayout w:type="fixed"/>
        <w:tblCellMar>
          <w:top w:w="0" w:type="dxa"/>
          <w:left w:w="108" w:type="dxa"/>
          <w:bottom w:w="0" w:type="dxa"/>
          <w:right w:w="108" w:type="dxa"/>
        </w:tblCellMar>
      </w:tblPr>
      <w:tblGrid>
        <w:gridCol w:w="72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项目</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仿宋_GB2312" w:hAnsi="仿宋_GB2312" w:eastAsia="仿宋_GB2312" w:cs="仿宋_GB2312"/>
                <w:color w:val="auto"/>
                <w:highlight w:val="none"/>
                <w:u w:val="none"/>
                <w:lang w:eastAsia="zh-CN"/>
              </w:rPr>
            </w:pPr>
            <w:r>
              <w:rPr>
                <w:rFonts w:hint="eastAsia" w:ascii="仿宋_GB2312" w:hAnsi="仿宋_GB2312" w:eastAsia="仿宋_GB2312" w:cs="仿宋_GB2312"/>
                <w:color w:val="auto"/>
                <w:highlight w:val="none"/>
                <w:u w:val="none"/>
                <w:lang w:eastAsia="zh-CN"/>
              </w:rPr>
              <w:t>前锋水乡一、二涌已移交物业危房鉴定</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仿宋_GB2312" w:hAnsi="仿宋_GB2312" w:eastAsia="仿宋_GB2312" w:cs="仿宋_GB2312"/>
                <w:color w:val="auto"/>
                <w:highlight w:val="none"/>
                <w:u w:val="none"/>
                <w:lang w:eastAsia="zh-CN"/>
              </w:rPr>
            </w:pPr>
            <w:r>
              <w:rPr>
                <w:rFonts w:hint="eastAsia" w:ascii="仿宋_GB2312" w:hAnsi="仿宋_GB2312" w:eastAsia="仿宋_GB2312" w:cs="仿宋_GB2312"/>
                <w:color w:val="auto"/>
                <w:sz w:val="21"/>
                <w:szCs w:val="21"/>
                <w:highlight w:val="none"/>
                <w:u w:val="none"/>
              </w:rPr>
              <w:t>广州市南沙区珠江街道前锋社区居委一</w:t>
            </w:r>
            <w:r>
              <w:rPr>
                <w:rFonts w:hint="eastAsia" w:ascii="仿宋_GB2312" w:hAnsi="仿宋_GB2312" w:eastAsia="仿宋_GB2312" w:cs="仿宋_GB2312"/>
                <w:color w:val="auto"/>
                <w:sz w:val="21"/>
                <w:szCs w:val="21"/>
                <w:highlight w:val="none"/>
                <w:u w:val="none"/>
                <w:lang w:eastAsia="zh-CN"/>
              </w:rPr>
              <w:t>、</w:t>
            </w:r>
            <w:r>
              <w:rPr>
                <w:rFonts w:hint="eastAsia" w:ascii="仿宋_GB2312" w:hAnsi="仿宋_GB2312" w:eastAsia="仿宋_GB2312" w:cs="仿宋_GB2312"/>
                <w:color w:val="auto"/>
                <w:sz w:val="21"/>
                <w:szCs w:val="21"/>
                <w:highlight w:val="none"/>
                <w:u w:val="none"/>
              </w:rPr>
              <w:t>二涌</w:t>
            </w:r>
            <w:r>
              <w:rPr>
                <w:rFonts w:hint="eastAsia" w:ascii="仿宋_GB2312" w:hAnsi="仿宋_GB2312" w:eastAsia="仿宋_GB2312" w:cs="仿宋_GB2312"/>
                <w:color w:val="auto"/>
                <w:sz w:val="21"/>
                <w:szCs w:val="21"/>
                <w:highlight w:val="none"/>
                <w:u w:val="none"/>
                <w:lang w:eastAsia="zh-CN"/>
              </w:rPr>
              <w:t>。</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u w:val="none"/>
                <w:lang w:eastAsia="zh-CN"/>
              </w:rPr>
            </w:pPr>
            <w:r>
              <w:rPr>
                <w:rFonts w:hint="eastAsia" w:ascii="仿宋_GB2312" w:hAnsi="仿宋_GB2312" w:eastAsia="仿宋_GB2312" w:cs="仿宋_GB2312"/>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0" w:firstLineChars="0"/>
              <w:jc w:val="left"/>
              <w:rPr>
                <w:rFonts w:hint="eastAsia" w:ascii="仿宋_GB2312" w:hAnsi="仿宋_GB2312" w:eastAsia="仿宋_GB2312" w:cs="仿宋_GB2312"/>
                <w:color w:val="auto"/>
                <w:szCs w:val="21"/>
                <w:highlight w:val="none"/>
                <w:u w:val="none"/>
                <w:lang w:eastAsia="zh-CN"/>
              </w:rPr>
            </w:pPr>
            <w:r>
              <w:rPr>
                <w:rFonts w:hint="eastAsia" w:ascii="仿宋_GB2312" w:hAnsi="仿宋_GB2312" w:eastAsia="仿宋_GB2312" w:cs="仿宋_GB2312"/>
                <w:color w:val="auto"/>
                <w:sz w:val="21"/>
                <w:szCs w:val="21"/>
                <w:highlight w:val="none"/>
                <w:u w:val="none"/>
              </w:rPr>
              <w:t>项目位于广州市南沙区珠江街道前锋社区沿一、二涌两边已征收物业，范围为珠江街道前锋社区，即一、二涌靠近蕉门水道的河段及周边建筑、农田。具体包括一涌凤凰大道以西、新广一、二路以东段，长约0.85公里；二涌新广二、三路以东至蕉门水道段，长约2.5公里。</w:t>
            </w:r>
            <w:r>
              <w:rPr>
                <w:rFonts w:hint="eastAsia" w:ascii="仿宋_GB2312" w:hAnsi="仿宋_GB2312" w:eastAsia="仿宋_GB2312" w:cs="仿宋_GB2312"/>
                <w:color w:val="auto"/>
                <w:sz w:val="21"/>
                <w:szCs w:val="21"/>
                <w:highlight w:val="none"/>
                <w:u w:val="none"/>
                <w:lang w:val="en-US" w:eastAsia="zh-CN"/>
              </w:rPr>
              <w:t>涉及危房鉴定房屋</w:t>
            </w:r>
            <w:r>
              <w:rPr>
                <w:rFonts w:hint="eastAsia" w:ascii="仿宋_GB2312" w:hAnsi="仿宋_GB2312" w:eastAsia="仿宋_GB2312" w:cs="仿宋_GB2312"/>
                <w:i w:val="0"/>
                <w:iCs w:val="0"/>
                <w:caps w:val="0"/>
                <w:color w:val="auto"/>
                <w:spacing w:val="0"/>
                <w:sz w:val="21"/>
                <w:szCs w:val="21"/>
                <w:highlight w:val="none"/>
                <w:u w:val="none"/>
                <w:shd w:val="clear"/>
                <w:lang w:val="en-US" w:eastAsia="zh-CN"/>
              </w:rPr>
              <w:t>394户（含部分一户多栋和一栋多户）</w:t>
            </w:r>
            <w:r>
              <w:rPr>
                <w:rFonts w:hint="eastAsia" w:ascii="仿宋_GB2312" w:hAnsi="仿宋_GB2312" w:eastAsia="仿宋_GB2312" w:cs="仿宋_GB2312"/>
                <w:i w:val="0"/>
                <w:iCs w:val="0"/>
                <w:caps w:val="0"/>
                <w:color w:val="auto"/>
                <w:spacing w:val="0"/>
                <w:sz w:val="21"/>
                <w:szCs w:val="21"/>
                <w:highlight w:val="none"/>
                <w:u w:val="none"/>
                <w:shd w:val="clear"/>
                <w:lang w:eastAsia="zh-CN"/>
              </w:rPr>
              <w:t>，</w:t>
            </w:r>
            <w:r>
              <w:rPr>
                <w:rFonts w:hint="eastAsia" w:ascii="仿宋_GB2312" w:hAnsi="仿宋_GB2312" w:eastAsia="仿宋_GB2312" w:cs="仿宋_GB2312"/>
                <w:i w:val="0"/>
                <w:iCs w:val="0"/>
                <w:caps w:val="0"/>
                <w:color w:val="auto"/>
                <w:spacing w:val="0"/>
                <w:sz w:val="21"/>
                <w:szCs w:val="21"/>
                <w:highlight w:val="none"/>
                <w:u w:val="none"/>
                <w:shd w:val="clear"/>
                <w:lang w:val="en-US" w:eastAsia="zh-CN"/>
              </w:rPr>
              <w:t>其中一涌59户，二涌335户，物业总面积约为</w:t>
            </w:r>
            <w:r>
              <w:rPr>
                <w:rFonts w:hint="eastAsia" w:ascii="仿宋_GB2312" w:hAnsi="仿宋_GB2312" w:eastAsia="仿宋_GB2312" w:cs="仿宋_GB2312"/>
                <w:color w:val="auto"/>
                <w:sz w:val="21"/>
                <w:szCs w:val="21"/>
                <w:highlight w:val="none"/>
                <w:u w:val="none"/>
                <w:lang w:val="en-US" w:eastAsia="zh-CN"/>
              </w:rPr>
              <w:t>42682.9㎡</w:t>
            </w:r>
            <w:r>
              <w:rPr>
                <w:rFonts w:hint="eastAsia" w:ascii="仿宋_GB2312" w:hAnsi="仿宋_GB2312" w:eastAsia="仿宋_GB2312" w:cs="仿宋_GB2312"/>
                <w:i w:val="0"/>
                <w:iCs w:val="0"/>
                <w:caps w:val="0"/>
                <w:color w:val="auto"/>
                <w:spacing w:val="0"/>
                <w:sz w:val="21"/>
                <w:szCs w:val="21"/>
                <w:highlight w:val="none"/>
                <w:u w:val="none"/>
                <w:shd w:val="clear"/>
                <w:lang w:val="en-US" w:eastAsia="zh-CN"/>
              </w:rPr>
              <w:t>，</w:t>
            </w:r>
            <w:r>
              <w:rPr>
                <w:rFonts w:hint="eastAsia" w:ascii="仿宋_GB2312" w:hAnsi="仿宋_GB2312" w:eastAsia="仿宋_GB2312" w:cs="仿宋_GB2312"/>
                <w:color w:val="auto"/>
                <w:sz w:val="21"/>
                <w:szCs w:val="21"/>
                <w:highlight w:val="none"/>
                <w:u w:val="none"/>
              </w:rPr>
              <w:t>具体以</w:t>
            </w:r>
            <w:r>
              <w:rPr>
                <w:rFonts w:hint="eastAsia" w:ascii="仿宋_GB2312" w:hAnsi="仿宋_GB2312" w:eastAsia="仿宋_GB2312" w:cs="仿宋_GB2312"/>
                <w:color w:val="auto"/>
                <w:sz w:val="21"/>
                <w:szCs w:val="21"/>
                <w:highlight w:val="none"/>
                <w:u w:val="none"/>
                <w:lang w:val="en-US" w:eastAsia="zh-CN"/>
              </w:rPr>
              <w:t>实际工作量</w:t>
            </w:r>
            <w:r>
              <w:rPr>
                <w:rFonts w:hint="eastAsia" w:ascii="仿宋_GB2312" w:hAnsi="仿宋_GB2312" w:eastAsia="仿宋_GB2312" w:cs="仿宋_GB2312"/>
                <w:color w:val="auto"/>
                <w:sz w:val="21"/>
                <w:szCs w:val="21"/>
                <w:highlight w:val="none"/>
                <w:u w:val="none"/>
              </w:rPr>
              <w:t>为准。</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firstLineChars="0"/>
              <w:rPr>
                <w:rFonts w:hint="eastAsia" w:ascii="仿宋_GB2312" w:hAnsi="仿宋_GB2312" w:eastAsia="仿宋_GB2312" w:cs="仿宋_GB2312"/>
                <w:color w:val="auto"/>
                <w:highlight w:val="none"/>
                <w:u w:val="none"/>
                <w:lang w:eastAsia="zh-CN"/>
              </w:rPr>
            </w:pPr>
            <w:r>
              <w:rPr>
                <w:rFonts w:hint="eastAsia" w:ascii="仿宋_GB2312" w:hAnsi="仿宋_GB2312" w:eastAsia="仿宋_GB2312" w:cs="仿宋_GB2312"/>
                <w:bCs w:val="0"/>
                <w:color w:val="auto"/>
                <w:sz w:val="21"/>
                <w:szCs w:val="21"/>
                <w:highlight w:val="none"/>
                <w:u w:val="none"/>
                <w:lang w:eastAsia="zh-CN"/>
              </w:rPr>
              <w:t>单价包干，工程量按实结算。</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仿宋_GB2312" w:hAnsi="仿宋_GB2312" w:eastAsia="仿宋_GB2312" w:cs="仿宋_GB2312"/>
                <w:color w:val="auto"/>
                <w:highlight w:val="none"/>
                <w:u w:val="none"/>
                <w:lang w:eastAsia="zh-CN"/>
              </w:rPr>
            </w:pPr>
            <w:r>
              <w:rPr>
                <w:rFonts w:hint="eastAsia" w:ascii="仿宋_GB2312" w:hAnsi="仿宋_GB2312" w:eastAsia="仿宋_GB2312" w:cs="仿宋_GB2312"/>
                <w:color w:val="auto"/>
                <w:sz w:val="21"/>
                <w:szCs w:val="21"/>
                <w:highlight w:val="none"/>
                <w:lang w:val="en-US" w:eastAsia="zh-CN"/>
              </w:rPr>
              <w:t>招标限价280000元。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rPr>
                <w:rFonts w:hint="eastAsia" w:ascii="仿宋_GB2312" w:hAnsi="仿宋_GB2312" w:eastAsia="仿宋_GB2312" w:cs="仿宋_GB2312"/>
                <w:bCs w:val="0"/>
                <w:color w:val="auto"/>
                <w:kern w:val="2"/>
                <w:sz w:val="21"/>
                <w:szCs w:val="20"/>
                <w:highlight w:val="none"/>
                <w:shd w:val="clear" w:color="auto" w:fill="auto"/>
                <w:lang w:eastAsia="zh-CN" w:bidi="ar-SA"/>
              </w:rPr>
            </w:pPr>
          </w:p>
          <w:p>
            <w:pPr>
              <w:pStyle w:val="2"/>
              <w:ind w:firstLine="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符合《危险房屋鉴定标准》J2228-2016的相关要求</w:t>
            </w:r>
          </w:p>
          <w:p>
            <w:pPr>
              <w:pStyle w:val="2"/>
              <w:ind w:firstLine="0"/>
              <w:rPr>
                <w:rFonts w:hint="eastAsia" w:ascii="仿宋_GB2312" w:hAnsi="仿宋_GB2312" w:eastAsia="仿宋_GB2312" w:cs="仿宋_GB2312"/>
                <w:color w:val="auto"/>
                <w:highlight w:val="none"/>
                <w:lang w:val="en-US" w:eastAsia="zh-CN"/>
              </w:rPr>
            </w:pP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val="en-US" w:eastAsia="zh-CN"/>
              </w:rPr>
              <w:t>7</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9"/>
              <w:widowControl/>
              <w:numPr>
                <w:ilvl w:val="-1"/>
                <w:numId w:val="0"/>
              </w:numPr>
              <w:spacing w:line="360" w:lineRule="auto"/>
              <w:ind w:firstLine="0" w:firstLineChars="0"/>
              <w:rPr>
                <w:rFonts w:hint="eastAsia" w:ascii="仿宋_GB2312" w:hAnsi="仿宋_GB2312" w:eastAsia="仿宋_GB2312" w:cs="仿宋_GB2312"/>
                <w:color w:val="auto"/>
                <w:kern w:val="2"/>
                <w:sz w:val="21"/>
                <w:szCs w:val="21"/>
                <w:highlight w:val="none"/>
                <w:u w:val="none"/>
                <w:lang w:val="en-US" w:eastAsia="zh-CN" w:bidi="ar-SA"/>
              </w:rPr>
            </w:pPr>
            <w:r>
              <w:rPr>
                <w:rFonts w:hint="eastAsia" w:ascii="仿宋_GB2312" w:hAnsi="仿宋_GB2312" w:eastAsia="仿宋_GB2312" w:cs="仿宋_GB2312"/>
                <w:color w:val="auto"/>
                <w:spacing w:val="0"/>
                <w:sz w:val="21"/>
                <w:szCs w:val="21"/>
                <w:highlight w:val="none"/>
                <w:lang w:val="en-US" w:eastAsia="zh-CN"/>
              </w:rPr>
              <w:t>为确定</w:t>
            </w:r>
            <w:r>
              <w:rPr>
                <w:rFonts w:hint="eastAsia" w:ascii="仿宋_GB2312" w:hAnsi="仿宋_GB2312" w:eastAsia="仿宋_GB2312" w:cs="仿宋_GB2312"/>
                <w:color w:val="auto"/>
                <w:highlight w:val="none"/>
                <w:u w:val="none"/>
                <w:lang w:eastAsia="zh-CN"/>
              </w:rPr>
              <w:t>前锋水乡一、二涌已移交物业</w:t>
            </w:r>
            <w:r>
              <w:rPr>
                <w:rFonts w:hint="eastAsia" w:ascii="仿宋_GB2312" w:hAnsi="仿宋_GB2312" w:eastAsia="仿宋_GB2312" w:cs="仿宋_GB2312"/>
                <w:color w:val="auto"/>
                <w:sz w:val="21"/>
                <w:szCs w:val="21"/>
                <w:highlight w:val="none"/>
                <w:lang w:val="en-US" w:eastAsia="zh-CN"/>
              </w:rPr>
              <w:t>房屋安全状况，进行</w:t>
            </w:r>
            <w:r>
              <w:rPr>
                <w:rFonts w:hint="eastAsia" w:ascii="仿宋_GB2312" w:hAnsi="仿宋_GB2312" w:eastAsia="仿宋_GB2312" w:cs="仿宋_GB2312"/>
                <w:color w:val="auto"/>
                <w:sz w:val="21"/>
                <w:szCs w:val="21"/>
                <w:highlight w:val="none"/>
                <w:lang w:eastAsia="zh-CN"/>
              </w:rPr>
              <w:t>房屋</w:t>
            </w:r>
            <w:r>
              <w:rPr>
                <w:rFonts w:hint="eastAsia" w:ascii="仿宋_GB2312" w:hAnsi="仿宋_GB2312" w:eastAsia="仿宋_GB2312" w:cs="仿宋_GB2312"/>
                <w:color w:val="auto"/>
                <w:sz w:val="21"/>
                <w:szCs w:val="21"/>
                <w:highlight w:val="none"/>
                <w:lang w:val="en-US" w:eastAsia="zh-CN"/>
              </w:rPr>
              <w:t>危房</w:t>
            </w:r>
            <w:r>
              <w:rPr>
                <w:rFonts w:hint="eastAsia" w:ascii="仿宋_GB2312" w:hAnsi="仿宋_GB2312" w:eastAsia="仿宋_GB2312" w:cs="仿宋_GB2312"/>
                <w:color w:val="auto"/>
                <w:sz w:val="21"/>
                <w:szCs w:val="21"/>
                <w:highlight w:val="none"/>
                <w:lang w:eastAsia="zh-CN"/>
              </w:rPr>
              <w:t>鉴定，</w:t>
            </w:r>
            <w:r>
              <w:rPr>
                <w:rFonts w:hint="eastAsia" w:ascii="仿宋_GB2312" w:hAnsi="仿宋_GB2312" w:eastAsia="仿宋_GB2312" w:cs="仿宋_GB2312"/>
                <w:bCs/>
                <w:color w:val="auto"/>
                <w:sz w:val="21"/>
                <w:szCs w:val="21"/>
                <w:highlight w:val="none"/>
                <w:lang w:eastAsia="zh-CN"/>
              </w:rPr>
              <w:t>具体工作</w:t>
            </w:r>
            <w:r>
              <w:rPr>
                <w:rFonts w:hint="eastAsia" w:ascii="仿宋_GB2312" w:hAnsi="仿宋_GB2312" w:eastAsia="仿宋_GB2312" w:cs="仿宋_GB2312"/>
                <w:bCs/>
                <w:color w:val="auto"/>
                <w:sz w:val="21"/>
                <w:szCs w:val="21"/>
                <w:highlight w:val="none"/>
                <w:lang w:val="en-US" w:eastAsia="zh-CN"/>
              </w:rPr>
              <w:t>主要为</w:t>
            </w:r>
            <w:r>
              <w:rPr>
                <w:rFonts w:hint="eastAsia" w:ascii="仿宋_GB2312" w:hAnsi="仿宋_GB2312" w:eastAsia="仿宋_GB2312" w:cs="仿宋_GB2312"/>
                <w:bCs/>
                <w:color w:val="auto"/>
                <w:sz w:val="21"/>
                <w:szCs w:val="21"/>
                <w:highlight w:val="none"/>
                <w:lang w:eastAsia="zh-CN"/>
              </w:rPr>
              <w:t>：</w:t>
            </w:r>
            <w:r>
              <w:rPr>
                <w:rFonts w:hint="eastAsia" w:ascii="仿宋_GB2312" w:hAnsi="仿宋_GB2312" w:eastAsia="仿宋_GB2312" w:cs="仿宋_GB2312"/>
                <w:color w:val="auto"/>
                <w:sz w:val="21"/>
                <w:szCs w:val="21"/>
                <w:highlight w:val="none"/>
              </w:rPr>
              <w:t>检测数据分析及鉴定报告编写</w:t>
            </w:r>
            <w:r>
              <w:rPr>
                <w:rFonts w:hint="eastAsia" w:ascii="仿宋_GB2312" w:hAnsi="仿宋_GB2312" w:eastAsia="仿宋_GB2312" w:cs="仿宋_GB2312"/>
                <w:color w:val="auto"/>
                <w:sz w:val="21"/>
                <w:szCs w:val="21"/>
                <w:highlight w:val="none"/>
                <w:lang w:eastAsia="zh-CN"/>
              </w:rPr>
              <w:t>。</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val="en-US" w:eastAsia="zh-CN"/>
              </w:rPr>
              <w:t>8</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0" w:firstLineChars="0"/>
              <w:outlineLvl w:val="0"/>
              <w:rPr>
                <w:rFonts w:hint="eastAsia" w:ascii="仿宋_GB2312" w:hAnsi="仿宋_GB2312" w:eastAsia="仿宋_GB2312" w:cs="仿宋_GB2312"/>
                <w:bCs w:val="0"/>
                <w:color w:val="auto"/>
                <w:sz w:val="21"/>
                <w:szCs w:val="21"/>
                <w:highlight w:val="none"/>
              </w:rPr>
            </w:pPr>
            <w:r>
              <w:rPr>
                <w:rFonts w:hint="eastAsia" w:ascii="仿宋_GB2312" w:hAnsi="仿宋_GB2312" w:eastAsia="仿宋_GB2312" w:cs="仿宋_GB2312"/>
                <w:bCs w:val="0"/>
                <w:color w:val="auto"/>
                <w:sz w:val="21"/>
                <w:szCs w:val="21"/>
                <w:highlight w:val="none"/>
              </w:rPr>
              <w:t>总工期</w:t>
            </w:r>
            <w:r>
              <w:rPr>
                <w:rFonts w:hint="eastAsia" w:ascii="仿宋_GB2312" w:hAnsi="仿宋_GB2312" w:eastAsia="仿宋_GB2312" w:cs="仿宋_GB2312"/>
                <w:bCs w:val="0"/>
                <w:color w:val="auto"/>
                <w:sz w:val="21"/>
                <w:szCs w:val="21"/>
                <w:highlight w:val="none"/>
                <w:lang w:eastAsia="zh-CN"/>
              </w:rPr>
              <w:t>暂定</w:t>
            </w:r>
            <w:r>
              <w:rPr>
                <w:rFonts w:hint="eastAsia" w:ascii="仿宋_GB2312" w:hAnsi="仿宋_GB2312" w:eastAsia="仿宋_GB2312" w:cs="仿宋_GB2312"/>
                <w:bCs w:val="0"/>
                <w:color w:val="auto"/>
                <w:sz w:val="21"/>
                <w:szCs w:val="21"/>
                <w:highlight w:val="none"/>
              </w:rPr>
              <w:t>为</w:t>
            </w:r>
            <w:r>
              <w:rPr>
                <w:rFonts w:hint="eastAsia" w:ascii="仿宋_GB2312" w:hAnsi="仿宋_GB2312" w:eastAsia="仿宋_GB2312" w:cs="仿宋_GB2312"/>
                <w:bCs w:val="0"/>
                <w:color w:val="auto"/>
                <w:sz w:val="21"/>
                <w:szCs w:val="21"/>
                <w:highlight w:val="none"/>
                <w:lang w:val="en-US" w:eastAsia="zh-CN"/>
              </w:rPr>
              <w:t>20</w:t>
            </w:r>
            <w:r>
              <w:rPr>
                <w:rFonts w:hint="eastAsia" w:ascii="仿宋_GB2312" w:hAnsi="仿宋_GB2312" w:eastAsia="仿宋_GB2312" w:cs="仿宋_GB2312"/>
                <w:bCs w:val="0"/>
                <w:color w:val="auto"/>
                <w:sz w:val="21"/>
                <w:szCs w:val="21"/>
                <w:highlight w:val="none"/>
              </w:rPr>
              <w:t>个</w:t>
            </w:r>
            <w:r>
              <w:rPr>
                <w:rFonts w:hint="eastAsia" w:ascii="仿宋_GB2312" w:hAnsi="仿宋_GB2312" w:eastAsia="仿宋_GB2312" w:cs="仿宋_GB2312"/>
                <w:bCs w:val="0"/>
                <w:color w:val="auto"/>
                <w:sz w:val="21"/>
                <w:szCs w:val="21"/>
                <w:highlight w:val="none"/>
                <w:lang w:val="en-US" w:eastAsia="zh-CN"/>
              </w:rPr>
              <w:t>日历天</w:t>
            </w:r>
            <w:r>
              <w:rPr>
                <w:rFonts w:hint="eastAsia" w:ascii="仿宋_GB2312" w:hAnsi="仿宋_GB2312" w:eastAsia="仿宋_GB2312" w:cs="仿宋_GB2312"/>
                <w:bCs w:val="0"/>
                <w:color w:val="auto"/>
                <w:sz w:val="21"/>
                <w:szCs w:val="21"/>
                <w:highlight w:val="none"/>
              </w:rPr>
              <w:t>，其中：</w:t>
            </w:r>
          </w:p>
          <w:p>
            <w:pPr>
              <w:spacing w:line="360" w:lineRule="auto"/>
              <w:ind w:firstLine="0" w:firstLineChars="0"/>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Cs w:val="0"/>
                <w:color w:val="auto"/>
                <w:sz w:val="21"/>
                <w:szCs w:val="21"/>
                <w:highlight w:val="none"/>
              </w:rPr>
              <w:t>1、现场查勘及现场取样检测工作</w:t>
            </w:r>
            <w:r>
              <w:rPr>
                <w:rFonts w:hint="eastAsia" w:ascii="仿宋_GB2312" w:hAnsi="仿宋_GB2312" w:eastAsia="仿宋_GB2312" w:cs="仿宋_GB2312"/>
                <w:bCs w:val="0"/>
                <w:color w:val="auto"/>
                <w:sz w:val="21"/>
                <w:szCs w:val="21"/>
                <w:highlight w:val="none"/>
                <w:lang w:val="en-US" w:eastAsia="zh-CN"/>
              </w:rPr>
              <w:t>15</w:t>
            </w:r>
            <w:r>
              <w:rPr>
                <w:rFonts w:hint="eastAsia" w:ascii="仿宋_GB2312" w:hAnsi="仿宋_GB2312" w:eastAsia="仿宋_GB2312" w:cs="仿宋_GB2312"/>
                <w:color w:val="auto"/>
                <w:sz w:val="21"/>
                <w:szCs w:val="21"/>
                <w:highlight w:val="none"/>
                <w:lang w:val="en-US" w:eastAsia="zh-CN"/>
              </w:rPr>
              <w:t>个</w:t>
            </w:r>
            <w:r>
              <w:rPr>
                <w:rFonts w:hint="eastAsia" w:ascii="仿宋_GB2312" w:hAnsi="仿宋_GB2312" w:eastAsia="仿宋_GB2312" w:cs="仿宋_GB2312"/>
                <w:bCs w:val="0"/>
                <w:color w:val="auto"/>
                <w:sz w:val="21"/>
                <w:szCs w:val="21"/>
                <w:highlight w:val="none"/>
                <w:lang w:val="en-US" w:eastAsia="zh-CN"/>
              </w:rPr>
              <w:t>日历天内完成。</w:t>
            </w:r>
          </w:p>
          <w:p>
            <w:pPr>
              <w:widowControl/>
              <w:spacing w:line="360" w:lineRule="auto"/>
              <w:ind w:firstLine="0" w:firstLineChars="0"/>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2、检测数据分析及鉴定报告编写：</w:t>
            </w:r>
            <w:r>
              <w:rPr>
                <w:rFonts w:hint="eastAsia" w:ascii="仿宋_GB2312" w:hAnsi="仿宋_GB2312" w:eastAsia="仿宋_GB2312" w:cs="仿宋_GB2312"/>
                <w:color w:val="auto"/>
                <w:sz w:val="21"/>
                <w:szCs w:val="21"/>
                <w:highlight w:val="none"/>
                <w:lang w:val="en-US" w:eastAsia="zh-CN"/>
              </w:rPr>
              <w:t>5个</w:t>
            </w:r>
            <w:r>
              <w:rPr>
                <w:rFonts w:hint="eastAsia" w:ascii="仿宋_GB2312" w:hAnsi="仿宋_GB2312" w:eastAsia="仿宋_GB2312" w:cs="仿宋_GB2312"/>
                <w:bCs w:val="0"/>
                <w:color w:val="auto"/>
                <w:sz w:val="21"/>
                <w:szCs w:val="21"/>
                <w:highlight w:val="none"/>
                <w:lang w:val="en-US" w:eastAsia="zh-CN"/>
              </w:rPr>
              <w:t>日历天内完成</w:t>
            </w:r>
            <w:r>
              <w:rPr>
                <w:rFonts w:hint="eastAsia" w:ascii="仿宋_GB2312" w:hAnsi="仿宋_GB2312" w:eastAsia="仿宋_GB2312" w:cs="仿宋_GB2312"/>
                <w:color w:val="auto"/>
                <w:sz w:val="21"/>
                <w:szCs w:val="21"/>
                <w:highlight w:val="none"/>
              </w:rPr>
              <w:t>。</w:t>
            </w:r>
          </w:p>
          <w:p>
            <w:pPr>
              <w:spacing w:line="360" w:lineRule="auto"/>
              <w:ind w:firstLine="0"/>
              <w:outlineLvl w:val="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sz w:val="21"/>
                <w:szCs w:val="21"/>
                <w:highlight w:val="none"/>
              </w:rPr>
              <w:t>（</w:t>
            </w:r>
            <w:r>
              <w:rPr>
                <w:rFonts w:hint="eastAsia" w:ascii="仿宋_GB2312" w:hAnsi="仿宋_GB2312" w:eastAsia="仿宋_GB2312" w:cs="仿宋_GB2312"/>
                <w:color w:val="auto"/>
                <w:sz w:val="21"/>
                <w:szCs w:val="21"/>
                <w:highlight w:val="none"/>
                <w:lang w:val="en-US" w:eastAsia="zh-CN"/>
              </w:rPr>
              <w:t>如遇特殊情况，</w:t>
            </w:r>
            <w:r>
              <w:rPr>
                <w:rFonts w:hint="eastAsia" w:ascii="仿宋_GB2312" w:hAnsi="仿宋_GB2312" w:eastAsia="仿宋_GB2312" w:cs="仿宋_GB2312"/>
                <w:color w:val="auto"/>
                <w:sz w:val="21"/>
                <w:szCs w:val="21"/>
                <w:highlight w:val="none"/>
              </w:rPr>
              <w:t>由</w:t>
            </w:r>
            <w:r>
              <w:rPr>
                <w:rFonts w:hint="eastAsia" w:ascii="仿宋_GB2312" w:hAnsi="仿宋_GB2312" w:eastAsia="仿宋_GB2312" w:cs="仿宋_GB2312"/>
                <w:color w:val="auto"/>
                <w:sz w:val="21"/>
                <w:szCs w:val="21"/>
                <w:highlight w:val="none"/>
                <w:lang w:eastAsia="zh-CN"/>
              </w:rPr>
              <w:t>招标人、投标人协商</w:t>
            </w:r>
            <w:r>
              <w:rPr>
                <w:rFonts w:hint="eastAsia" w:ascii="仿宋_GB2312" w:hAnsi="仿宋_GB2312" w:eastAsia="仿宋_GB2312" w:cs="仿宋_GB2312"/>
                <w:color w:val="auto"/>
                <w:sz w:val="21"/>
                <w:szCs w:val="21"/>
                <w:highlight w:val="none"/>
              </w:rPr>
              <w:t>而定）；</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val="en-US" w:eastAsia="zh-CN"/>
              </w:rPr>
              <w:t>9</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仿宋_GB2312" w:hAnsi="仿宋_GB2312" w:eastAsia="仿宋_GB2312" w:cs="仿宋_GB2312"/>
                <w:color w:val="auto"/>
                <w:kern w:val="2"/>
                <w:sz w:val="21"/>
                <w:szCs w:val="21"/>
                <w:highlight w:val="none"/>
                <w:u w:val="none"/>
                <w:lang w:val="en-US" w:eastAsia="zh-CN" w:bidi="ar-SA"/>
              </w:rPr>
            </w:pPr>
            <w:r>
              <w:rPr>
                <w:rFonts w:hint="eastAsia" w:ascii="仿宋_GB2312" w:hAnsi="仿宋_GB2312" w:eastAsia="仿宋_GB2312" w:cs="仿宋_GB2312"/>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10</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仿宋_GB2312" w:hAnsi="仿宋_GB2312" w:eastAsia="仿宋_GB2312" w:cs="仿宋_GB2312"/>
                <w:color w:val="auto"/>
                <w:kern w:val="2"/>
                <w:sz w:val="21"/>
                <w:szCs w:val="21"/>
                <w:highlight w:val="none"/>
                <w:u w:val="none"/>
                <w:lang w:val="en-US" w:eastAsia="zh-CN" w:bidi="ar-SA"/>
              </w:rPr>
            </w:pPr>
            <w:r>
              <w:rPr>
                <w:rFonts w:hint="eastAsia" w:ascii="仿宋_GB2312" w:hAnsi="仿宋_GB2312" w:eastAsia="仿宋_GB2312" w:cs="仿宋_GB2312"/>
                <w:bCs w:val="0"/>
                <w:color w:val="auto"/>
                <w:kern w:val="2"/>
                <w:sz w:val="21"/>
                <w:szCs w:val="21"/>
                <w:highlight w:val="none"/>
              </w:rPr>
              <w:t>投标人</w:t>
            </w:r>
            <w:r>
              <w:rPr>
                <w:rFonts w:hint="eastAsia" w:ascii="仿宋_GB2312" w:hAnsi="仿宋_GB2312" w:eastAsia="仿宋_GB2312" w:cs="仿宋_GB2312"/>
                <w:bCs w:val="0"/>
                <w:color w:val="auto"/>
                <w:kern w:val="2"/>
                <w:sz w:val="21"/>
                <w:szCs w:val="21"/>
                <w:highlight w:val="none"/>
                <w:lang w:val="en-US" w:eastAsia="zh-CN"/>
              </w:rPr>
              <w:t>需具备</w:t>
            </w:r>
            <w:r>
              <w:rPr>
                <w:rFonts w:hint="eastAsia" w:ascii="仿宋_GB2312" w:hAnsi="仿宋_GB2312" w:eastAsia="仿宋_GB2312" w:cs="仿宋_GB2312"/>
                <w:color w:val="auto"/>
                <w:sz w:val="21"/>
                <w:szCs w:val="21"/>
                <w:highlight w:val="none"/>
              </w:rPr>
              <w:t>广东省《检验检测机构资质认定证书》资格</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lang w:val="en-US" w:eastAsia="zh-CN"/>
              </w:rPr>
              <w:t>且</w:t>
            </w:r>
            <w:r>
              <w:rPr>
                <w:rFonts w:hint="eastAsia" w:ascii="仿宋_GB2312" w:hAnsi="仿宋_GB2312" w:eastAsia="仿宋_GB2312" w:cs="仿宋_GB2312"/>
                <w:i w:val="0"/>
                <w:iCs w:val="0"/>
                <w:caps w:val="0"/>
                <w:color w:val="auto"/>
                <w:spacing w:val="0"/>
                <w:sz w:val="21"/>
                <w:szCs w:val="21"/>
                <w:highlight w:val="none"/>
                <w:shd w:val="clear" w:color="auto" w:fill="auto"/>
              </w:rPr>
              <w:t>已在市级或区级房屋行政主管部门办理</w:t>
            </w:r>
            <w:r>
              <w:rPr>
                <w:rFonts w:hint="eastAsia" w:ascii="仿宋_GB2312" w:hAnsi="仿宋_GB2312" w:eastAsia="仿宋_GB2312" w:cs="仿宋_GB2312"/>
                <w:i w:val="0"/>
                <w:iCs w:val="0"/>
                <w:caps w:val="0"/>
                <w:color w:val="auto"/>
                <w:spacing w:val="0"/>
                <w:sz w:val="21"/>
                <w:szCs w:val="21"/>
                <w:highlight w:val="none"/>
                <w:shd w:val="clear" w:color="auto" w:fill="auto"/>
                <w:lang w:eastAsia="zh-CN"/>
              </w:rPr>
              <w:t>房屋鉴定相关</w:t>
            </w:r>
            <w:r>
              <w:rPr>
                <w:rFonts w:hint="eastAsia" w:ascii="仿宋_GB2312" w:hAnsi="仿宋_GB2312" w:eastAsia="仿宋_GB2312" w:cs="仿宋_GB2312"/>
                <w:i w:val="0"/>
                <w:iCs w:val="0"/>
                <w:caps w:val="0"/>
                <w:color w:val="auto"/>
                <w:spacing w:val="0"/>
                <w:sz w:val="21"/>
                <w:szCs w:val="21"/>
                <w:highlight w:val="none"/>
                <w:shd w:val="clear" w:color="auto" w:fill="auto"/>
              </w:rPr>
              <w:t>备案</w:t>
            </w:r>
            <w:r>
              <w:rPr>
                <w:rFonts w:hint="eastAsia" w:ascii="仿宋_GB2312" w:hAnsi="仿宋_GB2312" w:eastAsia="仿宋_GB2312" w:cs="仿宋_GB2312"/>
                <w:i w:val="0"/>
                <w:iCs w:val="0"/>
                <w:caps w:val="0"/>
                <w:color w:val="auto"/>
                <w:spacing w:val="0"/>
                <w:sz w:val="21"/>
                <w:szCs w:val="21"/>
                <w:highlight w:val="none"/>
                <w:shd w:val="clear" w:color="auto" w:fill="auto"/>
                <w:lang w:eastAsia="zh-CN"/>
              </w:rPr>
              <w:t>手续</w:t>
            </w:r>
            <w:r>
              <w:rPr>
                <w:rFonts w:hint="eastAsia" w:ascii="仿宋_GB2312" w:hAnsi="仿宋_GB2312" w:eastAsia="仿宋_GB2312" w:cs="仿宋_GB2312"/>
                <w:color w:val="auto"/>
                <w:sz w:val="21"/>
                <w:szCs w:val="21"/>
                <w:highlight w:val="none"/>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highlight w:val="none"/>
              </w:rPr>
              <w:t>1</w:t>
            </w:r>
            <w:r>
              <w:rPr>
                <w:rFonts w:hint="eastAsia" w:ascii="仿宋_GB2312" w:hAnsi="仿宋_GB2312" w:eastAsia="仿宋_GB2312" w:cs="仿宋_GB2312"/>
                <w:color w:val="auto"/>
                <w:highlight w:val="none"/>
                <w:lang w:val="en-US" w:eastAsia="zh-CN"/>
              </w:rPr>
              <w:t>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8"/>
              <w:spacing w:line="360" w:lineRule="auto"/>
              <w:rPr>
                <w:rFonts w:hint="eastAsia" w:ascii="仿宋_GB2312" w:hAnsi="仿宋_GB2312" w:eastAsia="仿宋_GB2312" w:cs="仿宋_GB2312"/>
                <w:color w:val="auto"/>
                <w:kern w:val="2"/>
                <w:sz w:val="21"/>
                <w:szCs w:val="21"/>
                <w:highlight w:val="none"/>
                <w:u w:val="none"/>
                <w:lang w:val="en-US" w:eastAsia="zh-CN" w:bidi="ar-SA"/>
              </w:rPr>
            </w:pPr>
            <w:r>
              <w:rPr>
                <w:rFonts w:hint="eastAsia" w:ascii="仿宋_GB2312" w:hAnsi="仿宋_GB2312" w:eastAsia="仿宋_GB2312" w:cs="仿宋_GB2312"/>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highlight w:val="none"/>
              </w:rPr>
              <w:t>1</w:t>
            </w:r>
            <w:r>
              <w:rPr>
                <w:rFonts w:hint="eastAsia" w:ascii="仿宋_GB2312" w:hAnsi="仿宋_GB2312" w:eastAsia="仿宋_GB2312" w:cs="仿宋_GB2312"/>
                <w:color w:val="auto"/>
                <w:highlight w:val="none"/>
                <w:lang w:val="en-US" w:eastAsia="zh-CN"/>
              </w:rPr>
              <w:t>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项目</w:t>
            </w:r>
            <w:r>
              <w:rPr>
                <w:rFonts w:hint="eastAsia" w:ascii="仿宋_GB2312" w:hAnsi="仿宋_GB2312" w:eastAsia="仿宋_GB2312" w:cs="仿宋_GB2312"/>
                <w:color w:val="auto"/>
                <w:highlight w:val="none"/>
              </w:rPr>
              <w:t>人员的专业配套要求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9"/>
              <w:spacing w:line="360" w:lineRule="auto"/>
              <w:ind w:firstLine="0" w:firstLineChars="0"/>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、投标</w:t>
            </w:r>
            <w:r>
              <w:rPr>
                <w:rFonts w:hint="eastAsia" w:ascii="仿宋_GB2312" w:hAnsi="仿宋_GB2312" w:eastAsia="仿宋_GB2312" w:cs="仿宋_GB2312"/>
                <w:color w:val="auto"/>
                <w:sz w:val="21"/>
                <w:szCs w:val="21"/>
                <w:highlight w:val="none"/>
                <w:lang w:eastAsia="zh-CN"/>
              </w:rPr>
              <w:t>人</w:t>
            </w:r>
            <w:r>
              <w:rPr>
                <w:rFonts w:hint="eastAsia" w:ascii="仿宋_GB2312" w:hAnsi="仿宋_GB2312" w:eastAsia="仿宋_GB2312" w:cs="仿宋_GB2312"/>
                <w:color w:val="auto"/>
                <w:sz w:val="21"/>
                <w:szCs w:val="21"/>
                <w:highlight w:val="none"/>
              </w:rPr>
              <w:t>委派的项目负责人</w:t>
            </w:r>
            <w:r>
              <w:rPr>
                <w:rFonts w:hint="eastAsia" w:ascii="仿宋_GB2312" w:hAnsi="仿宋_GB2312" w:eastAsia="仿宋_GB2312" w:cs="仿宋_GB2312"/>
                <w:color w:val="auto"/>
                <w:sz w:val="21"/>
                <w:szCs w:val="21"/>
                <w:highlight w:val="none"/>
                <w:lang w:eastAsia="zh-CN"/>
              </w:rPr>
              <w:t>为二级（或以上）注册</w:t>
            </w:r>
            <w:r>
              <w:rPr>
                <w:rFonts w:hint="eastAsia" w:ascii="仿宋_GB2312" w:hAnsi="仿宋_GB2312" w:eastAsia="仿宋_GB2312" w:cs="仿宋_GB2312"/>
                <w:i w:val="0"/>
                <w:iCs w:val="0"/>
                <w:caps w:val="0"/>
                <w:color w:val="auto"/>
                <w:spacing w:val="0"/>
                <w:sz w:val="21"/>
                <w:szCs w:val="21"/>
                <w:highlight w:val="none"/>
                <w:shd w:val="clear" w:color="auto" w:fill="auto"/>
                <w:lang w:eastAsia="zh-CN"/>
              </w:rPr>
              <w:t>结构工程师，或具有结构相关专业</w:t>
            </w:r>
            <w:r>
              <w:rPr>
                <w:rFonts w:hint="eastAsia" w:ascii="仿宋_GB2312" w:hAnsi="仿宋_GB2312" w:eastAsia="仿宋_GB2312" w:cs="仿宋_GB2312"/>
                <w:i w:val="0"/>
                <w:iCs w:val="0"/>
                <w:caps w:val="0"/>
                <w:color w:val="auto"/>
                <w:spacing w:val="0"/>
                <w:sz w:val="21"/>
                <w:szCs w:val="21"/>
                <w:highlight w:val="none"/>
                <w:shd w:val="clear" w:color="auto" w:fill="auto"/>
                <w:lang w:val="en-US" w:eastAsia="zh-CN"/>
              </w:rPr>
              <w:t>中级（或以上）</w:t>
            </w:r>
            <w:r>
              <w:rPr>
                <w:rFonts w:hint="eastAsia" w:ascii="仿宋_GB2312" w:hAnsi="仿宋_GB2312" w:eastAsia="仿宋_GB2312" w:cs="仿宋_GB2312"/>
                <w:i w:val="0"/>
                <w:iCs w:val="0"/>
                <w:caps w:val="0"/>
                <w:color w:val="auto"/>
                <w:spacing w:val="0"/>
                <w:sz w:val="21"/>
                <w:szCs w:val="21"/>
                <w:highlight w:val="none"/>
                <w:shd w:val="clear" w:color="auto" w:fill="auto"/>
                <w:lang w:eastAsia="zh-CN"/>
              </w:rPr>
              <w:t>工程师职称</w:t>
            </w:r>
            <w:r>
              <w:rPr>
                <w:rFonts w:hint="eastAsia" w:ascii="仿宋_GB2312" w:hAnsi="仿宋_GB2312" w:eastAsia="仿宋_GB2312" w:cs="仿宋_GB2312"/>
                <w:color w:val="auto"/>
                <w:sz w:val="21"/>
                <w:szCs w:val="21"/>
                <w:highlight w:val="none"/>
                <w:lang w:eastAsia="zh-CN"/>
              </w:rPr>
              <w:t>。</w:t>
            </w:r>
          </w:p>
          <w:p>
            <w:pPr>
              <w:pStyle w:val="19"/>
              <w:spacing w:line="360" w:lineRule="auto"/>
              <w:ind w:firstLine="0" w:firstLineChars="0"/>
              <w:rPr>
                <w:rFonts w:hint="eastAsia" w:ascii="仿宋_GB2312" w:hAnsi="仿宋_GB2312" w:eastAsia="仿宋_GB2312" w:cs="仿宋_GB2312"/>
                <w:color w:val="auto"/>
                <w:szCs w:val="21"/>
                <w:highlight w:val="none"/>
                <w:u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投标</w:t>
            </w:r>
            <w:r>
              <w:rPr>
                <w:rFonts w:hint="eastAsia" w:ascii="仿宋_GB2312" w:hAnsi="仿宋_GB2312" w:eastAsia="仿宋_GB2312" w:cs="仿宋_GB2312"/>
                <w:color w:val="auto"/>
                <w:sz w:val="21"/>
                <w:szCs w:val="21"/>
                <w:highlight w:val="none"/>
                <w:lang w:eastAsia="zh-CN"/>
              </w:rPr>
              <w:t>人</w:t>
            </w:r>
            <w:r>
              <w:rPr>
                <w:rFonts w:hint="eastAsia" w:ascii="仿宋_GB2312" w:hAnsi="仿宋_GB2312" w:eastAsia="仿宋_GB2312" w:cs="仿宋_GB2312"/>
                <w:color w:val="auto"/>
                <w:sz w:val="21"/>
                <w:szCs w:val="21"/>
                <w:highlight w:val="none"/>
              </w:rPr>
              <w:t>委派的</w:t>
            </w:r>
            <w:r>
              <w:rPr>
                <w:rFonts w:hint="eastAsia" w:ascii="仿宋_GB2312" w:hAnsi="仿宋_GB2312" w:eastAsia="仿宋_GB2312" w:cs="仿宋_GB2312"/>
                <w:color w:val="auto"/>
                <w:sz w:val="21"/>
                <w:szCs w:val="21"/>
                <w:highlight w:val="none"/>
                <w:lang w:eastAsia="zh-CN"/>
              </w:rPr>
              <w:t>技术</w:t>
            </w:r>
            <w:r>
              <w:rPr>
                <w:rFonts w:hint="eastAsia" w:ascii="仿宋_GB2312" w:hAnsi="仿宋_GB2312" w:eastAsia="仿宋_GB2312" w:cs="仿宋_GB2312"/>
                <w:color w:val="auto"/>
                <w:sz w:val="21"/>
                <w:szCs w:val="21"/>
                <w:highlight w:val="none"/>
              </w:rPr>
              <w:t>负责人</w:t>
            </w:r>
            <w:r>
              <w:rPr>
                <w:rFonts w:hint="eastAsia" w:ascii="仿宋_GB2312" w:hAnsi="仿宋_GB2312" w:eastAsia="仿宋_GB2312" w:cs="仿宋_GB2312"/>
                <w:color w:val="auto"/>
                <w:sz w:val="21"/>
                <w:szCs w:val="21"/>
                <w:highlight w:val="none"/>
                <w:lang w:eastAsia="zh-CN"/>
              </w:rPr>
              <w:t>具有工程师中级或以上职称。项目负责人和技术负责人不能为同一人。</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highlight w:val="none"/>
              </w:rPr>
              <w:t>1</w:t>
            </w:r>
            <w:r>
              <w:rPr>
                <w:rFonts w:hint="eastAsia" w:ascii="仿宋_GB2312" w:hAnsi="仿宋_GB2312" w:eastAsia="仿宋_GB2312" w:cs="仿宋_GB2312"/>
                <w:color w:val="auto"/>
                <w:highlight w:val="none"/>
                <w:lang w:val="en-US" w:eastAsia="zh-CN"/>
              </w:rPr>
              <w:t>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line="360" w:lineRule="auto"/>
              <w:ind w:left="-59" w:leftChars="-28" w:right="-59" w:rightChars="-28"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仿宋_GB2312" w:hAnsi="仿宋_GB2312" w:eastAsia="仿宋_GB2312" w:cs="仿宋_GB2312"/>
                <w:color w:val="auto"/>
                <w:kern w:val="2"/>
                <w:sz w:val="21"/>
                <w:szCs w:val="21"/>
                <w:highlight w:val="none"/>
                <w:u w:val="none"/>
                <w:lang w:val="en-US" w:eastAsia="zh-CN" w:bidi="ar-SA"/>
              </w:rPr>
            </w:pPr>
            <w:r>
              <w:rPr>
                <w:rFonts w:hint="eastAsia" w:ascii="仿宋_GB2312" w:hAnsi="仿宋_GB2312" w:eastAsia="仿宋_GB2312" w:cs="仿宋_GB2312"/>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highlight w:val="none"/>
              </w:rPr>
              <w:t>1</w:t>
            </w:r>
            <w:r>
              <w:rPr>
                <w:rFonts w:hint="eastAsia" w:ascii="仿宋_GB2312" w:hAnsi="仿宋_GB2312" w:eastAsia="仿宋_GB2312" w:cs="仿宋_GB2312"/>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仿宋_GB2312" w:hAnsi="仿宋_GB2312" w:eastAsia="仿宋_GB2312" w:cs="仿宋_GB2312"/>
                <w:color w:val="auto"/>
                <w:kern w:val="2"/>
                <w:sz w:val="21"/>
                <w:szCs w:val="21"/>
                <w:highlight w:val="none"/>
                <w:u w:val="none"/>
                <w:lang w:val="en-US" w:eastAsia="zh-CN" w:bidi="ar-SA"/>
              </w:rPr>
            </w:pPr>
            <w:r>
              <w:rPr>
                <w:rFonts w:hint="eastAsia" w:ascii="仿宋_GB2312" w:hAnsi="仿宋_GB2312" w:eastAsia="仿宋_GB2312" w:cs="仿宋_GB2312"/>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highlight w:val="none"/>
              </w:rPr>
              <w:t>1</w:t>
            </w:r>
            <w:r>
              <w:rPr>
                <w:rFonts w:hint="eastAsia" w:ascii="仿宋_GB2312" w:hAnsi="仿宋_GB2312" w:eastAsia="仿宋_GB2312" w:cs="仿宋_GB2312"/>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59" w:leftChars="-28" w:right="-44" w:rightChars="-21"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招标控制价及</w:t>
            </w:r>
            <w:r>
              <w:rPr>
                <w:rFonts w:hint="eastAsia" w:ascii="仿宋_GB2312" w:hAnsi="仿宋_GB2312" w:eastAsia="仿宋_GB2312" w:cs="仿宋_GB2312"/>
                <w:color w:val="auto"/>
                <w:highlight w:val="none"/>
                <w:lang w:eastAsia="zh-CN"/>
              </w:rPr>
              <w:t>报价</w:t>
            </w:r>
            <w:r>
              <w:rPr>
                <w:rFonts w:hint="eastAsia" w:ascii="仿宋_GB2312" w:hAnsi="仿宋_GB2312" w:eastAsia="仿宋_GB2312" w:cs="仿宋_GB2312"/>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8"/>
              <w:widowControl w:val="0"/>
              <w:spacing w:line="360" w:lineRule="auto"/>
              <w:ind w:firstLine="0" w:firstLineChars="0"/>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val="0"/>
                <w:bCs w:val="0"/>
                <w:color w:val="auto"/>
                <w:sz w:val="21"/>
                <w:szCs w:val="21"/>
                <w:highlight w:val="none"/>
                <w:lang w:val="en-US" w:eastAsia="zh-CN"/>
              </w:rPr>
              <w:t>危房鉴定费收费单价限价为6.56元/㎡，鉴定面积暂定为</w:t>
            </w:r>
            <w:r>
              <w:rPr>
                <w:rFonts w:hint="eastAsia" w:ascii="仿宋_GB2312" w:hAnsi="仿宋_GB2312" w:eastAsia="仿宋_GB2312" w:cs="仿宋_GB2312"/>
                <w:color w:val="auto"/>
                <w:sz w:val="21"/>
                <w:szCs w:val="21"/>
                <w:highlight w:val="none"/>
                <w:u w:val="none"/>
                <w:lang w:val="en-US" w:eastAsia="zh-CN"/>
              </w:rPr>
              <w:t>42682.9</w:t>
            </w:r>
            <w:r>
              <w:rPr>
                <w:rFonts w:hint="eastAsia" w:ascii="仿宋_GB2312" w:hAnsi="仿宋_GB2312" w:eastAsia="仿宋_GB2312" w:cs="仿宋_GB2312"/>
                <w:i w:val="0"/>
                <w:iCs w:val="0"/>
                <w:caps w:val="0"/>
                <w:color w:val="auto"/>
                <w:spacing w:val="0"/>
                <w:sz w:val="21"/>
                <w:szCs w:val="21"/>
                <w:highlight w:val="none"/>
                <w:u w:val="none"/>
                <w:shd w:val="clear"/>
                <w:lang w:val="en-US" w:eastAsia="zh-CN"/>
              </w:rPr>
              <w:t>㎡</w:t>
            </w:r>
            <w:r>
              <w:rPr>
                <w:rFonts w:hint="eastAsia" w:ascii="仿宋_GB2312" w:hAnsi="仿宋_GB2312" w:eastAsia="仿宋_GB2312" w:cs="仿宋_GB2312"/>
                <w:b w:val="0"/>
                <w:bCs w:val="0"/>
                <w:color w:val="auto"/>
                <w:sz w:val="21"/>
                <w:szCs w:val="21"/>
                <w:highlight w:val="none"/>
                <w:lang w:val="en-US" w:eastAsia="zh-CN"/>
              </w:rPr>
              <w:t>，</w:t>
            </w:r>
            <w:r>
              <w:rPr>
                <w:rFonts w:hint="eastAsia" w:ascii="仿宋_GB2312" w:hAnsi="仿宋_GB2312" w:eastAsia="仿宋_GB2312" w:cs="仿宋_GB2312"/>
                <w:color w:val="auto"/>
                <w:sz w:val="21"/>
                <w:szCs w:val="21"/>
                <w:highlight w:val="none"/>
              </w:rPr>
              <w:t>招标</w:t>
            </w:r>
            <w:r>
              <w:rPr>
                <w:rFonts w:hint="eastAsia" w:ascii="仿宋_GB2312" w:hAnsi="仿宋_GB2312" w:eastAsia="仿宋_GB2312" w:cs="仿宋_GB2312"/>
                <w:color w:val="auto"/>
                <w:sz w:val="21"/>
                <w:szCs w:val="21"/>
                <w:highlight w:val="none"/>
                <w:lang w:val="en-US" w:eastAsia="zh-CN"/>
              </w:rPr>
              <w:t>总价</w:t>
            </w:r>
            <w:r>
              <w:rPr>
                <w:rFonts w:hint="eastAsia" w:ascii="仿宋_GB2312" w:hAnsi="仿宋_GB2312" w:eastAsia="仿宋_GB2312" w:cs="仿宋_GB2312"/>
                <w:color w:val="auto"/>
                <w:sz w:val="21"/>
                <w:szCs w:val="21"/>
                <w:highlight w:val="none"/>
              </w:rPr>
              <w:t>控制价为</w:t>
            </w:r>
            <w:r>
              <w:rPr>
                <w:rFonts w:hint="eastAsia" w:ascii="仿宋_GB2312" w:hAnsi="仿宋_GB2312" w:eastAsia="仿宋_GB2312" w:cs="仿宋_GB2312"/>
                <w:color w:val="auto"/>
                <w:sz w:val="21"/>
                <w:szCs w:val="21"/>
                <w:highlight w:val="none"/>
                <w:lang w:val="en-US" w:eastAsia="zh-CN"/>
              </w:rPr>
              <w:t>¥</w:t>
            </w:r>
            <w:r>
              <w:rPr>
                <w:rFonts w:hint="eastAsia" w:ascii="仿宋_GB2312" w:hAnsi="仿宋_GB2312" w:eastAsia="仿宋_GB2312" w:cs="仿宋_GB2312"/>
                <w:color w:val="auto"/>
                <w:sz w:val="21"/>
                <w:szCs w:val="21"/>
                <w:highlight w:val="none"/>
                <w:u w:val="none"/>
                <w:lang w:val="en-US" w:eastAsia="zh-CN"/>
              </w:rPr>
              <w:t>280000</w:t>
            </w:r>
            <w:r>
              <w:rPr>
                <w:rFonts w:hint="eastAsia" w:ascii="仿宋_GB2312" w:hAnsi="仿宋_GB2312" w:eastAsia="仿宋_GB2312" w:cs="仿宋_GB2312"/>
                <w:color w:val="auto"/>
                <w:sz w:val="21"/>
                <w:szCs w:val="21"/>
                <w:highlight w:val="none"/>
              </w:rPr>
              <w:t>元</w:t>
            </w:r>
            <w:r>
              <w:rPr>
                <w:rFonts w:hint="eastAsia" w:ascii="仿宋_GB2312" w:hAnsi="仿宋_GB2312" w:eastAsia="仿宋_GB2312" w:cs="仿宋_GB2312"/>
                <w:color w:val="auto"/>
                <w:sz w:val="21"/>
                <w:szCs w:val="21"/>
                <w:highlight w:val="none"/>
                <w:lang w:eastAsia="zh-CN"/>
              </w:rPr>
              <w:t>。</w:t>
            </w:r>
          </w:p>
          <w:p>
            <w:pPr>
              <w:pStyle w:val="8"/>
              <w:widowControl w:val="0"/>
              <w:spacing w:line="360" w:lineRule="auto"/>
              <w:ind w:firstLine="0" w:firstLineChars="0"/>
              <w:rPr>
                <w:rFonts w:hint="eastAsia" w:ascii="仿宋_GB2312" w:hAnsi="仿宋_GB2312" w:eastAsia="仿宋_GB2312" w:cs="仿宋_GB2312"/>
                <w:color w:val="auto"/>
                <w:kern w:val="2"/>
                <w:sz w:val="21"/>
                <w:szCs w:val="21"/>
                <w:highlight w:val="none"/>
                <w:u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投标单位自行报价，单价报价不能超过</w:t>
            </w:r>
            <w:r>
              <w:rPr>
                <w:rFonts w:hint="eastAsia" w:ascii="仿宋_GB2312" w:hAnsi="仿宋_GB2312" w:eastAsia="仿宋_GB2312" w:cs="仿宋_GB2312"/>
                <w:b w:val="0"/>
                <w:bCs w:val="0"/>
                <w:color w:val="auto"/>
                <w:sz w:val="21"/>
                <w:szCs w:val="21"/>
                <w:highlight w:val="none"/>
                <w:lang w:val="en-US" w:eastAsia="zh-CN"/>
              </w:rPr>
              <w:t>收费单价限价，</w:t>
            </w:r>
            <w:r>
              <w:rPr>
                <w:rFonts w:hint="eastAsia" w:ascii="仿宋_GB2312" w:hAnsi="仿宋_GB2312" w:eastAsia="仿宋_GB2312" w:cs="仿宋_GB2312"/>
                <w:color w:val="auto"/>
                <w:kern w:val="2"/>
                <w:sz w:val="21"/>
                <w:szCs w:val="21"/>
                <w:highlight w:val="none"/>
                <w:lang w:val="en-US" w:eastAsia="zh-CN" w:bidi="ar-SA"/>
              </w:rPr>
              <w:t>投标总报价不能超过招标总价控制价，否则按废标处理。</w:t>
            </w:r>
            <w:r>
              <w:rPr>
                <w:rFonts w:hint="eastAsia" w:ascii="仿宋_GB2312" w:hAnsi="仿宋_GB2312" w:eastAsia="仿宋_GB2312" w:cs="仿宋_GB2312"/>
                <w:color w:val="auto"/>
                <w:sz w:val="21"/>
                <w:szCs w:val="21"/>
                <w:highlight w:val="none"/>
                <w:lang w:eastAsia="zh-CN"/>
              </w:rPr>
              <w:t>保留</w:t>
            </w:r>
            <w:r>
              <w:rPr>
                <w:rFonts w:hint="eastAsia" w:ascii="仿宋_GB2312" w:hAnsi="仿宋_GB2312" w:eastAsia="仿宋_GB2312" w:cs="仿宋_GB2312"/>
                <w:color w:val="auto"/>
                <w:sz w:val="21"/>
                <w:szCs w:val="21"/>
                <w:highlight w:val="none"/>
              </w:rPr>
              <w:t>小数点后</w:t>
            </w:r>
            <w:r>
              <w:rPr>
                <w:rFonts w:hint="eastAsia" w:ascii="仿宋_GB2312" w:hAnsi="仿宋_GB2312" w:eastAsia="仿宋_GB2312" w:cs="仿宋_GB2312"/>
                <w:color w:val="auto"/>
                <w:sz w:val="21"/>
                <w:szCs w:val="21"/>
                <w:highlight w:val="none"/>
                <w:lang w:eastAsia="zh-CN"/>
              </w:rPr>
              <w:t>两位</w:t>
            </w:r>
            <w:r>
              <w:rPr>
                <w:rFonts w:hint="eastAsia" w:ascii="仿宋_GB2312" w:hAnsi="仿宋_GB2312" w:eastAsia="仿宋_GB2312" w:cs="仿宋_GB2312"/>
                <w:color w:val="auto"/>
                <w:sz w:val="21"/>
                <w:szCs w:val="21"/>
                <w:highlight w:val="none"/>
              </w:rPr>
              <w:t>小数</w:t>
            </w:r>
            <w:r>
              <w:rPr>
                <w:rFonts w:hint="eastAsia" w:ascii="仿宋_GB2312" w:hAnsi="仿宋_GB2312" w:eastAsia="仿宋_GB2312" w:cs="仿宋_GB2312"/>
                <w:color w:val="auto"/>
                <w:kern w:val="2"/>
                <w:sz w:val="21"/>
                <w:szCs w:val="21"/>
                <w:highlight w:val="none"/>
                <w:lang w:val="en-US" w:eastAsia="zh-CN" w:bidi="ar-SA"/>
              </w:rPr>
              <w:t>，第三位小数四舍五入。</w:t>
            </w:r>
            <w:r>
              <w:rPr>
                <w:rFonts w:hint="eastAsia" w:ascii="仿宋_GB2312" w:hAnsi="仿宋_GB2312" w:eastAsia="仿宋_GB2312" w:cs="仿宋_GB2312"/>
                <w:color w:val="auto"/>
                <w:sz w:val="21"/>
                <w:szCs w:val="21"/>
                <w:highlight w:val="none"/>
              </w:rPr>
              <w:t>最终鉴定费用结算价以实际鉴定面积和</w:t>
            </w:r>
            <w:r>
              <w:rPr>
                <w:rFonts w:hint="eastAsia" w:ascii="仿宋_GB2312" w:hAnsi="仿宋_GB2312" w:eastAsia="仿宋_GB2312" w:cs="仿宋_GB2312"/>
                <w:color w:val="auto"/>
                <w:sz w:val="21"/>
                <w:szCs w:val="21"/>
                <w:highlight w:val="none"/>
                <w:lang w:eastAsia="zh-CN"/>
              </w:rPr>
              <w:t>中标</w:t>
            </w:r>
            <w:r>
              <w:rPr>
                <w:rFonts w:hint="eastAsia" w:ascii="仿宋_GB2312" w:hAnsi="仿宋_GB2312" w:eastAsia="仿宋_GB2312" w:cs="仿宋_GB2312"/>
                <w:color w:val="auto"/>
                <w:sz w:val="21"/>
                <w:szCs w:val="21"/>
                <w:highlight w:val="none"/>
              </w:rPr>
              <w:t>单价计算得出</w:t>
            </w:r>
            <w:r>
              <w:rPr>
                <w:rFonts w:hint="eastAsia" w:ascii="仿宋_GB2312" w:hAnsi="仿宋_GB2312" w:eastAsia="仿宋_GB2312" w:cs="仿宋_GB2312"/>
                <w:color w:val="auto"/>
                <w:sz w:val="21"/>
                <w:szCs w:val="21"/>
                <w:highlight w:val="none"/>
                <w:lang w:eastAsia="zh-CN"/>
              </w:rPr>
              <w:t>。</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highlight w:val="none"/>
              </w:rPr>
              <w:t>1</w:t>
            </w:r>
            <w:r>
              <w:rPr>
                <w:rFonts w:hint="eastAsia" w:ascii="仿宋_GB2312" w:hAnsi="仿宋_GB2312" w:eastAsia="仿宋_GB2312" w:cs="仿宋_GB2312"/>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仿宋_GB2312" w:hAnsi="仿宋_GB2312" w:eastAsia="仿宋_GB2312" w:cs="仿宋_GB2312"/>
                <w:color w:val="auto"/>
                <w:kern w:val="2"/>
                <w:sz w:val="21"/>
                <w:szCs w:val="21"/>
                <w:highlight w:val="none"/>
                <w:u w:val="none"/>
                <w:lang w:val="en-US" w:eastAsia="zh-CN" w:bidi="ar-SA"/>
              </w:rPr>
            </w:pPr>
            <w:r>
              <w:rPr>
                <w:rFonts w:hint="eastAsia" w:ascii="仿宋_GB2312" w:hAnsi="仿宋_GB2312" w:eastAsia="仿宋_GB2312" w:cs="仿宋_GB2312"/>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highlight w:val="none"/>
                <w:lang w:val="en-US" w:eastAsia="zh-CN"/>
              </w:rPr>
              <w:t>17</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46" w:leftChars="-22" w:right="-59" w:rightChars="-28"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仿宋_GB2312" w:hAnsi="仿宋_GB2312" w:eastAsia="仿宋_GB2312" w:cs="仿宋_GB2312"/>
                <w:color w:val="auto"/>
                <w:kern w:val="2"/>
                <w:sz w:val="21"/>
                <w:szCs w:val="21"/>
                <w:highlight w:val="none"/>
                <w:u w:val="none"/>
                <w:lang w:val="en-US" w:eastAsia="zh-CN" w:bidi="ar-SA"/>
              </w:rPr>
            </w:pPr>
            <w:r>
              <w:rPr>
                <w:rFonts w:hint="eastAsia" w:ascii="仿宋_GB2312" w:hAnsi="仿宋_GB2312" w:eastAsia="仿宋_GB2312" w:cs="仿宋_GB2312"/>
                <w:color w:val="auto"/>
                <w:kern w:val="2"/>
                <w:sz w:val="21"/>
                <w:szCs w:val="21"/>
                <w:highlight w:val="none"/>
                <w:u w:val="none"/>
                <w:lang w:val="en-US" w:eastAsia="zh-CN" w:bidi="ar-SA"/>
              </w:rPr>
              <w:t>投标文件：1份正本（含电子文件一套），4份副本。所有文件均密封盖章。</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highlight w:val="none"/>
                <w:lang w:val="en-US" w:eastAsia="zh-CN"/>
              </w:rPr>
              <w:t>18</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19" w:leftChars="-9" w:right="-17" w:rightChars="-8"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投标文件</w:t>
            </w:r>
          </w:p>
          <w:p>
            <w:pPr>
              <w:pStyle w:val="13"/>
              <w:widowControl/>
              <w:spacing w:before="100" w:beforeAutospacing="0" w:after="0" w:line="360" w:lineRule="auto"/>
              <w:ind w:left="-19" w:leftChars="-9" w:right="-17" w:rightChars="-8"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提交地点及</w:t>
            </w:r>
          </w:p>
          <w:p>
            <w:pPr>
              <w:pStyle w:val="13"/>
              <w:widowControl/>
              <w:spacing w:before="100" w:beforeAutospacing="0" w:after="0" w:line="360" w:lineRule="auto"/>
              <w:ind w:left="-19" w:leftChars="-9" w:right="-17" w:rightChars="-8"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仿宋_GB2312" w:hAnsi="仿宋_GB2312" w:eastAsia="仿宋_GB2312" w:cs="仿宋_GB2312"/>
                <w:color w:val="auto"/>
                <w:kern w:val="2"/>
                <w:sz w:val="21"/>
                <w:szCs w:val="21"/>
                <w:highlight w:val="none"/>
                <w:u w:val="none"/>
                <w:lang w:val="en-US" w:eastAsia="zh-CN" w:bidi="ar-SA"/>
              </w:rPr>
            </w:pPr>
            <w:r>
              <w:rPr>
                <w:rFonts w:hint="eastAsia" w:ascii="仿宋_GB2312" w:hAnsi="仿宋_GB2312" w:eastAsia="仿宋_GB2312" w:cs="仿宋_GB2312"/>
                <w:color w:val="auto"/>
                <w:kern w:val="2"/>
                <w:sz w:val="21"/>
                <w:szCs w:val="21"/>
                <w:highlight w:val="none"/>
                <w:u w:val="none"/>
                <w:lang w:val="en-US" w:eastAsia="zh-CN" w:bidi="ar-SA"/>
              </w:rPr>
              <w:t>收件人</w:t>
            </w:r>
            <w:r>
              <w:rPr>
                <w:rFonts w:hint="eastAsia" w:ascii="仿宋_GB2312" w:hAnsi="仿宋_GB2312" w:eastAsia="仿宋_GB2312" w:cs="仿宋_GB2312"/>
                <w:color w:val="auto"/>
                <w:kern w:val="2"/>
                <w:sz w:val="21"/>
                <w:szCs w:val="21"/>
                <w:highlight w:val="none"/>
                <w:u w:val="none"/>
                <w:lang w:val="en-US" w:eastAsia="zh-CN"/>
              </w:rPr>
              <w:t>：陈小姐，电话：020-66810073.</w:t>
            </w:r>
          </w:p>
          <w:p>
            <w:pPr>
              <w:spacing w:line="360" w:lineRule="auto"/>
              <w:rPr>
                <w:rFonts w:hint="eastAsia" w:ascii="仿宋_GB2312" w:hAnsi="仿宋_GB2312" w:eastAsia="仿宋_GB2312" w:cs="仿宋_GB2312"/>
                <w:color w:val="auto"/>
                <w:kern w:val="2"/>
                <w:sz w:val="21"/>
                <w:szCs w:val="21"/>
                <w:highlight w:val="none"/>
                <w:u w:val="none"/>
                <w:lang w:eastAsia="zh-CN"/>
              </w:rPr>
            </w:pPr>
            <w:r>
              <w:rPr>
                <w:rFonts w:hint="eastAsia" w:ascii="仿宋_GB2312" w:hAnsi="仿宋_GB2312" w:eastAsia="仿宋_GB2312" w:cs="仿宋_GB2312"/>
                <w:color w:val="auto"/>
                <w:kern w:val="2"/>
                <w:sz w:val="21"/>
                <w:szCs w:val="21"/>
                <w:highlight w:val="none"/>
                <w:u w:val="none"/>
                <w:lang w:val="en-US" w:eastAsia="zh-CN" w:bidi="ar-SA"/>
              </w:rPr>
              <w:t>提交地点：</w:t>
            </w:r>
            <w:r>
              <w:rPr>
                <w:rFonts w:hint="eastAsia" w:ascii="仿宋_GB2312" w:hAnsi="仿宋_GB2312" w:eastAsia="仿宋_GB2312" w:cs="仿宋_GB2312"/>
                <w:b w:val="0"/>
                <w:bCs w:val="0"/>
                <w:color w:val="auto"/>
                <w:sz w:val="21"/>
                <w:szCs w:val="21"/>
                <w:highlight w:val="none"/>
                <w:u w:val="none"/>
                <w:lang w:val="en-US" w:eastAsia="zh-CN"/>
              </w:rPr>
              <w:t>广州市</w:t>
            </w:r>
            <w:r>
              <w:rPr>
                <w:rFonts w:hint="eastAsia" w:ascii="仿宋_GB2312" w:hAnsi="仿宋_GB2312" w:eastAsia="仿宋_GB2312" w:cs="仿宋_GB2312"/>
                <w:color w:val="auto"/>
                <w:sz w:val="21"/>
                <w:szCs w:val="21"/>
                <w:highlight w:val="none"/>
                <w:u w:val="none"/>
              </w:rPr>
              <w:t>南沙区</w:t>
            </w:r>
            <w:r>
              <w:rPr>
                <w:rFonts w:hint="eastAsia" w:ascii="仿宋_GB2312" w:hAnsi="仿宋_GB2312" w:eastAsia="仿宋_GB2312" w:cs="仿宋_GB2312"/>
                <w:color w:val="auto"/>
                <w:kern w:val="2"/>
                <w:sz w:val="21"/>
                <w:szCs w:val="21"/>
                <w:highlight w:val="none"/>
                <w:u w:val="none"/>
              </w:rPr>
              <w:t>海滨路171号南沙金融大厦11楼</w:t>
            </w:r>
            <w:r>
              <w:rPr>
                <w:rFonts w:hint="eastAsia" w:ascii="仿宋_GB2312" w:hAnsi="仿宋_GB2312" w:eastAsia="仿宋_GB2312" w:cs="仿宋_GB2312"/>
                <w:color w:val="auto"/>
                <w:kern w:val="2"/>
                <w:sz w:val="21"/>
                <w:szCs w:val="21"/>
                <w:highlight w:val="none"/>
                <w:u w:val="none"/>
                <w:lang w:val="en-US" w:eastAsia="zh-CN"/>
              </w:rPr>
              <w:t>风控</w:t>
            </w:r>
            <w:r>
              <w:rPr>
                <w:rFonts w:hint="eastAsia" w:ascii="仿宋_GB2312" w:hAnsi="仿宋_GB2312" w:eastAsia="仿宋_GB2312" w:cs="仿宋_GB2312"/>
                <w:color w:val="auto"/>
                <w:kern w:val="2"/>
                <w:sz w:val="21"/>
                <w:szCs w:val="21"/>
                <w:highlight w:val="none"/>
                <w:u w:val="none"/>
              </w:rPr>
              <w:t>合规部办公室</w:t>
            </w:r>
            <w:r>
              <w:rPr>
                <w:rFonts w:hint="eastAsia" w:ascii="仿宋_GB2312" w:hAnsi="仿宋_GB2312" w:eastAsia="仿宋_GB2312" w:cs="仿宋_GB2312"/>
                <w:color w:val="auto"/>
                <w:kern w:val="2"/>
                <w:sz w:val="21"/>
                <w:szCs w:val="21"/>
                <w:highlight w:val="none"/>
                <w:u w:val="none"/>
                <w:lang w:eastAsia="zh-CN"/>
              </w:rPr>
              <w:t>。</w:t>
            </w:r>
          </w:p>
          <w:p>
            <w:pPr>
              <w:spacing w:line="360" w:lineRule="auto"/>
              <w:rPr>
                <w:rFonts w:hint="eastAsia" w:ascii="仿宋_GB2312" w:hAnsi="仿宋_GB2312" w:eastAsia="仿宋_GB2312" w:cs="仿宋_GB2312"/>
                <w:color w:val="auto"/>
                <w:kern w:val="2"/>
                <w:sz w:val="21"/>
                <w:szCs w:val="21"/>
                <w:highlight w:val="none"/>
                <w:u w:val="none"/>
                <w:lang w:val="en-US" w:eastAsia="zh-CN" w:bidi="ar-SA"/>
              </w:rPr>
            </w:pPr>
            <w:r>
              <w:rPr>
                <w:rFonts w:hint="eastAsia" w:ascii="仿宋_GB2312" w:hAnsi="仿宋_GB2312" w:eastAsia="仿宋_GB2312" w:cs="仿宋_GB2312"/>
                <w:color w:val="auto"/>
                <w:kern w:val="2"/>
                <w:sz w:val="21"/>
                <w:szCs w:val="21"/>
                <w:highlight w:val="none"/>
                <w:u w:val="none"/>
                <w:lang w:val="en-US" w:eastAsia="zh-CN" w:bidi="ar-SA"/>
              </w:rPr>
              <w:t>投标时间：</w:t>
            </w:r>
            <w:r>
              <w:rPr>
                <w:rFonts w:hint="eastAsia" w:ascii="仿宋_GB2312" w:hAnsi="仿宋_GB2312" w:eastAsia="仿宋_GB2312" w:cs="仿宋_GB2312"/>
                <w:color w:val="auto"/>
                <w:sz w:val="21"/>
                <w:szCs w:val="21"/>
                <w:highlight w:val="none"/>
                <w:u w:val="none"/>
              </w:rPr>
              <w:t>202</w:t>
            </w:r>
            <w:r>
              <w:rPr>
                <w:rFonts w:hint="eastAsia" w:ascii="仿宋_GB2312" w:hAnsi="仿宋_GB2312" w:eastAsia="仿宋_GB2312" w:cs="仿宋_GB2312"/>
                <w:color w:val="auto"/>
                <w:sz w:val="21"/>
                <w:szCs w:val="21"/>
                <w:highlight w:val="none"/>
                <w:u w:val="none"/>
                <w:lang w:val="en-US" w:eastAsia="zh-CN"/>
              </w:rPr>
              <w:t>4</w:t>
            </w:r>
            <w:r>
              <w:rPr>
                <w:rFonts w:hint="eastAsia" w:ascii="仿宋_GB2312" w:hAnsi="仿宋_GB2312" w:eastAsia="仿宋_GB2312" w:cs="仿宋_GB2312"/>
                <w:color w:val="auto"/>
                <w:sz w:val="21"/>
                <w:szCs w:val="21"/>
                <w:highlight w:val="none"/>
                <w:u w:val="none"/>
              </w:rPr>
              <w:t>年</w:t>
            </w:r>
            <w:r>
              <w:rPr>
                <w:rFonts w:hint="eastAsia" w:ascii="仿宋_GB2312" w:hAnsi="仿宋_GB2312" w:eastAsia="仿宋_GB2312" w:cs="仿宋_GB2312"/>
                <w:color w:val="auto"/>
                <w:sz w:val="21"/>
                <w:szCs w:val="21"/>
                <w:highlight w:val="none"/>
                <w:u w:val="none"/>
                <w:lang w:val="en-US" w:eastAsia="zh-CN"/>
              </w:rPr>
              <w:t xml:space="preserve">2月28 </w:t>
            </w:r>
            <w:r>
              <w:rPr>
                <w:rFonts w:hint="eastAsia" w:ascii="仿宋_GB2312" w:hAnsi="仿宋_GB2312" w:eastAsia="仿宋_GB2312" w:cs="仿宋_GB2312"/>
                <w:color w:val="auto"/>
                <w:sz w:val="21"/>
                <w:szCs w:val="21"/>
                <w:highlight w:val="none"/>
                <w:u w:val="none"/>
              </w:rPr>
              <w:t>日</w:t>
            </w:r>
            <w:r>
              <w:rPr>
                <w:rFonts w:hint="eastAsia" w:ascii="仿宋_GB2312" w:hAnsi="仿宋_GB2312" w:eastAsia="仿宋_GB2312" w:cs="仿宋_GB2312"/>
                <w:color w:val="auto"/>
                <w:sz w:val="21"/>
                <w:szCs w:val="21"/>
                <w:highlight w:val="none"/>
                <w:u w:val="none"/>
                <w:lang w:eastAsia="zh-CN"/>
              </w:rPr>
              <w:t>（星期</w:t>
            </w:r>
            <w:r>
              <w:rPr>
                <w:rFonts w:hint="eastAsia" w:ascii="仿宋_GB2312" w:hAnsi="仿宋_GB2312" w:eastAsia="仿宋_GB2312" w:cs="仿宋_GB2312"/>
                <w:color w:val="auto"/>
                <w:sz w:val="21"/>
                <w:szCs w:val="21"/>
                <w:highlight w:val="none"/>
                <w:u w:val="none"/>
                <w:lang w:val="en-US" w:eastAsia="zh-CN"/>
              </w:rPr>
              <w:t>三</w:t>
            </w:r>
            <w:r>
              <w:rPr>
                <w:rFonts w:hint="eastAsia" w:ascii="仿宋_GB2312" w:hAnsi="仿宋_GB2312" w:eastAsia="仿宋_GB2312" w:cs="仿宋_GB2312"/>
                <w:color w:val="auto"/>
                <w:sz w:val="21"/>
                <w:szCs w:val="21"/>
                <w:highlight w:val="none"/>
                <w:u w:val="none"/>
                <w:lang w:eastAsia="zh-CN"/>
              </w:rPr>
              <w:t>）</w:t>
            </w:r>
            <w:r>
              <w:rPr>
                <w:rFonts w:hint="eastAsia" w:ascii="仿宋_GB2312" w:hAnsi="仿宋_GB2312" w:eastAsia="仿宋_GB2312" w:cs="仿宋_GB2312"/>
                <w:color w:val="auto"/>
                <w:sz w:val="21"/>
                <w:szCs w:val="21"/>
                <w:highlight w:val="none"/>
                <w:u w:val="none"/>
                <w:lang w:val="en-US" w:eastAsia="zh-CN"/>
              </w:rPr>
              <w:t>10</w:t>
            </w:r>
            <w:r>
              <w:rPr>
                <w:rFonts w:hint="eastAsia" w:ascii="仿宋_GB2312" w:hAnsi="仿宋_GB2312" w:eastAsia="仿宋_GB2312" w:cs="仿宋_GB2312"/>
                <w:color w:val="auto"/>
                <w:sz w:val="21"/>
                <w:szCs w:val="21"/>
                <w:highlight w:val="none"/>
                <w:u w:val="none"/>
              </w:rPr>
              <w:t>时</w:t>
            </w:r>
            <w:r>
              <w:rPr>
                <w:rFonts w:hint="eastAsia" w:ascii="仿宋_GB2312" w:hAnsi="仿宋_GB2312" w:eastAsia="仿宋_GB2312" w:cs="仿宋_GB2312"/>
                <w:color w:val="auto"/>
                <w:sz w:val="21"/>
                <w:szCs w:val="21"/>
                <w:highlight w:val="none"/>
                <w:u w:val="none"/>
                <w:lang w:val="en-US" w:eastAsia="zh-CN"/>
              </w:rPr>
              <w:t>00</w:t>
            </w:r>
            <w:r>
              <w:rPr>
                <w:rFonts w:hint="eastAsia" w:ascii="仿宋_GB2312" w:hAnsi="仿宋_GB2312" w:eastAsia="仿宋_GB2312" w:cs="仿宋_GB2312"/>
                <w:color w:val="auto"/>
                <w:sz w:val="21"/>
                <w:szCs w:val="21"/>
                <w:highlight w:val="none"/>
                <w:u w:val="none"/>
              </w:rPr>
              <w:t>分</w:t>
            </w:r>
            <w:r>
              <w:rPr>
                <w:rFonts w:hint="eastAsia" w:ascii="仿宋_GB2312" w:hAnsi="仿宋_GB2312" w:eastAsia="仿宋_GB2312" w:cs="仿宋_GB2312"/>
                <w:color w:val="auto"/>
                <w:sz w:val="21"/>
                <w:szCs w:val="21"/>
                <w:highlight w:val="none"/>
                <w:u w:val="none"/>
                <w:lang w:eastAsia="zh-CN"/>
              </w:rPr>
              <w:t>至</w:t>
            </w:r>
            <w:r>
              <w:rPr>
                <w:rFonts w:hint="eastAsia" w:ascii="仿宋_GB2312" w:hAnsi="仿宋_GB2312" w:eastAsia="仿宋_GB2312" w:cs="仿宋_GB2312"/>
                <w:color w:val="auto"/>
                <w:sz w:val="21"/>
                <w:szCs w:val="21"/>
                <w:highlight w:val="none"/>
                <w:u w:val="none"/>
              </w:rPr>
              <w:t>20</w:t>
            </w:r>
            <w:r>
              <w:rPr>
                <w:rFonts w:hint="eastAsia" w:ascii="仿宋_GB2312" w:hAnsi="仿宋_GB2312" w:eastAsia="仿宋_GB2312" w:cs="仿宋_GB2312"/>
                <w:color w:val="auto"/>
                <w:sz w:val="21"/>
                <w:szCs w:val="21"/>
                <w:highlight w:val="none"/>
                <w:u w:val="none"/>
                <w:lang w:val="en-US" w:eastAsia="zh-CN"/>
              </w:rPr>
              <w:t>24</w:t>
            </w:r>
            <w:r>
              <w:rPr>
                <w:rFonts w:hint="eastAsia" w:ascii="仿宋_GB2312" w:hAnsi="仿宋_GB2312" w:eastAsia="仿宋_GB2312" w:cs="仿宋_GB2312"/>
                <w:color w:val="auto"/>
                <w:sz w:val="21"/>
                <w:szCs w:val="21"/>
                <w:highlight w:val="none"/>
                <w:u w:val="none"/>
              </w:rPr>
              <w:t>年</w:t>
            </w:r>
            <w:r>
              <w:rPr>
                <w:rFonts w:hint="eastAsia" w:ascii="仿宋_GB2312" w:hAnsi="仿宋_GB2312" w:eastAsia="仿宋_GB2312" w:cs="仿宋_GB2312"/>
                <w:color w:val="auto"/>
                <w:sz w:val="21"/>
                <w:szCs w:val="21"/>
                <w:highlight w:val="none"/>
                <w:u w:val="none"/>
                <w:lang w:val="en-US" w:eastAsia="zh-CN"/>
              </w:rPr>
              <w:t>3月5</w:t>
            </w:r>
            <w:r>
              <w:rPr>
                <w:rFonts w:hint="eastAsia" w:ascii="仿宋_GB2312" w:hAnsi="仿宋_GB2312" w:eastAsia="仿宋_GB2312" w:cs="仿宋_GB2312"/>
                <w:color w:val="auto"/>
                <w:sz w:val="21"/>
                <w:szCs w:val="21"/>
                <w:highlight w:val="none"/>
                <w:u w:val="none"/>
              </w:rPr>
              <w:t>日</w:t>
            </w:r>
            <w:r>
              <w:rPr>
                <w:rFonts w:hint="eastAsia" w:ascii="仿宋_GB2312" w:hAnsi="仿宋_GB2312" w:eastAsia="仿宋_GB2312" w:cs="仿宋_GB2312"/>
                <w:color w:val="auto"/>
                <w:sz w:val="21"/>
                <w:szCs w:val="21"/>
                <w:highlight w:val="none"/>
                <w:u w:val="none"/>
                <w:lang w:eastAsia="zh-CN"/>
              </w:rPr>
              <w:t>（星期</w:t>
            </w:r>
            <w:r>
              <w:rPr>
                <w:rFonts w:hint="eastAsia" w:ascii="仿宋_GB2312" w:hAnsi="仿宋_GB2312" w:eastAsia="仿宋_GB2312" w:cs="仿宋_GB2312"/>
                <w:color w:val="auto"/>
                <w:sz w:val="21"/>
                <w:szCs w:val="21"/>
                <w:highlight w:val="none"/>
                <w:u w:val="none"/>
                <w:lang w:val="en-US" w:eastAsia="zh-CN"/>
              </w:rPr>
              <w:t xml:space="preserve">二 </w:t>
            </w:r>
            <w:r>
              <w:rPr>
                <w:rFonts w:hint="eastAsia" w:ascii="仿宋_GB2312" w:hAnsi="仿宋_GB2312" w:eastAsia="仿宋_GB2312" w:cs="仿宋_GB2312"/>
                <w:color w:val="auto"/>
                <w:sz w:val="21"/>
                <w:szCs w:val="21"/>
                <w:highlight w:val="none"/>
                <w:u w:val="none"/>
                <w:lang w:eastAsia="zh-CN"/>
              </w:rPr>
              <w:t>）</w:t>
            </w:r>
            <w:r>
              <w:rPr>
                <w:rFonts w:hint="eastAsia" w:ascii="仿宋_GB2312" w:hAnsi="仿宋_GB2312" w:eastAsia="仿宋_GB2312" w:cs="仿宋_GB2312"/>
                <w:color w:val="auto"/>
                <w:sz w:val="21"/>
                <w:szCs w:val="21"/>
                <w:highlight w:val="none"/>
                <w:u w:val="none"/>
                <w:lang w:val="en-US" w:eastAsia="zh-CN"/>
              </w:rPr>
              <w:t xml:space="preserve">上午9 </w:t>
            </w:r>
            <w:r>
              <w:rPr>
                <w:rFonts w:hint="eastAsia" w:ascii="仿宋_GB2312" w:hAnsi="仿宋_GB2312" w:eastAsia="仿宋_GB2312" w:cs="仿宋_GB2312"/>
                <w:color w:val="auto"/>
                <w:sz w:val="21"/>
                <w:szCs w:val="21"/>
                <w:highlight w:val="none"/>
                <w:u w:val="none"/>
              </w:rPr>
              <w:t>时</w:t>
            </w:r>
            <w:r>
              <w:rPr>
                <w:rFonts w:hint="eastAsia" w:ascii="仿宋_GB2312" w:hAnsi="仿宋_GB2312" w:eastAsia="仿宋_GB2312" w:cs="仿宋_GB2312"/>
                <w:color w:val="auto"/>
                <w:sz w:val="21"/>
                <w:szCs w:val="21"/>
                <w:highlight w:val="none"/>
                <w:u w:val="none"/>
                <w:lang w:val="en-US" w:eastAsia="zh-CN"/>
              </w:rPr>
              <w:t>30</w:t>
            </w:r>
            <w:r>
              <w:rPr>
                <w:rFonts w:hint="eastAsia" w:ascii="仿宋_GB2312" w:hAnsi="仿宋_GB2312" w:eastAsia="仿宋_GB2312" w:cs="仿宋_GB2312"/>
                <w:color w:val="auto"/>
                <w:sz w:val="21"/>
                <w:szCs w:val="21"/>
                <w:highlight w:val="none"/>
                <w:u w:val="none"/>
              </w:rPr>
              <w:t>分</w:t>
            </w:r>
            <w:r>
              <w:rPr>
                <w:rFonts w:hint="eastAsia" w:ascii="仿宋_GB2312" w:hAnsi="仿宋_GB2312" w:eastAsia="仿宋_GB2312" w:cs="仿宋_GB2312"/>
                <w:color w:val="auto"/>
                <w:kern w:val="2"/>
                <w:sz w:val="21"/>
                <w:szCs w:val="21"/>
                <w:highlight w:val="none"/>
                <w:u w:val="none"/>
                <w:lang w:val="en-US" w:eastAsia="zh-CN" w:bidi="ar-SA"/>
              </w:rPr>
              <w:t>前。</w:t>
            </w:r>
          </w:p>
          <w:p>
            <w:pPr>
              <w:spacing w:line="360" w:lineRule="auto"/>
              <w:rPr>
                <w:rFonts w:hint="eastAsia" w:ascii="仿宋_GB2312" w:hAnsi="仿宋_GB2312" w:eastAsia="仿宋_GB2312" w:cs="仿宋_GB2312"/>
                <w:color w:val="auto"/>
                <w:kern w:val="2"/>
                <w:sz w:val="21"/>
                <w:szCs w:val="21"/>
                <w:highlight w:val="none"/>
                <w:u w:val="none"/>
                <w:lang w:val="en-US" w:eastAsia="zh-CN" w:bidi="ar-SA"/>
              </w:rPr>
            </w:pPr>
            <w:r>
              <w:rPr>
                <w:rFonts w:hint="eastAsia" w:ascii="仿宋_GB2312" w:hAnsi="仿宋_GB2312" w:eastAsia="仿宋_GB2312" w:cs="仿宋_GB2312"/>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highlight w:val="none"/>
                <w:lang w:val="en-US" w:eastAsia="zh-CN"/>
              </w:rPr>
              <w:t>19</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仿宋_GB2312" w:hAnsi="仿宋_GB2312" w:eastAsia="仿宋_GB2312" w:cs="仿宋_GB2312"/>
                <w:color w:val="auto"/>
                <w:kern w:val="2"/>
                <w:sz w:val="21"/>
                <w:szCs w:val="21"/>
                <w:highlight w:val="none"/>
                <w:u w:val="none"/>
                <w:lang w:val="en-US" w:eastAsia="zh-CN" w:bidi="ar-SA"/>
              </w:rPr>
            </w:pPr>
            <w:r>
              <w:rPr>
                <w:rFonts w:hint="eastAsia" w:ascii="仿宋_GB2312" w:hAnsi="仿宋_GB2312" w:eastAsia="仿宋_GB2312" w:cs="仿宋_GB2312"/>
                <w:color w:val="auto"/>
                <w:kern w:val="2"/>
                <w:sz w:val="21"/>
                <w:szCs w:val="21"/>
                <w:highlight w:val="none"/>
                <w:u w:val="none"/>
                <w:lang w:val="en-US" w:eastAsia="zh-CN" w:bidi="ar-SA"/>
              </w:rPr>
              <w:t>开标时间：</w:t>
            </w:r>
            <w:r>
              <w:rPr>
                <w:rFonts w:hint="eastAsia" w:ascii="仿宋_GB2312" w:hAnsi="仿宋_GB2312" w:eastAsia="仿宋_GB2312" w:cs="仿宋_GB2312"/>
                <w:color w:val="auto"/>
                <w:sz w:val="21"/>
                <w:szCs w:val="21"/>
                <w:highlight w:val="none"/>
                <w:u w:val="none"/>
              </w:rPr>
              <w:t>202</w:t>
            </w:r>
            <w:r>
              <w:rPr>
                <w:rFonts w:hint="eastAsia" w:ascii="仿宋_GB2312" w:hAnsi="仿宋_GB2312" w:eastAsia="仿宋_GB2312" w:cs="仿宋_GB2312"/>
                <w:color w:val="auto"/>
                <w:sz w:val="21"/>
                <w:szCs w:val="21"/>
                <w:highlight w:val="none"/>
                <w:u w:val="none"/>
                <w:lang w:val="en-US" w:eastAsia="zh-CN"/>
              </w:rPr>
              <w:t>4</w:t>
            </w:r>
            <w:r>
              <w:rPr>
                <w:rFonts w:hint="eastAsia" w:ascii="仿宋_GB2312" w:hAnsi="仿宋_GB2312" w:eastAsia="仿宋_GB2312" w:cs="仿宋_GB2312"/>
                <w:color w:val="auto"/>
                <w:sz w:val="21"/>
                <w:szCs w:val="21"/>
                <w:highlight w:val="none"/>
                <w:u w:val="none"/>
              </w:rPr>
              <w:t>年</w:t>
            </w:r>
            <w:r>
              <w:rPr>
                <w:rFonts w:hint="eastAsia" w:ascii="仿宋_GB2312" w:hAnsi="仿宋_GB2312" w:eastAsia="仿宋_GB2312" w:cs="仿宋_GB2312"/>
                <w:color w:val="auto"/>
                <w:sz w:val="21"/>
                <w:szCs w:val="21"/>
                <w:highlight w:val="none"/>
                <w:u w:val="none"/>
                <w:lang w:val="en-US" w:eastAsia="zh-CN"/>
              </w:rPr>
              <w:t>3月5</w:t>
            </w:r>
            <w:r>
              <w:rPr>
                <w:rFonts w:hint="eastAsia" w:ascii="仿宋_GB2312" w:hAnsi="仿宋_GB2312" w:eastAsia="仿宋_GB2312" w:cs="仿宋_GB2312"/>
                <w:color w:val="auto"/>
                <w:sz w:val="21"/>
                <w:szCs w:val="21"/>
                <w:highlight w:val="none"/>
                <w:u w:val="none"/>
              </w:rPr>
              <w:t>日</w:t>
            </w:r>
            <w:r>
              <w:rPr>
                <w:rFonts w:hint="eastAsia" w:ascii="仿宋_GB2312" w:hAnsi="仿宋_GB2312" w:eastAsia="仿宋_GB2312" w:cs="仿宋_GB2312"/>
                <w:color w:val="auto"/>
                <w:sz w:val="21"/>
                <w:szCs w:val="21"/>
                <w:highlight w:val="none"/>
                <w:u w:val="none"/>
                <w:lang w:eastAsia="zh-CN"/>
              </w:rPr>
              <w:t>（星期</w:t>
            </w:r>
            <w:r>
              <w:rPr>
                <w:rFonts w:hint="eastAsia" w:ascii="仿宋_GB2312" w:hAnsi="仿宋_GB2312" w:eastAsia="仿宋_GB2312" w:cs="仿宋_GB2312"/>
                <w:color w:val="auto"/>
                <w:sz w:val="21"/>
                <w:szCs w:val="21"/>
                <w:highlight w:val="none"/>
                <w:u w:val="none"/>
                <w:lang w:val="en-US" w:eastAsia="zh-CN"/>
              </w:rPr>
              <w:t xml:space="preserve">二 </w:t>
            </w:r>
            <w:r>
              <w:rPr>
                <w:rFonts w:hint="eastAsia" w:ascii="仿宋_GB2312" w:hAnsi="仿宋_GB2312" w:eastAsia="仿宋_GB2312" w:cs="仿宋_GB2312"/>
                <w:color w:val="auto"/>
                <w:sz w:val="21"/>
                <w:szCs w:val="21"/>
                <w:highlight w:val="none"/>
                <w:u w:val="none"/>
                <w:lang w:eastAsia="zh-CN"/>
              </w:rPr>
              <w:t>）</w:t>
            </w:r>
            <w:r>
              <w:rPr>
                <w:rFonts w:hint="eastAsia" w:ascii="仿宋_GB2312" w:hAnsi="仿宋_GB2312" w:eastAsia="仿宋_GB2312" w:cs="仿宋_GB2312"/>
                <w:color w:val="auto"/>
                <w:sz w:val="21"/>
                <w:szCs w:val="21"/>
                <w:highlight w:val="none"/>
                <w:u w:val="none"/>
                <w:lang w:val="en-US" w:eastAsia="zh-CN"/>
              </w:rPr>
              <w:t>上午10</w:t>
            </w:r>
            <w:r>
              <w:rPr>
                <w:rFonts w:hint="eastAsia" w:ascii="仿宋_GB2312" w:hAnsi="仿宋_GB2312" w:eastAsia="仿宋_GB2312" w:cs="仿宋_GB2312"/>
                <w:color w:val="auto"/>
                <w:sz w:val="21"/>
                <w:szCs w:val="21"/>
                <w:highlight w:val="none"/>
                <w:u w:val="none"/>
              </w:rPr>
              <w:t>时</w:t>
            </w:r>
            <w:r>
              <w:rPr>
                <w:rFonts w:hint="eastAsia" w:ascii="仿宋_GB2312" w:hAnsi="仿宋_GB2312" w:eastAsia="仿宋_GB2312" w:cs="仿宋_GB2312"/>
                <w:color w:val="auto"/>
                <w:sz w:val="21"/>
                <w:szCs w:val="21"/>
                <w:highlight w:val="none"/>
                <w:u w:val="none"/>
                <w:lang w:val="en-US" w:eastAsia="zh-CN"/>
              </w:rPr>
              <w:t>00</w:t>
            </w:r>
            <w:bookmarkStart w:id="40" w:name="_GoBack"/>
            <w:bookmarkEnd w:id="40"/>
            <w:r>
              <w:rPr>
                <w:rFonts w:hint="eastAsia" w:ascii="仿宋_GB2312" w:hAnsi="仿宋_GB2312" w:eastAsia="仿宋_GB2312" w:cs="仿宋_GB2312"/>
                <w:color w:val="auto"/>
                <w:sz w:val="21"/>
                <w:szCs w:val="21"/>
                <w:highlight w:val="none"/>
                <w:u w:val="none"/>
              </w:rPr>
              <w:t>分</w:t>
            </w:r>
          </w:p>
          <w:p>
            <w:pPr>
              <w:spacing w:line="360" w:lineRule="auto"/>
              <w:rPr>
                <w:rFonts w:hint="eastAsia" w:ascii="仿宋_GB2312" w:hAnsi="仿宋_GB2312" w:eastAsia="仿宋_GB2312" w:cs="仿宋_GB2312"/>
                <w:color w:val="auto"/>
                <w:kern w:val="2"/>
                <w:sz w:val="21"/>
                <w:szCs w:val="21"/>
                <w:highlight w:val="none"/>
                <w:u w:val="none"/>
                <w:lang w:val="en-US" w:eastAsia="zh-CN" w:bidi="ar-SA"/>
              </w:rPr>
            </w:pPr>
            <w:r>
              <w:rPr>
                <w:rFonts w:hint="eastAsia" w:ascii="仿宋_GB2312" w:hAnsi="仿宋_GB2312" w:eastAsia="仿宋_GB2312" w:cs="仿宋_GB2312"/>
                <w:color w:val="auto"/>
                <w:kern w:val="2"/>
                <w:sz w:val="21"/>
                <w:szCs w:val="21"/>
                <w:highlight w:val="none"/>
                <w:u w:val="none"/>
                <w:lang w:val="en-US" w:eastAsia="zh-CN" w:bidi="ar-SA"/>
              </w:rPr>
              <w:t>地点：</w:t>
            </w:r>
            <w:r>
              <w:rPr>
                <w:rFonts w:hint="eastAsia" w:ascii="仿宋_GB2312" w:hAnsi="仿宋_GB2312" w:eastAsia="仿宋_GB2312" w:cs="仿宋_GB2312"/>
                <w:b w:val="0"/>
                <w:bCs w:val="0"/>
                <w:color w:val="auto"/>
                <w:sz w:val="21"/>
                <w:szCs w:val="21"/>
                <w:highlight w:val="none"/>
                <w:u w:val="none"/>
                <w:lang w:val="en-US" w:eastAsia="zh-CN"/>
              </w:rPr>
              <w:t>广州市</w:t>
            </w:r>
            <w:r>
              <w:rPr>
                <w:rFonts w:hint="eastAsia" w:ascii="仿宋_GB2312" w:hAnsi="仿宋_GB2312" w:eastAsia="仿宋_GB2312" w:cs="仿宋_GB2312"/>
                <w:color w:val="auto"/>
                <w:sz w:val="21"/>
                <w:szCs w:val="21"/>
                <w:highlight w:val="none"/>
                <w:u w:val="none"/>
              </w:rPr>
              <w:t>南沙区</w:t>
            </w:r>
            <w:r>
              <w:rPr>
                <w:rFonts w:hint="eastAsia" w:ascii="仿宋_GB2312" w:hAnsi="仿宋_GB2312" w:eastAsia="仿宋_GB2312" w:cs="仿宋_GB2312"/>
                <w:color w:val="auto"/>
                <w:kern w:val="2"/>
                <w:sz w:val="21"/>
                <w:szCs w:val="21"/>
                <w:highlight w:val="none"/>
                <w:u w:val="none"/>
              </w:rPr>
              <w:t>海滨路171号南沙金融大厦</w:t>
            </w:r>
            <w:r>
              <w:rPr>
                <w:rFonts w:hint="eastAsia" w:ascii="仿宋_GB2312" w:hAnsi="仿宋_GB2312" w:eastAsia="仿宋_GB2312" w:cs="仿宋_GB2312"/>
                <w:color w:val="auto"/>
                <w:kern w:val="2"/>
                <w:sz w:val="21"/>
                <w:szCs w:val="21"/>
                <w:highlight w:val="none"/>
                <w:u w:val="none"/>
                <w:lang w:val="en-US" w:eastAsia="zh-CN"/>
              </w:rPr>
              <w:t>18</w:t>
            </w:r>
            <w:r>
              <w:rPr>
                <w:rFonts w:hint="eastAsia" w:ascii="仿宋_GB2312" w:hAnsi="仿宋_GB2312" w:eastAsia="仿宋_GB2312" w:cs="仿宋_GB2312"/>
                <w:color w:val="auto"/>
                <w:kern w:val="2"/>
                <w:sz w:val="21"/>
                <w:szCs w:val="21"/>
                <w:highlight w:val="none"/>
                <w:u w:val="none"/>
              </w:rPr>
              <w:t>楼</w:t>
            </w:r>
            <w:r>
              <w:rPr>
                <w:rFonts w:hint="eastAsia" w:ascii="仿宋_GB2312" w:hAnsi="仿宋_GB2312" w:eastAsia="仿宋_GB2312" w:cs="仿宋_GB2312"/>
                <w:color w:val="auto"/>
                <w:kern w:val="2"/>
                <w:sz w:val="21"/>
                <w:szCs w:val="21"/>
                <w:highlight w:val="none"/>
                <w:u w:val="none"/>
                <w:lang w:val="en-US" w:eastAsia="zh-CN" w:bidi="ar-SA"/>
              </w:rPr>
              <w:t>会议室。</w:t>
            </w:r>
          </w:p>
          <w:p>
            <w:pPr>
              <w:spacing w:line="360" w:lineRule="auto"/>
              <w:rPr>
                <w:rFonts w:hint="eastAsia" w:ascii="仿宋_GB2312" w:hAnsi="仿宋_GB2312" w:eastAsia="仿宋_GB2312" w:cs="仿宋_GB2312"/>
                <w:color w:val="auto"/>
                <w:kern w:val="2"/>
                <w:sz w:val="21"/>
                <w:szCs w:val="21"/>
                <w:highlight w:val="none"/>
                <w:u w:val="none"/>
                <w:lang w:val="en-US" w:eastAsia="zh-CN" w:bidi="ar-SA"/>
              </w:rPr>
            </w:pPr>
            <w:r>
              <w:rPr>
                <w:rFonts w:hint="eastAsia" w:ascii="仿宋_GB2312" w:hAnsi="仿宋_GB2312" w:eastAsia="仿宋_GB2312" w:cs="仿宋_GB2312"/>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20</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仿宋_GB2312" w:hAnsi="仿宋_GB2312" w:eastAsia="仿宋_GB2312" w:cs="仿宋_GB2312"/>
                <w:color w:val="auto"/>
                <w:szCs w:val="21"/>
                <w:highlight w:val="none"/>
                <w:u w:val="none"/>
              </w:rPr>
            </w:pPr>
            <w:r>
              <w:rPr>
                <w:rFonts w:hint="eastAsia" w:ascii="仿宋_GB2312" w:hAnsi="仿宋_GB2312" w:eastAsia="仿宋_GB2312" w:cs="仿宋_GB2312"/>
                <w:color w:val="auto"/>
                <w:szCs w:val="21"/>
                <w:highlight w:val="none"/>
                <w:u w:val="none"/>
              </w:rPr>
              <w:t>综合评分法</w:t>
            </w:r>
          </w:p>
        </w:tc>
      </w:tr>
    </w:tbl>
    <w:p>
      <w:pPr>
        <w:spacing w:line="240" w:lineRule="auto"/>
        <w:jc w:val="center"/>
        <w:outlineLvl w:val="9"/>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 xml:space="preserve"> </w:t>
      </w:r>
    </w:p>
    <w:p>
      <w:pPr>
        <w:spacing w:line="240" w:lineRule="auto"/>
        <w:jc w:val="left"/>
        <w:outlineLvl w:val="9"/>
        <w:rPr>
          <w:rFonts w:hint="eastAsia" w:ascii="仿宋_GB2312" w:hAnsi="仿宋_GB2312" w:eastAsia="仿宋_GB2312" w:cs="仿宋_GB2312"/>
          <w:color w:val="auto"/>
          <w:szCs w:val="21"/>
          <w:highlight w:val="none"/>
        </w:rPr>
      </w:pPr>
    </w:p>
    <w:p>
      <w:pPr>
        <w:spacing w:line="240" w:lineRule="auto"/>
        <w:jc w:val="center"/>
        <w:outlineLvl w:val="9"/>
        <w:rPr>
          <w:rFonts w:hint="eastAsia" w:ascii="仿宋_GB2312" w:hAnsi="仿宋_GB2312" w:eastAsia="仿宋_GB2312" w:cs="仿宋_GB2312"/>
          <w:b/>
          <w:color w:val="auto"/>
          <w:sz w:val="36"/>
          <w:szCs w:val="36"/>
          <w:highlight w:val="none"/>
        </w:rPr>
      </w:pPr>
    </w:p>
    <w:p>
      <w:pPr>
        <w:spacing w:line="240" w:lineRule="auto"/>
        <w:jc w:val="center"/>
        <w:outlineLvl w:val="9"/>
        <w:rPr>
          <w:rFonts w:hint="eastAsia" w:ascii="仿宋_GB2312" w:hAnsi="仿宋_GB2312" w:eastAsia="仿宋_GB2312" w:cs="仿宋_GB2312"/>
          <w:b/>
          <w:color w:val="auto"/>
          <w:sz w:val="36"/>
          <w:szCs w:val="36"/>
          <w:highlight w:val="none"/>
        </w:rPr>
      </w:pPr>
    </w:p>
    <w:p>
      <w:pPr>
        <w:spacing w:line="240" w:lineRule="auto"/>
        <w:jc w:val="center"/>
        <w:outlineLvl w:val="9"/>
        <w:rPr>
          <w:rFonts w:hint="eastAsia" w:ascii="仿宋_GB2312" w:hAnsi="仿宋_GB2312" w:eastAsia="仿宋_GB2312" w:cs="仿宋_GB2312"/>
          <w:b/>
          <w:color w:val="auto"/>
          <w:sz w:val="36"/>
          <w:szCs w:val="36"/>
          <w:highlight w:val="none"/>
        </w:rPr>
      </w:pPr>
    </w:p>
    <w:p>
      <w:pPr>
        <w:spacing w:line="240" w:lineRule="auto"/>
        <w:jc w:val="center"/>
        <w:outlineLvl w:val="9"/>
        <w:rPr>
          <w:rFonts w:hint="eastAsia" w:ascii="仿宋_GB2312" w:hAnsi="仿宋_GB2312" w:eastAsia="仿宋_GB2312" w:cs="仿宋_GB2312"/>
          <w:b/>
          <w:color w:val="auto"/>
          <w:sz w:val="36"/>
          <w:szCs w:val="36"/>
          <w:highlight w:val="none"/>
        </w:rPr>
      </w:pPr>
    </w:p>
    <w:p>
      <w:pPr>
        <w:spacing w:line="240" w:lineRule="auto"/>
        <w:jc w:val="center"/>
        <w:outlineLvl w:val="9"/>
        <w:rPr>
          <w:rFonts w:hint="eastAsia" w:ascii="仿宋_GB2312" w:hAnsi="仿宋_GB2312" w:eastAsia="仿宋_GB2312" w:cs="仿宋_GB2312"/>
          <w:b/>
          <w:color w:val="auto"/>
          <w:sz w:val="36"/>
          <w:szCs w:val="36"/>
          <w:highlight w:val="none"/>
        </w:rPr>
      </w:pPr>
    </w:p>
    <w:p>
      <w:pPr>
        <w:spacing w:line="240" w:lineRule="auto"/>
        <w:jc w:val="center"/>
        <w:outlineLvl w:val="9"/>
        <w:rPr>
          <w:rFonts w:hint="eastAsia" w:ascii="仿宋_GB2312" w:hAnsi="仿宋_GB2312" w:eastAsia="仿宋_GB2312" w:cs="仿宋_GB2312"/>
          <w:b/>
          <w:bCs w:val="0"/>
          <w:color w:val="auto"/>
          <w:sz w:val="32"/>
          <w:szCs w:val="32"/>
          <w:highlight w:val="none"/>
        </w:rPr>
      </w:pPr>
    </w:p>
    <w:p>
      <w:pPr>
        <w:spacing w:line="240" w:lineRule="auto"/>
        <w:jc w:val="center"/>
        <w:outlineLvl w:val="9"/>
        <w:rPr>
          <w:rFonts w:hint="eastAsia" w:ascii="仿宋_GB2312" w:hAnsi="仿宋_GB2312" w:eastAsia="仿宋_GB2312" w:cs="仿宋_GB2312"/>
          <w:b/>
          <w:bCs w:val="0"/>
          <w:color w:val="auto"/>
          <w:sz w:val="32"/>
          <w:szCs w:val="32"/>
          <w:highlight w:val="none"/>
        </w:rPr>
      </w:pPr>
      <w:r>
        <w:rPr>
          <w:rFonts w:hint="eastAsia" w:ascii="仿宋_GB2312" w:hAnsi="仿宋_GB2312" w:eastAsia="仿宋_GB2312" w:cs="仿宋_GB2312"/>
          <w:b/>
          <w:bCs w:val="0"/>
          <w:color w:val="auto"/>
          <w:sz w:val="32"/>
          <w:szCs w:val="32"/>
          <w:highlight w:val="none"/>
        </w:rPr>
        <w:t>二、投标须知</w:t>
      </w:r>
    </w:p>
    <w:p>
      <w:pPr>
        <w:spacing w:line="360" w:lineRule="auto"/>
        <w:ind w:firstLine="562" w:firstLineChars="200"/>
        <w:outlineLvl w:val="2"/>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一</w:t>
      </w:r>
      <w:r>
        <w:rPr>
          <w:rFonts w:hint="eastAsia" w:ascii="仿宋_GB2312" w:hAnsi="仿宋_GB2312" w:eastAsia="仿宋_GB2312" w:cs="仿宋_GB2312"/>
          <w:b/>
          <w:color w:val="auto"/>
          <w:sz w:val="28"/>
          <w:szCs w:val="28"/>
          <w:highlight w:val="none"/>
          <w:lang w:eastAsia="zh-CN"/>
        </w:rPr>
        <w:t>、</w:t>
      </w:r>
      <w:r>
        <w:rPr>
          <w:rFonts w:hint="eastAsia" w:ascii="仿宋_GB2312" w:hAnsi="仿宋_GB2312" w:eastAsia="仿宋_GB2312" w:cs="仿宋_GB2312"/>
          <w:b/>
          <w:color w:val="auto"/>
          <w:sz w:val="28"/>
          <w:szCs w:val="28"/>
          <w:highlight w:val="none"/>
        </w:rPr>
        <w:t>总则</w:t>
      </w:r>
    </w:p>
    <w:p>
      <w:pPr>
        <w:spacing w:line="360" w:lineRule="auto"/>
        <w:ind w:firstLine="482" w:firstLineChars="200"/>
        <w:outlineLvl w:val="3"/>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1．定义</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本招标文件使用的下列词语具有如下规定的意义：</w:t>
      </w:r>
    </w:p>
    <w:p>
      <w:pPr>
        <w:spacing w:line="360" w:lineRule="auto"/>
        <w:ind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1.1 “招标人”（即委托人）指</w:t>
      </w:r>
      <w:r>
        <w:rPr>
          <w:rFonts w:hint="eastAsia" w:ascii="仿宋_GB2312" w:hAnsi="仿宋_GB2312" w:eastAsia="仿宋_GB2312" w:cs="仿宋_GB2312"/>
          <w:color w:val="auto"/>
          <w:sz w:val="24"/>
          <w:highlight w:val="none"/>
          <w:u w:val="single"/>
          <w:lang w:eastAsia="zh-CN"/>
        </w:rPr>
        <w:t>广州南沙科技投资有限公司</w:t>
      </w:r>
      <w:r>
        <w:rPr>
          <w:rFonts w:hint="eastAsia" w:ascii="仿宋_GB2312" w:hAnsi="仿宋_GB2312" w:eastAsia="仿宋_GB2312" w:cs="仿宋_GB2312"/>
          <w:color w:val="auto"/>
          <w:sz w:val="24"/>
          <w:highlight w:val="none"/>
          <w:u w:val="single"/>
        </w:rPr>
        <w:t>。</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 xml:space="preserve"> “投标人”指向招标人提交投标文件的当事人。</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 xml:space="preserve"> “招标文件”指由招标代理发出的本文件（包括全部章节、附件）及澄清补充文件。</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 xml:space="preserve"> “投标文件”指投标人根据本招标文件向招标人提交的全部文件。</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 xml:space="preserve"> “书面函件”指打字或印刷的函件，包括电传、电报和传真。</w:t>
      </w:r>
    </w:p>
    <w:p>
      <w:pPr>
        <w:spacing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 xml:space="preserve">. </w:t>
      </w:r>
      <w:r>
        <w:rPr>
          <w:rFonts w:hint="eastAsia" w:ascii="仿宋_GB2312" w:hAnsi="仿宋_GB2312" w:eastAsia="仿宋_GB2312" w:cs="仿宋_GB2312"/>
          <w:b/>
          <w:color w:val="auto"/>
          <w:sz w:val="24"/>
          <w:highlight w:val="none"/>
        </w:rPr>
        <w:t>招标说明</w:t>
      </w:r>
    </w:p>
    <w:p>
      <w:pPr>
        <w:spacing w:line="500" w:lineRule="exact"/>
        <w:ind w:left="-1"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2.2项目概况：</w:t>
      </w:r>
    </w:p>
    <w:p>
      <w:pPr>
        <w:spacing w:line="500" w:lineRule="exact"/>
        <w:ind w:left="-1"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2.2.1项目名称：见投标须知前附表第1项。</w:t>
      </w:r>
    </w:p>
    <w:p>
      <w:pPr>
        <w:spacing w:line="500" w:lineRule="exact"/>
        <w:ind w:left="-1"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2.2.2建设地点：见投标须知前附表第2项。</w:t>
      </w:r>
    </w:p>
    <w:p>
      <w:pPr>
        <w:spacing w:line="500" w:lineRule="exact"/>
        <w:ind w:left="-1"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2.2.3建设规模：见投标须知前附表第3项。</w:t>
      </w:r>
    </w:p>
    <w:p>
      <w:pPr>
        <w:spacing w:line="500" w:lineRule="exact"/>
        <w:ind w:left="-1"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2.2.4</w:t>
      </w:r>
      <w:r>
        <w:rPr>
          <w:rFonts w:hint="eastAsia" w:ascii="仿宋_GB2312" w:hAnsi="仿宋_GB2312" w:eastAsia="仿宋_GB2312" w:cs="仿宋_GB2312"/>
          <w:color w:val="auto"/>
          <w:sz w:val="24"/>
          <w:highlight w:val="none"/>
          <w:lang w:eastAsia="zh-CN"/>
        </w:rPr>
        <w:t>项目总投资</w:t>
      </w:r>
      <w:r>
        <w:rPr>
          <w:rFonts w:hint="eastAsia" w:ascii="仿宋_GB2312" w:hAnsi="仿宋_GB2312" w:eastAsia="仿宋_GB2312" w:cs="仿宋_GB2312"/>
          <w:color w:val="auto"/>
          <w:sz w:val="24"/>
          <w:highlight w:val="none"/>
        </w:rPr>
        <w:t>：见投标须知前附表第</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项。</w:t>
      </w:r>
    </w:p>
    <w:p>
      <w:pPr>
        <w:spacing w:line="500" w:lineRule="exact"/>
        <w:ind w:left="-1"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2.2.5</w:t>
      </w:r>
      <w:r>
        <w:rPr>
          <w:rFonts w:hint="eastAsia" w:ascii="仿宋_GB2312" w:hAnsi="仿宋_GB2312" w:eastAsia="仿宋_GB2312" w:cs="仿宋_GB2312"/>
          <w:color w:val="auto"/>
          <w:sz w:val="24"/>
          <w:highlight w:val="none"/>
          <w:lang w:val="en-US" w:eastAsia="zh-CN"/>
        </w:rPr>
        <w:t>质量</w:t>
      </w:r>
      <w:r>
        <w:rPr>
          <w:rFonts w:hint="eastAsia" w:ascii="仿宋_GB2312" w:hAnsi="仿宋_GB2312" w:eastAsia="仿宋_GB2312" w:cs="仿宋_GB2312"/>
          <w:color w:val="auto"/>
          <w:sz w:val="24"/>
          <w:highlight w:val="none"/>
        </w:rPr>
        <w:t>目标：见投标须知前附表第</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项。</w:t>
      </w:r>
    </w:p>
    <w:p>
      <w:pPr>
        <w:spacing w:line="500" w:lineRule="exact"/>
        <w:ind w:left="-1"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2.3招标范围及服务期及专业配套要求</w:t>
      </w:r>
    </w:p>
    <w:p>
      <w:pPr>
        <w:spacing w:line="500" w:lineRule="exact"/>
        <w:ind w:left="-1"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本招标项目的招标范围：见投标须知前附表第</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项。</w:t>
      </w:r>
    </w:p>
    <w:p>
      <w:pPr>
        <w:spacing w:line="500" w:lineRule="exact"/>
        <w:ind w:left="-1"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本招标项目的服务期要求：见投标须知前附表第</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项。</w:t>
      </w:r>
    </w:p>
    <w:p>
      <w:pPr>
        <w:spacing w:line="500" w:lineRule="exact"/>
        <w:ind w:left="-1"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2.3.3</w:t>
      </w:r>
      <w:r>
        <w:rPr>
          <w:rFonts w:hint="eastAsia" w:ascii="仿宋_GB2312" w:hAnsi="仿宋_GB2312" w:eastAsia="仿宋_GB2312" w:cs="仿宋_GB2312"/>
          <w:color w:val="auto"/>
          <w:sz w:val="24"/>
          <w:highlight w:val="none"/>
          <w:lang w:eastAsia="zh-CN"/>
        </w:rPr>
        <w:t>投标</w:t>
      </w:r>
      <w:r>
        <w:rPr>
          <w:rFonts w:hint="eastAsia" w:ascii="仿宋_GB2312" w:hAnsi="仿宋_GB2312" w:eastAsia="仿宋_GB2312" w:cs="仿宋_GB2312"/>
          <w:color w:val="auto"/>
          <w:sz w:val="24"/>
          <w:highlight w:val="none"/>
        </w:rPr>
        <w:t>要求：见投标须知前附表第</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项。</w:t>
      </w:r>
    </w:p>
    <w:p>
      <w:pPr>
        <w:spacing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3．资金来源</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本招标项目资金来源见投标须知前附表第</w:t>
      </w: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项。</w:t>
      </w:r>
    </w:p>
    <w:p>
      <w:pPr>
        <w:spacing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4．合格投标人的条件</w:t>
      </w:r>
    </w:p>
    <w:p>
      <w:pPr>
        <w:spacing w:line="360" w:lineRule="auto"/>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详见投标须知前附表第</w:t>
      </w:r>
      <w:r>
        <w:rPr>
          <w:rFonts w:hint="eastAsia" w:ascii="仿宋_GB2312" w:hAnsi="仿宋_GB2312" w:eastAsia="仿宋_GB2312" w:cs="仿宋_GB2312"/>
          <w:color w:val="auto"/>
          <w:sz w:val="24"/>
          <w:highlight w:val="none"/>
          <w:lang w:val="en-US" w:eastAsia="zh-CN"/>
        </w:rPr>
        <w:t>10</w:t>
      </w:r>
      <w:r>
        <w:rPr>
          <w:rFonts w:hint="eastAsia" w:ascii="仿宋_GB2312" w:hAnsi="仿宋_GB2312" w:eastAsia="仿宋_GB2312" w:cs="仿宋_GB2312"/>
          <w:color w:val="auto"/>
          <w:sz w:val="24"/>
          <w:highlight w:val="none"/>
        </w:rPr>
        <w:t>项。</w:t>
      </w:r>
    </w:p>
    <w:p>
      <w:pPr>
        <w:spacing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5．踏勘现场</w:t>
      </w:r>
    </w:p>
    <w:p>
      <w:pPr>
        <w:spacing w:line="360" w:lineRule="auto"/>
        <w:ind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6．投标费用</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二</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招标文件</w:t>
      </w:r>
    </w:p>
    <w:p>
      <w:pPr>
        <w:spacing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7.招标文件的组成</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（1）投标须知及前附表</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（2）项目需求书</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（3）投标文件格式</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）评标办法</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）附件</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招标人在提交投标文件截止时间</w:t>
      </w:r>
      <w:r>
        <w:rPr>
          <w:rFonts w:hint="eastAsia" w:ascii="仿宋_GB2312" w:hAnsi="仿宋_GB2312" w:eastAsia="仿宋_GB2312" w:cs="仿宋_GB2312"/>
          <w:b/>
          <w:color w:val="auto"/>
          <w:sz w:val="24"/>
          <w:szCs w:val="24"/>
          <w:highlight w:val="none"/>
          <w:u w:val="single"/>
          <w:lang w:val="en-US" w:eastAsia="zh-CN"/>
        </w:rPr>
        <w:t>1</w:t>
      </w:r>
      <w:r>
        <w:rPr>
          <w:rFonts w:hint="eastAsia" w:ascii="仿宋_GB2312" w:hAnsi="仿宋_GB2312" w:eastAsia="仿宋_GB2312" w:cs="仿宋_GB2312"/>
          <w:color w:val="auto"/>
          <w:sz w:val="24"/>
          <w:szCs w:val="24"/>
          <w:highlight w:val="none"/>
        </w:rPr>
        <w:t>天前，以书面形式发出的对招标文件的澄清或修改内容，均为招标文件的组成部分，对招标人和投标人起约束作用。</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w:t>
      </w:r>
      <w:r>
        <w:rPr>
          <w:rFonts w:hint="eastAsia" w:ascii="仿宋_GB2312" w:hAnsi="仿宋_GB2312" w:eastAsia="仿宋_GB2312" w:cs="仿宋_GB2312"/>
          <w:color w:val="auto"/>
          <w:sz w:val="24"/>
          <w:szCs w:val="24"/>
          <w:highlight w:val="none"/>
          <w:lang w:eastAsia="zh-CN"/>
        </w:rPr>
        <w:t>撤销其</w:t>
      </w:r>
      <w:r>
        <w:rPr>
          <w:rFonts w:hint="eastAsia" w:ascii="仿宋_GB2312" w:hAnsi="仿宋_GB2312" w:eastAsia="仿宋_GB2312" w:cs="仿宋_GB2312"/>
          <w:color w:val="auto"/>
          <w:sz w:val="24"/>
          <w:szCs w:val="24"/>
          <w:highlight w:val="none"/>
        </w:rPr>
        <w:t>不符合要求的差异或保留使之成为具有响应性的投标文件。</w:t>
      </w:r>
    </w:p>
    <w:p>
      <w:pPr>
        <w:pStyle w:val="13"/>
        <w:widowControl/>
        <w:spacing w:beforeAutospacing="0" w:after="0" w:line="360" w:lineRule="auto"/>
        <w:ind w:firstLine="482" w:firstLineChars="200"/>
        <w:outlineLvl w:val="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三</w:t>
      </w: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rPr>
        <w:t>投标文件的编制</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8</w:t>
      </w:r>
      <w:r>
        <w:rPr>
          <w:rFonts w:hint="eastAsia" w:ascii="仿宋_GB2312" w:hAnsi="仿宋_GB2312" w:eastAsia="仿宋_GB2312" w:cs="仿宋_GB2312"/>
          <w:b/>
          <w:color w:val="auto"/>
          <w:sz w:val="24"/>
          <w:szCs w:val="24"/>
          <w:highlight w:val="none"/>
        </w:rPr>
        <w:t>．投标文件的语言及度量衡单位</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.1 投标文件和与投标有关的所有文件均应使用</w:t>
      </w:r>
      <w:r>
        <w:rPr>
          <w:rFonts w:hint="eastAsia" w:ascii="仿宋_GB2312" w:hAnsi="仿宋_GB2312" w:eastAsia="仿宋_GB2312" w:cs="仿宋_GB2312"/>
          <w:color w:val="auto"/>
          <w:sz w:val="24"/>
          <w:szCs w:val="24"/>
          <w:highlight w:val="none"/>
          <w:u w:val="single"/>
        </w:rPr>
        <w:t>中文</w:t>
      </w:r>
      <w:r>
        <w:rPr>
          <w:rFonts w:hint="eastAsia" w:ascii="仿宋_GB2312" w:hAnsi="仿宋_GB2312" w:eastAsia="仿宋_GB2312" w:cs="仿宋_GB2312"/>
          <w:color w:val="auto"/>
          <w:sz w:val="24"/>
          <w:szCs w:val="24"/>
          <w:highlight w:val="none"/>
        </w:rPr>
        <w:t>。</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.2 除项目规范另有规定外，投标文件使用的度量衡单位，均采用中华人民共和国法定计量单位。</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9</w:t>
      </w:r>
      <w:r>
        <w:rPr>
          <w:rFonts w:hint="eastAsia" w:ascii="仿宋_GB2312" w:hAnsi="仿宋_GB2312" w:eastAsia="仿宋_GB2312" w:cs="仿宋_GB2312"/>
          <w:b/>
          <w:color w:val="auto"/>
          <w:sz w:val="24"/>
          <w:szCs w:val="24"/>
          <w:highlight w:val="none"/>
        </w:rPr>
        <w:t>．投标文件的组成</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.1投标文件目录。</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.2投标函（按招标文件第3章格式填写）</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.3服务承诺书（按招标文件第3章格式填写）。</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.4企业法定代表人证明书及法定代表人授权委托证明书（按招标文件第3章格式填写，或使用从工商管理部门购买的版本填写）。</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.5公司法人营业执照及资质证书复印件。</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.6项目负责人</w:t>
      </w:r>
      <w:r>
        <w:rPr>
          <w:rFonts w:hint="eastAsia" w:ascii="仿宋_GB2312" w:hAnsi="仿宋_GB2312" w:eastAsia="仿宋_GB2312" w:cs="仿宋_GB2312"/>
          <w:color w:val="auto"/>
          <w:sz w:val="24"/>
          <w:highlight w:val="none"/>
          <w:lang w:eastAsia="zh-CN"/>
        </w:rPr>
        <w:t>证书</w:t>
      </w:r>
      <w:r>
        <w:rPr>
          <w:rFonts w:hint="eastAsia" w:ascii="仿宋_GB2312" w:hAnsi="仿宋_GB2312" w:eastAsia="仿宋_GB2312" w:cs="仿宋_GB2312"/>
          <w:color w:val="auto"/>
          <w:sz w:val="24"/>
          <w:highlight w:val="none"/>
        </w:rPr>
        <w:t>复印件。</w:t>
      </w:r>
    </w:p>
    <w:p>
      <w:pPr>
        <w:spacing w:afterLines="0" w:line="360" w:lineRule="auto"/>
        <w:ind w:firstLine="480"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.7人员到位承诺书（按招标文件第3章格式填写）</w:t>
      </w:r>
      <w:r>
        <w:rPr>
          <w:rFonts w:hint="eastAsia" w:ascii="仿宋_GB2312" w:hAnsi="仿宋_GB2312" w:eastAsia="仿宋_GB2312" w:cs="仿宋_GB2312"/>
          <w:color w:val="auto"/>
          <w:sz w:val="24"/>
          <w:highlight w:val="none"/>
          <w:lang w:eastAsia="zh-CN"/>
        </w:rPr>
        <w:t>。</w:t>
      </w:r>
    </w:p>
    <w:p>
      <w:pPr>
        <w:pStyle w:val="2"/>
        <w:spacing w:after="0" w:afterLines="0" w:line="360" w:lineRule="auto"/>
        <w:ind w:firstLine="480" w:firstLineChars="200"/>
        <w:jc w:val="both"/>
        <w:rPr>
          <w:rFonts w:hint="eastAsia" w:ascii="仿宋_GB2312" w:hAnsi="仿宋_GB2312" w:eastAsia="仿宋_GB2312" w:cs="仿宋_GB2312"/>
          <w:b w:val="0"/>
          <w:color w:val="auto"/>
          <w:sz w:val="24"/>
          <w:szCs w:val="20"/>
          <w:highlight w:val="none"/>
          <w:lang w:val="en-US" w:eastAsia="zh-CN"/>
        </w:rPr>
      </w:pPr>
      <w:r>
        <w:rPr>
          <w:rFonts w:hint="eastAsia" w:ascii="仿宋_GB2312" w:hAnsi="仿宋_GB2312" w:eastAsia="仿宋_GB2312" w:cs="仿宋_GB2312"/>
          <w:color w:val="auto"/>
          <w:sz w:val="24"/>
          <w:highlight w:val="none"/>
          <w:lang w:val="en-US" w:eastAsia="zh-CN"/>
        </w:rPr>
        <w:t xml:space="preserve">9.8 </w:t>
      </w:r>
      <w:r>
        <w:rPr>
          <w:rFonts w:hint="eastAsia" w:ascii="仿宋_GB2312" w:hAnsi="仿宋_GB2312" w:eastAsia="仿宋_GB2312" w:cs="仿宋_GB2312"/>
          <w:b w:val="0"/>
          <w:color w:val="auto"/>
          <w:sz w:val="24"/>
          <w:szCs w:val="20"/>
          <w:highlight w:val="none"/>
          <w:lang w:val="en-US" w:eastAsia="zh-CN"/>
        </w:rPr>
        <w:t>投标人</w:t>
      </w:r>
      <w:r>
        <w:rPr>
          <w:rFonts w:hint="eastAsia" w:ascii="仿宋_GB2312" w:hAnsi="仿宋_GB2312" w:eastAsia="仿宋_GB2312" w:cs="仿宋_GB2312"/>
          <w:b w:val="0"/>
          <w:color w:val="auto"/>
          <w:sz w:val="24"/>
          <w:szCs w:val="20"/>
          <w:highlight w:val="none"/>
        </w:rPr>
        <w:t>不存在影响投标公平的关联关系</w:t>
      </w:r>
      <w:r>
        <w:rPr>
          <w:rFonts w:hint="eastAsia" w:ascii="仿宋_GB2312" w:hAnsi="仿宋_GB2312" w:eastAsia="仿宋_GB2312" w:cs="仿宋_GB2312"/>
          <w:b w:val="0"/>
          <w:color w:val="auto"/>
          <w:sz w:val="24"/>
          <w:szCs w:val="20"/>
          <w:highlight w:val="none"/>
          <w:lang w:val="en-US" w:eastAsia="zh-CN"/>
        </w:rPr>
        <w:t>承诺书</w:t>
      </w:r>
      <w:r>
        <w:rPr>
          <w:rFonts w:hint="eastAsia" w:ascii="仿宋_GB2312" w:hAnsi="仿宋_GB2312" w:eastAsia="仿宋_GB2312" w:cs="仿宋_GB2312"/>
          <w:color w:val="auto"/>
          <w:sz w:val="24"/>
          <w:highlight w:val="none"/>
        </w:rPr>
        <w:t>（按招标文件第3章格式填写）</w:t>
      </w:r>
      <w:r>
        <w:rPr>
          <w:rFonts w:hint="eastAsia" w:ascii="仿宋_GB2312" w:hAnsi="仿宋_GB2312" w:eastAsia="仿宋_GB2312" w:cs="仿宋_GB2312"/>
          <w:color w:val="auto"/>
          <w:sz w:val="24"/>
          <w:highlight w:val="none"/>
          <w:lang w:eastAsia="zh-CN"/>
        </w:rPr>
        <w:t>。</w:t>
      </w:r>
    </w:p>
    <w:p>
      <w:pPr>
        <w:spacing w:afterLines="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投标人综合概况（按招标文件第3章格式填写）</w:t>
      </w:r>
      <w:r>
        <w:rPr>
          <w:rFonts w:hint="eastAsia" w:ascii="仿宋_GB2312" w:hAnsi="仿宋_GB2312" w:eastAsia="仿宋_GB2312" w:cs="仿宋_GB2312"/>
          <w:color w:val="auto"/>
          <w:sz w:val="24"/>
          <w:highlight w:val="none"/>
          <w:lang w:eastAsia="zh-CN"/>
        </w:rPr>
        <w:t>。</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10</w:t>
      </w:r>
      <w:r>
        <w:rPr>
          <w:rFonts w:hint="eastAsia" w:ascii="仿宋_GB2312" w:hAnsi="仿宋_GB2312" w:eastAsia="仿宋_GB2312" w:cs="仿宋_GB2312"/>
          <w:color w:val="auto"/>
          <w:sz w:val="24"/>
          <w:highlight w:val="none"/>
        </w:rPr>
        <w:t>参与本项目的人员一览表及证明文件（按招标文件第3章格式填写）</w:t>
      </w:r>
      <w:r>
        <w:rPr>
          <w:rFonts w:hint="eastAsia" w:ascii="仿宋_GB2312" w:hAnsi="仿宋_GB2312" w:eastAsia="仿宋_GB2312" w:cs="仿宋_GB2312"/>
          <w:color w:val="auto"/>
          <w:sz w:val="24"/>
          <w:highlight w:val="none"/>
          <w:lang w:eastAsia="zh-CN"/>
        </w:rPr>
        <w:t>。</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项目负责人相关经验及业绩（按招标文件第3章格式填写）</w:t>
      </w:r>
      <w:r>
        <w:rPr>
          <w:rFonts w:hint="eastAsia" w:ascii="仿宋_GB2312" w:hAnsi="仿宋_GB2312" w:eastAsia="仿宋_GB2312" w:cs="仿宋_GB2312"/>
          <w:color w:val="auto"/>
          <w:sz w:val="24"/>
          <w:highlight w:val="none"/>
          <w:lang w:eastAsia="zh-CN"/>
        </w:rPr>
        <w:t>。</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报价表</w:t>
      </w:r>
      <w:r>
        <w:rPr>
          <w:rFonts w:hint="eastAsia" w:ascii="仿宋_GB2312" w:hAnsi="仿宋_GB2312" w:eastAsia="仿宋_GB2312" w:cs="仿宋_GB2312"/>
          <w:color w:val="auto"/>
          <w:sz w:val="24"/>
          <w:highlight w:val="none"/>
          <w:lang w:eastAsia="zh-CN"/>
        </w:rPr>
        <w:t>（含报价清单）</w:t>
      </w:r>
      <w:r>
        <w:rPr>
          <w:rFonts w:hint="eastAsia" w:ascii="仿宋_GB2312" w:hAnsi="仿宋_GB2312" w:eastAsia="仿宋_GB2312" w:cs="仿宋_GB2312"/>
          <w:color w:val="auto"/>
          <w:sz w:val="24"/>
          <w:highlight w:val="none"/>
        </w:rPr>
        <w:t>。</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技术标文件（独立成册）。</w:t>
      </w:r>
    </w:p>
    <w:p>
      <w:pPr>
        <w:pStyle w:val="8"/>
        <w:ind w:firstLine="480"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9</w:t>
      </w:r>
      <w:r>
        <w:rPr>
          <w:rFonts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r>
        <w:rPr>
          <w:rFonts w:ascii="仿宋_GB2312" w:hAnsi="仿宋_GB2312" w:eastAsia="仿宋_GB2312" w:cs="仿宋_GB2312"/>
          <w:color w:val="auto"/>
          <w:sz w:val="24"/>
          <w:highlight w:val="none"/>
        </w:rPr>
        <w:t xml:space="preserve"> 投标文件电子版（刻录光盘</w:t>
      </w:r>
      <w:r>
        <w:rPr>
          <w:rFonts w:hint="eastAsia" w:ascii="仿宋_GB2312" w:hAnsi="仿宋_GB2312" w:eastAsia="仿宋_GB2312" w:cs="仿宋_GB2312"/>
          <w:color w:val="auto"/>
          <w:sz w:val="24"/>
          <w:highlight w:val="none"/>
          <w:lang w:eastAsia="zh-CN"/>
        </w:rPr>
        <w:t>或提供</w:t>
      </w:r>
      <w:r>
        <w:rPr>
          <w:rFonts w:hint="eastAsia" w:ascii="仿宋_GB2312" w:hAnsi="仿宋_GB2312" w:eastAsia="仿宋_GB2312" w:cs="仿宋_GB2312"/>
          <w:color w:val="auto"/>
          <w:sz w:val="24"/>
          <w:highlight w:val="none"/>
          <w:lang w:val="en-US" w:eastAsia="zh-CN"/>
        </w:rPr>
        <w:t>U盘，需为公司盖章版本</w:t>
      </w:r>
      <w:r>
        <w:rPr>
          <w:rFonts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w:t>
      </w:r>
    </w:p>
    <w:p>
      <w:pPr>
        <w:pStyle w:val="8"/>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9.15投标申请人声明（格式不限）。</w:t>
      </w:r>
    </w:p>
    <w:p>
      <w:pPr>
        <w:pStyle w:val="8"/>
        <w:ind w:firstLine="480"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9.16</w:t>
      </w:r>
      <w:r>
        <w:rPr>
          <w:rFonts w:hint="eastAsia" w:ascii="仿宋_GB2312" w:hAnsi="仿宋_GB2312" w:eastAsia="仿宋_GB2312" w:cs="仿宋_GB2312"/>
          <w:color w:val="auto"/>
          <w:sz w:val="24"/>
          <w:highlight w:val="none"/>
          <w:lang w:eastAsia="zh-CN"/>
        </w:rPr>
        <w:t>项目实施方案。</w:t>
      </w:r>
    </w:p>
    <w:p>
      <w:pPr>
        <w:pStyle w:val="8"/>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9.17投标人认为需要提供的其他文件（如企业业绩、</w:t>
      </w:r>
      <w:r>
        <w:rPr>
          <w:rFonts w:hint="eastAsia" w:ascii="仿宋_GB2312" w:hAnsi="仿宋_GB2312" w:eastAsia="仿宋_GB2312" w:cs="仿宋_GB2312"/>
          <w:color w:val="auto"/>
          <w:sz w:val="24"/>
          <w:szCs w:val="21"/>
          <w:highlight w:val="none"/>
        </w:rPr>
        <w:t>投标人未被列入“信用中国”网站</w:t>
      </w:r>
      <w:r>
        <w:rPr>
          <w:rFonts w:hint="eastAsia" w:ascii="仿宋_GB2312" w:hAnsi="仿宋_GB2312" w:eastAsia="仿宋_GB2312" w:cs="仿宋_GB2312"/>
          <w:color w:val="auto"/>
          <w:sz w:val="24"/>
          <w:szCs w:val="21"/>
          <w:highlight w:val="none"/>
          <w:lang w:eastAsia="zh-CN"/>
        </w:rPr>
        <w:t>（</w:t>
      </w:r>
      <w:r>
        <w:rPr>
          <w:rFonts w:hint="eastAsia" w:ascii="仿宋_GB2312" w:hAnsi="仿宋_GB2312" w:eastAsia="仿宋_GB2312" w:cs="仿宋_GB2312"/>
          <w:color w:val="auto"/>
          <w:sz w:val="24"/>
          <w:szCs w:val="21"/>
          <w:highlight w:val="none"/>
        </w:rPr>
        <w:t>www.creditchina.gov.cn</w:t>
      </w:r>
      <w:r>
        <w:rPr>
          <w:rFonts w:hint="eastAsia" w:ascii="仿宋_GB2312" w:hAnsi="仿宋_GB2312" w:eastAsia="仿宋_GB2312" w:cs="仿宋_GB2312"/>
          <w:color w:val="auto"/>
          <w:sz w:val="24"/>
          <w:szCs w:val="21"/>
          <w:highlight w:val="none"/>
          <w:lang w:eastAsia="zh-CN"/>
        </w:rPr>
        <w:t>）</w:t>
      </w:r>
      <w:r>
        <w:rPr>
          <w:rFonts w:hint="eastAsia" w:ascii="仿宋_GB2312" w:hAnsi="仿宋_GB2312" w:eastAsia="仿宋_GB2312" w:cs="仿宋_GB2312"/>
          <w:color w:val="auto"/>
          <w:sz w:val="24"/>
          <w:szCs w:val="21"/>
          <w:highlight w:val="none"/>
        </w:rPr>
        <w:t>“失信被执行人或重大税收违法失信主体”记录名单</w:t>
      </w:r>
      <w:r>
        <w:rPr>
          <w:rFonts w:hint="eastAsia" w:ascii="仿宋_GB2312" w:hAnsi="仿宋_GB2312" w:eastAsia="仿宋_GB2312" w:cs="仿宋_GB2312"/>
          <w:color w:val="auto"/>
          <w:sz w:val="24"/>
          <w:szCs w:val="21"/>
          <w:highlight w:val="none"/>
          <w:lang w:val="en-US" w:eastAsia="zh-CN"/>
        </w:rPr>
        <w:t>查询证明文件</w:t>
      </w:r>
      <w:r>
        <w:rPr>
          <w:rFonts w:hint="eastAsia" w:ascii="仿宋_GB2312" w:hAnsi="仿宋_GB2312" w:eastAsia="仿宋_GB2312" w:cs="仿宋_GB2312"/>
          <w:color w:val="auto"/>
          <w:sz w:val="24"/>
          <w:highlight w:val="none"/>
          <w:lang w:val="en-US" w:eastAsia="zh-CN"/>
        </w:rPr>
        <w:t>等）。</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1</w:t>
      </w:r>
      <w:r>
        <w:rPr>
          <w:rFonts w:hint="eastAsia" w:ascii="仿宋_GB2312" w:hAnsi="仿宋_GB2312" w:eastAsia="仿宋_GB2312" w:cs="仿宋_GB2312"/>
          <w:b/>
          <w:color w:val="auto"/>
          <w:sz w:val="24"/>
          <w:szCs w:val="24"/>
          <w:highlight w:val="none"/>
          <w:lang w:val="en-US" w:eastAsia="zh-CN"/>
        </w:rPr>
        <w:t>0</w:t>
      </w:r>
      <w:r>
        <w:rPr>
          <w:rFonts w:hint="eastAsia" w:ascii="仿宋_GB2312" w:hAnsi="仿宋_GB2312" w:eastAsia="仿宋_GB2312" w:cs="仿宋_GB2312"/>
          <w:b/>
          <w:color w:val="auto"/>
          <w:sz w:val="24"/>
          <w:szCs w:val="24"/>
          <w:highlight w:val="none"/>
        </w:rPr>
        <w:t>．投标文件格式</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rPr>
        <w:t>.1 投标文件包括本须知第</w:t>
      </w:r>
      <w:r>
        <w:rPr>
          <w:rFonts w:hint="eastAsia" w:ascii="仿宋_GB2312" w:hAnsi="仿宋_GB2312" w:eastAsia="仿宋_GB2312" w:cs="仿宋_GB2312"/>
          <w:color w:val="auto"/>
          <w:sz w:val="24"/>
          <w:szCs w:val="24"/>
          <w:highlight w:val="none"/>
          <w:lang w:val="en-US" w:eastAsia="zh-CN"/>
        </w:rPr>
        <w:t>17</w:t>
      </w:r>
      <w:r>
        <w:rPr>
          <w:rFonts w:hint="eastAsia" w:ascii="仿宋_GB2312" w:hAnsi="仿宋_GB2312" w:eastAsia="仿宋_GB2312" w:cs="仿宋_GB2312"/>
          <w:color w:val="auto"/>
          <w:sz w:val="24"/>
          <w:szCs w:val="24"/>
          <w:highlight w:val="none"/>
        </w:rPr>
        <w:t>条中规定的内容，投标人提交的投标文件应当使用招标文件所提供的投标格式文件的格式（表格可以按同样格式扩展）。</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1</w:t>
      </w:r>
      <w:r>
        <w:rPr>
          <w:rFonts w:hint="eastAsia" w:ascii="仿宋_GB2312" w:hAnsi="仿宋_GB2312" w:eastAsia="仿宋_GB2312" w:cs="仿宋_GB2312"/>
          <w:b/>
          <w:color w:val="auto"/>
          <w:sz w:val="24"/>
          <w:szCs w:val="24"/>
          <w:highlight w:val="none"/>
          <w:lang w:val="en-US" w:eastAsia="zh-CN"/>
        </w:rPr>
        <w:t>1</w:t>
      </w:r>
      <w:r>
        <w:rPr>
          <w:rFonts w:hint="eastAsia" w:ascii="仿宋_GB2312" w:hAnsi="仿宋_GB2312" w:eastAsia="仿宋_GB2312" w:cs="仿宋_GB2312"/>
          <w:b/>
          <w:color w:val="auto"/>
          <w:sz w:val="24"/>
          <w:szCs w:val="24"/>
          <w:highlight w:val="none"/>
        </w:rPr>
        <w:t>．投标报价</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.1 本次投标报价采用投标须知前附表第1</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项所规定的方式。</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投标报价方式：投标单位自行报价</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投标报价不</w:t>
      </w:r>
      <w:r>
        <w:rPr>
          <w:rFonts w:hint="eastAsia" w:ascii="仿宋_GB2312" w:hAnsi="仿宋_GB2312" w:eastAsia="仿宋_GB2312" w:cs="仿宋_GB2312"/>
          <w:color w:val="auto"/>
          <w:sz w:val="24"/>
          <w:szCs w:val="24"/>
          <w:highlight w:val="none"/>
          <w:lang w:eastAsia="zh-CN"/>
        </w:rPr>
        <w:t>能</w:t>
      </w:r>
      <w:r>
        <w:rPr>
          <w:rFonts w:hint="eastAsia" w:ascii="仿宋_GB2312" w:hAnsi="仿宋_GB2312" w:eastAsia="仿宋_GB2312" w:cs="仿宋_GB2312"/>
          <w:color w:val="auto"/>
          <w:sz w:val="24"/>
          <w:szCs w:val="24"/>
          <w:highlight w:val="none"/>
        </w:rPr>
        <w:t>超过</w:t>
      </w:r>
      <w:r>
        <w:rPr>
          <w:rFonts w:hint="eastAsia" w:ascii="仿宋_GB2312" w:hAnsi="仿宋_GB2312" w:eastAsia="仿宋_GB2312" w:cs="仿宋_GB2312"/>
          <w:color w:val="auto"/>
          <w:sz w:val="24"/>
          <w:szCs w:val="24"/>
          <w:highlight w:val="none"/>
          <w:lang w:eastAsia="zh-CN"/>
        </w:rPr>
        <w:t>招标控制价，否则按废标处理</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保留</w:t>
      </w:r>
      <w:r>
        <w:rPr>
          <w:rFonts w:hint="eastAsia" w:ascii="仿宋_GB2312" w:hAnsi="仿宋_GB2312" w:eastAsia="仿宋_GB2312" w:cs="仿宋_GB2312"/>
          <w:color w:val="auto"/>
          <w:sz w:val="24"/>
          <w:szCs w:val="24"/>
          <w:highlight w:val="none"/>
        </w:rPr>
        <w:t>小数点后</w:t>
      </w:r>
      <w:r>
        <w:rPr>
          <w:rFonts w:hint="eastAsia" w:ascii="仿宋_GB2312" w:hAnsi="仿宋_GB2312" w:eastAsia="仿宋_GB2312" w:cs="仿宋_GB2312"/>
          <w:color w:val="auto"/>
          <w:sz w:val="24"/>
          <w:szCs w:val="24"/>
          <w:highlight w:val="none"/>
          <w:lang w:eastAsia="zh-CN"/>
        </w:rPr>
        <w:t>两位</w:t>
      </w:r>
      <w:r>
        <w:rPr>
          <w:rFonts w:hint="eastAsia" w:ascii="仿宋_GB2312" w:hAnsi="仿宋_GB2312" w:eastAsia="仿宋_GB2312" w:cs="仿宋_GB2312"/>
          <w:color w:val="auto"/>
          <w:sz w:val="24"/>
          <w:szCs w:val="24"/>
          <w:highlight w:val="none"/>
        </w:rPr>
        <w:t>小数，第三位小数四舍五入）</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1</w:t>
      </w: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．投标货币</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.1 本次投标报价采用的币种为</w:t>
      </w:r>
      <w:r>
        <w:rPr>
          <w:rFonts w:hint="eastAsia" w:ascii="仿宋_GB2312" w:hAnsi="仿宋_GB2312" w:eastAsia="仿宋_GB2312" w:cs="仿宋_GB2312"/>
          <w:b/>
          <w:color w:val="auto"/>
          <w:sz w:val="24"/>
          <w:szCs w:val="24"/>
          <w:highlight w:val="none"/>
        </w:rPr>
        <w:t>人民币</w:t>
      </w:r>
      <w:r>
        <w:rPr>
          <w:rFonts w:hint="eastAsia" w:ascii="仿宋_GB2312" w:hAnsi="仿宋_GB2312" w:eastAsia="仿宋_GB2312" w:cs="仿宋_GB2312"/>
          <w:color w:val="auto"/>
          <w:sz w:val="24"/>
          <w:szCs w:val="24"/>
          <w:highlight w:val="none"/>
        </w:rPr>
        <w:t>。</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1</w:t>
      </w:r>
      <w:r>
        <w:rPr>
          <w:rFonts w:hint="eastAsia" w:ascii="仿宋_GB2312" w:hAnsi="仿宋_GB2312" w:eastAsia="仿宋_GB2312" w:cs="仿宋_GB2312"/>
          <w:b/>
          <w:color w:val="auto"/>
          <w:sz w:val="24"/>
          <w:szCs w:val="24"/>
          <w:highlight w:val="none"/>
          <w:lang w:val="en-US" w:eastAsia="zh-CN"/>
        </w:rPr>
        <w:t>3</w:t>
      </w:r>
      <w:r>
        <w:rPr>
          <w:rFonts w:hint="eastAsia" w:ascii="仿宋_GB2312" w:hAnsi="仿宋_GB2312" w:eastAsia="仿宋_GB2312" w:cs="仿宋_GB2312"/>
          <w:b/>
          <w:color w:val="auto"/>
          <w:sz w:val="24"/>
          <w:szCs w:val="24"/>
          <w:highlight w:val="none"/>
        </w:rPr>
        <w:t>．投标有效期</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.1 投标有效期见投标须知前附表第1</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项所规定的期限，在此期限内，凡符合本招标文件要求的投标文件均保持有效。</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1</w:t>
      </w:r>
      <w:r>
        <w:rPr>
          <w:rFonts w:hint="eastAsia" w:ascii="仿宋_GB2312" w:hAnsi="仿宋_GB2312" w:eastAsia="仿宋_GB2312" w:cs="仿宋_GB2312"/>
          <w:b/>
          <w:color w:val="auto"/>
          <w:sz w:val="24"/>
          <w:szCs w:val="24"/>
          <w:highlight w:val="none"/>
          <w:lang w:val="en-US" w:eastAsia="zh-CN"/>
        </w:rPr>
        <w:t>4</w:t>
      </w:r>
      <w:r>
        <w:rPr>
          <w:rFonts w:hint="eastAsia" w:ascii="仿宋_GB2312" w:hAnsi="仿宋_GB2312" w:eastAsia="仿宋_GB2312" w:cs="仿宋_GB2312"/>
          <w:b/>
          <w:color w:val="auto"/>
          <w:sz w:val="24"/>
          <w:szCs w:val="24"/>
          <w:highlight w:val="none"/>
        </w:rPr>
        <w:t>．投标文件的份数和签署</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.1 投标人应按投标须知前附表第</w:t>
      </w:r>
      <w:r>
        <w:rPr>
          <w:rFonts w:hint="eastAsia" w:ascii="仿宋_GB2312" w:hAnsi="仿宋_GB2312" w:eastAsia="仿宋_GB2312" w:cs="仿宋_GB2312"/>
          <w:color w:val="auto"/>
          <w:sz w:val="24"/>
          <w:szCs w:val="24"/>
          <w:highlight w:val="none"/>
          <w:lang w:val="en-US" w:eastAsia="zh-CN"/>
        </w:rPr>
        <w:t>17</w:t>
      </w:r>
      <w:r>
        <w:rPr>
          <w:rFonts w:hint="eastAsia" w:ascii="仿宋_GB2312" w:hAnsi="仿宋_GB2312" w:eastAsia="仿宋_GB2312" w:cs="仿宋_GB2312"/>
          <w:color w:val="auto"/>
          <w:sz w:val="24"/>
          <w:szCs w:val="24"/>
          <w:highlight w:val="none"/>
        </w:rPr>
        <w:t>项规定的份数提交投标文件。</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.4 除投标人对错误处须修改外，全套投标文件应无涂改或行间插字和增删。如有修改，修改处应盖校对章或法定代表人签字（或盖私章）或委托代理人签字（或盖私章），并加盖单位公章。</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投标文件的规格：统一A4印刷本，纸质封面，可双面或单面打印。封面标明招标项目名称、投标人、投标时间，右上角打上正本（或副本）。使用书式装订，装订时书订不外露；不能使用塑料面或塑料胶条装订。</w:t>
      </w:r>
    </w:p>
    <w:p>
      <w:pPr>
        <w:pStyle w:val="13"/>
        <w:widowControl/>
        <w:spacing w:beforeAutospacing="0"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四</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投标文件的提交</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1</w:t>
      </w:r>
      <w:r>
        <w:rPr>
          <w:rFonts w:hint="eastAsia" w:ascii="仿宋_GB2312" w:hAnsi="仿宋_GB2312" w:eastAsia="仿宋_GB2312" w:cs="仿宋_GB2312"/>
          <w:b/>
          <w:color w:val="auto"/>
          <w:sz w:val="24"/>
          <w:szCs w:val="24"/>
          <w:highlight w:val="none"/>
          <w:lang w:val="en-US" w:eastAsia="zh-CN"/>
        </w:rPr>
        <w:t>5</w:t>
      </w:r>
      <w:r>
        <w:rPr>
          <w:rFonts w:hint="eastAsia" w:ascii="仿宋_GB2312" w:hAnsi="仿宋_GB2312" w:eastAsia="仿宋_GB2312" w:cs="仿宋_GB2312"/>
          <w:b/>
          <w:color w:val="auto"/>
          <w:sz w:val="24"/>
          <w:szCs w:val="24"/>
          <w:highlight w:val="none"/>
        </w:rPr>
        <w:t>．投标文件的包封、密封和标记</w:t>
      </w:r>
    </w:p>
    <w:p>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投标文件的包封要求：商务标正本（1本）、副本（4本）一起包封；技术标正本（1本）、副本（4本）一起包封。</w:t>
      </w:r>
    </w:p>
    <w:p>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.2投标文件的密封要求：投标人应确保密闭封装、并加盖骑缝公章。</w:t>
      </w:r>
    </w:p>
    <w:p>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.3投标文件的标记要求：每个包封上应具有以下标记：</w:t>
      </w:r>
    </w:p>
    <w:p>
      <w:pPr>
        <w:snapToGrid w:val="0"/>
        <w:spacing w:line="360" w:lineRule="auto"/>
        <w:ind w:left="1" w:hanging="1"/>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.3.1招标人的名称和地址：</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w:t>
      </w:r>
      <w:r>
        <w:rPr>
          <w:rFonts w:hint="eastAsia" w:ascii="仿宋_GB2312" w:hAnsi="仿宋_GB2312" w:eastAsia="仿宋_GB2312" w:cs="仿宋_GB2312"/>
          <w:color w:val="auto"/>
          <w:sz w:val="24"/>
          <w:highlight w:val="none"/>
          <w:u w:val="single"/>
        </w:rPr>
        <w:t xml:space="preserve">           </w:t>
      </w:r>
    </w:p>
    <w:p>
      <w:pPr>
        <w:snapToGrid w:val="0"/>
        <w:spacing w:line="360" w:lineRule="auto"/>
        <w:ind w:left="1" w:hanging="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.3.2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w:t>
      </w:r>
    </w:p>
    <w:p>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前不得开封</w:t>
      </w:r>
    </w:p>
    <w:p>
      <w:pPr>
        <w:snapToGrid w:val="0"/>
        <w:spacing w:line="360" w:lineRule="auto"/>
        <w:ind w:left="1" w:hanging="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.4在包封上应写明投标人的名称与地址，以便投标被宣布迟到时，能原封退回。</w:t>
      </w:r>
    </w:p>
    <w:p>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.5如果包封上没有按上述规定密封并加写标志，招标人将不承担投标文件错放或提前开封的责任，由此造成的提前开封的投标文件，招标人予以拒绝，并退还给投标人。</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w:t>
      </w: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．投标</w:t>
      </w:r>
      <w:r>
        <w:rPr>
          <w:rFonts w:hint="eastAsia" w:ascii="仿宋_GB2312" w:hAnsi="仿宋_GB2312" w:eastAsia="仿宋_GB2312" w:cs="仿宋_GB2312"/>
          <w:b/>
          <w:color w:val="auto"/>
          <w:sz w:val="24"/>
          <w:szCs w:val="24"/>
          <w:highlight w:val="none"/>
        </w:rPr>
        <w:t>文件</w:t>
      </w:r>
      <w:r>
        <w:rPr>
          <w:rFonts w:hint="eastAsia" w:ascii="仿宋_GB2312" w:hAnsi="仿宋_GB2312" w:eastAsia="仿宋_GB2312" w:cs="仿宋_GB2312"/>
          <w:b/>
          <w:color w:val="auto"/>
          <w:sz w:val="24"/>
          <w:highlight w:val="none"/>
        </w:rPr>
        <w:t>的提交</w:t>
      </w:r>
    </w:p>
    <w:p>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.1 投标人应按投标须知前附表第1</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项所规定的地点，于截止时间前提交投标文件，并办理好送达</w:t>
      </w:r>
      <w:r>
        <w:rPr>
          <w:rFonts w:hint="eastAsia" w:ascii="仿宋_GB2312" w:hAnsi="仿宋_GB2312" w:eastAsia="仿宋_GB2312" w:cs="仿宋_GB2312"/>
          <w:color w:val="auto"/>
          <w:sz w:val="24"/>
          <w:highlight w:val="none"/>
          <w:lang w:eastAsia="zh-CN"/>
        </w:rPr>
        <w:t>确认</w:t>
      </w:r>
      <w:r>
        <w:rPr>
          <w:rFonts w:hint="eastAsia" w:ascii="仿宋_GB2312" w:hAnsi="仿宋_GB2312" w:eastAsia="仿宋_GB2312" w:cs="仿宋_GB2312"/>
          <w:color w:val="auto"/>
          <w:sz w:val="24"/>
          <w:highlight w:val="none"/>
        </w:rPr>
        <w:t>手续。</w:t>
      </w:r>
    </w:p>
    <w:p>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.2投标文件提交人在提交投标文件时应出示法定代表人证明书（原件）、法定代表人授权委托证明书（原件）及本人身份证（原件）提交投标文件。</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17</w:t>
      </w:r>
      <w:r>
        <w:rPr>
          <w:rFonts w:hint="eastAsia" w:ascii="仿宋_GB2312" w:hAnsi="仿宋_GB2312" w:eastAsia="仿宋_GB2312" w:cs="仿宋_GB2312"/>
          <w:b/>
          <w:color w:val="auto"/>
          <w:sz w:val="24"/>
          <w:highlight w:val="none"/>
        </w:rPr>
        <w:t>．投标文件提交的截止时间</w:t>
      </w:r>
    </w:p>
    <w:p>
      <w:pPr>
        <w:spacing w:line="360" w:lineRule="auto"/>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lang w:val="en-US" w:eastAsia="zh-CN"/>
        </w:rPr>
        <w:t>17</w:t>
      </w:r>
      <w:r>
        <w:rPr>
          <w:rFonts w:hint="eastAsia" w:ascii="仿宋_GB2312" w:hAnsi="仿宋_GB2312" w:eastAsia="仿宋_GB2312" w:cs="仿宋_GB2312"/>
          <w:color w:val="auto"/>
          <w:sz w:val="24"/>
          <w:highlight w:val="none"/>
        </w:rPr>
        <w:t>.1投标人应按前附表第1</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项所述的地点、日期和时间将投标文件提交给招标人。</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 xml:space="preserve"> 到投标截止时间止，招标人收到的投标文件少于3家的，招标人将依法重新选择邀请单位重新组织招标，三次招标仍少于三家投标单位则由</w:t>
      </w:r>
      <w:r>
        <w:rPr>
          <w:rFonts w:hint="eastAsia" w:ascii="仿宋_GB2312" w:hAnsi="仿宋_GB2312" w:eastAsia="仿宋_GB2312" w:cs="仿宋_GB2312"/>
          <w:color w:val="auto"/>
          <w:sz w:val="24"/>
          <w:highlight w:val="none"/>
          <w:lang w:val="en-US" w:eastAsia="zh-CN"/>
        </w:rPr>
        <w:t>招标人按照相关法律法规及公司内部管理制度委托服务单位</w:t>
      </w:r>
      <w:r>
        <w:rPr>
          <w:rFonts w:hint="eastAsia" w:ascii="仿宋_GB2312" w:hAnsi="仿宋_GB2312" w:eastAsia="仿宋_GB2312" w:cs="仿宋_GB2312"/>
          <w:color w:val="auto"/>
          <w:sz w:val="24"/>
          <w:highlight w:val="none"/>
        </w:rPr>
        <w:t>承接该项目。</w:t>
      </w:r>
    </w:p>
    <w:p>
      <w:pPr>
        <w:pStyle w:val="13"/>
        <w:widowControl/>
        <w:spacing w:beforeAutospacing="0" w:after="0" w:line="360" w:lineRule="auto"/>
        <w:ind w:firstLine="482" w:firstLineChars="200"/>
        <w:outlineLvl w:val="3"/>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lang w:val="en-US" w:eastAsia="zh-CN"/>
        </w:rPr>
        <w:t>18</w:t>
      </w:r>
      <w:r>
        <w:rPr>
          <w:rFonts w:hint="eastAsia" w:ascii="仿宋_GB2312" w:hAnsi="仿宋_GB2312" w:eastAsia="仿宋_GB2312" w:cs="仿宋_GB2312"/>
          <w:b/>
          <w:color w:val="auto"/>
          <w:sz w:val="24"/>
          <w:highlight w:val="none"/>
        </w:rPr>
        <w:t>．迟交的投标文件</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rPr>
        <w:t>.1 招标人在本须知第</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rPr>
        <w:t>条规定的投标截止时间以后收到的投标文件，将被拒绝并退回给投标人。</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19</w:t>
      </w:r>
      <w:r>
        <w:rPr>
          <w:rFonts w:hint="eastAsia" w:ascii="仿宋_GB2312" w:hAnsi="仿宋_GB2312" w:eastAsia="仿宋_GB2312" w:cs="仿宋_GB2312"/>
          <w:b/>
          <w:color w:val="auto"/>
          <w:sz w:val="24"/>
          <w:highlight w:val="none"/>
        </w:rPr>
        <w:t>．投标文件的补充、修改与撤回</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.2 投标人对投标文件的补充、修改，应按本须知第1</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条有关规定密封、标记和提交，并在投标文件密封袋上清楚标明“补充、修改”或“撤回”字样。</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.3 在投标截止时间之后，投标人不得补充、修改投标文件。</w:t>
      </w:r>
    </w:p>
    <w:p>
      <w:pPr>
        <w:spacing w:line="360" w:lineRule="auto"/>
        <w:ind w:firstLine="482" w:firstLineChars="200"/>
        <w:outlineLvl w:val="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五</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开标</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20</w:t>
      </w:r>
      <w:r>
        <w:rPr>
          <w:rFonts w:hint="eastAsia" w:ascii="仿宋_GB2312" w:hAnsi="仿宋_GB2312" w:eastAsia="仿宋_GB2312" w:cs="仿宋_GB2312"/>
          <w:b/>
          <w:color w:val="auto"/>
          <w:sz w:val="24"/>
          <w:highlight w:val="none"/>
        </w:rPr>
        <w:t>．开标</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0</w:t>
      </w:r>
      <w:r>
        <w:rPr>
          <w:rFonts w:hint="eastAsia" w:ascii="仿宋_GB2312" w:hAnsi="仿宋_GB2312" w:eastAsia="仿宋_GB2312" w:cs="仿宋_GB2312"/>
          <w:color w:val="auto"/>
          <w:sz w:val="24"/>
          <w:highlight w:val="none"/>
        </w:rPr>
        <w:t>.1 招标人按投标须知前附表第</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0</w:t>
      </w:r>
      <w:r>
        <w:rPr>
          <w:rFonts w:hint="eastAsia" w:ascii="仿宋_GB2312" w:hAnsi="仿宋_GB2312" w:eastAsia="仿宋_GB2312" w:cs="仿宋_GB2312"/>
          <w:color w:val="auto"/>
          <w:sz w:val="24"/>
          <w:highlight w:val="none"/>
        </w:rPr>
        <w:t>.2 按规定提交合格的撤回通知的投标文件不予开封，并退回给投标人；</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0</w:t>
      </w:r>
      <w:r>
        <w:rPr>
          <w:rFonts w:hint="eastAsia" w:ascii="仿宋_GB2312" w:hAnsi="仿宋_GB2312" w:eastAsia="仿宋_GB2312" w:cs="仿宋_GB2312"/>
          <w:color w:val="auto"/>
          <w:sz w:val="24"/>
          <w:highlight w:val="none"/>
        </w:rPr>
        <w:t>.3 招标人在招标文件要求提交投标文件的截止时间前收到的投标文件，开标时都当众予以拆封、宣读。</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0</w:t>
      </w:r>
      <w:r>
        <w:rPr>
          <w:rFonts w:hint="eastAsia" w:ascii="仿宋_GB2312" w:hAnsi="仿宋_GB2312" w:eastAsia="仿宋_GB2312" w:cs="仿宋_GB2312"/>
          <w:color w:val="auto"/>
          <w:sz w:val="24"/>
          <w:highlight w:val="none"/>
        </w:rPr>
        <w:t>.4开标程序：</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1）开标由招标人主持；</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3）经确认无误后，由有关工作人员公布下列内容：a.法定代表人证明及授权委托；b.</w:t>
      </w:r>
      <w:r>
        <w:rPr>
          <w:rFonts w:hint="eastAsia" w:ascii="仿宋_GB2312" w:hAnsi="仿宋_GB2312" w:eastAsia="仿宋_GB2312" w:cs="仿宋_GB2312"/>
          <w:color w:val="auto"/>
          <w:szCs w:val="21"/>
          <w:highlight w:val="none"/>
        </w:rPr>
        <w:t xml:space="preserve"> </w:t>
      </w:r>
      <w:r>
        <w:rPr>
          <w:rFonts w:hint="eastAsia" w:ascii="仿宋_GB2312" w:hAnsi="仿宋_GB2312" w:eastAsia="仿宋_GB2312" w:cs="仿宋_GB2312"/>
          <w:color w:val="auto"/>
          <w:sz w:val="24"/>
          <w:highlight w:val="none"/>
        </w:rPr>
        <w:t>标书密封情况；c.投标报价；d.服务期；e. 质量目标；f.项目负责人等主要内容。</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0</w:t>
      </w:r>
      <w:r>
        <w:rPr>
          <w:rFonts w:hint="eastAsia" w:ascii="仿宋_GB2312" w:hAnsi="仿宋_GB2312" w:eastAsia="仿宋_GB2312" w:cs="仿宋_GB2312"/>
          <w:color w:val="auto"/>
          <w:sz w:val="24"/>
          <w:highlight w:val="none"/>
        </w:rPr>
        <w:t>.5 招标人对开标过程进行记录，并存档备查，投标人在开标记录上签字，以确认对所宣读的内容没有任何异议。</w:t>
      </w:r>
    </w:p>
    <w:p>
      <w:pPr>
        <w:spacing w:line="360" w:lineRule="auto"/>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0</w:t>
      </w:r>
      <w:r>
        <w:rPr>
          <w:rFonts w:hint="eastAsia" w:ascii="仿宋_GB2312" w:hAnsi="仿宋_GB2312" w:eastAsia="仿宋_GB2312" w:cs="仿宋_GB2312"/>
          <w:b/>
          <w:color w:val="auto"/>
          <w:sz w:val="24"/>
          <w:highlight w:val="none"/>
        </w:rPr>
        <w:t>.6 投标文件有下列情形之一的，招标人不予受理：</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0</w:t>
      </w:r>
      <w:r>
        <w:rPr>
          <w:rFonts w:hint="eastAsia" w:ascii="仿宋_GB2312" w:hAnsi="仿宋_GB2312" w:eastAsia="仿宋_GB2312" w:cs="仿宋_GB2312"/>
          <w:color w:val="auto"/>
          <w:sz w:val="24"/>
          <w:highlight w:val="none"/>
        </w:rPr>
        <w:t>.6.1逾期送达的或者未送达指定地点的；</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0</w:t>
      </w:r>
      <w:r>
        <w:rPr>
          <w:rFonts w:hint="eastAsia" w:ascii="仿宋_GB2312" w:hAnsi="仿宋_GB2312" w:eastAsia="仿宋_GB2312" w:cs="仿宋_GB2312"/>
          <w:color w:val="auto"/>
          <w:sz w:val="24"/>
          <w:highlight w:val="none"/>
        </w:rPr>
        <w:t>.6.2未按招标文件要求密封的。</w:t>
      </w:r>
    </w:p>
    <w:p>
      <w:pPr>
        <w:spacing w:line="360" w:lineRule="auto"/>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0</w:t>
      </w:r>
      <w:r>
        <w:rPr>
          <w:rFonts w:hint="eastAsia" w:ascii="仿宋_GB2312" w:hAnsi="仿宋_GB2312" w:eastAsia="仿宋_GB2312" w:cs="仿宋_GB2312"/>
          <w:b/>
          <w:color w:val="auto"/>
          <w:sz w:val="24"/>
          <w:highlight w:val="none"/>
        </w:rPr>
        <w:t>.7招标人将上述符合要求的投标文件，送至</w:t>
      </w:r>
      <w:r>
        <w:rPr>
          <w:rFonts w:hint="eastAsia" w:ascii="仿宋_GB2312" w:hAnsi="仿宋_GB2312" w:eastAsia="仿宋_GB2312" w:cs="仿宋_GB2312"/>
          <w:b/>
          <w:color w:val="auto"/>
          <w:sz w:val="24"/>
          <w:highlight w:val="none"/>
          <w:lang w:eastAsia="zh-CN"/>
        </w:rPr>
        <w:t>评标小组</w:t>
      </w:r>
      <w:r>
        <w:rPr>
          <w:rFonts w:hint="eastAsia" w:ascii="仿宋_GB2312" w:hAnsi="仿宋_GB2312" w:eastAsia="仿宋_GB2312" w:cs="仿宋_GB2312"/>
          <w:b/>
          <w:color w:val="auto"/>
          <w:sz w:val="24"/>
          <w:highlight w:val="none"/>
        </w:rPr>
        <w:t>进行评审的。</w:t>
      </w:r>
    </w:p>
    <w:p>
      <w:pPr>
        <w:spacing w:line="360" w:lineRule="auto"/>
        <w:ind w:firstLine="482" w:firstLineChars="200"/>
        <w:outlineLvl w:val="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六</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评标</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1</w:t>
      </w:r>
      <w:r>
        <w:rPr>
          <w:rFonts w:hint="eastAsia" w:ascii="仿宋_GB2312" w:hAnsi="仿宋_GB2312" w:eastAsia="仿宋_GB2312" w:cs="仿宋_GB2312"/>
          <w:b/>
          <w:color w:val="auto"/>
          <w:sz w:val="24"/>
          <w:highlight w:val="none"/>
        </w:rPr>
        <w:t>．评标过程的保密</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.2 在投标文件的评审和比较、中标候选人推荐以及授予合同的过程中，投标人向招标人和</w:t>
      </w:r>
      <w:r>
        <w:rPr>
          <w:rFonts w:hint="eastAsia" w:ascii="仿宋_GB2312" w:hAnsi="仿宋_GB2312" w:eastAsia="仿宋_GB2312" w:cs="仿宋_GB2312"/>
          <w:color w:val="auto"/>
          <w:sz w:val="24"/>
          <w:highlight w:val="none"/>
          <w:lang w:eastAsia="zh-CN"/>
        </w:rPr>
        <w:t>评标小组</w:t>
      </w:r>
      <w:r>
        <w:rPr>
          <w:rFonts w:hint="eastAsia" w:ascii="仿宋_GB2312" w:hAnsi="仿宋_GB2312" w:eastAsia="仿宋_GB2312" w:cs="仿宋_GB2312"/>
          <w:color w:val="auto"/>
          <w:sz w:val="24"/>
          <w:highlight w:val="none"/>
        </w:rPr>
        <w:t>施加影响的任何行为，都将会导致其投标被拒绝。</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.3 中标人确定后，招标人不对未中标人就评标过程以及未能中标原因作出任何解释。未中标人不得向</w:t>
      </w:r>
      <w:r>
        <w:rPr>
          <w:rFonts w:hint="eastAsia" w:ascii="仿宋_GB2312" w:hAnsi="仿宋_GB2312" w:eastAsia="仿宋_GB2312" w:cs="仿宋_GB2312"/>
          <w:color w:val="auto"/>
          <w:sz w:val="24"/>
          <w:highlight w:val="none"/>
          <w:lang w:eastAsia="zh-CN"/>
        </w:rPr>
        <w:t>评标小组</w:t>
      </w:r>
      <w:r>
        <w:rPr>
          <w:rFonts w:hint="eastAsia" w:ascii="仿宋_GB2312" w:hAnsi="仿宋_GB2312" w:eastAsia="仿宋_GB2312" w:cs="仿宋_GB2312"/>
          <w:color w:val="auto"/>
          <w:sz w:val="24"/>
          <w:highlight w:val="none"/>
        </w:rPr>
        <w:t>组成人员或其他有关人员</w:t>
      </w:r>
      <w:r>
        <w:rPr>
          <w:rFonts w:hint="eastAsia" w:ascii="仿宋_GB2312" w:hAnsi="仿宋_GB2312" w:eastAsia="仿宋_GB2312" w:cs="仿宋_GB2312"/>
          <w:color w:val="auto"/>
          <w:sz w:val="24"/>
          <w:highlight w:val="none"/>
          <w:lang w:eastAsia="zh-CN"/>
        </w:rPr>
        <w:t>询问</w:t>
      </w:r>
      <w:r>
        <w:rPr>
          <w:rFonts w:hint="eastAsia" w:ascii="仿宋_GB2312" w:hAnsi="仿宋_GB2312" w:eastAsia="仿宋_GB2312" w:cs="仿宋_GB2312"/>
          <w:color w:val="auto"/>
          <w:sz w:val="24"/>
          <w:highlight w:val="none"/>
        </w:rPr>
        <w:t>评标过程的情况和材料。</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rPr>
        <w:t>．投标文件的澄清</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.1 为有助于投标文件的审查、评价和比较，</w:t>
      </w:r>
      <w:r>
        <w:rPr>
          <w:rFonts w:hint="eastAsia" w:ascii="仿宋_GB2312" w:hAnsi="仿宋_GB2312" w:eastAsia="仿宋_GB2312" w:cs="仿宋_GB2312"/>
          <w:color w:val="auto"/>
          <w:sz w:val="24"/>
          <w:highlight w:val="none"/>
          <w:lang w:eastAsia="zh-CN"/>
        </w:rPr>
        <w:t>评标小组</w:t>
      </w:r>
      <w:r>
        <w:rPr>
          <w:rFonts w:hint="eastAsia" w:ascii="仿宋_GB2312" w:hAnsi="仿宋_GB2312" w:eastAsia="仿宋_GB2312" w:cs="仿宋_GB2312"/>
          <w:color w:val="auto"/>
          <w:sz w:val="24"/>
          <w:highlight w:val="none"/>
        </w:rPr>
        <w:t>可以以书面形式要求投标人对投标文件含义不明确的内容作必要的澄清或说明，投标人</w:t>
      </w:r>
      <w:r>
        <w:rPr>
          <w:rFonts w:hint="eastAsia" w:ascii="仿宋_GB2312" w:hAnsi="仿宋_GB2312" w:eastAsia="仿宋_GB2312" w:cs="仿宋_GB2312"/>
          <w:color w:val="auto"/>
          <w:sz w:val="24"/>
          <w:highlight w:val="none"/>
          <w:lang w:eastAsia="zh-CN"/>
        </w:rPr>
        <w:t>应以</w:t>
      </w:r>
      <w:r>
        <w:rPr>
          <w:rFonts w:hint="eastAsia" w:ascii="仿宋_GB2312" w:hAnsi="仿宋_GB2312" w:eastAsia="仿宋_GB2312" w:cs="仿宋_GB2312"/>
          <w:color w:val="auto"/>
          <w:sz w:val="24"/>
          <w:highlight w:val="none"/>
        </w:rPr>
        <w:t>书面形式进行澄清或说明，但不得超出投标文件的范围或改变投标文件的实质性内容。</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.2 如果投标文件实质上不响应招标文件的各项要求，</w:t>
      </w:r>
      <w:r>
        <w:rPr>
          <w:rFonts w:hint="eastAsia" w:ascii="仿宋_GB2312" w:hAnsi="仿宋_GB2312" w:eastAsia="仿宋_GB2312" w:cs="仿宋_GB2312"/>
          <w:color w:val="auto"/>
          <w:sz w:val="24"/>
          <w:highlight w:val="none"/>
          <w:lang w:eastAsia="zh-CN"/>
        </w:rPr>
        <w:t>评标小组</w:t>
      </w:r>
      <w:r>
        <w:rPr>
          <w:rFonts w:hint="eastAsia" w:ascii="仿宋_GB2312" w:hAnsi="仿宋_GB2312" w:eastAsia="仿宋_GB2312" w:cs="仿宋_GB2312"/>
          <w:color w:val="auto"/>
          <w:sz w:val="24"/>
          <w:highlight w:val="none"/>
        </w:rPr>
        <w:t>将予以拒绝，并且不允许投标人通过修改或撤销其不符合要求的差异或保留，使之成为具有响应性的投标。</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3</w:t>
      </w:r>
      <w:r>
        <w:rPr>
          <w:rFonts w:hint="eastAsia" w:ascii="仿宋_GB2312" w:hAnsi="仿宋_GB2312" w:eastAsia="仿宋_GB2312" w:cs="仿宋_GB2312"/>
          <w:b/>
          <w:color w:val="auto"/>
          <w:sz w:val="24"/>
          <w:highlight w:val="none"/>
        </w:rPr>
        <w:t>．投标文件的评审、比较和否决</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 xml:space="preserve">.1 </w:t>
      </w:r>
      <w:r>
        <w:rPr>
          <w:rFonts w:hint="eastAsia" w:ascii="仿宋_GB2312" w:hAnsi="仿宋_GB2312" w:eastAsia="仿宋_GB2312" w:cs="仿宋_GB2312"/>
          <w:color w:val="auto"/>
          <w:sz w:val="24"/>
          <w:highlight w:val="none"/>
          <w:lang w:eastAsia="zh-CN"/>
        </w:rPr>
        <w:t>评标小组</w:t>
      </w:r>
      <w:r>
        <w:rPr>
          <w:rFonts w:hint="eastAsia" w:ascii="仿宋_GB2312" w:hAnsi="仿宋_GB2312" w:eastAsia="仿宋_GB2312" w:cs="仿宋_GB2312"/>
          <w:color w:val="auto"/>
          <w:sz w:val="24"/>
          <w:highlight w:val="none"/>
        </w:rPr>
        <w:t>将按照本须知第</w:t>
      </w:r>
      <w:r>
        <w:rPr>
          <w:rFonts w:hint="eastAsia" w:ascii="仿宋_GB2312" w:hAnsi="仿宋_GB2312" w:eastAsia="仿宋_GB2312" w:cs="仿宋_GB2312"/>
          <w:color w:val="auto"/>
          <w:sz w:val="24"/>
          <w:highlight w:val="none"/>
          <w:lang w:val="en-US" w:eastAsia="zh-CN"/>
        </w:rPr>
        <w:t>20</w:t>
      </w:r>
      <w:r>
        <w:rPr>
          <w:rFonts w:hint="eastAsia" w:ascii="仿宋_GB2312" w:hAnsi="仿宋_GB2312" w:eastAsia="仿宋_GB2312" w:cs="仿宋_GB2312"/>
          <w:color w:val="auto"/>
          <w:sz w:val="24"/>
          <w:highlight w:val="none"/>
        </w:rPr>
        <w:t>条规定，仅对在实质上响应招标文件要求的投标文件进行评审和比较。</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.2 在评审过程中，</w:t>
      </w:r>
      <w:r>
        <w:rPr>
          <w:rFonts w:hint="eastAsia" w:ascii="仿宋_GB2312" w:hAnsi="仿宋_GB2312" w:eastAsia="仿宋_GB2312" w:cs="仿宋_GB2312"/>
          <w:color w:val="auto"/>
          <w:sz w:val="24"/>
          <w:highlight w:val="none"/>
          <w:lang w:eastAsia="zh-CN"/>
        </w:rPr>
        <w:t>评标小组</w:t>
      </w:r>
      <w:r>
        <w:rPr>
          <w:rFonts w:hint="eastAsia" w:ascii="仿宋_GB2312" w:hAnsi="仿宋_GB2312" w:eastAsia="仿宋_GB2312" w:cs="仿宋_GB2312"/>
          <w:color w:val="auto"/>
          <w:sz w:val="24"/>
          <w:highlight w:val="none"/>
        </w:rPr>
        <w:t>可以以书面形式要求投标人就投标文件中含义不明确的内容进行书面说明并提供相关材料。</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 xml:space="preserve">.3 </w:t>
      </w:r>
      <w:r>
        <w:rPr>
          <w:rFonts w:hint="eastAsia" w:ascii="仿宋_GB2312" w:hAnsi="仿宋_GB2312" w:eastAsia="仿宋_GB2312" w:cs="仿宋_GB2312"/>
          <w:color w:val="auto"/>
          <w:sz w:val="24"/>
          <w:highlight w:val="none"/>
          <w:lang w:eastAsia="zh-CN"/>
        </w:rPr>
        <w:t>评标小组</w:t>
      </w:r>
      <w:r>
        <w:rPr>
          <w:rFonts w:hint="eastAsia" w:ascii="仿宋_GB2312" w:hAnsi="仿宋_GB2312" w:eastAsia="仿宋_GB2312" w:cs="仿宋_GB2312"/>
          <w:color w:val="auto"/>
          <w:sz w:val="24"/>
          <w:highlight w:val="none"/>
        </w:rPr>
        <w:t>依据投标须知前附表第</w:t>
      </w:r>
      <w:r>
        <w:rPr>
          <w:rFonts w:hint="eastAsia" w:ascii="仿宋_GB2312" w:hAnsi="仿宋_GB2312" w:eastAsia="仿宋_GB2312" w:cs="仿宋_GB2312"/>
          <w:color w:val="auto"/>
          <w:sz w:val="24"/>
          <w:highlight w:val="none"/>
          <w:lang w:val="en-US" w:eastAsia="zh-CN"/>
        </w:rPr>
        <w:t>20</w:t>
      </w:r>
      <w:r>
        <w:rPr>
          <w:rFonts w:hint="eastAsia" w:ascii="仿宋_GB2312" w:hAnsi="仿宋_GB2312" w:eastAsia="仿宋_GB2312" w:cs="仿宋_GB2312"/>
          <w:color w:val="auto"/>
          <w:sz w:val="24"/>
          <w:highlight w:val="none"/>
        </w:rPr>
        <w:t>项规定的评标标准和方法，详见本招标文件《评标办法》，对投标文件进行评审和比较，向招标人提出书面评标报告，并推荐经评审</w:t>
      </w:r>
      <w:r>
        <w:rPr>
          <w:rFonts w:hint="eastAsia" w:ascii="仿宋_GB2312" w:hAnsi="仿宋_GB2312" w:eastAsia="仿宋_GB2312" w:cs="仿宋_GB2312"/>
          <w:color w:val="auto"/>
          <w:sz w:val="24"/>
          <w:highlight w:val="none"/>
          <w:lang w:eastAsia="zh-CN"/>
        </w:rPr>
        <w:t>综合得分</w:t>
      </w: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高</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lang w:eastAsia="zh-CN"/>
        </w:rPr>
        <w:t>低</w:t>
      </w:r>
      <w:r>
        <w:rPr>
          <w:rFonts w:hint="eastAsia" w:ascii="仿宋_GB2312" w:hAnsi="仿宋_GB2312" w:eastAsia="仿宋_GB2312" w:cs="仿宋_GB2312"/>
          <w:color w:val="auto"/>
          <w:sz w:val="24"/>
          <w:highlight w:val="none"/>
        </w:rPr>
        <w:t>排序的前一～三名为</w:t>
      </w:r>
      <w:r>
        <w:rPr>
          <w:rFonts w:hint="eastAsia" w:ascii="仿宋_GB2312" w:hAnsi="仿宋_GB2312" w:eastAsia="仿宋_GB2312" w:cs="仿宋_GB2312"/>
          <w:color w:val="auto"/>
          <w:sz w:val="24"/>
          <w:highlight w:val="none"/>
          <w:lang w:eastAsia="zh-CN"/>
        </w:rPr>
        <w:t>第一，</w:t>
      </w:r>
      <w:r>
        <w:rPr>
          <w:rFonts w:hint="eastAsia" w:ascii="仿宋_GB2312" w:hAnsi="仿宋_GB2312" w:eastAsia="仿宋_GB2312" w:cs="仿宋_GB2312"/>
          <w:color w:val="auto"/>
          <w:sz w:val="24"/>
          <w:highlight w:val="none"/>
        </w:rPr>
        <w:t>第二和第三中标候选人。招标人根据</w:t>
      </w:r>
      <w:r>
        <w:rPr>
          <w:rFonts w:hint="eastAsia" w:ascii="仿宋_GB2312" w:hAnsi="仿宋_GB2312" w:eastAsia="仿宋_GB2312" w:cs="仿宋_GB2312"/>
          <w:color w:val="auto"/>
          <w:sz w:val="24"/>
          <w:highlight w:val="none"/>
          <w:lang w:eastAsia="zh-CN"/>
        </w:rPr>
        <w:t>评标小组</w:t>
      </w:r>
      <w:r>
        <w:rPr>
          <w:rFonts w:hint="eastAsia" w:ascii="仿宋_GB2312" w:hAnsi="仿宋_GB2312" w:eastAsia="仿宋_GB2312" w:cs="仿宋_GB2312"/>
          <w:color w:val="auto"/>
          <w:sz w:val="24"/>
          <w:highlight w:val="none"/>
        </w:rPr>
        <w:t>提出的书面评标报告和推荐的中标</w:t>
      </w:r>
      <w:r>
        <w:rPr>
          <w:rFonts w:hint="eastAsia" w:ascii="仿宋_GB2312" w:hAnsi="仿宋_GB2312" w:eastAsia="仿宋_GB2312" w:cs="仿宋_GB2312"/>
          <w:color w:val="auto"/>
          <w:sz w:val="24"/>
          <w:highlight w:val="none"/>
          <w:lang w:eastAsia="zh-CN"/>
        </w:rPr>
        <w:t>候选人</w:t>
      </w:r>
      <w:r>
        <w:rPr>
          <w:rFonts w:hint="eastAsia" w:ascii="仿宋_GB2312" w:hAnsi="仿宋_GB2312" w:eastAsia="仿宋_GB2312" w:cs="仿宋_GB2312"/>
          <w:color w:val="auto"/>
          <w:sz w:val="24"/>
          <w:highlight w:val="none"/>
        </w:rPr>
        <w:t>，按排序依法确定中标人。</w:t>
      </w:r>
    </w:p>
    <w:p>
      <w:pPr>
        <w:spacing w:line="360" w:lineRule="auto"/>
        <w:ind w:firstLine="480" w:firstLineChars="200"/>
        <w:rPr>
          <w:rFonts w:hint="eastAsia" w:ascii="仿宋_GB2312" w:hAnsi="仿宋_GB2312" w:eastAsia="仿宋_GB2312" w:cs="仿宋_GB2312"/>
          <w:b w:val="0"/>
          <w:color w:val="auto"/>
          <w:sz w:val="24"/>
          <w:highlight w:val="none"/>
        </w:rPr>
      </w:pPr>
      <w:r>
        <w:rPr>
          <w:rFonts w:hint="eastAsia" w:ascii="仿宋_GB2312" w:hAnsi="仿宋_GB2312" w:eastAsia="仿宋_GB2312" w:cs="仿宋_GB2312"/>
          <w:b w:val="0"/>
          <w:color w:val="auto"/>
          <w:sz w:val="24"/>
          <w:highlight w:val="none"/>
          <w:lang w:val="en-US" w:eastAsia="zh-CN"/>
        </w:rPr>
        <w:t>24</w:t>
      </w:r>
      <w:r>
        <w:rPr>
          <w:rFonts w:hint="eastAsia" w:ascii="仿宋_GB2312" w:hAnsi="仿宋_GB2312" w:eastAsia="仿宋_GB2312" w:cs="仿宋_GB2312"/>
          <w:b w:val="0"/>
          <w:color w:val="auto"/>
          <w:sz w:val="24"/>
          <w:highlight w:val="none"/>
        </w:rPr>
        <w:t>．</w:t>
      </w:r>
      <w:r>
        <w:rPr>
          <w:rFonts w:hint="eastAsia" w:ascii="仿宋_GB2312" w:hAnsi="仿宋_GB2312" w:eastAsia="仿宋_GB2312" w:cs="仿宋_GB2312"/>
          <w:b w:val="0"/>
          <w:color w:val="auto"/>
          <w:sz w:val="24"/>
          <w:highlight w:val="none"/>
          <w:lang w:eastAsia="zh-CN"/>
        </w:rPr>
        <w:t>评标小组</w:t>
      </w:r>
      <w:r>
        <w:rPr>
          <w:rFonts w:hint="eastAsia" w:ascii="仿宋_GB2312" w:hAnsi="仿宋_GB2312" w:eastAsia="仿宋_GB2312" w:cs="仿宋_GB2312"/>
          <w:b w:val="0"/>
          <w:color w:val="auto"/>
          <w:sz w:val="24"/>
          <w:highlight w:val="none"/>
        </w:rPr>
        <w:t>依据有关</w:t>
      </w:r>
      <w:r>
        <w:rPr>
          <w:rFonts w:hint="eastAsia" w:ascii="仿宋_GB2312" w:hAnsi="仿宋_GB2312" w:eastAsia="仿宋_GB2312" w:cs="仿宋_GB2312"/>
          <w:b w:val="0"/>
          <w:color w:val="auto"/>
          <w:sz w:val="24"/>
          <w:highlight w:val="none"/>
          <w:lang w:eastAsia="zh-CN"/>
        </w:rPr>
        <w:t>法律法规</w:t>
      </w:r>
      <w:r>
        <w:rPr>
          <w:rFonts w:hint="eastAsia" w:ascii="仿宋_GB2312" w:hAnsi="仿宋_GB2312" w:eastAsia="仿宋_GB2312" w:cs="仿宋_GB2312"/>
          <w:b w:val="0"/>
          <w:color w:val="auto"/>
          <w:sz w:val="24"/>
          <w:highlight w:val="none"/>
        </w:rPr>
        <w:t>和招标文件的规定对投标文件进行评审，经评定的有效投标人不足三名时，招标人应当依法重新组织招标。</w:t>
      </w:r>
    </w:p>
    <w:p>
      <w:pPr>
        <w:spacing w:line="360" w:lineRule="auto"/>
        <w:ind w:firstLine="482" w:firstLineChars="200"/>
        <w:outlineLvl w:val="9"/>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七</w:t>
      </w:r>
      <w:r>
        <w:rPr>
          <w:rFonts w:hint="eastAsia" w:ascii="仿宋_GB2312" w:hAnsi="仿宋_GB2312" w:eastAsia="仿宋_GB2312" w:cs="仿宋_GB2312"/>
          <w:b/>
          <w:bCs/>
          <w:color w:val="auto"/>
          <w:sz w:val="24"/>
          <w:highlight w:val="none"/>
          <w:lang w:eastAsia="zh-CN"/>
        </w:rPr>
        <w:t>、</w:t>
      </w:r>
      <w:r>
        <w:rPr>
          <w:rFonts w:hint="eastAsia" w:ascii="仿宋_GB2312" w:hAnsi="仿宋_GB2312" w:eastAsia="仿宋_GB2312" w:cs="仿宋_GB2312"/>
          <w:b/>
          <w:bCs/>
          <w:color w:val="auto"/>
          <w:sz w:val="24"/>
          <w:highlight w:val="none"/>
        </w:rPr>
        <w:t>合同的授予</w:t>
      </w:r>
    </w:p>
    <w:p>
      <w:pPr>
        <w:ind w:firstLine="48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25</w:t>
      </w:r>
      <w:r>
        <w:rPr>
          <w:rFonts w:hint="eastAsia" w:ascii="仿宋_GB2312" w:hAnsi="仿宋_GB2312" w:eastAsia="仿宋_GB2312" w:cs="仿宋_GB2312"/>
          <w:b/>
          <w:bCs/>
          <w:color w:val="auto"/>
          <w:sz w:val="24"/>
          <w:highlight w:val="none"/>
        </w:rPr>
        <w:t>．合同授予标准</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项目</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的合同将授予按本须知第2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.3款所确定的中标人。</w:t>
      </w:r>
    </w:p>
    <w:p>
      <w:pPr>
        <w:ind w:firstLine="48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26</w:t>
      </w:r>
      <w:r>
        <w:rPr>
          <w:rFonts w:hint="eastAsia" w:ascii="仿宋_GB2312" w:hAnsi="仿宋_GB2312" w:eastAsia="仿宋_GB2312" w:cs="仿宋_GB2312"/>
          <w:b/>
          <w:bCs/>
          <w:color w:val="auto"/>
          <w:sz w:val="24"/>
          <w:highlight w:val="none"/>
        </w:rPr>
        <w:t>．招标人保留接受或拒绝任何某一投标或所有投标的权力</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26</w:t>
      </w:r>
      <w:r>
        <w:rPr>
          <w:rFonts w:hint="eastAsia" w:ascii="仿宋_GB2312" w:hAnsi="仿宋_GB2312" w:eastAsia="仿宋_GB2312" w:cs="仿宋_GB2312"/>
          <w:color w:val="auto"/>
          <w:sz w:val="24"/>
          <w:highlight w:val="none"/>
        </w:rPr>
        <w:t>.1 招标人不承诺将合同授予报价最低的投标人。招标人在发出中标通知书前，有权依据</w:t>
      </w:r>
      <w:r>
        <w:rPr>
          <w:rFonts w:hint="eastAsia" w:ascii="仿宋_GB2312" w:hAnsi="仿宋_GB2312" w:eastAsia="仿宋_GB2312" w:cs="仿宋_GB2312"/>
          <w:color w:val="auto"/>
          <w:sz w:val="24"/>
          <w:highlight w:val="none"/>
          <w:lang w:eastAsia="zh-CN"/>
        </w:rPr>
        <w:t>评标小组</w:t>
      </w:r>
      <w:r>
        <w:rPr>
          <w:rFonts w:hint="eastAsia" w:ascii="仿宋_GB2312" w:hAnsi="仿宋_GB2312" w:eastAsia="仿宋_GB2312" w:cs="仿宋_GB2312"/>
          <w:color w:val="auto"/>
          <w:sz w:val="24"/>
          <w:highlight w:val="none"/>
        </w:rPr>
        <w:t>的评标报告拒绝不合格的投标。</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27</w:t>
      </w:r>
      <w:r>
        <w:rPr>
          <w:rFonts w:hint="eastAsia" w:ascii="仿宋_GB2312" w:hAnsi="仿宋_GB2312" w:eastAsia="仿宋_GB2312" w:cs="仿宋_GB2312"/>
          <w:b/>
          <w:color w:val="auto"/>
          <w:sz w:val="24"/>
          <w:highlight w:val="none"/>
        </w:rPr>
        <w:t>．中标通知书</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27</w:t>
      </w:r>
      <w:r>
        <w:rPr>
          <w:rFonts w:hint="eastAsia" w:ascii="仿宋_GB2312" w:hAnsi="仿宋_GB2312" w:eastAsia="仿宋_GB2312" w:cs="仿宋_GB2312"/>
          <w:color w:val="auto"/>
          <w:sz w:val="24"/>
          <w:highlight w:val="none"/>
        </w:rPr>
        <w:t>.1中标通知书经招标人确认，并由招标人颁发。</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27</w:t>
      </w:r>
      <w:r>
        <w:rPr>
          <w:rFonts w:hint="eastAsia" w:ascii="仿宋_GB2312" w:hAnsi="仿宋_GB2312" w:eastAsia="仿宋_GB2312" w:cs="仿宋_GB2312"/>
          <w:color w:val="auto"/>
          <w:sz w:val="24"/>
          <w:highlight w:val="none"/>
        </w:rPr>
        <w:t>.2中标人必须在收到中标通知书后24小时之内以书面形式回复招标人，确认收到。</w:t>
      </w:r>
    </w:p>
    <w:p>
      <w:pPr>
        <w:pStyle w:val="13"/>
        <w:widowControl/>
        <w:spacing w:beforeAutospacing="0" w:after="0"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28</w:t>
      </w:r>
      <w:r>
        <w:rPr>
          <w:rFonts w:hint="eastAsia" w:ascii="仿宋_GB2312" w:hAnsi="仿宋_GB2312" w:eastAsia="仿宋_GB2312" w:cs="仿宋_GB2312"/>
          <w:b/>
          <w:color w:val="auto"/>
          <w:sz w:val="24"/>
          <w:highlight w:val="none"/>
        </w:rPr>
        <w:t>．合同协议书的签订</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28</w:t>
      </w:r>
      <w:r>
        <w:rPr>
          <w:rFonts w:hint="eastAsia" w:ascii="仿宋_GB2312" w:hAnsi="仿宋_GB2312" w:eastAsia="仿宋_GB2312" w:cs="仿宋_GB2312"/>
          <w:color w:val="auto"/>
          <w:sz w:val="24"/>
          <w:highlight w:val="none"/>
        </w:rPr>
        <w:t>.1 招标人与中标人将于中标通知书发出之日起30日内，按照招标文件和中标人的投标文件</w:t>
      </w:r>
      <w:r>
        <w:rPr>
          <w:rFonts w:hint="eastAsia" w:ascii="仿宋_GB2312" w:hAnsi="仿宋_GB2312" w:eastAsia="仿宋_GB2312" w:cs="仿宋_GB2312"/>
          <w:color w:val="auto"/>
          <w:sz w:val="24"/>
          <w:highlight w:val="none"/>
          <w:lang w:val="en-US" w:eastAsia="zh-CN"/>
        </w:rPr>
        <w:t>协商确定的内容</w:t>
      </w:r>
      <w:r>
        <w:rPr>
          <w:rFonts w:hint="eastAsia" w:ascii="仿宋_GB2312" w:hAnsi="仿宋_GB2312" w:eastAsia="仿宋_GB2312" w:cs="仿宋_GB2312"/>
          <w:color w:val="auto"/>
          <w:sz w:val="24"/>
          <w:highlight w:val="none"/>
        </w:rPr>
        <w:t>签订合同，招标人和中标人不得再行订立背离</w:t>
      </w:r>
      <w:r>
        <w:rPr>
          <w:rFonts w:hint="eastAsia" w:ascii="仿宋_GB2312" w:hAnsi="仿宋_GB2312" w:eastAsia="仿宋_GB2312" w:cs="仿宋_GB2312"/>
          <w:color w:val="auto"/>
          <w:sz w:val="24"/>
          <w:highlight w:val="none"/>
          <w:lang w:val="en-US" w:eastAsia="zh-CN"/>
        </w:rPr>
        <w:t>招标文件及</w:t>
      </w:r>
      <w:r>
        <w:rPr>
          <w:rFonts w:hint="eastAsia" w:ascii="仿宋_GB2312" w:hAnsi="仿宋_GB2312" w:eastAsia="仿宋_GB2312" w:cs="仿宋_GB2312"/>
          <w:color w:val="auto"/>
          <w:sz w:val="24"/>
          <w:highlight w:val="none"/>
        </w:rPr>
        <w:t>合同实质性内容的其他协议。</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中标人在投标过程使用的投标人名称、银行名称和账号至项目完成竣工结算不得变更，否则，招标人有权停止款项的拨付</w:t>
      </w:r>
      <w:r>
        <w:rPr>
          <w:rFonts w:hint="eastAsia" w:ascii="仿宋_GB2312" w:hAnsi="仿宋_GB2312" w:eastAsia="仿宋_GB2312" w:cs="仿宋_GB2312"/>
          <w:color w:val="auto"/>
          <w:sz w:val="24"/>
          <w:highlight w:val="none"/>
          <w:lang w:eastAsia="zh-CN"/>
        </w:rPr>
        <w:t>及</w:t>
      </w:r>
      <w:r>
        <w:rPr>
          <w:rFonts w:hint="eastAsia" w:ascii="仿宋_GB2312" w:hAnsi="仿宋_GB2312" w:eastAsia="仿宋_GB2312" w:cs="仿宋_GB2312"/>
          <w:color w:val="auto"/>
          <w:sz w:val="24"/>
          <w:highlight w:val="none"/>
        </w:rPr>
        <w:t>解除合同，由此造成的一切责任由中标人承担。</w:t>
      </w:r>
    </w:p>
    <w:p>
      <w:pPr>
        <w:pStyle w:val="13"/>
        <w:widowControl/>
        <w:numPr>
          <w:ilvl w:val="-1"/>
          <w:numId w:val="0"/>
        </w:numPr>
        <w:spacing w:beforeAutospacing="0" w:after="0" w:line="360" w:lineRule="auto"/>
        <w:ind w:firstLine="482" w:firstLineChars="200"/>
        <w:outlineLvl w:val="3"/>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29.</w:t>
      </w:r>
      <w:r>
        <w:rPr>
          <w:rFonts w:hint="eastAsia" w:ascii="仿宋_GB2312" w:hAnsi="仿宋_GB2312" w:eastAsia="仿宋_GB2312" w:cs="仿宋_GB2312"/>
          <w:b/>
          <w:color w:val="auto"/>
          <w:sz w:val="24"/>
          <w:highlight w:val="none"/>
        </w:rPr>
        <w:t>合同生效</w:t>
      </w:r>
    </w:p>
    <w:p>
      <w:pPr>
        <w:pStyle w:val="13"/>
        <w:widowControl/>
        <w:numPr>
          <w:ilvl w:val="0"/>
          <w:numId w:val="0"/>
        </w:numPr>
        <w:spacing w:beforeAutospacing="0" w:after="0" w:line="360" w:lineRule="auto"/>
        <w:ind w:firstLine="480" w:firstLineChars="200"/>
        <w:outlineLvl w:val="3"/>
        <w:rPr>
          <w:rFonts w:hint="eastAsia" w:ascii="仿宋_GB2312" w:hAnsi="仿宋_GB2312" w:eastAsia="仿宋_GB2312" w:cs="仿宋_GB2312"/>
          <w:b/>
          <w:color w:val="auto"/>
          <w:kern w:val="44"/>
          <w:sz w:val="44"/>
          <w:szCs w:val="44"/>
          <w:highlight w:val="none"/>
        </w:rPr>
      </w:pPr>
      <w:r>
        <w:rPr>
          <w:rFonts w:hint="eastAsia" w:ascii="仿宋_GB2312" w:hAnsi="仿宋_GB2312" w:eastAsia="仿宋_GB2312" w:cs="仿宋_GB2312"/>
          <w:color w:val="auto"/>
          <w:sz w:val="24"/>
          <w:highlight w:val="none"/>
          <w:lang w:val="en-US" w:eastAsia="zh-CN"/>
        </w:rPr>
        <w:t>29</w:t>
      </w:r>
      <w:r>
        <w:rPr>
          <w:rFonts w:hint="eastAsia" w:ascii="仿宋_GB2312" w:hAnsi="仿宋_GB2312" w:eastAsia="仿宋_GB2312" w:cs="仿宋_GB2312"/>
          <w:color w:val="auto"/>
          <w:sz w:val="24"/>
          <w:highlight w:val="none"/>
        </w:rPr>
        <w:t>.1在合同双方全权代表在合同协议书上签字，并分别加盖双方单位的公章，合同正式生效。</w:t>
      </w:r>
      <w:bookmarkStart w:id="4" w:name="_Toc1632"/>
      <w:bookmarkStart w:id="5" w:name="_Toc27492"/>
    </w:p>
    <w:p>
      <w:pPr>
        <w:spacing w:line="240" w:lineRule="auto"/>
        <w:ind w:firstLine="3253" w:firstLineChars="900"/>
        <w:outlineLvl w:val="9"/>
        <w:rPr>
          <w:rFonts w:hint="eastAsia" w:ascii="宋体" w:hAnsi="宋体" w:eastAsia="宋体" w:cs="宋体"/>
          <w:b/>
          <w:color w:val="auto"/>
          <w:kern w:val="2"/>
          <w:sz w:val="36"/>
          <w:szCs w:val="36"/>
          <w:highlight w:val="none"/>
        </w:rPr>
      </w:pPr>
    </w:p>
    <w:p>
      <w:pPr>
        <w:spacing w:line="240" w:lineRule="auto"/>
        <w:ind w:firstLine="2891" w:firstLineChars="800"/>
        <w:outlineLvl w:val="9"/>
        <w:rPr>
          <w:rFonts w:hint="eastAsia" w:ascii="宋体" w:hAnsi="宋体" w:eastAsia="宋体" w:cs="宋体"/>
          <w:b/>
          <w:color w:val="auto"/>
          <w:kern w:val="2"/>
          <w:sz w:val="36"/>
          <w:szCs w:val="36"/>
          <w:highlight w:val="none"/>
        </w:rPr>
      </w:pPr>
    </w:p>
    <w:p>
      <w:pPr>
        <w:spacing w:line="240" w:lineRule="auto"/>
        <w:ind w:firstLine="2891" w:firstLineChars="800"/>
        <w:outlineLvl w:val="9"/>
        <w:rPr>
          <w:rFonts w:hint="eastAsia" w:ascii="宋体" w:hAnsi="宋体" w:eastAsia="宋体" w:cs="宋体"/>
          <w:b/>
          <w:color w:val="auto"/>
          <w:kern w:val="2"/>
          <w:sz w:val="36"/>
          <w:szCs w:val="36"/>
          <w:highlight w:val="none"/>
        </w:rPr>
      </w:pPr>
    </w:p>
    <w:p>
      <w:pPr>
        <w:spacing w:line="240" w:lineRule="auto"/>
        <w:ind w:firstLine="2891" w:firstLineChars="800"/>
        <w:outlineLvl w:val="9"/>
        <w:rPr>
          <w:rFonts w:hint="eastAsia" w:ascii="宋体" w:hAnsi="宋体" w:eastAsia="宋体" w:cs="宋体"/>
          <w:b/>
          <w:color w:val="auto"/>
          <w:kern w:val="2"/>
          <w:sz w:val="36"/>
          <w:szCs w:val="36"/>
          <w:highlight w:val="none"/>
        </w:rPr>
      </w:pPr>
    </w:p>
    <w:p>
      <w:pPr>
        <w:spacing w:line="240" w:lineRule="auto"/>
        <w:ind w:firstLine="2891" w:firstLineChars="800"/>
        <w:outlineLvl w:val="9"/>
        <w:rPr>
          <w:rFonts w:hint="eastAsia" w:ascii="宋体" w:hAnsi="宋体" w:eastAsia="宋体" w:cs="宋体"/>
          <w:b/>
          <w:color w:val="auto"/>
          <w:kern w:val="2"/>
          <w:sz w:val="36"/>
          <w:szCs w:val="36"/>
          <w:highlight w:val="none"/>
        </w:rPr>
      </w:pPr>
    </w:p>
    <w:p>
      <w:pPr>
        <w:spacing w:line="240" w:lineRule="auto"/>
        <w:ind w:firstLine="2891" w:firstLineChars="800"/>
        <w:outlineLvl w:val="9"/>
        <w:rPr>
          <w:rFonts w:hint="eastAsia" w:ascii="宋体" w:hAnsi="宋体" w:eastAsia="宋体" w:cs="宋体"/>
          <w:b/>
          <w:color w:val="auto"/>
          <w:kern w:val="2"/>
          <w:sz w:val="36"/>
          <w:szCs w:val="36"/>
          <w:highlight w:val="none"/>
        </w:rPr>
      </w:pPr>
    </w:p>
    <w:p>
      <w:pPr>
        <w:spacing w:line="240" w:lineRule="auto"/>
        <w:ind w:firstLine="2891" w:firstLineChars="800"/>
        <w:outlineLvl w:val="9"/>
        <w:rPr>
          <w:rFonts w:hint="eastAsia" w:ascii="宋体" w:hAnsi="宋体" w:eastAsia="宋体" w:cs="宋体"/>
          <w:b/>
          <w:color w:val="auto"/>
          <w:kern w:val="2"/>
          <w:sz w:val="36"/>
          <w:szCs w:val="36"/>
          <w:highlight w:val="none"/>
        </w:rPr>
      </w:pPr>
    </w:p>
    <w:p>
      <w:pPr>
        <w:spacing w:line="240" w:lineRule="auto"/>
        <w:ind w:firstLine="2891" w:firstLineChars="800"/>
        <w:outlineLvl w:val="9"/>
        <w:rPr>
          <w:rFonts w:hint="eastAsia" w:ascii="宋体" w:hAnsi="宋体" w:eastAsia="宋体" w:cs="宋体"/>
          <w:b/>
          <w:color w:val="auto"/>
          <w:kern w:val="2"/>
          <w:sz w:val="36"/>
          <w:szCs w:val="36"/>
          <w:highlight w:val="none"/>
        </w:rPr>
      </w:pPr>
    </w:p>
    <w:p>
      <w:pPr>
        <w:spacing w:line="240" w:lineRule="auto"/>
        <w:ind w:firstLine="2891" w:firstLineChars="800"/>
        <w:outlineLvl w:val="9"/>
        <w:rPr>
          <w:rFonts w:hint="eastAsia" w:ascii="宋体" w:hAnsi="宋体" w:eastAsia="宋体" w:cs="宋体"/>
          <w:b/>
          <w:color w:val="auto"/>
          <w:kern w:val="2"/>
          <w:sz w:val="36"/>
          <w:szCs w:val="36"/>
          <w:highlight w:val="none"/>
        </w:rPr>
      </w:pPr>
    </w:p>
    <w:p>
      <w:pPr>
        <w:spacing w:line="240" w:lineRule="auto"/>
        <w:ind w:firstLine="2891" w:firstLineChars="800"/>
        <w:outlineLvl w:val="9"/>
        <w:rPr>
          <w:rFonts w:hint="eastAsia" w:ascii="宋体" w:hAnsi="宋体" w:eastAsia="宋体" w:cs="宋体"/>
          <w:b/>
          <w:color w:val="auto"/>
          <w:kern w:val="2"/>
          <w:sz w:val="36"/>
          <w:szCs w:val="36"/>
          <w:highlight w:val="none"/>
        </w:rPr>
      </w:pPr>
    </w:p>
    <w:p>
      <w:pPr>
        <w:spacing w:line="240" w:lineRule="auto"/>
        <w:ind w:firstLine="2891" w:firstLineChars="800"/>
        <w:outlineLvl w:val="9"/>
        <w:rPr>
          <w:rFonts w:hint="eastAsia" w:ascii="宋体" w:hAnsi="宋体" w:eastAsia="宋体" w:cs="宋体"/>
          <w:b/>
          <w:color w:val="auto"/>
          <w:kern w:val="2"/>
          <w:sz w:val="36"/>
          <w:szCs w:val="36"/>
          <w:highlight w:val="none"/>
        </w:rPr>
      </w:pPr>
    </w:p>
    <w:p>
      <w:pPr>
        <w:pStyle w:val="2"/>
        <w:rPr>
          <w:rFonts w:hint="eastAsia" w:ascii="宋体" w:hAnsi="宋体" w:eastAsia="宋体" w:cs="宋体"/>
          <w:b/>
          <w:color w:val="auto"/>
          <w:kern w:val="2"/>
          <w:sz w:val="36"/>
          <w:szCs w:val="36"/>
          <w:highlight w:val="none"/>
        </w:rPr>
      </w:pPr>
    </w:p>
    <w:p>
      <w:pPr>
        <w:pStyle w:val="2"/>
        <w:rPr>
          <w:rFonts w:hint="eastAsia" w:ascii="宋体" w:hAnsi="宋体" w:eastAsia="宋体" w:cs="宋体"/>
          <w:b/>
          <w:color w:val="auto"/>
          <w:kern w:val="2"/>
          <w:sz w:val="36"/>
          <w:szCs w:val="36"/>
          <w:highlight w:val="none"/>
        </w:rPr>
      </w:pPr>
    </w:p>
    <w:p>
      <w:pPr>
        <w:pStyle w:val="2"/>
        <w:rPr>
          <w:rFonts w:hint="eastAsia" w:ascii="宋体" w:hAnsi="宋体" w:eastAsia="宋体" w:cs="宋体"/>
          <w:b/>
          <w:color w:val="auto"/>
          <w:kern w:val="2"/>
          <w:sz w:val="36"/>
          <w:szCs w:val="36"/>
          <w:highlight w:val="none"/>
        </w:rPr>
      </w:pPr>
    </w:p>
    <w:p>
      <w:pPr>
        <w:spacing w:line="240" w:lineRule="auto"/>
        <w:ind w:firstLine="2891" w:firstLineChars="800"/>
        <w:outlineLvl w:val="9"/>
        <w:rPr>
          <w:rFonts w:hint="eastAsia" w:ascii="仿宋_GB2312" w:hAnsi="仿宋_GB2312" w:eastAsia="仿宋_GB2312" w:cs="仿宋_GB2312"/>
          <w:b/>
          <w:color w:val="auto"/>
          <w:kern w:val="2"/>
          <w:sz w:val="36"/>
          <w:szCs w:val="36"/>
          <w:highlight w:val="none"/>
        </w:rPr>
      </w:pPr>
    </w:p>
    <w:p>
      <w:pPr>
        <w:spacing w:line="240" w:lineRule="auto"/>
        <w:ind w:firstLine="2891" w:firstLineChars="800"/>
        <w:outlineLvl w:val="9"/>
        <w:rPr>
          <w:rFonts w:hint="eastAsia" w:ascii="仿宋_GB2312" w:hAnsi="仿宋_GB2312" w:eastAsia="仿宋_GB2312" w:cs="仿宋_GB2312"/>
          <w:b/>
          <w:color w:val="auto"/>
          <w:kern w:val="2"/>
          <w:sz w:val="36"/>
          <w:szCs w:val="36"/>
          <w:highlight w:val="none"/>
        </w:rPr>
      </w:pPr>
    </w:p>
    <w:p>
      <w:pPr>
        <w:spacing w:line="240" w:lineRule="auto"/>
        <w:ind w:firstLine="3213" w:firstLineChars="1000"/>
        <w:jc w:val="both"/>
        <w:outlineLvl w:val="9"/>
        <w:rPr>
          <w:rFonts w:hint="eastAsia" w:ascii="仿宋_GB2312" w:hAnsi="仿宋_GB2312" w:eastAsia="仿宋_GB2312" w:cs="仿宋_GB2312"/>
          <w:b/>
          <w:color w:val="auto"/>
          <w:kern w:val="2"/>
          <w:sz w:val="32"/>
          <w:szCs w:val="32"/>
          <w:highlight w:val="none"/>
        </w:rPr>
      </w:pPr>
      <w:r>
        <w:rPr>
          <w:rFonts w:hint="eastAsia" w:ascii="仿宋_GB2312" w:hAnsi="仿宋_GB2312" w:eastAsia="仿宋_GB2312" w:cs="仿宋_GB2312"/>
          <w:b/>
          <w:color w:val="auto"/>
          <w:kern w:val="2"/>
          <w:sz w:val="32"/>
          <w:szCs w:val="32"/>
          <w:highlight w:val="none"/>
        </w:rPr>
        <w:t>第2章 项目需求书</w:t>
      </w:r>
      <w:bookmarkEnd w:id="4"/>
    </w:p>
    <w:p>
      <w:pPr>
        <w:rPr>
          <w:rFonts w:hint="eastAsia" w:ascii="仿宋_GB2312" w:hAnsi="仿宋_GB2312" w:eastAsia="仿宋_GB2312" w:cs="仿宋_GB2312"/>
          <w:b/>
          <w:color w:val="auto"/>
          <w:sz w:val="30"/>
          <w:szCs w:val="30"/>
          <w:highlight w:val="none"/>
        </w:rPr>
      </w:pPr>
    </w:p>
    <w:p>
      <w:pPr>
        <w:numPr>
          <w:ilvl w:val="0"/>
          <w:numId w:val="1"/>
        </w:numPr>
        <w:jc w:val="left"/>
        <w:rPr>
          <w:rFonts w:hint="eastAsia" w:ascii="仿宋_GB2312" w:hAnsi="仿宋_GB2312" w:eastAsia="仿宋_GB2312" w:cs="仿宋_GB2312"/>
          <w:b/>
          <w:color w:val="auto"/>
          <w:kern w:val="2"/>
          <w:sz w:val="28"/>
          <w:szCs w:val="28"/>
          <w:highlight w:val="none"/>
        </w:rPr>
      </w:pPr>
      <w:r>
        <w:rPr>
          <w:rFonts w:hint="eastAsia" w:ascii="仿宋_GB2312" w:hAnsi="仿宋_GB2312" w:eastAsia="仿宋_GB2312" w:cs="仿宋_GB2312"/>
          <w:b/>
          <w:color w:val="auto"/>
          <w:kern w:val="2"/>
          <w:sz w:val="28"/>
          <w:szCs w:val="28"/>
          <w:highlight w:val="none"/>
          <w:lang w:eastAsia="zh-CN"/>
        </w:rPr>
        <w:t>项目概况</w:t>
      </w:r>
    </w:p>
    <w:p>
      <w:pPr>
        <w:numPr>
          <w:ilvl w:val="0"/>
          <w:numId w:val="0"/>
        </w:numPr>
        <w:spacing w:line="360" w:lineRule="auto"/>
        <w:ind w:firstLine="480" w:firstLineChars="200"/>
        <w:rPr>
          <w:rFonts w:hint="eastAsia" w:ascii="仿宋_GB2312" w:hAnsi="仿宋_GB2312" w:eastAsia="仿宋_GB2312" w:cs="仿宋_GB2312"/>
          <w:b w:val="0"/>
          <w:color w:val="auto"/>
          <w:kern w:val="2"/>
          <w:sz w:val="24"/>
          <w:szCs w:val="24"/>
          <w:highlight w:val="none"/>
          <w:lang w:eastAsia="zh-CN"/>
        </w:rPr>
      </w:pPr>
      <w:r>
        <w:rPr>
          <w:rFonts w:hint="eastAsia" w:ascii="仿宋_GB2312" w:hAnsi="仿宋_GB2312" w:eastAsia="仿宋_GB2312" w:cs="仿宋_GB2312"/>
          <w:color w:val="auto"/>
          <w:sz w:val="24"/>
          <w:szCs w:val="24"/>
          <w:highlight w:val="none"/>
          <w:u w:val="none"/>
        </w:rPr>
        <w:t>项目位于广州市南沙区珠江街道前锋社区沿一、二涌两边已征收物业，范围为珠江街道前锋社区，即一、二涌靠近蕉门水道的河段及周边建筑、农田。具体包括一涌凤凰大道以西、新广一、二路以东段，长约0.85公里；二涌新广二、三路以东至蕉门水道段，长约2.5公里。</w:t>
      </w:r>
      <w:r>
        <w:rPr>
          <w:rFonts w:hint="eastAsia" w:ascii="仿宋_GB2312" w:hAnsi="仿宋_GB2312" w:eastAsia="仿宋_GB2312" w:cs="仿宋_GB2312"/>
          <w:color w:val="auto"/>
          <w:sz w:val="24"/>
          <w:szCs w:val="24"/>
          <w:highlight w:val="none"/>
          <w:u w:val="none"/>
          <w:lang w:val="en-US" w:eastAsia="zh-CN"/>
        </w:rPr>
        <w:t>涉及危房鉴定房屋</w:t>
      </w:r>
      <w:r>
        <w:rPr>
          <w:rFonts w:hint="eastAsia" w:ascii="仿宋_GB2312" w:hAnsi="仿宋_GB2312" w:eastAsia="仿宋_GB2312" w:cs="仿宋_GB2312"/>
          <w:i w:val="0"/>
          <w:iCs w:val="0"/>
          <w:caps w:val="0"/>
          <w:color w:val="auto"/>
          <w:spacing w:val="0"/>
          <w:sz w:val="24"/>
          <w:szCs w:val="24"/>
          <w:highlight w:val="none"/>
          <w:u w:val="none"/>
          <w:shd w:val="clear"/>
          <w:lang w:val="en-US" w:eastAsia="zh-CN"/>
        </w:rPr>
        <w:t>394户（含部分一户多栋和一栋多户）</w:t>
      </w:r>
      <w:r>
        <w:rPr>
          <w:rFonts w:hint="eastAsia" w:ascii="仿宋_GB2312" w:hAnsi="仿宋_GB2312" w:eastAsia="仿宋_GB2312" w:cs="仿宋_GB2312"/>
          <w:i w:val="0"/>
          <w:iCs w:val="0"/>
          <w:caps w:val="0"/>
          <w:color w:val="auto"/>
          <w:spacing w:val="0"/>
          <w:sz w:val="24"/>
          <w:szCs w:val="24"/>
          <w:highlight w:val="none"/>
          <w:u w:val="none"/>
          <w:shd w:val="clear"/>
          <w:lang w:eastAsia="zh-CN"/>
        </w:rPr>
        <w:t>，</w:t>
      </w:r>
      <w:r>
        <w:rPr>
          <w:rFonts w:hint="eastAsia" w:ascii="仿宋_GB2312" w:hAnsi="仿宋_GB2312" w:eastAsia="仿宋_GB2312" w:cs="仿宋_GB2312"/>
          <w:i w:val="0"/>
          <w:iCs w:val="0"/>
          <w:caps w:val="0"/>
          <w:color w:val="auto"/>
          <w:spacing w:val="0"/>
          <w:sz w:val="24"/>
          <w:szCs w:val="24"/>
          <w:highlight w:val="none"/>
          <w:u w:val="none"/>
          <w:shd w:val="clear"/>
          <w:lang w:val="en-US" w:eastAsia="zh-CN"/>
        </w:rPr>
        <w:t>其中一涌59户，二涌335户，物业总面积约为</w:t>
      </w:r>
      <w:r>
        <w:rPr>
          <w:rFonts w:hint="eastAsia" w:ascii="仿宋_GB2312" w:hAnsi="仿宋_GB2312" w:eastAsia="仿宋_GB2312" w:cs="仿宋_GB2312"/>
          <w:color w:val="auto"/>
          <w:sz w:val="24"/>
          <w:szCs w:val="24"/>
          <w:highlight w:val="none"/>
          <w:u w:val="none"/>
          <w:lang w:val="en-US" w:eastAsia="zh-CN"/>
        </w:rPr>
        <w:t>42682.9</w:t>
      </w:r>
      <w:r>
        <w:rPr>
          <w:rFonts w:hint="eastAsia" w:ascii="仿宋_GB2312" w:hAnsi="仿宋_GB2312" w:eastAsia="仿宋_GB2312" w:cs="仿宋_GB2312"/>
          <w:color w:val="auto"/>
          <w:sz w:val="24"/>
          <w:szCs w:val="24"/>
          <w:highlight w:val="none"/>
          <w:u w:val="none"/>
        </w:rPr>
        <w:t xml:space="preserve"> </w:t>
      </w:r>
      <w:r>
        <w:rPr>
          <w:rFonts w:hint="eastAsia" w:ascii="仿宋_GB2312" w:hAnsi="仿宋_GB2312" w:eastAsia="仿宋_GB2312" w:cs="仿宋_GB2312"/>
          <w:color w:val="auto"/>
          <w:sz w:val="24"/>
          <w:szCs w:val="24"/>
          <w:highlight w:val="none"/>
          <w:u w:val="none"/>
          <w:lang w:val="en-US" w:eastAsia="zh-CN"/>
        </w:rPr>
        <w:t>㎡</w:t>
      </w:r>
      <w:r>
        <w:rPr>
          <w:rFonts w:hint="eastAsia" w:ascii="仿宋_GB2312" w:hAnsi="仿宋_GB2312" w:eastAsia="仿宋_GB2312" w:cs="仿宋_GB2312"/>
          <w:i w:val="0"/>
          <w:iCs w:val="0"/>
          <w:caps w:val="0"/>
          <w:color w:val="auto"/>
          <w:spacing w:val="0"/>
          <w:sz w:val="24"/>
          <w:szCs w:val="24"/>
          <w:highlight w:val="none"/>
          <w:u w:val="none"/>
          <w:shd w:val="clear"/>
          <w:lang w:val="en-US" w:eastAsia="zh-CN"/>
        </w:rPr>
        <w:t>，</w:t>
      </w:r>
      <w:r>
        <w:rPr>
          <w:rFonts w:hint="eastAsia" w:ascii="仿宋_GB2312" w:hAnsi="仿宋_GB2312" w:eastAsia="仿宋_GB2312" w:cs="仿宋_GB2312"/>
          <w:color w:val="auto"/>
          <w:sz w:val="24"/>
          <w:szCs w:val="24"/>
          <w:highlight w:val="none"/>
          <w:u w:val="none"/>
        </w:rPr>
        <w:t>具体以</w:t>
      </w:r>
      <w:r>
        <w:rPr>
          <w:rFonts w:hint="eastAsia" w:ascii="仿宋_GB2312" w:hAnsi="仿宋_GB2312" w:eastAsia="仿宋_GB2312" w:cs="仿宋_GB2312"/>
          <w:color w:val="auto"/>
          <w:sz w:val="24"/>
          <w:szCs w:val="24"/>
          <w:highlight w:val="none"/>
          <w:u w:val="none"/>
          <w:lang w:val="en-US" w:eastAsia="zh-CN"/>
        </w:rPr>
        <w:t>实际工作量</w:t>
      </w:r>
      <w:r>
        <w:rPr>
          <w:rFonts w:hint="eastAsia" w:ascii="仿宋_GB2312" w:hAnsi="仿宋_GB2312" w:eastAsia="仿宋_GB2312" w:cs="仿宋_GB2312"/>
          <w:color w:val="auto"/>
          <w:sz w:val="24"/>
          <w:szCs w:val="24"/>
          <w:highlight w:val="none"/>
          <w:u w:val="none"/>
        </w:rPr>
        <w:t>为准</w:t>
      </w:r>
      <w:r>
        <w:rPr>
          <w:rFonts w:hint="eastAsia" w:ascii="仿宋_GB2312" w:hAnsi="仿宋_GB2312" w:eastAsia="仿宋_GB2312" w:cs="仿宋_GB2312"/>
          <w:color w:val="auto"/>
          <w:sz w:val="24"/>
          <w:szCs w:val="24"/>
          <w:highlight w:val="none"/>
          <w:u w:val="none"/>
          <w:lang w:eastAsia="zh-CN"/>
        </w:rPr>
        <w:t>。</w:t>
      </w:r>
    </w:p>
    <w:p>
      <w:pPr>
        <w:numPr>
          <w:ilvl w:val="0"/>
          <w:numId w:val="1"/>
        </w:numPr>
        <w:ind w:firstLine="0" w:firstLineChars="0"/>
        <w:jc w:val="left"/>
        <w:rPr>
          <w:rFonts w:hint="eastAsia" w:ascii="仿宋_GB2312" w:hAnsi="仿宋_GB2312" w:eastAsia="仿宋_GB2312" w:cs="仿宋_GB2312"/>
          <w:b/>
          <w:color w:val="auto"/>
          <w:kern w:val="2"/>
          <w:sz w:val="28"/>
          <w:szCs w:val="28"/>
          <w:highlight w:val="none"/>
        </w:rPr>
      </w:pPr>
      <w:r>
        <w:rPr>
          <w:rFonts w:hint="eastAsia" w:ascii="仿宋_GB2312" w:hAnsi="仿宋_GB2312" w:eastAsia="仿宋_GB2312" w:cs="仿宋_GB2312"/>
          <w:b/>
          <w:color w:val="auto"/>
          <w:kern w:val="2"/>
          <w:sz w:val="28"/>
          <w:szCs w:val="28"/>
          <w:highlight w:val="none"/>
          <w:lang w:eastAsia="zh-CN"/>
        </w:rPr>
        <w:t>招标范围</w:t>
      </w:r>
    </w:p>
    <w:p>
      <w:pPr>
        <w:pStyle w:val="19"/>
        <w:numPr>
          <w:ilvl w:val="-1"/>
          <w:numId w:val="0"/>
        </w:numPr>
        <w:ind w:firstLine="480" w:firstLineChars="200"/>
        <w:rPr>
          <w:rFonts w:hint="eastAsia" w:ascii="仿宋_GB2312" w:hAnsi="仿宋_GB2312" w:eastAsia="仿宋_GB2312" w:cs="仿宋_GB2312"/>
          <w:color w:val="auto"/>
          <w:spacing w:val="0"/>
          <w:sz w:val="28"/>
          <w:szCs w:val="28"/>
          <w:highlight w:val="none"/>
          <w:lang w:val="en-US" w:eastAsia="zh-CN"/>
        </w:rPr>
      </w:pPr>
      <w:r>
        <w:rPr>
          <w:rFonts w:hint="eastAsia" w:ascii="仿宋_GB2312" w:hAnsi="仿宋_GB2312" w:eastAsia="仿宋_GB2312" w:cs="仿宋_GB2312"/>
          <w:bCs w:val="0"/>
          <w:color w:val="auto"/>
          <w:spacing w:val="0"/>
          <w:sz w:val="24"/>
          <w:szCs w:val="24"/>
          <w:highlight w:val="none"/>
          <w:u w:val="none"/>
          <w:lang w:val="en-US" w:eastAsia="zh-CN"/>
        </w:rPr>
        <w:t>为确定</w:t>
      </w:r>
      <w:r>
        <w:rPr>
          <w:rFonts w:hint="eastAsia" w:ascii="仿宋_GB2312" w:hAnsi="仿宋_GB2312" w:eastAsia="仿宋_GB2312" w:cs="仿宋_GB2312"/>
          <w:bCs w:val="0"/>
          <w:color w:val="auto"/>
          <w:sz w:val="24"/>
          <w:szCs w:val="24"/>
          <w:highlight w:val="none"/>
          <w:u w:val="none"/>
          <w:lang w:eastAsia="zh-CN"/>
        </w:rPr>
        <w:t>前锋水乡一、二涌已移交物业</w:t>
      </w:r>
      <w:r>
        <w:rPr>
          <w:rFonts w:hint="eastAsia" w:ascii="仿宋_GB2312" w:hAnsi="仿宋_GB2312" w:eastAsia="仿宋_GB2312" w:cs="仿宋_GB2312"/>
          <w:bCs w:val="0"/>
          <w:color w:val="auto"/>
          <w:sz w:val="24"/>
          <w:szCs w:val="24"/>
          <w:highlight w:val="none"/>
          <w:u w:val="none"/>
          <w:lang w:val="en-US" w:eastAsia="zh-CN"/>
        </w:rPr>
        <w:t>房屋安全状况，进行</w:t>
      </w:r>
      <w:r>
        <w:rPr>
          <w:rFonts w:hint="eastAsia" w:ascii="仿宋_GB2312" w:hAnsi="仿宋_GB2312" w:eastAsia="仿宋_GB2312" w:cs="仿宋_GB2312"/>
          <w:bCs w:val="0"/>
          <w:color w:val="auto"/>
          <w:sz w:val="24"/>
          <w:szCs w:val="24"/>
          <w:highlight w:val="none"/>
          <w:u w:val="none"/>
          <w:lang w:eastAsia="zh-CN"/>
        </w:rPr>
        <w:t>房屋</w:t>
      </w:r>
      <w:r>
        <w:rPr>
          <w:rFonts w:hint="eastAsia" w:ascii="仿宋_GB2312" w:hAnsi="仿宋_GB2312" w:eastAsia="仿宋_GB2312" w:cs="仿宋_GB2312"/>
          <w:bCs w:val="0"/>
          <w:color w:val="auto"/>
          <w:sz w:val="24"/>
          <w:szCs w:val="24"/>
          <w:highlight w:val="none"/>
          <w:u w:val="none"/>
          <w:lang w:val="en-US" w:eastAsia="zh-CN"/>
        </w:rPr>
        <w:t>危房</w:t>
      </w:r>
      <w:r>
        <w:rPr>
          <w:rFonts w:hint="eastAsia" w:ascii="仿宋_GB2312" w:hAnsi="仿宋_GB2312" w:eastAsia="仿宋_GB2312" w:cs="仿宋_GB2312"/>
          <w:bCs w:val="0"/>
          <w:color w:val="auto"/>
          <w:sz w:val="24"/>
          <w:szCs w:val="24"/>
          <w:highlight w:val="none"/>
          <w:u w:val="none"/>
          <w:lang w:eastAsia="zh-CN"/>
        </w:rPr>
        <w:t>鉴定，具体工作</w:t>
      </w:r>
      <w:r>
        <w:rPr>
          <w:rFonts w:hint="eastAsia" w:ascii="仿宋_GB2312" w:hAnsi="仿宋_GB2312" w:eastAsia="仿宋_GB2312" w:cs="仿宋_GB2312"/>
          <w:bCs w:val="0"/>
          <w:color w:val="auto"/>
          <w:sz w:val="24"/>
          <w:szCs w:val="24"/>
          <w:highlight w:val="none"/>
          <w:u w:val="none"/>
          <w:lang w:val="en-US" w:eastAsia="zh-CN"/>
        </w:rPr>
        <w:t>主要为</w:t>
      </w:r>
      <w:r>
        <w:rPr>
          <w:rFonts w:hint="eastAsia" w:ascii="仿宋_GB2312" w:hAnsi="仿宋_GB2312" w:eastAsia="仿宋_GB2312" w:cs="仿宋_GB2312"/>
          <w:bCs w:val="0"/>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检测数据分析及鉴定报告编写</w:t>
      </w:r>
      <w:r>
        <w:rPr>
          <w:rFonts w:hint="eastAsia" w:ascii="仿宋_GB2312" w:hAnsi="仿宋_GB2312" w:eastAsia="仿宋_GB2312" w:cs="仿宋_GB2312"/>
          <w:color w:val="auto"/>
          <w:sz w:val="24"/>
          <w:szCs w:val="24"/>
          <w:highlight w:val="none"/>
          <w:u w:val="none"/>
          <w:lang w:eastAsia="zh-CN"/>
        </w:rPr>
        <w:t>。</w:t>
      </w:r>
    </w:p>
    <w:p>
      <w:pPr>
        <w:pStyle w:val="19"/>
        <w:numPr>
          <w:ilvl w:val="-1"/>
          <w:numId w:val="0"/>
        </w:numPr>
        <w:spacing w:line="240" w:lineRule="auto"/>
        <w:ind w:firstLine="640" w:firstLineChars="200"/>
        <w:rPr>
          <w:rFonts w:hint="eastAsia" w:ascii="仿宋_GB2312" w:hAnsi="仿宋_GB2312" w:eastAsia="仿宋_GB2312" w:cs="仿宋_GB2312"/>
          <w:bCs/>
          <w:color w:val="auto"/>
          <w:sz w:val="32"/>
          <w:szCs w:val="32"/>
          <w:highlight w:val="none"/>
          <w:lang w:eastAsia="zh-CN"/>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hint="eastAsia" w:ascii="仿宋_GB2312" w:hAnsi="仿宋_GB2312" w:eastAsia="仿宋_GB2312" w:cs="仿宋_GB2312"/>
          <w:b/>
          <w:color w:val="auto"/>
          <w:kern w:val="44"/>
          <w:sz w:val="32"/>
          <w:szCs w:val="32"/>
          <w:highlight w:val="none"/>
        </w:rPr>
      </w:pPr>
      <w:r>
        <w:rPr>
          <w:rFonts w:hint="eastAsia" w:ascii="仿宋_GB2312" w:hAnsi="仿宋_GB2312" w:eastAsia="仿宋_GB2312" w:cs="仿宋_GB2312"/>
          <w:b/>
          <w:color w:val="auto"/>
          <w:kern w:val="2"/>
          <w:sz w:val="32"/>
          <w:szCs w:val="32"/>
          <w:highlight w:val="none"/>
        </w:rPr>
        <w:t>第3章  投标格式文件</w:t>
      </w:r>
      <w:bookmarkEnd w:id="5"/>
    </w:p>
    <w:p>
      <w:pPr>
        <w:rPr>
          <w:rFonts w:hint="eastAsia" w:ascii="仿宋_GB2312" w:hAnsi="仿宋_GB2312" w:eastAsia="仿宋_GB2312" w:cs="仿宋_GB2312"/>
          <w:color w:val="auto"/>
          <w:highlight w:val="none"/>
        </w:rPr>
      </w:pPr>
    </w:p>
    <w:p>
      <w:pPr>
        <w:snapToGrid w:val="0"/>
        <w:outlineLvl w:val="9"/>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kern w:val="44"/>
          <w:sz w:val="44"/>
          <w:szCs w:val="44"/>
          <w:highlight w:val="none"/>
        </w:rPr>
        <w:t xml:space="preserve"> </w:t>
      </w:r>
      <w:r>
        <w:rPr>
          <w:rFonts w:hint="eastAsia" w:ascii="仿宋_GB2312" w:hAnsi="仿宋_GB2312" w:eastAsia="仿宋_GB2312" w:cs="仿宋_GB2312"/>
          <w:b/>
          <w:color w:val="auto"/>
          <w:spacing w:val="20"/>
          <w:sz w:val="28"/>
          <w:szCs w:val="28"/>
          <w:highlight w:val="none"/>
        </w:rPr>
        <w:t>格式一：</w:t>
      </w:r>
    </w:p>
    <w:p>
      <w:pPr>
        <w:spacing w:after="286" w:afterLines="100" w:line="360" w:lineRule="auto"/>
        <w:jc w:val="center"/>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pacing w:val="34"/>
          <w:sz w:val="32"/>
          <w:szCs w:val="32"/>
          <w:highlight w:val="none"/>
        </w:rPr>
        <w:t>投标函</w:t>
      </w:r>
    </w:p>
    <w:p>
      <w:pPr>
        <w:snapToGrid w:val="0"/>
        <w:spacing w:line="360" w:lineRule="auto"/>
        <w:ind w:firstLine="0" w:firstLineChars="0"/>
        <w:rPr>
          <w:rFonts w:hint="eastAsia" w:ascii="仿宋_GB2312" w:hAnsi="仿宋_GB2312" w:eastAsia="仿宋_GB2312" w:cs="仿宋_GB2312"/>
          <w:color w:val="auto"/>
          <w:spacing w:val="20"/>
          <w:sz w:val="24"/>
          <w:szCs w:val="24"/>
          <w:highlight w:val="none"/>
          <w:u w:val="single"/>
        </w:rPr>
      </w:pPr>
      <w:r>
        <w:rPr>
          <w:rFonts w:hint="eastAsia" w:ascii="仿宋_GB2312" w:hAnsi="仿宋_GB2312" w:eastAsia="仿宋_GB2312" w:cs="仿宋_GB2312"/>
          <w:color w:val="auto"/>
          <w:spacing w:val="20"/>
          <w:sz w:val="24"/>
          <w:szCs w:val="24"/>
          <w:highlight w:val="none"/>
          <w:u w:val="single"/>
          <w:lang w:eastAsia="zh-CN"/>
        </w:rPr>
        <w:t>广州南沙科技投资有限公司</w:t>
      </w:r>
      <w:r>
        <w:rPr>
          <w:rFonts w:hint="eastAsia" w:ascii="仿宋_GB2312" w:hAnsi="仿宋_GB2312" w:eastAsia="仿宋_GB2312" w:cs="仿宋_GB2312"/>
          <w:color w:val="auto"/>
          <w:spacing w:val="20"/>
          <w:sz w:val="24"/>
          <w:szCs w:val="24"/>
          <w:highlight w:val="none"/>
          <w:u w:val="single"/>
        </w:rPr>
        <w:t>：</w:t>
      </w:r>
    </w:p>
    <w:p>
      <w:pPr>
        <w:numPr>
          <w:ilvl w:val="0"/>
          <w:numId w:val="0"/>
        </w:numPr>
        <w:snapToGrid/>
        <w:spacing w:line="360" w:lineRule="auto"/>
        <w:ind w:firstLine="480" w:firstLineChars="200"/>
        <w:rPr>
          <w:rFonts w:hint="eastAsia" w:ascii="仿宋_GB2312" w:hAnsi="仿宋_GB2312" w:eastAsia="仿宋_GB2312" w:cs="仿宋_GB2312"/>
          <w:color w:val="auto"/>
          <w:spacing w:val="0"/>
          <w:sz w:val="24"/>
          <w:szCs w:val="24"/>
          <w:highlight w:val="none"/>
          <w:u w:val="none"/>
        </w:rPr>
      </w:pPr>
      <w:r>
        <w:rPr>
          <w:rFonts w:hint="eastAsia" w:ascii="仿宋_GB2312" w:hAnsi="仿宋_GB2312" w:eastAsia="仿宋_GB2312" w:cs="仿宋_GB2312"/>
          <w:color w:val="auto"/>
          <w:spacing w:val="0"/>
          <w:sz w:val="24"/>
          <w:szCs w:val="24"/>
          <w:highlight w:val="none"/>
          <w:u w:val="none"/>
        </w:rPr>
        <w:t>我方决定参加贵方的</w:t>
      </w:r>
      <w:r>
        <w:rPr>
          <w:rFonts w:hint="eastAsia" w:ascii="仿宋_GB2312" w:hAnsi="仿宋_GB2312" w:eastAsia="仿宋_GB2312" w:cs="仿宋_GB2312"/>
          <w:color w:val="auto"/>
          <w:spacing w:val="0"/>
          <w:sz w:val="24"/>
          <w:szCs w:val="24"/>
          <w:highlight w:val="none"/>
          <w:u w:val="none"/>
          <w:lang w:eastAsia="zh-CN"/>
        </w:rPr>
        <w:t>前锋水乡一、二涌已移交物业危房鉴定</w:t>
      </w:r>
      <w:r>
        <w:rPr>
          <w:rFonts w:hint="eastAsia" w:ascii="仿宋_GB2312" w:hAnsi="仿宋_GB2312" w:eastAsia="仿宋_GB2312" w:cs="仿宋_GB2312"/>
          <w:color w:val="auto"/>
          <w:spacing w:val="0"/>
          <w:sz w:val="24"/>
          <w:szCs w:val="24"/>
          <w:highlight w:val="none"/>
          <w:u w:val="none"/>
        </w:rPr>
        <w:t>单位选定的竞标，并完全接受贵方发出的招标文件及澄清文件中的所有内容。为此，我方作出如下承诺：</w:t>
      </w:r>
    </w:p>
    <w:p>
      <w:pPr>
        <w:numPr>
          <w:ilvl w:val="0"/>
          <w:numId w:val="0"/>
        </w:numPr>
        <w:snapToGrid/>
        <w:spacing w:line="360" w:lineRule="auto"/>
        <w:ind w:firstLine="480" w:firstLineChars="200"/>
        <w:rPr>
          <w:rFonts w:hint="eastAsia" w:ascii="仿宋_GB2312" w:hAnsi="仿宋_GB2312" w:eastAsia="仿宋_GB2312" w:cs="仿宋_GB2312"/>
          <w:color w:val="auto"/>
          <w:spacing w:val="20"/>
          <w:sz w:val="24"/>
          <w:szCs w:val="24"/>
          <w:highlight w:val="none"/>
        </w:rPr>
      </w:pPr>
      <w:r>
        <w:rPr>
          <w:rFonts w:hint="eastAsia" w:ascii="仿宋_GB2312" w:hAnsi="仿宋_GB2312" w:eastAsia="仿宋_GB2312" w:cs="仿宋_GB2312"/>
          <w:color w:val="auto"/>
          <w:spacing w:val="0"/>
          <w:sz w:val="24"/>
          <w:szCs w:val="24"/>
          <w:highlight w:val="none"/>
          <w:u w:val="none"/>
        </w:rPr>
        <w:t>1、我方经分析研究了贵方提供的招标文件中的项目介绍、投标人须知、合同条件以及本次招标答疑或澄清文件后，我公司愿意以投标报价表中承诺报价，完成贵方</w:t>
      </w:r>
      <w:r>
        <w:rPr>
          <w:rFonts w:hint="eastAsia" w:ascii="仿宋_GB2312" w:hAnsi="仿宋_GB2312" w:eastAsia="仿宋_GB2312" w:cs="仿宋_GB2312"/>
          <w:color w:val="auto"/>
          <w:spacing w:val="0"/>
          <w:sz w:val="24"/>
          <w:szCs w:val="24"/>
          <w:highlight w:val="none"/>
          <w:u w:val="none"/>
          <w:lang w:eastAsia="zh-CN"/>
        </w:rPr>
        <w:t>前锋水乡一、二涌已移交物业危房鉴定</w:t>
      </w:r>
      <w:r>
        <w:rPr>
          <w:rFonts w:hint="eastAsia" w:ascii="仿宋_GB2312" w:hAnsi="仿宋_GB2312" w:eastAsia="仿宋_GB2312" w:cs="仿宋_GB2312"/>
          <w:color w:val="auto"/>
          <w:spacing w:val="0"/>
          <w:sz w:val="24"/>
          <w:szCs w:val="24"/>
          <w:highlight w:val="none"/>
          <w:u w:val="none"/>
        </w:rPr>
        <w:t>任务，并提供</w:t>
      </w:r>
      <w:r>
        <w:rPr>
          <w:rFonts w:hint="eastAsia" w:ascii="仿宋_GB2312" w:hAnsi="仿宋_GB2312" w:eastAsia="仿宋_GB2312" w:cs="仿宋_GB2312"/>
          <w:color w:val="auto"/>
          <w:spacing w:val="0"/>
          <w:sz w:val="24"/>
          <w:szCs w:val="24"/>
          <w:highlight w:val="none"/>
          <w:u w:val="none"/>
          <w:lang w:eastAsia="zh-CN"/>
        </w:rPr>
        <w:t>增值税专用发票</w:t>
      </w:r>
      <w:r>
        <w:rPr>
          <w:rFonts w:hint="eastAsia" w:ascii="仿宋_GB2312" w:hAnsi="仿宋_GB2312" w:eastAsia="仿宋_GB2312" w:cs="仿宋_GB2312"/>
          <w:color w:val="auto"/>
          <w:spacing w:val="0"/>
          <w:sz w:val="24"/>
          <w:szCs w:val="24"/>
          <w:highlight w:val="none"/>
          <w:u w:val="none"/>
        </w:rPr>
        <w:t>税率为   %，并按合同条件的</w:t>
      </w:r>
      <w:r>
        <w:rPr>
          <w:rFonts w:hint="eastAsia" w:ascii="仿宋_GB2312" w:hAnsi="仿宋_GB2312" w:eastAsia="仿宋_GB2312" w:cs="仿宋_GB2312"/>
          <w:color w:val="auto"/>
          <w:spacing w:val="20"/>
          <w:sz w:val="24"/>
          <w:szCs w:val="24"/>
          <w:highlight w:val="none"/>
        </w:rPr>
        <w:t>要求，承担并完成任务。</w:t>
      </w:r>
    </w:p>
    <w:p>
      <w:pPr>
        <w:snapToGrid w:val="0"/>
        <w:spacing w:line="360" w:lineRule="auto"/>
        <w:ind w:firstLine="560" w:firstLineChars="200"/>
        <w:rPr>
          <w:rFonts w:hint="eastAsia" w:ascii="仿宋_GB2312" w:hAnsi="仿宋_GB2312" w:eastAsia="仿宋_GB2312" w:cs="仿宋_GB2312"/>
          <w:color w:val="auto"/>
          <w:spacing w:val="20"/>
          <w:sz w:val="24"/>
          <w:szCs w:val="24"/>
          <w:highlight w:val="none"/>
        </w:rPr>
      </w:pPr>
      <w:r>
        <w:rPr>
          <w:rFonts w:hint="eastAsia" w:ascii="仿宋_GB2312" w:hAnsi="仿宋_GB2312" w:eastAsia="仿宋_GB2312" w:cs="仿宋_GB2312"/>
          <w:color w:val="auto"/>
          <w:spacing w:val="20"/>
          <w:sz w:val="24"/>
          <w:szCs w:val="24"/>
          <w:highlight w:val="none"/>
        </w:rPr>
        <w:t>2、完全理解和接受全部招标文件（包括修改文件、参考资料和有关附件）的一切规定和要求。</w:t>
      </w:r>
    </w:p>
    <w:p>
      <w:pPr>
        <w:snapToGrid w:val="0"/>
        <w:spacing w:line="360" w:lineRule="auto"/>
        <w:ind w:firstLine="560" w:firstLineChars="200"/>
        <w:rPr>
          <w:rFonts w:hint="eastAsia" w:ascii="仿宋_GB2312" w:hAnsi="仿宋_GB2312" w:eastAsia="仿宋_GB2312" w:cs="仿宋_GB2312"/>
          <w:color w:val="auto"/>
          <w:spacing w:val="20"/>
          <w:sz w:val="24"/>
          <w:szCs w:val="24"/>
          <w:highlight w:val="none"/>
        </w:rPr>
      </w:pPr>
      <w:r>
        <w:rPr>
          <w:rFonts w:hint="eastAsia" w:ascii="仿宋_GB2312" w:hAnsi="仿宋_GB2312" w:eastAsia="仿宋_GB2312" w:cs="仿宋_GB2312"/>
          <w:color w:val="auto"/>
          <w:spacing w:val="20"/>
          <w:sz w:val="24"/>
          <w:szCs w:val="24"/>
          <w:highlight w:val="none"/>
        </w:rPr>
        <w:t>3、我方同意在规定的投标截止之日起</w:t>
      </w:r>
      <w:r>
        <w:rPr>
          <w:rFonts w:hint="eastAsia" w:ascii="仿宋_GB2312" w:hAnsi="仿宋_GB2312" w:eastAsia="仿宋_GB2312" w:cs="仿宋_GB2312"/>
          <w:color w:val="auto"/>
          <w:spacing w:val="23"/>
          <w:sz w:val="24"/>
          <w:szCs w:val="24"/>
          <w:highlight w:val="none"/>
          <w:u w:val="single"/>
        </w:rPr>
        <w:t xml:space="preserve"> </w:t>
      </w:r>
      <w:r>
        <w:rPr>
          <w:rFonts w:hint="eastAsia" w:ascii="仿宋_GB2312" w:hAnsi="仿宋_GB2312" w:eastAsia="仿宋_GB2312" w:cs="仿宋_GB2312"/>
          <w:color w:val="auto"/>
          <w:spacing w:val="23"/>
          <w:sz w:val="24"/>
          <w:szCs w:val="24"/>
          <w:highlight w:val="none"/>
          <w:u w:val="single"/>
          <w:lang w:val="en-US" w:eastAsia="zh-CN"/>
        </w:rPr>
        <w:t>90</w:t>
      </w:r>
      <w:r>
        <w:rPr>
          <w:rFonts w:hint="eastAsia" w:ascii="仿宋_GB2312" w:hAnsi="仿宋_GB2312" w:eastAsia="仿宋_GB2312" w:cs="仿宋_GB2312"/>
          <w:color w:val="auto"/>
          <w:spacing w:val="23"/>
          <w:sz w:val="24"/>
          <w:szCs w:val="24"/>
          <w:highlight w:val="none"/>
          <w:u w:val="single"/>
        </w:rPr>
        <w:t xml:space="preserve"> </w:t>
      </w:r>
      <w:r>
        <w:rPr>
          <w:rFonts w:hint="eastAsia" w:ascii="仿宋_GB2312" w:hAnsi="仿宋_GB2312" w:eastAsia="仿宋_GB2312" w:cs="仿宋_GB2312"/>
          <w:color w:val="auto"/>
          <w:spacing w:val="20"/>
          <w:sz w:val="24"/>
          <w:szCs w:val="24"/>
          <w:highlight w:val="none"/>
        </w:rPr>
        <w:t>日历天内遵守本投标。在该期限</w:t>
      </w:r>
      <w:r>
        <w:rPr>
          <w:rFonts w:hint="eastAsia" w:ascii="仿宋_GB2312" w:hAnsi="仿宋_GB2312" w:eastAsia="仿宋_GB2312" w:cs="仿宋_GB2312"/>
          <w:color w:val="auto"/>
          <w:spacing w:val="20"/>
          <w:sz w:val="24"/>
          <w:szCs w:val="24"/>
          <w:highlight w:val="none"/>
          <w:lang w:eastAsia="zh-CN"/>
        </w:rPr>
        <w:t>届满</w:t>
      </w:r>
      <w:r>
        <w:rPr>
          <w:rFonts w:hint="eastAsia" w:ascii="仿宋_GB2312" w:hAnsi="仿宋_GB2312" w:eastAsia="仿宋_GB2312" w:cs="仿宋_GB2312"/>
          <w:color w:val="auto"/>
          <w:spacing w:val="20"/>
          <w:sz w:val="24"/>
          <w:szCs w:val="24"/>
          <w:highlight w:val="none"/>
        </w:rPr>
        <w:t>之前，本投标书对我单位始终具有约束力，并可随时被接受。</w:t>
      </w:r>
    </w:p>
    <w:p>
      <w:pPr>
        <w:snapToGrid w:val="0"/>
        <w:spacing w:line="360" w:lineRule="auto"/>
        <w:ind w:firstLine="560" w:firstLineChars="200"/>
        <w:rPr>
          <w:rFonts w:hint="eastAsia" w:ascii="仿宋_GB2312" w:hAnsi="仿宋_GB2312" w:eastAsia="仿宋_GB2312" w:cs="仿宋_GB2312"/>
          <w:color w:val="auto"/>
          <w:spacing w:val="20"/>
          <w:sz w:val="24"/>
          <w:szCs w:val="24"/>
          <w:highlight w:val="none"/>
        </w:rPr>
      </w:pPr>
      <w:r>
        <w:rPr>
          <w:rFonts w:hint="eastAsia" w:ascii="仿宋_GB2312" w:hAnsi="仿宋_GB2312" w:eastAsia="仿宋_GB2312" w:cs="仿宋_GB2312"/>
          <w:color w:val="auto"/>
          <w:spacing w:val="20"/>
          <w:sz w:val="24"/>
          <w:szCs w:val="24"/>
          <w:highlight w:val="none"/>
        </w:rPr>
        <w:t>4、在正式签订服务协议书之前，本投标书连同贵方的中标通知书应成为约束贵、我双方的合同文件。</w:t>
      </w:r>
    </w:p>
    <w:p>
      <w:pPr>
        <w:snapToGrid w:val="0"/>
        <w:spacing w:line="360" w:lineRule="auto"/>
        <w:ind w:firstLine="560" w:firstLineChars="200"/>
        <w:rPr>
          <w:rFonts w:hint="eastAsia" w:ascii="仿宋_GB2312" w:hAnsi="仿宋_GB2312" w:eastAsia="仿宋_GB2312" w:cs="仿宋_GB2312"/>
          <w:color w:val="auto"/>
          <w:spacing w:val="20"/>
          <w:sz w:val="24"/>
          <w:szCs w:val="24"/>
          <w:highlight w:val="none"/>
        </w:rPr>
      </w:pPr>
      <w:r>
        <w:rPr>
          <w:rFonts w:hint="eastAsia" w:ascii="仿宋_GB2312" w:hAnsi="仿宋_GB2312" w:eastAsia="仿宋_GB2312" w:cs="仿宋_GB2312"/>
          <w:color w:val="auto"/>
          <w:spacing w:val="20"/>
          <w:sz w:val="24"/>
          <w:szCs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hint="eastAsia" w:ascii="仿宋_GB2312" w:hAnsi="仿宋_GB2312" w:eastAsia="仿宋_GB2312" w:cs="仿宋_GB2312"/>
          <w:color w:val="auto"/>
          <w:spacing w:val="20"/>
          <w:sz w:val="24"/>
          <w:szCs w:val="24"/>
          <w:highlight w:val="none"/>
        </w:rPr>
      </w:pPr>
      <w:r>
        <w:rPr>
          <w:rFonts w:hint="eastAsia" w:ascii="仿宋_GB2312" w:hAnsi="仿宋_GB2312" w:eastAsia="仿宋_GB2312" w:cs="仿宋_GB2312"/>
          <w:color w:val="auto"/>
          <w:spacing w:val="20"/>
          <w:sz w:val="24"/>
          <w:szCs w:val="24"/>
          <w:highlight w:val="none"/>
        </w:rPr>
        <w:t>6、投标文件中所有关于投标人资格的文件、证明、陈述均是真实的、准确的。若有违背，我方承担由此而产生的一切后果。</w:t>
      </w:r>
    </w:p>
    <w:p>
      <w:pPr>
        <w:snapToGrid w:val="0"/>
        <w:spacing w:line="360" w:lineRule="auto"/>
        <w:ind w:firstLine="560" w:firstLineChars="200"/>
        <w:rPr>
          <w:rFonts w:hint="eastAsia" w:ascii="仿宋_GB2312" w:hAnsi="仿宋_GB2312" w:eastAsia="仿宋_GB2312" w:cs="仿宋_GB2312"/>
          <w:color w:val="auto"/>
          <w:spacing w:val="20"/>
          <w:sz w:val="24"/>
          <w:szCs w:val="24"/>
          <w:highlight w:val="none"/>
        </w:rPr>
      </w:pPr>
      <w:r>
        <w:rPr>
          <w:rFonts w:hint="eastAsia" w:ascii="仿宋_GB2312" w:hAnsi="仿宋_GB2312" w:eastAsia="仿宋_GB2312" w:cs="仿宋_GB2312"/>
          <w:color w:val="auto"/>
          <w:spacing w:val="20"/>
          <w:sz w:val="24"/>
          <w:szCs w:val="24"/>
          <w:highlight w:val="none"/>
        </w:rPr>
        <w:t xml:space="preserve"> </w:t>
      </w:r>
    </w:p>
    <w:p>
      <w:pPr>
        <w:snapToGrid w:val="0"/>
        <w:spacing w:line="360" w:lineRule="auto"/>
        <w:ind w:firstLine="560" w:firstLineChars="200"/>
        <w:rPr>
          <w:rFonts w:hint="eastAsia" w:ascii="仿宋_GB2312" w:hAnsi="仿宋_GB2312" w:eastAsia="仿宋_GB2312" w:cs="仿宋_GB2312"/>
          <w:color w:val="auto"/>
          <w:spacing w:val="20"/>
          <w:sz w:val="24"/>
          <w:szCs w:val="24"/>
          <w:highlight w:val="none"/>
        </w:rPr>
      </w:pPr>
      <w:r>
        <w:rPr>
          <w:rFonts w:hint="eastAsia" w:ascii="仿宋_GB2312" w:hAnsi="仿宋_GB2312" w:eastAsia="仿宋_GB2312" w:cs="仿宋_GB2312"/>
          <w:color w:val="auto"/>
          <w:spacing w:val="20"/>
          <w:sz w:val="24"/>
          <w:szCs w:val="24"/>
          <w:highlight w:val="none"/>
        </w:rPr>
        <w:t xml:space="preserve"> </w:t>
      </w:r>
    </w:p>
    <w:p>
      <w:pPr>
        <w:snapToGrid w:val="0"/>
        <w:spacing w:line="360" w:lineRule="auto"/>
        <w:ind w:firstLine="560" w:firstLineChars="200"/>
        <w:rPr>
          <w:rFonts w:hint="eastAsia" w:ascii="仿宋_GB2312" w:hAnsi="仿宋_GB2312" w:eastAsia="仿宋_GB2312" w:cs="仿宋_GB2312"/>
          <w:color w:val="auto"/>
          <w:spacing w:val="20"/>
          <w:sz w:val="24"/>
          <w:szCs w:val="24"/>
          <w:highlight w:val="none"/>
        </w:rPr>
      </w:pPr>
      <w:r>
        <w:rPr>
          <w:rFonts w:hint="eastAsia" w:ascii="仿宋_GB2312" w:hAnsi="仿宋_GB2312" w:eastAsia="仿宋_GB2312" w:cs="仿宋_GB2312"/>
          <w:color w:val="auto"/>
          <w:spacing w:val="20"/>
          <w:sz w:val="24"/>
          <w:szCs w:val="24"/>
          <w:highlight w:val="none"/>
        </w:rPr>
        <w:t>投标人：（盖章）</w:t>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0"/>
          <w:sz w:val="24"/>
          <w:szCs w:val="24"/>
          <w:highlight w:val="none"/>
        </w:rPr>
        <w:tab/>
      </w:r>
      <w:r>
        <w:rPr>
          <w:rFonts w:hint="eastAsia" w:ascii="仿宋_GB2312" w:hAnsi="仿宋_GB2312" w:eastAsia="仿宋_GB2312" w:cs="仿宋_GB2312"/>
          <w:color w:val="auto"/>
          <w:spacing w:val="20"/>
          <w:sz w:val="24"/>
          <w:szCs w:val="24"/>
          <w:highlight w:val="none"/>
        </w:rPr>
        <w:tab/>
      </w:r>
    </w:p>
    <w:p>
      <w:pPr>
        <w:snapToGrid w:val="0"/>
        <w:spacing w:line="360" w:lineRule="auto"/>
        <w:ind w:firstLine="560" w:firstLineChars="200"/>
        <w:rPr>
          <w:rFonts w:hint="eastAsia" w:ascii="仿宋_GB2312" w:hAnsi="仿宋_GB2312" w:eastAsia="仿宋_GB2312" w:cs="仿宋_GB2312"/>
          <w:color w:val="auto"/>
          <w:spacing w:val="23"/>
          <w:sz w:val="24"/>
          <w:szCs w:val="24"/>
          <w:highlight w:val="none"/>
          <w:u w:val="single"/>
        </w:rPr>
      </w:pPr>
      <w:r>
        <w:rPr>
          <w:rFonts w:hint="eastAsia" w:ascii="仿宋_GB2312" w:hAnsi="仿宋_GB2312" w:eastAsia="仿宋_GB2312" w:cs="仿宋_GB2312"/>
          <w:color w:val="auto"/>
          <w:spacing w:val="20"/>
          <w:sz w:val="24"/>
          <w:szCs w:val="24"/>
          <w:highlight w:val="none"/>
        </w:rPr>
        <w:t>法定代表人或被授权人（代理人）</w:t>
      </w:r>
      <w:r>
        <w:rPr>
          <w:rFonts w:hint="eastAsia" w:ascii="仿宋_GB2312" w:hAnsi="仿宋_GB2312" w:eastAsia="仿宋_GB2312" w:cs="仿宋_GB2312"/>
          <w:color w:val="auto"/>
          <w:spacing w:val="20"/>
          <w:sz w:val="24"/>
          <w:szCs w:val="24"/>
          <w:highlight w:val="none"/>
          <w:lang w:eastAsia="zh-CN"/>
        </w:rPr>
        <w:t>（</w:t>
      </w:r>
      <w:r>
        <w:rPr>
          <w:rFonts w:hint="eastAsia" w:ascii="仿宋_GB2312" w:hAnsi="仿宋_GB2312" w:eastAsia="仿宋_GB2312" w:cs="仿宋_GB2312"/>
          <w:color w:val="auto"/>
          <w:spacing w:val="20"/>
          <w:sz w:val="24"/>
          <w:szCs w:val="24"/>
          <w:highlight w:val="none"/>
        </w:rPr>
        <w:t>签字或签章</w:t>
      </w:r>
      <w:r>
        <w:rPr>
          <w:rFonts w:hint="eastAsia" w:ascii="仿宋_GB2312" w:hAnsi="仿宋_GB2312" w:eastAsia="仿宋_GB2312" w:cs="仿宋_GB2312"/>
          <w:color w:val="auto"/>
          <w:spacing w:val="20"/>
          <w:sz w:val="24"/>
          <w:szCs w:val="24"/>
          <w:highlight w:val="none"/>
          <w:lang w:eastAsia="zh-CN"/>
        </w:rPr>
        <w:t>）：</w:t>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p>
    <w:p>
      <w:pPr>
        <w:snapToGrid w:val="0"/>
        <w:spacing w:line="360" w:lineRule="auto"/>
        <w:ind w:firstLine="560" w:firstLineChars="200"/>
        <w:rPr>
          <w:rFonts w:hint="eastAsia" w:ascii="仿宋_GB2312" w:hAnsi="仿宋_GB2312" w:eastAsia="仿宋_GB2312" w:cs="仿宋_GB2312"/>
          <w:color w:val="auto"/>
          <w:spacing w:val="20"/>
          <w:sz w:val="24"/>
          <w:szCs w:val="24"/>
          <w:highlight w:val="none"/>
        </w:rPr>
      </w:pPr>
      <w:r>
        <w:rPr>
          <w:rFonts w:hint="eastAsia" w:ascii="仿宋_GB2312" w:hAnsi="仿宋_GB2312" w:eastAsia="仿宋_GB2312" w:cs="仿宋_GB2312"/>
          <w:color w:val="auto"/>
          <w:spacing w:val="20"/>
          <w:sz w:val="24"/>
          <w:szCs w:val="24"/>
          <w:highlight w:val="none"/>
        </w:rPr>
        <w:t>地    址：</w:t>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0"/>
          <w:sz w:val="24"/>
          <w:szCs w:val="24"/>
          <w:highlight w:val="none"/>
        </w:rPr>
        <w:tab/>
      </w:r>
      <w:r>
        <w:rPr>
          <w:rFonts w:hint="eastAsia" w:ascii="仿宋_GB2312" w:hAnsi="仿宋_GB2312" w:eastAsia="仿宋_GB2312" w:cs="仿宋_GB2312"/>
          <w:color w:val="auto"/>
          <w:spacing w:val="20"/>
          <w:sz w:val="24"/>
          <w:szCs w:val="24"/>
          <w:highlight w:val="none"/>
        </w:rPr>
        <w:tab/>
      </w:r>
    </w:p>
    <w:p>
      <w:pPr>
        <w:snapToGrid w:val="0"/>
        <w:spacing w:line="360" w:lineRule="auto"/>
        <w:ind w:firstLine="560" w:firstLineChars="200"/>
        <w:rPr>
          <w:rFonts w:hint="eastAsia" w:ascii="仿宋_GB2312" w:hAnsi="仿宋_GB2312" w:eastAsia="仿宋_GB2312" w:cs="仿宋_GB2312"/>
          <w:color w:val="auto"/>
          <w:spacing w:val="20"/>
          <w:sz w:val="24"/>
          <w:szCs w:val="24"/>
          <w:highlight w:val="none"/>
        </w:rPr>
      </w:pPr>
      <w:r>
        <w:rPr>
          <w:rFonts w:hint="eastAsia" w:ascii="仿宋_GB2312" w:hAnsi="仿宋_GB2312" w:eastAsia="仿宋_GB2312" w:cs="仿宋_GB2312"/>
          <w:color w:val="auto"/>
          <w:spacing w:val="20"/>
          <w:sz w:val="24"/>
          <w:szCs w:val="24"/>
          <w:highlight w:val="none"/>
        </w:rPr>
        <w:t>电    话：</w:t>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0"/>
          <w:sz w:val="24"/>
          <w:szCs w:val="24"/>
          <w:highlight w:val="none"/>
        </w:rPr>
        <w:tab/>
      </w:r>
      <w:r>
        <w:rPr>
          <w:rFonts w:hint="eastAsia" w:ascii="仿宋_GB2312" w:hAnsi="仿宋_GB2312" w:eastAsia="仿宋_GB2312" w:cs="仿宋_GB2312"/>
          <w:color w:val="auto"/>
          <w:spacing w:val="20"/>
          <w:sz w:val="24"/>
          <w:szCs w:val="24"/>
          <w:highlight w:val="none"/>
        </w:rPr>
        <w:tab/>
      </w:r>
    </w:p>
    <w:p>
      <w:pPr>
        <w:snapToGrid w:val="0"/>
        <w:spacing w:line="360" w:lineRule="auto"/>
        <w:ind w:firstLine="560" w:firstLineChars="200"/>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color w:val="auto"/>
          <w:spacing w:val="20"/>
          <w:sz w:val="24"/>
          <w:szCs w:val="24"/>
          <w:highlight w:val="none"/>
        </w:rPr>
        <w:t>日    期：</w:t>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szCs w:val="24"/>
          <w:highlight w:val="none"/>
          <w:u w:val="single"/>
        </w:rPr>
        <w:tab/>
      </w:r>
      <w:r>
        <w:rPr>
          <w:rFonts w:hint="eastAsia" w:ascii="仿宋_GB2312" w:hAnsi="仿宋_GB2312" w:eastAsia="仿宋_GB2312" w:cs="仿宋_GB2312"/>
          <w:color w:val="auto"/>
          <w:spacing w:val="23"/>
          <w:sz w:val="24"/>
          <w:highlight w:val="none"/>
          <w:u w:val="single"/>
        </w:rPr>
        <w:tab/>
      </w:r>
      <w:r>
        <w:rPr>
          <w:rFonts w:hint="eastAsia" w:ascii="仿宋_GB2312" w:hAnsi="仿宋_GB2312" w:eastAsia="仿宋_GB2312" w:cs="仿宋_GB2312"/>
          <w:color w:val="auto"/>
          <w:spacing w:val="23"/>
          <w:sz w:val="24"/>
          <w:highlight w:val="none"/>
          <w:u w:val="single"/>
        </w:rPr>
        <w:tab/>
      </w:r>
      <w:r>
        <w:rPr>
          <w:rFonts w:hint="eastAsia" w:ascii="仿宋_GB2312" w:hAnsi="仿宋_GB2312" w:eastAsia="仿宋_GB2312" w:cs="仿宋_GB2312"/>
          <w:b/>
          <w:color w:val="auto"/>
          <w:spacing w:val="20"/>
          <w:sz w:val="24"/>
          <w:highlight w:val="none"/>
        </w:rPr>
        <w:tab/>
      </w:r>
    </w:p>
    <w:p>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napToGrid w:val="0"/>
        <w:spacing w:line="360" w:lineRule="auto"/>
        <w:outlineLvl w:val="1"/>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格式二：</w:t>
      </w:r>
    </w:p>
    <w:p>
      <w:pPr>
        <w:snapToGrid w:val="0"/>
        <w:spacing w:line="480" w:lineRule="auto"/>
        <w:jc w:val="center"/>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服务承诺书（格式）</w:t>
      </w:r>
    </w:p>
    <w:p>
      <w:pPr>
        <w:snapToGrid w:val="0"/>
        <w:spacing w:line="360" w:lineRule="auto"/>
        <w:ind w:firstLine="0" w:firstLine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致：</w:t>
      </w:r>
      <w:r>
        <w:rPr>
          <w:rFonts w:hint="eastAsia" w:ascii="仿宋_GB2312" w:hAnsi="仿宋_GB2312" w:eastAsia="仿宋_GB2312" w:cs="仿宋_GB2312"/>
          <w:color w:val="auto"/>
          <w:spacing w:val="20"/>
          <w:sz w:val="24"/>
          <w:highlight w:val="none"/>
          <w:u w:val="single"/>
          <w:lang w:eastAsia="zh-CN"/>
        </w:rPr>
        <w:t>广州南沙科技投资有限公司</w:t>
      </w:r>
    </w:p>
    <w:p>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一旦我方中标，我方愿意做出如下承诺：</w:t>
      </w:r>
    </w:p>
    <w:p>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如果我方投标文件中存在计算或表达错误的，我方理解并接受</w:t>
      </w:r>
      <w:r>
        <w:rPr>
          <w:rFonts w:hint="eastAsia" w:ascii="仿宋_GB2312" w:hAnsi="仿宋_GB2312" w:eastAsia="仿宋_GB2312" w:cs="仿宋_GB2312"/>
          <w:color w:val="auto"/>
          <w:sz w:val="24"/>
          <w:highlight w:val="none"/>
          <w:lang w:eastAsia="zh-CN"/>
        </w:rPr>
        <w:t>评标小组</w:t>
      </w:r>
      <w:r>
        <w:rPr>
          <w:rFonts w:hint="eastAsia" w:ascii="仿宋_GB2312" w:hAnsi="仿宋_GB2312" w:eastAsia="仿宋_GB2312" w:cs="仿宋_GB2312"/>
          <w:color w:val="auto"/>
          <w:sz w:val="24"/>
          <w:highlight w:val="none"/>
        </w:rPr>
        <w:t>按照招标文件规定的原则进行修正，这种修正对我方具有约束力，且不需要我方确认。</w:t>
      </w:r>
    </w:p>
    <w:p>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在签署合同协议书之前，你方的中标通知书和本投标承诺书将构成约束我们双方的契约。</w:t>
      </w:r>
    </w:p>
    <w:p>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p>
    <w:p>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p>
    <w:p>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p>
    <w:p>
      <w:pPr>
        <w:snapToGrid w:val="0"/>
        <w:spacing w:line="360" w:lineRule="auto"/>
        <w:ind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投 标 人： </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盖公章</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u w:val="single"/>
        </w:rPr>
        <w:t xml:space="preserve">              </w:t>
      </w:r>
    </w:p>
    <w:p>
      <w:pPr>
        <w:snapToGrid w:val="0"/>
        <w:spacing w:line="360" w:lineRule="auto"/>
        <w:ind w:right="26"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授权代表： </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签  字</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u w:val="single"/>
        </w:rPr>
        <w:t xml:space="preserve">              </w:t>
      </w:r>
    </w:p>
    <w:p>
      <w:pPr>
        <w:snapToGrid w:val="0"/>
        <w:spacing w:line="360" w:lineRule="auto"/>
        <w:ind w:right="26"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pPr>
        <w:snapToGrid w:val="0"/>
        <w:spacing w:line="360" w:lineRule="auto"/>
        <w:ind w:right="26"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电    话：</w:t>
      </w:r>
      <w:r>
        <w:rPr>
          <w:rFonts w:hint="eastAsia" w:ascii="仿宋_GB2312" w:hAnsi="仿宋_GB2312" w:eastAsia="仿宋_GB2312" w:cs="仿宋_GB2312"/>
          <w:color w:val="auto"/>
          <w:sz w:val="24"/>
          <w:highlight w:val="none"/>
          <w:u w:val="single"/>
        </w:rPr>
        <w:t xml:space="preserve">               </w:t>
      </w:r>
    </w:p>
    <w:p>
      <w:pPr>
        <w:spacing w:line="360" w:lineRule="auto"/>
        <w:ind w:firstLine="480" w:firstLineChars="200"/>
        <w:rPr>
          <w:rFonts w:hint="eastAsia" w:ascii="仿宋_GB2312" w:hAnsi="仿宋_GB2312" w:eastAsia="仿宋_GB2312" w:cs="仿宋_GB2312"/>
          <w:b/>
          <w:color w:val="auto"/>
          <w:spacing w:val="20"/>
          <w:sz w:val="28"/>
          <w:szCs w:val="28"/>
          <w:highlight w:val="none"/>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u w:val="single"/>
        </w:rPr>
        <w:t xml:space="preserve">               </w:t>
      </w:r>
    </w:p>
    <w:p>
      <w:pPr>
        <w:spacing w:line="360" w:lineRule="auto"/>
        <w:ind w:firstLine="642" w:firstLineChars="200"/>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ind w:firstLine="642" w:firstLineChars="200"/>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ind w:firstLine="642" w:firstLineChars="200"/>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ind w:firstLine="642" w:firstLineChars="200"/>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ind w:firstLine="642" w:firstLineChars="200"/>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ind w:firstLine="642" w:firstLineChars="200"/>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3"/>
        <w:widowControl/>
        <w:spacing w:before="142"/>
        <w:jc w:val="both"/>
        <w:rPr>
          <w:rFonts w:hint="eastAsia" w:ascii="仿宋_GB2312" w:hAnsi="仿宋_GB2312" w:eastAsia="仿宋_GB2312" w:cs="仿宋_GB2312"/>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仿宋_GB2312" w:hAnsi="仿宋_GB2312" w:eastAsia="仿宋_GB2312" w:cs="仿宋_GB2312"/>
          <w:color w:val="auto"/>
          <w:sz w:val="28"/>
          <w:szCs w:val="28"/>
          <w:highlight w:val="none"/>
        </w:rPr>
        <w:t>格式三：</w:t>
      </w:r>
    </w:p>
    <w:p>
      <w:pPr>
        <w:pStyle w:val="25"/>
        <w:widowControl/>
        <w:ind w:firstLine="0" w:firstLineChars="0"/>
        <w:jc w:val="center"/>
        <w:outlineLvl w:val="2"/>
        <w:rPr>
          <w:rFonts w:hint="eastAsia" w:ascii="仿宋_GB2312" w:hAnsi="仿宋_GB2312" w:eastAsia="仿宋_GB2312" w:cs="仿宋_GB2312"/>
          <w:color w:val="auto"/>
          <w:kern w:val="44"/>
          <w:sz w:val="32"/>
          <w:szCs w:val="32"/>
          <w:highlight w:val="none"/>
        </w:rPr>
      </w:pPr>
      <w:bookmarkStart w:id="8" w:name="_Toc172416501"/>
      <w:bookmarkEnd w:id="8"/>
      <w:r>
        <w:rPr>
          <w:rFonts w:hint="eastAsia" w:ascii="仿宋_GB2312" w:hAnsi="仿宋_GB2312" w:eastAsia="仿宋_GB2312" w:cs="仿宋_GB2312"/>
          <w:b/>
          <w:color w:val="auto"/>
          <w:sz w:val="32"/>
          <w:szCs w:val="32"/>
          <w:highlight w:val="none"/>
        </w:rPr>
        <w:t>法定代表人证明书</w:t>
      </w:r>
    </w:p>
    <w:p>
      <w:pPr>
        <w:pStyle w:val="25"/>
        <w:widowControl/>
        <w:ind w:firstLine="496"/>
        <w:jc w:val="right"/>
        <w:rPr>
          <w:b/>
          <w:color w:val="auto"/>
          <w:highlight w:val="none"/>
        </w:rPr>
      </w:pPr>
      <w:r>
        <w:rPr>
          <w:color w:val="auto"/>
          <w:highlight w:val="none"/>
        </w:rPr>
        <w:t xml:space="preserve">                                 </w:t>
      </w:r>
    </w:p>
    <w:p>
      <w:pPr>
        <w:pStyle w:val="25"/>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5543550" cy="2790825"/>
                    </a:xfrm>
                    <a:prstGeom prst="rect">
                      <a:avLst/>
                    </a:prstGeom>
                    <a:noFill/>
                    <a:ln w="9525">
                      <a:noFill/>
                    </a:ln>
                  </pic:spPr>
                </pic:pic>
              </a:graphicData>
            </a:graphic>
          </wp:inline>
        </w:drawing>
      </w:r>
    </w:p>
    <w:p>
      <w:pPr>
        <w:pStyle w:val="25"/>
        <w:widowControl/>
        <w:ind w:firstLine="618"/>
        <w:rPr>
          <w:rFonts w:hint="eastAsia" w:ascii="仿宋_GB2312" w:hAnsi="仿宋_GB2312" w:eastAsia="仿宋_GB2312" w:cs="仿宋_GB2312"/>
          <w:b/>
          <w:color w:val="auto"/>
          <w:sz w:val="30"/>
          <w:szCs w:val="30"/>
          <w:highlight w:val="none"/>
        </w:rPr>
      </w:pPr>
      <w:r>
        <w:rPr>
          <w:b/>
          <w:color w:val="auto"/>
          <w:sz w:val="30"/>
          <w:szCs w:val="30"/>
          <w:highlight w:val="none"/>
        </w:rPr>
        <w:t xml:space="preserve"> </w:t>
      </w:r>
    </w:p>
    <w:p>
      <w:pPr>
        <w:pStyle w:val="25"/>
        <w:widowControl/>
        <w:ind w:firstLine="0" w:firstLineChars="0"/>
        <w:jc w:val="center"/>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授权委托证明书</w:t>
      </w:r>
    </w:p>
    <w:p>
      <w:pPr>
        <w:pStyle w:val="25"/>
        <w:widowControl/>
        <w:ind w:firstLine="496"/>
        <w:jc w:val="right"/>
        <w:rPr>
          <w:color w:val="auto"/>
          <w:highlight w:val="none"/>
        </w:rPr>
      </w:pPr>
      <w:r>
        <w:rPr>
          <w:color w:val="auto"/>
          <w:highlight w:val="none"/>
        </w:rPr>
        <w:t xml:space="preserve">         </w:t>
      </w:r>
    </w:p>
    <w:p>
      <w:pPr>
        <w:pStyle w:val="25"/>
        <w:widowControl/>
        <w:ind w:firstLine="0" w:firstLineChars="0"/>
        <w:rPr>
          <w:b/>
          <w:color w:val="auto"/>
          <w:highlight w:val="none"/>
        </w:rPr>
      </w:pPr>
      <w:r>
        <w:rPr>
          <w:rFonts w:hint="eastAsia" w:ascii="仿宋_GB2312" w:hAnsi="仿宋_GB2312" w:eastAsia="仿宋_GB2312" w:cs="仿宋_GB2312"/>
          <w:color w:val="auto"/>
          <w:highlight w:val="none"/>
        </w:rPr>
        <w:drawing>
          <wp:inline distT="0" distB="0" distL="114300" distR="114300">
            <wp:extent cx="5543550" cy="2838450"/>
            <wp:effectExtent l="0" t="0" r="6350"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r:link="rId10" cstate="print"/>
                    <a:stretch>
                      <a:fillRect/>
                    </a:stretch>
                  </pic:blipFill>
                  <pic:spPr>
                    <a:xfrm>
                      <a:off x="0" y="0"/>
                      <a:ext cx="5543550" cy="2838450"/>
                    </a:xfrm>
                    <a:prstGeom prst="rect">
                      <a:avLst/>
                    </a:prstGeom>
                    <a:noFill/>
                    <a:ln w="9525">
                      <a:noFill/>
                    </a:ln>
                  </pic:spPr>
                </pic:pic>
              </a:graphicData>
            </a:graphic>
          </wp:inline>
        </w:drawing>
      </w:r>
    </w:p>
    <w:p>
      <w:pPr>
        <w:pStyle w:val="23"/>
        <w:widowControl/>
        <w:spacing w:before="142" w:line="360" w:lineRule="auto"/>
        <w:ind w:firstLine="496" w:firstLineChars="200"/>
        <w:jc w:val="both"/>
        <w:outlineLvl w:val="9"/>
        <w:rPr>
          <w:rFonts w:hint="eastAsia" w:ascii="仿宋_GB2312" w:hAnsi="仿宋_GB2312" w:eastAsia="仿宋_GB2312" w:cs="仿宋_GB2312"/>
          <w:b w:val="0"/>
          <w:color w:val="auto"/>
          <w:sz w:val="24"/>
          <w:szCs w:val="24"/>
          <w:highlight w:val="none"/>
        </w:rPr>
      </w:pPr>
      <w:r>
        <w:rPr>
          <w:rFonts w:hint="eastAsia" w:ascii="仿宋_GB2312" w:hAnsi="仿宋_GB2312" w:eastAsia="仿宋_GB2312" w:cs="仿宋_GB2312"/>
          <w:b w:val="0"/>
          <w:color w:val="auto"/>
          <w:sz w:val="24"/>
          <w:szCs w:val="24"/>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3"/>
        <w:widowControl/>
        <w:spacing w:before="142"/>
        <w:jc w:val="both"/>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格式四：</w:t>
      </w:r>
      <w:bookmarkEnd w:id="10"/>
      <w:r>
        <w:rPr>
          <w:rFonts w:hint="eastAsia" w:ascii="仿宋_GB2312" w:hAnsi="仿宋_GB2312" w:eastAsia="仿宋_GB2312" w:cs="仿宋_GB2312"/>
          <w:color w:val="auto"/>
          <w:sz w:val="28"/>
          <w:szCs w:val="28"/>
          <w:highlight w:val="none"/>
        </w:rPr>
        <w:t xml:space="preserve"> </w:t>
      </w:r>
    </w:p>
    <w:p>
      <w:pPr>
        <w:snapToGrid w:val="0"/>
        <w:spacing w:after="120" w:line="440" w:lineRule="exact"/>
        <w:jc w:val="center"/>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人员到位承诺书</w:t>
      </w:r>
    </w:p>
    <w:p>
      <w:pPr>
        <w:spacing w:line="5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p>
    <w:p>
      <w:pPr>
        <w:spacing w:line="360" w:lineRule="auto"/>
        <w:ind w:firstLine="480" w:firstLineChars="200"/>
        <w:jc w:val="left"/>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招标人名称：</w:t>
      </w:r>
      <w:r>
        <w:rPr>
          <w:rFonts w:hint="eastAsia" w:ascii="仿宋_GB2312" w:hAnsi="仿宋_GB2312" w:eastAsia="仿宋_GB2312" w:cs="仿宋_GB2312"/>
          <w:color w:val="auto"/>
          <w:sz w:val="24"/>
          <w:highlight w:val="none"/>
          <w:u w:val="single"/>
          <w:lang w:eastAsia="zh-CN"/>
        </w:rPr>
        <w:t>广州南沙科技投资有限公司</w:t>
      </w:r>
    </w:p>
    <w:p>
      <w:pPr>
        <w:snapToGrid/>
        <w:spacing w:after="0"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投标项目名称：</w:t>
      </w:r>
      <w:r>
        <w:rPr>
          <w:rFonts w:hint="eastAsia" w:ascii="仿宋_GB2312" w:hAnsi="仿宋_GB2312" w:eastAsia="仿宋_GB2312" w:cs="仿宋_GB2312"/>
          <w:color w:val="auto"/>
          <w:spacing w:val="20"/>
          <w:sz w:val="24"/>
          <w:highlight w:val="none"/>
          <w:u w:val="single"/>
          <w:lang w:eastAsia="zh-CN"/>
        </w:rPr>
        <w:t>前锋水乡一、二涌已移交物业危房鉴定</w:t>
      </w:r>
      <w:r>
        <w:rPr>
          <w:rFonts w:hint="eastAsia" w:ascii="仿宋_GB2312" w:hAnsi="仿宋_GB2312" w:eastAsia="仿宋_GB2312" w:cs="仿宋_GB2312"/>
          <w:color w:val="auto"/>
          <w:sz w:val="24"/>
          <w:highlight w:val="none"/>
        </w:rPr>
        <w:t xml:space="preserve"> </w:t>
      </w:r>
    </w:p>
    <w:p>
      <w:pPr>
        <w:snapToGrid w:val="0"/>
        <w:spacing w:after="0" w:line="360" w:lineRule="auto"/>
        <w:ind w:firstLine="480" w:firstLineChars="200"/>
        <w:rPr>
          <w:rFonts w:hint="eastAsia" w:ascii="仿宋_GB2312" w:hAnsi="仿宋_GB2312" w:eastAsia="仿宋_GB2312" w:cs="仿宋_GB2312"/>
          <w:color w:val="auto"/>
          <w:sz w:val="24"/>
          <w:highlight w:val="none"/>
        </w:rPr>
      </w:pPr>
    </w:p>
    <w:p>
      <w:pPr>
        <w:snapToGrid w:val="0"/>
        <w:spacing w:after="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我方如果中标，承诺</w:t>
      </w:r>
      <w:r>
        <w:rPr>
          <w:rFonts w:hint="eastAsia" w:ascii="仿宋_GB2312" w:hAnsi="仿宋_GB2312" w:eastAsia="仿宋_GB2312" w:cs="仿宋_GB2312"/>
          <w:color w:val="auto"/>
          <w:sz w:val="24"/>
          <w:highlight w:val="none"/>
          <w:lang w:eastAsia="zh-CN"/>
        </w:rPr>
        <w:t>实际</w:t>
      </w:r>
      <w:r>
        <w:rPr>
          <w:rFonts w:hint="eastAsia" w:ascii="仿宋_GB2312" w:hAnsi="仿宋_GB2312" w:eastAsia="仿宋_GB2312" w:cs="仿宋_GB2312"/>
          <w:color w:val="auto"/>
          <w:sz w:val="24"/>
          <w:highlight w:val="none"/>
        </w:rPr>
        <w:t>人员</w:t>
      </w:r>
      <w:r>
        <w:rPr>
          <w:rFonts w:hint="eastAsia" w:ascii="仿宋_GB2312" w:hAnsi="仿宋_GB2312" w:eastAsia="仿宋_GB2312" w:cs="仿宋_GB2312"/>
          <w:color w:val="auto"/>
          <w:sz w:val="24"/>
          <w:highlight w:val="none"/>
          <w:lang w:val="en-US" w:eastAsia="zh-CN"/>
        </w:rPr>
        <w:t>均按投标文件人员名单配备</w:t>
      </w:r>
      <w:r>
        <w:rPr>
          <w:rFonts w:hint="eastAsia" w:ascii="仿宋_GB2312" w:hAnsi="仿宋_GB2312" w:eastAsia="仿宋_GB2312" w:cs="仿宋_GB2312"/>
          <w:color w:val="auto"/>
          <w:sz w:val="24"/>
          <w:highlight w:val="none"/>
        </w:rPr>
        <w:t>。</w:t>
      </w:r>
    </w:p>
    <w:p>
      <w:pPr>
        <w:pStyle w:val="2"/>
        <w:spacing w:line="360" w:lineRule="auto"/>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 </w:t>
      </w:r>
    </w:p>
    <w:p>
      <w:pPr>
        <w:spacing w:line="360" w:lineRule="auto"/>
        <w:ind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投标单位名称（盖公章）：</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xml:space="preserve"> </w:t>
      </w:r>
    </w:p>
    <w:p>
      <w:pPr>
        <w:spacing w:line="360" w:lineRule="auto"/>
        <w:ind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法定代表人或受委托人（签字或盖章）：</w:t>
      </w:r>
      <w:r>
        <w:rPr>
          <w:rFonts w:hint="eastAsia" w:ascii="仿宋_GB2312" w:hAnsi="仿宋_GB2312" w:eastAsia="仿宋_GB2312" w:cs="仿宋_GB2312"/>
          <w:color w:val="auto"/>
          <w:sz w:val="24"/>
          <w:highlight w:val="none"/>
          <w:u w:val="single"/>
        </w:rPr>
        <w:t xml:space="preserve">                      </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xml:space="preserve"> 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xml:space="preserve"> 月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xml:space="preserve"> 日</w:t>
      </w:r>
    </w:p>
    <w:p>
      <w:pPr>
        <w:snapToGrid w:val="0"/>
        <w:spacing w:after="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p>
    <w:p>
      <w:pPr>
        <w:outlineLvl w:val="1"/>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18"/>
          <w:szCs w:val="21"/>
          <w:highlight w:val="none"/>
        </w:rPr>
        <w:br w:type="page"/>
      </w:r>
      <w:bookmarkStart w:id="11" w:name="_Toc41822703"/>
      <w:bookmarkEnd w:id="11"/>
      <w:bookmarkStart w:id="12" w:name="_Toc415833503"/>
      <w:bookmarkEnd w:id="12"/>
      <w:bookmarkStart w:id="13" w:name="_Toc197235848"/>
      <w:bookmarkEnd w:id="13"/>
      <w:bookmarkStart w:id="14" w:name="_Toc196037097"/>
      <w:bookmarkEnd w:id="14"/>
      <w:bookmarkStart w:id="15" w:name="_Toc196130013"/>
      <w:bookmarkEnd w:id="15"/>
      <w:bookmarkStart w:id="16" w:name="_Toc326909213"/>
      <w:bookmarkEnd w:id="16"/>
      <w:bookmarkStart w:id="17" w:name="_Toc459403394"/>
      <w:bookmarkEnd w:id="17"/>
      <w:bookmarkStart w:id="18" w:name="_Toc415728297"/>
      <w:bookmarkEnd w:id="18"/>
      <w:bookmarkStart w:id="19" w:name="_Toc196036941"/>
      <w:bookmarkEnd w:id="19"/>
      <w:bookmarkStart w:id="20" w:name="_Toc196130110"/>
      <w:bookmarkEnd w:id="20"/>
      <w:bookmarkStart w:id="21" w:name="_Toc199647675"/>
      <w:bookmarkEnd w:id="21"/>
      <w:bookmarkStart w:id="22" w:name="_Toc462911098"/>
      <w:r>
        <w:rPr>
          <w:rFonts w:hint="eastAsia" w:ascii="仿宋_GB2312" w:hAnsi="仿宋_GB2312" w:eastAsia="仿宋_GB2312" w:cs="仿宋_GB2312"/>
          <w:b/>
          <w:color w:val="auto"/>
          <w:spacing w:val="4"/>
          <w:kern w:val="0"/>
          <w:sz w:val="28"/>
          <w:szCs w:val="28"/>
          <w:highlight w:val="none"/>
        </w:rPr>
        <w:t>格式五</w:t>
      </w:r>
      <w:bookmarkEnd w:id="22"/>
      <w:r>
        <w:rPr>
          <w:rFonts w:hint="eastAsia" w:ascii="仿宋_GB2312" w:hAnsi="仿宋_GB2312" w:eastAsia="仿宋_GB2312" w:cs="仿宋_GB2312"/>
          <w:color w:val="auto"/>
          <w:sz w:val="28"/>
          <w:szCs w:val="28"/>
          <w:highlight w:val="none"/>
        </w:rPr>
        <w:t>：</w:t>
      </w:r>
    </w:p>
    <w:p>
      <w:pPr>
        <w:pStyle w:val="2"/>
        <w:spacing w:after="286" w:afterLines="100" w:line="360" w:lineRule="auto"/>
        <w:jc w:val="center"/>
        <w:rPr>
          <w:rFonts w:hint="eastAsia" w:ascii="仿宋_GB2312" w:hAnsi="仿宋_GB2312" w:eastAsia="仿宋_GB2312" w:cs="仿宋_GB2312"/>
          <w:b/>
          <w:color w:val="auto"/>
          <w:sz w:val="32"/>
          <w:szCs w:val="32"/>
          <w:highlight w:val="none"/>
          <w:lang w:val="en-US" w:eastAsia="zh-CN"/>
        </w:rPr>
      </w:pPr>
      <w:r>
        <w:rPr>
          <w:rFonts w:hint="eastAsia" w:ascii="仿宋_GB2312" w:hAnsi="仿宋_GB2312" w:eastAsia="仿宋_GB2312" w:cs="仿宋_GB2312"/>
          <w:b/>
          <w:color w:val="auto"/>
          <w:sz w:val="32"/>
          <w:szCs w:val="32"/>
          <w:highlight w:val="none"/>
          <w:lang w:val="en-US" w:eastAsia="zh-CN"/>
        </w:rPr>
        <w:t>投标人</w:t>
      </w:r>
      <w:r>
        <w:rPr>
          <w:rFonts w:hint="eastAsia" w:ascii="仿宋_GB2312" w:hAnsi="仿宋_GB2312" w:eastAsia="仿宋_GB2312" w:cs="仿宋_GB2312"/>
          <w:b/>
          <w:color w:val="auto"/>
          <w:sz w:val="32"/>
          <w:szCs w:val="32"/>
          <w:highlight w:val="none"/>
        </w:rPr>
        <w:t>不存在影响投标公平的关联关系</w:t>
      </w:r>
      <w:r>
        <w:rPr>
          <w:rFonts w:hint="eastAsia" w:ascii="仿宋_GB2312" w:hAnsi="仿宋_GB2312" w:eastAsia="仿宋_GB2312" w:cs="仿宋_GB2312"/>
          <w:b/>
          <w:color w:val="auto"/>
          <w:sz w:val="32"/>
          <w:szCs w:val="32"/>
          <w:highlight w:val="none"/>
          <w:lang w:val="en-US" w:eastAsia="zh-CN"/>
        </w:rPr>
        <w:t>承诺书</w:t>
      </w:r>
    </w:p>
    <w:p>
      <w:pPr>
        <w:pStyle w:val="2"/>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本公司作为投标人，郑重声明并承诺，与本次招标项目的招标机构、评标委员会</w:t>
      </w:r>
      <w:r>
        <w:rPr>
          <w:rFonts w:hint="eastAsia" w:ascii="仿宋_GB2312" w:hAnsi="仿宋_GB2312" w:eastAsia="仿宋_GB2312" w:cs="仿宋_GB2312"/>
          <w:sz w:val="24"/>
          <w:szCs w:val="24"/>
          <w:lang w:eastAsia="zh-CN"/>
        </w:rPr>
        <w:t>，以及</w:t>
      </w:r>
      <w:r>
        <w:rPr>
          <w:rFonts w:hint="eastAsia" w:ascii="仿宋_GB2312" w:hAnsi="仿宋_GB2312" w:eastAsia="仿宋_GB2312" w:cs="仿宋_GB2312"/>
          <w:sz w:val="24"/>
          <w:szCs w:val="24"/>
        </w:rPr>
        <w:t>其他</w:t>
      </w:r>
      <w:r>
        <w:rPr>
          <w:rFonts w:hint="eastAsia" w:ascii="仿宋_GB2312" w:hAnsi="仿宋_GB2312" w:eastAsia="仿宋_GB2312" w:cs="仿宋_GB2312"/>
          <w:sz w:val="24"/>
          <w:szCs w:val="24"/>
          <w:lang w:val="en-US" w:eastAsia="zh-CN"/>
        </w:rPr>
        <w:t>投标人</w:t>
      </w:r>
      <w:r>
        <w:rPr>
          <w:rFonts w:hint="eastAsia" w:ascii="仿宋_GB2312" w:hAnsi="仿宋_GB2312" w:eastAsia="仿宋_GB2312" w:cs="仿宋_GB2312"/>
          <w:sz w:val="24"/>
          <w:szCs w:val="24"/>
        </w:rPr>
        <w:t>之间不存在任何影响投标公平性的关联关系。在参与竞标过程中，我们将严格遵守相关法律法规和招标文件的规定，确保公正、透明、公平的竞争环境，并不得以任何方式获取不当竞争优势。</w:t>
      </w:r>
    </w:p>
    <w:p>
      <w:pPr>
        <w:pStyle w:val="2"/>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我们郑重保证：</w:t>
      </w:r>
    </w:p>
    <w:p>
      <w:pPr>
        <w:pStyle w:val="2"/>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 我们与招标</w:t>
      </w:r>
      <w:r>
        <w:rPr>
          <w:rFonts w:hint="eastAsia" w:ascii="仿宋_GB2312" w:hAnsi="仿宋_GB2312" w:eastAsia="仿宋_GB2312" w:cs="仿宋_GB2312"/>
          <w:sz w:val="24"/>
          <w:szCs w:val="24"/>
          <w:lang w:val="en-US" w:eastAsia="zh-CN"/>
        </w:rPr>
        <w:t>单位</w:t>
      </w:r>
      <w:r>
        <w:rPr>
          <w:rFonts w:hint="eastAsia" w:ascii="仿宋_GB2312" w:hAnsi="仿宋_GB2312" w:eastAsia="仿宋_GB2312" w:cs="仿宋_GB2312"/>
          <w:sz w:val="24"/>
          <w:szCs w:val="24"/>
        </w:rPr>
        <w:t>、评标委员会</w:t>
      </w:r>
      <w:r>
        <w:rPr>
          <w:rFonts w:hint="eastAsia" w:ascii="仿宋_GB2312" w:hAnsi="仿宋_GB2312" w:eastAsia="仿宋_GB2312" w:cs="仿宋_GB2312"/>
          <w:sz w:val="24"/>
          <w:szCs w:val="24"/>
          <w:lang w:eastAsia="zh-CN"/>
        </w:rPr>
        <w:t>，以及</w:t>
      </w:r>
      <w:r>
        <w:rPr>
          <w:rFonts w:hint="eastAsia" w:ascii="仿宋_GB2312" w:hAnsi="仿宋_GB2312" w:eastAsia="仿宋_GB2312" w:cs="仿宋_GB2312"/>
          <w:sz w:val="24"/>
          <w:szCs w:val="24"/>
        </w:rPr>
        <w:t>其他</w:t>
      </w:r>
      <w:r>
        <w:rPr>
          <w:rFonts w:hint="eastAsia" w:ascii="仿宋_GB2312" w:hAnsi="仿宋_GB2312" w:eastAsia="仿宋_GB2312" w:cs="仿宋_GB2312"/>
          <w:sz w:val="24"/>
          <w:szCs w:val="24"/>
          <w:lang w:val="en-US" w:eastAsia="zh-CN"/>
        </w:rPr>
        <w:t>投标人</w:t>
      </w:r>
      <w:r>
        <w:rPr>
          <w:rFonts w:hint="eastAsia" w:ascii="仿宋_GB2312" w:hAnsi="仿宋_GB2312" w:eastAsia="仿宋_GB2312" w:cs="仿宋_GB2312"/>
          <w:sz w:val="24"/>
          <w:szCs w:val="24"/>
        </w:rPr>
        <w:t>之间不存在任何股权关联，包括但不限于直接或间接持有其股份、股权投资、股权转让等。</w:t>
      </w:r>
    </w:p>
    <w:p>
      <w:pPr>
        <w:pStyle w:val="2"/>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 我们与招标</w:t>
      </w:r>
      <w:r>
        <w:rPr>
          <w:rFonts w:hint="eastAsia" w:ascii="仿宋_GB2312" w:hAnsi="仿宋_GB2312" w:eastAsia="仿宋_GB2312" w:cs="仿宋_GB2312"/>
          <w:sz w:val="24"/>
          <w:szCs w:val="24"/>
          <w:lang w:val="en-US" w:eastAsia="zh-CN"/>
        </w:rPr>
        <w:t>单位</w:t>
      </w:r>
      <w:r>
        <w:rPr>
          <w:rFonts w:hint="eastAsia" w:ascii="仿宋_GB2312" w:hAnsi="仿宋_GB2312" w:eastAsia="仿宋_GB2312" w:cs="仿宋_GB2312"/>
          <w:sz w:val="24"/>
          <w:szCs w:val="24"/>
        </w:rPr>
        <w:t>、评标委员会</w:t>
      </w:r>
      <w:r>
        <w:rPr>
          <w:rFonts w:hint="eastAsia" w:ascii="仿宋_GB2312" w:hAnsi="仿宋_GB2312" w:eastAsia="仿宋_GB2312" w:cs="仿宋_GB2312"/>
          <w:sz w:val="24"/>
          <w:szCs w:val="24"/>
          <w:lang w:eastAsia="zh-CN"/>
        </w:rPr>
        <w:t>，以及</w:t>
      </w:r>
      <w:r>
        <w:rPr>
          <w:rFonts w:hint="eastAsia" w:ascii="仿宋_GB2312" w:hAnsi="仿宋_GB2312" w:eastAsia="仿宋_GB2312" w:cs="仿宋_GB2312"/>
          <w:sz w:val="24"/>
          <w:szCs w:val="24"/>
        </w:rPr>
        <w:t>其他</w:t>
      </w:r>
      <w:r>
        <w:rPr>
          <w:rFonts w:hint="eastAsia" w:ascii="仿宋_GB2312" w:hAnsi="仿宋_GB2312" w:eastAsia="仿宋_GB2312" w:cs="仿宋_GB2312"/>
          <w:sz w:val="24"/>
          <w:szCs w:val="24"/>
          <w:lang w:val="en-US" w:eastAsia="zh-CN"/>
        </w:rPr>
        <w:t>投标人</w:t>
      </w:r>
      <w:r>
        <w:rPr>
          <w:rFonts w:hint="eastAsia" w:ascii="仿宋_GB2312" w:hAnsi="仿宋_GB2312" w:eastAsia="仿宋_GB2312" w:cs="仿宋_GB2312"/>
          <w:sz w:val="24"/>
          <w:szCs w:val="24"/>
        </w:rPr>
        <w:t>之间不存在任何组织结构关系，包括但不限于共同控制、共同经营、同一控股或附属关系等。</w:t>
      </w:r>
    </w:p>
    <w:p>
      <w:pPr>
        <w:pStyle w:val="2"/>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 我们与招标</w:t>
      </w:r>
      <w:r>
        <w:rPr>
          <w:rFonts w:hint="eastAsia" w:ascii="仿宋_GB2312" w:hAnsi="仿宋_GB2312" w:eastAsia="仿宋_GB2312" w:cs="仿宋_GB2312"/>
          <w:sz w:val="24"/>
          <w:szCs w:val="24"/>
          <w:lang w:val="en-US" w:eastAsia="zh-CN"/>
        </w:rPr>
        <w:t>单位</w:t>
      </w:r>
      <w:r>
        <w:rPr>
          <w:rFonts w:hint="eastAsia" w:ascii="仿宋_GB2312" w:hAnsi="仿宋_GB2312" w:eastAsia="仿宋_GB2312" w:cs="仿宋_GB2312"/>
          <w:sz w:val="24"/>
          <w:szCs w:val="24"/>
        </w:rPr>
        <w:t>、评标委员会</w:t>
      </w:r>
      <w:r>
        <w:rPr>
          <w:rFonts w:hint="eastAsia" w:ascii="仿宋_GB2312" w:hAnsi="仿宋_GB2312" w:eastAsia="仿宋_GB2312" w:cs="仿宋_GB2312"/>
          <w:sz w:val="24"/>
          <w:szCs w:val="24"/>
          <w:lang w:eastAsia="zh-CN"/>
        </w:rPr>
        <w:t>，以及</w:t>
      </w:r>
      <w:r>
        <w:rPr>
          <w:rFonts w:hint="eastAsia" w:ascii="仿宋_GB2312" w:hAnsi="仿宋_GB2312" w:eastAsia="仿宋_GB2312" w:cs="仿宋_GB2312"/>
          <w:sz w:val="24"/>
          <w:szCs w:val="24"/>
        </w:rPr>
        <w:t>其他</w:t>
      </w:r>
      <w:r>
        <w:rPr>
          <w:rFonts w:hint="eastAsia" w:ascii="仿宋_GB2312" w:hAnsi="仿宋_GB2312" w:eastAsia="仿宋_GB2312" w:cs="仿宋_GB2312"/>
          <w:sz w:val="24"/>
          <w:szCs w:val="24"/>
          <w:lang w:val="en-US" w:eastAsia="zh-CN"/>
        </w:rPr>
        <w:t>投标人</w:t>
      </w:r>
      <w:r>
        <w:rPr>
          <w:rFonts w:hint="eastAsia" w:ascii="仿宋_GB2312" w:hAnsi="仿宋_GB2312" w:eastAsia="仿宋_GB2312" w:cs="仿宋_GB2312"/>
          <w:sz w:val="24"/>
          <w:szCs w:val="24"/>
        </w:rPr>
        <w:t>之间不存在任何经济利益关系，包括但不限于共同财务利益、股东关系、商业合作关系等。</w:t>
      </w:r>
    </w:p>
    <w:p>
      <w:pPr>
        <w:pStyle w:val="2"/>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本公司深知维护投标公平的重要性，我们将始终保持诚信、公正和透明的原则，并愿意接受任何形式的审查、调查和核查，以证明我们的承诺的真实性和有效性。</w:t>
      </w:r>
    </w:p>
    <w:p>
      <w:pPr>
        <w:pStyle w:val="2"/>
        <w:spacing w:line="360" w:lineRule="auto"/>
        <w:ind w:firstLine="480" w:firstLineChars="200"/>
        <w:rPr>
          <w:rFonts w:hint="eastAsia" w:ascii="仿宋_GB2312" w:hAnsi="仿宋_GB2312" w:eastAsia="仿宋_GB2312" w:cs="仿宋_GB2312"/>
          <w:sz w:val="24"/>
          <w:szCs w:val="24"/>
        </w:rPr>
      </w:pPr>
    </w:p>
    <w:p>
      <w:pPr>
        <w:snapToGrid w:val="0"/>
        <w:spacing w:line="360" w:lineRule="auto"/>
        <w:ind w:firstLine="480" w:firstLineChars="200"/>
        <w:jc w:val="left"/>
        <w:rPr>
          <w:rFonts w:hint="eastAsia" w:ascii="仿宋_GB2312" w:hAnsi="仿宋_GB2312" w:eastAsia="仿宋_GB2312" w:cs="仿宋_GB2312"/>
          <w:color w:val="auto"/>
          <w:sz w:val="24"/>
          <w:highlight w:val="none"/>
        </w:rPr>
      </w:pPr>
    </w:p>
    <w:p>
      <w:pPr>
        <w:snapToGrid w:val="0"/>
        <w:spacing w:line="360" w:lineRule="auto"/>
        <w:ind w:firstLine="480" w:firstLineChars="200"/>
        <w:jc w:val="left"/>
        <w:rPr>
          <w:rFonts w:hint="eastAsia" w:ascii="仿宋_GB2312" w:hAnsi="仿宋_GB2312" w:eastAsia="仿宋_GB2312" w:cs="仿宋_GB2312"/>
          <w:color w:val="auto"/>
          <w:sz w:val="24"/>
          <w:highlight w:val="none"/>
        </w:rPr>
      </w:pPr>
    </w:p>
    <w:p>
      <w:pPr>
        <w:snapToGrid w:val="0"/>
        <w:spacing w:line="360" w:lineRule="auto"/>
        <w:ind w:firstLine="480" w:firstLineChars="200"/>
        <w:jc w:val="left"/>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投 标 人： </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盖公章</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u w:val="single"/>
        </w:rPr>
        <w:t xml:space="preserve">              </w:t>
      </w:r>
    </w:p>
    <w:p>
      <w:pPr>
        <w:snapToGrid w:val="0"/>
        <w:spacing w:line="360" w:lineRule="auto"/>
        <w:ind w:right="26" w:firstLine="480" w:firstLineChars="200"/>
        <w:jc w:val="left"/>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授权代表： </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签  字</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u w:val="single"/>
        </w:rPr>
        <w:t xml:space="preserve">              </w:t>
      </w:r>
    </w:p>
    <w:p>
      <w:pPr>
        <w:snapToGrid w:val="0"/>
        <w:spacing w:line="360" w:lineRule="auto"/>
        <w:ind w:right="26"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pPr>
        <w:spacing w:line="360" w:lineRule="auto"/>
        <w:ind w:firstLine="482" w:firstLineChars="200"/>
        <w:jc w:val="center"/>
        <w:outlineLvl w:val="2"/>
        <w:rPr>
          <w:rFonts w:hint="eastAsia" w:ascii="仿宋" w:hAnsi="仿宋" w:eastAsia="仿宋" w:cs="仿宋"/>
          <w:b/>
          <w:bCs/>
          <w:color w:val="auto"/>
          <w:sz w:val="24"/>
          <w:szCs w:val="24"/>
          <w:highlight w:val="none"/>
        </w:rPr>
      </w:pPr>
      <w:bookmarkStart w:id="23" w:name="_Toc41822704"/>
      <w:bookmarkEnd w:id="23"/>
    </w:p>
    <w:p>
      <w:pPr>
        <w:spacing w:line="360" w:lineRule="auto"/>
        <w:ind w:firstLine="482" w:firstLineChars="200"/>
        <w:jc w:val="center"/>
        <w:outlineLvl w:val="2"/>
        <w:rPr>
          <w:rFonts w:hint="eastAsia" w:ascii="仿宋" w:hAnsi="仿宋" w:eastAsia="仿宋" w:cs="仿宋"/>
          <w:b/>
          <w:bCs/>
          <w:color w:val="auto"/>
          <w:sz w:val="24"/>
          <w:szCs w:val="24"/>
          <w:highlight w:val="none"/>
        </w:rPr>
      </w:pPr>
    </w:p>
    <w:p>
      <w:pPr>
        <w:spacing w:line="360" w:lineRule="auto"/>
        <w:ind w:firstLine="482" w:firstLineChars="200"/>
        <w:jc w:val="center"/>
        <w:outlineLvl w:val="2"/>
        <w:rPr>
          <w:rFonts w:hint="eastAsia" w:ascii="仿宋" w:hAnsi="仿宋" w:eastAsia="仿宋" w:cs="仿宋"/>
          <w:b/>
          <w:bCs/>
          <w:color w:val="auto"/>
          <w:sz w:val="24"/>
          <w:szCs w:val="24"/>
          <w:highlight w:val="none"/>
        </w:rPr>
      </w:pPr>
    </w:p>
    <w:p>
      <w:pPr>
        <w:pStyle w:val="2"/>
        <w:rPr>
          <w:rFonts w:hint="eastAsia"/>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left"/>
        <w:outlineLvl w:val="2"/>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color w:val="auto"/>
          <w:spacing w:val="4"/>
          <w:kern w:val="0"/>
          <w:sz w:val="28"/>
          <w:szCs w:val="28"/>
          <w:highlight w:val="none"/>
        </w:rPr>
        <w:t>格式</w:t>
      </w:r>
      <w:r>
        <w:rPr>
          <w:rFonts w:hint="eastAsia" w:ascii="仿宋_GB2312" w:hAnsi="仿宋_GB2312" w:eastAsia="仿宋_GB2312" w:cs="仿宋_GB2312"/>
          <w:b/>
          <w:color w:val="auto"/>
          <w:spacing w:val="4"/>
          <w:kern w:val="0"/>
          <w:sz w:val="28"/>
          <w:szCs w:val="28"/>
          <w:highlight w:val="none"/>
          <w:lang w:val="en-US" w:eastAsia="zh-CN"/>
        </w:rPr>
        <w:t>六</w:t>
      </w:r>
      <w:r>
        <w:rPr>
          <w:rFonts w:hint="eastAsia" w:ascii="仿宋_GB2312" w:hAnsi="仿宋_GB2312" w:eastAsia="仿宋_GB2312" w:cs="仿宋_GB2312"/>
          <w:color w:val="auto"/>
          <w:sz w:val="28"/>
          <w:szCs w:val="28"/>
          <w:highlight w:val="none"/>
        </w:rPr>
        <w:t>：</w:t>
      </w:r>
    </w:p>
    <w:p>
      <w:pPr>
        <w:spacing w:line="360" w:lineRule="auto"/>
        <w:jc w:val="center"/>
        <w:outlineLvl w:val="2"/>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pacing w:val="30"/>
                <w:sz w:val="24"/>
                <w:highlight w:val="none"/>
              </w:rPr>
            </w:pPr>
            <w:r>
              <w:rPr>
                <w:rFonts w:hint="eastAsia" w:ascii="仿宋_GB2312" w:hAnsi="仿宋_GB2312" w:eastAsia="仿宋_GB2312" w:cs="仿宋_GB2312"/>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p>
        </w:tc>
        <w:tc>
          <w:tcPr>
            <w:tcW w:w="6769" w:type="dxa"/>
            <w:gridSpan w:val="7"/>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p>
        </w:tc>
        <w:tc>
          <w:tcPr>
            <w:tcW w:w="6769" w:type="dxa"/>
            <w:gridSpan w:val="7"/>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共</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人，其中，高级职称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人，中级职称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c>
          <w:tcPr>
            <w:tcW w:w="2312" w:type="dxa"/>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c>
          <w:tcPr>
            <w:tcW w:w="2312" w:type="dxa"/>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投标单位简介（请简要说明单位情况，包括成立时间、业务范围、专业构成、规模）：</w:t>
            </w:r>
          </w:p>
          <w:p>
            <w:pPr>
              <w:spacing w:line="360" w:lineRule="auto"/>
              <w:ind w:firstLine="6960" w:firstLineChars="29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投标单位完成本项目所</w:t>
            </w:r>
            <w:r>
              <w:rPr>
                <w:rFonts w:hint="eastAsia" w:ascii="仿宋_GB2312" w:hAnsi="仿宋_GB2312" w:eastAsia="仿宋_GB2312" w:cs="仿宋_GB2312"/>
                <w:color w:val="auto"/>
                <w:sz w:val="24"/>
                <w:highlight w:val="none"/>
                <w:lang w:eastAsia="zh-CN"/>
              </w:rPr>
              <w:t>具有</w:t>
            </w:r>
            <w:r>
              <w:rPr>
                <w:rFonts w:hint="eastAsia" w:ascii="仿宋_GB2312" w:hAnsi="仿宋_GB2312" w:eastAsia="仿宋_GB2312" w:cs="仿宋_GB2312"/>
                <w:color w:val="auto"/>
                <w:sz w:val="24"/>
                <w:highlight w:val="none"/>
              </w:rPr>
              <w:t>的有利条件及相关的专业特长：</w:t>
            </w:r>
          </w:p>
        </w:tc>
      </w:tr>
    </w:tbl>
    <w:p>
      <w:pPr>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szCs w:val="24"/>
          <w:highlight w:val="none"/>
        </w:rPr>
        <w:t>注：企业资质、营业执照需要附上复印件。</w:t>
      </w:r>
    </w:p>
    <w:p>
      <w:pP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6130111"/>
      <w:bookmarkEnd w:id="24"/>
      <w:bookmarkStart w:id="25" w:name="_Toc415728298"/>
      <w:bookmarkEnd w:id="25"/>
      <w:bookmarkStart w:id="26" w:name="_Toc459403395"/>
      <w:bookmarkEnd w:id="26"/>
      <w:bookmarkStart w:id="27" w:name="_Toc415833504"/>
      <w:bookmarkEnd w:id="27"/>
      <w:bookmarkStart w:id="28" w:name="_Toc199647676"/>
      <w:bookmarkEnd w:id="28"/>
      <w:bookmarkStart w:id="29" w:name="_Toc196130014"/>
      <w:bookmarkEnd w:id="29"/>
      <w:bookmarkStart w:id="30" w:name="_Toc197235849"/>
      <w:bookmarkEnd w:id="30"/>
      <w:bookmarkStart w:id="31" w:name="_Toc196036942"/>
      <w:bookmarkEnd w:id="31"/>
      <w:bookmarkStart w:id="32" w:name="_Toc196037098"/>
      <w:bookmarkEnd w:id="32"/>
      <w:bookmarkStart w:id="33" w:name="_Toc326909214"/>
      <w:bookmarkEnd w:id="33"/>
      <w:bookmarkStart w:id="34" w:name="_Toc462911099"/>
    </w:p>
    <w:bookmarkEnd w:id="34"/>
    <w:p>
      <w:pPr>
        <w:widowControl/>
        <w:jc w:val="left"/>
        <w:outlineLvl w:val="9"/>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color w:val="auto"/>
          <w:spacing w:val="4"/>
          <w:kern w:val="0"/>
          <w:sz w:val="28"/>
          <w:szCs w:val="28"/>
          <w:highlight w:val="none"/>
        </w:rPr>
        <w:t>格式</w:t>
      </w:r>
      <w:r>
        <w:rPr>
          <w:rFonts w:hint="eastAsia" w:ascii="仿宋_GB2312" w:hAnsi="仿宋_GB2312" w:eastAsia="仿宋_GB2312" w:cs="仿宋_GB2312"/>
          <w:b/>
          <w:color w:val="auto"/>
          <w:spacing w:val="4"/>
          <w:kern w:val="0"/>
          <w:sz w:val="28"/>
          <w:szCs w:val="28"/>
          <w:highlight w:val="none"/>
          <w:lang w:val="en-US" w:eastAsia="zh-CN"/>
        </w:rPr>
        <w:t>七</w:t>
      </w:r>
      <w:r>
        <w:rPr>
          <w:rFonts w:hint="eastAsia" w:ascii="仿宋_GB2312" w:hAnsi="仿宋_GB2312" w:eastAsia="仿宋_GB2312" w:cs="仿宋_GB2312"/>
          <w:color w:val="auto"/>
          <w:sz w:val="28"/>
          <w:szCs w:val="28"/>
          <w:highlight w:val="none"/>
        </w:rPr>
        <w:t>：</w:t>
      </w:r>
    </w:p>
    <w:p>
      <w:pPr>
        <w:adjustRightInd w:val="0"/>
        <w:snapToGrid w:val="0"/>
        <w:spacing w:beforeLines="30" w:line="360" w:lineRule="auto"/>
        <w:ind w:firstLine="482" w:firstLineChars="150"/>
        <w:jc w:val="center"/>
        <w:outlineLvl w:val="2"/>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32"/>
          <w:szCs w:val="32"/>
          <w:highlight w:val="none"/>
        </w:rPr>
        <w:t>参与本项目的人员一览表</w:t>
      </w:r>
    </w:p>
    <w:p>
      <w:pPr>
        <w:adjustRightInd w:val="0"/>
        <w:snapToGrid w:val="0"/>
        <w:spacing w:beforeLines="30"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相关注</w:t>
            </w:r>
          </w:p>
          <w:p>
            <w:pPr>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hint="eastAsia" w:ascii="仿宋_GB2312" w:hAnsi="仿宋_GB2312" w:eastAsia="仿宋_GB2312" w:cs="仿宋_GB2312"/>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eastAsia" w:ascii="仿宋_GB2312" w:hAnsi="仿宋_GB2312" w:eastAsia="仿宋_GB2312" w:cs="仿宋_GB2312"/>
                <w:color w:val="auto"/>
                <w:sz w:val="24"/>
                <w:highlight w:val="none"/>
              </w:rPr>
            </w:pPr>
          </w:p>
        </w:tc>
      </w:tr>
    </w:tbl>
    <w:p>
      <w:pPr>
        <w:spacing w:before="143" w:beforeLines="5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w:t>
      </w:r>
    </w:p>
    <w:p>
      <w:pPr>
        <w:spacing w:before="143" w:beforeLines="5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1、“拟承担工作”栏，应注明主要人员（须注明项目负责人、各专业负责人）等。</w:t>
      </w:r>
    </w:p>
    <w:p>
      <w:pPr>
        <w:adjustRightInd w:val="0"/>
        <w:snapToGrid w:val="0"/>
        <w:spacing w:before="143" w:beforeLines="5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、人员应附上个人注册执业资格证、职称证等文件（复印件，加盖单位公章）。</w:t>
      </w:r>
    </w:p>
    <w:p>
      <w:pPr>
        <w:adjustRightInd w:val="0"/>
        <w:snapToGrid w:val="0"/>
        <w:spacing w:before="143" w:beforeLines="5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投标人名称（盖章）：</w:t>
      </w:r>
    </w:p>
    <w:p>
      <w:pPr>
        <w:adjustRightInd w:val="0"/>
        <w:snapToGrid w:val="0"/>
        <w:spacing w:before="143" w:beforeLines="5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授权代表（签名）：</w:t>
      </w:r>
      <w:r>
        <w:rPr>
          <w:rFonts w:hint="eastAsia" w:ascii="仿宋_GB2312" w:hAnsi="仿宋_GB2312" w:eastAsia="仿宋_GB2312" w:cs="仿宋_GB2312"/>
          <w:color w:val="auto"/>
          <w:sz w:val="24"/>
          <w:highlight w:val="none"/>
          <w:u w:val="single"/>
        </w:rPr>
        <w:t xml:space="preserve">       </w:t>
      </w:r>
    </w:p>
    <w:p>
      <w:pPr>
        <w:adjustRightInd w:val="0"/>
        <w:snapToGrid w:val="0"/>
        <w:spacing w:before="143" w:beforeLines="5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pPr>
        <w:spacing w:before="143" w:beforeLines="5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xml:space="preserve"> 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pPr>
        <w:widowControl/>
        <w:jc w:val="left"/>
        <w:rPr>
          <w:rFonts w:hint="eastAsia" w:ascii="仿宋_GB2312" w:hAnsi="仿宋_GB2312" w:eastAsia="仿宋_GB2312" w:cs="仿宋_GB2312"/>
          <w:b/>
          <w:color w:val="auto"/>
          <w:spacing w:val="4"/>
          <w:kern w:val="0"/>
          <w:sz w:val="28"/>
          <w:szCs w:val="28"/>
          <w:highlight w:val="none"/>
        </w:rPr>
      </w:pPr>
      <w:r>
        <w:rPr>
          <w:rFonts w:hint="eastAsia" w:ascii="仿宋_GB2312" w:hAnsi="仿宋_GB2312" w:eastAsia="仿宋_GB2312" w:cs="仿宋_GB2312"/>
          <w:b/>
          <w:color w:val="auto"/>
          <w:spacing w:val="4"/>
          <w:kern w:val="0"/>
          <w:sz w:val="28"/>
          <w:szCs w:val="28"/>
          <w:highlight w:val="none"/>
        </w:rPr>
        <w:br w:type="page"/>
      </w:r>
    </w:p>
    <w:p>
      <w:pPr>
        <w:outlineLvl w:val="1"/>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b/>
          <w:color w:val="auto"/>
          <w:spacing w:val="4"/>
          <w:kern w:val="0"/>
          <w:sz w:val="28"/>
          <w:szCs w:val="28"/>
          <w:highlight w:val="none"/>
        </w:rPr>
        <w:t>格式</w:t>
      </w:r>
      <w:r>
        <w:rPr>
          <w:rFonts w:hint="eastAsia" w:ascii="仿宋_GB2312" w:hAnsi="仿宋_GB2312" w:eastAsia="仿宋_GB2312" w:cs="仿宋_GB2312"/>
          <w:b/>
          <w:color w:val="auto"/>
          <w:spacing w:val="4"/>
          <w:kern w:val="0"/>
          <w:sz w:val="28"/>
          <w:szCs w:val="28"/>
          <w:highlight w:val="none"/>
          <w:lang w:val="en-US" w:eastAsia="zh-CN"/>
        </w:rPr>
        <w:t>八</w:t>
      </w:r>
      <w:r>
        <w:rPr>
          <w:rFonts w:hint="eastAsia" w:ascii="仿宋_GB2312" w:hAnsi="仿宋_GB2312" w:eastAsia="仿宋_GB2312" w:cs="仿宋_GB2312"/>
          <w:color w:val="auto"/>
          <w:sz w:val="28"/>
          <w:szCs w:val="28"/>
          <w:highlight w:val="none"/>
        </w:rPr>
        <w:t>：</w:t>
      </w:r>
    </w:p>
    <w:p>
      <w:pPr>
        <w:spacing w:line="360" w:lineRule="auto"/>
        <w:jc w:val="center"/>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项目负责人相关经验及业绩</w:t>
      </w:r>
    </w:p>
    <w:p>
      <w:pPr>
        <w:adjustRightInd w:val="0"/>
        <w:snapToGrid w:val="0"/>
        <w:spacing w:beforeLines="30" w:line="360" w:lineRule="auto"/>
        <w:ind w:firstLine="600" w:firstLineChars="2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姓  名</w:t>
            </w:r>
          </w:p>
        </w:tc>
        <w:tc>
          <w:tcPr>
            <w:tcW w:w="1079" w:type="dxa"/>
            <w:gridSpan w:val="2"/>
            <w:vAlign w:val="center"/>
          </w:tcPr>
          <w:p>
            <w:pPr>
              <w:spacing w:line="460" w:lineRule="exact"/>
              <w:jc w:val="left"/>
              <w:rPr>
                <w:rFonts w:hint="eastAsia" w:ascii="仿宋_GB2312" w:hAnsi="仿宋_GB2312" w:eastAsia="仿宋_GB2312" w:cs="仿宋_GB2312"/>
                <w:color w:val="auto"/>
                <w:sz w:val="24"/>
                <w:szCs w:val="24"/>
                <w:highlight w:val="none"/>
              </w:rPr>
            </w:pPr>
          </w:p>
        </w:tc>
        <w:tc>
          <w:tcPr>
            <w:tcW w:w="927" w:type="dxa"/>
            <w:vAlign w:val="center"/>
          </w:tcPr>
          <w:p>
            <w:pPr>
              <w:spacing w:line="4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年 龄</w:t>
            </w:r>
          </w:p>
        </w:tc>
        <w:tc>
          <w:tcPr>
            <w:tcW w:w="1065" w:type="dxa"/>
            <w:vAlign w:val="center"/>
          </w:tcPr>
          <w:p>
            <w:pPr>
              <w:spacing w:line="460" w:lineRule="exact"/>
              <w:jc w:val="left"/>
              <w:rPr>
                <w:rFonts w:hint="eastAsia" w:ascii="仿宋_GB2312" w:hAnsi="仿宋_GB2312" w:eastAsia="仿宋_GB2312" w:cs="仿宋_GB2312"/>
                <w:color w:val="auto"/>
                <w:sz w:val="24"/>
                <w:szCs w:val="24"/>
                <w:highlight w:val="none"/>
              </w:rPr>
            </w:pPr>
          </w:p>
        </w:tc>
        <w:tc>
          <w:tcPr>
            <w:tcW w:w="2130" w:type="dxa"/>
            <w:gridSpan w:val="3"/>
            <w:vAlign w:val="center"/>
          </w:tcPr>
          <w:p>
            <w:pPr>
              <w:spacing w:line="4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学 历</w:t>
            </w:r>
          </w:p>
        </w:tc>
        <w:tc>
          <w:tcPr>
            <w:tcW w:w="2135" w:type="dxa"/>
            <w:vAlign w:val="center"/>
          </w:tcPr>
          <w:p>
            <w:pPr>
              <w:spacing w:line="460" w:lineRule="exact"/>
              <w:jc w:val="lef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职  称</w:t>
            </w:r>
          </w:p>
        </w:tc>
        <w:tc>
          <w:tcPr>
            <w:tcW w:w="1079" w:type="dxa"/>
            <w:gridSpan w:val="2"/>
            <w:vAlign w:val="center"/>
          </w:tcPr>
          <w:p>
            <w:pPr>
              <w:spacing w:line="460" w:lineRule="exact"/>
              <w:jc w:val="left"/>
              <w:rPr>
                <w:rFonts w:hint="eastAsia" w:ascii="仿宋_GB2312" w:hAnsi="仿宋_GB2312" w:eastAsia="仿宋_GB2312" w:cs="仿宋_GB2312"/>
                <w:color w:val="auto"/>
                <w:sz w:val="24"/>
                <w:szCs w:val="24"/>
                <w:highlight w:val="none"/>
              </w:rPr>
            </w:pPr>
          </w:p>
        </w:tc>
        <w:tc>
          <w:tcPr>
            <w:tcW w:w="927" w:type="dxa"/>
            <w:vAlign w:val="center"/>
          </w:tcPr>
          <w:p>
            <w:pPr>
              <w:spacing w:line="4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职 务</w:t>
            </w:r>
          </w:p>
        </w:tc>
        <w:tc>
          <w:tcPr>
            <w:tcW w:w="1065" w:type="dxa"/>
            <w:vAlign w:val="center"/>
          </w:tcPr>
          <w:p>
            <w:pPr>
              <w:spacing w:line="460" w:lineRule="exact"/>
              <w:jc w:val="left"/>
              <w:rPr>
                <w:rFonts w:hint="eastAsia" w:ascii="仿宋_GB2312" w:hAnsi="仿宋_GB2312" w:eastAsia="仿宋_GB2312" w:cs="仿宋_GB2312"/>
                <w:color w:val="auto"/>
                <w:sz w:val="24"/>
                <w:szCs w:val="24"/>
                <w:highlight w:val="none"/>
              </w:rPr>
            </w:pPr>
          </w:p>
        </w:tc>
        <w:tc>
          <w:tcPr>
            <w:tcW w:w="2130" w:type="dxa"/>
            <w:gridSpan w:val="3"/>
            <w:vAlign w:val="center"/>
          </w:tcPr>
          <w:p>
            <w:pPr>
              <w:spacing w:line="4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拟在本</w:t>
            </w:r>
            <w:r>
              <w:rPr>
                <w:rFonts w:hint="eastAsia" w:ascii="仿宋_GB2312" w:hAnsi="仿宋_GB2312" w:eastAsia="仿宋_GB2312" w:cs="仿宋_GB2312"/>
                <w:color w:val="auto"/>
                <w:sz w:val="24"/>
                <w:szCs w:val="24"/>
                <w:highlight w:val="none"/>
                <w:lang w:eastAsia="zh-CN"/>
              </w:rPr>
              <w:t>项目</w:t>
            </w:r>
            <w:r>
              <w:rPr>
                <w:rFonts w:hint="eastAsia" w:ascii="仿宋_GB2312" w:hAnsi="仿宋_GB2312" w:eastAsia="仿宋_GB2312" w:cs="仿宋_GB2312"/>
                <w:color w:val="auto"/>
                <w:sz w:val="24"/>
                <w:szCs w:val="24"/>
                <w:highlight w:val="none"/>
              </w:rPr>
              <w:t>任职</w:t>
            </w:r>
          </w:p>
        </w:tc>
        <w:tc>
          <w:tcPr>
            <w:tcW w:w="2135" w:type="dxa"/>
            <w:vAlign w:val="center"/>
          </w:tcPr>
          <w:p>
            <w:pPr>
              <w:spacing w:line="460" w:lineRule="exact"/>
              <w:jc w:val="lef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毕业学校</w:t>
            </w:r>
          </w:p>
        </w:tc>
        <w:tc>
          <w:tcPr>
            <w:tcW w:w="7336" w:type="dxa"/>
            <w:gridSpan w:val="8"/>
          </w:tcPr>
          <w:p>
            <w:pPr>
              <w:spacing w:line="4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时  间</w:t>
            </w:r>
          </w:p>
        </w:tc>
        <w:tc>
          <w:tcPr>
            <w:tcW w:w="3420" w:type="dxa"/>
            <w:gridSpan w:val="4"/>
            <w:vAlign w:val="center"/>
          </w:tcPr>
          <w:p>
            <w:pPr>
              <w:spacing w:line="4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参加过的类似项目</w:t>
            </w:r>
          </w:p>
        </w:tc>
        <w:tc>
          <w:tcPr>
            <w:tcW w:w="1261" w:type="dxa"/>
            <w:vAlign w:val="center"/>
          </w:tcPr>
          <w:p>
            <w:pPr>
              <w:spacing w:line="4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担任职务</w:t>
            </w:r>
          </w:p>
        </w:tc>
        <w:tc>
          <w:tcPr>
            <w:tcW w:w="2296" w:type="dxa"/>
            <w:gridSpan w:val="2"/>
            <w:vAlign w:val="center"/>
          </w:tcPr>
          <w:p>
            <w:pPr>
              <w:spacing w:line="4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hint="eastAsia" w:ascii="仿宋_GB2312" w:hAnsi="仿宋_GB2312" w:eastAsia="仿宋_GB2312" w:cs="仿宋_GB2312"/>
                <w:color w:val="auto"/>
                <w:sz w:val="24"/>
                <w:szCs w:val="24"/>
                <w:highlight w:val="none"/>
              </w:rPr>
            </w:pPr>
          </w:p>
        </w:tc>
        <w:tc>
          <w:tcPr>
            <w:tcW w:w="3420" w:type="dxa"/>
            <w:gridSpan w:val="4"/>
          </w:tcPr>
          <w:p>
            <w:pPr>
              <w:spacing w:line="460" w:lineRule="exact"/>
              <w:jc w:val="left"/>
              <w:rPr>
                <w:rFonts w:hint="eastAsia" w:ascii="仿宋_GB2312" w:hAnsi="仿宋_GB2312" w:eastAsia="仿宋_GB2312" w:cs="仿宋_GB2312"/>
                <w:color w:val="auto"/>
                <w:sz w:val="24"/>
                <w:szCs w:val="24"/>
                <w:highlight w:val="none"/>
              </w:rPr>
            </w:pPr>
          </w:p>
        </w:tc>
        <w:tc>
          <w:tcPr>
            <w:tcW w:w="1261" w:type="dxa"/>
          </w:tcPr>
          <w:p>
            <w:pPr>
              <w:spacing w:line="460" w:lineRule="exact"/>
              <w:jc w:val="left"/>
              <w:rPr>
                <w:rFonts w:hint="eastAsia" w:ascii="仿宋_GB2312" w:hAnsi="仿宋_GB2312" w:eastAsia="仿宋_GB2312" w:cs="仿宋_GB2312"/>
                <w:color w:val="auto"/>
                <w:sz w:val="24"/>
                <w:szCs w:val="24"/>
                <w:highlight w:val="none"/>
              </w:rPr>
            </w:pPr>
          </w:p>
        </w:tc>
        <w:tc>
          <w:tcPr>
            <w:tcW w:w="2296" w:type="dxa"/>
            <w:gridSpan w:val="2"/>
          </w:tcPr>
          <w:p>
            <w:pPr>
              <w:spacing w:line="460" w:lineRule="exact"/>
              <w:jc w:val="lef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hint="eastAsia" w:ascii="仿宋_GB2312" w:hAnsi="仿宋_GB2312" w:eastAsia="仿宋_GB2312" w:cs="仿宋_GB2312"/>
                <w:color w:val="auto"/>
                <w:sz w:val="24"/>
                <w:szCs w:val="24"/>
                <w:highlight w:val="none"/>
              </w:rPr>
            </w:pPr>
          </w:p>
        </w:tc>
        <w:tc>
          <w:tcPr>
            <w:tcW w:w="3420" w:type="dxa"/>
            <w:gridSpan w:val="4"/>
          </w:tcPr>
          <w:p>
            <w:pPr>
              <w:spacing w:line="460" w:lineRule="exact"/>
              <w:jc w:val="left"/>
              <w:rPr>
                <w:rFonts w:hint="eastAsia" w:ascii="仿宋_GB2312" w:hAnsi="仿宋_GB2312" w:eastAsia="仿宋_GB2312" w:cs="仿宋_GB2312"/>
                <w:color w:val="auto"/>
                <w:sz w:val="24"/>
                <w:szCs w:val="24"/>
                <w:highlight w:val="none"/>
              </w:rPr>
            </w:pPr>
          </w:p>
        </w:tc>
        <w:tc>
          <w:tcPr>
            <w:tcW w:w="1261" w:type="dxa"/>
          </w:tcPr>
          <w:p>
            <w:pPr>
              <w:spacing w:line="460" w:lineRule="exact"/>
              <w:jc w:val="left"/>
              <w:rPr>
                <w:rFonts w:hint="eastAsia" w:ascii="仿宋_GB2312" w:hAnsi="仿宋_GB2312" w:eastAsia="仿宋_GB2312" w:cs="仿宋_GB2312"/>
                <w:color w:val="auto"/>
                <w:sz w:val="24"/>
                <w:szCs w:val="24"/>
                <w:highlight w:val="none"/>
              </w:rPr>
            </w:pPr>
          </w:p>
        </w:tc>
        <w:tc>
          <w:tcPr>
            <w:tcW w:w="2296" w:type="dxa"/>
            <w:gridSpan w:val="2"/>
          </w:tcPr>
          <w:p>
            <w:pPr>
              <w:spacing w:line="460" w:lineRule="exact"/>
              <w:jc w:val="lef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hint="eastAsia" w:ascii="仿宋_GB2312" w:hAnsi="仿宋_GB2312" w:eastAsia="仿宋_GB2312" w:cs="仿宋_GB2312"/>
                <w:color w:val="auto"/>
                <w:szCs w:val="21"/>
                <w:highlight w:val="none"/>
              </w:rPr>
            </w:pPr>
          </w:p>
        </w:tc>
        <w:tc>
          <w:tcPr>
            <w:tcW w:w="3420" w:type="dxa"/>
            <w:gridSpan w:val="4"/>
          </w:tcPr>
          <w:p>
            <w:pPr>
              <w:spacing w:line="460" w:lineRule="exact"/>
              <w:jc w:val="left"/>
              <w:rPr>
                <w:rFonts w:hint="eastAsia" w:ascii="仿宋_GB2312" w:hAnsi="仿宋_GB2312" w:eastAsia="仿宋_GB2312" w:cs="仿宋_GB2312"/>
                <w:color w:val="auto"/>
                <w:szCs w:val="21"/>
                <w:highlight w:val="none"/>
              </w:rPr>
            </w:pPr>
          </w:p>
        </w:tc>
        <w:tc>
          <w:tcPr>
            <w:tcW w:w="1261" w:type="dxa"/>
          </w:tcPr>
          <w:p>
            <w:pPr>
              <w:spacing w:line="460" w:lineRule="exact"/>
              <w:jc w:val="left"/>
              <w:rPr>
                <w:rFonts w:hint="eastAsia" w:ascii="仿宋_GB2312" w:hAnsi="仿宋_GB2312" w:eastAsia="仿宋_GB2312" w:cs="仿宋_GB2312"/>
                <w:color w:val="auto"/>
                <w:szCs w:val="21"/>
                <w:highlight w:val="none"/>
              </w:rPr>
            </w:pPr>
          </w:p>
        </w:tc>
        <w:tc>
          <w:tcPr>
            <w:tcW w:w="2296" w:type="dxa"/>
            <w:gridSpan w:val="2"/>
          </w:tcPr>
          <w:p>
            <w:pPr>
              <w:spacing w:line="460" w:lineRule="exact"/>
              <w:jc w:val="left"/>
              <w:rPr>
                <w:rFonts w:hint="eastAsia" w:ascii="仿宋_GB2312" w:hAnsi="仿宋_GB2312" w:eastAsia="仿宋_GB2312"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hint="eastAsia" w:ascii="仿宋_GB2312" w:hAnsi="仿宋_GB2312" w:eastAsia="仿宋_GB2312" w:cs="仿宋_GB2312"/>
                <w:color w:val="auto"/>
                <w:szCs w:val="21"/>
                <w:highlight w:val="none"/>
              </w:rPr>
            </w:pPr>
          </w:p>
        </w:tc>
        <w:tc>
          <w:tcPr>
            <w:tcW w:w="3420" w:type="dxa"/>
            <w:gridSpan w:val="4"/>
            <w:vAlign w:val="center"/>
          </w:tcPr>
          <w:p>
            <w:pPr>
              <w:spacing w:line="460" w:lineRule="exact"/>
              <w:jc w:val="left"/>
              <w:rPr>
                <w:rFonts w:hint="eastAsia" w:ascii="仿宋_GB2312" w:hAnsi="仿宋_GB2312" w:eastAsia="仿宋_GB2312" w:cs="仿宋_GB2312"/>
                <w:color w:val="auto"/>
                <w:szCs w:val="21"/>
                <w:highlight w:val="none"/>
              </w:rPr>
            </w:pPr>
          </w:p>
        </w:tc>
        <w:tc>
          <w:tcPr>
            <w:tcW w:w="1261" w:type="dxa"/>
            <w:vAlign w:val="center"/>
          </w:tcPr>
          <w:p>
            <w:pPr>
              <w:spacing w:line="460" w:lineRule="exact"/>
              <w:jc w:val="left"/>
              <w:rPr>
                <w:rFonts w:hint="eastAsia" w:ascii="仿宋_GB2312" w:hAnsi="仿宋_GB2312" w:eastAsia="仿宋_GB2312" w:cs="仿宋_GB2312"/>
                <w:color w:val="auto"/>
                <w:szCs w:val="21"/>
                <w:highlight w:val="none"/>
              </w:rPr>
            </w:pPr>
          </w:p>
        </w:tc>
        <w:tc>
          <w:tcPr>
            <w:tcW w:w="2296" w:type="dxa"/>
            <w:gridSpan w:val="2"/>
            <w:vAlign w:val="center"/>
          </w:tcPr>
          <w:p>
            <w:pPr>
              <w:spacing w:line="460" w:lineRule="exact"/>
              <w:jc w:val="left"/>
              <w:rPr>
                <w:rFonts w:hint="eastAsia" w:ascii="仿宋_GB2312" w:hAnsi="仿宋_GB2312" w:eastAsia="仿宋_GB2312" w:cs="仿宋_GB2312"/>
                <w:color w:val="auto"/>
                <w:szCs w:val="21"/>
                <w:highlight w:val="none"/>
              </w:rPr>
            </w:pPr>
          </w:p>
        </w:tc>
      </w:tr>
    </w:tbl>
    <w:p>
      <w:pPr>
        <w:rPr>
          <w:rFonts w:hint="eastAsia" w:ascii="仿宋_GB2312" w:hAnsi="仿宋_GB2312" w:eastAsia="仿宋_GB2312" w:cs="仿宋_GB2312"/>
          <w:color w:val="auto"/>
          <w:szCs w:val="21"/>
          <w:highlight w:val="none"/>
        </w:rPr>
      </w:pPr>
    </w:p>
    <w:p>
      <w:pPr>
        <w:spacing w:beforeLines="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注：1、本格式仅供参考，投标人可根据实际情况自定。</w:t>
      </w:r>
    </w:p>
    <w:p>
      <w:pPr>
        <w:spacing w:beforeLines="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2、项目负责人必须附执业证书及资格证书、身份证、职称证书及业绩等证明材料（复印件，加盖单位公章）。</w:t>
      </w:r>
    </w:p>
    <w:p>
      <w:pPr>
        <w:spacing w:beforeLines="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3、业绩证明资料须提供：合同；相关证明资料中必须能反映出评标所需指标、人员姓名和岗位等，否则相应子项不予计分。</w:t>
      </w:r>
    </w:p>
    <w:p>
      <w:pPr>
        <w:spacing w:beforeLines="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p>
    <w:p>
      <w:pPr>
        <w:adjustRightInd w:val="0"/>
        <w:snapToGrid w:val="0"/>
        <w:spacing w:beforeLines="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投标人名称（盖章）：</w:t>
      </w:r>
    </w:p>
    <w:p>
      <w:pPr>
        <w:adjustRightInd w:val="0"/>
        <w:snapToGrid w:val="0"/>
        <w:spacing w:beforeLines="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授权代表（签名）：</w:t>
      </w:r>
      <w:r>
        <w:rPr>
          <w:rFonts w:hint="eastAsia" w:ascii="仿宋_GB2312" w:hAnsi="仿宋_GB2312" w:eastAsia="仿宋_GB2312" w:cs="仿宋_GB2312"/>
          <w:color w:val="auto"/>
          <w:sz w:val="24"/>
          <w:highlight w:val="none"/>
          <w:u w:val="single"/>
        </w:rPr>
        <w:t xml:space="preserve">       </w:t>
      </w:r>
    </w:p>
    <w:p>
      <w:pPr>
        <w:adjustRightInd w:val="0"/>
        <w:snapToGrid w:val="0"/>
        <w:spacing w:beforeLines="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pPr>
        <w:spacing w:beforeLines="0"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xml:space="preserve"> 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pPr>
        <w:pStyle w:val="25"/>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049" w:left="1361" w:header="720" w:footer="720" w:gutter="0"/>
          <w:pgNumType w:start="1"/>
          <w:cols w:space="425" w:num="1"/>
          <w:docGrid w:type="lines" w:linePitch="285" w:charSpace="0"/>
        </w:sectPr>
      </w:pPr>
    </w:p>
    <w:p>
      <w:pPr>
        <w:spacing w:line="360" w:lineRule="auto"/>
        <w:outlineLvl w:val="1"/>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color w:val="auto"/>
          <w:spacing w:val="4"/>
          <w:kern w:val="0"/>
          <w:sz w:val="28"/>
          <w:szCs w:val="28"/>
          <w:highlight w:val="none"/>
        </w:rPr>
        <w:t>格式</w:t>
      </w:r>
      <w:r>
        <w:rPr>
          <w:rFonts w:hint="eastAsia" w:ascii="仿宋_GB2312" w:hAnsi="仿宋_GB2312" w:eastAsia="仿宋_GB2312" w:cs="仿宋_GB2312"/>
          <w:b/>
          <w:color w:val="auto"/>
          <w:spacing w:val="4"/>
          <w:kern w:val="0"/>
          <w:sz w:val="28"/>
          <w:szCs w:val="28"/>
          <w:highlight w:val="none"/>
          <w:lang w:val="en-US" w:eastAsia="zh-CN"/>
        </w:rPr>
        <w:t>九</w:t>
      </w:r>
      <w:r>
        <w:rPr>
          <w:rFonts w:hint="eastAsia" w:ascii="仿宋_GB2312" w:hAnsi="仿宋_GB2312" w:eastAsia="仿宋_GB2312" w:cs="仿宋_GB2312"/>
          <w:b/>
          <w:color w:val="auto"/>
          <w:spacing w:val="4"/>
          <w:kern w:val="0"/>
          <w:sz w:val="28"/>
          <w:szCs w:val="28"/>
          <w:highlight w:val="none"/>
        </w:rPr>
        <w:t>：</w:t>
      </w:r>
    </w:p>
    <w:p>
      <w:pPr>
        <w:autoSpaceDE w:val="0"/>
        <w:autoSpaceDN w:val="0"/>
        <w:adjustRightInd w:val="0"/>
        <w:spacing w:line="360" w:lineRule="auto"/>
        <w:jc w:val="center"/>
        <w:rPr>
          <w:rFonts w:hint="eastAsia" w:ascii="仿宋_GB2312" w:hAnsi="仿宋_GB2312" w:eastAsia="仿宋_GB2312" w:cs="仿宋_GB2312"/>
          <w:b/>
          <w:bCs/>
          <w:color w:val="auto"/>
          <w:sz w:val="32"/>
          <w:szCs w:val="32"/>
          <w:highlight w:val="none"/>
          <w:lang w:val="zh-CN"/>
        </w:rPr>
      </w:pPr>
      <w:r>
        <w:rPr>
          <w:rFonts w:hint="eastAsia" w:ascii="仿宋_GB2312" w:hAnsi="仿宋_GB2312" w:eastAsia="仿宋_GB2312" w:cs="仿宋_GB2312"/>
          <w:b/>
          <w:bCs/>
          <w:color w:val="auto"/>
          <w:sz w:val="32"/>
          <w:szCs w:val="32"/>
          <w:highlight w:val="none"/>
          <w:lang w:val="en-US" w:eastAsia="zh-CN"/>
        </w:rPr>
        <w:t>投标</w:t>
      </w:r>
      <w:r>
        <w:rPr>
          <w:rFonts w:hint="eastAsia" w:ascii="仿宋_GB2312" w:hAnsi="仿宋_GB2312" w:eastAsia="仿宋_GB2312" w:cs="仿宋_GB2312"/>
          <w:b/>
          <w:bCs/>
          <w:color w:val="auto"/>
          <w:sz w:val="32"/>
          <w:szCs w:val="32"/>
          <w:highlight w:val="none"/>
          <w:lang w:val="zh-CN"/>
        </w:rPr>
        <w:t>报价表</w:t>
      </w:r>
    </w:p>
    <w:p>
      <w:pPr>
        <w:wordWrap w:val="0"/>
        <w:autoSpaceDE w:val="0"/>
        <w:autoSpaceDN w:val="0"/>
        <w:adjustRightInd w:val="0"/>
        <w:spacing w:line="360" w:lineRule="auto"/>
        <w:ind w:firstLine="480" w:firstLineChars="200"/>
        <w:jc w:val="right"/>
        <w:rPr>
          <w:rFonts w:hint="eastAsia" w:ascii="仿宋_GB2312" w:hAnsi="仿宋_GB2312" w:eastAsia="仿宋_GB2312" w:cs="仿宋_GB2312"/>
          <w:bCs/>
          <w:color w:val="auto"/>
          <w:sz w:val="24"/>
          <w:szCs w:val="24"/>
          <w:highlight w:val="none"/>
          <w:lang w:val="zh-CN"/>
        </w:rPr>
      </w:pPr>
      <w:r>
        <w:rPr>
          <w:rFonts w:hint="eastAsia" w:ascii="仿宋_GB2312" w:hAnsi="仿宋_GB2312" w:eastAsia="仿宋_GB2312" w:cs="仿宋_GB2312"/>
          <w:bCs/>
          <w:color w:val="auto"/>
          <w:sz w:val="24"/>
          <w:szCs w:val="24"/>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ind w:firstLine="480" w:firstLineChars="200"/>
              <w:jc w:val="both"/>
              <w:rPr>
                <w:rFonts w:hint="eastAsia" w:ascii="仿宋_GB2312" w:hAnsi="仿宋_GB2312" w:eastAsia="仿宋_GB2312" w:cs="仿宋_GB2312"/>
                <w:bCs/>
                <w:color w:val="auto"/>
                <w:sz w:val="24"/>
                <w:szCs w:val="24"/>
                <w:highlight w:val="none"/>
                <w:lang w:val="zh-CN"/>
              </w:rPr>
            </w:pPr>
            <w:r>
              <w:rPr>
                <w:rFonts w:hint="eastAsia" w:ascii="仿宋_GB2312" w:hAnsi="仿宋_GB2312" w:eastAsia="仿宋_GB2312" w:cs="仿宋_GB2312"/>
                <w:bCs/>
                <w:color w:val="auto"/>
                <w:sz w:val="24"/>
                <w:szCs w:val="24"/>
                <w:highlight w:val="none"/>
              </w:rPr>
              <w:t>项目</w:t>
            </w:r>
            <w:r>
              <w:rPr>
                <w:rFonts w:hint="eastAsia" w:ascii="仿宋_GB2312" w:hAnsi="仿宋_GB2312" w:eastAsia="仿宋_GB2312" w:cs="仿宋_GB2312"/>
                <w:bCs/>
                <w:color w:val="auto"/>
                <w:sz w:val="24"/>
                <w:szCs w:val="24"/>
                <w:highlight w:val="none"/>
                <w:lang w:val="zh-CN"/>
              </w:rPr>
              <w:t>名称</w:t>
            </w:r>
          </w:p>
        </w:tc>
        <w:tc>
          <w:tcPr>
            <w:tcW w:w="6699" w:type="dxa"/>
            <w:vAlign w:val="center"/>
          </w:tcPr>
          <w:p>
            <w:pPr>
              <w:autoSpaceDE w:val="0"/>
              <w:autoSpaceDN w:val="0"/>
              <w:adjustRightInd w:val="0"/>
              <w:snapToGrid w:val="0"/>
              <w:spacing w:line="360" w:lineRule="auto"/>
              <w:ind w:firstLine="480" w:firstLineChars="200"/>
              <w:jc w:val="center"/>
              <w:rPr>
                <w:rFonts w:hint="eastAsia" w:ascii="仿宋_GB2312" w:hAnsi="仿宋_GB2312" w:eastAsia="仿宋_GB2312" w:cs="仿宋_GB2312"/>
                <w:bCs/>
                <w:color w:val="auto"/>
                <w:sz w:val="24"/>
                <w:szCs w:val="24"/>
                <w:highlight w:val="none"/>
                <w:lang w:val="zh-CN"/>
              </w:rPr>
            </w:pPr>
            <w:r>
              <w:rPr>
                <w:rFonts w:hint="eastAsia" w:ascii="仿宋_GB2312" w:hAnsi="仿宋_GB2312" w:eastAsia="仿宋_GB2312" w:cs="仿宋_GB2312"/>
                <w:bCs/>
                <w:color w:val="auto"/>
                <w:sz w:val="24"/>
                <w:szCs w:val="24"/>
                <w:highlight w:val="none"/>
                <w:lang w:eastAsia="zh-CN"/>
              </w:rPr>
              <w:t>前锋水乡一、二涌已移交物业危房鉴定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2711" w:type="dxa"/>
            <w:vAlign w:val="center"/>
          </w:tcPr>
          <w:p>
            <w:pPr>
              <w:autoSpaceDE w:val="0"/>
              <w:autoSpaceDN w:val="0"/>
              <w:adjustRightInd w:val="0"/>
              <w:snapToGrid w:val="0"/>
              <w:spacing w:line="360" w:lineRule="auto"/>
              <w:ind w:firstLine="480" w:firstLineChars="200"/>
              <w:jc w:val="both"/>
              <w:rPr>
                <w:rFonts w:hint="eastAsia" w:ascii="仿宋_GB2312" w:hAnsi="仿宋_GB2312" w:eastAsia="仿宋_GB2312" w:cs="仿宋_GB2312"/>
                <w:bCs/>
                <w:color w:val="auto"/>
                <w:sz w:val="24"/>
                <w:szCs w:val="24"/>
                <w:highlight w:val="none"/>
                <w:lang w:eastAsia="zh-CN"/>
              </w:rPr>
            </w:pPr>
            <w:r>
              <w:rPr>
                <w:rFonts w:hint="eastAsia" w:ascii="仿宋_GB2312" w:hAnsi="仿宋_GB2312" w:eastAsia="仿宋_GB2312" w:cs="仿宋_GB2312"/>
                <w:bCs/>
                <w:color w:val="auto"/>
                <w:sz w:val="24"/>
                <w:szCs w:val="24"/>
                <w:highlight w:val="none"/>
                <w:lang w:eastAsia="zh-CN"/>
              </w:rPr>
              <w:t>投标单价</w:t>
            </w:r>
          </w:p>
          <w:p>
            <w:pPr>
              <w:autoSpaceDE w:val="0"/>
              <w:autoSpaceDN w:val="0"/>
              <w:adjustRightInd w:val="0"/>
              <w:snapToGrid w:val="0"/>
              <w:spacing w:line="360" w:lineRule="auto"/>
              <w:ind w:firstLine="480" w:firstLineChars="200"/>
              <w:jc w:val="both"/>
              <w:rPr>
                <w:rFonts w:hint="eastAsia" w:ascii="仿宋_GB2312" w:hAnsi="仿宋_GB2312" w:eastAsia="仿宋_GB2312" w:cs="仿宋_GB2312"/>
                <w:bCs/>
                <w:color w:val="auto"/>
                <w:sz w:val="24"/>
                <w:szCs w:val="24"/>
                <w:highlight w:val="none"/>
                <w:lang w:eastAsia="zh-CN"/>
              </w:rPr>
            </w:pPr>
            <w:r>
              <w:rPr>
                <w:rFonts w:hint="eastAsia" w:ascii="仿宋_GB2312" w:hAnsi="仿宋_GB2312" w:eastAsia="仿宋_GB2312" w:cs="仿宋_GB2312"/>
                <w:bCs/>
                <w:color w:val="auto"/>
                <w:sz w:val="24"/>
                <w:szCs w:val="24"/>
                <w:highlight w:val="none"/>
                <w:u w:val="none"/>
                <w:lang w:val="zh-CN" w:eastAsia="zh-CN"/>
              </w:rPr>
              <w:t>（人民币）</w:t>
            </w:r>
          </w:p>
        </w:tc>
        <w:tc>
          <w:tcPr>
            <w:tcW w:w="6699" w:type="dxa"/>
            <w:vAlign w:val="center"/>
          </w:tcPr>
          <w:p>
            <w:pPr>
              <w:pStyle w:val="8"/>
              <w:autoSpaceDE w:val="0"/>
              <w:autoSpaceDN w:val="0"/>
              <w:adjustRightInd w:val="0"/>
              <w:snapToGrid w:val="0"/>
              <w:spacing w:line="360" w:lineRule="auto"/>
              <w:ind w:firstLine="480" w:firstLineChars="200"/>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lang w:val="en-US" w:eastAsia="zh-CN"/>
              </w:rPr>
              <w:t xml:space="preserve">                                      元/</w:t>
            </w:r>
            <w:r>
              <w:rPr>
                <w:rFonts w:hint="eastAsia" w:ascii="仿宋_GB2312" w:hAnsi="仿宋_GB2312" w:eastAsia="仿宋_GB2312" w:cs="仿宋_GB2312"/>
                <w:b w:val="0"/>
                <w:bCs w:val="0"/>
                <w:color w:val="auto"/>
                <w:sz w:val="24"/>
                <w:szCs w:val="24"/>
                <w:highlight w:val="none"/>
                <w:lang w:val="en-US" w:eastAsia="zh-CN"/>
              </w:rPr>
              <w:t>㎡</w:t>
            </w:r>
          </w:p>
          <w:p>
            <w:pPr>
              <w:pStyle w:val="8"/>
              <w:autoSpaceDE w:val="0"/>
              <w:autoSpaceDN w:val="0"/>
              <w:adjustRightInd w:val="0"/>
              <w:snapToGrid w:val="0"/>
              <w:spacing w:line="360" w:lineRule="auto"/>
              <w:ind w:firstLine="480" w:firstLineChars="200"/>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大写：</w:t>
            </w:r>
            <w:r>
              <w:rPr>
                <w:rFonts w:hint="eastAsia" w:ascii="仿宋_GB2312" w:hAnsi="仿宋_GB2312" w:eastAsia="仿宋_GB2312" w:cs="仿宋_GB2312"/>
                <w:color w:val="auto"/>
                <w:sz w:val="24"/>
                <w:szCs w:val="24"/>
                <w:highlight w:val="none"/>
                <w:lang w:val="en-US" w:eastAsia="zh-CN"/>
              </w:rPr>
              <w:t xml:space="preserve">                                      元/</w:t>
            </w:r>
            <w:r>
              <w:rPr>
                <w:rFonts w:hint="eastAsia" w:ascii="仿宋_GB2312" w:hAnsi="仿宋_GB2312" w:eastAsia="仿宋_GB2312" w:cs="仿宋_GB2312"/>
                <w:b w:val="0"/>
                <w:bCs w:val="0"/>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ind w:firstLine="480" w:firstLineChars="200"/>
              <w:jc w:val="both"/>
              <w:rPr>
                <w:rFonts w:hint="eastAsia" w:ascii="仿宋_GB2312" w:hAnsi="仿宋_GB2312" w:eastAsia="仿宋_GB2312" w:cs="仿宋_GB2312"/>
                <w:bCs/>
                <w:color w:val="auto"/>
                <w:sz w:val="24"/>
                <w:szCs w:val="24"/>
                <w:highlight w:val="none"/>
                <w:lang w:val="zh-CN"/>
              </w:rPr>
            </w:pPr>
          </w:p>
          <w:p>
            <w:pPr>
              <w:autoSpaceDE w:val="0"/>
              <w:autoSpaceDN w:val="0"/>
              <w:adjustRightInd w:val="0"/>
              <w:snapToGrid w:val="0"/>
              <w:spacing w:line="360" w:lineRule="auto"/>
              <w:ind w:firstLine="480" w:firstLineChars="200"/>
              <w:jc w:val="both"/>
              <w:rPr>
                <w:rFonts w:hint="eastAsia" w:ascii="仿宋_GB2312" w:hAnsi="仿宋_GB2312" w:eastAsia="仿宋_GB2312" w:cs="仿宋_GB2312"/>
                <w:bCs/>
                <w:color w:val="auto"/>
                <w:sz w:val="24"/>
                <w:szCs w:val="24"/>
                <w:highlight w:val="none"/>
                <w:lang w:val="zh-CN"/>
              </w:rPr>
            </w:pPr>
            <w:r>
              <w:rPr>
                <w:rFonts w:hint="eastAsia" w:ascii="仿宋_GB2312" w:hAnsi="仿宋_GB2312" w:eastAsia="仿宋_GB2312" w:cs="仿宋_GB2312"/>
                <w:bCs/>
                <w:color w:val="auto"/>
                <w:sz w:val="24"/>
                <w:szCs w:val="24"/>
                <w:highlight w:val="none"/>
                <w:lang w:val="zh-CN"/>
              </w:rPr>
              <w:t>投标总报价</w:t>
            </w:r>
          </w:p>
          <w:p>
            <w:pPr>
              <w:autoSpaceDE w:val="0"/>
              <w:autoSpaceDN w:val="0"/>
              <w:adjustRightInd w:val="0"/>
              <w:snapToGrid w:val="0"/>
              <w:spacing w:line="360" w:lineRule="auto"/>
              <w:ind w:firstLine="480" w:firstLineChars="200"/>
              <w:jc w:val="both"/>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u w:val="none"/>
                <w:lang w:val="zh-CN" w:eastAsia="zh-CN"/>
              </w:rPr>
              <w:t>（人民币）</w:t>
            </w:r>
          </w:p>
        </w:tc>
        <w:tc>
          <w:tcPr>
            <w:tcW w:w="6699" w:type="dxa"/>
            <w:vAlign w:val="center"/>
          </w:tcPr>
          <w:p>
            <w:pPr>
              <w:autoSpaceDE w:val="0"/>
              <w:autoSpaceDN w:val="0"/>
              <w:adjustRightInd w:val="0"/>
              <w:snapToGrid w:val="0"/>
              <w:spacing w:line="360" w:lineRule="auto"/>
              <w:ind w:firstLine="480" w:firstLineChars="200"/>
              <w:jc w:val="left"/>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小写：</w:t>
            </w:r>
            <w:r>
              <w:rPr>
                <w:rFonts w:hint="eastAsia" w:ascii="仿宋_GB2312" w:hAnsi="仿宋_GB2312" w:eastAsia="仿宋_GB2312" w:cs="仿宋_GB2312"/>
                <w:color w:val="auto"/>
                <w:sz w:val="24"/>
                <w:highlight w:val="none"/>
                <w:lang w:val="en-US" w:eastAsia="zh-CN"/>
              </w:rPr>
              <w:t xml:space="preserve">                                      元</w:t>
            </w:r>
          </w:p>
          <w:p>
            <w:pPr>
              <w:pStyle w:val="8"/>
              <w:spacing w:line="360" w:lineRule="auto"/>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大写：</w:t>
            </w:r>
            <w:r>
              <w:rPr>
                <w:rFonts w:hint="eastAsia" w:ascii="仿宋_GB2312" w:hAnsi="仿宋_GB2312" w:eastAsia="仿宋_GB2312" w:cs="仿宋_GB2312"/>
                <w:color w:val="auto"/>
                <w:sz w:val="24"/>
                <w:szCs w:val="24"/>
                <w:highlight w:val="none"/>
                <w:lang w:val="en-US" w:eastAsia="zh-CN"/>
              </w:rPr>
              <w:t xml:space="preserve">                                      元</w:t>
            </w:r>
          </w:p>
          <w:p>
            <w:pPr>
              <w:spacing w:line="360" w:lineRule="auto"/>
              <w:ind w:firstLine="480" w:firstLineChars="200"/>
              <w:rPr>
                <w:rFonts w:hint="eastAsia"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ind w:firstLine="720" w:firstLineChars="300"/>
              <w:jc w:val="both"/>
              <w:rPr>
                <w:rFonts w:hint="eastAsia" w:ascii="仿宋_GB2312" w:hAnsi="仿宋_GB2312" w:eastAsia="仿宋_GB2312" w:cs="仿宋_GB2312"/>
                <w:bCs/>
                <w:color w:val="auto"/>
                <w:sz w:val="24"/>
                <w:szCs w:val="24"/>
                <w:highlight w:val="none"/>
                <w:lang w:val="zh-CN"/>
              </w:rPr>
            </w:pPr>
            <w:r>
              <w:rPr>
                <w:rFonts w:hint="eastAsia" w:ascii="仿宋_GB2312" w:hAnsi="仿宋_GB2312" w:eastAsia="仿宋_GB2312" w:cs="仿宋_GB2312"/>
                <w:bCs/>
                <w:color w:val="auto"/>
                <w:sz w:val="24"/>
                <w:szCs w:val="24"/>
                <w:highlight w:val="none"/>
                <w:lang w:val="zh-CN"/>
              </w:rPr>
              <w:t>法定代表人</w:t>
            </w:r>
          </w:p>
          <w:p>
            <w:pPr>
              <w:autoSpaceDE w:val="0"/>
              <w:autoSpaceDN w:val="0"/>
              <w:adjustRightInd w:val="0"/>
              <w:snapToGrid w:val="0"/>
              <w:spacing w:line="360" w:lineRule="auto"/>
              <w:ind w:firstLine="480" w:firstLineChars="200"/>
              <w:jc w:val="both"/>
              <w:rPr>
                <w:rFonts w:hint="eastAsia" w:ascii="仿宋_GB2312" w:hAnsi="仿宋_GB2312" w:eastAsia="仿宋_GB2312" w:cs="仿宋_GB2312"/>
                <w:bCs/>
                <w:color w:val="auto"/>
                <w:sz w:val="24"/>
                <w:szCs w:val="24"/>
                <w:highlight w:val="none"/>
                <w:lang w:val="zh-CN"/>
              </w:rPr>
            </w:pPr>
            <w:r>
              <w:rPr>
                <w:rFonts w:hint="eastAsia" w:ascii="仿宋_GB2312" w:hAnsi="仿宋_GB2312" w:eastAsia="仿宋_GB2312" w:cs="仿宋_GB2312"/>
                <w:bCs/>
                <w:color w:val="auto"/>
                <w:sz w:val="24"/>
                <w:szCs w:val="24"/>
                <w:highlight w:val="none"/>
                <w:lang w:val="zh-CN"/>
              </w:rPr>
              <w:t>（签名或盖章）</w:t>
            </w:r>
          </w:p>
        </w:tc>
        <w:tc>
          <w:tcPr>
            <w:tcW w:w="6699" w:type="dxa"/>
            <w:vAlign w:val="center"/>
          </w:tcPr>
          <w:p>
            <w:pPr>
              <w:autoSpaceDE w:val="0"/>
              <w:autoSpaceDN w:val="0"/>
              <w:adjustRightInd w:val="0"/>
              <w:snapToGrid w:val="0"/>
              <w:spacing w:line="360" w:lineRule="auto"/>
              <w:ind w:firstLine="480" w:firstLineChars="200"/>
              <w:jc w:val="center"/>
              <w:rPr>
                <w:rFonts w:hint="eastAsia" w:ascii="仿宋_GB2312" w:hAnsi="仿宋_GB2312" w:eastAsia="仿宋_GB2312" w:cs="仿宋_GB2312"/>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ind w:firstLine="720" w:firstLineChars="300"/>
              <w:jc w:val="both"/>
              <w:rPr>
                <w:rFonts w:hint="eastAsia" w:ascii="仿宋_GB2312" w:hAnsi="仿宋_GB2312" w:eastAsia="仿宋_GB2312" w:cs="仿宋_GB2312"/>
                <w:bCs/>
                <w:color w:val="auto"/>
                <w:sz w:val="24"/>
                <w:szCs w:val="24"/>
                <w:highlight w:val="none"/>
                <w:lang w:val="zh-CN"/>
              </w:rPr>
            </w:pPr>
            <w:r>
              <w:rPr>
                <w:rFonts w:hint="eastAsia" w:ascii="仿宋_GB2312" w:hAnsi="仿宋_GB2312" w:eastAsia="仿宋_GB2312" w:cs="仿宋_GB2312"/>
                <w:bCs/>
                <w:color w:val="auto"/>
                <w:sz w:val="24"/>
                <w:szCs w:val="24"/>
                <w:highlight w:val="none"/>
                <w:lang w:val="zh-CN"/>
              </w:rPr>
              <w:t>授权委托人</w:t>
            </w:r>
          </w:p>
          <w:p>
            <w:pPr>
              <w:autoSpaceDE w:val="0"/>
              <w:autoSpaceDN w:val="0"/>
              <w:adjustRightInd w:val="0"/>
              <w:snapToGrid w:val="0"/>
              <w:spacing w:line="360" w:lineRule="auto"/>
              <w:ind w:firstLine="480" w:firstLineChars="200"/>
              <w:jc w:val="both"/>
              <w:rPr>
                <w:rFonts w:hint="eastAsia" w:ascii="仿宋_GB2312" w:hAnsi="仿宋_GB2312" w:eastAsia="仿宋_GB2312" w:cs="仿宋_GB2312"/>
                <w:bCs/>
                <w:color w:val="auto"/>
                <w:sz w:val="24"/>
                <w:szCs w:val="24"/>
                <w:highlight w:val="none"/>
                <w:lang w:val="zh-CN"/>
              </w:rPr>
            </w:pPr>
            <w:r>
              <w:rPr>
                <w:rFonts w:hint="eastAsia" w:ascii="仿宋_GB2312" w:hAnsi="仿宋_GB2312" w:eastAsia="仿宋_GB2312" w:cs="仿宋_GB2312"/>
                <w:bCs/>
                <w:color w:val="auto"/>
                <w:sz w:val="24"/>
                <w:szCs w:val="24"/>
                <w:highlight w:val="none"/>
                <w:lang w:val="zh-CN"/>
              </w:rPr>
              <w:t>（签名或盖章）</w:t>
            </w:r>
          </w:p>
        </w:tc>
        <w:tc>
          <w:tcPr>
            <w:tcW w:w="6699" w:type="dxa"/>
            <w:vAlign w:val="center"/>
          </w:tcPr>
          <w:p>
            <w:pPr>
              <w:autoSpaceDE w:val="0"/>
              <w:autoSpaceDN w:val="0"/>
              <w:adjustRightInd w:val="0"/>
              <w:snapToGrid w:val="0"/>
              <w:spacing w:line="360" w:lineRule="auto"/>
              <w:ind w:firstLine="480" w:firstLineChars="200"/>
              <w:jc w:val="center"/>
              <w:rPr>
                <w:rFonts w:hint="eastAsia" w:ascii="仿宋_GB2312" w:hAnsi="仿宋_GB2312" w:eastAsia="仿宋_GB2312" w:cs="仿宋_GB2312"/>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ind w:firstLine="720" w:firstLineChars="300"/>
              <w:jc w:val="both"/>
              <w:rPr>
                <w:rFonts w:hint="eastAsia" w:ascii="仿宋_GB2312" w:hAnsi="仿宋_GB2312" w:eastAsia="仿宋_GB2312" w:cs="仿宋_GB2312"/>
                <w:bCs/>
                <w:color w:val="auto"/>
                <w:sz w:val="24"/>
                <w:szCs w:val="24"/>
                <w:highlight w:val="none"/>
                <w:lang w:val="zh-CN"/>
              </w:rPr>
            </w:pPr>
            <w:r>
              <w:rPr>
                <w:rFonts w:hint="eastAsia" w:ascii="仿宋_GB2312" w:hAnsi="仿宋_GB2312" w:eastAsia="仿宋_GB2312" w:cs="仿宋_GB2312"/>
                <w:bCs/>
                <w:color w:val="auto"/>
                <w:sz w:val="24"/>
                <w:szCs w:val="24"/>
                <w:highlight w:val="none"/>
                <w:lang w:val="zh-CN"/>
              </w:rPr>
              <w:t>投标单位</w:t>
            </w:r>
          </w:p>
          <w:p>
            <w:pPr>
              <w:autoSpaceDE w:val="0"/>
              <w:autoSpaceDN w:val="0"/>
              <w:adjustRightInd w:val="0"/>
              <w:snapToGrid w:val="0"/>
              <w:spacing w:line="360" w:lineRule="auto"/>
              <w:ind w:firstLine="480" w:firstLineChars="200"/>
              <w:jc w:val="both"/>
              <w:rPr>
                <w:rFonts w:hint="eastAsia" w:ascii="仿宋_GB2312" w:hAnsi="仿宋_GB2312" w:eastAsia="仿宋_GB2312" w:cs="仿宋_GB2312"/>
                <w:bCs/>
                <w:color w:val="auto"/>
                <w:sz w:val="24"/>
                <w:szCs w:val="24"/>
                <w:highlight w:val="none"/>
                <w:lang w:val="zh-CN"/>
              </w:rPr>
            </w:pPr>
            <w:r>
              <w:rPr>
                <w:rFonts w:hint="eastAsia" w:ascii="仿宋_GB2312" w:hAnsi="仿宋_GB2312" w:eastAsia="仿宋_GB2312" w:cs="仿宋_GB2312"/>
                <w:bCs/>
                <w:color w:val="auto"/>
                <w:sz w:val="24"/>
                <w:szCs w:val="24"/>
                <w:highlight w:val="none"/>
                <w:lang w:val="zh-CN"/>
              </w:rPr>
              <w:t>（企业公章）</w:t>
            </w:r>
          </w:p>
        </w:tc>
        <w:tc>
          <w:tcPr>
            <w:tcW w:w="6699" w:type="dxa"/>
            <w:vAlign w:val="center"/>
          </w:tcPr>
          <w:p>
            <w:pPr>
              <w:autoSpaceDE w:val="0"/>
              <w:autoSpaceDN w:val="0"/>
              <w:adjustRightInd w:val="0"/>
              <w:snapToGrid w:val="0"/>
              <w:spacing w:line="360" w:lineRule="auto"/>
              <w:ind w:firstLine="480" w:firstLineChars="200"/>
              <w:jc w:val="center"/>
              <w:rPr>
                <w:rFonts w:hint="eastAsia" w:ascii="仿宋_GB2312" w:hAnsi="仿宋_GB2312" w:eastAsia="仿宋_GB2312" w:cs="仿宋_GB2312"/>
                <w:bCs/>
                <w:color w:val="auto"/>
                <w:sz w:val="24"/>
                <w:szCs w:val="24"/>
                <w:highlight w:val="none"/>
                <w:lang w:val="zh-CN"/>
              </w:rPr>
            </w:pPr>
          </w:p>
        </w:tc>
      </w:tr>
    </w:tbl>
    <w:p>
      <w:pPr>
        <w:pStyle w:val="8"/>
        <w:spacing w:line="360" w:lineRule="auto"/>
        <w:ind w:firstLine="480" w:firstLineChars="200"/>
        <w:rPr>
          <w:rFonts w:ascii="仿宋_GB2312" w:hAnsi="仿宋_GB2312" w:eastAsia="仿宋_GB2312" w:cs="仿宋_GB2312"/>
          <w:bCs/>
          <w:color w:val="auto"/>
          <w:sz w:val="24"/>
          <w:szCs w:val="24"/>
          <w:highlight w:val="none"/>
        </w:rPr>
      </w:pPr>
      <w:r>
        <w:rPr>
          <w:rFonts w:ascii="仿宋_GB2312" w:hAnsi="仿宋_GB2312" w:eastAsia="仿宋_GB2312" w:cs="仿宋_GB2312"/>
          <w:bCs/>
          <w:color w:val="auto"/>
          <w:sz w:val="24"/>
          <w:szCs w:val="24"/>
          <w:highlight w:val="none"/>
        </w:rPr>
        <w:t>注：（1）投标总报价的大写金额和小写金额不一致的，以大写金额为准，投标报价精确到小数点后两位。</w:t>
      </w:r>
    </w:p>
    <w:p>
      <w:pPr>
        <w:pStyle w:val="8"/>
        <w:widowControl w:val="0"/>
        <w:spacing w:line="360" w:lineRule="auto"/>
        <w:ind w:firstLine="480" w:firstLineChars="20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2</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kern w:val="2"/>
          <w:sz w:val="24"/>
          <w:szCs w:val="24"/>
          <w:highlight w:val="none"/>
          <w:lang w:val="en-US" w:eastAsia="zh-CN" w:bidi="ar-SA"/>
        </w:rPr>
        <w:t>投标单位自行报价，单价报价不能超过</w:t>
      </w:r>
      <w:r>
        <w:rPr>
          <w:rFonts w:hint="eastAsia" w:ascii="仿宋_GB2312" w:hAnsi="仿宋_GB2312" w:eastAsia="仿宋_GB2312" w:cs="仿宋_GB2312"/>
          <w:b w:val="0"/>
          <w:bCs/>
          <w:color w:val="auto"/>
          <w:sz w:val="24"/>
          <w:szCs w:val="24"/>
          <w:highlight w:val="none"/>
          <w:lang w:val="en-US" w:eastAsia="zh-CN"/>
        </w:rPr>
        <w:t>收费单价限价，</w:t>
      </w:r>
      <w:r>
        <w:rPr>
          <w:rFonts w:hint="eastAsia" w:ascii="仿宋_GB2312" w:hAnsi="仿宋_GB2312" w:eastAsia="仿宋_GB2312" w:cs="仿宋_GB2312"/>
          <w:bCs/>
          <w:color w:val="auto"/>
          <w:kern w:val="2"/>
          <w:sz w:val="24"/>
          <w:szCs w:val="24"/>
          <w:highlight w:val="none"/>
          <w:lang w:val="en-US" w:eastAsia="zh-CN" w:bidi="ar-SA"/>
        </w:rPr>
        <w:t>投标总报价不能超过招标总价控制价，否则按废标处理。</w:t>
      </w:r>
      <w:r>
        <w:rPr>
          <w:rFonts w:hint="eastAsia" w:ascii="仿宋_GB2312" w:hAnsi="仿宋_GB2312" w:eastAsia="仿宋_GB2312" w:cs="仿宋_GB2312"/>
          <w:bCs/>
          <w:color w:val="auto"/>
          <w:sz w:val="24"/>
          <w:szCs w:val="24"/>
          <w:highlight w:val="none"/>
          <w:lang w:eastAsia="zh-CN"/>
        </w:rPr>
        <w:t>保留</w:t>
      </w:r>
      <w:r>
        <w:rPr>
          <w:rFonts w:hint="eastAsia" w:ascii="仿宋_GB2312" w:hAnsi="仿宋_GB2312" w:eastAsia="仿宋_GB2312" w:cs="仿宋_GB2312"/>
          <w:bCs/>
          <w:color w:val="auto"/>
          <w:sz w:val="24"/>
          <w:szCs w:val="24"/>
          <w:highlight w:val="none"/>
        </w:rPr>
        <w:t>小数点后</w:t>
      </w:r>
      <w:r>
        <w:rPr>
          <w:rFonts w:hint="eastAsia" w:ascii="仿宋_GB2312" w:hAnsi="仿宋_GB2312" w:eastAsia="仿宋_GB2312" w:cs="仿宋_GB2312"/>
          <w:bCs/>
          <w:color w:val="auto"/>
          <w:sz w:val="24"/>
          <w:szCs w:val="24"/>
          <w:highlight w:val="none"/>
          <w:lang w:eastAsia="zh-CN"/>
        </w:rPr>
        <w:t>两位</w:t>
      </w:r>
      <w:r>
        <w:rPr>
          <w:rFonts w:hint="eastAsia" w:ascii="仿宋_GB2312" w:hAnsi="仿宋_GB2312" w:eastAsia="仿宋_GB2312" w:cs="仿宋_GB2312"/>
          <w:bCs/>
          <w:color w:val="auto"/>
          <w:sz w:val="24"/>
          <w:szCs w:val="24"/>
          <w:highlight w:val="none"/>
        </w:rPr>
        <w:t>小数</w:t>
      </w:r>
      <w:r>
        <w:rPr>
          <w:rFonts w:hint="eastAsia" w:ascii="仿宋_GB2312" w:hAnsi="仿宋_GB2312" w:eastAsia="仿宋_GB2312" w:cs="仿宋_GB2312"/>
          <w:bCs/>
          <w:color w:val="auto"/>
          <w:kern w:val="2"/>
          <w:sz w:val="24"/>
          <w:szCs w:val="24"/>
          <w:highlight w:val="none"/>
          <w:lang w:val="en-US" w:eastAsia="zh-CN" w:bidi="ar-SA"/>
        </w:rPr>
        <w:t>，第三位小数四舍五入。</w:t>
      </w:r>
      <w:r>
        <w:rPr>
          <w:rFonts w:hint="eastAsia" w:ascii="仿宋_GB2312" w:hAnsi="仿宋_GB2312" w:eastAsia="仿宋_GB2312" w:cs="仿宋_GB2312"/>
          <w:bCs/>
          <w:color w:val="auto"/>
          <w:sz w:val="24"/>
          <w:szCs w:val="24"/>
          <w:highlight w:val="none"/>
        </w:rPr>
        <w:t>最终鉴定费用结算价以实际鉴定面积和</w:t>
      </w:r>
      <w:r>
        <w:rPr>
          <w:rFonts w:hint="eastAsia" w:ascii="仿宋_GB2312" w:hAnsi="仿宋_GB2312" w:eastAsia="仿宋_GB2312" w:cs="仿宋_GB2312"/>
          <w:bCs/>
          <w:color w:val="auto"/>
          <w:sz w:val="24"/>
          <w:szCs w:val="24"/>
          <w:highlight w:val="none"/>
          <w:lang w:eastAsia="zh-CN"/>
        </w:rPr>
        <w:t>中标</w:t>
      </w:r>
      <w:r>
        <w:rPr>
          <w:rFonts w:hint="eastAsia" w:ascii="仿宋_GB2312" w:hAnsi="仿宋_GB2312" w:eastAsia="仿宋_GB2312" w:cs="仿宋_GB2312"/>
          <w:bCs/>
          <w:color w:val="auto"/>
          <w:sz w:val="24"/>
          <w:szCs w:val="24"/>
          <w:highlight w:val="none"/>
        </w:rPr>
        <w:t>单价计算得出</w:t>
      </w:r>
      <w:r>
        <w:rPr>
          <w:rFonts w:hint="eastAsia" w:ascii="仿宋_GB2312" w:hAnsi="仿宋_GB2312" w:eastAsia="仿宋_GB2312" w:cs="仿宋_GB2312"/>
          <w:bCs/>
          <w:color w:val="auto"/>
          <w:sz w:val="24"/>
          <w:szCs w:val="24"/>
          <w:highlight w:val="none"/>
          <w:lang w:eastAsia="zh-CN"/>
        </w:rPr>
        <w:t>。</w:t>
      </w:r>
    </w:p>
    <w:p>
      <w:pPr>
        <w:pStyle w:val="8"/>
        <w:widowControl/>
        <w:spacing w:line="360" w:lineRule="auto"/>
        <w:ind w:firstLine="480" w:firstLineChars="200"/>
        <w:rPr>
          <w:rFonts w:hint="eastAsia" w:ascii="宋体" w:hAnsi="宋体" w:eastAsia="宋体" w:cs="宋体"/>
          <w:bCs/>
          <w:color w:val="auto"/>
          <w:kern w:val="2"/>
          <w:sz w:val="24"/>
          <w:szCs w:val="24"/>
          <w:highlight w:val="none"/>
          <w:lang w:val="en-US" w:eastAsia="zh-CN" w:bidi="ar-SA"/>
        </w:rPr>
      </w:pPr>
    </w:p>
    <w:p>
      <w:pPr>
        <w:spacing w:line="360" w:lineRule="auto"/>
        <w:ind w:firstLine="482" w:firstLineChars="200"/>
        <w:rPr>
          <w:rFonts w:hAnsi="宋体"/>
          <w:b/>
          <w:color w:val="auto"/>
          <w:sz w:val="24"/>
          <w:highlight w:val="none"/>
        </w:rPr>
      </w:pPr>
      <w:r>
        <w:rPr>
          <w:rFonts w:hAnsi="宋体"/>
          <w:b/>
          <w:color w:val="auto"/>
          <w:sz w:val="24"/>
          <w:highlight w:val="none"/>
        </w:rPr>
        <w:br w:type="page"/>
      </w:r>
    </w:p>
    <w:p>
      <w:pPr>
        <w:jc w:val="left"/>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封面格式1：</w:t>
      </w:r>
    </w:p>
    <w:p>
      <w:pPr>
        <w:spacing w:line="400" w:lineRule="exact"/>
        <w:ind w:right="-1359" w:rightChars="-647" w:firstLine="5978" w:firstLineChars="1861"/>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正本或副本</w:t>
      </w:r>
    </w:p>
    <w:p>
      <w:pPr>
        <w:jc w:val="center"/>
        <w:rPr>
          <w:rFonts w:hint="eastAsia" w:ascii="仿宋_GB2312" w:hAnsi="仿宋_GB2312" w:eastAsia="仿宋_GB2312" w:cs="仿宋_GB2312"/>
          <w:b/>
          <w:color w:val="auto"/>
          <w:sz w:val="32"/>
          <w:szCs w:val="32"/>
          <w:highlight w:val="none"/>
        </w:rPr>
      </w:pPr>
    </w:p>
    <w:p>
      <w:pPr>
        <w:jc w:val="center"/>
        <w:rPr>
          <w:rFonts w:hint="eastAsia" w:ascii="仿宋_GB2312" w:hAnsi="仿宋_GB2312" w:eastAsia="仿宋_GB2312" w:cs="仿宋_GB2312"/>
          <w:b/>
          <w:color w:val="auto"/>
          <w:sz w:val="32"/>
          <w:szCs w:val="32"/>
          <w:highlight w:val="none"/>
        </w:rPr>
      </w:pPr>
    </w:p>
    <w:p>
      <w:pPr>
        <w:jc w:val="center"/>
        <w:rPr>
          <w:rFonts w:hint="eastAsia" w:ascii="仿宋_GB2312" w:hAnsi="仿宋_GB2312" w:eastAsia="仿宋_GB2312" w:cs="仿宋_GB2312"/>
          <w:b/>
          <w:color w:val="auto"/>
          <w:sz w:val="32"/>
          <w:szCs w:val="32"/>
          <w:highlight w:val="none"/>
        </w:rPr>
      </w:pPr>
    </w:p>
    <w:p>
      <w:pPr>
        <w:jc w:val="center"/>
        <w:rPr>
          <w:rFonts w:hint="eastAsia" w:ascii="仿宋_GB2312" w:hAnsi="仿宋_GB2312" w:eastAsia="仿宋_GB2312" w:cs="仿宋_GB2312"/>
          <w:b/>
          <w:color w:val="auto"/>
          <w:sz w:val="32"/>
          <w:szCs w:val="32"/>
          <w:highlight w:val="none"/>
        </w:rPr>
      </w:pPr>
    </w:p>
    <w:p>
      <w:pPr>
        <w:jc w:val="center"/>
        <w:rPr>
          <w:rFonts w:hint="eastAsia" w:ascii="仿宋_GB2312" w:hAnsi="仿宋_GB2312" w:eastAsia="仿宋_GB2312" w:cs="仿宋_GB2312"/>
          <w:b/>
          <w:bCs w:val="0"/>
          <w:color w:val="auto"/>
          <w:sz w:val="44"/>
          <w:szCs w:val="44"/>
          <w:highlight w:val="none"/>
        </w:rPr>
      </w:pPr>
      <w:r>
        <w:rPr>
          <w:rFonts w:hint="eastAsia" w:ascii="仿宋_GB2312" w:hAnsi="仿宋_GB2312" w:eastAsia="仿宋_GB2312" w:cs="仿宋_GB2312"/>
          <w:b/>
          <w:bCs w:val="0"/>
          <w:color w:val="auto"/>
          <w:sz w:val="44"/>
          <w:szCs w:val="44"/>
          <w:highlight w:val="none"/>
        </w:rPr>
        <w:t>项目名称</w:t>
      </w:r>
    </w:p>
    <w:p>
      <w:pPr>
        <w:jc w:val="center"/>
        <w:rPr>
          <w:rFonts w:hint="eastAsia" w:ascii="仿宋_GB2312" w:hAnsi="仿宋_GB2312" w:eastAsia="仿宋_GB2312" w:cs="仿宋_GB2312"/>
          <w:b/>
          <w:bCs w:val="0"/>
          <w:color w:val="auto"/>
          <w:sz w:val="48"/>
          <w:szCs w:val="48"/>
          <w:highlight w:val="none"/>
        </w:rPr>
      </w:pPr>
    </w:p>
    <w:p>
      <w:pPr>
        <w:rPr>
          <w:rFonts w:hint="eastAsia" w:ascii="仿宋_GB2312" w:hAnsi="仿宋_GB2312" w:eastAsia="仿宋_GB2312" w:cs="仿宋_GB2312"/>
          <w:b/>
          <w:bCs w:val="0"/>
          <w:color w:val="auto"/>
          <w:sz w:val="20"/>
          <w:szCs w:val="20"/>
          <w:highlight w:val="none"/>
        </w:rPr>
      </w:pPr>
    </w:p>
    <w:p>
      <w:pPr>
        <w:rPr>
          <w:rFonts w:hint="eastAsia" w:ascii="仿宋_GB2312" w:hAnsi="仿宋_GB2312" w:eastAsia="仿宋_GB2312" w:cs="仿宋_GB2312"/>
          <w:b/>
          <w:bCs w:val="0"/>
          <w:color w:val="auto"/>
          <w:sz w:val="20"/>
          <w:szCs w:val="20"/>
          <w:highlight w:val="none"/>
        </w:rPr>
      </w:pPr>
    </w:p>
    <w:p>
      <w:pPr>
        <w:rPr>
          <w:rFonts w:hint="eastAsia" w:ascii="仿宋_GB2312" w:hAnsi="仿宋_GB2312" w:eastAsia="仿宋_GB2312" w:cs="仿宋_GB2312"/>
          <w:b/>
          <w:bCs w:val="0"/>
          <w:color w:val="auto"/>
          <w:sz w:val="20"/>
          <w:szCs w:val="20"/>
          <w:highlight w:val="none"/>
        </w:rPr>
      </w:pPr>
    </w:p>
    <w:p>
      <w:pPr>
        <w:rPr>
          <w:rFonts w:hint="eastAsia" w:ascii="仿宋_GB2312" w:hAnsi="仿宋_GB2312" w:eastAsia="仿宋_GB2312" w:cs="仿宋_GB2312"/>
          <w:b/>
          <w:bCs w:val="0"/>
          <w:color w:val="auto"/>
          <w:sz w:val="20"/>
          <w:szCs w:val="20"/>
          <w:highlight w:val="none"/>
        </w:rPr>
      </w:pPr>
    </w:p>
    <w:p>
      <w:pPr>
        <w:jc w:val="center"/>
        <w:rPr>
          <w:rFonts w:hint="eastAsia" w:ascii="仿宋_GB2312" w:hAnsi="仿宋_GB2312" w:eastAsia="仿宋_GB2312" w:cs="仿宋_GB2312"/>
          <w:b/>
          <w:bCs w:val="0"/>
          <w:color w:val="auto"/>
          <w:sz w:val="52"/>
          <w:szCs w:val="52"/>
          <w:highlight w:val="none"/>
        </w:rPr>
      </w:pPr>
      <w:r>
        <w:rPr>
          <w:rFonts w:hint="eastAsia" w:ascii="仿宋_GB2312" w:hAnsi="仿宋_GB2312" w:eastAsia="仿宋_GB2312" w:cs="仿宋_GB2312"/>
          <w:b/>
          <w:bCs w:val="0"/>
          <w:color w:val="auto"/>
          <w:sz w:val="52"/>
          <w:szCs w:val="52"/>
          <w:highlight w:val="none"/>
        </w:rPr>
        <w:t>商务文件</w:t>
      </w:r>
    </w:p>
    <w:p>
      <w:pPr>
        <w:rPr>
          <w:rFonts w:hint="eastAsia" w:ascii="仿宋_GB2312" w:hAnsi="仿宋_GB2312" w:eastAsia="仿宋_GB2312" w:cs="仿宋_GB2312"/>
          <w:color w:val="auto"/>
          <w:sz w:val="28"/>
          <w:szCs w:val="28"/>
          <w:highlight w:val="none"/>
        </w:rPr>
      </w:pPr>
    </w:p>
    <w:p>
      <w:pPr>
        <w:rPr>
          <w:rFonts w:hint="eastAsia" w:ascii="仿宋_GB2312" w:hAnsi="仿宋_GB2312" w:eastAsia="仿宋_GB2312" w:cs="仿宋_GB2312"/>
          <w:color w:val="auto"/>
          <w:sz w:val="28"/>
          <w:szCs w:val="28"/>
          <w:highlight w:val="none"/>
        </w:rPr>
      </w:pPr>
    </w:p>
    <w:p>
      <w:pPr>
        <w:rPr>
          <w:rFonts w:hint="eastAsia" w:ascii="仿宋_GB2312" w:hAnsi="仿宋_GB2312" w:eastAsia="仿宋_GB2312" w:cs="仿宋_GB2312"/>
          <w:color w:val="auto"/>
          <w:sz w:val="28"/>
          <w:szCs w:val="28"/>
          <w:highlight w:val="none"/>
        </w:rPr>
      </w:pPr>
    </w:p>
    <w:p>
      <w:pPr>
        <w:rPr>
          <w:rFonts w:hint="eastAsia" w:ascii="仿宋_GB2312" w:hAnsi="仿宋_GB2312" w:eastAsia="仿宋_GB2312" w:cs="仿宋_GB2312"/>
          <w:color w:val="auto"/>
          <w:sz w:val="28"/>
          <w:szCs w:val="28"/>
          <w:highlight w:val="none"/>
        </w:rPr>
      </w:pPr>
    </w:p>
    <w:p>
      <w:pPr>
        <w:spacing w:line="720" w:lineRule="auto"/>
        <w:rPr>
          <w:rFonts w:hint="eastAsia" w:ascii="仿宋_GB2312" w:hAnsi="仿宋_GB2312" w:eastAsia="仿宋_GB2312" w:cs="仿宋_GB2312"/>
          <w:color w:val="auto"/>
          <w:sz w:val="28"/>
          <w:szCs w:val="28"/>
          <w:highlight w:val="none"/>
        </w:rPr>
      </w:pPr>
    </w:p>
    <w:p>
      <w:pPr>
        <w:spacing w:line="360" w:lineRule="auto"/>
        <w:ind w:firstLine="560" w:firstLineChars="200"/>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投标人：（盖单位章）</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法定代表人或其委托代理人：（签名或盖章）</w:t>
      </w:r>
    </w:p>
    <w:p>
      <w:pPr>
        <w:autoSpaceDE w:val="0"/>
        <w:autoSpaceDN w:val="0"/>
        <w:adjustRightIn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封面格式2：</w:t>
      </w:r>
    </w:p>
    <w:p>
      <w:pPr>
        <w:spacing w:line="400" w:lineRule="exact"/>
        <w:ind w:right="-1359" w:rightChars="-647" w:firstLine="5978" w:firstLineChars="1861"/>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hint="eastAsia" w:ascii="仿宋_GB2312" w:hAnsi="仿宋_GB2312" w:eastAsia="仿宋_GB2312" w:cs="仿宋_GB2312"/>
          <w:b/>
          <w:bCs w:val="0"/>
          <w:color w:val="auto"/>
          <w:sz w:val="44"/>
          <w:szCs w:val="44"/>
          <w:highlight w:val="none"/>
        </w:rPr>
      </w:pPr>
      <w:r>
        <w:rPr>
          <w:rFonts w:hint="eastAsia" w:ascii="仿宋_GB2312" w:hAnsi="仿宋_GB2312" w:eastAsia="仿宋_GB2312" w:cs="仿宋_GB2312"/>
          <w:b/>
          <w:bCs w:val="0"/>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hint="eastAsia" w:ascii="仿宋_GB2312" w:hAnsi="仿宋_GB2312" w:eastAsia="仿宋_GB2312" w:cs="仿宋_GB2312"/>
          <w:b/>
          <w:bCs/>
          <w:color w:val="auto"/>
          <w:sz w:val="52"/>
          <w:szCs w:val="52"/>
          <w:highlight w:val="none"/>
        </w:rPr>
      </w:pPr>
      <w:r>
        <w:rPr>
          <w:rFonts w:hint="eastAsia" w:ascii="仿宋_GB2312" w:hAnsi="仿宋_GB2312" w:eastAsia="仿宋_GB2312" w:cs="仿宋_GB2312"/>
          <w:b/>
          <w:bCs/>
          <w:color w:val="auto"/>
          <w:sz w:val="52"/>
          <w:szCs w:val="52"/>
          <w:highlight w:val="none"/>
        </w:rPr>
        <w:t>技术文件</w:t>
      </w:r>
    </w:p>
    <w:p>
      <w:pPr>
        <w:autoSpaceDE w:val="0"/>
        <w:autoSpaceDN w:val="0"/>
        <w:adjustRightInd w:val="0"/>
        <w:spacing w:line="480" w:lineRule="auto"/>
        <w:rPr>
          <w:rFonts w:hint="eastAsia" w:ascii="仿宋_GB2312" w:hAnsi="仿宋_GB2312" w:eastAsia="仿宋_GB2312" w:cs="仿宋_GB2312"/>
          <w:color w:val="auto"/>
          <w:sz w:val="28"/>
          <w:szCs w:val="28"/>
          <w:highlight w:val="none"/>
        </w:rPr>
      </w:pPr>
    </w:p>
    <w:p>
      <w:pPr>
        <w:spacing w:line="480" w:lineRule="auto"/>
        <w:rPr>
          <w:rFonts w:hint="eastAsia" w:ascii="仿宋_GB2312" w:hAnsi="仿宋_GB2312" w:eastAsia="仿宋_GB2312" w:cs="仿宋_GB2312"/>
          <w:color w:val="auto"/>
          <w:highlight w:val="none"/>
        </w:rPr>
      </w:pPr>
    </w:p>
    <w:p>
      <w:pPr>
        <w:spacing w:line="360" w:lineRule="auto"/>
        <w:ind w:firstLine="560" w:firstLineChars="200"/>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投标人：（盖单位章）</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法定代表人或其委托代理人：（签名或盖章）</w:t>
      </w:r>
    </w:p>
    <w:p>
      <w:pPr>
        <w:autoSpaceDE w:val="0"/>
        <w:autoSpaceDN w:val="0"/>
        <w:adjustRightInd w:val="0"/>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年  月  日</w:t>
      </w:r>
    </w:p>
    <w:p>
      <w:pPr>
        <w:pStyle w:val="8"/>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rPr>
          <w:rFonts w:ascii="黑体" w:hAnsi="宋体" w:cs="黑体"/>
          <w:b/>
          <w:color w:val="auto"/>
          <w:kern w:val="44"/>
          <w:sz w:val="44"/>
          <w:szCs w:val="44"/>
          <w:highlight w:val="none"/>
        </w:rPr>
      </w:pPr>
    </w:p>
    <w:p>
      <w:pPr>
        <w:pStyle w:val="2"/>
        <w:rPr>
          <w:rFonts w:ascii="黑体" w:hAnsi="宋体" w:cs="黑体"/>
          <w:b/>
          <w:color w:val="auto"/>
          <w:kern w:val="44"/>
          <w:sz w:val="44"/>
          <w:szCs w:val="44"/>
          <w:highlight w:val="none"/>
        </w:rPr>
      </w:pPr>
    </w:p>
    <w:p>
      <w:pPr>
        <w:pStyle w:val="2"/>
        <w:rPr>
          <w:rFonts w:ascii="黑体" w:hAnsi="宋体" w:cs="黑体"/>
          <w:b/>
          <w:color w:val="auto"/>
          <w:kern w:val="44"/>
          <w:sz w:val="44"/>
          <w:szCs w:val="44"/>
          <w:highlight w:val="none"/>
        </w:rPr>
      </w:pPr>
    </w:p>
    <w:p>
      <w:pPr>
        <w:pStyle w:val="2"/>
        <w:rPr>
          <w:rFonts w:ascii="黑体" w:hAnsi="宋体" w:cs="黑体"/>
          <w:b/>
          <w:color w:val="auto"/>
          <w:kern w:val="44"/>
          <w:sz w:val="44"/>
          <w:szCs w:val="44"/>
          <w:highlight w:val="none"/>
        </w:rPr>
      </w:pPr>
    </w:p>
    <w:p>
      <w:pPr>
        <w:pStyle w:val="3"/>
        <w:widowControl/>
        <w:spacing w:before="0" w:after="0" w:line="360" w:lineRule="auto"/>
        <w:jc w:val="center"/>
        <w:rPr>
          <w:rFonts w:hint="eastAsia" w:ascii="仿宋_GB2312" w:hAnsi="仿宋_GB2312" w:eastAsia="仿宋_GB2312" w:cs="仿宋_GB2312"/>
          <w:b/>
          <w:bCs w:val="0"/>
          <w:color w:val="auto"/>
          <w:kern w:val="44"/>
          <w:sz w:val="32"/>
          <w:szCs w:val="32"/>
          <w:highlight w:val="none"/>
        </w:rPr>
      </w:pPr>
      <w:r>
        <w:rPr>
          <w:rFonts w:hint="eastAsia" w:ascii="仿宋_GB2312" w:hAnsi="仿宋_GB2312" w:eastAsia="仿宋_GB2312" w:cs="仿宋_GB2312"/>
          <w:b/>
          <w:bCs w:val="0"/>
          <w:color w:val="auto"/>
          <w:kern w:val="44"/>
          <w:sz w:val="32"/>
          <w:szCs w:val="32"/>
          <w:highlight w:val="none"/>
        </w:rPr>
        <w:t>第4章 评标办法</w:t>
      </w:r>
      <w:bookmarkEnd w:id="36"/>
    </w:p>
    <w:p>
      <w:pPr>
        <w:spacing w:line="360" w:lineRule="auto"/>
        <w:ind w:firstLine="482" w:firstLineChars="200"/>
        <w:jc w:val="left"/>
        <w:outlineLvl w:val="1"/>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一、前言</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1.1本项目采取邀请招标选择单位，为保证招标“公开、公平、公正”，根据国家有关招标投标的</w:t>
      </w:r>
      <w:r>
        <w:rPr>
          <w:rFonts w:hint="eastAsia" w:ascii="仿宋_GB2312" w:hAnsi="仿宋_GB2312" w:eastAsia="仿宋_GB2312" w:cs="仿宋_GB2312"/>
          <w:color w:val="auto"/>
          <w:sz w:val="24"/>
          <w:szCs w:val="24"/>
          <w:highlight w:val="none"/>
          <w:lang w:eastAsia="zh-CN"/>
        </w:rPr>
        <w:t>法律法规</w:t>
      </w:r>
      <w:r>
        <w:rPr>
          <w:rFonts w:hint="eastAsia" w:ascii="仿宋_GB2312" w:hAnsi="仿宋_GB2312" w:eastAsia="仿宋_GB2312" w:cs="仿宋_GB2312"/>
          <w:color w:val="auto"/>
          <w:sz w:val="24"/>
          <w:szCs w:val="24"/>
          <w:highlight w:val="none"/>
        </w:rPr>
        <w:t>和方针、政策，制定本评标细则，实行评标的规范化、标准化、科学化。</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  本评标办法仅适用本次招标。</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  本评标办法的解释和修订权属招标人。</w:t>
      </w:r>
    </w:p>
    <w:p>
      <w:pPr>
        <w:spacing w:line="360" w:lineRule="auto"/>
        <w:ind w:firstLine="482" w:firstLineChars="200"/>
        <w:jc w:val="left"/>
        <w:outlineLvl w:val="1"/>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二、评标依据</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评标工作严格执行国家颁布的有关法规，招标文件是投标单位编制投标文件的基础和评标的依据。主要资料和文件包括：</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2.1《中华人民共和国</w:t>
      </w:r>
      <w:r>
        <w:rPr>
          <w:rFonts w:hint="eastAsia" w:ascii="仿宋_GB2312" w:hAnsi="仿宋_GB2312" w:eastAsia="仿宋_GB2312" w:cs="仿宋_GB2312"/>
          <w:color w:val="auto"/>
          <w:sz w:val="24"/>
          <w:szCs w:val="24"/>
          <w:highlight w:val="none"/>
          <w:lang w:eastAsia="zh-CN"/>
        </w:rPr>
        <w:t>民法典</w:t>
      </w:r>
      <w:r>
        <w:rPr>
          <w:rFonts w:hint="eastAsia" w:ascii="仿宋_GB2312" w:hAnsi="仿宋_GB2312" w:eastAsia="仿宋_GB2312" w:cs="仿宋_GB2312"/>
          <w:color w:val="auto"/>
          <w:sz w:val="24"/>
          <w:szCs w:val="24"/>
          <w:highlight w:val="none"/>
        </w:rPr>
        <w:t>》；</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2.2《中华人民共和国招标投标法》；</w:t>
      </w:r>
    </w:p>
    <w:p>
      <w:pPr>
        <w:spacing w:line="360" w:lineRule="auto"/>
        <w:ind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2.3《中华人民共和国招标投标法实施条例》</w:t>
      </w:r>
      <w:r>
        <w:rPr>
          <w:rFonts w:hint="eastAsia" w:ascii="仿宋_GB2312" w:hAnsi="仿宋_GB2312" w:eastAsia="仿宋_GB2312" w:cs="仿宋_GB2312"/>
          <w:color w:val="auto"/>
          <w:sz w:val="24"/>
          <w:szCs w:val="24"/>
          <w:highlight w:val="none"/>
          <w:lang w:eastAsia="zh-CN"/>
        </w:rPr>
        <w:t>；</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2.4七部委第12号令《</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和评标方法暂行规定》；</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2.5《广东省实施〈中华人民共和国招标投标法〉办法》；</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2.6《广东省加强建设工程招标投标监督管理的若干规定》；</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2.7本招标项目的招标文件、评标办法及其补充通知；</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2.8投标文件及澄清问题书面资料；</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2.9国家、省、市各级行政主管部门颁发的其他有关招投标相关法律法规。</w:t>
      </w:r>
    </w:p>
    <w:p>
      <w:pPr>
        <w:spacing w:line="360" w:lineRule="auto"/>
        <w:ind w:firstLine="482" w:firstLineChars="200"/>
        <w:jc w:val="left"/>
        <w:outlineLvl w:val="1"/>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三、评标人员守则</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_GB2312" w:hAnsi="仿宋_GB2312" w:eastAsia="仿宋_GB2312" w:cs="仿宋_GB2312"/>
          <w:color w:val="auto"/>
          <w:sz w:val="24"/>
          <w:szCs w:val="24"/>
          <w:highlight w:val="none"/>
          <w:lang w:eastAsia="zh-CN"/>
        </w:rPr>
        <w:t>广州</w:t>
      </w:r>
      <w:r>
        <w:rPr>
          <w:rFonts w:hint="eastAsia" w:ascii="仿宋_GB2312" w:hAnsi="仿宋_GB2312" w:eastAsia="仿宋_GB2312" w:cs="仿宋_GB2312"/>
          <w:color w:val="auto"/>
          <w:sz w:val="24"/>
          <w:szCs w:val="24"/>
          <w:highlight w:val="none"/>
        </w:rPr>
        <w:t>市公共资源交易中心备案；情节严重，构成犯罪的，由司法机关依法追究其刑事责任。</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全体参与评标人员：</w:t>
      </w:r>
    </w:p>
    <w:p>
      <w:pPr>
        <w:numPr>
          <w:ilvl w:val="0"/>
          <w:numId w:val="2"/>
        </w:num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必须遵守评标纪律、不得泄密；</w:t>
      </w:r>
    </w:p>
    <w:p>
      <w:pPr>
        <w:numPr>
          <w:ilvl w:val="0"/>
          <w:numId w:val="2"/>
        </w:num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必须公正、不得</w:t>
      </w:r>
      <w:r>
        <w:rPr>
          <w:rFonts w:hint="eastAsia" w:ascii="仿宋_GB2312" w:hAnsi="仿宋_GB2312" w:eastAsia="仿宋_GB2312" w:cs="仿宋_GB2312"/>
          <w:color w:val="auto"/>
          <w:sz w:val="24"/>
          <w:szCs w:val="24"/>
          <w:highlight w:val="none"/>
          <w:lang w:eastAsia="zh-CN"/>
        </w:rPr>
        <w:t>徇私</w:t>
      </w:r>
      <w:r>
        <w:rPr>
          <w:rFonts w:hint="eastAsia" w:ascii="仿宋_GB2312" w:hAnsi="仿宋_GB2312" w:eastAsia="仿宋_GB2312" w:cs="仿宋_GB2312"/>
          <w:color w:val="auto"/>
          <w:sz w:val="24"/>
          <w:szCs w:val="24"/>
          <w:highlight w:val="none"/>
        </w:rPr>
        <w:t>；</w:t>
      </w:r>
    </w:p>
    <w:p>
      <w:pPr>
        <w:numPr>
          <w:ilvl w:val="0"/>
          <w:numId w:val="2"/>
        </w:num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必须科学、不得草率；</w:t>
      </w:r>
    </w:p>
    <w:p>
      <w:pPr>
        <w:numPr>
          <w:ilvl w:val="0"/>
          <w:numId w:val="2"/>
        </w:num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必须客观、不得带有成见；</w:t>
      </w:r>
    </w:p>
    <w:p>
      <w:pPr>
        <w:numPr>
          <w:ilvl w:val="0"/>
          <w:numId w:val="2"/>
        </w:num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必须平等、不得强加于人；</w:t>
      </w:r>
    </w:p>
    <w:p>
      <w:pPr>
        <w:numPr>
          <w:ilvl w:val="0"/>
          <w:numId w:val="2"/>
        </w:num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必须严谨、不得随意马虎。</w:t>
      </w:r>
    </w:p>
    <w:p>
      <w:pPr>
        <w:spacing w:line="360" w:lineRule="auto"/>
        <w:ind w:firstLine="482" w:firstLineChars="200"/>
        <w:jc w:val="left"/>
        <w:outlineLvl w:val="1"/>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四、评标机构</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招标人依法组建</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w:t>
      </w:r>
    </w:p>
    <w:p>
      <w:pPr>
        <w:spacing w:line="360" w:lineRule="auto"/>
        <w:ind w:firstLine="482" w:firstLineChars="200"/>
        <w:jc w:val="left"/>
        <w:outlineLvl w:val="1"/>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五、开标、评标、定标办法</w:t>
      </w:r>
    </w:p>
    <w:p>
      <w:pPr>
        <w:pStyle w:val="8"/>
        <w:widowControl/>
        <w:spacing w:line="360" w:lineRule="auto"/>
        <w:ind w:firstLine="482" w:firstLineChars="200"/>
        <w:rPr>
          <w:rFonts w:hint="eastAsia" w:ascii="仿宋_GB2312" w:hAnsi="仿宋_GB2312" w:eastAsia="仿宋_GB2312" w:cs="仿宋_GB2312"/>
          <w:b/>
          <w:color w:val="auto"/>
          <w:sz w:val="24"/>
          <w:szCs w:val="24"/>
          <w:highlight w:val="none"/>
          <w:lang w:eastAsia="zh-CN"/>
        </w:rPr>
      </w:pPr>
      <w:r>
        <w:rPr>
          <w:rFonts w:ascii="仿宋_GB2312" w:hAnsi="仿宋_GB2312" w:eastAsia="仿宋_GB2312" w:cs="仿宋_GB2312"/>
          <w:b/>
          <w:color w:val="auto"/>
          <w:sz w:val="24"/>
          <w:szCs w:val="24"/>
          <w:highlight w:val="none"/>
        </w:rPr>
        <w:t>5.1</w:t>
      </w:r>
      <w:r>
        <w:rPr>
          <w:rFonts w:hint="eastAsia" w:ascii="仿宋_GB2312" w:hAnsi="仿宋_GB2312" w:eastAsia="仿宋_GB2312" w:cs="仿宋_GB2312"/>
          <w:b/>
          <w:color w:val="auto"/>
          <w:sz w:val="24"/>
          <w:szCs w:val="24"/>
          <w:highlight w:val="none"/>
          <w:lang w:val="en-US" w:eastAsia="zh-CN"/>
        </w:rPr>
        <w:t xml:space="preserve">  </w:t>
      </w:r>
      <w:r>
        <w:rPr>
          <w:rFonts w:hint="eastAsia" w:ascii="仿宋_GB2312" w:hAnsi="仿宋_GB2312" w:eastAsia="仿宋_GB2312" w:cs="仿宋_GB2312"/>
          <w:b/>
          <w:color w:val="auto"/>
          <w:sz w:val="24"/>
          <w:szCs w:val="24"/>
          <w:highlight w:val="none"/>
          <w:lang w:eastAsia="zh-CN"/>
        </w:rPr>
        <w:t>评标小组</w:t>
      </w:r>
    </w:p>
    <w:p>
      <w:pPr>
        <w:pStyle w:val="8"/>
        <w:widowControl/>
        <w:spacing w:line="360" w:lineRule="auto"/>
        <w:ind w:firstLine="480" w:firstLineChars="200"/>
        <w:rPr>
          <w:rFonts w:hint="eastAsia"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 xml:space="preserve">5.1.1  </w:t>
      </w:r>
      <w:r>
        <w:rPr>
          <w:rFonts w:hint="eastAsia" w:ascii="仿宋_GB2312" w:hAnsi="仿宋_GB2312" w:eastAsia="仿宋_GB2312" w:cs="仿宋_GB2312"/>
          <w:color w:val="auto"/>
          <w:sz w:val="24"/>
          <w:szCs w:val="24"/>
          <w:highlight w:val="none"/>
          <w:lang w:eastAsia="zh-CN"/>
        </w:rPr>
        <w:t>评标小组</w:t>
      </w:r>
      <w:r>
        <w:rPr>
          <w:rFonts w:ascii="仿宋_GB2312" w:hAnsi="仿宋_GB2312" w:eastAsia="仿宋_GB2312" w:cs="仿宋_GB2312"/>
          <w:color w:val="auto"/>
          <w:sz w:val="24"/>
          <w:szCs w:val="24"/>
          <w:highlight w:val="none"/>
        </w:rPr>
        <w:t>由招标人依法组建的5名专家组成。</w:t>
      </w:r>
    </w:p>
    <w:p>
      <w:pPr>
        <w:pStyle w:val="8"/>
        <w:widowControl/>
        <w:spacing w:line="360" w:lineRule="auto"/>
        <w:ind w:firstLine="480" w:firstLineChars="200"/>
        <w:rPr>
          <w:rFonts w:hint="eastAsia"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 xml:space="preserve">5.1.2  </w:t>
      </w:r>
      <w:r>
        <w:rPr>
          <w:rFonts w:hint="eastAsia" w:ascii="仿宋_GB2312" w:hAnsi="仿宋_GB2312" w:eastAsia="仿宋_GB2312" w:cs="仿宋_GB2312"/>
          <w:color w:val="auto"/>
          <w:sz w:val="24"/>
          <w:szCs w:val="24"/>
          <w:highlight w:val="none"/>
          <w:lang w:eastAsia="zh-CN"/>
        </w:rPr>
        <w:t>评标小组</w:t>
      </w:r>
      <w:r>
        <w:rPr>
          <w:rFonts w:ascii="仿宋_GB2312" w:hAnsi="仿宋_GB2312" w:eastAsia="仿宋_GB2312" w:cs="仿宋_GB2312"/>
          <w:color w:val="auto"/>
          <w:sz w:val="24"/>
          <w:szCs w:val="24"/>
          <w:highlight w:val="none"/>
        </w:rPr>
        <w:t>推举产生1名评标组长，主持评审工作，评标组长与其他成员有同等表决权。</w:t>
      </w:r>
    </w:p>
    <w:p>
      <w:pPr>
        <w:spacing w:line="360"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5.2  评标原则</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5.2.1  </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根据招标文件规定的评标标准和方法，对投标文件进行评审和比较，招标文件中没有规定的标准和方法不得作为评标的依据。</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5.2.2  在符合招标文件规定的前提下，</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主要对投标文件进行评议。</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5.2.3  开标、评标过程发现的问题和产生的纠纷，由</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负责裁决。裁决前，</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5.2.4  评标讨论过程中，</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成员应当对投标文件发表专业、客观、公正的意见，意见不一致的应</w:t>
      </w:r>
      <w:r>
        <w:rPr>
          <w:rFonts w:hint="eastAsia" w:ascii="仿宋_GB2312" w:hAnsi="仿宋_GB2312" w:eastAsia="仿宋_GB2312" w:cs="仿宋_GB2312"/>
          <w:color w:val="auto"/>
          <w:sz w:val="24"/>
          <w:szCs w:val="24"/>
          <w:highlight w:val="none"/>
          <w:lang w:eastAsia="zh-CN"/>
        </w:rPr>
        <w:t>做</w:t>
      </w:r>
      <w:r>
        <w:rPr>
          <w:rFonts w:hint="eastAsia" w:ascii="仿宋_GB2312" w:hAnsi="仿宋_GB2312" w:eastAsia="仿宋_GB2312" w:cs="仿宋_GB2312"/>
          <w:color w:val="auto"/>
          <w:sz w:val="24"/>
          <w:szCs w:val="24"/>
          <w:highlight w:val="none"/>
        </w:rPr>
        <w:t>进一步核实和讨论。</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成员对任何一个投标文件的质疑，应当在讨论或现场讲解时提出，表决结果公布后才提出的质疑，不可作为改变表决结果的依据。</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5.2.5  如果少数投标人超越招标文件要求提交了模型、演示动画、特殊规格展示图纸或发生其他特殊情况，</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对超越招标文件要求的内容不进行评审，只评审该投标文件符合要求的内容。</w:t>
      </w:r>
    </w:p>
    <w:p>
      <w:pPr>
        <w:spacing w:line="360"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5.3    评标办法采用</w:t>
      </w:r>
      <w:r>
        <w:rPr>
          <w:rFonts w:hint="eastAsia" w:ascii="仿宋_GB2312" w:hAnsi="仿宋_GB2312" w:eastAsia="仿宋_GB2312" w:cs="仿宋_GB2312"/>
          <w:b/>
          <w:color w:val="auto"/>
          <w:sz w:val="24"/>
          <w:szCs w:val="24"/>
          <w:highlight w:val="none"/>
          <w:u w:val="single"/>
        </w:rPr>
        <w:t>综合评分法评标</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5.3.1  开标评标程序</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（1）投标人递交投标文件。</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（2）对投标文件公开开标。</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（3）对投标文件进行符合性审查，并对通过符合性审查的投标文件进行综合评分。</w:t>
      </w:r>
    </w:p>
    <w:p>
      <w:pPr>
        <w:spacing w:line="360" w:lineRule="auto"/>
        <w:ind w:firstLine="480"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（4）汇总投标人的综合得分，推荐中标候选人并编写评标报告。</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5.3.2  详细评审步骤</w:t>
      </w:r>
    </w:p>
    <w:p>
      <w:pPr>
        <w:snapToGrid w:val="0"/>
        <w:spacing w:line="360" w:lineRule="auto"/>
        <w:ind w:left="0" w:leftChars="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专家首先按附件1《符合性审查表》对各投标文件进行评审，只有通过符合性审查的投标文件方可进入下一阶段的评审。如果有符合性审查不通过提议，则</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成员共同表决，按照少数服从多数的原则决定是否通过符合性审查。</w:t>
      </w:r>
    </w:p>
    <w:p>
      <w:pPr>
        <w:spacing w:line="360" w:lineRule="auto"/>
        <w:ind w:left="0" w:leftChars="0"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专家计算各投标人的综合得分</w:t>
      </w:r>
      <w:r>
        <w:rPr>
          <w:rFonts w:hint="eastAsia" w:ascii="仿宋_GB2312" w:hAnsi="仿宋_GB2312" w:eastAsia="仿宋_GB2312" w:cs="仿宋_GB2312"/>
          <w:color w:val="auto"/>
          <w:sz w:val="24"/>
          <w:szCs w:val="24"/>
          <w:highlight w:val="none"/>
          <w:lang w:eastAsia="zh-CN"/>
        </w:rPr>
        <w:t>。</w:t>
      </w:r>
    </w:p>
    <w:p>
      <w:pPr>
        <w:spacing w:line="360" w:lineRule="auto"/>
        <w:ind w:left="0" w:leftChars="0"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编写、签署评标报告，向招标人推荐综合得分最高的前三名中标候选方案（中标候选人）并标明排列顺序，评标报告由</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全体成员签名，对评标结论持有异议的</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成员可以书面方式阐述其不同意见和理由。</w:t>
      </w:r>
    </w:p>
    <w:p>
      <w:pPr>
        <w:spacing w:line="360" w:lineRule="auto"/>
        <w:ind w:firstLine="482" w:firstLineChars="20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5.4   定标</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5.4.1  招标人在</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推荐的候选方案中确定中标方案。但是，招标人认为</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推荐的候选方案不能最大限度满足招标文件规定的要求的，依法重新招标。</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5.4.2  招标人采用下面方法确定中标人：</w:t>
      </w:r>
    </w:p>
    <w:p>
      <w:pPr>
        <w:spacing w:line="360" w:lineRule="auto"/>
        <w:ind w:left="559" w:leftChars="266"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招标人委托</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直接确定中标人；</w:t>
      </w:r>
    </w:p>
    <w:p>
      <w:pPr>
        <w:spacing w:line="360" w:lineRule="auto"/>
        <w:ind w:left="0" w:leftChars="0" w:firstLine="482" w:firstLineChars="200"/>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color w:val="auto"/>
          <w:kern w:val="0"/>
          <w:sz w:val="24"/>
          <w:szCs w:val="24"/>
          <w:highlight w:val="none"/>
        </w:rPr>
        <w:t>√</w:t>
      </w:r>
      <w:r>
        <w:rPr>
          <w:rFonts w:hint="eastAsia" w:ascii="仿宋_GB2312" w:hAnsi="仿宋_GB2312" w:eastAsia="仿宋_GB2312" w:cs="仿宋_GB2312"/>
          <w:b w:val="0"/>
          <w:bCs/>
          <w:color w:val="auto"/>
          <w:kern w:val="0"/>
          <w:sz w:val="24"/>
          <w:szCs w:val="24"/>
          <w:highlight w:val="none"/>
          <w:lang w:eastAsia="zh-CN"/>
        </w:rPr>
        <w:t>（</w:t>
      </w:r>
      <w:r>
        <w:rPr>
          <w:rFonts w:hint="eastAsia" w:ascii="仿宋_GB2312" w:hAnsi="仿宋_GB2312" w:eastAsia="仿宋_GB2312" w:cs="仿宋_GB2312"/>
          <w:b w:val="0"/>
          <w:bCs/>
          <w:color w:val="auto"/>
          <w:kern w:val="0"/>
          <w:sz w:val="24"/>
          <w:szCs w:val="24"/>
          <w:highlight w:val="none"/>
          <w:lang w:val="en-US" w:eastAsia="zh-CN"/>
        </w:rPr>
        <w:t>2</w:t>
      </w:r>
      <w:r>
        <w:rPr>
          <w:rFonts w:hint="eastAsia" w:ascii="仿宋_GB2312" w:hAnsi="仿宋_GB2312" w:eastAsia="仿宋_GB2312" w:cs="仿宋_GB2312"/>
          <w:b w:val="0"/>
          <w:bCs/>
          <w:color w:val="auto"/>
          <w:kern w:val="0"/>
          <w:sz w:val="24"/>
          <w:szCs w:val="24"/>
          <w:highlight w:val="none"/>
          <w:lang w:eastAsia="zh-CN"/>
        </w:rPr>
        <w:t>）</w:t>
      </w:r>
      <w:r>
        <w:rPr>
          <w:rFonts w:hint="eastAsia" w:ascii="仿宋_GB2312" w:hAnsi="仿宋_GB2312" w:eastAsia="仿宋_GB2312" w:cs="仿宋_GB2312"/>
          <w:color w:val="auto"/>
          <w:sz w:val="24"/>
          <w:szCs w:val="24"/>
          <w:highlight w:val="none"/>
        </w:rPr>
        <w:t>确定</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推荐的排名第一的中标候选人为中标人。如排名第一的中标候选人放弃中标或因招标人拒绝</w:t>
      </w:r>
      <w:r>
        <w:rPr>
          <w:rFonts w:hint="eastAsia" w:ascii="仿宋_GB2312" w:hAnsi="仿宋_GB2312" w:eastAsia="仿宋_GB2312" w:cs="仿宋_GB2312"/>
          <w:color w:val="auto"/>
          <w:sz w:val="24"/>
          <w:szCs w:val="24"/>
          <w:highlight w:val="none"/>
          <w:lang w:eastAsia="zh-CN"/>
        </w:rPr>
        <w:t>投标</w:t>
      </w:r>
      <w:r>
        <w:rPr>
          <w:rFonts w:hint="eastAsia" w:ascii="仿宋_GB2312" w:hAnsi="仿宋_GB2312" w:eastAsia="仿宋_GB2312" w:cs="仿宋_GB2312"/>
          <w:color w:val="auto"/>
          <w:sz w:val="24"/>
          <w:szCs w:val="24"/>
          <w:highlight w:val="none"/>
        </w:rPr>
        <w:t>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_GB2312" w:hAnsi="仿宋_GB2312" w:eastAsia="仿宋_GB2312" w:cs="仿宋_GB2312"/>
          <w:color w:val="auto"/>
          <w:sz w:val="24"/>
          <w:szCs w:val="24"/>
          <w:highlight w:val="none"/>
          <w:u w:val="none"/>
        </w:rPr>
        <w:t>，也可以重新招标</w:t>
      </w:r>
      <w:r>
        <w:rPr>
          <w:rFonts w:hint="eastAsia" w:ascii="仿宋_GB2312" w:hAnsi="仿宋_GB2312" w:eastAsia="仿宋_GB2312" w:cs="仿宋_GB2312"/>
          <w:color w:val="auto"/>
          <w:sz w:val="24"/>
          <w:szCs w:val="24"/>
          <w:highlight w:val="none"/>
        </w:rPr>
        <w:t>。以此类推，如所有中标候选人均出现前款所列的情形，为招标失败，招标人依法重新招标。</w:t>
      </w:r>
    </w:p>
    <w:p>
      <w:pPr>
        <w:spacing w:line="360"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5.5  发生下列情形之一的，招标人将重新组织招标：</w:t>
      </w:r>
    </w:p>
    <w:p>
      <w:pPr>
        <w:pStyle w:val="8"/>
        <w:widowControl/>
        <w:spacing w:line="360" w:lineRule="auto"/>
        <w:ind w:firstLine="480" w:firstLineChars="200"/>
        <w:jc w:val="left"/>
        <w:rPr>
          <w:rFonts w:hint="eastAsia"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若本项目经评审有效的投标人不足3名时，本次招标失败，招标人应当依法重新组织招标。</w:t>
      </w:r>
    </w:p>
    <w:p>
      <w:pPr>
        <w:spacing w:line="360"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5.6 授予合同</w:t>
      </w:r>
    </w:p>
    <w:p>
      <w:pPr>
        <w:pStyle w:val="8"/>
        <w:widowControl/>
        <w:spacing w:line="360" w:lineRule="auto"/>
        <w:ind w:firstLine="480" w:firstLineChars="200"/>
        <w:jc w:val="left"/>
        <w:rPr>
          <w:rFonts w:hint="eastAsia"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5.6.1  招标人将合同授予中标人，合同在投标有效期或投标人接受的延长期内授出。</w:t>
      </w:r>
    </w:p>
    <w:p>
      <w:pPr>
        <w:pStyle w:val="8"/>
        <w:widowControl/>
        <w:spacing w:line="360" w:lineRule="auto"/>
        <w:ind w:firstLine="480" w:firstLineChars="200"/>
        <w:jc w:val="left"/>
        <w:rPr>
          <w:rFonts w:hint="eastAsia"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5.6.2  中标人必须签署并执行招标文件规定的合同条件。</w:t>
      </w:r>
    </w:p>
    <w:p>
      <w:pPr>
        <w:spacing w:line="360" w:lineRule="auto"/>
        <w:ind w:firstLine="482" w:firstLineChars="200"/>
        <w:jc w:val="left"/>
        <w:outlineLvl w:val="1"/>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六、开标细则</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6.1开标由招标人或招标代理机构主持；</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 由投标人或其推选的代表检查投标文件的密封情况，也可以由招标人委托的公证机构检查并公证；</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6.3 投标截止期前，各投标人递交投标文件至招标文件规定的投标地点。有关投标文件提交的事项详见招标文件第一章“投标须知”。</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 开标时，由招标人或招标代理机构在监督人员的见证下当众拆封，宣读</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a、投标人名称；b、标书密封情况；c、法定代表人证明及授权委托；d、项目负责人名称；e、投标报价等主要内容以及开标记录表中的其他必要内容，并予以记录，记录提交</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评审。</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6.5  招标人对开标过程进行记录，并存档备查，投标人在开标记录上签字。唱标结束后如未签字确认，则视为对开标结果无异议。</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6.6  招标人将上述符合要求的投标文件，送至</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进行评审。</w:t>
      </w:r>
    </w:p>
    <w:p>
      <w:pPr>
        <w:spacing w:line="360" w:lineRule="auto"/>
        <w:ind w:firstLine="482" w:firstLineChars="200"/>
        <w:jc w:val="left"/>
        <w:outlineLvl w:val="1"/>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七、评标</w:t>
      </w:r>
    </w:p>
    <w:p>
      <w:pPr>
        <w:snapToGrid w:val="0"/>
        <w:spacing w:line="360"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7.1  评标过程</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本次招标评标分“符合性审查”“综合评分”两部分进行评审。收标后，全部评标过程将按以下阶段和步骤进行：</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7.1.1 </w:t>
      </w:r>
      <w:r>
        <w:rPr>
          <w:rFonts w:hint="eastAsia" w:ascii="仿宋_GB2312" w:hAnsi="仿宋_GB2312" w:eastAsia="仿宋_GB2312" w:cs="仿宋_GB2312"/>
          <w:color w:val="auto"/>
          <w:sz w:val="24"/>
          <w:szCs w:val="24"/>
          <w:highlight w:val="none"/>
        </w:rPr>
        <w:t>第一步：进行投标文件符合性审查；</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依据有关</w:t>
      </w:r>
      <w:r>
        <w:rPr>
          <w:rFonts w:hint="eastAsia" w:ascii="仿宋_GB2312" w:hAnsi="仿宋_GB2312" w:eastAsia="仿宋_GB2312" w:cs="仿宋_GB2312"/>
          <w:color w:val="auto"/>
          <w:sz w:val="24"/>
          <w:szCs w:val="24"/>
          <w:highlight w:val="none"/>
          <w:lang w:eastAsia="zh-CN"/>
        </w:rPr>
        <w:t>法律法规</w:t>
      </w:r>
      <w:r>
        <w:rPr>
          <w:rFonts w:hint="eastAsia" w:ascii="仿宋_GB2312" w:hAnsi="仿宋_GB2312" w:eastAsia="仿宋_GB2312" w:cs="仿宋_GB2312"/>
          <w:color w:val="auto"/>
          <w:sz w:val="24"/>
          <w:szCs w:val="24"/>
          <w:highlight w:val="none"/>
        </w:rPr>
        <w:t>和招标文件的规定对投标文件进行评审，若本项目经评审有效的投标人不足3名时，本次招标失败，招标人应当依法重新组织招标。</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7.1.</w:t>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第二步：专家对综合评分表进行打分；</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7.1.</w:t>
      </w: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第三步：</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完成评标报告，向招标人推荐中标候选人。</w:t>
      </w:r>
    </w:p>
    <w:p>
      <w:pPr>
        <w:snapToGrid w:val="0"/>
        <w:spacing w:line="360"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7.2  投标文件的符合性审查</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7.2.1</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根据附件1“符合性审查表”进行评审。投标文件全部列于附件1《符合性审查表》中情形的，为通过符合性审查。否则其投标文件将被否决。如</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成员的评审意见不一致时，以</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过半数成员的意见作为</w:t>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对该情形的认定结论。</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7.2.2</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lang w:eastAsia="zh-CN"/>
        </w:rPr>
        <w:t>评标小组</w:t>
      </w:r>
      <w:r>
        <w:rPr>
          <w:rFonts w:hint="eastAsia" w:ascii="仿宋_GB2312" w:hAnsi="仿宋_GB2312" w:eastAsia="仿宋_GB2312" w:cs="仿宋_GB2312"/>
          <w:color w:val="auto"/>
          <w:sz w:val="24"/>
          <w:szCs w:val="24"/>
          <w:highlight w:val="none"/>
        </w:rPr>
        <w:t>对所有投标作否决处理的，招标人应当重新招标。</w:t>
      </w:r>
    </w:p>
    <w:p>
      <w:pPr>
        <w:snapToGrid w:val="0"/>
        <w:spacing w:line="360"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 xml:space="preserve">7.4  计算投标人总得分（满分为100分） </w:t>
      </w:r>
    </w:p>
    <w:p>
      <w:pPr>
        <w:snapToGrid w:val="0"/>
        <w:spacing w:line="360"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7.5  推荐中标候选人</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以上评审完成后，按以下规定推荐第一中标候选人、第二中标候选人和第三中标候选人：</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7.5.1按投标人总得分高低进行先后排序，取评分最高者为第一中标候选人，次高者为第二中标候选人，依次类推。</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7.5.2</w:t>
      </w:r>
      <w:r>
        <w:rPr>
          <w:rFonts w:hint="eastAsia" w:ascii="仿宋_GB2312" w:hAnsi="仿宋_GB2312" w:eastAsia="仿宋_GB2312" w:cs="仿宋_GB2312"/>
          <w:color w:val="auto"/>
          <w:sz w:val="24"/>
          <w:szCs w:val="24"/>
          <w:highlight w:val="none"/>
          <w:u w:val="none"/>
        </w:rPr>
        <w:t>若出现得分相同的单位，按报价低者排前的原则，若报价亦一致的，由评标</w:t>
      </w:r>
      <w:r>
        <w:rPr>
          <w:rFonts w:hint="eastAsia" w:ascii="仿宋_GB2312" w:hAnsi="仿宋_GB2312" w:eastAsia="仿宋_GB2312" w:cs="仿宋_GB2312"/>
          <w:color w:val="auto"/>
          <w:sz w:val="24"/>
          <w:szCs w:val="24"/>
          <w:highlight w:val="none"/>
          <w:u w:val="none"/>
          <w:lang w:eastAsia="zh-CN"/>
        </w:rPr>
        <w:t>小组</w:t>
      </w:r>
      <w:r>
        <w:rPr>
          <w:rFonts w:hint="eastAsia" w:ascii="仿宋_GB2312" w:hAnsi="仿宋_GB2312" w:eastAsia="仿宋_GB2312" w:cs="仿宋_GB2312"/>
          <w:color w:val="auto"/>
          <w:sz w:val="24"/>
          <w:szCs w:val="24"/>
          <w:highlight w:val="none"/>
          <w:u w:val="none"/>
        </w:rPr>
        <w:t>采用记名投票方式，确定其排序</w:t>
      </w:r>
      <w:r>
        <w:rPr>
          <w:rFonts w:hint="eastAsia" w:ascii="仿宋_GB2312" w:hAnsi="仿宋_GB2312" w:eastAsia="仿宋_GB2312" w:cs="仿宋_GB2312"/>
          <w:color w:val="auto"/>
          <w:sz w:val="24"/>
          <w:szCs w:val="24"/>
          <w:highlight w:val="none"/>
        </w:rPr>
        <w:t>。</w:t>
      </w:r>
    </w:p>
    <w:p>
      <w:pPr>
        <w:snapToGrid w:val="0"/>
        <w:spacing w:line="360"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7.6 确定中标人</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7.6.</w:t>
      </w: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 xml:space="preserve"> 招标人依据评标报告审定本项目的中标人。</w:t>
      </w:r>
    </w:p>
    <w:p>
      <w:pPr>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7.6.</w:t>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7.7招标人将参照以下原则进行本项目中标人的替换：</w:t>
      </w:r>
    </w:p>
    <w:p>
      <w:pPr>
        <w:numPr>
          <w:ilvl w:val="-1"/>
          <w:numId w:val="0"/>
        </w:numPr>
        <w:snapToGrid w:val="0"/>
        <w:spacing w:line="360" w:lineRule="auto"/>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7.7.1 </w:t>
      </w:r>
      <w:r>
        <w:rPr>
          <w:rFonts w:hint="eastAsia" w:ascii="仿宋_GB2312" w:hAnsi="仿宋_GB2312" w:eastAsia="仿宋_GB2312" w:cs="仿宋_GB2312"/>
          <w:color w:val="auto"/>
          <w:sz w:val="24"/>
          <w:szCs w:val="24"/>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_GB2312" w:hAnsi="仿宋_GB2312" w:eastAsia="仿宋_GB2312" w:cs="仿宋_GB2312"/>
          <w:color w:val="auto"/>
          <w:sz w:val="24"/>
          <w:szCs w:val="24"/>
          <w:highlight w:val="none"/>
          <w:lang w:eastAsia="zh-CN"/>
        </w:rPr>
        <w:t>，或重新招标</w:t>
      </w:r>
      <w:r>
        <w:rPr>
          <w:rFonts w:hint="eastAsia" w:ascii="仿宋_GB2312" w:hAnsi="仿宋_GB2312" w:eastAsia="仿宋_GB2312" w:cs="仿宋_GB2312"/>
          <w:color w:val="auto"/>
          <w:sz w:val="24"/>
          <w:szCs w:val="24"/>
          <w:highlight w:val="none"/>
        </w:rPr>
        <w:t>。</w:t>
      </w:r>
    </w:p>
    <w:p>
      <w:pPr>
        <w:numPr>
          <w:ilvl w:val="-1"/>
          <w:numId w:val="0"/>
        </w:numPr>
        <w:snapToGrid w:val="0"/>
        <w:spacing w:line="360" w:lineRule="auto"/>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7.7.2</w:t>
      </w:r>
      <w:r>
        <w:rPr>
          <w:rFonts w:hint="eastAsia" w:ascii="仿宋_GB2312" w:hAnsi="仿宋_GB2312" w:eastAsia="仿宋_GB2312" w:cs="仿宋_GB2312"/>
          <w:color w:val="auto"/>
          <w:sz w:val="24"/>
          <w:szCs w:val="24"/>
          <w:highlight w:val="none"/>
        </w:rPr>
        <w:t>当中标人以正式的书面函件形式申请放弃中标资格时，招标人可取消其中标人资格，解除与中标人的合同关系，并按照中标候选人顺序依次选取新的中标人</w:t>
      </w:r>
      <w:r>
        <w:rPr>
          <w:rFonts w:hint="eastAsia" w:ascii="仿宋_GB2312" w:hAnsi="仿宋_GB2312" w:eastAsia="仿宋_GB2312" w:cs="仿宋_GB2312"/>
          <w:color w:val="auto"/>
          <w:sz w:val="24"/>
          <w:szCs w:val="24"/>
          <w:highlight w:val="none"/>
          <w:lang w:eastAsia="zh-CN"/>
        </w:rPr>
        <w:t>，或重新招标</w:t>
      </w:r>
      <w:r>
        <w:rPr>
          <w:rFonts w:hint="eastAsia" w:ascii="仿宋_GB2312" w:hAnsi="仿宋_GB2312" w:eastAsia="仿宋_GB2312" w:cs="仿宋_GB2312"/>
          <w:color w:val="auto"/>
          <w:sz w:val="24"/>
          <w:szCs w:val="24"/>
          <w:highlight w:val="none"/>
        </w:rPr>
        <w:t>。</w:t>
      </w:r>
    </w:p>
    <w:p>
      <w:pPr>
        <w:snapToGrid/>
        <w:spacing w:line="360" w:lineRule="auto"/>
        <w:ind w:firstLine="482" w:firstLineChars="200"/>
        <w:jc w:val="left"/>
        <w:rPr>
          <w:rFonts w:hint="eastAsia" w:ascii="仿宋_GB2312" w:hAnsi="仿宋_GB2312" w:eastAsia="仿宋_GB2312" w:cs="仿宋_GB2312"/>
          <w:b/>
          <w:color w:val="auto"/>
          <w:kern w:val="44"/>
          <w:sz w:val="24"/>
          <w:szCs w:val="24"/>
          <w:highlight w:val="none"/>
        </w:rPr>
      </w:pPr>
      <w:bookmarkStart w:id="37" w:name="_Toc26593"/>
      <w:r>
        <w:rPr>
          <w:rFonts w:hint="eastAsia" w:ascii="仿宋_GB2312" w:hAnsi="仿宋_GB2312" w:eastAsia="仿宋_GB2312" w:cs="仿宋_GB2312"/>
          <w:b/>
          <w:color w:val="auto"/>
          <w:kern w:val="44"/>
          <w:sz w:val="24"/>
          <w:szCs w:val="24"/>
          <w:highlight w:val="none"/>
        </w:rPr>
        <w:br w:type="page"/>
      </w:r>
    </w:p>
    <w:p>
      <w:pPr>
        <w:snapToGrid w:val="0"/>
        <w:spacing w:line="360" w:lineRule="auto"/>
        <w:ind w:firstLine="482" w:firstLineChars="150"/>
        <w:jc w:val="center"/>
        <w:rPr>
          <w:rFonts w:hint="eastAsia" w:ascii="仿宋_GB2312" w:hAnsi="仿宋_GB2312" w:eastAsia="仿宋_GB2312" w:cs="仿宋_GB2312"/>
          <w:b/>
          <w:color w:val="auto"/>
          <w:kern w:val="44"/>
          <w:sz w:val="32"/>
          <w:szCs w:val="32"/>
          <w:highlight w:val="none"/>
        </w:rPr>
      </w:pPr>
      <w:r>
        <w:rPr>
          <w:rFonts w:hint="eastAsia" w:ascii="仿宋_GB2312" w:hAnsi="仿宋_GB2312" w:eastAsia="仿宋_GB2312" w:cs="仿宋_GB2312"/>
          <w:b/>
          <w:color w:val="auto"/>
          <w:kern w:val="44"/>
          <w:sz w:val="32"/>
          <w:szCs w:val="32"/>
          <w:highlight w:val="none"/>
        </w:rPr>
        <w:t>第5章 附件</w:t>
      </w:r>
      <w:bookmarkEnd w:id="37"/>
    </w:p>
    <w:p>
      <w:pPr>
        <w:pStyle w:val="22"/>
        <w:widowControl/>
        <w:ind w:firstLine="562"/>
        <w:rPr>
          <w:rFonts w:hint="eastAsia" w:ascii="仿宋_GB2312" w:hAnsi="仿宋_GB2312" w:eastAsia="仿宋_GB2312" w:cs="仿宋_GB2312"/>
          <w:b/>
          <w:color w:val="auto"/>
          <w:sz w:val="28"/>
          <w:szCs w:val="28"/>
          <w:highlight w:val="none"/>
          <w:u w:val="single"/>
        </w:rPr>
      </w:pPr>
      <w:r>
        <w:rPr>
          <w:rFonts w:ascii="仿宋_GB2312" w:hAnsi="仿宋_GB2312" w:eastAsia="仿宋_GB2312" w:cs="仿宋_GB2312"/>
          <w:b/>
          <w:color w:val="auto"/>
          <w:sz w:val="28"/>
          <w:szCs w:val="28"/>
          <w:highlight w:val="none"/>
          <w:u w:val="single"/>
        </w:rPr>
        <w:t>附件1 符合性审查表</w:t>
      </w:r>
    </w:p>
    <w:p>
      <w:pPr>
        <w:pStyle w:val="22"/>
        <w:widowControl/>
        <w:ind w:firstLine="562"/>
        <w:rPr>
          <w:rFonts w:ascii="仿宋_GB2312" w:hAnsi="仿宋_GB2312" w:eastAsia="仿宋_GB2312" w:cs="仿宋_GB2312"/>
          <w:b/>
          <w:color w:val="auto"/>
          <w:sz w:val="28"/>
          <w:szCs w:val="28"/>
          <w:highlight w:val="none"/>
          <w:u w:val="single"/>
        </w:rPr>
      </w:pPr>
      <w:bookmarkStart w:id="38" w:name="OLE_LINK3"/>
      <w:bookmarkEnd w:id="38"/>
      <w:r>
        <w:rPr>
          <w:rFonts w:ascii="仿宋_GB2312" w:hAnsi="仿宋_GB2312" w:eastAsia="仿宋_GB2312" w:cs="仿宋_GB2312"/>
          <w:b/>
          <w:color w:val="auto"/>
          <w:sz w:val="28"/>
          <w:szCs w:val="28"/>
          <w:highlight w:val="none"/>
          <w:u w:val="single"/>
        </w:rPr>
        <w:t>附件2 综合评分表</w:t>
      </w:r>
    </w:p>
    <w:p>
      <w:pPr>
        <w:pStyle w:val="22"/>
        <w:widowControl/>
        <w:ind w:firstLine="562"/>
        <w:rPr>
          <w:rFonts w:hint="eastAsia" w:ascii="仿宋_GB2312" w:hAnsi="仿宋_GB2312" w:eastAsia="仿宋_GB2312" w:cs="仿宋_GB2312"/>
          <w:b/>
          <w:color w:val="auto"/>
          <w:sz w:val="28"/>
          <w:szCs w:val="28"/>
          <w:highlight w:val="none"/>
          <w:u w:val="single"/>
          <w:lang w:val="en-US" w:eastAsia="zh-CN"/>
        </w:rPr>
      </w:pPr>
      <w:r>
        <w:rPr>
          <w:rFonts w:hint="eastAsia" w:ascii="仿宋_GB2312" w:hAnsi="仿宋_GB2312" w:eastAsia="仿宋_GB2312" w:cs="仿宋_GB2312"/>
          <w:b/>
          <w:color w:val="auto"/>
          <w:sz w:val="28"/>
          <w:szCs w:val="28"/>
          <w:highlight w:val="none"/>
          <w:u w:val="single"/>
          <w:lang w:eastAsia="zh-CN"/>
        </w:rPr>
        <w:t>附件</w:t>
      </w:r>
      <w:r>
        <w:rPr>
          <w:rFonts w:hint="eastAsia" w:ascii="仿宋_GB2312" w:hAnsi="仿宋_GB2312" w:eastAsia="仿宋_GB2312" w:cs="仿宋_GB2312"/>
          <w:b/>
          <w:color w:val="auto"/>
          <w:sz w:val="28"/>
          <w:szCs w:val="28"/>
          <w:highlight w:val="none"/>
          <w:u w:val="single"/>
          <w:lang w:val="en-US" w:eastAsia="zh-CN"/>
        </w:rPr>
        <w:t>3 投标申请人声明</w:t>
      </w:r>
    </w:p>
    <w:p>
      <w:pPr>
        <w:snapToGrid w:val="0"/>
        <w:spacing w:line="300" w:lineRule="auto"/>
        <w:outlineLvl w:val="0"/>
        <w:rPr>
          <w:rFonts w:hint="eastAsia" w:ascii="仿宋_GB2312" w:hAnsi="仿宋_GB2312" w:eastAsia="仿宋_GB2312" w:cs="仿宋_GB2312"/>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_GB2312" w:hAnsi="仿宋_GB2312" w:eastAsia="仿宋_GB2312" w:cs="仿宋_GB2312"/>
          <w:b/>
          <w:bCs/>
          <w:color w:val="auto"/>
          <w:sz w:val="28"/>
          <w:szCs w:val="28"/>
          <w:highlight w:val="none"/>
        </w:rPr>
        <w:t>附件1：符合性审查表</w:t>
      </w:r>
      <w:bookmarkEnd w:id="39"/>
      <w:r>
        <w:rPr>
          <w:rFonts w:hint="eastAsia" w:ascii="仿宋_GB2312" w:hAnsi="仿宋_GB2312" w:eastAsia="仿宋_GB2312" w:cs="仿宋_GB2312"/>
          <w:b/>
          <w:bCs/>
          <w:color w:val="auto"/>
          <w:sz w:val="28"/>
          <w:szCs w:val="28"/>
          <w:highlight w:val="none"/>
        </w:rPr>
        <w:t xml:space="preserve">  </w:t>
      </w:r>
    </w:p>
    <w:p>
      <w:pPr>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 符合性审查表</w:t>
      </w:r>
    </w:p>
    <w:tbl>
      <w:tblPr>
        <w:tblStyle w:val="14"/>
        <w:tblW w:w="9138" w:type="dxa"/>
        <w:tblInd w:w="108" w:type="dxa"/>
        <w:tblLayout w:type="fixed"/>
        <w:tblCellMar>
          <w:top w:w="0" w:type="dxa"/>
          <w:left w:w="108" w:type="dxa"/>
          <w:bottom w:w="0" w:type="dxa"/>
          <w:right w:w="108" w:type="dxa"/>
        </w:tblCellMar>
      </w:tblPr>
      <w:tblGrid>
        <w:gridCol w:w="736"/>
        <w:gridCol w:w="3617"/>
        <w:gridCol w:w="1595"/>
        <w:gridCol w:w="1595"/>
        <w:gridCol w:w="1595"/>
      </w:tblGrid>
      <w:tr>
        <w:tblPrEx>
          <w:tblCellMar>
            <w:top w:w="0" w:type="dxa"/>
            <w:left w:w="108" w:type="dxa"/>
            <w:bottom w:w="0" w:type="dxa"/>
            <w:right w:w="108" w:type="dxa"/>
          </w:tblCellMar>
        </w:tblPrEx>
        <w:trPr>
          <w:trHeight w:val="1270"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0" w:afterLines="50" w:line="360" w:lineRule="auto"/>
              <w:ind w:left="0" w:leftChars="0" w:firstLine="0" w:firstLineChars="0"/>
              <w:jc w:val="both"/>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szCs w:val="24"/>
                <w:highlight w:val="none"/>
              </w:rPr>
              <w:t>序号</w:t>
            </w:r>
          </w:p>
        </w:tc>
        <w:tc>
          <w:tcPr>
            <w:tcW w:w="3617"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0" w:afterLines="50" w:line="360" w:lineRule="auto"/>
              <w:ind w:left="105" w:leftChars="50" w:right="105" w:rightChars="50" w:firstLine="482" w:firstLineChars="20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szCs w:val="24"/>
                <w:highlight w:val="none"/>
              </w:rPr>
              <w:t xml:space="preserve">   投标人</w:t>
            </w:r>
          </w:p>
          <w:p>
            <w:pPr>
              <w:spacing w:beforeLines="0" w:afterLines="50" w:line="360" w:lineRule="auto"/>
              <w:ind w:left="105" w:leftChars="50" w:right="105" w:rightChars="50" w:firstLine="482" w:firstLineChars="200"/>
              <w:jc w:val="center"/>
              <w:rPr>
                <w:rFonts w:hint="eastAsia" w:ascii="仿宋_GB2312" w:hAnsi="仿宋_GB2312" w:eastAsia="仿宋_GB2312" w:cs="仿宋_GB2312"/>
                <w:b/>
                <w:color w:val="auto"/>
                <w:sz w:val="24"/>
                <w:highlight w:val="none"/>
              </w:rPr>
            </w:pPr>
          </w:p>
          <w:p>
            <w:pPr>
              <w:spacing w:beforeLines="0" w:afterLines="50" w:line="360" w:lineRule="auto"/>
              <w:ind w:left="105" w:leftChars="50" w:right="105" w:rightChars="50"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szCs w:val="24"/>
                <w:highlight w:val="none"/>
              </w:rPr>
              <w:t>评审项目</w:t>
            </w:r>
          </w:p>
        </w:tc>
        <w:tc>
          <w:tcPr>
            <w:tcW w:w="1595" w:type="dxa"/>
            <w:tcBorders>
              <w:top w:val="single" w:color="auto" w:sz="4" w:space="0"/>
              <w:left w:val="nil"/>
              <w:bottom w:val="single" w:color="auto" w:sz="4" w:space="0"/>
              <w:right w:val="single" w:color="auto" w:sz="4" w:space="0"/>
            </w:tcBorders>
            <w:shd w:val="clear" w:color="auto" w:fill="auto"/>
            <w:vAlign w:val="center"/>
          </w:tcPr>
          <w:p>
            <w:pPr>
              <w:spacing w:beforeLines="0" w:afterLines="50" w:line="360" w:lineRule="auto"/>
              <w:ind w:left="0" w:leftChars="0" w:right="105" w:rightChars="50" w:firstLine="0" w:firstLine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szCs w:val="24"/>
                <w:highlight w:val="none"/>
              </w:rPr>
              <w:t>投标人1</w:t>
            </w:r>
          </w:p>
        </w:tc>
        <w:tc>
          <w:tcPr>
            <w:tcW w:w="1595" w:type="dxa"/>
            <w:tcBorders>
              <w:top w:val="single" w:color="auto" w:sz="4" w:space="0"/>
              <w:left w:val="nil"/>
              <w:bottom w:val="single" w:color="auto" w:sz="4" w:space="0"/>
              <w:right w:val="single" w:color="auto" w:sz="4" w:space="0"/>
            </w:tcBorders>
            <w:shd w:val="clear" w:color="auto" w:fill="auto"/>
            <w:vAlign w:val="center"/>
          </w:tcPr>
          <w:p>
            <w:pPr>
              <w:spacing w:beforeLines="0" w:afterLines="50" w:line="360" w:lineRule="auto"/>
              <w:ind w:left="0" w:leftChars="0" w:right="105" w:rightChars="50" w:firstLine="0" w:firstLine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szCs w:val="24"/>
                <w:highlight w:val="none"/>
              </w:rPr>
              <w:t>投标人2</w:t>
            </w:r>
          </w:p>
        </w:tc>
        <w:tc>
          <w:tcPr>
            <w:tcW w:w="1595" w:type="dxa"/>
            <w:tcBorders>
              <w:top w:val="single" w:color="auto" w:sz="4" w:space="0"/>
              <w:left w:val="nil"/>
              <w:bottom w:val="single" w:color="auto" w:sz="4" w:space="0"/>
              <w:right w:val="single" w:color="auto" w:sz="4" w:space="0"/>
            </w:tcBorders>
            <w:shd w:val="clear" w:color="auto" w:fill="auto"/>
            <w:vAlign w:val="center"/>
          </w:tcPr>
          <w:p>
            <w:pPr>
              <w:spacing w:beforeLines="0" w:afterLines="50" w:line="360" w:lineRule="auto"/>
              <w:ind w:left="0" w:leftChars="0" w:right="105" w:rightChars="50" w:firstLine="0" w:firstLine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szCs w:val="24"/>
                <w:highlight w:val="none"/>
              </w:rPr>
              <w:t>投标人3</w:t>
            </w:r>
          </w:p>
        </w:tc>
      </w:tr>
      <w:tr>
        <w:tblPrEx>
          <w:tblCellMar>
            <w:top w:w="0" w:type="dxa"/>
            <w:left w:w="108" w:type="dxa"/>
            <w:bottom w:w="0" w:type="dxa"/>
            <w:right w:w="108" w:type="dxa"/>
          </w:tblCellMar>
        </w:tblPrEx>
        <w:trPr>
          <w:trHeight w:val="1244"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0" w:afterLines="50" w:line="360" w:lineRule="auto"/>
              <w:ind w:left="-51" w:firstLine="480" w:firstLineChars="20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szCs w:val="24"/>
                <w:highlight w:val="none"/>
                <w:lang w:val="en-US" w:eastAsia="zh-CN"/>
              </w:rPr>
              <w:t>1</w:t>
            </w:r>
          </w:p>
        </w:tc>
        <w:tc>
          <w:tcPr>
            <w:tcW w:w="3617" w:type="dxa"/>
            <w:tcBorders>
              <w:top w:val="single" w:color="auto" w:sz="4" w:space="0"/>
              <w:left w:val="nil"/>
              <w:bottom w:val="single" w:color="auto" w:sz="4" w:space="0"/>
              <w:right w:val="single" w:color="auto" w:sz="4" w:space="0"/>
            </w:tcBorders>
            <w:shd w:val="clear" w:color="auto" w:fill="auto"/>
            <w:vAlign w:val="center"/>
          </w:tcPr>
          <w:p>
            <w:pPr>
              <w:spacing w:beforeLines="0" w:line="360" w:lineRule="auto"/>
              <w:ind w:right="105" w:rightChars="5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投标文件中附有有效的法定代表人证明书原件，或由委托代理人签字的投标文件中有法定代表人授权书原件</w:t>
            </w:r>
          </w:p>
        </w:tc>
        <w:tc>
          <w:tcPr>
            <w:tcW w:w="1595" w:type="dxa"/>
            <w:tcBorders>
              <w:top w:val="single" w:color="auto" w:sz="4" w:space="0"/>
              <w:left w:val="nil"/>
              <w:bottom w:val="single" w:color="auto" w:sz="4" w:space="0"/>
              <w:right w:val="single" w:color="auto" w:sz="4" w:space="0"/>
            </w:tcBorders>
            <w:shd w:val="clear" w:color="auto" w:fill="auto"/>
            <w:vAlign w:val="center"/>
          </w:tcPr>
          <w:p>
            <w:pPr>
              <w:spacing w:beforeLines="0" w:afterLines="50" w:line="360" w:lineRule="auto"/>
              <w:ind w:left="105" w:leftChars="50" w:right="105" w:rightChars="50" w:firstLine="480" w:firstLineChars="200"/>
              <w:jc w:val="center"/>
              <w:rPr>
                <w:rFonts w:hint="eastAsia" w:ascii="仿宋_GB2312" w:hAnsi="仿宋_GB2312" w:eastAsia="仿宋_GB2312" w:cs="仿宋_GB2312"/>
                <w:color w:val="auto"/>
                <w:sz w:val="24"/>
                <w:highlight w:val="none"/>
              </w:rPr>
            </w:pPr>
          </w:p>
        </w:tc>
        <w:tc>
          <w:tcPr>
            <w:tcW w:w="1595" w:type="dxa"/>
            <w:tcBorders>
              <w:top w:val="single" w:color="auto" w:sz="4" w:space="0"/>
              <w:left w:val="nil"/>
              <w:bottom w:val="single" w:color="auto" w:sz="4" w:space="0"/>
              <w:right w:val="single" w:color="auto" w:sz="4" w:space="0"/>
            </w:tcBorders>
            <w:shd w:val="clear" w:color="auto" w:fill="auto"/>
          </w:tcPr>
          <w:p>
            <w:pPr>
              <w:spacing w:beforeLines="0" w:afterLines="50" w:line="360" w:lineRule="auto"/>
              <w:ind w:left="105" w:leftChars="50" w:right="105" w:rightChars="50" w:firstLine="480" w:firstLineChars="200"/>
              <w:jc w:val="center"/>
              <w:rPr>
                <w:rFonts w:hint="eastAsia" w:ascii="仿宋_GB2312" w:hAnsi="仿宋_GB2312" w:eastAsia="仿宋_GB2312" w:cs="仿宋_GB2312"/>
                <w:color w:val="auto"/>
                <w:sz w:val="24"/>
                <w:highlight w:val="none"/>
              </w:rPr>
            </w:pPr>
          </w:p>
        </w:tc>
        <w:tc>
          <w:tcPr>
            <w:tcW w:w="1595" w:type="dxa"/>
            <w:tcBorders>
              <w:top w:val="single" w:color="auto" w:sz="4" w:space="0"/>
              <w:left w:val="nil"/>
              <w:bottom w:val="single" w:color="auto" w:sz="4" w:space="0"/>
              <w:right w:val="single" w:color="auto" w:sz="4" w:space="0"/>
            </w:tcBorders>
            <w:shd w:val="clear" w:color="auto" w:fill="auto"/>
          </w:tcPr>
          <w:p>
            <w:pPr>
              <w:spacing w:beforeLines="0" w:afterLines="50" w:line="360" w:lineRule="auto"/>
              <w:ind w:left="105" w:leftChars="50" w:right="105" w:rightChars="50" w:firstLine="480" w:firstLineChars="200"/>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91"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0" w:afterLines="50" w:line="360" w:lineRule="auto"/>
              <w:ind w:left="-51" w:firstLine="480" w:firstLineChars="20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szCs w:val="24"/>
                <w:highlight w:val="none"/>
                <w:lang w:val="en-US" w:eastAsia="zh-CN"/>
              </w:rPr>
              <w:t>2</w:t>
            </w:r>
          </w:p>
        </w:tc>
        <w:tc>
          <w:tcPr>
            <w:tcW w:w="3617" w:type="dxa"/>
            <w:tcBorders>
              <w:top w:val="single" w:color="auto" w:sz="4" w:space="0"/>
              <w:left w:val="nil"/>
              <w:bottom w:val="single" w:color="auto" w:sz="4" w:space="0"/>
              <w:right w:val="single" w:color="auto" w:sz="4" w:space="0"/>
            </w:tcBorders>
            <w:shd w:val="clear" w:color="auto" w:fill="auto"/>
            <w:vAlign w:val="center"/>
          </w:tcPr>
          <w:p>
            <w:pPr>
              <w:spacing w:beforeLines="0" w:line="360" w:lineRule="auto"/>
              <w:ind w:right="105" w:rightChars="5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投标人资质符合要求</w:t>
            </w:r>
          </w:p>
        </w:tc>
        <w:tc>
          <w:tcPr>
            <w:tcW w:w="1595" w:type="dxa"/>
            <w:tcBorders>
              <w:top w:val="single" w:color="auto" w:sz="4" w:space="0"/>
              <w:left w:val="nil"/>
              <w:bottom w:val="single" w:color="auto" w:sz="4" w:space="0"/>
              <w:right w:val="single" w:color="auto" w:sz="4" w:space="0"/>
            </w:tcBorders>
            <w:shd w:val="clear" w:color="auto" w:fill="auto"/>
            <w:vAlign w:val="center"/>
          </w:tcPr>
          <w:p>
            <w:pPr>
              <w:spacing w:beforeLines="0" w:afterLines="50" w:line="360" w:lineRule="auto"/>
              <w:ind w:left="105" w:leftChars="50" w:right="105" w:rightChars="50" w:firstLine="480" w:firstLineChars="200"/>
              <w:jc w:val="center"/>
              <w:rPr>
                <w:rFonts w:hint="eastAsia" w:ascii="仿宋_GB2312" w:hAnsi="仿宋_GB2312" w:eastAsia="仿宋_GB2312" w:cs="仿宋_GB2312"/>
                <w:color w:val="auto"/>
                <w:sz w:val="24"/>
                <w:highlight w:val="none"/>
              </w:rPr>
            </w:pPr>
          </w:p>
        </w:tc>
        <w:tc>
          <w:tcPr>
            <w:tcW w:w="1595" w:type="dxa"/>
            <w:tcBorders>
              <w:top w:val="single" w:color="auto" w:sz="4" w:space="0"/>
              <w:left w:val="nil"/>
              <w:bottom w:val="single" w:color="auto" w:sz="4" w:space="0"/>
              <w:right w:val="single" w:color="auto" w:sz="4" w:space="0"/>
            </w:tcBorders>
            <w:shd w:val="clear" w:color="auto" w:fill="auto"/>
          </w:tcPr>
          <w:p>
            <w:pPr>
              <w:spacing w:beforeLines="0" w:afterLines="50" w:line="360" w:lineRule="auto"/>
              <w:ind w:left="105" w:leftChars="50" w:right="105" w:rightChars="50" w:firstLine="480" w:firstLineChars="200"/>
              <w:jc w:val="center"/>
              <w:rPr>
                <w:rFonts w:hint="eastAsia" w:ascii="仿宋_GB2312" w:hAnsi="仿宋_GB2312" w:eastAsia="仿宋_GB2312" w:cs="仿宋_GB2312"/>
                <w:color w:val="auto"/>
                <w:sz w:val="24"/>
                <w:highlight w:val="none"/>
              </w:rPr>
            </w:pPr>
          </w:p>
        </w:tc>
        <w:tc>
          <w:tcPr>
            <w:tcW w:w="1595" w:type="dxa"/>
            <w:tcBorders>
              <w:top w:val="single" w:color="auto" w:sz="4" w:space="0"/>
              <w:left w:val="nil"/>
              <w:bottom w:val="single" w:color="auto" w:sz="4" w:space="0"/>
              <w:right w:val="single" w:color="auto" w:sz="4" w:space="0"/>
            </w:tcBorders>
            <w:shd w:val="clear" w:color="auto" w:fill="auto"/>
          </w:tcPr>
          <w:p>
            <w:pPr>
              <w:spacing w:beforeLines="0" w:afterLines="50" w:line="360" w:lineRule="auto"/>
              <w:ind w:left="105" w:leftChars="50" w:right="105" w:rightChars="50" w:firstLine="480" w:firstLineChars="200"/>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31"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0" w:afterLines="50" w:line="360" w:lineRule="auto"/>
              <w:ind w:left="-51" w:firstLine="480" w:firstLineChars="20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c>
          <w:tcPr>
            <w:tcW w:w="3617" w:type="dxa"/>
            <w:tcBorders>
              <w:top w:val="single" w:color="auto" w:sz="4" w:space="0"/>
              <w:left w:val="nil"/>
              <w:bottom w:val="single" w:color="auto" w:sz="4" w:space="0"/>
              <w:right w:val="single" w:color="auto" w:sz="4" w:space="0"/>
            </w:tcBorders>
            <w:shd w:val="clear" w:color="auto" w:fill="auto"/>
            <w:vAlign w:val="center"/>
          </w:tcPr>
          <w:p>
            <w:pPr>
              <w:spacing w:beforeLines="0" w:line="360" w:lineRule="auto"/>
              <w:ind w:right="105" w:rightChars="5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项目负责人</w:t>
            </w:r>
            <w:r>
              <w:rPr>
                <w:rFonts w:hint="eastAsia" w:ascii="仿宋_GB2312" w:hAnsi="仿宋_GB2312" w:eastAsia="仿宋_GB2312" w:cs="仿宋_GB2312"/>
                <w:color w:val="auto"/>
                <w:sz w:val="24"/>
                <w:szCs w:val="24"/>
                <w:highlight w:val="none"/>
                <w:lang w:eastAsia="zh-CN"/>
              </w:rPr>
              <w:t>、技术</w:t>
            </w:r>
            <w:r>
              <w:rPr>
                <w:rFonts w:hint="eastAsia" w:ascii="仿宋_GB2312" w:hAnsi="仿宋_GB2312" w:eastAsia="仿宋_GB2312" w:cs="仿宋_GB2312"/>
                <w:color w:val="auto"/>
                <w:sz w:val="24"/>
                <w:szCs w:val="24"/>
                <w:highlight w:val="none"/>
                <w:lang w:val="en-US" w:eastAsia="zh-CN"/>
              </w:rPr>
              <w:t>负责人</w:t>
            </w:r>
            <w:r>
              <w:rPr>
                <w:rFonts w:hint="eastAsia" w:ascii="仿宋_GB2312" w:hAnsi="仿宋_GB2312" w:eastAsia="仿宋_GB2312" w:cs="仿宋_GB2312"/>
                <w:color w:val="auto"/>
                <w:sz w:val="24"/>
                <w:szCs w:val="24"/>
                <w:highlight w:val="none"/>
              </w:rPr>
              <w:t>资质符合要求</w:t>
            </w:r>
          </w:p>
        </w:tc>
        <w:tc>
          <w:tcPr>
            <w:tcW w:w="1595" w:type="dxa"/>
            <w:tcBorders>
              <w:top w:val="single" w:color="auto" w:sz="4" w:space="0"/>
              <w:left w:val="nil"/>
              <w:bottom w:val="single" w:color="auto" w:sz="4" w:space="0"/>
              <w:right w:val="single" w:color="auto" w:sz="4" w:space="0"/>
            </w:tcBorders>
            <w:shd w:val="clear" w:color="auto" w:fill="auto"/>
            <w:vAlign w:val="center"/>
          </w:tcPr>
          <w:p>
            <w:pPr>
              <w:spacing w:beforeLines="0" w:afterLines="50" w:line="360" w:lineRule="auto"/>
              <w:ind w:left="105" w:leftChars="50" w:right="105" w:rightChars="50" w:firstLine="480" w:firstLineChars="200"/>
              <w:jc w:val="center"/>
              <w:rPr>
                <w:rFonts w:hint="eastAsia" w:ascii="仿宋_GB2312" w:hAnsi="仿宋_GB2312" w:eastAsia="仿宋_GB2312" w:cs="仿宋_GB2312"/>
                <w:color w:val="auto"/>
                <w:sz w:val="24"/>
                <w:highlight w:val="none"/>
              </w:rPr>
            </w:pPr>
          </w:p>
        </w:tc>
        <w:tc>
          <w:tcPr>
            <w:tcW w:w="1595" w:type="dxa"/>
            <w:tcBorders>
              <w:top w:val="single" w:color="auto" w:sz="4" w:space="0"/>
              <w:left w:val="nil"/>
              <w:bottom w:val="single" w:color="auto" w:sz="4" w:space="0"/>
              <w:right w:val="single" w:color="auto" w:sz="4" w:space="0"/>
            </w:tcBorders>
            <w:shd w:val="clear" w:color="auto" w:fill="auto"/>
          </w:tcPr>
          <w:p>
            <w:pPr>
              <w:spacing w:beforeLines="0" w:afterLines="50" w:line="360" w:lineRule="auto"/>
              <w:ind w:left="105" w:leftChars="50" w:right="105" w:rightChars="50" w:firstLine="480" w:firstLineChars="200"/>
              <w:jc w:val="center"/>
              <w:rPr>
                <w:rFonts w:hint="eastAsia" w:ascii="仿宋_GB2312" w:hAnsi="仿宋_GB2312" w:eastAsia="仿宋_GB2312" w:cs="仿宋_GB2312"/>
                <w:color w:val="auto"/>
                <w:sz w:val="24"/>
                <w:highlight w:val="none"/>
              </w:rPr>
            </w:pPr>
          </w:p>
        </w:tc>
        <w:tc>
          <w:tcPr>
            <w:tcW w:w="1595" w:type="dxa"/>
            <w:tcBorders>
              <w:top w:val="single" w:color="auto" w:sz="4" w:space="0"/>
              <w:left w:val="nil"/>
              <w:bottom w:val="single" w:color="auto" w:sz="4" w:space="0"/>
              <w:right w:val="single" w:color="auto" w:sz="4" w:space="0"/>
            </w:tcBorders>
            <w:shd w:val="clear" w:color="auto" w:fill="auto"/>
          </w:tcPr>
          <w:p>
            <w:pPr>
              <w:spacing w:beforeLines="0" w:afterLines="50" w:line="360" w:lineRule="auto"/>
              <w:ind w:left="105" w:leftChars="50" w:right="105" w:rightChars="50" w:firstLine="480" w:firstLineChars="200"/>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91"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0" w:afterLines="50" w:line="360" w:lineRule="auto"/>
              <w:ind w:left="-51" w:firstLine="480" w:firstLineChars="20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c>
          <w:tcPr>
            <w:tcW w:w="3617" w:type="dxa"/>
            <w:tcBorders>
              <w:top w:val="single" w:color="auto" w:sz="4" w:space="0"/>
              <w:left w:val="nil"/>
              <w:bottom w:val="single" w:color="auto" w:sz="4" w:space="0"/>
              <w:right w:val="single" w:color="auto" w:sz="4" w:space="0"/>
            </w:tcBorders>
            <w:shd w:val="clear" w:color="auto" w:fill="auto"/>
            <w:vAlign w:val="center"/>
          </w:tcPr>
          <w:p>
            <w:pPr>
              <w:spacing w:beforeLines="0" w:line="360" w:lineRule="auto"/>
              <w:ind w:right="105" w:rightChars="5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投标报价不超过</w:t>
            </w:r>
            <w:r>
              <w:rPr>
                <w:rFonts w:hint="eastAsia" w:ascii="仿宋_GB2312" w:hAnsi="仿宋_GB2312" w:eastAsia="仿宋_GB2312" w:cs="仿宋_GB2312"/>
                <w:color w:val="auto"/>
                <w:sz w:val="24"/>
                <w:szCs w:val="24"/>
                <w:highlight w:val="none"/>
                <w:lang w:eastAsia="zh-CN"/>
              </w:rPr>
              <w:t>招标控制价</w:t>
            </w:r>
          </w:p>
        </w:tc>
        <w:tc>
          <w:tcPr>
            <w:tcW w:w="1595" w:type="dxa"/>
            <w:tcBorders>
              <w:top w:val="single" w:color="auto" w:sz="4" w:space="0"/>
              <w:left w:val="nil"/>
              <w:bottom w:val="single" w:color="auto" w:sz="4" w:space="0"/>
              <w:right w:val="single" w:color="auto" w:sz="4" w:space="0"/>
            </w:tcBorders>
            <w:shd w:val="clear" w:color="auto" w:fill="auto"/>
            <w:vAlign w:val="center"/>
          </w:tcPr>
          <w:p>
            <w:pPr>
              <w:spacing w:beforeLines="0" w:afterLines="50" w:line="360" w:lineRule="auto"/>
              <w:ind w:left="105" w:leftChars="50" w:right="105" w:rightChars="50" w:firstLine="480" w:firstLineChars="200"/>
              <w:jc w:val="center"/>
              <w:rPr>
                <w:rFonts w:hint="eastAsia" w:ascii="仿宋_GB2312" w:hAnsi="仿宋_GB2312" w:eastAsia="仿宋_GB2312" w:cs="仿宋_GB2312"/>
                <w:color w:val="auto"/>
                <w:sz w:val="24"/>
                <w:highlight w:val="none"/>
              </w:rPr>
            </w:pPr>
          </w:p>
        </w:tc>
        <w:tc>
          <w:tcPr>
            <w:tcW w:w="1595" w:type="dxa"/>
            <w:tcBorders>
              <w:top w:val="single" w:color="auto" w:sz="4" w:space="0"/>
              <w:left w:val="nil"/>
              <w:bottom w:val="single" w:color="auto" w:sz="4" w:space="0"/>
              <w:right w:val="single" w:color="auto" w:sz="4" w:space="0"/>
            </w:tcBorders>
            <w:shd w:val="clear" w:color="auto" w:fill="auto"/>
          </w:tcPr>
          <w:p>
            <w:pPr>
              <w:spacing w:beforeLines="0" w:afterLines="50" w:line="360" w:lineRule="auto"/>
              <w:ind w:left="105" w:leftChars="50" w:right="105" w:rightChars="50" w:firstLine="480" w:firstLineChars="200"/>
              <w:jc w:val="center"/>
              <w:rPr>
                <w:rFonts w:hint="eastAsia" w:ascii="仿宋_GB2312" w:hAnsi="仿宋_GB2312" w:eastAsia="仿宋_GB2312" w:cs="仿宋_GB2312"/>
                <w:color w:val="auto"/>
                <w:sz w:val="24"/>
                <w:highlight w:val="none"/>
              </w:rPr>
            </w:pPr>
          </w:p>
        </w:tc>
        <w:tc>
          <w:tcPr>
            <w:tcW w:w="1595" w:type="dxa"/>
            <w:tcBorders>
              <w:top w:val="single" w:color="auto" w:sz="4" w:space="0"/>
              <w:left w:val="nil"/>
              <w:bottom w:val="single" w:color="auto" w:sz="4" w:space="0"/>
              <w:right w:val="single" w:color="auto" w:sz="4" w:space="0"/>
            </w:tcBorders>
            <w:shd w:val="clear" w:color="auto" w:fill="auto"/>
          </w:tcPr>
          <w:p>
            <w:pPr>
              <w:spacing w:beforeLines="0" w:afterLines="50" w:line="360" w:lineRule="auto"/>
              <w:ind w:left="105" w:leftChars="50" w:right="105" w:rightChars="50" w:firstLine="480" w:firstLineChars="200"/>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511"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0" w:afterLines="50" w:line="360" w:lineRule="auto"/>
              <w:ind w:left="-51" w:firstLine="480" w:firstLineChars="200"/>
              <w:jc w:val="center"/>
              <w:rPr>
                <w:rFonts w:hint="eastAsia" w:ascii="仿宋_GB2312" w:hAnsi="仿宋_GB2312" w:eastAsia="仿宋_GB2312" w:cs="仿宋_GB2312"/>
                <w:color w:val="auto"/>
                <w:sz w:val="24"/>
                <w:highlight w:val="none"/>
              </w:rPr>
            </w:pPr>
          </w:p>
        </w:tc>
        <w:tc>
          <w:tcPr>
            <w:tcW w:w="3617" w:type="dxa"/>
            <w:tcBorders>
              <w:top w:val="single" w:color="auto" w:sz="4" w:space="0"/>
              <w:left w:val="nil"/>
              <w:bottom w:val="single" w:color="auto" w:sz="4" w:space="0"/>
              <w:right w:val="single" w:color="auto" w:sz="4" w:space="0"/>
            </w:tcBorders>
            <w:shd w:val="clear" w:color="auto" w:fill="auto"/>
            <w:vAlign w:val="center"/>
          </w:tcPr>
          <w:p>
            <w:pPr>
              <w:spacing w:beforeLines="0" w:line="360" w:lineRule="auto"/>
              <w:ind w:left="0" w:leftChars="0" w:right="105" w:rightChars="50" w:firstLine="1440" w:firstLineChars="600"/>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结论</w:t>
            </w:r>
          </w:p>
        </w:tc>
        <w:tc>
          <w:tcPr>
            <w:tcW w:w="1595" w:type="dxa"/>
            <w:tcBorders>
              <w:top w:val="single" w:color="auto" w:sz="4" w:space="0"/>
              <w:left w:val="nil"/>
              <w:bottom w:val="single" w:color="auto" w:sz="4" w:space="0"/>
              <w:right w:val="single" w:color="auto" w:sz="4" w:space="0"/>
            </w:tcBorders>
            <w:shd w:val="clear" w:color="auto" w:fill="auto"/>
            <w:vAlign w:val="center"/>
          </w:tcPr>
          <w:p>
            <w:pPr>
              <w:spacing w:beforeLines="0" w:afterLines="50" w:line="360" w:lineRule="auto"/>
              <w:ind w:left="105" w:leftChars="50" w:right="105" w:rightChars="50" w:firstLine="480" w:firstLineChars="200"/>
              <w:jc w:val="center"/>
              <w:rPr>
                <w:rFonts w:hint="eastAsia" w:ascii="仿宋_GB2312" w:hAnsi="仿宋_GB2312" w:eastAsia="仿宋_GB2312" w:cs="仿宋_GB2312"/>
                <w:color w:val="auto"/>
                <w:sz w:val="24"/>
                <w:highlight w:val="none"/>
              </w:rPr>
            </w:pPr>
          </w:p>
        </w:tc>
        <w:tc>
          <w:tcPr>
            <w:tcW w:w="1595" w:type="dxa"/>
            <w:tcBorders>
              <w:top w:val="single" w:color="auto" w:sz="4" w:space="0"/>
              <w:left w:val="nil"/>
              <w:bottom w:val="single" w:color="auto" w:sz="4" w:space="0"/>
              <w:right w:val="single" w:color="auto" w:sz="4" w:space="0"/>
            </w:tcBorders>
            <w:shd w:val="clear" w:color="auto" w:fill="auto"/>
          </w:tcPr>
          <w:p>
            <w:pPr>
              <w:spacing w:beforeLines="0" w:afterLines="50" w:line="360" w:lineRule="auto"/>
              <w:ind w:left="105" w:leftChars="50" w:right="105" w:rightChars="50" w:firstLine="480" w:firstLineChars="200"/>
              <w:jc w:val="center"/>
              <w:rPr>
                <w:rFonts w:hint="eastAsia" w:ascii="仿宋_GB2312" w:hAnsi="仿宋_GB2312" w:eastAsia="仿宋_GB2312" w:cs="仿宋_GB2312"/>
                <w:color w:val="auto"/>
                <w:sz w:val="24"/>
                <w:highlight w:val="none"/>
              </w:rPr>
            </w:pPr>
          </w:p>
        </w:tc>
        <w:tc>
          <w:tcPr>
            <w:tcW w:w="1595" w:type="dxa"/>
            <w:tcBorders>
              <w:top w:val="single" w:color="auto" w:sz="4" w:space="0"/>
              <w:left w:val="nil"/>
              <w:bottom w:val="single" w:color="auto" w:sz="4" w:space="0"/>
              <w:right w:val="single" w:color="auto" w:sz="4" w:space="0"/>
            </w:tcBorders>
            <w:shd w:val="clear" w:color="auto" w:fill="auto"/>
          </w:tcPr>
          <w:p>
            <w:pPr>
              <w:spacing w:beforeLines="0" w:afterLines="50" w:line="360" w:lineRule="auto"/>
              <w:ind w:left="105" w:leftChars="50" w:right="105" w:rightChars="50" w:firstLine="480" w:firstLineChars="200"/>
              <w:jc w:val="center"/>
              <w:rPr>
                <w:rFonts w:hint="eastAsia" w:ascii="仿宋_GB2312" w:hAnsi="仿宋_GB2312" w:eastAsia="仿宋_GB2312" w:cs="仿宋_GB2312"/>
                <w:color w:val="auto"/>
                <w:sz w:val="24"/>
                <w:highlight w:val="none"/>
              </w:rPr>
            </w:pPr>
          </w:p>
        </w:tc>
      </w:tr>
    </w:tbl>
    <w:p>
      <w:pPr>
        <w:snapToGrid w:val="0"/>
        <w:spacing w:beforeLines="0"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w:t>
      </w:r>
    </w:p>
    <w:p>
      <w:pPr>
        <w:snapToGrid w:val="0"/>
        <w:spacing w:beforeLines="0" w:line="360" w:lineRule="auto"/>
        <w:ind w:left="74"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1.符合以上情形打“〇”，不符合以上任一情形打“×”，全部为“〇”结论均为“通过”，否则就为“不通过”。</w:t>
      </w:r>
    </w:p>
    <w:p>
      <w:pPr>
        <w:snapToGrid w:val="0"/>
        <w:spacing w:beforeLines="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2.如对本表中某种情形的评审意见不一致时，以专家组过半数成员的意见作为专家组对该情形的认定结论。     </w:t>
      </w:r>
    </w:p>
    <w:p>
      <w:pPr>
        <w:snapToGrid w:val="0"/>
        <w:spacing w:beforeLines="0" w:line="360" w:lineRule="auto"/>
        <w:ind w:left="74"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 xml:space="preserve"> </w:t>
      </w:r>
    </w:p>
    <w:p>
      <w:pPr>
        <w:snapToGrid w:val="0"/>
        <w:spacing w:beforeLines="0" w:line="360" w:lineRule="auto"/>
        <w:ind w:left="74"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评标专家签名：                     日期：</w:t>
      </w:r>
    </w:p>
    <w:p>
      <w:pPr>
        <w:snapToGrid w:val="0"/>
        <w:ind w:left="74"/>
        <w:outlineLvl w:val="0"/>
        <w:rPr>
          <w:rFonts w:hint="eastAsia" w:ascii="仿宋_GB2312" w:hAnsi="仿宋_GB2312" w:eastAsia="仿宋_GB2312" w:cs="仿宋_GB2312"/>
          <w:b/>
          <w:bCs w:val="0"/>
          <w:color w:val="auto"/>
          <w:sz w:val="24"/>
          <w:highlight w:val="none"/>
        </w:rPr>
      </w:pPr>
    </w:p>
    <w:p>
      <w:pPr>
        <w:snapToGrid w:val="0"/>
        <w:ind w:left="74"/>
        <w:outlineLvl w:val="0"/>
        <w:rPr>
          <w:rFonts w:hint="eastAsia" w:ascii="仿宋_GB2312" w:hAnsi="仿宋_GB2312" w:eastAsia="仿宋_GB2312" w:cs="仿宋_GB2312"/>
          <w:b/>
          <w:bCs w:val="0"/>
          <w:color w:val="auto"/>
          <w:sz w:val="24"/>
          <w:highlight w:val="none"/>
        </w:rPr>
      </w:pPr>
    </w:p>
    <w:p>
      <w:pPr>
        <w:snapToGrid w:val="0"/>
        <w:ind w:left="74"/>
        <w:outlineLvl w:val="0"/>
        <w:rPr>
          <w:rFonts w:hint="eastAsia" w:ascii="仿宋_GB2312" w:hAnsi="仿宋_GB2312" w:eastAsia="仿宋_GB2312" w:cs="仿宋_GB2312"/>
          <w:b/>
          <w:bCs w:val="0"/>
          <w:color w:val="auto"/>
          <w:sz w:val="24"/>
          <w:highlight w:val="none"/>
        </w:rPr>
      </w:pPr>
    </w:p>
    <w:p>
      <w:pPr>
        <w:snapToGrid w:val="0"/>
        <w:ind w:left="74"/>
        <w:outlineLvl w:val="0"/>
        <w:rPr>
          <w:rFonts w:hint="eastAsia" w:ascii="仿宋_GB2312" w:hAnsi="仿宋_GB2312" w:eastAsia="仿宋_GB2312" w:cs="仿宋_GB2312"/>
          <w:b/>
          <w:bCs w:val="0"/>
          <w:color w:val="auto"/>
          <w:sz w:val="24"/>
          <w:highlight w:val="none"/>
        </w:rPr>
      </w:pPr>
    </w:p>
    <w:p>
      <w:pPr>
        <w:snapToGrid w:val="0"/>
        <w:ind w:left="74"/>
        <w:outlineLvl w:val="0"/>
        <w:rPr>
          <w:rFonts w:hint="eastAsia" w:ascii="仿宋_GB2312" w:hAnsi="仿宋_GB2312" w:eastAsia="仿宋_GB2312" w:cs="仿宋_GB2312"/>
          <w:b/>
          <w:bCs w:val="0"/>
          <w:color w:val="auto"/>
          <w:sz w:val="24"/>
          <w:highlight w:val="none"/>
        </w:rPr>
      </w:pPr>
    </w:p>
    <w:p>
      <w:pPr>
        <w:snapToGrid w:val="0"/>
        <w:ind w:left="74"/>
        <w:outlineLvl w:val="0"/>
        <w:rPr>
          <w:rFonts w:hint="eastAsia" w:ascii="仿宋_GB2312" w:hAnsi="仿宋_GB2312" w:eastAsia="仿宋_GB2312" w:cs="仿宋_GB2312"/>
          <w:b/>
          <w:bCs w:val="0"/>
          <w:color w:val="auto"/>
          <w:sz w:val="24"/>
          <w:highlight w:val="none"/>
        </w:rPr>
      </w:pPr>
    </w:p>
    <w:p>
      <w:pPr>
        <w:snapToGrid w:val="0"/>
        <w:ind w:left="74"/>
        <w:outlineLvl w:val="0"/>
        <w:rPr>
          <w:rFonts w:hint="eastAsia" w:ascii="仿宋_GB2312" w:hAnsi="仿宋_GB2312" w:eastAsia="仿宋_GB2312" w:cs="仿宋_GB2312"/>
          <w:b/>
          <w:bCs w:val="0"/>
          <w:color w:val="auto"/>
          <w:sz w:val="24"/>
          <w:highlight w:val="none"/>
        </w:rPr>
      </w:pPr>
    </w:p>
    <w:p>
      <w:pPr>
        <w:snapToGrid w:val="0"/>
        <w:spacing w:line="360" w:lineRule="auto"/>
        <w:ind w:left="0"/>
        <w:outlineLvl w:val="0"/>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附件2综合评分表（100分）</w:t>
      </w:r>
    </w:p>
    <w:tbl>
      <w:tblPr>
        <w:tblStyle w:val="14"/>
        <w:tblpPr w:leftFromText="180" w:rightFromText="180" w:vertAnchor="text" w:horzAnchor="page" w:tblpX="1246" w:tblpY="170"/>
        <w:tblOverlap w:val="never"/>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300"/>
        <w:gridCol w:w="770"/>
        <w:gridCol w:w="5640"/>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230" w:type="dxa"/>
            <w:noWrap w:val="0"/>
            <w:vAlign w:val="center"/>
          </w:tcPr>
          <w:p>
            <w:pPr>
              <w:snapToGrid w:val="0"/>
              <w:spacing w:line="370" w:lineRule="exact"/>
              <w:ind w:left="-2" w:leftChars="-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1300" w:type="dxa"/>
            <w:noWrap w:val="0"/>
            <w:vAlign w:val="center"/>
          </w:tcPr>
          <w:p>
            <w:pPr>
              <w:snapToGrid w:val="0"/>
              <w:spacing w:line="370" w:lineRule="exact"/>
              <w:ind w:left="-2" w:leftChars="-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类别</w:t>
            </w:r>
          </w:p>
        </w:tc>
        <w:tc>
          <w:tcPr>
            <w:tcW w:w="770" w:type="dxa"/>
            <w:noWrap w:val="0"/>
            <w:vAlign w:val="center"/>
          </w:tcPr>
          <w:p>
            <w:pPr>
              <w:snapToGrid w:val="0"/>
              <w:spacing w:line="370" w:lineRule="exact"/>
              <w:ind w:left="-2" w:leftChars="-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分项</w:t>
            </w:r>
          </w:p>
          <w:p>
            <w:pPr>
              <w:snapToGrid w:val="0"/>
              <w:spacing w:line="370" w:lineRule="exact"/>
              <w:ind w:left="-2" w:leftChars="-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分值</w:t>
            </w:r>
          </w:p>
        </w:tc>
        <w:tc>
          <w:tcPr>
            <w:tcW w:w="5640" w:type="dxa"/>
            <w:noWrap w:val="0"/>
            <w:vAlign w:val="center"/>
          </w:tcPr>
          <w:p>
            <w:pPr>
              <w:snapToGrid w:val="0"/>
              <w:spacing w:line="37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评 分 说 明</w:t>
            </w:r>
          </w:p>
        </w:tc>
        <w:tc>
          <w:tcPr>
            <w:tcW w:w="700" w:type="dxa"/>
            <w:noWrap w:val="0"/>
            <w:vAlign w:val="center"/>
          </w:tcPr>
          <w:p>
            <w:pPr>
              <w:snapToGrid w:val="0"/>
              <w:spacing w:line="370" w:lineRule="exact"/>
              <w:ind w:left="-2" w:leftChars="-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0" w:hRule="atLeast"/>
        </w:trPr>
        <w:tc>
          <w:tcPr>
            <w:tcW w:w="1230" w:type="dxa"/>
            <w:vMerge w:val="restart"/>
            <w:noWrap w:val="0"/>
            <w:vAlign w:val="center"/>
          </w:tcPr>
          <w:p>
            <w:pPr>
              <w:snapToGrid w:val="0"/>
              <w:spacing w:line="370" w:lineRule="exact"/>
              <w:ind w:left="-2" w:leftChars="-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商务部分</w:t>
            </w:r>
          </w:p>
          <w:p>
            <w:pPr>
              <w:pStyle w:val="5"/>
              <w:spacing w:before="0" w:after="0" w:line="370" w:lineRule="exact"/>
              <w:ind w:left="0" w:leftChars="0" w:firstLine="0" w:firstLineChars="0"/>
              <w:jc w:val="center"/>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40分</w:t>
            </w:r>
            <w:r>
              <w:rPr>
                <w:rFonts w:hint="eastAsia" w:ascii="仿宋_GB2312" w:hAnsi="仿宋_GB2312" w:eastAsia="仿宋_GB2312" w:cs="仿宋_GB2312"/>
                <w:b w:val="0"/>
                <w:bCs/>
                <w:color w:val="auto"/>
                <w:sz w:val="24"/>
                <w:szCs w:val="24"/>
                <w:highlight w:val="none"/>
                <w:lang w:eastAsia="zh-CN"/>
              </w:rPr>
              <w:t>）</w:t>
            </w:r>
          </w:p>
          <w:p>
            <w:pPr>
              <w:snapToGrid w:val="0"/>
              <w:spacing w:line="370" w:lineRule="exact"/>
              <w:ind w:left="-2" w:leftChars="-1"/>
              <w:jc w:val="center"/>
              <w:rPr>
                <w:rFonts w:hint="eastAsia" w:ascii="仿宋_GB2312" w:hAnsi="仿宋_GB2312" w:eastAsia="仿宋_GB2312" w:cs="仿宋_GB2312"/>
                <w:color w:val="auto"/>
                <w:sz w:val="24"/>
                <w:szCs w:val="24"/>
                <w:highlight w:val="none"/>
                <w:lang w:eastAsia="zh-CN"/>
              </w:rPr>
            </w:pPr>
          </w:p>
        </w:tc>
        <w:tc>
          <w:tcPr>
            <w:tcW w:w="1300" w:type="dxa"/>
            <w:noWrap w:val="0"/>
            <w:vAlign w:val="center"/>
          </w:tcPr>
          <w:p>
            <w:pPr>
              <w:widowControl/>
              <w:spacing w:line="370" w:lineRule="exact"/>
              <w:ind w:left="-42" w:leftChars="0" w:right="-61"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企业</w:t>
            </w:r>
            <w:r>
              <w:rPr>
                <w:rFonts w:hint="eastAsia" w:ascii="仿宋_GB2312" w:hAnsi="仿宋_GB2312" w:eastAsia="仿宋_GB2312" w:cs="仿宋_GB2312"/>
                <w:color w:val="auto"/>
                <w:sz w:val="24"/>
                <w:szCs w:val="24"/>
                <w:highlight w:val="none"/>
              </w:rPr>
              <w:t>业绩</w:t>
            </w:r>
          </w:p>
        </w:tc>
        <w:tc>
          <w:tcPr>
            <w:tcW w:w="770" w:type="dxa"/>
            <w:noWrap w:val="0"/>
            <w:vAlign w:val="center"/>
          </w:tcPr>
          <w:p>
            <w:pPr>
              <w:pStyle w:val="2"/>
              <w:spacing w:line="370" w:lineRule="exact"/>
              <w:ind w:firstLine="0"/>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16分</w:t>
            </w:r>
          </w:p>
        </w:tc>
        <w:tc>
          <w:tcPr>
            <w:tcW w:w="5640" w:type="dxa"/>
            <w:noWrap w:val="0"/>
            <w:vAlign w:val="center"/>
          </w:tcPr>
          <w:p>
            <w:pPr>
              <w:snapToGrid w:val="0"/>
              <w:spacing w:line="370" w:lineRule="exact"/>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strike w:val="0"/>
                <w:color w:val="auto"/>
                <w:sz w:val="24"/>
                <w:szCs w:val="24"/>
                <w:highlight w:val="none"/>
                <w:u w:val="none"/>
                <w:lang w:val="en-US" w:eastAsia="zh-CN"/>
              </w:rPr>
              <w:t>2021</w:t>
            </w:r>
            <w:r>
              <w:rPr>
                <w:rFonts w:hint="eastAsia" w:ascii="仿宋_GB2312" w:hAnsi="仿宋_GB2312" w:eastAsia="仿宋_GB2312" w:cs="仿宋_GB2312"/>
                <w:color w:val="auto"/>
                <w:sz w:val="24"/>
                <w:szCs w:val="24"/>
                <w:highlight w:val="none"/>
                <w:lang w:val="en-US" w:eastAsia="zh-CN"/>
              </w:rPr>
              <w:t>年1月1日至今承接过</w:t>
            </w:r>
            <w:r>
              <w:rPr>
                <w:rFonts w:hint="eastAsia" w:ascii="仿宋_GB2312" w:hAnsi="仿宋_GB2312" w:eastAsia="仿宋_GB2312" w:cs="仿宋_GB2312"/>
                <w:strike w:val="0"/>
                <w:color w:val="auto"/>
                <w:sz w:val="24"/>
                <w:szCs w:val="24"/>
                <w:highlight w:val="none"/>
                <w:u w:val="none"/>
                <w:lang w:val="en-US" w:eastAsia="zh-CN"/>
              </w:rPr>
              <w:t>20</w:t>
            </w:r>
            <w:r>
              <w:rPr>
                <w:rFonts w:hint="eastAsia" w:ascii="仿宋_GB2312" w:hAnsi="仿宋_GB2312" w:eastAsia="仿宋_GB2312" w:cs="仿宋_GB2312"/>
                <w:strike w:val="0"/>
                <w:color w:val="auto"/>
                <w:sz w:val="24"/>
                <w:szCs w:val="24"/>
                <w:highlight w:val="none"/>
                <w:lang w:val="en-US" w:eastAsia="zh-CN"/>
              </w:rPr>
              <w:t>万或以上的房屋鉴</w:t>
            </w:r>
            <w:r>
              <w:rPr>
                <w:rFonts w:hint="eastAsia" w:ascii="仿宋_GB2312" w:hAnsi="仿宋_GB2312" w:eastAsia="仿宋_GB2312" w:cs="仿宋_GB2312"/>
                <w:color w:val="auto"/>
                <w:sz w:val="24"/>
                <w:szCs w:val="24"/>
                <w:highlight w:val="none"/>
                <w:lang w:val="en-US" w:eastAsia="zh-CN"/>
              </w:rPr>
              <w:t>定相关业绩的，每有一个项目业绩得2分，本项最高得16分。</w:t>
            </w:r>
          </w:p>
          <w:p>
            <w:pPr>
              <w:spacing w:line="37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w:t>
            </w:r>
            <w:r>
              <w:rPr>
                <w:rFonts w:hint="eastAsia" w:ascii="仿宋_GB2312" w:hAnsi="仿宋_GB2312" w:eastAsia="仿宋_GB2312" w:cs="仿宋_GB2312"/>
                <w:color w:val="auto"/>
                <w:sz w:val="24"/>
                <w:szCs w:val="24"/>
                <w:highlight w:val="none"/>
              </w:rPr>
              <w:t>需提供合同</w:t>
            </w:r>
            <w:r>
              <w:rPr>
                <w:rFonts w:hint="eastAsia" w:ascii="仿宋_GB2312" w:hAnsi="仿宋_GB2312" w:eastAsia="仿宋_GB2312" w:cs="仿宋_GB2312"/>
                <w:color w:val="auto"/>
                <w:sz w:val="24"/>
                <w:szCs w:val="24"/>
                <w:highlight w:val="none"/>
                <w:lang w:eastAsia="zh-CN"/>
              </w:rPr>
              <w:t>关键页</w:t>
            </w:r>
            <w:r>
              <w:rPr>
                <w:rFonts w:hint="eastAsia" w:ascii="仿宋_GB2312" w:hAnsi="仿宋_GB2312" w:eastAsia="仿宋_GB2312" w:cs="仿宋_GB2312"/>
                <w:color w:val="auto"/>
                <w:sz w:val="24"/>
                <w:szCs w:val="24"/>
                <w:highlight w:val="none"/>
              </w:rPr>
              <w:t>复印件</w:t>
            </w:r>
            <w:r>
              <w:rPr>
                <w:rFonts w:hint="eastAsia" w:ascii="仿宋_GB2312" w:hAnsi="仿宋_GB2312" w:eastAsia="仿宋_GB2312" w:cs="仿宋_GB2312"/>
                <w:color w:val="auto"/>
                <w:sz w:val="24"/>
                <w:szCs w:val="24"/>
                <w:highlight w:val="none"/>
                <w:lang w:eastAsia="zh-CN"/>
              </w:rPr>
              <w:t>（体现工作内容及费用的页面、盖章页等）</w:t>
            </w:r>
            <w:r>
              <w:rPr>
                <w:rFonts w:hint="eastAsia" w:ascii="仿宋_GB2312" w:hAnsi="仿宋_GB2312" w:eastAsia="仿宋_GB2312" w:cs="仿宋_GB2312"/>
                <w:color w:val="auto"/>
                <w:sz w:val="24"/>
                <w:szCs w:val="24"/>
                <w:highlight w:val="none"/>
              </w:rPr>
              <w:t>，不提供、提供不全或专家无法认定的不得分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业绩时间以合同签订时间为准。</w:t>
            </w:r>
          </w:p>
        </w:tc>
        <w:tc>
          <w:tcPr>
            <w:tcW w:w="700" w:type="dxa"/>
            <w:noWrap w:val="0"/>
            <w:vAlign w:val="center"/>
          </w:tcPr>
          <w:p>
            <w:pPr>
              <w:spacing w:line="370" w:lineRule="exact"/>
              <w:ind w:left="-2" w:leftChars="-1"/>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60" w:hRule="atLeast"/>
        </w:trPr>
        <w:tc>
          <w:tcPr>
            <w:tcW w:w="1230" w:type="dxa"/>
            <w:vMerge w:val="continue"/>
            <w:noWrap w:val="0"/>
            <w:vAlign w:val="center"/>
          </w:tcPr>
          <w:p>
            <w:pPr>
              <w:snapToGrid w:val="0"/>
              <w:spacing w:line="370" w:lineRule="exact"/>
              <w:ind w:left="-2" w:leftChars="-1"/>
              <w:jc w:val="center"/>
              <w:rPr>
                <w:rFonts w:hint="eastAsia" w:ascii="仿宋_GB2312" w:hAnsi="仿宋_GB2312" w:eastAsia="仿宋_GB2312" w:cs="仿宋_GB2312"/>
                <w:color w:val="auto"/>
                <w:sz w:val="24"/>
                <w:szCs w:val="24"/>
                <w:highlight w:val="none"/>
              </w:rPr>
            </w:pPr>
          </w:p>
        </w:tc>
        <w:tc>
          <w:tcPr>
            <w:tcW w:w="1300" w:type="dxa"/>
            <w:noWrap w:val="0"/>
            <w:vAlign w:val="center"/>
          </w:tcPr>
          <w:p>
            <w:pPr>
              <w:widowControl/>
              <w:spacing w:line="370" w:lineRule="exact"/>
              <w:ind w:left="-42" w:right="-61"/>
              <w:jc w:val="center"/>
              <w:rPr>
                <w:rFonts w:hint="eastAsia" w:ascii="仿宋_GB2312" w:hAnsi="仿宋_GB2312" w:eastAsia="仿宋_GB2312" w:cs="仿宋_GB2312"/>
                <w:color w:val="auto"/>
                <w:kern w:val="0"/>
                <w:sz w:val="24"/>
                <w:szCs w:val="24"/>
                <w:highlight w:val="none"/>
              </w:rPr>
            </w:pPr>
          </w:p>
          <w:p>
            <w:pPr>
              <w:widowControl/>
              <w:spacing w:line="370" w:lineRule="exact"/>
              <w:ind w:left="-42" w:right="-61"/>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认证</w:t>
            </w:r>
            <w:r>
              <w:rPr>
                <w:rFonts w:hint="eastAsia" w:ascii="仿宋_GB2312" w:hAnsi="仿宋_GB2312" w:eastAsia="仿宋_GB2312" w:cs="仿宋_GB2312"/>
                <w:color w:val="auto"/>
                <w:kern w:val="0"/>
                <w:sz w:val="24"/>
                <w:szCs w:val="24"/>
                <w:highlight w:val="none"/>
                <w:lang w:eastAsia="zh-CN"/>
              </w:rPr>
              <w:t>体系</w:t>
            </w:r>
          </w:p>
          <w:p>
            <w:pPr>
              <w:widowControl/>
              <w:spacing w:line="370" w:lineRule="exact"/>
              <w:ind w:left="-42" w:leftChars="0" w:right="-61" w:rightChars="0"/>
              <w:rPr>
                <w:rFonts w:hint="eastAsia" w:ascii="仿宋_GB2312" w:hAnsi="仿宋_GB2312" w:eastAsia="仿宋_GB2312" w:cs="仿宋_GB2312"/>
                <w:color w:val="auto"/>
                <w:kern w:val="2"/>
                <w:sz w:val="24"/>
                <w:szCs w:val="24"/>
                <w:highlight w:val="none"/>
                <w:lang w:val="en-US" w:eastAsia="zh-CN" w:bidi="ar-SA"/>
              </w:rPr>
            </w:pPr>
          </w:p>
        </w:tc>
        <w:tc>
          <w:tcPr>
            <w:tcW w:w="770" w:type="dxa"/>
            <w:noWrap w:val="0"/>
            <w:vAlign w:val="center"/>
          </w:tcPr>
          <w:p>
            <w:pPr>
              <w:spacing w:line="370" w:lineRule="exact"/>
              <w:jc w:val="center"/>
              <w:rPr>
                <w:rFonts w:hint="eastAsia" w:ascii="仿宋_GB2312" w:hAnsi="仿宋_GB2312" w:eastAsia="仿宋_GB2312" w:cs="仿宋_GB2312"/>
                <w:color w:val="auto"/>
                <w:kern w:val="2"/>
                <w:position w:val="8"/>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分</w:t>
            </w:r>
          </w:p>
        </w:tc>
        <w:tc>
          <w:tcPr>
            <w:tcW w:w="5640" w:type="dxa"/>
            <w:noWrap w:val="0"/>
            <w:vAlign w:val="center"/>
          </w:tcPr>
          <w:p>
            <w:pPr>
              <w:autoSpaceDE/>
              <w:autoSpaceDN/>
              <w:spacing w:line="370" w:lineRule="exac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投标人具有有效的质量管理体系认证证书、环境管理体系认证证书、职业健康安全管理体系认证证书，每有一</w:t>
            </w:r>
            <w:r>
              <w:rPr>
                <w:rFonts w:hint="eastAsia" w:ascii="仿宋_GB2312" w:hAnsi="仿宋_GB2312" w:eastAsia="仿宋_GB2312" w:cs="仿宋_GB2312"/>
                <w:b w:val="0"/>
                <w:bCs w:val="0"/>
                <w:color w:val="auto"/>
                <w:sz w:val="24"/>
                <w:szCs w:val="24"/>
                <w:highlight w:val="none"/>
              </w:rPr>
              <w:t>个证书</w:t>
            </w:r>
            <w:r>
              <w:rPr>
                <w:rFonts w:hint="eastAsia" w:ascii="仿宋_GB2312" w:hAnsi="仿宋_GB2312" w:eastAsia="仿宋_GB2312" w:cs="仿宋_GB2312"/>
                <w:b w:val="0"/>
                <w:bCs w:val="0"/>
                <w:color w:val="auto"/>
                <w:sz w:val="24"/>
                <w:szCs w:val="24"/>
                <w:highlight w:val="none"/>
                <w:shd w:val="clear" w:color="auto" w:fill="auto"/>
                <w:lang w:val="en-US" w:eastAsia="zh-CN"/>
              </w:rPr>
              <w:t>得1</w:t>
            </w:r>
            <w:r>
              <w:rPr>
                <w:rFonts w:hint="eastAsia" w:ascii="仿宋_GB2312" w:hAnsi="仿宋_GB2312" w:eastAsia="仿宋_GB2312" w:cs="仿宋_GB2312"/>
                <w:b w:val="0"/>
                <w:bCs w:val="0"/>
                <w:color w:val="auto"/>
                <w:sz w:val="24"/>
                <w:szCs w:val="24"/>
                <w:highlight w:val="none"/>
                <w:shd w:val="clear" w:color="auto" w:fill="auto"/>
              </w:rPr>
              <w:t>分</w:t>
            </w:r>
            <w:r>
              <w:rPr>
                <w:rFonts w:hint="eastAsia" w:ascii="仿宋_GB2312" w:hAnsi="仿宋_GB2312" w:eastAsia="仿宋_GB2312" w:cs="仿宋_GB2312"/>
                <w:b w:val="0"/>
                <w:bCs w:val="0"/>
                <w:color w:val="auto"/>
                <w:sz w:val="24"/>
                <w:szCs w:val="24"/>
                <w:highlight w:val="none"/>
              </w:rPr>
              <w:t>。本项最高</w:t>
            </w:r>
            <w:r>
              <w:rPr>
                <w:rFonts w:hint="eastAsia" w:ascii="仿宋_GB2312" w:hAnsi="仿宋_GB2312" w:eastAsia="仿宋_GB2312" w:cs="仿宋_GB2312"/>
                <w:b w:val="0"/>
                <w:bCs w:val="0"/>
                <w:color w:val="auto"/>
                <w:sz w:val="24"/>
                <w:szCs w:val="24"/>
                <w:highlight w:val="none"/>
                <w:shd w:val="clear" w:color="auto" w:fill="auto"/>
              </w:rPr>
              <w:t>得</w:t>
            </w:r>
            <w:r>
              <w:rPr>
                <w:rFonts w:hint="eastAsia" w:ascii="仿宋_GB2312" w:hAnsi="仿宋_GB2312" w:eastAsia="仿宋_GB2312" w:cs="仿宋_GB2312"/>
                <w:b w:val="0"/>
                <w:bCs w:val="0"/>
                <w:color w:val="auto"/>
                <w:sz w:val="24"/>
                <w:szCs w:val="24"/>
                <w:highlight w:val="none"/>
                <w:shd w:val="clear" w:color="auto" w:fill="auto"/>
                <w:lang w:val="en-US" w:eastAsia="zh-CN"/>
              </w:rPr>
              <w:t>3</w:t>
            </w:r>
            <w:r>
              <w:rPr>
                <w:rFonts w:hint="eastAsia" w:ascii="仿宋_GB2312" w:hAnsi="仿宋_GB2312" w:eastAsia="仿宋_GB2312" w:cs="仿宋_GB2312"/>
                <w:b w:val="0"/>
                <w:bCs w:val="0"/>
                <w:color w:val="auto"/>
                <w:sz w:val="24"/>
                <w:szCs w:val="24"/>
                <w:highlight w:val="none"/>
                <w:shd w:val="clear" w:color="auto" w:fill="auto"/>
              </w:rPr>
              <w:t>分</w:t>
            </w:r>
            <w:r>
              <w:rPr>
                <w:rFonts w:hint="eastAsia" w:ascii="仿宋_GB2312" w:hAnsi="仿宋_GB2312" w:eastAsia="仿宋_GB2312" w:cs="仿宋_GB2312"/>
                <w:b w:val="0"/>
                <w:bCs w:val="0"/>
                <w:color w:val="auto"/>
                <w:sz w:val="24"/>
                <w:szCs w:val="24"/>
                <w:highlight w:val="none"/>
              </w:rPr>
              <w:t>。</w:t>
            </w:r>
          </w:p>
          <w:p>
            <w:pPr>
              <w:autoSpaceDE/>
              <w:autoSpaceDN/>
              <w:spacing w:line="37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rPr>
              <w:t>注：（须提供</w:t>
            </w:r>
            <w:r>
              <w:rPr>
                <w:rFonts w:hint="eastAsia" w:ascii="仿宋_GB2312" w:hAnsi="仿宋_GB2312" w:eastAsia="仿宋_GB2312" w:cs="仿宋_GB2312"/>
                <w:b w:val="0"/>
                <w:bCs w:val="0"/>
                <w:color w:val="auto"/>
                <w:sz w:val="24"/>
                <w:szCs w:val="24"/>
                <w:highlight w:val="none"/>
                <w:lang w:val="en-US" w:eastAsia="zh-CN"/>
              </w:rPr>
              <w:t>以上有效期内的</w:t>
            </w:r>
            <w:r>
              <w:rPr>
                <w:rFonts w:hint="eastAsia" w:ascii="仿宋_GB2312" w:hAnsi="仿宋_GB2312" w:eastAsia="仿宋_GB2312" w:cs="仿宋_GB2312"/>
                <w:b w:val="0"/>
                <w:bCs w:val="0"/>
                <w:color w:val="auto"/>
                <w:sz w:val="24"/>
                <w:szCs w:val="24"/>
                <w:highlight w:val="none"/>
              </w:rPr>
              <w:t>证书复印件以及在全国认证认可信息公共服务平台上查询结果的截图，证书状态必须为“有效”</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否则不得分。</w:t>
            </w:r>
            <w:r>
              <w:rPr>
                <w:rFonts w:hint="eastAsia" w:ascii="仿宋_GB2312" w:hAnsi="仿宋_GB2312" w:eastAsia="仿宋_GB2312" w:cs="仿宋_GB2312"/>
                <w:b w:val="0"/>
                <w:bCs w:val="0"/>
                <w:color w:val="auto"/>
                <w:sz w:val="24"/>
                <w:szCs w:val="24"/>
                <w:highlight w:val="none"/>
              </w:rPr>
              <w:t>）</w:t>
            </w:r>
          </w:p>
        </w:tc>
        <w:tc>
          <w:tcPr>
            <w:tcW w:w="700" w:type="dxa"/>
            <w:noWrap w:val="0"/>
            <w:vAlign w:val="center"/>
          </w:tcPr>
          <w:p>
            <w:pPr>
              <w:spacing w:line="370" w:lineRule="exact"/>
              <w:ind w:left="-2" w:leftChars="-1"/>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0" w:hRule="atLeast"/>
        </w:trPr>
        <w:tc>
          <w:tcPr>
            <w:tcW w:w="1230" w:type="dxa"/>
            <w:vMerge w:val="continue"/>
            <w:noWrap w:val="0"/>
            <w:vAlign w:val="center"/>
          </w:tcPr>
          <w:p>
            <w:pPr>
              <w:snapToGrid w:val="0"/>
              <w:spacing w:line="370" w:lineRule="exact"/>
              <w:ind w:left="-2" w:leftChars="-1"/>
              <w:jc w:val="center"/>
              <w:rPr>
                <w:rFonts w:hint="eastAsia" w:ascii="仿宋_GB2312" w:hAnsi="仿宋_GB2312" w:eastAsia="仿宋_GB2312" w:cs="仿宋_GB2312"/>
                <w:color w:val="auto"/>
                <w:sz w:val="24"/>
                <w:szCs w:val="24"/>
                <w:highlight w:val="none"/>
              </w:rPr>
            </w:pPr>
          </w:p>
        </w:tc>
        <w:tc>
          <w:tcPr>
            <w:tcW w:w="1300" w:type="dxa"/>
            <w:noWrap w:val="0"/>
            <w:vAlign w:val="center"/>
          </w:tcPr>
          <w:p>
            <w:pPr>
              <w:spacing w:line="370" w:lineRule="exact"/>
              <w:ind w:left="42" w:leftChars="20" w:right="42" w:rightChars="2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获奖情况</w:t>
            </w:r>
          </w:p>
        </w:tc>
        <w:tc>
          <w:tcPr>
            <w:tcW w:w="770" w:type="dxa"/>
            <w:noWrap w:val="0"/>
            <w:vAlign w:val="center"/>
          </w:tcPr>
          <w:p>
            <w:pPr>
              <w:spacing w:line="370" w:lineRule="exact"/>
              <w:jc w:val="center"/>
              <w:rPr>
                <w:rFonts w:hint="eastAsia" w:ascii="仿宋_GB2312" w:hAnsi="仿宋_GB2312" w:eastAsia="仿宋_GB2312" w:cs="仿宋_GB2312"/>
                <w:color w:val="auto"/>
                <w:position w:val="8"/>
                <w:sz w:val="24"/>
                <w:szCs w:val="24"/>
                <w:highlight w:val="none"/>
                <w:lang w:val="en-US" w:eastAsia="zh-CN"/>
              </w:rPr>
            </w:pPr>
          </w:p>
          <w:p>
            <w:pPr>
              <w:spacing w:line="370" w:lineRule="exact"/>
              <w:jc w:val="center"/>
              <w:rPr>
                <w:rFonts w:hint="eastAsia" w:ascii="仿宋_GB2312" w:hAnsi="仿宋_GB2312" w:eastAsia="仿宋_GB2312" w:cs="仿宋_GB2312"/>
                <w:color w:val="auto"/>
                <w:position w:val="8"/>
                <w:sz w:val="24"/>
                <w:szCs w:val="24"/>
                <w:highlight w:val="none"/>
                <w:lang w:val="en-US" w:eastAsia="zh-CN"/>
              </w:rPr>
            </w:pPr>
            <w:r>
              <w:rPr>
                <w:rFonts w:hint="eastAsia" w:ascii="仿宋_GB2312" w:hAnsi="仿宋_GB2312" w:eastAsia="仿宋_GB2312" w:cs="仿宋_GB2312"/>
                <w:color w:val="auto"/>
                <w:position w:val="8"/>
                <w:sz w:val="24"/>
                <w:szCs w:val="24"/>
                <w:highlight w:val="none"/>
                <w:lang w:val="en-US" w:eastAsia="zh-CN"/>
              </w:rPr>
              <w:t>7分</w:t>
            </w:r>
          </w:p>
          <w:p>
            <w:pPr>
              <w:pStyle w:val="2"/>
              <w:spacing w:line="370" w:lineRule="exact"/>
              <w:ind w:firstLine="0"/>
              <w:rPr>
                <w:rFonts w:hint="eastAsia" w:ascii="仿宋_GB2312" w:hAnsi="仿宋_GB2312" w:eastAsia="仿宋_GB2312" w:cs="仿宋_GB2312"/>
                <w:color w:val="auto"/>
                <w:sz w:val="24"/>
                <w:szCs w:val="24"/>
                <w:highlight w:val="none"/>
                <w:lang w:val="en-US" w:eastAsia="zh-CN"/>
              </w:rPr>
            </w:pPr>
          </w:p>
        </w:tc>
        <w:tc>
          <w:tcPr>
            <w:tcW w:w="5640" w:type="dxa"/>
            <w:noWrap w:val="0"/>
            <w:vAlign w:val="center"/>
          </w:tcPr>
          <w:p>
            <w:pPr>
              <w:pStyle w:val="2"/>
              <w:numPr>
                <w:ilvl w:val="0"/>
                <w:numId w:val="3"/>
              </w:numPr>
              <w:spacing w:line="370" w:lineRule="exact"/>
              <w:ind w:firstLine="0"/>
              <w:rPr>
                <w:rFonts w:hint="eastAsia" w:ascii="仿宋_GB2312" w:hAnsi="仿宋_GB2312" w:eastAsia="仿宋_GB2312" w:cs="仿宋_GB2312"/>
                <w:strike w:val="0"/>
                <w:color w:val="auto"/>
                <w:kern w:val="2"/>
                <w:sz w:val="24"/>
                <w:szCs w:val="24"/>
                <w:highlight w:val="none"/>
                <w:lang w:val="en-US" w:eastAsia="zh-CN"/>
              </w:rPr>
            </w:pPr>
            <w:r>
              <w:rPr>
                <w:rFonts w:hint="eastAsia" w:ascii="仿宋_GB2312" w:hAnsi="仿宋_GB2312" w:eastAsia="仿宋_GB2312" w:cs="仿宋_GB2312"/>
                <w:strike w:val="0"/>
                <w:color w:val="auto"/>
                <w:kern w:val="2"/>
                <w:sz w:val="24"/>
                <w:szCs w:val="24"/>
                <w:highlight w:val="none"/>
                <w:lang w:val="en-US" w:eastAsia="zh-CN"/>
              </w:rPr>
              <w:t>投标人为广东省内高新技术企业得2分（提供高新技术企业证书）</w:t>
            </w:r>
          </w:p>
          <w:p>
            <w:pPr>
              <w:pStyle w:val="2"/>
              <w:spacing w:line="370" w:lineRule="exact"/>
              <w:ind w:firstLine="0"/>
              <w:rPr>
                <w:rFonts w:hint="eastAsia" w:ascii="仿宋_GB2312" w:hAnsi="仿宋_GB2312" w:eastAsia="仿宋_GB2312" w:cs="仿宋_GB2312"/>
                <w:strike w:val="0"/>
                <w:color w:val="auto"/>
                <w:kern w:val="2"/>
                <w:sz w:val="24"/>
                <w:szCs w:val="24"/>
                <w:highlight w:val="none"/>
                <w:lang w:val="en-US" w:eastAsia="zh-CN"/>
              </w:rPr>
            </w:pPr>
            <w:r>
              <w:rPr>
                <w:rFonts w:hint="eastAsia" w:ascii="仿宋_GB2312" w:hAnsi="仿宋_GB2312" w:eastAsia="仿宋_GB2312" w:cs="仿宋_GB2312"/>
                <w:strike w:val="0"/>
                <w:color w:val="auto"/>
                <w:kern w:val="2"/>
                <w:sz w:val="24"/>
                <w:szCs w:val="24"/>
                <w:highlight w:val="none"/>
                <w:lang w:val="en-US" w:eastAsia="zh-CN"/>
              </w:rPr>
              <w:t>2、投标人拥有由国家知识产权局授予的专利证书，每件可得0.5分，本项最高分5分。（专利证书必须为2018以后获得，且需提供专利证书复印件。）</w:t>
            </w:r>
          </w:p>
        </w:tc>
        <w:tc>
          <w:tcPr>
            <w:tcW w:w="700" w:type="dxa"/>
            <w:noWrap w:val="0"/>
            <w:vAlign w:val="center"/>
          </w:tcPr>
          <w:p>
            <w:pPr>
              <w:spacing w:line="370" w:lineRule="exact"/>
              <w:ind w:left="-2" w:leftChars="-1"/>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0" w:hRule="atLeast"/>
        </w:trPr>
        <w:tc>
          <w:tcPr>
            <w:tcW w:w="1230" w:type="dxa"/>
            <w:vMerge w:val="continue"/>
            <w:noWrap w:val="0"/>
            <w:vAlign w:val="center"/>
          </w:tcPr>
          <w:p>
            <w:pPr>
              <w:snapToGrid w:val="0"/>
              <w:spacing w:line="370" w:lineRule="exact"/>
              <w:ind w:left="-2" w:leftChars="-1"/>
              <w:jc w:val="center"/>
              <w:rPr>
                <w:rFonts w:hint="eastAsia" w:ascii="仿宋_GB2312" w:hAnsi="仿宋_GB2312" w:eastAsia="仿宋_GB2312" w:cs="仿宋_GB2312"/>
                <w:color w:val="auto"/>
                <w:sz w:val="24"/>
                <w:szCs w:val="24"/>
                <w:highlight w:val="none"/>
              </w:rPr>
            </w:pPr>
          </w:p>
        </w:tc>
        <w:tc>
          <w:tcPr>
            <w:tcW w:w="1300" w:type="dxa"/>
            <w:vMerge w:val="restart"/>
            <w:noWrap w:val="0"/>
            <w:vAlign w:val="center"/>
          </w:tcPr>
          <w:p>
            <w:pPr>
              <w:spacing w:line="37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5"/>
                <w:sz w:val="24"/>
                <w:szCs w:val="24"/>
                <w:highlight w:val="none"/>
              </w:rPr>
              <w:t>拟派本项目</w:t>
            </w:r>
            <w:r>
              <w:rPr>
                <w:rFonts w:hint="eastAsia" w:ascii="仿宋_GB2312" w:hAnsi="仿宋_GB2312" w:eastAsia="仿宋_GB2312" w:cs="仿宋_GB2312"/>
                <w:color w:val="auto"/>
                <w:spacing w:val="-5"/>
                <w:sz w:val="24"/>
                <w:szCs w:val="24"/>
                <w:highlight w:val="none"/>
                <w:lang w:val="en-US" w:eastAsia="zh-CN"/>
              </w:rPr>
              <w:t>团队</w:t>
            </w:r>
            <w:r>
              <w:rPr>
                <w:rFonts w:hint="eastAsia" w:ascii="仿宋_GB2312" w:hAnsi="仿宋_GB2312" w:eastAsia="仿宋_GB2312" w:cs="仿宋_GB2312"/>
                <w:color w:val="auto"/>
                <w:spacing w:val="-5"/>
                <w:sz w:val="24"/>
                <w:szCs w:val="24"/>
                <w:highlight w:val="none"/>
              </w:rPr>
              <w:t>情况</w:t>
            </w:r>
          </w:p>
        </w:tc>
        <w:tc>
          <w:tcPr>
            <w:tcW w:w="770" w:type="dxa"/>
            <w:noWrap w:val="0"/>
            <w:vAlign w:val="center"/>
          </w:tcPr>
          <w:p>
            <w:pPr>
              <w:spacing w:line="37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7分</w:t>
            </w:r>
          </w:p>
        </w:tc>
        <w:tc>
          <w:tcPr>
            <w:tcW w:w="5640" w:type="dxa"/>
            <w:noWrap w:val="0"/>
            <w:vAlign w:val="center"/>
          </w:tcPr>
          <w:p>
            <w:pPr>
              <w:autoSpaceDE/>
              <w:autoSpaceDN/>
              <w:adjustRightInd/>
              <w:snapToGrid w:val="0"/>
              <w:spacing w:line="370" w:lineRule="exact"/>
              <w:rPr>
                <w:rFonts w:hint="eastAsia" w:ascii="仿宋_GB2312" w:hAnsi="仿宋_GB2312" w:eastAsia="仿宋_GB2312" w:cs="仿宋_GB2312"/>
                <w:color w:val="auto"/>
                <w:spacing w:val="-5"/>
                <w:sz w:val="24"/>
                <w:szCs w:val="24"/>
                <w:highlight w:val="none"/>
              </w:rPr>
            </w:pPr>
            <w:r>
              <w:rPr>
                <w:rFonts w:hint="eastAsia" w:ascii="仿宋_GB2312" w:hAnsi="仿宋_GB2312" w:eastAsia="仿宋_GB2312" w:cs="仿宋_GB2312"/>
                <w:color w:val="auto"/>
                <w:spacing w:val="-5"/>
                <w:sz w:val="24"/>
                <w:szCs w:val="24"/>
                <w:highlight w:val="none"/>
                <w:lang w:val="en-US" w:eastAsia="zh-CN"/>
              </w:rPr>
              <w:t>项目</w:t>
            </w:r>
            <w:r>
              <w:rPr>
                <w:rFonts w:hint="eastAsia" w:ascii="仿宋_GB2312" w:hAnsi="仿宋_GB2312" w:eastAsia="仿宋_GB2312" w:cs="仿宋_GB2312"/>
                <w:color w:val="auto"/>
                <w:spacing w:val="-5"/>
                <w:sz w:val="24"/>
                <w:szCs w:val="24"/>
                <w:highlight w:val="none"/>
              </w:rPr>
              <w:t>负责人：</w:t>
            </w:r>
          </w:p>
          <w:p>
            <w:pPr>
              <w:autoSpaceDE/>
              <w:autoSpaceDN/>
              <w:adjustRightInd/>
              <w:snapToGrid w:val="0"/>
              <w:spacing w:line="370" w:lineRule="exact"/>
              <w:rPr>
                <w:rFonts w:hint="eastAsia" w:ascii="仿宋_GB2312" w:hAnsi="仿宋_GB2312" w:eastAsia="仿宋_GB2312" w:cs="仿宋_GB2312"/>
                <w:color w:val="auto"/>
                <w:spacing w:val="-5"/>
                <w:sz w:val="24"/>
                <w:szCs w:val="24"/>
                <w:highlight w:val="none"/>
                <w:lang w:val="en-US" w:eastAsia="zh-CN"/>
              </w:rPr>
            </w:pPr>
            <w:r>
              <w:rPr>
                <w:rFonts w:hint="eastAsia" w:ascii="仿宋_GB2312" w:hAnsi="仿宋_GB2312" w:eastAsia="仿宋_GB2312" w:cs="仿宋_GB2312"/>
                <w:color w:val="auto"/>
                <w:spacing w:val="-5"/>
                <w:sz w:val="24"/>
                <w:szCs w:val="24"/>
                <w:highlight w:val="none"/>
                <w:lang w:val="en-US" w:eastAsia="zh-CN"/>
              </w:rPr>
              <w:t>1、</w:t>
            </w:r>
            <w:r>
              <w:rPr>
                <w:rFonts w:hint="eastAsia" w:ascii="仿宋_GB2312" w:hAnsi="仿宋_GB2312" w:eastAsia="仿宋_GB2312" w:cs="仿宋_GB2312"/>
                <w:color w:val="auto"/>
                <w:spacing w:val="-5"/>
                <w:sz w:val="24"/>
                <w:szCs w:val="24"/>
                <w:highlight w:val="none"/>
              </w:rPr>
              <w:t>具有</w:t>
            </w:r>
            <w:r>
              <w:rPr>
                <w:rFonts w:hint="eastAsia" w:ascii="仿宋_GB2312" w:hAnsi="仿宋_GB2312" w:eastAsia="仿宋_GB2312" w:cs="仿宋_GB2312"/>
                <w:color w:val="auto"/>
                <w:spacing w:val="-5"/>
                <w:sz w:val="24"/>
                <w:szCs w:val="24"/>
                <w:highlight w:val="none"/>
                <w:lang w:eastAsia="zh-CN"/>
              </w:rPr>
              <w:t>一级注册</w:t>
            </w:r>
            <w:r>
              <w:rPr>
                <w:rFonts w:hint="eastAsia" w:ascii="仿宋_GB2312" w:hAnsi="仿宋_GB2312" w:eastAsia="仿宋_GB2312" w:cs="仿宋_GB2312"/>
                <w:i w:val="0"/>
                <w:iCs w:val="0"/>
                <w:caps w:val="0"/>
                <w:color w:val="auto"/>
                <w:spacing w:val="-5"/>
                <w:sz w:val="24"/>
                <w:szCs w:val="24"/>
                <w:highlight w:val="none"/>
                <w:shd w:val="clear" w:color="auto" w:fill="auto"/>
                <w:lang w:eastAsia="zh-CN"/>
              </w:rPr>
              <w:t>结构工程师的</w:t>
            </w:r>
            <w:r>
              <w:rPr>
                <w:rFonts w:hint="eastAsia" w:ascii="仿宋_GB2312" w:hAnsi="仿宋_GB2312" w:eastAsia="仿宋_GB2312" w:cs="仿宋_GB2312"/>
                <w:color w:val="auto"/>
                <w:spacing w:val="-5"/>
                <w:sz w:val="24"/>
                <w:szCs w:val="24"/>
                <w:highlight w:val="none"/>
                <w:lang w:val="en-US" w:eastAsia="zh-CN"/>
              </w:rPr>
              <w:t>，</w:t>
            </w:r>
            <w:r>
              <w:rPr>
                <w:rFonts w:hint="eastAsia" w:ascii="仿宋_GB2312" w:hAnsi="仿宋_GB2312" w:eastAsia="仿宋_GB2312" w:cs="仿宋_GB2312"/>
                <w:color w:val="auto"/>
                <w:spacing w:val="-5"/>
                <w:sz w:val="24"/>
                <w:szCs w:val="24"/>
                <w:highlight w:val="none"/>
                <w:shd w:val="clear" w:color="auto" w:fill="auto"/>
                <w:lang w:val="en-US" w:eastAsia="zh-CN"/>
              </w:rPr>
              <w:t>得3分</w:t>
            </w:r>
            <w:r>
              <w:rPr>
                <w:rFonts w:hint="eastAsia" w:ascii="仿宋_GB2312" w:hAnsi="仿宋_GB2312" w:eastAsia="仿宋_GB2312" w:cs="仿宋_GB2312"/>
                <w:color w:val="auto"/>
                <w:spacing w:val="-5"/>
                <w:sz w:val="24"/>
                <w:szCs w:val="24"/>
                <w:highlight w:val="none"/>
                <w:lang w:val="en-US" w:eastAsia="zh-CN"/>
              </w:rPr>
              <w:t>；</w:t>
            </w:r>
          </w:p>
          <w:p>
            <w:pPr>
              <w:autoSpaceDE/>
              <w:autoSpaceDN/>
              <w:adjustRightInd/>
              <w:snapToGrid w:val="0"/>
              <w:spacing w:line="370" w:lineRule="exact"/>
              <w:rPr>
                <w:rFonts w:hint="eastAsia" w:ascii="仿宋_GB2312" w:hAnsi="仿宋_GB2312" w:eastAsia="仿宋_GB2312" w:cs="仿宋_GB2312"/>
                <w:color w:val="auto"/>
                <w:spacing w:val="-5"/>
                <w:sz w:val="24"/>
                <w:szCs w:val="24"/>
                <w:highlight w:val="none"/>
                <w:lang w:val="en-US" w:eastAsia="zh-CN"/>
              </w:rPr>
            </w:pPr>
            <w:r>
              <w:rPr>
                <w:rFonts w:hint="eastAsia" w:ascii="仿宋_GB2312" w:hAnsi="仿宋_GB2312" w:eastAsia="仿宋_GB2312" w:cs="仿宋_GB2312"/>
                <w:i w:val="0"/>
                <w:iCs w:val="0"/>
                <w:caps w:val="0"/>
                <w:color w:val="auto"/>
                <w:spacing w:val="-5"/>
                <w:sz w:val="24"/>
                <w:szCs w:val="24"/>
                <w:highlight w:val="none"/>
                <w:shd w:val="clear"/>
                <w:lang w:val="en-US" w:eastAsia="zh-CN"/>
              </w:rPr>
              <w:t>2、</w:t>
            </w:r>
            <w:r>
              <w:rPr>
                <w:rFonts w:hint="eastAsia" w:ascii="仿宋_GB2312" w:hAnsi="仿宋_GB2312" w:eastAsia="仿宋_GB2312" w:cs="仿宋_GB2312"/>
                <w:i w:val="0"/>
                <w:iCs w:val="0"/>
                <w:caps w:val="0"/>
                <w:color w:val="auto"/>
                <w:spacing w:val="-5"/>
                <w:sz w:val="24"/>
                <w:szCs w:val="24"/>
                <w:highlight w:val="none"/>
                <w:shd w:val="clear" w:color="auto" w:fill="auto"/>
                <w:lang w:eastAsia="zh-CN"/>
              </w:rPr>
              <w:t>具有</w:t>
            </w:r>
            <w:r>
              <w:rPr>
                <w:rFonts w:hint="eastAsia" w:ascii="仿宋_GB2312" w:hAnsi="仿宋_GB2312" w:eastAsia="仿宋_GB2312" w:cs="仿宋_GB2312"/>
                <w:i w:val="0"/>
                <w:iCs w:val="0"/>
                <w:caps w:val="0"/>
                <w:color w:val="auto"/>
                <w:spacing w:val="-5"/>
                <w:sz w:val="24"/>
                <w:szCs w:val="24"/>
                <w:highlight w:val="none"/>
                <w:shd w:val="clear" w:color="auto" w:fill="auto"/>
              </w:rPr>
              <w:t>工程</w:t>
            </w:r>
            <w:r>
              <w:rPr>
                <w:rFonts w:hint="eastAsia" w:ascii="仿宋_GB2312" w:hAnsi="仿宋_GB2312" w:eastAsia="仿宋_GB2312" w:cs="仿宋_GB2312"/>
                <w:i w:val="0"/>
                <w:iCs w:val="0"/>
                <w:caps w:val="0"/>
                <w:color w:val="auto"/>
                <w:spacing w:val="-5"/>
                <w:sz w:val="24"/>
                <w:szCs w:val="24"/>
                <w:highlight w:val="none"/>
                <w:shd w:val="clear" w:color="auto" w:fill="auto"/>
                <w:lang w:eastAsia="zh-CN"/>
              </w:rPr>
              <w:t>类相关专业</w:t>
            </w:r>
            <w:r>
              <w:rPr>
                <w:rFonts w:hint="eastAsia" w:ascii="仿宋_GB2312" w:hAnsi="仿宋_GB2312" w:eastAsia="仿宋_GB2312" w:cs="仿宋_GB2312"/>
                <w:color w:val="auto"/>
                <w:spacing w:val="-5"/>
                <w:sz w:val="24"/>
                <w:szCs w:val="24"/>
                <w:highlight w:val="none"/>
                <w:lang w:val="en-US" w:eastAsia="zh-CN"/>
              </w:rPr>
              <w:t>高</w:t>
            </w:r>
            <w:r>
              <w:rPr>
                <w:rFonts w:hint="eastAsia" w:ascii="仿宋_GB2312" w:hAnsi="仿宋_GB2312" w:eastAsia="仿宋_GB2312" w:cs="仿宋_GB2312"/>
                <w:color w:val="auto"/>
                <w:spacing w:val="-5"/>
                <w:sz w:val="24"/>
                <w:szCs w:val="24"/>
                <w:highlight w:val="none"/>
                <w:lang w:eastAsia="zh-CN"/>
              </w:rPr>
              <w:t>级或以上工程师职称的，得</w:t>
            </w:r>
            <w:r>
              <w:rPr>
                <w:rFonts w:hint="eastAsia" w:ascii="仿宋_GB2312" w:hAnsi="仿宋_GB2312" w:eastAsia="仿宋_GB2312" w:cs="仿宋_GB2312"/>
                <w:color w:val="auto"/>
                <w:spacing w:val="-5"/>
                <w:sz w:val="24"/>
                <w:szCs w:val="24"/>
                <w:highlight w:val="none"/>
                <w:lang w:val="en-US" w:eastAsia="zh-CN"/>
              </w:rPr>
              <w:t>2分；</w:t>
            </w:r>
          </w:p>
          <w:p>
            <w:pPr>
              <w:numPr>
                <w:ilvl w:val="0"/>
                <w:numId w:val="0"/>
              </w:numPr>
              <w:autoSpaceDE/>
              <w:autoSpaceDN/>
              <w:adjustRightInd/>
              <w:snapToGrid w:val="0"/>
              <w:spacing w:line="370" w:lineRule="exact"/>
              <w:rPr>
                <w:rFonts w:hint="eastAsia" w:ascii="仿宋_GB2312" w:hAnsi="仿宋_GB2312" w:eastAsia="仿宋_GB2312" w:cs="仿宋_GB2312"/>
                <w:color w:val="auto"/>
                <w:spacing w:val="-5"/>
                <w:sz w:val="24"/>
                <w:szCs w:val="24"/>
                <w:highlight w:val="none"/>
                <w:lang w:val="en-US" w:eastAsia="zh-CN"/>
              </w:rPr>
            </w:pPr>
            <w:r>
              <w:rPr>
                <w:rFonts w:hint="eastAsia" w:ascii="仿宋_GB2312" w:hAnsi="仿宋_GB2312" w:eastAsia="仿宋_GB2312" w:cs="仿宋_GB2312"/>
                <w:color w:val="auto"/>
                <w:spacing w:val="-5"/>
                <w:sz w:val="24"/>
                <w:szCs w:val="24"/>
                <w:highlight w:val="none"/>
                <w:lang w:val="en-US" w:eastAsia="zh-CN"/>
              </w:rPr>
              <w:t>3、具有</w:t>
            </w:r>
            <w:r>
              <w:rPr>
                <w:rFonts w:hint="eastAsia" w:ascii="仿宋_GB2312" w:hAnsi="仿宋_GB2312" w:eastAsia="仿宋_GB2312" w:cs="仿宋_GB2312"/>
                <w:color w:val="auto"/>
                <w:spacing w:val="-5"/>
                <w:sz w:val="24"/>
                <w:szCs w:val="24"/>
                <w:highlight w:val="none"/>
              </w:rPr>
              <w:t>工作经验</w:t>
            </w:r>
            <w:r>
              <w:rPr>
                <w:rFonts w:hint="eastAsia" w:ascii="仿宋_GB2312" w:hAnsi="仿宋_GB2312" w:eastAsia="仿宋_GB2312" w:cs="仿宋_GB2312"/>
                <w:color w:val="auto"/>
                <w:spacing w:val="-5"/>
                <w:sz w:val="24"/>
                <w:szCs w:val="24"/>
                <w:highlight w:val="none"/>
                <w:lang w:val="en-US" w:eastAsia="zh-CN"/>
              </w:rPr>
              <w:t>15</w:t>
            </w:r>
            <w:r>
              <w:rPr>
                <w:rFonts w:hint="eastAsia" w:ascii="仿宋_GB2312" w:hAnsi="仿宋_GB2312" w:eastAsia="仿宋_GB2312" w:cs="仿宋_GB2312"/>
                <w:color w:val="auto"/>
                <w:spacing w:val="-5"/>
                <w:sz w:val="24"/>
                <w:szCs w:val="24"/>
                <w:highlight w:val="none"/>
              </w:rPr>
              <w:t>年或以上，</w:t>
            </w:r>
            <w:r>
              <w:rPr>
                <w:rFonts w:hint="eastAsia" w:ascii="仿宋_GB2312" w:hAnsi="仿宋_GB2312" w:eastAsia="仿宋_GB2312" w:cs="仿宋_GB2312"/>
                <w:color w:val="auto"/>
                <w:spacing w:val="-5"/>
                <w:sz w:val="24"/>
                <w:szCs w:val="24"/>
                <w:highlight w:val="none"/>
                <w:shd w:val="clear" w:color="auto" w:fill="auto"/>
              </w:rPr>
              <w:t>得</w:t>
            </w:r>
            <w:r>
              <w:rPr>
                <w:rFonts w:hint="eastAsia" w:ascii="仿宋_GB2312" w:hAnsi="仿宋_GB2312" w:eastAsia="仿宋_GB2312" w:cs="仿宋_GB2312"/>
                <w:color w:val="auto"/>
                <w:spacing w:val="-5"/>
                <w:sz w:val="24"/>
                <w:szCs w:val="24"/>
                <w:highlight w:val="none"/>
                <w:shd w:val="clear" w:color="auto" w:fill="auto"/>
                <w:lang w:val="en-US" w:eastAsia="zh-CN"/>
              </w:rPr>
              <w:t>2</w:t>
            </w:r>
            <w:r>
              <w:rPr>
                <w:rFonts w:hint="eastAsia" w:ascii="仿宋_GB2312" w:hAnsi="仿宋_GB2312" w:eastAsia="仿宋_GB2312" w:cs="仿宋_GB2312"/>
                <w:color w:val="auto"/>
                <w:spacing w:val="-5"/>
                <w:sz w:val="24"/>
                <w:szCs w:val="24"/>
                <w:highlight w:val="none"/>
                <w:shd w:val="clear" w:color="auto" w:fill="auto"/>
              </w:rPr>
              <w:t>分</w:t>
            </w:r>
            <w:r>
              <w:rPr>
                <w:rFonts w:hint="eastAsia" w:ascii="仿宋_GB2312" w:hAnsi="仿宋_GB2312" w:eastAsia="仿宋_GB2312" w:cs="仿宋_GB2312"/>
                <w:color w:val="auto"/>
                <w:spacing w:val="-5"/>
                <w:sz w:val="24"/>
                <w:szCs w:val="24"/>
                <w:highlight w:val="none"/>
                <w:lang w:val="en-US" w:eastAsia="zh-CN"/>
              </w:rPr>
              <w:t>。</w:t>
            </w:r>
          </w:p>
          <w:p>
            <w:pPr>
              <w:autoSpaceDE/>
              <w:autoSpaceDN/>
              <w:adjustRightInd/>
              <w:snapToGrid w:val="0"/>
              <w:spacing w:line="370" w:lineRule="exact"/>
              <w:rPr>
                <w:rFonts w:hint="eastAsia" w:ascii="仿宋_GB2312" w:hAnsi="仿宋_GB2312" w:eastAsia="仿宋_GB2312" w:cs="仿宋_GB2312"/>
                <w:color w:val="auto"/>
                <w:spacing w:val="-5"/>
                <w:sz w:val="24"/>
                <w:szCs w:val="24"/>
                <w:highlight w:val="none"/>
              </w:rPr>
            </w:pPr>
            <w:r>
              <w:rPr>
                <w:rFonts w:hint="eastAsia" w:ascii="仿宋_GB2312" w:hAnsi="仿宋_GB2312" w:eastAsia="仿宋_GB2312" w:cs="仿宋_GB2312"/>
                <w:color w:val="auto"/>
                <w:spacing w:val="-5"/>
                <w:sz w:val="24"/>
                <w:szCs w:val="24"/>
                <w:highlight w:val="none"/>
              </w:rPr>
              <w:t>本项最</w:t>
            </w:r>
            <w:r>
              <w:rPr>
                <w:rFonts w:hint="eastAsia" w:ascii="仿宋_GB2312" w:hAnsi="仿宋_GB2312" w:eastAsia="仿宋_GB2312" w:cs="仿宋_GB2312"/>
                <w:color w:val="auto"/>
                <w:spacing w:val="-5"/>
                <w:sz w:val="24"/>
                <w:szCs w:val="24"/>
                <w:highlight w:val="none"/>
                <w:shd w:val="clear" w:color="auto" w:fill="auto"/>
              </w:rPr>
              <w:t>高</w:t>
            </w:r>
            <w:r>
              <w:rPr>
                <w:rFonts w:hint="eastAsia" w:ascii="仿宋_GB2312" w:hAnsi="仿宋_GB2312" w:eastAsia="仿宋_GB2312" w:cs="仿宋_GB2312"/>
                <w:color w:val="auto"/>
                <w:spacing w:val="-5"/>
                <w:sz w:val="24"/>
                <w:szCs w:val="24"/>
                <w:highlight w:val="none"/>
                <w:shd w:val="clear" w:color="auto" w:fill="auto"/>
                <w:lang w:eastAsia="zh-CN"/>
              </w:rPr>
              <w:t>得</w:t>
            </w:r>
            <w:r>
              <w:rPr>
                <w:rFonts w:hint="eastAsia" w:ascii="仿宋_GB2312" w:hAnsi="仿宋_GB2312" w:eastAsia="仿宋_GB2312" w:cs="仿宋_GB2312"/>
                <w:color w:val="auto"/>
                <w:spacing w:val="-5"/>
                <w:sz w:val="24"/>
                <w:szCs w:val="24"/>
                <w:highlight w:val="none"/>
                <w:shd w:val="clear"/>
                <w:lang w:val="en-US" w:eastAsia="zh-CN"/>
              </w:rPr>
              <w:t>7</w:t>
            </w:r>
            <w:r>
              <w:rPr>
                <w:rFonts w:hint="eastAsia" w:ascii="仿宋_GB2312" w:hAnsi="仿宋_GB2312" w:eastAsia="仿宋_GB2312" w:cs="仿宋_GB2312"/>
                <w:color w:val="auto"/>
                <w:spacing w:val="-5"/>
                <w:sz w:val="24"/>
                <w:szCs w:val="24"/>
                <w:highlight w:val="none"/>
                <w:shd w:val="clear" w:color="auto" w:fill="auto"/>
              </w:rPr>
              <w:t>分</w:t>
            </w:r>
            <w:r>
              <w:rPr>
                <w:rFonts w:hint="eastAsia" w:ascii="仿宋_GB2312" w:hAnsi="仿宋_GB2312" w:eastAsia="仿宋_GB2312" w:cs="仿宋_GB2312"/>
                <w:color w:val="auto"/>
                <w:spacing w:val="-5"/>
                <w:sz w:val="24"/>
                <w:szCs w:val="24"/>
                <w:highlight w:val="none"/>
              </w:rPr>
              <w:t>。</w:t>
            </w:r>
          </w:p>
          <w:p>
            <w:pPr>
              <w:autoSpaceDE/>
              <w:autoSpaceDN/>
              <w:adjustRightInd/>
              <w:snapToGrid w:val="0"/>
              <w:spacing w:line="37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5"/>
                <w:sz w:val="24"/>
                <w:szCs w:val="24"/>
                <w:highlight w:val="none"/>
                <w:lang w:eastAsia="zh-CN"/>
              </w:rPr>
              <w:t>（</w:t>
            </w:r>
            <w:r>
              <w:rPr>
                <w:rFonts w:hint="eastAsia" w:ascii="仿宋_GB2312" w:hAnsi="仿宋_GB2312" w:eastAsia="仿宋_GB2312" w:cs="仿宋_GB2312"/>
                <w:color w:val="auto"/>
                <w:spacing w:val="-5"/>
                <w:sz w:val="24"/>
                <w:szCs w:val="24"/>
                <w:highlight w:val="none"/>
              </w:rPr>
              <w:t>注：需提供人员相关证书和毕业证书和投标人近</w:t>
            </w:r>
            <w:r>
              <w:rPr>
                <w:rFonts w:hint="eastAsia" w:ascii="仿宋_GB2312" w:hAnsi="仿宋_GB2312" w:eastAsia="仿宋_GB2312" w:cs="仿宋_GB2312"/>
                <w:color w:val="auto"/>
                <w:spacing w:val="-5"/>
                <w:sz w:val="24"/>
                <w:szCs w:val="24"/>
                <w:highlight w:val="none"/>
                <w:lang w:val="en-US" w:eastAsia="zh-CN"/>
              </w:rPr>
              <w:t>1</w:t>
            </w:r>
            <w:r>
              <w:rPr>
                <w:rFonts w:hint="eastAsia" w:ascii="仿宋_GB2312" w:hAnsi="仿宋_GB2312" w:eastAsia="仿宋_GB2312" w:cs="仿宋_GB2312"/>
                <w:color w:val="auto"/>
                <w:spacing w:val="-5"/>
                <w:sz w:val="24"/>
                <w:szCs w:val="24"/>
                <w:highlight w:val="none"/>
              </w:rPr>
              <w:t>个月（</w:t>
            </w:r>
            <w:r>
              <w:rPr>
                <w:rFonts w:hint="eastAsia" w:ascii="仿宋_GB2312" w:hAnsi="仿宋_GB2312" w:eastAsia="仿宋_GB2312" w:cs="仿宋_GB2312"/>
                <w:color w:val="auto"/>
                <w:spacing w:val="-5"/>
                <w:sz w:val="24"/>
                <w:szCs w:val="24"/>
                <w:highlight w:val="none"/>
                <w:lang w:val="en-US" w:eastAsia="zh-CN"/>
              </w:rPr>
              <w:t>2024年1月</w:t>
            </w:r>
            <w:r>
              <w:rPr>
                <w:rFonts w:hint="eastAsia" w:ascii="仿宋_GB2312" w:hAnsi="仿宋_GB2312" w:eastAsia="仿宋_GB2312" w:cs="仿宋_GB2312"/>
                <w:color w:val="auto"/>
                <w:spacing w:val="-5"/>
                <w:sz w:val="24"/>
                <w:szCs w:val="24"/>
                <w:highlight w:val="none"/>
              </w:rPr>
              <w:t>）为其购买社保的加盖社会保险基金管理中心印章的《投保单》或《社会保险参保人员证明》复印件，工作经验以</w:t>
            </w:r>
            <w:r>
              <w:rPr>
                <w:rFonts w:hint="eastAsia" w:ascii="仿宋_GB2312" w:hAnsi="仿宋_GB2312" w:eastAsia="仿宋_GB2312" w:cs="仿宋_GB2312"/>
                <w:color w:val="auto"/>
                <w:spacing w:val="-5"/>
                <w:sz w:val="24"/>
                <w:szCs w:val="24"/>
                <w:highlight w:val="none"/>
                <w:lang w:eastAsia="zh-CN"/>
              </w:rPr>
              <w:t>本科或专科</w:t>
            </w:r>
            <w:r>
              <w:rPr>
                <w:rFonts w:hint="eastAsia" w:ascii="仿宋_GB2312" w:hAnsi="仿宋_GB2312" w:eastAsia="仿宋_GB2312" w:cs="仿宋_GB2312"/>
                <w:color w:val="auto"/>
                <w:spacing w:val="-5"/>
                <w:sz w:val="24"/>
                <w:szCs w:val="24"/>
                <w:highlight w:val="none"/>
              </w:rPr>
              <w:t>毕业证发证时间开始计算，不符合或不提供不得分</w:t>
            </w:r>
            <w:r>
              <w:rPr>
                <w:rFonts w:hint="eastAsia" w:ascii="仿宋_GB2312" w:hAnsi="仿宋_GB2312" w:eastAsia="仿宋_GB2312" w:cs="仿宋_GB2312"/>
                <w:color w:val="auto"/>
                <w:spacing w:val="-5"/>
                <w:sz w:val="24"/>
                <w:szCs w:val="24"/>
                <w:highlight w:val="none"/>
                <w:lang w:eastAsia="zh-CN"/>
              </w:rPr>
              <w:t>。）</w:t>
            </w:r>
          </w:p>
        </w:tc>
        <w:tc>
          <w:tcPr>
            <w:tcW w:w="700" w:type="dxa"/>
            <w:noWrap w:val="0"/>
            <w:vAlign w:val="center"/>
          </w:tcPr>
          <w:p>
            <w:pPr>
              <w:spacing w:line="37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0" w:hRule="atLeast"/>
        </w:trPr>
        <w:tc>
          <w:tcPr>
            <w:tcW w:w="1230" w:type="dxa"/>
            <w:vMerge w:val="continue"/>
            <w:noWrap w:val="0"/>
            <w:vAlign w:val="center"/>
          </w:tcPr>
          <w:p>
            <w:pPr>
              <w:snapToGrid w:val="0"/>
              <w:spacing w:line="370" w:lineRule="exact"/>
              <w:ind w:left="-2" w:leftChars="-1"/>
              <w:jc w:val="center"/>
              <w:rPr>
                <w:rFonts w:hint="eastAsia" w:ascii="仿宋_GB2312" w:hAnsi="仿宋_GB2312" w:eastAsia="仿宋_GB2312" w:cs="仿宋_GB2312"/>
                <w:color w:val="auto"/>
                <w:sz w:val="24"/>
                <w:szCs w:val="24"/>
                <w:highlight w:val="none"/>
              </w:rPr>
            </w:pPr>
          </w:p>
        </w:tc>
        <w:tc>
          <w:tcPr>
            <w:tcW w:w="1300" w:type="dxa"/>
            <w:vMerge w:val="continue"/>
            <w:noWrap w:val="0"/>
            <w:vAlign w:val="center"/>
          </w:tcPr>
          <w:p>
            <w:pPr>
              <w:spacing w:line="370" w:lineRule="exact"/>
              <w:jc w:val="center"/>
              <w:rPr>
                <w:rFonts w:hint="eastAsia" w:ascii="仿宋_GB2312" w:hAnsi="仿宋_GB2312" w:eastAsia="仿宋_GB2312" w:cs="仿宋_GB2312"/>
                <w:color w:val="auto"/>
                <w:spacing w:val="-5"/>
                <w:sz w:val="24"/>
                <w:szCs w:val="24"/>
                <w:highlight w:val="none"/>
              </w:rPr>
            </w:pPr>
          </w:p>
        </w:tc>
        <w:tc>
          <w:tcPr>
            <w:tcW w:w="770" w:type="dxa"/>
            <w:noWrap w:val="0"/>
            <w:vAlign w:val="center"/>
          </w:tcPr>
          <w:p>
            <w:pPr>
              <w:spacing w:line="37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7分</w:t>
            </w:r>
          </w:p>
        </w:tc>
        <w:tc>
          <w:tcPr>
            <w:tcW w:w="5640" w:type="dxa"/>
            <w:noWrap w:val="0"/>
            <w:vAlign w:val="center"/>
          </w:tcPr>
          <w:p>
            <w:pPr>
              <w:autoSpaceDE/>
              <w:autoSpaceDN/>
              <w:adjustRightInd/>
              <w:snapToGrid w:val="0"/>
              <w:spacing w:line="370" w:lineRule="exact"/>
              <w:rPr>
                <w:rFonts w:hint="eastAsia" w:ascii="仿宋_GB2312" w:hAnsi="仿宋_GB2312" w:eastAsia="仿宋_GB2312" w:cs="仿宋_GB2312"/>
                <w:color w:val="auto"/>
                <w:spacing w:val="-5"/>
                <w:sz w:val="24"/>
                <w:szCs w:val="24"/>
                <w:highlight w:val="none"/>
              </w:rPr>
            </w:pPr>
            <w:r>
              <w:rPr>
                <w:rFonts w:hint="eastAsia" w:ascii="仿宋_GB2312" w:hAnsi="仿宋_GB2312" w:eastAsia="仿宋_GB2312" w:cs="仿宋_GB2312"/>
                <w:color w:val="auto"/>
                <w:spacing w:val="-5"/>
                <w:sz w:val="24"/>
                <w:szCs w:val="24"/>
                <w:highlight w:val="none"/>
                <w:lang w:val="en-US" w:eastAsia="zh-CN"/>
              </w:rPr>
              <w:t>技术</w:t>
            </w:r>
            <w:r>
              <w:rPr>
                <w:rFonts w:hint="eastAsia" w:ascii="仿宋_GB2312" w:hAnsi="仿宋_GB2312" w:eastAsia="仿宋_GB2312" w:cs="仿宋_GB2312"/>
                <w:color w:val="auto"/>
                <w:spacing w:val="-5"/>
                <w:sz w:val="24"/>
                <w:szCs w:val="24"/>
                <w:highlight w:val="none"/>
              </w:rPr>
              <w:t>负责人：</w:t>
            </w:r>
          </w:p>
          <w:p>
            <w:pPr>
              <w:autoSpaceDE/>
              <w:autoSpaceDN/>
              <w:adjustRightInd/>
              <w:snapToGrid w:val="0"/>
              <w:spacing w:line="370" w:lineRule="exact"/>
              <w:rPr>
                <w:rFonts w:hint="eastAsia" w:ascii="仿宋_GB2312" w:hAnsi="仿宋_GB2312" w:eastAsia="仿宋_GB2312" w:cs="仿宋_GB2312"/>
                <w:color w:val="auto"/>
                <w:spacing w:val="-5"/>
                <w:sz w:val="24"/>
                <w:szCs w:val="24"/>
                <w:highlight w:val="none"/>
                <w:shd w:val="clear" w:color="auto" w:fill="auto"/>
                <w:lang w:val="en-US" w:eastAsia="zh-CN"/>
              </w:rPr>
            </w:pPr>
            <w:r>
              <w:rPr>
                <w:rFonts w:hint="eastAsia" w:ascii="仿宋_GB2312" w:hAnsi="仿宋_GB2312" w:eastAsia="仿宋_GB2312" w:cs="仿宋_GB2312"/>
                <w:color w:val="auto"/>
                <w:spacing w:val="-5"/>
                <w:sz w:val="24"/>
                <w:szCs w:val="24"/>
                <w:highlight w:val="none"/>
                <w:lang w:val="en-US" w:eastAsia="zh-CN"/>
              </w:rPr>
              <w:t>1、具有</w:t>
            </w:r>
            <w:r>
              <w:rPr>
                <w:rFonts w:hint="eastAsia" w:ascii="仿宋_GB2312" w:hAnsi="仿宋_GB2312" w:eastAsia="仿宋_GB2312" w:cs="仿宋_GB2312"/>
                <w:i w:val="0"/>
                <w:iCs w:val="0"/>
                <w:caps w:val="0"/>
                <w:color w:val="auto"/>
                <w:spacing w:val="-5"/>
                <w:sz w:val="24"/>
                <w:szCs w:val="24"/>
                <w:highlight w:val="none"/>
                <w:shd w:val="clear" w:color="auto" w:fill="auto"/>
              </w:rPr>
              <w:t>工程</w:t>
            </w:r>
            <w:r>
              <w:rPr>
                <w:rFonts w:hint="eastAsia" w:ascii="仿宋_GB2312" w:hAnsi="仿宋_GB2312" w:eastAsia="仿宋_GB2312" w:cs="仿宋_GB2312"/>
                <w:i w:val="0"/>
                <w:iCs w:val="0"/>
                <w:caps w:val="0"/>
                <w:color w:val="auto"/>
                <w:spacing w:val="-5"/>
                <w:sz w:val="24"/>
                <w:szCs w:val="24"/>
                <w:highlight w:val="none"/>
                <w:shd w:val="clear" w:color="auto" w:fill="auto"/>
                <w:lang w:eastAsia="zh-CN"/>
              </w:rPr>
              <w:t>类相关专业</w:t>
            </w:r>
            <w:r>
              <w:rPr>
                <w:rFonts w:hint="eastAsia" w:ascii="仿宋_GB2312" w:hAnsi="仿宋_GB2312" w:eastAsia="仿宋_GB2312" w:cs="仿宋_GB2312"/>
                <w:color w:val="auto"/>
                <w:spacing w:val="-5"/>
                <w:sz w:val="24"/>
                <w:szCs w:val="24"/>
                <w:highlight w:val="none"/>
                <w:lang w:eastAsia="zh-CN"/>
              </w:rPr>
              <w:t>高级或以上工程师职称的，</w:t>
            </w:r>
            <w:r>
              <w:rPr>
                <w:rFonts w:hint="eastAsia" w:ascii="仿宋_GB2312" w:hAnsi="仿宋_GB2312" w:eastAsia="仿宋_GB2312" w:cs="仿宋_GB2312"/>
                <w:color w:val="auto"/>
                <w:spacing w:val="-5"/>
                <w:sz w:val="24"/>
                <w:szCs w:val="24"/>
                <w:highlight w:val="none"/>
                <w:shd w:val="clear" w:color="auto" w:fill="auto"/>
                <w:lang w:val="en-US" w:eastAsia="zh-CN"/>
              </w:rPr>
              <w:t>得3分；</w:t>
            </w:r>
          </w:p>
          <w:p>
            <w:pPr>
              <w:numPr>
                <w:ilvl w:val="0"/>
                <w:numId w:val="0"/>
              </w:numPr>
              <w:autoSpaceDE/>
              <w:autoSpaceDN/>
              <w:adjustRightInd/>
              <w:snapToGrid w:val="0"/>
              <w:spacing w:line="370" w:lineRule="exact"/>
              <w:rPr>
                <w:rFonts w:hint="eastAsia" w:ascii="仿宋_GB2312" w:hAnsi="仿宋_GB2312" w:eastAsia="仿宋_GB2312" w:cs="仿宋_GB2312"/>
                <w:color w:val="auto"/>
                <w:spacing w:val="-5"/>
                <w:sz w:val="24"/>
                <w:szCs w:val="24"/>
                <w:highlight w:val="none"/>
                <w:shd w:val="clear" w:color="auto" w:fill="auto"/>
                <w:lang w:eastAsia="zh-CN"/>
              </w:rPr>
            </w:pPr>
            <w:r>
              <w:rPr>
                <w:rFonts w:hint="eastAsia" w:ascii="仿宋_GB2312" w:hAnsi="仿宋_GB2312" w:eastAsia="仿宋_GB2312" w:cs="仿宋_GB2312"/>
                <w:color w:val="auto"/>
                <w:spacing w:val="-5"/>
                <w:sz w:val="24"/>
                <w:szCs w:val="24"/>
                <w:highlight w:val="none"/>
                <w:lang w:val="en-US" w:eastAsia="zh-CN"/>
              </w:rPr>
              <w:t>2、具有</w:t>
            </w:r>
            <w:r>
              <w:rPr>
                <w:rFonts w:hint="eastAsia" w:ascii="仿宋_GB2312" w:hAnsi="仿宋_GB2312" w:eastAsia="仿宋_GB2312" w:cs="仿宋_GB2312"/>
                <w:color w:val="auto"/>
                <w:spacing w:val="-5"/>
                <w:sz w:val="24"/>
                <w:szCs w:val="24"/>
                <w:highlight w:val="none"/>
              </w:rPr>
              <w:t>工作经验</w:t>
            </w:r>
            <w:r>
              <w:rPr>
                <w:rFonts w:hint="eastAsia" w:ascii="仿宋_GB2312" w:hAnsi="仿宋_GB2312" w:eastAsia="仿宋_GB2312" w:cs="仿宋_GB2312"/>
                <w:color w:val="auto"/>
                <w:spacing w:val="-5"/>
                <w:sz w:val="24"/>
                <w:szCs w:val="24"/>
                <w:highlight w:val="none"/>
                <w:lang w:val="en-US" w:eastAsia="zh-CN"/>
              </w:rPr>
              <w:t>20</w:t>
            </w:r>
            <w:r>
              <w:rPr>
                <w:rFonts w:hint="eastAsia" w:ascii="仿宋_GB2312" w:hAnsi="仿宋_GB2312" w:eastAsia="仿宋_GB2312" w:cs="仿宋_GB2312"/>
                <w:color w:val="auto"/>
                <w:spacing w:val="-5"/>
                <w:sz w:val="24"/>
                <w:szCs w:val="24"/>
                <w:highlight w:val="none"/>
              </w:rPr>
              <w:t>年或以上，</w:t>
            </w:r>
            <w:r>
              <w:rPr>
                <w:rFonts w:hint="eastAsia" w:ascii="仿宋_GB2312" w:hAnsi="仿宋_GB2312" w:eastAsia="仿宋_GB2312" w:cs="仿宋_GB2312"/>
                <w:color w:val="auto"/>
                <w:spacing w:val="-5"/>
                <w:sz w:val="24"/>
                <w:szCs w:val="24"/>
                <w:highlight w:val="none"/>
                <w:shd w:val="clear" w:color="auto" w:fill="auto"/>
              </w:rPr>
              <w:t>得</w:t>
            </w:r>
            <w:r>
              <w:rPr>
                <w:rFonts w:hint="eastAsia" w:ascii="仿宋_GB2312" w:hAnsi="仿宋_GB2312" w:eastAsia="仿宋_GB2312" w:cs="仿宋_GB2312"/>
                <w:color w:val="auto"/>
                <w:spacing w:val="-5"/>
                <w:sz w:val="24"/>
                <w:szCs w:val="24"/>
                <w:highlight w:val="none"/>
                <w:shd w:val="clear" w:color="auto" w:fill="auto"/>
                <w:lang w:val="en-US" w:eastAsia="zh-CN"/>
              </w:rPr>
              <w:t>4</w:t>
            </w:r>
            <w:r>
              <w:rPr>
                <w:rFonts w:hint="eastAsia" w:ascii="仿宋_GB2312" w:hAnsi="仿宋_GB2312" w:eastAsia="仿宋_GB2312" w:cs="仿宋_GB2312"/>
                <w:color w:val="auto"/>
                <w:spacing w:val="-5"/>
                <w:sz w:val="24"/>
                <w:szCs w:val="24"/>
                <w:highlight w:val="none"/>
                <w:shd w:val="clear" w:color="auto" w:fill="auto"/>
              </w:rPr>
              <w:t>分</w:t>
            </w:r>
            <w:r>
              <w:rPr>
                <w:rFonts w:hint="eastAsia" w:ascii="仿宋_GB2312" w:hAnsi="仿宋_GB2312" w:eastAsia="仿宋_GB2312" w:cs="仿宋_GB2312"/>
                <w:color w:val="auto"/>
                <w:spacing w:val="-5"/>
                <w:sz w:val="24"/>
                <w:szCs w:val="24"/>
                <w:highlight w:val="none"/>
                <w:shd w:val="clear" w:color="auto" w:fill="auto"/>
                <w:lang w:val="en-US" w:eastAsia="zh-CN"/>
              </w:rPr>
              <w:t>；工作经验10年以上不到20年，得2分</w:t>
            </w:r>
            <w:r>
              <w:rPr>
                <w:rFonts w:hint="eastAsia" w:ascii="仿宋_GB2312" w:hAnsi="仿宋_GB2312" w:eastAsia="仿宋_GB2312" w:cs="仿宋_GB2312"/>
                <w:color w:val="auto"/>
                <w:spacing w:val="-5"/>
                <w:sz w:val="24"/>
                <w:szCs w:val="24"/>
                <w:highlight w:val="none"/>
                <w:shd w:val="clear" w:color="auto" w:fill="auto"/>
                <w:lang w:eastAsia="zh-CN"/>
              </w:rPr>
              <w:t>。</w:t>
            </w:r>
          </w:p>
          <w:p>
            <w:pPr>
              <w:autoSpaceDE/>
              <w:autoSpaceDN/>
              <w:adjustRightInd/>
              <w:snapToGrid w:val="0"/>
              <w:spacing w:line="370" w:lineRule="exact"/>
              <w:rPr>
                <w:rFonts w:hint="eastAsia" w:ascii="仿宋_GB2312" w:hAnsi="仿宋_GB2312" w:eastAsia="仿宋_GB2312" w:cs="仿宋_GB2312"/>
                <w:color w:val="auto"/>
                <w:spacing w:val="-5"/>
                <w:sz w:val="24"/>
                <w:szCs w:val="24"/>
                <w:highlight w:val="none"/>
              </w:rPr>
            </w:pPr>
            <w:r>
              <w:rPr>
                <w:rFonts w:hint="eastAsia" w:ascii="仿宋_GB2312" w:hAnsi="仿宋_GB2312" w:eastAsia="仿宋_GB2312" w:cs="仿宋_GB2312"/>
                <w:color w:val="auto"/>
                <w:spacing w:val="-5"/>
                <w:sz w:val="24"/>
                <w:szCs w:val="24"/>
                <w:highlight w:val="none"/>
              </w:rPr>
              <w:t>本项最</w:t>
            </w:r>
            <w:r>
              <w:rPr>
                <w:rFonts w:hint="eastAsia" w:ascii="仿宋_GB2312" w:hAnsi="仿宋_GB2312" w:eastAsia="仿宋_GB2312" w:cs="仿宋_GB2312"/>
                <w:color w:val="auto"/>
                <w:spacing w:val="-5"/>
                <w:sz w:val="24"/>
                <w:szCs w:val="24"/>
                <w:highlight w:val="none"/>
                <w:shd w:val="clear" w:color="auto" w:fill="auto"/>
              </w:rPr>
              <w:t>高</w:t>
            </w:r>
            <w:r>
              <w:rPr>
                <w:rFonts w:hint="eastAsia" w:ascii="仿宋_GB2312" w:hAnsi="仿宋_GB2312" w:eastAsia="仿宋_GB2312" w:cs="仿宋_GB2312"/>
                <w:color w:val="auto"/>
                <w:spacing w:val="-5"/>
                <w:sz w:val="24"/>
                <w:szCs w:val="24"/>
                <w:highlight w:val="none"/>
                <w:shd w:val="clear" w:color="auto" w:fill="auto"/>
                <w:lang w:eastAsia="zh-CN"/>
              </w:rPr>
              <w:t>得</w:t>
            </w:r>
            <w:r>
              <w:rPr>
                <w:rFonts w:hint="eastAsia" w:ascii="仿宋_GB2312" w:hAnsi="仿宋_GB2312" w:eastAsia="仿宋_GB2312" w:cs="仿宋_GB2312"/>
                <w:color w:val="auto"/>
                <w:spacing w:val="-5"/>
                <w:sz w:val="24"/>
                <w:szCs w:val="24"/>
                <w:highlight w:val="none"/>
                <w:shd w:val="clear" w:color="auto" w:fill="auto"/>
                <w:lang w:val="en-US" w:eastAsia="zh-CN"/>
              </w:rPr>
              <w:t>7</w:t>
            </w:r>
            <w:r>
              <w:rPr>
                <w:rFonts w:hint="eastAsia" w:ascii="仿宋_GB2312" w:hAnsi="仿宋_GB2312" w:eastAsia="仿宋_GB2312" w:cs="仿宋_GB2312"/>
                <w:color w:val="auto"/>
                <w:spacing w:val="-5"/>
                <w:sz w:val="24"/>
                <w:szCs w:val="24"/>
                <w:highlight w:val="none"/>
                <w:shd w:val="clear" w:color="auto" w:fill="auto"/>
              </w:rPr>
              <w:t>分</w:t>
            </w:r>
            <w:r>
              <w:rPr>
                <w:rFonts w:hint="eastAsia" w:ascii="仿宋_GB2312" w:hAnsi="仿宋_GB2312" w:eastAsia="仿宋_GB2312" w:cs="仿宋_GB2312"/>
                <w:color w:val="auto"/>
                <w:spacing w:val="-5"/>
                <w:sz w:val="24"/>
                <w:szCs w:val="24"/>
                <w:highlight w:val="none"/>
              </w:rPr>
              <w:t>。</w:t>
            </w:r>
          </w:p>
          <w:p>
            <w:pPr>
              <w:autoSpaceDE/>
              <w:autoSpaceDN/>
              <w:adjustRightInd/>
              <w:snapToGrid w:val="0"/>
              <w:spacing w:line="370" w:lineRule="exact"/>
              <w:rPr>
                <w:rFonts w:hint="eastAsia" w:ascii="仿宋_GB2312" w:hAnsi="仿宋_GB2312" w:eastAsia="仿宋_GB2312" w:cs="仿宋_GB2312"/>
                <w:color w:val="auto"/>
                <w:spacing w:val="-5"/>
                <w:sz w:val="24"/>
                <w:szCs w:val="24"/>
                <w:highlight w:val="none"/>
                <w:lang w:eastAsia="zh-CN"/>
              </w:rPr>
            </w:pPr>
            <w:r>
              <w:rPr>
                <w:rFonts w:hint="eastAsia" w:ascii="仿宋_GB2312" w:hAnsi="仿宋_GB2312" w:eastAsia="仿宋_GB2312" w:cs="仿宋_GB2312"/>
                <w:color w:val="auto"/>
                <w:spacing w:val="-5"/>
                <w:sz w:val="24"/>
                <w:szCs w:val="24"/>
                <w:highlight w:val="none"/>
                <w:lang w:eastAsia="zh-CN"/>
              </w:rPr>
              <w:t>（</w:t>
            </w:r>
            <w:r>
              <w:rPr>
                <w:rFonts w:hint="eastAsia" w:ascii="仿宋_GB2312" w:hAnsi="仿宋_GB2312" w:eastAsia="仿宋_GB2312" w:cs="仿宋_GB2312"/>
                <w:color w:val="auto"/>
                <w:spacing w:val="-5"/>
                <w:sz w:val="24"/>
                <w:szCs w:val="24"/>
                <w:highlight w:val="none"/>
              </w:rPr>
              <w:t>注：需提供人员相关证书和毕业证书和投标人近</w:t>
            </w:r>
            <w:r>
              <w:rPr>
                <w:rFonts w:hint="eastAsia" w:ascii="仿宋_GB2312" w:hAnsi="仿宋_GB2312" w:eastAsia="仿宋_GB2312" w:cs="仿宋_GB2312"/>
                <w:color w:val="auto"/>
                <w:spacing w:val="-5"/>
                <w:sz w:val="24"/>
                <w:szCs w:val="24"/>
                <w:highlight w:val="none"/>
                <w:lang w:val="en-US" w:eastAsia="zh-CN"/>
              </w:rPr>
              <w:t>1</w:t>
            </w:r>
            <w:r>
              <w:rPr>
                <w:rFonts w:hint="eastAsia" w:ascii="仿宋_GB2312" w:hAnsi="仿宋_GB2312" w:eastAsia="仿宋_GB2312" w:cs="仿宋_GB2312"/>
                <w:color w:val="auto"/>
                <w:spacing w:val="-5"/>
                <w:sz w:val="24"/>
                <w:szCs w:val="24"/>
                <w:highlight w:val="none"/>
              </w:rPr>
              <w:t>个月（</w:t>
            </w:r>
            <w:r>
              <w:rPr>
                <w:rFonts w:hint="eastAsia" w:ascii="仿宋_GB2312" w:hAnsi="仿宋_GB2312" w:eastAsia="仿宋_GB2312" w:cs="仿宋_GB2312"/>
                <w:color w:val="auto"/>
                <w:spacing w:val="-5"/>
                <w:sz w:val="24"/>
                <w:szCs w:val="24"/>
                <w:highlight w:val="none"/>
                <w:lang w:val="en-US" w:eastAsia="zh-CN"/>
              </w:rPr>
              <w:t>2024年1月</w:t>
            </w:r>
            <w:r>
              <w:rPr>
                <w:rFonts w:hint="eastAsia" w:ascii="仿宋_GB2312" w:hAnsi="仿宋_GB2312" w:eastAsia="仿宋_GB2312" w:cs="仿宋_GB2312"/>
                <w:color w:val="auto"/>
                <w:spacing w:val="-5"/>
                <w:sz w:val="24"/>
                <w:szCs w:val="24"/>
                <w:highlight w:val="none"/>
              </w:rPr>
              <w:t>）为其购买社保的加盖社会保险基金管理中心印章的《投保单》或《社会保险参保人员证明》复印件，工作经验以</w:t>
            </w:r>
            <w:r>
              <w:rPr>
                <w:rFonts w:hint="eastAsia" w:ascii="仿宋_GB2312" w:hAnsi="仿宋_GB2312" w:eastAsia="仿宋_GB2312" w:cs="仿宋_GB2312"/>
                <w:color w:val="auto"/>
                <w:spacing w:val="-5"/>
                <w:sz w:val="24"/>
                <w:szCs w:val="24"/>
                <w:highlight w:val="none"/>
                <w:lang w:eastAsia="zh-CN"/>
              </w:rPr>
              <w:t>本科或专科</w:t>
            </w:r>
            <w:r>
              <w:rPr>
                <w:rFonts w:hint="eastAsia" w:ascii="仿宋_GB2312" w:hAnsi="仿宋_GB2312" w:eastAsia="仿宋_GB2312" w:cs="仿宋_GB2312"/>
                <w:color w:val="auto"/>
                <w:spacing w:val="-5"/>
                <w:sz w:val="24"/>
                <w:szCs w:val="24"/>
                <w:highlight w:val="none"/>
              </w:rPr>
              <w:t>毕业证发证时间开始计算，不符合或不提供不得分</w:t>
            </w:r>
            <w:r>
              <w:rPr>
                <w:rFonts w:hint="eastAsia" w:ascii="仿宋_GB2312" w:hAnsi="仿宋_GB2312" w:eastAsia="仿宋_GB2312" w:cs="仿宋_GB2312"/>
                <w:color w:val="auto"/>
                <w:spacing w:val="-5"/>
                <w:sz w:val="24"/>
                <w:szCs w:val="24"/>
                <w:highlight w:val="none"/>
                <w:lang w:eastAsia="zh-CN"/>
              </w:rPr>
              <w:t>。）</w:t>
            </w:r>
          </w:p>
        </w:tc>
        <w:tc>
          <w:tcPr>
            <w:tcW w:w="700" w:type="dxa"/>
            <w:noWrap w:val="0"/>
            <w:vAlign w:val="center"/>
          </w:tcPr>
          <w:p>
            <w:pPr>
              <w:spacing w:line="37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0" w:hRule="atLeast"/>
        </w:trPr>
        <w:tc>
          <w:tcPr>
            <w:tcW w:w="1230" w:type="dxa"/>
            <w:vMerge w:val="restart"/>
            <w:noWrap w:val="0"/>
            <w:vAlign w:val="center"/>
          </w:tcPr>
          <w:p>
            <w:pPr>
              <w:snapToGrid w:val="0"/>
              <w:spacing w:line="370" w:lineRule="exact"/>
              <w:ind w:left="-2" w:leftChars="-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技术</w:t>
            </w:r>
            <w:r>
              <w:rPr>
                <w:rFonts w:hint="eastAsia" w:ascii="仿宋_GB2312" w:hAnsi="仿宋_GB2312" w:eastAsia="仿宋_GB2312" w:cs="仿宋_GB2312"/>
                <w:color w:val="auto"/>
                <w:sz w:val="24"/>
                <w:szCs w:val="24"/>
                <w:highlight w:val="none"/>
              </w:rPr>
              <w:t>部分</w:t>
            </w:r>
          </w:p>
          <w:p>
            <w:pPr>
              <w:pStyle w:val="5"/>
              <w:spacing w:before="0" w:after="0" w:line="370" w:lineRule="exact"/>
              <w:ind w:left="0" w:leftChars="0" w:firstLine="0" w:firstLineChars="0"/>
              <w:jc w:val="center"/>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30分</w:t>
            </w:r>
            <w:r>
              <w:rPr>
                <w:rFonts w:hint="eastAsia" w:ascii="仿宋_GB2312" w:hAnsi="仿宋_GB2312" w:eastAsia="仿宋_GB2312" w:cs="仿宋_GB2312"/>
                <w:b w:val="0"/>
                <w:bCs/>
                <w:color w:val="auto"/>
                <w:sz w:val="24"/>
                <w:szCs w:val="24"/>
                <w:highlight w:val="none"/>
                <w:lang w:eastAsia="zh-CN"/>
              </w:rPr>
              <w:t>）</w:t>
            </w:r>
          </w:p>
          <w:p>
            <w:pPr>
              <w:snapToGrid w:val="0"/>
              <w:spacing w:line="370" w:lineRule="exact"/>
              <w:ind w:left="-2" w:leftChars="-1"/>
              <w:jc w:val="center"/>
              <w:rPr>
                <w:rFonts w:hint="eastAsia" w:ascii="仿宋_GB2312" w:hAnsi="仿宋_GB2312" w:eastAsia="仿宋_GB2312" w:cs="仿宋_GB2312"/>
                <w:color w:val="auto"/>
                <w:sz w:val="24"/>
                <w:szCs w:val="24"/>
                <w:highlight w:val="none"/>
              </w:rPr>
            </w:pPr>
          </w:p>
        </w:tc>
        <w:tc>
          <w:tcPr>
            <w:tcW w:w="1300" w:type="dxa"/>
            <w:noWrap w:val="0"/>
            <w:vAlign w:val="center"/>
          </w:tcPr>
          <w:p>
            <w:pPr>
              <w:numPr>
                <w:ilvl w:val="0"/>
                <w:numId w:val="0"/>
              </w:numPr>
              <w:autoSpaceDE/>
              <w:autoSpaceDN/>
              <w:adjustRightInd/>
              <w:snapToGrid w:val="0"/>
              <w:spacing w:line="370" w:lineRule="exact"/>
              <w:ind w:left="0" w:leftChars="0" w:firstLine="0" w:firstLineChars="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pacing w:val="-5"/>
                <w:sz w:val="24"/>
                <w:szCs w:val="24"/>
                <w:highlight w:val="none"/>
                <w:lang w:val="en-US" w:eastAsia="zh-CN"/>
              </w:rPr>
              <w:t>项目实施方案</w:t>
            </w:r>
          </w:p>
        </w:tc>
        <w:tc>
          <w:tcPr>
            <w:tcW w:w="770" w:type="dxa"/>
            <w:noWrap w:val="0"/>
            <w:vAlign w:val="center"/>
          </w:tcPr>
          <w:p>
            <w:pPr>
              <w:numPr>
                <w:ilvl w:val="0"/>
                <w:numId w:val="0"/>
              </w:numPr>
              <w:autoSpaceDE/>
              <w:autoSpaceDN/>
              <w:adjustRightInd/>
              <w:snapToGrid w:val="0"/>
              <w:spacing w:line="370" w:lineRule="exact"/>
              <w:ind w:left="0" w:leftChars="0" w:firstLine="0" w:firstLineChars="0"/>
              <w:rPr>
                <w:rFonts w:hint="eastAsia" w:ascii="仿宋_GB2312" w:hAnsi="仿宋_GB2312" w:eastAsia="仿宋_GB2312" w:cs="仿宋_GB2312"/>
                <w:color w:val="auto"/>
                <w:kern w:val="2"/>
                <w:position w:val="8"/>
                <w:sz w:val="24"/>
                <w:szCs w:val="24"/>
                <w:highlight w:val="none"/>
                <w:lang w:val="en-US" w:eastAsia="zh-CN" w:bidi="ar-SA"/>
              </w:rPr>
            </w:pPr>
            <w:r>
              <w:rPr>
                <w:rFonts w:hint="eastAsia" w:ascii="仿宋_GB2312" w:hAnsi="仿宋_GB2312" w:eastAsia="仿宋_GB2312" w:cs="仿宋_GB2312"/>
                <w:color w:val="auto"/>
                <w:spacing w:val="-5"/>
                <w:sz w:val="24"/>
                <w:szCs w:val="24"/>
                <w:highlight w:val="none"/>
                <w:lang w:val="en-US" w:eastAsia="zh-CN"/>
              </w:rPr>
              <w:t>15</w:t>
            </w:r>
            <w:r>
              <w:rPr>
                <w:rFonts w:hint="eastAsia" w:ascii="仿宋_GB2312" w:hAnsi="仿宋_GB2312" w:eastAsia="仿宋_GB2312" w:cs="仿宋_GB2312"/>
                <w:color w:val="auto"/>
                <w:spacing w:val="-5"/>
                <w:sz w:val="24"/>
                <w:szCs w:val="24"/>
                <w:highlight w:val="none"/>
              </w:rPr>
              <w:t>分</w:t>
            </w:r>
          </w:p>
        </w:tc>
        <w:tc>
          <w:tcPr>
            <w:tcW w:w="5640" w:type="dxa"/>
            <w:noWrap w:val="0"/>
            <w:vAlign w:val="center"/>
          </w:tcPr>
          <w:p>
            <w:pPr>
              <w:spacing w:line="37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综合</w:t>
            </w:r>
            <w:r>
              <w:rPr>
                <w:rFonts w:hint="eastAsia" w:ascii="仿宋_GB2312" w:hAnsi="仿宋_GB2312" w:eastAsia="仿宋_GB2312" w:cs="仿宋_GB2312"/>
                <w:color w:val="auto"/>
                <w:sz w:val="24"/>
                <w:szCs w:val="24"/>
                <w:highlight w:val="none"/>
                <w:lang w:eastAsia="zh-CN"/>
              </w:rPr>
              <w:t>评价</w:t>
            </w:r>
            <w:r>
              <w:rPr>
                <w:rFonts w:hint="eastAsia" w:ascii="仿宋_GB2312" w:hAnsi="仿宋_GB2312" w:eastAsia="仿宋_GB2312" w:cs="仿宋_GB2312"/>
                <w:color w:val="auto"/>
                <w:sz w:val="24"/>
                <w:szCs w:val="24"/>
                <w:highlight w:val="none"/>
              </w:rPr>
              <w:t>投标人实施方案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包括但不限于</w:t>
            </w:r>
            <w:r>
              <w:rPr>
                <w:rFonts w:hint="eastAsia" w:ascii="仿宋_GB2312" w:hAnsi="仿宋_GB2312" w:eastAsia="仿宋_GB2312" w:cs="仿宋_GB2312"/>
                <w:color w:val="auto"/>
                <w:spacing w:val="-5"/>
                <w:sz w:val="24"/>
                <w:szCs w:val="24"/>
                <w:highlight w:val="none"/>
                <w:lang w:val="en-US" w:eastAsia="zh-CN"/>
              </w:rPr>
              <w:t>对项目的理解程度、重点难点分析情况，</w:t>
            </w:r>
            <w:r>
              <w:rPr>
                <w:rFonts w:hint="eastAsia" w:ascii="仿宋_GB2312" w:hAnsi="仿宋_GB2312" w:eastAsia="仿宋_GB2312" w:cs="仿宋_GB2312"/>
                <w:color w:val="auto"/>
                <w:sz w:val="24"/>
                <w:szCs w:val="24"/>
                <w:highlight w:val="none"/>
              </w:rPr>
              <w:t>现场作业管理方案及措施</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安全生产管理方案及措施</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现场文明施工方案及措施</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工期保证方案及措施、方案及承诺</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现场工作人员操作规范实施方案等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投入本项目机械设备情况：</w:t>
            </w:r>
          </w:p>
          <w:p>
            <w:pPr>
              <w:spacing w:line="37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优：</w:t>
            </w:r>
            <w:r>
              <w:rPr>
                <w:rFonts w:hint="eastAsia" w:ascii="仿宋_GB2312" w:hAnsi="仿宋_GB2312" w:eastAsia="仿宋_GB2312" w:cs="仿宋_GB2312"/>
                <w:color w:val="auto"/>
                <w:sz w:val="24"/>
                <w:szCs w:val="24"/>
                <w:highlight w:val="none"/>
              </w:rPr>
              <w:t>方案内容齐全，措施有效可行、具有针对性，承诺详细具体，能满足本项目需求，得</w:t>
            </w:r>
            <w:r>
              <w:rPr>
                <w:rFonts w:hint="eastAsia" w:ascii="仿宋_GB2312" w:hAnsi="仿宋_GB2312" w:eastAsia="仿宋_GB2312" w:cs="仿宋_GB2312"/>
                <w:color w:val="auto"/>
                <w:sz w:val="24"/>
                <w:szCs w:val="24"/>
                <w:highlight w:val="none"/>
                <w:lang w:val="en-US" w:eastAsia="zh-CN"/>
              </w:rPr>
              <w:t>12—15</w:t>
            </w:r>
            <w:r>
              <w:rPr>
                <w:rFonts w:hint="eastAsia" w:ascii="仿宋_GB2312" w:hAnsi="仿宋_GB2312" w:eastAsia="仿宋_GB2312" w:cs="仿宋_GB2312"/>
                <w:color w:val="auto"/>
                <w:sz w:val="24"/>
                <w:szCs w:val="24"/>
                <w:highlight w:val="none"/>
              </w:rPr>
              <w:t>分；</w:t>
            </w:r>
          </w:p>
          <w:p>
            <w:pPr>
              <w:spacing w:line="37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良：</w:t>
            </w:r>
            <w:r>
              <w:rPr>
                <w:rFonts w:hint="eastAsia" w:ascii="仿宋_GB2312" w:hAnsi="仿宋_GB2312" w:eastAsia="仿宋_GB2312" w:cs="仿宋_GB2312"/>
                <w:color w:val="auto"/>
                <w:sz w:val="24"/>
                <w:szCs w:val="24"/>
                <w:highlight w:val="none"/>
              </w:rPr>
              <w:t>方案内容较齐全，措施较有效可行、具有针对性，承诺较详细具体，基本满足本项目需求，得</w:t>
            </w:r>
            <w:r>
              <w:rPr>
                <w:rFonts w:hint="eastAsia" w:ascii="仿宋_GB2312" w:hAnsi="仿宋_GB2312" w:eastAsia="仿宋_GB2312" w:cs="仿宋_GB2312"/>
                <w:color w:val="auto"/>
                <w:sz w:val="24"/>
                <w:szCs w:val="24"/>
                <w:highlight w:val="none"/>
                <w:lang w:val="en-US" w:eastAsia="zh-CN"/>
              </w:rPr>
              <w:t>9—11</w:t>
            </w:r>
            <w:r>
              <w:rPr>
                <w:rFonts w:hint="eastAsia" w:ascii="仿宋_GB2312" w:hAnsi="仿宋_GB2312" w:eastAsia="仿宋_GB2312" w:cs="仿宋_GB2312"/>
                <w:color w:val="auto"/>
                <w:sz w:val="24"/>
                <w:szCs w:val="24"/>
                <w:highlight w:val="none"/>
              </w:rPr>
              <w:t>分；</w:t>
            </w:r>
          </w:p>
          <w:p>
            <w:pPr>
              <w:spacing w:line="37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eastAsia="zh-CN"/>
              </w:rPr>
              <w:t>差：</w:t>
            </w:r>
            <w:r>
              <w:rPr>
                <w:rFonts w:hint="eastAsia" w:ascii="仿宋_GB2312" w:hAnsi="仿宋_GB2312" w:eastAsia="仿宋_GB2312" w:cs="仿宋_GB2312"/>
                <w:color w:val="auto"/>
                <w:sz w:val="24"/>
                <w:szCs w:val="24"/>
                <w:highlight w:val="none"/>
              </w:rPr>
              <w:t>方案内容有缺漏，措施较有效可行、针对性一般，承诺较详细，较能满足本项目需求，得</w:t>
            </w:r>
            <w:r>
              <w:rPr>
                <w:rFonts w:hint="eastAsia" w:ascii="仿宋_GB2312" w:hAnsi="仿宋_GB2312" w:eastAsia="仿宋_GB2312" w:cs="仿宋_GB2312"/>
                <w:color w:val="auto"/>
                <w:spacing w:val="-5"/>
                <w:sz w:val="24"/>
                <w:szCs w:val="24"/>
                <w:highlight w:val="none"/>
                <w:lang w:val="en-US" w:eastAsia="zh-CN"/>
              </w:rPr>
              <w:t>0-8</w:t>
            </w:r>
            <w:r>
              <w:rPr>
                <w:rFonts w:hint="eastAsia" w:ascii="仿宋_GB2312" w:hAnsi="仿宋_GB2312" w:eastAsia="仿宋_GB2312" w:cs="仿宋_GB2312"/>
                <w:color w:val="auto"/>
                <w:sz w:val="24"/>
                <w:szCs w:val="24"/>
                <w:highlight w:val="none"/>
              </w:rPr>
              <w:t>分；</w:t>
            </w:r>
          </w:p>
          <w:p>
            <w:pPr>
              <w:numPr>
                <w:ilvl w:val="0"/>
                <w:numId w:val="0"/>
              </w:numPr>
              <w:autoSpaceDE/>
              <w:autoSpaceDN/>
              <w:adjustRightInd/>
              <w:snapToGrid w:val="0"/>
              <w:spacing w:line="370" w:lineRule="exact"/>
              <w:ind w:left="0" w:leftChars="0" w:firstLine="0" w:firstLineChars="0"/>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不提供方案不得分。</w:t>
            </w:r>
          </w:p>
        </w:tc>
        <w:tc>
          <w:tcPr>
            <w:tcW w:w="700" w:type="dxa"/>
            <w:noWrap w:val="0"/>
            <w:vAlign w:val="center"/>
          </w:tcPr>
          <w:p>
            <w:pPr>
              <w:spacing w:line="37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0" w:hRule="atLeast"/>
        </w:trPr>
        <w:tc>
          <w:tcPr>
            <w:tcW w:w="1230" w:type="dxa"/>
            <w:vMerge w:val="continue"/>
            <w:noWrap w:val="0"/>
            <w:vAlign w:val="center"/>
          </w:tcPr>
          <w:p>
            <w:pPr>
              <w:snapToGrid w:val="0"/>
              <w:spacing w:line="370" w:lineRule="exact"/>
              <w:ind w:left="-2" w:leftChars="-1"/>
              <w:jc w:val="center"/>
              <w:rPr>
                <w:rFonts w:hint="eastAsia" w:ascii="仿宋_GB2312" w:hAnsi="仿宋_GB2312" w:eastAsia="仿宋_GB2312" w:cs="仿宋_GB2312"/>
                <w:color w:val="auto"/>
                <w:sz w:val="24"/>
                <w:szCs w:val="24"/>
                <w:highlight w:val="none"/>
              </w:rPr>
            </w:pPr>
          </w:p>
        </w:tc>
        <w:tc>
          <w:tcPr>
            <w:tcW w:w="1300" w:type="dxa"/>
            <w:noWrap w:val="0"/>
            <w:vAlign w:val="center"/>
          </w:tcPr>
          <w:p>
            <w:pPr>
              <w:numPr>
                <w:ilvl w:val="0"/>
                <w:numId w:val="0"/>
              </w:numPr>
              <w:autoSpaceDE/>
              <w:autoSpaceDN/>
              <w:adjustRightInd/>
              <w:snapToGrid w:val="0"/>
              <w:spacing w:line="370" w:lineRule="exact"/>
              <w:jc w:val="center"/>
              <w:rPr>
                <w:rFonts w:hint="eastAsia" w:ascii="仿宋_GB2312" w:hAnsi="仿宋_GB2312" w:eastAsia="仿宋_GB2312" w:cs="仿宋_GB2312"/>
                <w:color w:val="auto"/>
                <w:spacing w:val="-5"/>
                <w:sz w:val="24"/>
                <w:szCs w:val="24"/>
                <w:highlight w:val="none"/>
              </w:rPr>
            </w:pPr>
            <w:r>
              <w:rPr>
                <w:rFonts w:hint="eastAsia" w:ascii="仿宋_GB2312" w:hAnsi="仿宋_GB2312" w:eastAsia="仿宋_GB2312" w:cs="仿宋_GB2312"/>
                <w:color w:val="auto"/>
                <w:spacing w:val="-5"/>
                <w:sz w:val="24"/>
                <w:szCs w:val="24"/>
                <w:highlight w:val="none"/>
                <w:lang w:val="en-US" w:eastAsia="zh-CN"/>
              </w:rPr>
              <w:t>安全生产管理</w:t>
            </w:r>
          </w:p>
          <w:p>
            <w:pPr>
              <w:numPr>
                <w:ilvl w:val="0"/>
                <w:numId w:val="0"/>
              </w:numPr>
              <w:autoSpaceDE/>
              <w:autoSpaceDN/>
              <w:adjustRightInd/>
              <w:snapToGrid w:val="0"/>
              <w:spacing w:line="370" w:lineRule="exact"/>
              <w:ind w:left="0" w:leftChars="0" w:firstLine="0" w:firstLineChars="0"/>
              <w:rPr>
                <w:rFonts w:hint="eastAsia" w:ascii="仿宋_GB2312" w:hAnsi="仿宋_GB2312" w:eastAsia="仿宋_GB2312" w:cs="仿宋_GB2312"/>
                <w:color w:val="auto"/>
                <w:sz w:val="24"/>
                <w:szCs w:val="24"/>
                <w:highlight w:val="none"/>
                <w:lang w:eastAsia="zh-CN"/>
              </w:rPr>
            </w:pPr>
          </w:p>
        </w:tc>
        <w:tc>
          <w:tcPr>
            <w:tcW w:w="770" w:type="dxa"/>
            <w:noWrap w:val="0"/>
            <w:vAlign w:val="center"/>
          </w:tcPr>
          <w:p>
            <w:pPr>
              <w:numPr>
                <w:ilvl w:val="0"/>
                <w:numId w:val="0"/>
              </w:numPr>
              <w:autoSpaceDE/>
              <w:autoSpaceDN/>
              <w:adjustRightInd/>
              <w:snapToGrid w:val="0"/>
              <w:spacing w:line="370" w:lineRule="exact"/>
              <w:ind w:left="0" w:leftChars="0"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5"/>
                <w:sz w:val="24"/>
                <w:szCs w:val="24"/>
                <w:highlight w:val="none"/>
                <w:lang w:val="en-US" w:eastAsia="zh-CN"/>
              </w:rPr>
              <w:t>8</w:t>
            </w:r>
            <w:r>
              <w:rPr>
                <w:rFonts w:hint="eastAsia" w:ascii="仿宋_GB2312" w:hAnsi="仿宋_GB2312" w:eastAsia="仿宋_GB2312" w:cs="仿宋_GB2312"/>
                <w:color w:val="auto"/>
                <w:spacing w:val="-5"/>
                <w:sz w:val="24"/>
                <w:szCs w:val="24"/>
                <w:highlight w:val="none"/>
              </w:rPr>
              <w:t>分</w:t>
            </w:r>
          </w:p>
        </w:tc>
        <w:tc>
          <w:tcPr>
            <w:tcW w:w="5640" w:type="dxa"/>
            <w:noWrap w:val="0"/>
            <w:vAlign w:val="center"/>
          </w:tcPr>
          <w:p>
            <w:pPr>
              <w:numPr>
                <w:ilvl w:val="0"/>
                <w:numId w:val="0"/>
              </w:numPr>
              <w:autoSpaceDE/>
              <w:autoSpaceDN/>
              <w:adjustRightInd/>
              <w:snapToGrid w:val="0"/>
              <w:spacing w:line="370" w:lineRule="exact"/>
              <w:rPr>
                <w:rFonts w:hint="eastAsia" w:ascii="仿宋_GB2312" w:hAnsi="仿宋_GB2312" w:eastAsia="仿宋_GB2312" w:cs="仿宋_GB2312"/>
                <w:color w:val="auto"/>
                <w:spacing w:val="-5"/>
                <w:sz w:val="24"/>
                <w:szCs w:val="24"/>
                <w:highlight w:val="none"/>
                <w:lang w:val="en-US" w:eastAsia="zh-CN"/>
              </w:rPr>
            </w:pPr>
            <w:r>
              <w:rPr>
                <w:rFonts w:hint="eastAsia" w:ascii="仿宋_GB2312" w:hAnsi="仿宋_GB2312" w:eastAsia="仿宋_GB2312" w:cs="仿宋_GB2312"/>
                <w:color w:val="auto"/>
                <w:spacing w:val="-5"/>
                <w:sz w:val="24"/>
                <w:szCs w:val="24"/>
                <w:highlight w:val="none"/>
                <w:lang w:val="en-US" w:eastAsia="zh-CN"/>
              </w:rPr>
              <w:t>1、优：对本服务项目安全生产工作提出具体管理方案，安全防护制度健全，可行性高，能有效保障本服务项目的安全实施，得</w:t>
            </w:r>
            <w:r>
              <w:rPr>
                <w:rFonts w:hint="eastAsia" w:ascii="仿宋_GB2312" w:hAnsi="仿宋_GB2312" w:eastAsia="仿宋_GB2312" w:cs="仿宋_GB2312"/>
                <w:color w:val="auto"/>
                <w:sz w:val="24"/>
                <w:szCs w:val="24"/>
                <w:highlight w:val="none"/>
                <w:lang w:val="en-US" w:eastAsia="zh-CN"/>
              </w:rPr>
              <w:t>6—8</w:t>
            </w:r>
            <w:r>
              <w:rPr>
                <w:rFonts w:hint="eastAsia" w:ascii="仿宋_GB2312" w:hAnsi="仿宋_GB2312" w:eastAsia="仿宋_GB2312" w:cs="仿宋_GB2312"/>
                <w:color w:val="auto"/>
                <w:spacing w:val="-5"/>
                <w:sz w:val="24"/>
                <w:szCs w:val="24"/>
                <w:highlight w:val="none"/>
                <w:lang w:val="en-US" w:eastAsia="zh-CN"/>
              </w:rPr>
              <w:t>分。</w:t>
            </w:r>
          </w:p>
          <w:p>
            <w:pPr>
              <w:numPr>
                <w:ilvl w:val="0"/>
                <w:numId w:val="0"/>
              </w:numPr>
              <w:autoSpaceDE/>
              <w:autoSpaceDN/>
              <w:adjustRightInd/>
              <w:snapToGrid w:val="0"/>
              <w:spacing w:line="370" w:lineRule="exact"/>
              <w:rPr>
                <w:rFonts w:hint="eastAsia" w:ascii="仿宋_GB2312" w:hAnsi="仿宋_GB2312" w:eastAsia="仿宋_GB2312" w:cs="仿宋_GB2312"/>
                <w:color w:val="auto"/>
                <w:spacing w:val="-5"/>
                <w:sz w:val="24"/>
                <w:szCs w:val="24"/>
                <w:highlight w:val="none"/>
                <w:lang w:val="en-US" w:eastAsia="zh-CN"/>
              </w:rPr>
            </w:pPr>
            <w:r>
              <w:rPr>
                <w:rFonts w:hint="eastAsia" w:ascii="仿宋_GB2312" w:hAnsi="仿宋_GB2312" w:eastAsia="仿宋_GB2312" w:cs="仿宋_GB2312"/>
                <w:color w:val="auto"/>
                <w:spacing w:val="-5"/>
                <w:sz w:val="24"/>
                <w:szCs w:val="24"/>
                <w:highlight w:val="none"/>
                <w:lang w:val="en-US" w:eastAsia="zh-CN"/>
              </w:rPr>
              <w:t>2、中：对本服务项目安全生产工作提出具体管理方案，安全防护制度可行性较高，基本保障本服务项目的安全实施，得</w:t>
            </w:r>
            <w:r>
              <w:rPr>
                <w:rFonts w:hint="eastAsia" w:ascii="仿宋_GB2312" w:hAnsi="仿宋_GB2312" w:eastAsia="仿宋_GB2312" w:cs="仿宋_GB2312"/>
                <w:color w:val="auto"/>
                <w:sz w:val="24"/>
                <w:szCs w:val="24"/>
                <w:highlight w:val="none"/>
                <w:lang w:val="en-US" w:eastAsia="zh-CN"/>
              </w:rPr>
              <w:t>4—5</w:t>
            </w:r>
            <w:r>
              <w:rPr>
                <w:rFonts w:hint="eastAsia" w:ascii="仿宋_GB2312" w:hAnsi="仿宋_GB2312" w:eastAsia="仿宋_GB2312" w:cs="仿宋_GB2312"/>
                <w:color w:val="auto"/>
                <w:spacing w:val="-5"/>
                <w:sz w:val="24"/>
                <w:szCs w:val="24"/>
                <w:highlight w:val="none"/>
                <w:lang w:val="en-US" w:eastAsia="zh-CN"/>
              </w:rPr>
              <w:t xml:space="preserve">分。 </w:t>
            </w:r>
          </w:p>
          <w:p>
            <w:pPr>
              <w:numPr>
                <w:ilvl w:val="0"/>
                <w:numId w:val="0"/>
              </w:numPr>
              <w:autoSpaceDE/>
              <w:autoSpaceDN/>
              <w:adjustRightInd/>
              <w:snapToGrid w:val="0"/>
              <w:spacing w:line="370" w:lineRule="exact"/>
              <w:rPr>
                <w:rFonts w:hint="eastAsia" w:ascii="仿宋_GB2312" w:hAnsi="仿宋_GB2312" w:eastAsia="仿宋_GB2312" w:cs="仿宋_GB2312"/>
                <w:color w:val="auto"/>
                <w:spacing w:val="-5"/>
                <w:sz w:val="24"/>
                <w:szCs w:val="24"/>
                <w:highlight w:val="none"/>
                <w:lang w:val="en-US" w:eastAsia="zh-CN"/>
              </w:rPr>
            </w:pPr>
            <w:r>
              <w:rPr>
                <w:rFonts w:hint="eastAsia" w:ascii="仿宋_GB2312" w:hAnsi="仿宋_GB2312" w:eastAsia="仿宋_GB2312" w:cs="仿宋_GB2312"/>
                <w:color w:val="auto"/>
                <w:spacing w:val="-5"/>
                <w:sz w:val="24"/>
                <w:szCs w:val="24"/>
                <w:highlight w:val="none"/>
                <w:lang w:val="en-US" w:eastAsia="zh-CN"/>
              </w:rPr>
              <w:t xml:space="preserve">3、差：对本服务项目安全生产工作提出具体管理方案， 安全防护制度可行性较低，得0-3分。 </w:t>
            </w:r>
          </w:p>
          <w:p>
            <w:pPr>
              <w:numPr>
                <w:ilvl w:val="0"/>
                <w:numId w:val="0"/>
              </w:numPr>
              <w:autoSpaceDE/>
              <w:autoSpaceDN/>
              <w:adjustRightInd/>
              <w:snapToGrid w:val="0"/>
              <w:spacing w:line="370" w:lineRule="exact"/>
              <w:ind w:left="0" w:leftChars="0"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5"/>
                <w:sz w:val="24"/>
                <w:szCs w:val="24"/>
                <w:highlight w:val="none"/>
                <w:lang w:val="en-US" w:eastAsia="zh-CN"/>
              </w:rPr>
              <w:t xml:space="preserve">无提供方案则不得分。 </w:t>
            </w:r>
          </w:p>
        </w:tc>
        <w:tc>
          <w:tcPr>
            <w:tcW w:w="700" w:type="dxa"/>
            <w:noWrap w:val="0"/>
            <w:vAlign w:val="center"/>
          </w:tcPr>
          <w:p>
            <w:pPr>
              <w:spacing w:line="37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0" w:hRule="atLeast"/>
        </w:trPr>
        <w:tc>
          <w:tcPr>
            <w:tcW w:w="1230" w:type="dxa"/>
            <w:vMerge w:val="continue"/>
            <w:noWrap w:val="0"/>
            <w:vAlign w:val="center"/>
          </w:tcPr>
          <w:p>
            <w:pPr>
              <w:snapToGrid w:val="0"/>
              <w:spacing w:line="370" w:lineRule="exact"/>
              <w:ind w:left="-2" w:leftChars="-1"/>
              <w:jc w:val="center"/>
              <w:rPr>
                <w:rFonts w:hint="eastAsia" w:ascii="仿宋_GB2312" w:hAnsi="仿宋_GB2312" w:eastAsia="仿宋_GB2312" w:cs="仿宋_GB2312"/>
                <w:color w:val="auto"/>
                <w:sz w:val="24"/>
                <w:szCs w:val="24"/>
                <w:highlight w:val="none"/>
              </w:rPr>
            </w:pPr>
          </w:p>
        </w:tc>
        <w:tc>
          <w:tcPr>
            <w:tcW w:w="1300" w:type="dxa"/>
            <w:noWrap w:val="0"/>
            <w:vAlign w:val="center"/>
          </w:tcPr>
          <w:p>
            <w:pPr>
              <w:numPr>
                <w:ilvl w:val="0"/>
                <w:numId w:val="0"/>
              </w:numPr>
              <w:autoSpaceDE/>
              <w:autoSpaceDN/>
              <w:adjustRightInd/>
              <w:snapToGrid w:val="0"/>
              <w:spacing w:line="370" w:lineRule="exact"/>
              <w:jc w:val="center"/>
              <w:rPr>
                <w:rFonts w:hint="eastAsia" w:ascii="仿宋_GB2312" w:hAnsi="仿宋_GB2312" w:eastAsia="仿宋_GB2312" w:cs="仿宋_GB2312"/>
                <w:color w:val="auto"/>
                <w:spacing w:val="-5"/>
                <w:sz w:val="24"/>
                <w:szCs w:val="24"/>
                <w:highlight w:val="none"/>
              </w:rPr>
            </w:pPr>
            <w:r>
              <w:rPr>
                <w:rFonts w:hint="eastAsia" w:ascii="仿宋_GB2312" w:hAnsi="仿宋_GB2312" w:eastAsia="仿宋_GB2312" w:cs="仿宋_GB2312"/>
                <w:color w:val="auto"/>
                <w:spacing w:val="-5"/>
                <w:sz w:val="24"/>
                <w:szCs w:val="24"/>
                <w:highlight w:val="none"/>
                <w:lang w:val="en-US" w:eastAsia="zh-CN"/>
              </w:rPr>
              <w:t>质量保障措施</w:t>
            </w:r>
          </w:p>
          <w:p>
            <w:pPr>
              <w:numPr>
                <w:ilvl w:val="0"/>
                <w:numId w:val="0"/>
              </w:numPr>
              <w:autoSpaceDE/>
              <w:autoSpaceDN/>
              <w:adjustRightInd/>
              <w:snapToGrid w:val="0"/>
              <w:spacing w:line="370" w:lineRule="exact"/>
              <w:ind w:left="0" w:leftChars="0" w:firstLine="0" w:firstLineChars="0"/>
              <w:rPr>
                <w:rFonts w:hint="eastAsia" w:ascii="仿宋_GB2312" w:hAnsi="仿宋_GB2312" w:eastAsia="仿宋_GB2312" w:cs="仿宋_GB2312"/>
                <w:color w:val="auto"/>
                <w:sz w:val="24"/>
                <w:szCs w:val="24"/>
                <w:highlight w:val="none"/>
                <w:lang w:eastAsia="zh-CN"/>
              </w:rPr>
            </w:pPr>
          </w:p>
        </w:tc>
        <w:tc>
          <w:tcPr>
            <w:tcW w:w="770" w:type="dxa"/>
            <w:noWrap w:val="0"/>
            <w:vAlign w:val="center"/>
          </w:tcPr>
          <w:p>
            <w:pPr>
              <w:numPr>
                <w:ilvl w:val="0"/>
                <w:numId w:val="0"/>
              </w:numPr>
              <w:autoSpaceDE/>
              <w:autoSpaceDN/>
              <w:adjustRightInd/>
              <w:snapToGrid w:val="0"/>
              <w:spacing w:line="370" w:lineRule="exact"/>
              <w:ind w:left="0" w:leftChars="0"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5"/>
                <w:sz w:val="24"/>
                <w:szCs w:val="24"/>
                <w:highlight w:val="none"/>
                <w:lang w:val="en-US" w:eastAsia="zh-CN"/>
              </w:rPr>
              <w:t>7</w:t>
            </w:r>
            <w:r>
              <w:rPr>
                <w:rFonts w:hint="eastAsia" w:ascii="仿宋_GB2312" w:hAnsi="仿宋_GB2312" w:eastAsia="仿宋_GB2312" w:cs="仿宋_GB2312"/>
                <w:color w:val="auto"/>
                <w:spacing w:val="-5"/>
                <w:sz w:val="24"/>
                <w:szCs w:val="24"/>
                <w:highlight w:val="none"/>
              </w:rPr>
              <w:t>分</w:t>
            </w:r>
          </w:p>
        </w:tc>
        <w:tc>
          <w:tcPr>
            <w:tcW w:w="5640" w:type="dxa"/>
            <w:noWrap w:val="0"/>
            <w:vAlign w:val="center"/>
          </w:tcPr>
          <w:p>
            <w:pPr>
              <w:numPr>
                <w:ilvl w:val="0"/>
                <w:numId w:val="0"/>
              </w:numPr>
              <w:autoSpaceDE/>
              <w:autoSpaceDN/>
              <w:adjustRightInd/>
              <w:snapToGrid w:val="0"/>
              <w:spacing w:line="370" w:lineRule="exact"/>
              <w:rPr>
                <w:rFonts w:hint="eastAsia" w:ascii="仿宋_GB2312" w:hAnsi="仿宋_GB2312" w:eastAsia="仿宋_GB2312" w:cs="仿宋_GB2312"/>
                <w:color w:val="auto"/>
                <w:spacing w:val="-5"/>
                <w:sz w:val="24"/>
                <w:szCs w:val="24"/>
                <w:highlight w:val="none"/>
                <w:lang w:val="en-US" w:eastAsia="zh-CN"/>
              </w:rPr>
            </w:pPr>
            <w:r>
              <w:rPr>
                <w:rFonts w:hint="eastAsia" w:ascii="仿宋_GB2312" w:hAnsi="仿宋_GB2312" w:eastAsia="仿宋_GB2312" w:cs="仿宋_GB2312"/>
                <w:color w:val="auto"/>
                <w:spacing w:val="-5"/>
                <w:sz w:val="24"/>
                <w:szCs w:val="24"/>
                <w:highlight w:val="none"/>
                <w:lang w:val="en-US" w:eastAsia="zh-CN"/>
              </w:rPr>
              <w:t>1、优：项目质量措施保证目标明确、方案详细，可行性强，有明确的质量承诺， 表述清晰、完整、合理，得</w:t>
            </w:r>
            <w:r>
              <w:rPr>
                <w:rFonts w:hint="eastAsia" w:ascii="仿宋_GB2312" w:hAnsi="仿宋_GB2312" w:eastAsia="仿宋_GB2312" w:cs="仿宋_GB2312"/>
                <w:color w:val="auto"/>
                <w:sz w:val="24"/>
                <w:szCs w:val="24"/>
                <w:highlight w:val="none"/>
                <w:lang w:val="en-US" w:eastAsia="zh-CN"/>
              </w:rPr>
              <w:t>5—7</w:t>
            </w:r>
            <w:r>
              <w:rPr>
                <w:rFonts w:hint="eastAsia" w:ascii="仿宋_GB2312" w:hAnsi="仿宋_GB2312" w:eastAsia="仿宋_GB2312" w:cs="仿宋_GB2312"/>
                <w:color w:val="auto"/>
                <w:spacing w:val="-5"/>
                <w:sz w:val="24"/>
                <w:szCs w:val="24"/>
                <w:highlight w:val="none"/>
                <w:lang w:val="en-US" w:eastAsia="zh-CN"/>
              </w:rPr>
              <w:t xml:space="preserve">分； </w:t>
            </w:r>
          </w:p>
          <w:p>
            <w:pPr>
              <w:numPr>
                <w:ilvl w:val="0"/>
                <w:numId w:val="0"/>
              </w:numPr>
              <w:autoSpaceDE/>
              <w:autoSpaceDN/>
              <w:adjustRightInd/>
              <w:snapToGrid w:val="0"/>
              <w:spacing w:line="370" w:lineRule="exact"/>
              <w:rPr>
                <w:rFonts w:hint="eastAsia" w:ascii="仿宋_GB2312" w:hAnsi="仿宋_GB2312" w:eastAsia="仿宋_GB2312" w:cs="仿宋_GB2312"/>
                <w:color w:val="auto"/>
                <w:spacing w:val="-5"/>
                <w:sz w:val="24"/>
                <w:szCs w:val="24"/>
                <w:highlight w:val="none"/>
                <w:lang w:val="en-US" w:eastAsia="zh-CN"/>
              </w:rPr>
            </w:pPr>
            <w:r>
              <w:rPr>
                <w:rFonts w:hint="eastAsia" w:ascii="仿宋_GB2312" w:hAnsi="仿宋_GB2312" w:eastAsia="仿宋_GB2312" w:cs="仿宋_GB2312"/>
                <w:color w:val="auto"/>
                <w:spacing w:val="-5"/>
                <w:sz w:val="24"/>
                <w:szCs w:val="24"/>
                <w:highlight w:val="none"/>
                <w:lang w:val="en-US" w:eastAsia="zh-CN"/>
              </w:rPr>
              <w:t>2、中：项目质量措施保证目标较明确、方案较详细、可行性强，有较明确的质量承诺，表述较清晰、较完整、较合理， 得</w:t>
            </w:r>
            <w:r>
              <w:rPr>
                <w:rFonts w:hint="eastAsia" w:ascii="仿宋_GB2312" w:hAnsi="仿宋_GB2312" w:eastAsia="仿宋_GB2312" w:cs="仿宋_GB2312"/>
                <w:color w:val="auto"/>
                <w:sz w:val="24"/>
                <w:szCs w:val="24"/>
                <w:highlight w:val="none"/>
                <w:lang w:val="en-US" w:eastAsia="zh-CN"/>
              </w:rPr>
              <w:t>3—4</w:t>
            </w:r>
            <w:r>
              <w:rPr>
                <w:rFonts w:hint="eastAsia" w:ascii="仿宋_GB2312" w:hAnsi="仿宋_GB2312" w:eastAsia="仿宋_GB2312" w:cs="仿宋_GB2312"/>
                <w:color w:val="auto"/>
                <w:spacing w:val="-5"/>
                <w:sz w:val="24"/>
                <w:szCs w:val="24"/>
                <w:highlight w:val="none"/>
                <w:lang w:val="en-US" w:eastAsia="zh-CN"/>
              </w:rPr>
              <w:t xml:space="preserve">分； </w:t>
            </w:r>
          </w:p>
          <w:p>
            <w:pPr>
              <w:numPr>
                <w:ilvl w:val="0"/>
                <w:numId w:val="0"/>
              </w:numPr>
              <w:autoSpaceDE/>
              <w:autoSpaceDN/>
              <w:adjustRightInd/>
              <w:snapToGrid w:val="0"/>
              <w:spacing w:line="370" w:lineRule="exact"/>
              <w:rPr>
                <w:rFonts w:hint="eastAsia" w:ascii="仿宋_GB2312" w:hAnsi="仿宋_GB2312" w:eastAsia="仿宋_GB2312" w:cs="仿宋_GB2312"/>
                <w:color w:val="auto"/>
                <w:spacing w:val="-5"/>
                <w:sz w:val="24"/>
                <w:szCs w:val="24"/>
                <w:highlight w:val="none"/>
                <w:lang w:val="en-US" w:eastAsia="zh-CN"/>
              </w:rPr>
            </w:pPr>
            <w:r>
              <w:rPr>
                <w:rFonts w:hint="eastAsia" w:ascii="仿宋_GB2312" w:hAnsi="仿宋_GB2312" w:eastAsia="仿宋_GB2312" w:cs="仿宋_GB2312"/>
                <w:color w:val="auto"/>
                <w:spacing w:val="-5"/>
                <w:sz w:val="24"/>
                <w:szCs w:val="24"/>
                <w:highlight w:val="none"/>
                <w:lang w:val="en-US" w:eastAsia="zh-CN"/>
              </w:rPr>
              <w:t xml:space="preserve">3、差：项目质量措施保证目标不明确、方案简单、可行性较低，质量承诺表述不够清晰、不够合理，得0-2分。 </w:t>
            </w:r>
          </w:p>
          <w:p>
            <w:pPr>
              <w:numPr>
                <w:ilvl w:val="0"/>
                <w:numId w:val="0"/>
              </w:numPr>
              <w:autoSpaceDE/>
              <w:autoSpaceDN/>
              <w:adjustRightInd/>
              <w:snapToGrid w:val="0"/>
              <w:spacing w:line="370" w:lineRule="exact"/>
              <w:ind w:left="0" w:leftChars="0"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5"/>
                <w:sz w:val="24"/>
                <w:szCs w:val="24"/>
                <w:highlight w:val="none"/>
                <w:lang w:val="en-US" w:eastAsia="zh-CN"/>
              </w:rPr>
              <w:t>无提供方案则不得分。</w:t>
            </w:r>
          </w:p>
        </w:tc>
        <w:tc>
          <w:tcPr>
            <w:tcW w:w="700" w:type="dxa"/>
            <w:noWrap w:val="0"/>
            <w:vAlign w:val="center"/>
          </w:tcPr>
          <w:p>
            <w:pPr>
              <w:spacing w:line="37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1" w:hRule="atLeast"/>
        </w:trPr>
        <w:tc>
          <w:tcPr>
            <w:tcW w:w="1230" w:type="dxa"/>
            <w:noWrap w:val="0"/>
            <w:vAlign w:val="center"/>
          </w:tcPr>
          <w:p>
            <w:pPr>
              <w:snapToGrid w:val="0"/>
              <w:spacing w:line="370" w:lineRule="exact"/>
              <w:ind w:left="-2" w:leftChars="-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经济部分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30分</w:t>
            </w:r>
            <w:r>
              <w:rPr>
                <w:rFonts w:hint="eastAsia" w:ascii="仿宋_GB2312" w:hAnsi="仿宋_GB2312" w:eastAsia="仿宋_GB2312" w:cs="仿宋_GB2312"/>
                <w:color w:val="auto"/>
                <w:sz w:val="24"/>
                <w:szCs w:val="24"/>
                <w:highlight w:val="none"/>
                <w:lang w:eastAsia="zh-CN"/>
              </w:rPr>
              <w:t>）</w:t>
            </w:r>
          </w:p>
        </w:tc>
        <w:tc>
          <w:tcPr>
            <w:tcW w:w="1300" w:type="dxa"/>
            <w:noWrap w:val="0"/>
            <w:vAlign w:val="center"/>
          </w:tcPr>
          <w:p>
            <w:pPr>
              <w:snapToGrid w:val="0"/>
              <w:spacing w:line="370" w:lineRule="exact"/>
              <w:ind w:left="-2" w:leftChars="-1"/>
              <w:jc w:val="center"/>
              <w:rPr>
                <w:rFonts w:hint="eastAsia" w:ascii="仿宋_GB2312" w:hAnsi="仿宋_GB2312" w:eastAsia="仿宋_GB2312" w:cs="仿宋_GB2312"/>
                <w:color w:val="auto"/>
                <w:sz w:val="24"/>
                <w:szCs w:val="24"/>
                <w:highlight w:val="none"/>
              </w:rPr>
            </w:pPr>
          </w:p>
          <w:p>
            <w:pPr>
              <w:snapToGrid w:val="0"/>
              <w:spacing w:line="370" w:lineRule="exact"/>
              <w:ind w:left="-2" w:leftChars="-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报价</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30分</w:t>
            </w:r>
            <w:r>
              <w:rPr>
                <w:rFonts w:hint="eastAsia" w:ascii="仿宋_GB2312" w:hAnsi="仿宋_GB2312" w:eastAsia="仿宋_GB2312" w:cs="仿宋_GB2312"/>
                <w:color w:val="auto"/>
                <w:sz w:val="24"/>
                <w:szCs w:val="24"/>
                <w:highlight w:val="none"/>
                <w:lang w:eastAsia="zh-CN"/>
              </w:rPr>
              <w:t>）</w:t>
            </w:r>
          </w:p>
        </w:tc>
        <w:tc>
          <w:tcPr>
            <w:tcW w:w="770" w:type="dxa"/>
            <w:noWrap w:val="0"/>
            <w:vAlign w:val="center"/>
          </w:tcPr>
          <w:p>
            <w:pPr>
              <w:spacing w:line="370" w:lineRule="exact"/>
              <w:ind w:left="-2" w:leftChars="-1"/>
              <w:jc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30分</w:t>
            </w:r>
          </w:p>
        </w:tc>
        <w:tc>
          <w:tcPr>
            <w:tcW w:w="5640" w:type="dxa"/>
            <w:noWrap w:val="0"/>
            <w:vAlign w:val="top"/>
          </w:tcPr>
          <w:p>
            <w:pPr>
              <w:pStyle w:val="8"/>
              <w:numPr>
                <w:ilvl w:val="0"/>
                <w:numId w:val="0"/>
              </w:numPr>
              <w:spacing w:line="370" w:lineRule="exact"/>
              <w:ind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若经过符合性审查，</w:t>
            </w:r>
            <w:r>
              <w:rPr>
                <w:rFonts w:hint="eastAsia" w:ascii="仿宋_GB2312" w:hAnsi="仿宋_GB2312" w:eastAsia="仿宋_GB2312" w:cs="仿宋_GB2312"/>
                <w:color w:val="auto"/>
                <w:sz w:val="24"/>
                <w:szCs w:val="24"/>
                <w:highlight w:val="none"/>
              </w:rPr>
              <w:t>以</w:t>
            </w:r>
            <w:r>
              <w:rPr>
                <w:rFonts w:hint="eastAsia" w:ascii="仿宋_GB2312" w:hAnsi="仿宋_GB2312" w:eastAsia="仿宋_GB2312" w:cs="仿宋_GB2312"/>
                <w:color w:val="auto"/>
                <w:sz w:val="24"/>
                <w:szCs w:val="24"/>
                <w:highlight w:val="none"/>
                <w:lang w:eastAsia="zh-CN"/>
              </w:rPr>
              <w:t>入围投标</w:t>
            </w:r>
            <w:r>
              <w:rPr>
                <w:rFonts w:hint="eastAsia" w:ascii="仿宋_GB2312" w:hAnsi="仿宋_GB2312" w:eastAsia="仿宋_GB2312" w:cs="仿宋_GB2312"/>
                <w:color w:val="auto"/>
                <w:sz w:val="24"/>
                <w:szCs w:val="24"/>
                <w:highlight w:val="none"/>
              </w:rPr>
              <w:t>单位的有效</w:t>
            </w:r>
            <w:r>
              <w:rPr>
                <w:rFonts w:hint="eastAsia" w:ascii="仿宋_GB2312" w:hAnsi="仿宋_GB2312" w:eastAsia="仿宋_GB2312" w:cs="仿宋_GB2312"/>
                <w:color w:val="auto"/>
                <w:sz w:val="24"/>
                <w:szCs w:val="24"/>
                <w:highlight w:val="none"/>
                <w:lang w:eastAsia="zh-CN"/>
              </w:rPr>
              <w:t>总</w:t>
            </w:r>
            <w:r>
              <w:rPr>
                <w:rFonts w:hint="eastAsia" w:ascii="仿宋_GB2312" w:hAnsi="仿宋_GB2312" w:eastAsia="仿宋_GB2312" w:cs="仿宋_GB2312"/>
                <w:color w:val="auto"/>
                <w:sz w:val="24"/>
                <w:szCs w:val="24"/>
                <w:highlight w:val="none"/>
              </w:rPr>
              <w:t>报价的</w:t>
            </w:r>
            <w:r>
              <w:rPr>
                <w:rFonts w:hint="eastAsia" w:ascii="仿宋_GB2312" w:hAnsi="仿宋_GB2312" w:eastAsia="仿宋_GB2312" w:cs="仿宋_GB2312"/>
                <w:color w:val="auto"/>
                <w:sz w:val="24"/>
                <w:szCs w:val="24"/>
                <w:highlight w:val="none"/>
                <w:lang w:eastAsia="zh-CN"/>
              </w:rPr>
              <w:t>算术</w:t>
            </w:r>
            <w:r>
              <w:rPr>
                <w:rFonts w:hint="eastAsia" w:ascii="仿宋_GB2312" w:hAnsi="仿宋_GB2312" w:eastAsia="仿宋_GB2312" w:cs="仿宋_GB2312"/>
                <w:color w:val="auto"/>
                <w:sz w:val="24"/>
                <w:szCs w:val="24"/>
                <w:highlight w:val="none"/>
              </w:rPr>
              <w:t>平均</w:t>
            </w:r>
            <w:r>
              <w:rPr>
                <w:rFonts w:hint="eastAsia" w:ascii="仿宋_GB2312" w:hAnsi="仿宋_GB2312" w:eastAsia="仿宋_GB2312" w:cs="仿宋_GB2312"/>
                <w:color w:val="auto"/>
                <w:sz w:val="24"/>
                <w:szCs w:val="24"/>
                <w:highlight w:val="none"/>
                <w:lang w:eastAsia="zh-CN"/>
              </w:rPr>
              <w:t>值</w:t>
            </w:r>
            <w:r>
              <w:rPr>
                <w:rFonts w:hint="eastAsia" w:ascii="仿宋_GB2312" w:hAnsi="仿宋_GB2312" w:eastAsia="仿宋_GB2312" w:cs="仿宋_GB2312"/>
                <w:color w:val="auto"/>
                <w:sz w:val="24"/>
                <w:szCs w:val="24"/>
                <w:highlight w:val="none"/>
              </w:rPr>
              <w:t>作为基准价</w:t>
            </w:r>
            <w:r>
              <w:rPr>
                <w:rFonts w:hint="eastAsia" w:ascii="仿宋_GB2312" w:hAnsi="仿宋_GB2312" w:eastAsia="仿宋_GB2312" w:cs="仿宋_GB2312"/>
                <w:color w:val="auto"/>
                <w:sz w:val="24"/>
                <w:szCs w:val="24"/>
                <w:highlight w:val="none"/>
                <w:lang w:eastAsia="zh-CN"/>
              </w:rPr>
              <w:t>；投标报价</w:t>
            </w:r>
            <w:r>
              <w:rPr>
                <w:rFonts w:hint="eastAsia" w:ascii="仿宋_GB2312" w:hAnsi="仿宋_GB2312" w:eastAsia="仿宋_GB2312" w:cs="仿宋_GB2312"/>
                <w:color w:val="auto"/>
                <w:sz w:val="24"/>
                <w:szCs w:val="24"/>
                <w:highlight w:val="none"/>
              </w:rPr>
              <w:t>等于基准价为满分</w:t>
            </w: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rPr>
              <w:t>分，高于基准价的1%扣</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分，低于基准价的1%扣</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分，以此类推。最低得分0分。得分保留两位小数。</w:t>
            </w:r>
            <w:r>
              <w:rPr>
                <w:rFonts w:hint="eastAsia" w:ascii="仿宋_GB2312" w:hAnsi="仿宋_GB2312" w:eastAsia="仿宋_GB2312" w:cs="仿宋_GB2312"/>
                <w:color w:val="auto"/>
                <w:sz w:val="24"/>
                <w:szCs w:val="24"/>
                <w:highlight w:val="none"/>
                <w:lang w:eastAsia="zh-CN"/>
              </w:rPr>
              <w:t>计算公式如下：</w:t>
            </w:r>
          </w:p>
          <w:p>
            <w:pPr>
              <w:pStyle w:val="8"/>
              <w:numPr>
                <w:ilvl w:val="0"/>
                <w:numId w:val="0"/>
              </w:numPr>
              <w:spacing w:line="37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1、报价等于基准价的，得分=30。</w:t>
            </w:r>
          </w:p>
          <w:p>
            <w:pPr>
              <w:pStyle w:val="8"/>
              <w:numPr>
                <w:ilvl w:val="0"/>
                <w:numId w:val="0"/>
              </w:numPr>
              <w:spacing w:line="37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2、报价高于基准价的，得分=30-[（报价-基准价）/基准价]×100×1</w:t>
            </w:r>
          </w:p>
          <w:p>
            <w:pPr>
              <w:pStyle w:val="8"/>
              <w:numPr>
                <w:ilvl w:val="0"/>
                <w:numId w:val="0"/>
              </w:numPr>
              <w:spacing w:line="37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3、报价低于基准价的，得分=30-[（基准价-报价）/基准价]×100×0.5</w:t>
            </w:r>
          </w:p>
        </w:tc>
        <w:tc>
          <w:tcPr>
            <w:tcW w:w="700" w:type="dxa"/>
            <w:noWrap w:val="0"/>
            <w:vAlign w:val="center"/>
          </w:tcPr>
          <w:p>
            <w:pPr>
              <w:spacing w:line="37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2530" w:type="dxa"/>
            <w:gridSpan w:val="2"/>
            <w:noWrap w:val="0"/>
            <w:vAlign w:val="center"/>
          </w:tcPr>
          <w:p>
            <w:pPr>
              <w:spacing w:line="37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合计</w:t>
            </w:r>
          </w:p>
        </w:tc>
        <w:tc>
          <w:tcPr>
            <w:tcW w:w="770" w:type="dxa"/>
            <w:noWrap w:val="0"/>
            <w:vAlign w:val="center"/>
          </w:tcPr>
          <w:p>
            <w:pPr>
              <w:spacing w:line="370" w:lineRule="exact"/>
              <w:ind w:left="-2" w:leftChars="-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100</w:t>
            </w:r>
          </w:p>
        </w:tc>
        <w:tc>
          <w:tcPr>
            <w:tcW w:w="5640" w:type="dxa"/>
            <w:noWrap w:val="0"/>
            <w:vAlign w:val="center"/>
          </w:tcPr>
          <w:p>
            <w:pPr>
              <w:spacing w:line="370" w:lineRule="exact"/>
              <w:ind w:left="-2" w:leftChars="-1"/>
              <w:rPr>
                <w:rFonts w:hint="eastAsia" w:ascii="仿宋_GB2312" w:hAnsi="仿宋_GB2312" w:eastAsia="仿宋_GB2312" w:cs="仿宋_GB2312"/>
                <w:color w:val="auto"/>
                <w:sz w:val="24"/>
                <w:szCs w:val="24"/>
                <w:highlight w:val="none"/>
              </w:rPr>
            </w:pPr>
          </w:p>
        </w:tc>
        <w:tc>
          <w:tcPr>
            <w:tcW w:w="700" w:type="dxa"/>
            <w:noWrap w:val="0"/>
            <w:vAlign w:val="center"/>
          </w:tcPr>
          <w:p>
            <w:pPr>
              <w:spacing w:line="370" w:lineRule="exact"/>
              <w:ind w:left="-2" w:leftChars="-1"/>
              <w:rPr>
                <w:rFonts w:hint="eastAsia" w:ascii="仿宋_GB2312" w:hAnsi="仿宋_GB2312" w:eastAsia="仿宋_GB2312" w:cs="仿宋_GB2312"/>
                <w:color w:val="auto"/>
                <w:sz w:val="24"/>
                <w:szCs w:val="24"/>
                <w:highlight w:val="none"/>
              </w:rPr>
            </w:pPr>
          </w:p>
        </w:tc>
      </w:tr>
    </w:tbl>
    <w:p>
      <w:pPr>
        <w:snapToGrid w:val="0"/>
        <w:spacing w:line="370" w:lineRule="exact"/>
        <w:ind w:left="7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p>
    <w:p>
      <w:pPr>
        <w:snapToGrid/>
        <w:spacing w:line="360" w:lineRule="auto"/>
        <w:ind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说明：本表中所有要求提供的证明资料复印件均需加盖投标人公章。未提供证明资料或提供的证明材料不齐全、不符合要求的，不得分</w:t>
      </w:r>
      <w:r>
        <w:rPr>
          <w:rFonts w:hint="eastAsia" w:ascii="仿宋_GB2312" w:hAnsi="仿宋_GB2312" w:eastAsia="仿宋_GB2312" w:cs="仿宋_GB2312"/>
          <w:color w:val="auto"/>
          <w:sz w:val="24"/>
          <w:szCs w:val="24"/>
          <w:highlight w:val="none"/>
          <w:lang w:eastAsia="zh-CN"/>
        </w:rPr>
        <w:t>。</w:t>
      </w:r>
    </w:p>
    <w:p>
      <w:pPr>
        <w:pStyle w:val="21"/>
        <w:tabs>
          <w:tab w:val="left" w:pos="12810"/>
        </w:tabs>
        <w:spacing w:line="360" w:lineRule="auto"/>
        <w:ind w:right="1619" w:rightChars="771" w:firstLine="0" w:firstLineChars="0"/>
        <w:rPr>
          <w:rFonts w:hint="eastAsia" w:ascii="隶书" w:hAnsi="隶书" w:eastAsia="隶书" w:cs="隶书"/>
          <w:color w:val="auto"/>
          <w:szCs w:val="21"/>
          <w:highlight w:val="none"/>
          <w:lang w:val="en-US" w:eastAsia="zh-CN"/>
        </w:rPr>
        <w:sectPr>
          <w:footerReference r:id="rId4" w:type="default"/>
          <w:pgSz w:w="12240" w:h="15840"/>
          <w:pgMar w:top="1440" w:right="1800" w:bottom="1440" w:left="1800" w:header="720" w:footer="720" w:gutter="0"/>
          <w:cols w:space="425" w:num="1"/>
          <w:docGrid w:linePitch="312" w:charSpace="0"/>
        </w:sectPr>
      </w:pPr>
      <w:r>
        <w:rPr>
          <w:rFonts w:hint="eastAsia" w:ascii="仿宋_GB2312" w:hAnsi="仿宋_GB2312" w:eastAsia="仿宋_GB2312" w:cs="仿宋_GB2312"/>
          <w:color w:val="auto"/>
          <w:sz w:val="24"/>
          <w:szCs w:val="24"/>
          <w:highlight w:val="none"/>
          <w:lang w:val="en-US" w:eastAsia="zh-CN"/>
        </w:rPr>
        <w:t xml:space="preserve">   </w:t>
      </w:r>
    </w:p>
    <w:p>
      <w:pPr>
        <w:snapToGrid w:val="0"/>
        <w:spacing w:line="360" w:lineRule="auto"/>
        <w:jc w:val="left"/>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附件</w:t>
      </w:r>
      <w:r>
        <w:rPr>
          <w:rFonts w:hint="eastAsia" w:ascii="仿宋_GB2312" w:hAnsi="仿宋_GB2312" w:eastAsia="仿宋_GB2312" w:cs="仿宋_GB2312"/>
          <w:b/>
          <w:bCs/>
          <w:color w:val="auto"/>
          <w:sz w:val="28"/>
          <w:szCs w:val="28"/>
          <w:highlight w:val="none"/>
          <w:lang w:val="en-US" w:eastAsia="zh-CN"/>
        </w:rPr>
        <w:t>3</w:t>
      </w:r>
      <w:r>
        <w:rPr>
          <w:rFonts w:hint="eastAsia" w:ascii="仿宋_GB2312" w:hAnsi="仿宋_GB2312" w:eastAsia="仿宋_GB2312" w:cs="仿宋_GB2312"/>
          <w:b/>
          <w:bCs/>
          <w:color w:val="auto"/>
          <w:sz w:val="28"/>
          <w:szCs w:val="28"/>
          <w:highlight w:val="none"/>
        </w:rPr>
        <w:t>：</w:t>
      </w:r>
    </w:p>
    <w:p>
      <w:pPr>
        <w:adjustRightInd w:val="0"/>
        <w:snapToGrid w:val="0"/>
        <w:spacing w:line="360" w:lineRule="auto"/>
        <w:jc w:val="center"/>
        <w:outlineLvl w:val="0"/>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kern w:val="0"/>
          <w:sz w:val="28"/>
          <w:szCs w:val="28"/>
          <w:highlight w:val="none"/>
        </w:rPr>
        <w:t>投标申请人</w:t>
      </w:r>
      <w:r>
        <w:rPr>
          <w:rFonts w:hint="eastAsia" w:ascii="仿宋_GB2312" w:hAnsi="仿宋_GB2312" w:eastAsia="仿宋_GB2312" w:cs="仿宋_GB2312"/>
          <w:b/>
          <w:bCs/>
          <w:color w:val="auto"/>
          <w:sz w:val="28"/>
          <w:szCs w:val="28"/>
          <w:highlight w:val="none"/>
        </w:rPr>
        <w:t>声明</w:t>
      </w:r>
    </w:p>
    <w:p>
      <w:pPr>
        <w:pStyle w:val="36"/>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eastAsia="zh-CN"/>
        </w:rPr>
        <w:t>广州南沙科技投资有限公司</w:t>
      </w:r>
      <w:r>
        <w:rPr>
          <w:rFonts w:hint="eastAsia" w:ascii="仿宋_GB2312" w:hAnsi="仿宋_GB2312" w:eastAsia="仿宋_GB2312" w:cs="仿宋_GB2312"/>
          <w:color w:val="auto"/>
          <w:sz w:val="24"/>
          <w:szCs w:val="24"/>
          <w:highlight w:val="none"/>
          <w:u w:val="single"/>
        </w:rPr>
        <w:t xml:space="preserve"> </w:t>
      </w:r>
    </w:p>
    <w:p>
      <w:pPr>
        <w:pStyle w:val="36"/>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本公司就参加</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pacing w:val="20"/>
          <w:sz w:val="24"/>
          <w:szCs w:val="24"/>
          <w:highlight w:val="none"/>
          <w:u w:val="single"/>
          <w:lang w:eastAsia="zh-CN"/>
        </w:rPr>
        <w:t>前锋水乡一、二涌已移交物业危房鉴定</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投标工作，做出郑重声明：</w:t>
      </w:r>
    </w:p>
    <w:p>
      <w:pPr>
        <w:pStyle w:val="36"/>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一、本公司保证投标报名材料及其后提供的一切材料都是真实的。</w:t>
      </w:r>
    </w:p>
    <w:p>
      <w:pPr>
        <w:pStyle w:val="36"/>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二、本公司保证在本项目投标中不与其他单位围标、串标，不出让投标资格，不向招标人或评标委员会成员行贿。</w:t>
      </w:r>
    </w:p>
    <w:p>
      <w:pPr>
        <w:pStyle w:val="36"/>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6"/>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6"/>
        <w:adjustRightInd w:val="0"/>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五、与本公司单位负责人为同一人或者与本公司存在控股、</w:t>
      </w:r>
      <w:r>
        <w:rPr>
          <w:rFonts w:hint="eastAsia" w:hAnsi="仿宋_GB2312" w:cs="仿宋_GB2312"/>
          <w:color w:val="auto"/>
          <w:sz w:val="24"/>
          <w:szCs w:val="24"/>
          <w:highlight w:val="none"/>
          <w:lang w:eastAsia="zh-CN"/>
        </w:rPr>
        <w:t>关联</w:t>
      </w:r>
      <w:r>
        <w:rPr>
          <w:rFonts w:hint="eastAsia" w:ascii="仿宋_GB2312" w:hAnsi="仿宋_GB2312" w:eastAsia="仿宋_GB2312" w:cs="仿宋_GB2312"/>
          <w:color w:val="auto"/>
          <w:sz w:val="24"/>
          <w:szCs w:val="24"/>
          <w:highlight w:val="none"/>
        </w:rPr>
        <w:t>关系的其他单位包括：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none"/>
          <w:lang w:eastAsia="zh-CN"/>
        </w:rPr>
        <w:t>，本公司保证上述单位不参与本次投标</w:t>
      </w:r>
      <w:r>
        <w:rPr>
          <w:rFonts w:hint="eastAsia" w:ascii="仿宋_GB2312" w:hAnsi="仿宋_GB2312" w:eastAsia="仿宋_GB2312" w:cs="仿宋_GB2312"/>
          <w:color w:val="auto"/>
          <w:sz w:val="24"/>
          <w:szCs w:val="24"/>
          <w:highlight w:val="none"/>
        </w:rPr>
        <w:t>。（注：本条由投标人如实填写，如有，应列出全部满足招标公告资质要求的相关单位的名称；如无，则填写“无”。）</w:t>
      </w:r>
    </w:p>
    <w:p>
      <w:pPr>
        <w:pStyle w:val="36"/>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6"/>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特此声明！</w:t>
      </w:r>
    </w:p>
    <w:p>
      <w:pPr>
        <w:pStyle w:val="37"/>
        <w:snapToGrid w:val="0"/>
        <w:spacing w:line="360" w:lineRule="auto"/>
        <w:ind w:left="0" w:righ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声明企业：          </w:t>
      </w:r>
      <w:r>
        <w:rPr>
          <w:rFonts w:hint="eastAsia" w:hAnsi="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企业公章</w:t>
      </w:r>
      <w:r>
        <w:rPr>
          <w:rFonts w:hint="eastAsia" w:hAnsi="仿宋_GB2312" w:cs="仿宋_GB2312"/>
          <w:color w:val="auto"/>
          <w:sz w:val="24"/>
          <w:szCs w:val="24"/>
          <w:highlight w:val="none"/>
          <w:lang w:eastAsia="zh-CN"/>
        </w:rPr>
        <w:t>）</w:t>
      </w:r>
    </w:p>
    <w:p>
      <w:pPr>
        <w:pStyle w:val="36"/>
        <w:snapToGrid w:val="0"/>
        <w:spacing w:line="360" w:lineRule="auto"/>
        <w:ind w:right="0" w:firstLine="480" w:firstLineChars="2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法定代表人签字：                  </w:t>
      </w:r>
    </w:p>
    <w:p>
      <w:pPr>
        <w:pStyle w:val="36"/>
        <w:snapToGrid w:val="0"/>
        <w:spacing w:line="360" w:lineRule="auto"/>
        <w:ind w:right="0" w:firstLine="480" w:firstLineChars="200"/>
        <w:jc w:val="right"/>
        <w:rPr>
          <w:rFonts w:hint="eastAsia" w:hAnsi="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年   月   日</w:t>
      </w:r>
    </w:p>
    <w:p>
      <w:pPr>
        <w:pStyle w:val="8"/>
        <w:spacing w:line="360" w:lineRule="auto"/>
        <w:ind w:firstLine="480" w:firstLineChars="200"/>
        <w:rPr>
          <w:rFonts w:hint="eastAsia" w:ascii="仿宋_GB2312" w:hAnsi="仿宋_GB2312" w:eastAsia="仿宋_GB2312" w:cs="仿宋_GB2312"/>
          <w:color w:val="auto"/>
          <w:sz w:val="24"/>
          <w:szCs w:val="24"/>
          <w:highlight w:val="none"/>
        </w:rPr>
      </w:pPr>
    </w:p>
    <w:p>
      <w:pPr>
        <w:pStyle w:val="2"/>
        <w:rPr>
          <w:rFonts w:hint="eastAsia"/>
        </w:rPr>
      </w:pPr>
    </w:p>
    <w:p>
      <w:pPr>
        <w:pStyle w:val="8"/>
        <w:rPr>
          <w:rFonts w:hint="eastAsia" w:ascii="仿宋_GB2312" w:hAnsi="仿宋_GB2312" w:eastAsia="仿宋_GB2312" w:cs="仿宋_GB2312"/>
          <w:color w:val="auto"/>
          <w:sz w:val="24"/>
          <w:szCs w:val="24"/>
          <w:highlight w:val="none"/>
        </w:rPr>
      </w:pP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9C05DB44"/>
    <w:multiLevelType w:val="singleLevel"/>
    <w:tmpl w:val="9C05DB44"/>
    <w:lvl w:ilvl="0" w:tentative="0">
      <w:start w:val="1"/>
      <w:numFmt w:val="decimal"/>
      <w:suff w:val="nothing"/>
      <w:lvlText w:val="%1、"/>
      <w:lvlJc w:val="left"/>
    </w:lvl>
  </w:abstractNum>
  <w:abstractNum w:abstractNumId="2">
    <w:nsid w:val="71BD1A65"/>
    <w:multiLevelType w:val="singleLevel"/>
    <w:tmpl w:val="71BD1A65"/>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zN2Q1YjEzZGE5OWZlN2UzYjIyMTRjOGU3MmE5NTA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3646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200251"/>
    <w:rsid w:val="01E200EE"/>
    <w:rsid w:val="02471C19"/>
    <w:rsid w:val="025A13E2"/>
    <w:rsid w:val="02AB79AC"/>
    <w:rsid w:val="02E9680F"/>
    <w:rsid w:val="02F7533D"/>
    <w:rsid w:val="030457ED"/>
    <w:rsid w:val="03562994"/>
    <w:rsid w:val="03CB6D70"/>
    <w:rsid w:val="04364A4F"/>
    <w:rsid w:val="04376975"/>
    <w:rsid w:val="04435BE0"/>
    <w:rsid w:val="044C08C6"/>
    <w:rsid w:val="04E40895"/>
    <w:rsid w:val="051B7598"/>
    <w:rsid w:val="052E78DA"/>
    <w:rsid w:val="053C431D"/>
    <w:rsid w:val="059A4101"/>
    <w:rsid w:val="05A7208B"/>
    <w:rsid w:val="06FD0DD2"/>
    <w:rsid w:val="079A3CDA"/>
    <w:rsid w:val="07F66A4C"/>
    <w:rsid w:val="083B43B1"/>
    <w:rsid w:val="08757A2C"/>
    <w:rsid w:val="08A9464F"/>
    <w:rsid w:val="08D505E6"/>
    <w:rsid w:val="08E03A6C"/>
    <w:rsid w:val="09062DA7"/>
    <w:rsid w:val="09577D3C"/>
    <w:rsid w:val="0967478B"/>
    <w:rsid w:val="09A667E8"/>
    <w:rsid w:val="09C30B4E"/>
    <w:rsid w:val="0A31358E"/>
    <w:rsid w:val="0A621C44"/>
    <w:rsid w:val="0B372B92"/>
    <w:rsid w:val="0BDC1A7F"/>
    <w:rsid w:val="0BFF40FB"/>
    <w:rsid w:val="0C855B7E"/>
    <w:rsid w:val="0C87037B"/>
    <w:rsid w:val="0CF74903"/>
    <w:rsid w:val="0D8D4779"/>
    <w:rsid w:val="0E1B10A8"/>
    <w:rsid w:val="0E5138B0"/>
    <w:rsid w:val="0E80564C"/>
    <w:rsid w:val="0E8C2C83"/>
    <w:rsid w:val="0EA03B8A"/>
    <w:rsid w:val="0EAC0C18"/>
    <w:rsid w:val="0EB254F4"/>
    <w:rsid w:val="0EB25F9A"/>
    <w:rsid w:val="0ED8481A"/>
    <w:rsid w:val="0F263AB3"/>
    <w:rsid w:val="0F6A63E1"/>
    <w:rsid w:val="0F8D0176"/>
    <w:rsid w:val="0FD73768"/>
    <w:rsid w:val="10A4638E"/>
    <w:rsid w:val="10AB649B"/>
    <w:rsid w:val="10D83B3D"/>
    <w:rsid w:val="11135DC8"/>
    <w:rsid w:val="116958E7"/>
    <w:rsid w:val="11D31BC3"/>
    <w:rsid w:val="11F528ED"/>
    <w:rsid w:val="1265210E"/>
    <w:rsid w:val="12D70506"/>
    <w:rsid w:val="12E86716"/>
    <w:rsid w:val="13082AF4"/>
    <w:rsid w:val="130F5872"/>
    <w:rsid w:val="134A310C"/>
    <w:rsid w:val="13E640E2"/>
    <w:rsid w:val="13E744B7"/>
    <w:rsid w:val="14082F52"/>
    <w:rsid w:val="14085DAD"/>
    <w:rsid w:val="14233C6D"/>
    <w:rsid w:val="14452035"/>
    <w:rsid w:val="1448567A"/>
    <w:rsid w:val="145B3800"/>
    <w:rsid w:val="14725C9B"/>
    <w:rsid w:val="15482339"/>
    <w:rsid w:val="15B036FB"/>
    <w:rsid w:val="15E228F6"/>
    <w:rsid w:val="16007AF5"/>
    <w:rsid w:val="16EE4E42"/>
    <w:rsid w:val="17463991"/>
    <w:rsid w:val="179E3273"/>
    <w:rsid w:val="17E977C8"/>
    <w:rsid w:val="182C4B8E"/>
    <w:rsid w:val="1873680D"/>
    <w:rsid w:val="18893C5F"/>
    <w:rsid w:val="18E67433"/>
    <w:rsid w:val="18F12637"/>
    <w:rsid w:val="19095239"/>
    <w:rsid w:val="19886DAA"/>
    <w:rsid w:val="19A846E9"/>
    <w:rsid w:val="19BE3F0C"/>
    <w:rsid w:val="1A5A3C35"/>
    <w:rsid w:val="1A6525DA"/>
    <w:rsid w:val="1AB46DAB"/>
    <w:rsid w:val="1B612DA1"/>
    <w:rsid w:val="1B6C2995"/>
    <w:rsid w:val="1B99078D"/>
    <w:rsid w:val="1BB630ED"/>
    <w:rsid w:val="1BC44893"/>
    <w:rsid w:val="1BE136FF"/>
    <w:rsid w:val="1C05708F"/>
    <w:rsid w:val="1C307374"/>
    <w:rsid w:val="1C9203A6"/>
    <w:rsid w:val="1E032835"/>
    <w:rsid w:val="1E382495"/>
    <w:rsid w:val="1E560BB7"/>
    <w:rsid w:val="1E562810"/>
    <w:rsid w:val="1EB63404"/>
    <w:rsid w:val="1EBD45C4"/>
    <w:rsid w:val="1EC32875"/>
    <w:rsid w:val="1F1C5732"/>
    <w:rsid w:val="1F584BD1"/>
    <w:rsid w:val="1F7A6193"/>
    <w:rsid w:val="203E11D3"/>
    <w:rsid w:val="205D447F"/>
    <w:rsid w:val="206E043A"/>
    <w:rsid w:val="20AD4C4C"/>
    <w:rsid w:val="21424D60"/>
    <w:rsid w:val="215321ED"/>
    <w:rsid w:val="2234120F"/>
    <w:rsid w:val="224A02E7"/>
    <w:rsid w:val="227411DF"/>
    <w:rsid w:val="22934188"/>
    <w:rsid w:val="23EE6B47"/>
    <w:rsid w:val="24856237"/>
    <w:rsid w:val="25053D8A"/>
    <w:rsid w:val="25413432"/>
    <w:rsid w:val="25687B33"/>
    <w:rsid w:val="25791876"/>
    <w:rsid w:val="26236584"/>
    <w:rsid w:val="26826F29"/>
    <w:rsid w:val="26B94C66"/>
    <w:rsid w:val="26EC20B9"/>
    <w:rsid w:val="26FF6942"/>
    <w:rsid w:val="272101A5"/>
    <w:rsid w:val="272B74FA"/>
    <w:rsid w:val="2751149E"/>
    <w:rsid w:val="2837076A"/>
    <w:rsid w:val="28441A80"/>
    <w:rsid w:val="2865301D"/>
    <w:rsid w:val="288A6ABA"/>
    <w:rsid w:val="28C86C87"/>
    <w:rsid w:val="29051210"/>
    <w:rsid w:val="296119D7"/>
    <w:rsid w:val="2A446D64"/>
    <w:rsid w:val="2A97100B"/>
    <w:rsid w:val="2AF4778E"/>
    <w:rsid w:val="2AFF2542"/>
    <w:rsid w:val="2B401296"/>
    <w:rsid w:val="2B5D2502"/>
    <w:rsid w:val="2B7B3A0B"/>
    <w:rsid w:val="2BAE6875"/>
    <w:rsid w:val="2BEC17AE"/>
    <w:rsid w:val="2BF67536"/>
    <w:rsid w:val="2C0B6D4E"/>
    <w:rsid w:val="2C1B0D4A"/>
    <w:rsid w:val="2C4A1CB6"/>
    <w:rsid w:val="2C5357E2"/>
    <w:rsid w:val="2C842E83"/>
    <w:rsid w:val="2CBE4B02"/>
    <w:rsid w:val="2CD5279B"/>
    <w:rsid w:val="2D0635AD"/>
    <w:rsid w:val="2D691CC1"/>
    <w:rsid w:val="2D907150"/>
    <w:rsid w:val="2DDB1EBF"/>
    <w:rsid w:val="2DE7190D"/>
    <w:rsid w:val="2DE71DA9"/>
    <w:rsid w:val="2DF963B5"/>
    <w:rsid w:val="2E6C5CB5"/>
    <w:rsid w:val="2EC40C57"/>
    <w:rsid w:val="2EE433BF"/>
    <w:rsid w:val="2EED69CE"/>
    <w:rsid w:val="2F740E9D"/>
    <w:rsid w:val="2F777046"/>
    <w:rsid w:val="2F9B6BBA"/>
    <w:rsid w:val="2FE96F27"/>
    <w:rsid w:val="2FEA73B1"/>
    <w:rsid w:val="30134267"/>
    <w:rsid w:val="30136E93"/>
    <w:rsid w:val="30334755"/>
    <w:rsid w:val="30EC6390"/>
    <w:rsid w:val="311233CC"/>
    <w:rsid w:val="31B57180"/>
    <w:rsid w:val="33113670"/>
    <w:rsid w:val="3411535B"/>
    <w:rsid w:val="34935BA4"/>
    <w:rsid w:val="34A264CA"/>
    <w:rsid w:val="34B14942"/>
    <w:rsid w:val="35830B03"/>
    <w:rsid w:val="3700775A"/>
    <w:rsid w:val="37A26BD4"/>
    <w:rsid w:val="37A33759"/>
    <w:rsid w:val="37AE7FE3"/>
    <w:rsid w:val="37B20151"/>
    <w:rsid w:val="38292B54"/>
    <w:rsid w:val="383813C8"/>
    <w:rsid w:val="38417D8A"/>
    <w:rsid w:val="390B4D39"/>
    <w:rsid w:val="39131727"/>
    <w:rsid w:val="392A6A70"/>
    <w:rsid w:val="39731517"/>
    <w:rsid w:val="39F52602"/>
    <w:rsid w:val="39FC703A"/>
    <w:rsid w:val="3AC802EF"/>
    <w:rsid w:val="3B183024"/>
    <w:rsid w:val="3B6D4312"/>
    <w:rsid w:val="3BB718A6"/>
    <w:rsid w:val="3BBA1D8E"/>
    <w:rsid w:val="3BC04127"/>
    <w:rsid w:val="3C88543E"/>
    <w:rsid w:val="3CB7521C"/>
    <w:rsid w:val="3CE76215"/>
    <w:rsid w:val="3CF13E59"/>
    <w:rsid w:val="3CFF0303"/>
    <w:rsid w:val="3D7619F9"/>
    <w:rsid w:val="3D957982"/>
    <w:rsid w:val="3D96007A"/>
    <w:rsid w:val="3D965718"/>
    <w:rsid w:val="3E817133"/>
    <w:rsid w:val="3EDC25BB"/>
    <w:rsid w:val="3F4915A0"/>
    <w:rsid w:val="3F5F332B"/>
    <w:rsid w:val="3F641BC2"/>
    <w:rsid w:val="3F8502F8"/>
    <w:rsid w:val="3FBE56FE"/>
    <w:rsid w:val="3FD704B2"/>
    <w:rsid w:val="403B7AF1"/>
    <w:rsid w:val="405854B3"/>
    <w:rsid w:val="40810FE9"/>
    <w:rsid w:val="408D1DBF"/>
    <w:rsid w:val="409313F9"/>
    <w:rsid w:val="40B7508E"/>
    <w:rsid w:val="40CA2819"/>
    <w:rsid w:val="41EC3A6C"/>
    <w:rsid w:val="42071857"/>
    <w:rsid w:val="42A2655E"/>
    <w:rsid w:val="42A723B3"/>
    <w:rsid w:val="43420D2F"/>
    <w:rsid w:val="436C5E0D"/>
    <w:rsid w:val="43952229"/>
    <w:rsid w:val="43F36E83"/>
    <w:rsid w:val="44631084"/>
    <w:rsid w:val="446A549B"/>
    <w:rsid w:val="44755126"/>
    <w:rsid w:val="44800368"/>
    <w:rsid w:val="44E811C0"/>
    <w:rsid w:val="455C29D7"/>
    <w:rsid w:val="457C68A6"/>
    <w:rsid w:val="45D53B6C"/>
    <w:rsid w:val="45E74C1B"/>
    <w:rsid w:val="463D1CB3"/>
    <w:rsid w:val="46871AD6"/>
    <w:rsid w:val="47025D0E"/>
    <w:rsid w:val="4735560E"/>
    <w:rsid w:val="47413F22"/>
    <w:rsid w:val="4792678F"/>
    <w:rsid w:val="47E03B89"/>
    <w:rsid w:val="481D5A38"/>
    <w:rsid w:val="482B34F2"/>
    <w:rsid w:val="487975A7"/>
    <w:rsid w:val="48E17BF2"/>
    <w:rsid w:val="48E72086"/>
    <w:rsid w:val="49732ED5"/>
    <w:rsid w:val="499C01CA"/>
    <w:rsid w:val="49EF5898"/>
    <w:rsid w:val="4A1079FD"/>
    <w:rsid w:val="4A1D620C"/>
    <w:rsid w:val="4A2D4613"/>
    <w:rsid w:val="4AED722D"/>
    <w:rsid w:val="4B3D40BA"/>
    <w:rsid w:val="4BC136D0"/>
    <w:rsid w:val="4BF328A0"/>
    <w:rsid w:val="4C2E17B4"/>
    <w:rsid w:val="4C372CAF"/>
    <w:rsid w:val="4C6579E4"/>
    <w:rsid w:val="4C81677F"/>
    <w:rsid w:val="4D195C1E"/>
    <w:rsid w:val="4D285BB3"/>
    <w:rsid w:val="4D904DD7"/>
    <w:rsid w:val="4D9C287D"/>
    <w:rsid w:val="4DC04FA6"/>
    <w:rsid w:val="4DC53F66"/>
    <w:rsid w:val="4E2A0E48"/>
    <w:rsid w:val="4E577EB0"/>
    <w:rsid w:val="4FC91A1A"/>
    <w:rsid w:val="5049448C"/>
    <w:rsid w:val="50D9042C"/>
    <w:rsid w:val="50DB6247"/>
    <w:rsid w:val="51531E87"/>
    <w:rsid w:val="51552F81"/>
    <w:rsid w:val="51AB2104"/>
    <w:rsid w:val="525A7F6F"/>
    <w:rsid w:val="52760C06"/>
    <w:rsid w:val="52A35200"/>
    <w:rsid w:val="52C06024"/>
    <w:rsid w:val="52C2143B"/>
    <w:rsid w:val="530E35F9"/>
    <w:rsid w:val="531A11E6"/>
    <w:rsid w:val="53427976"/>
    <w:rsid w:val="53A07C03"/>
    <w:rsid w:val="53A63423"/>
    <w:rsid w:val="53B638D1"/>
    <w:rsid w:val="54386D63"/>
    <w:rsid w:val="54A36172"/>
    <w:rsid w:val="54BC0EE8"/>
    <w:rsid w:val="554B6D60"/>
    <w:rsid w:val="55592415"/>
    <w:rsid w:val="55D122F6"/>
    <w:rsid w:val="55D41C4B"/>
    <w:rsid w:val="5702252D"/>
    <w:rsid w:val="572444C0"/>
    <w:rsid w:val="576D49E8"/>
    <w:rsid w:val="57B957CF"/>
    <w:rsid w:val="57DA583E"/>
    <w:rsid w:val="586926E8"/>
    <w:rsid w:val="59091D86"/>
    <w:rsid w:val="594F1692"/>
    <w:rsid w:val="59566C52"/>
    <w:rsid w:val="597674DD"/>
    <w:rsid w:val="5A416E84"/>
    <w:rsid w:val="5AAF5CCA"/>
    <w:rsid w:val="5B342AD8"/>
    <w:rsid w:val="5B6E68B8"/>
    <w:rsid w:val="5B6F6839"/>
    <w:rsid w:val="5B8D6C19"/>
    <w:rsid w:val="5BAA698D"/>
    <w:rsid w:val="5BC65072"/>
    <w:rsid w:val="5BCE61FA"/>
    <w:rsid w:val="5BFC593F"/>
    <w:rsid w:val="5C78171D"/>
    <w:rsid w:val="5C9B134E"/>
    <w:rsid w:val="5CF77B24"/>
    <w:rsid w:val="5D5E6B65"/>
    <w:rsid w:val="5DAA1580"/>
    <w:rsid w:val="5DF14932"/>
    <w:rsid w:val="5DFF04E8"/>
    <w:rsid w:val="5E1A6FB5"/>
    <w:rsid w:val="5E7A3CE2"/>
    <w:rsid w:val="5E960581"/>
    <w:rsid w:val="5F355496"/>
    <w:rsid w:val="5F8349F8"/>
    <w:rsid w:val="5F865CD7"/>
    <w:rsid w:val="5F925D77"/>
    <w:rsid w:val="5FDC4484"/>
    <w:rsid w:val="60591C0B"/>
    <w:rsid w:val="60BA0556"/>
    <w:rsid w:val="60F61E20"/>
    <w:rsid w:val="618B1EF3"/>
    <w:rsid w:val="61A7533B"/>
    <w:rsid w:val="621244D5"/>
    <w:rsid w:val="62B2296D"/>
    <w:rsid w:val="62B247EF"/>
    <w:rsid w:val="636147EE"/>
    <w:rsid w:val="63DB6B9E"/>
    <w:rsid w:val="65913EA4"/>
    <w:rsid w:val="65B25CA0"/>
    <w:rsid w:val="65B441A4"/>
    <w:rsid w:val="65D53F00"/>
    <w:rsid w:val="65D8147F"/>
    <w:rsid w:val="662B7800"/>
    <w:rsid w:val="66373494"/>
    <w:rsid w:val="663E17E3"/>
    <w:rsid w:val="66591B82"/>
    <w:rsid w:val="66593A91"/>
    <w:rsid w:val="67B101D9"/>
    <w:rsid w:val="67D46774"/>
    <w:rsid w:val="68550B65"/>
    <w:rsid w:val="68691990"/>
    <w:rsid w:val="6898637C"/>
    <w:rsid w:val="68B03FED"/>
    <w:rsid w:val="68B16D7B"/>
    <w:rsid w:val="68BA7003"/>
    <w:rsid w:val="691C25EA"/>
    <w:rsid w:val="698555C7"/>
    <w:rsid w:val="6B601D2D"/>
    <w:rsid w:val="6BBA3DB0"/>
    <w:rsid w:val="6BF6265F"/>
    <w:rsid w:val="6C281E78"/>
    <w:rsid w:val="6C307E68"/>
    <w:rsid w:val="6C3A341E"/>
    <w:rsid w:val="6C920572"/>
    <w:rsid w:val="6DB227E4"/>
    <w:rsid w:val="6DBE1759"/>
    <w:rsid w:val="6DC31ECB"/>
    <w:rsid w:val="6E307289"/>
    <w:rsid w:val="6E656845"/>
    <w:rsid w:val="6EB11E4C"/>
    <w:rsid w:val="6EF70BC7"/>
    <w:rsid w:val="6F2A4AF9"/>
    <w:rsid w:val="6F471F5D"/>
    <w:rsid w:val="6F563B40"/>
    <w:rsid w:val="6F891280"/>
    <w:rsid w:val="6F8E74DB"/>
    <w:rsid w:val="70727FF1"/>
    <w:rsid w:val="70836CF8"/>
    <w:rsid w:val="70CF07C8"/>
    <w:rsid w:val="70EE591B"/>
    <w:rsid w:val="710F157A"/>
    <w:rsid w:val="71840FD7"/>
    <w:rsid w:val="718C3480"/>
    <w:rsid w:val="721D56A4"/>
    <w:rsid w:val="7264529E"/>
    <w:rsid w:val="72987FCC"/>
    <w:rsid w:val="72BF7C4E"/>
    <w:rsid w:val="72F3401B"/>
    <w:rsid w:val="731416B4"/>
    <w:rsid w:val="734B14E2"/>
    <w:rsid w:val="736C262E"/>
    <w:rsid w:val="73712518"/>
    <w:rsid w:val="738A0204"/>
    <w:rsid w:val="738E7AB2"/>
    <w:rsid w:val="73AA787E"/>
    <w:rsid w:val="73EF0074"/>
    <w:rsid w:val="74035919"/>
    <w:rsid w:val="74624F7D"/>
    <w:rsid w:val="74B72A06"/>
    <w:rsid w:val="7546516B"/>
    <w:rsid w:val="75982490"/>
    <w:rsid w:val="75AF555B"/>
    <w:rsid w:val="763204BA"/>
    <w:rsid w:val="767D2F83"/>
    <w:rsid w:val="7690544E"/>
    <w:rsid w:val="76F3488A"/>
    <w:rsid w:val="77281C38"/>
    <w:rsid w:val="7741229E"/>
    <w:rsid w:val="776E0790"/>
    <w:rsid w:val="781828A1"/>
    <w:rsid w:val="781C3DC0"/>
    <w:rsid w:val="784A356A"/>
    <w:rsid w:val="78780B98"/>
    <w:rsid w:val="788E06C1"/>
    <w:rsid w:val="78D76423"/>
    <w:rsid w:val="78D86E43"/>
    <w:rsid w:val="79566D81"/>
    <w:rsid w:val="79B10E72"/>
    <w:rsid w:val="79E02BD8"/>
    <w:rsid w:val="7A2B55F9"/>
    <w:rsid w:val="7A3458D0"/>
    <w:rsid w:val="7A4B048B"/>
    <w:rsid w:val="7A7C35B8"/>
    <w:rsid w:val="7A96669D"/>
    <w:rsid w:val="7AC70013"/>
    <w:rsid w:val="7B2368A0"/>
    <w:rsid w:val="7B672810"/>
    <w:rsid w:val="7B681B66"/>
    <w:rsid w:val="7C561F60"/>
    <w:rsid w:val="7C6B2EC5"/>
    <w:rsid w:val="7C831CEC"/>
    <w:rsid w:val="7D420907"/>
    <w:rsid w:val="7DA559C5"/>
    <w:rsid w:val="7DDF7DDD"/>
    <w:rsid w:val="7E300909"/>
    <w:rsid w:val="7E3A59BF"/>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autoRedefine/>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pPr>
    <w:rPr>
      <w:rFonts w:ascii="Times New Roman" w:hAnsi="Times New Roman" w:eastAsia="宋体" w:cs="Times New Roman"/>
      <w:szCs w:val="20"/>
    </w:rPr>
  </w:style>
  <w:style w:type="paragraph" w:styleId="5">
    <w:name w:val="Note Heading"/>
    <w:basedOn w:val="1"/>
    <w:next w:val="1"/>
    <w:autoRedefine/>
    <w:qFormat/>
    <w:uiPriority w:val="0"/>
    <w:pPr>
      <w:snapToGrid w:val="0"/>
      <w:spacing w:before="120" w:after="120" w:line="320" w:lineRule="exact"/>
      <w:ind w:firstLine="413" w:firstLineChars="200"/>
    </w:pPr>
    <w:rPr>
      <w:rFonts w:ascii="宋体" w:hAnsi="宋体"/>
      <w:b/>
      <w:color w:val="000000"/>
    </w:rPr>
  </w:style>
  <w:style w:type="paragraph" w:styleId="6">
    <w:name w:val="annotation text"/>
    <w:basedOn w:val="1"/>
    <w:autoRedefine/>
    <w:semiHidden/>
    <w:unhideWhenUsed/>
    <w:qFormat/>
    <w:uiPriority w:val="0"/>
    <w:pPr>
      <w:jc w:val="left"/>
    </w:pPr>
  </w:style>
  <w:style w:type="paragraph" w:styleId="7">
    <w:name w:val="Body Text"/>
    <w:basedOn w:val="1"/>
    <w:autoRedefine/>
    <w:qFormat/>
    <w:uiPriority w:val="0"/>
  </w:style>
  <w:style w:type="paragraph" w:styleId="8">
    <w:name w:val="Plain Text"/>
    <w:basedOn w:val="1"/>
    <w:next w:val="1"/>
    <w:link w:val="33"/>
    <w:autoRedefine/>
    <w:qFormat/>
    <w:uiPriority w:val="0"/>
    <w:rPr>
      <w:rFonts w:hint="eastAsia" w:ascii="宋体" w:hAnsi="Courier New" w:eastAsia="宋体" w:cs="Times New Roman"/>
      <w:szCs w:val="21"/>
    </w:rPr>
  </w:style>
  <w:style w:type="paragraph" w:styleId="9">
    <w:name w:val="Balloon Text"/>
    <w:basedOn w:val="1"/>
    <w:link w:val="31"/>
    <w:autoRedefine/>
    <w:qFormat/>
    <w:uiPriority w:val="0"/>
    <w:rPr>
      <w:sz w:val="18"/>
      <w:szCs w:val="18"/>
    </w:rPr>
  </w:style>
  <w:style w:type="paragraph" w:styleId="10">
    <w:name w:val="footer"/>
    <w:basedOn w:val="1"/>
    <w:link w:val="30"/>
    <w:autoRedefine/>
    <w:qFormat/>
    <w:uiPriority w:val="0"/>
    <w:pPr>
      <w:tabs>
        <w:tab w:val="center" w:pos="4153"/>
        <w:tab w:val="right" w:pos="8306"/>
      </w:tabs>
      <w:snapToGrid w:val="0"/>
      <w:jc w:val="left"/>
    </w:pPr>
    <w:rPr>
      <w:sz w:val="18"/>
      <w:szCs w:val="18"/>
    </w:rPr>
  </w:style>
  <w:style w:type="paragraph" w:styleId="11">
    <w:name w:val="header"/>
    <w:basedOn w:val="1"/>
    <w:link w:val="29"/>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0"/>
    <w:rPr>
      <w:rFonts w:ascii="Times New Roman" w:hAnsi="Times New Roman" w:eastAsia="宋体" w:cs="Times New Roman"/>
      <w:szCs w:val="21"/>
    </w:rPr>
  </w:style>
  <w:style w:type="paragraph" w:styleId="13">
    <w:name w:val="Body Text First Indent"/>
    <w:basedOn w:val="7"/>
    <w:link w:val="34"/>
    <w:autoRedefine/>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autoRedefine/>
    <w:qFormat/>
    <w:uiPriority w:val="0"/>
  </w:style>
  <w:style w:type="character" w:styleId="17">
    <w:name w:val="FollowedHyperlink"/>
    <w:basedOn w:val="15"/>
    <w:autoRedefine/>
    <w:qFormat/>
    <w:uiPriority w:val="0"/>
    <w:rPr>
      <w:color w:val="0000FF"/>
      <w:u w:val="single"/>
    </w:rPr>
  </w:style>
  <w:style w:type="character" w:styleId="18">
    <w:name w:val="Hyperlink"/>
    <w:basedOn w:val="15"/>
    <w:autoRedefine/>
    <w:qFormat/>
    <w:uiPriority w:val="0"/>
    <w:rPr>
      <w:color w:val="0000FF"/>
      <w:u w:val="single"/>
    </w:rPr>
  </w:style>
  <w:style w:type="paragraph" w:customStyle="1" w:styleId="19">
    <w:name w:val="样式 小四 行距: 1.5 倍行距"/>
    <w:basedOn w:val="1"/>
    <w:autoRedefine/>
    <w:qFormat/>
    <w:uiPriority w:val="0"/>
    <w:pPr>
      <w:ind w:firstLine="480"/>
    </w:pPr>
    <w:rPr>
      <w:rFonts w:cs="宋体"/>
    </w:rPr>
  </w:style>
  <w:style w:type="paragraph" w:customStyle="1" w:styleId="20">
    <w:name w:val="表格文字"/>
    <w:basedOn w:val="1"/>
    <w:autoRedefine/>
    <w:qFormat/>
    <w:uiPriority w:val="0"/>
    <w:pPr>
      <w:spacing w:before="25" w:after="25"/>
      <w:jc w:val="left"/>
    </w:pPr>
    <w:rPr>
      <w:bCs/>
      <w:spacing w:val="10"/>
      <w:kern w:val="0"/>
      <w:sz w:val="24"/>
    </w:rPr>
  </w:style>
  <w:style w:type="paragraph" w:customStyle="1" w:styleId="21">
    <w:name w:val="_Style 3"/>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autoRedefine/>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autoRedefine/>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autoRedefine/>
    <w:qFormat/>
    <w:uiPriority w:val="0"/>
    <w:pPr>
      <w:ind w:firstLine="420" w:firstLineChars="200"/>
    </w:pPr>
    <w:rPr>
      <w:rFonts w:ascii="Calibri" w:hAnsi="Calibri" w:eastAsia="宋体" w:cs="Times New Roman"/>
      <w:szCs w:val="21"/>
    </w:rPr>
  </w:style>
  <w:style w:type="paragraph" w:customStyle="1" w:styleId="25">
    <w:name w:val="文一"/>
    <w:basedOn w:val="1"/>
    <w:autoRedefine/>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5"/>
    <w:autoRedefine/>
    <w:qFormat/>
    <w:uiPriority w:val="0"/>
    <w:rPr>
      <w:rFonts w:hint="default" w:ascii="Times New Roman" w:hAnsi="Times New Roman" w:cs="Times New Roman"/>
    </w:rPr>
  </w:style>
  <w:style w:type="character" w:customStyle="1" w:styleId="27">
    <w:name w:val="15"/>
    <w:basedOn w:val="15"/>
    <w:autoRedefine/>
    <w:qFormat/>
    <w:uiPriority w:val="0"/>
    <w:rPr>
      <w:rFonts w:hint="default" w:ascii="Times New Roman" w:hAnsi="Times New Roman" w:cs="Times New Roman"/>
    </w:rPr>
  </w:style>
  <w:style w:type="character" w:customStyle="1" w:styleId="28">
    <w:name w:val="16"/>
    <w:basedOn w:val="15"/>
    <w:autoRedefine/>
    <w:qFormat/>
    <w:uiPriority w:val="0"/>
    <w:rPr>
      <w:rFonts w:hint="default" w:ascii="Times New Roman" w:hAnsi="Times New Roman" w:cs="Times New Roman"/>
      <w:color w:val="0000FF"/>
      <w:u w:val="single"/>
    </w:rPr>
  </w:style>
  <w:style w:type="character" w:customStyle="1" w:styleId="29">
    <w:name w:val="页眉 Char"/>
    <w:basedOn w:val="15"/>
    <w:link w:val="11"/>
    <w:autoRedefine/>
    <w:qFormat/>
    <w:uiPriority w:val="0"/>
    <w:rPr>
      <w:rFonts w:asciiTheme="minorHAnsi" w:hAnsiTheme="minorHAnsi" w:eastAsiaTheme="minorEastAsia" w:cstheme="minorBidi"/>
      <w:kern w:val="2"/>
      <w:sz w:val="18"/>
      <w:szCs w:val="18"/>
    </w:rPr>
  </w:style>
  <w:style w:type="character" w:customStyle="1" w:styleId="30">
    <w:name w:val="页脚 Char"/>
    <w:basedOn w:val="15"/>
    <w:link w:val="10"/>
    <w:autoRedefine/>
    <w:qFormat/>
    <w:uiPriority w:val="0"/>
    <w:rPr>
      <w:rFonts w:asciiTheme="minorHAnsi" w:hAnsiTheme="minorHAnsi" w:eastAsiaTheme="minorEastAsia" w:cstheme="minorBidi"/>
      <w:kern w:val="2"/>
      <w:sz w:val="18"/>
      <w:szCs w:val="18"/>
    </w:rPr>
  </w:style>
  <w:style w:type="character" w:customStyle="1" w:styleId="31">
    <w:name w:val="批注框文本 Char"/>
    <w:basedOn w:val="15"/>
    <w:link w:val="9"/>
    <w:autoRedefine/>
    <w:qFormat/>
    <w:uiPriority w:val="0"/>
    <w:rPr>
      <w:rFonts w:asciiTheme="minorHAnsi" w:hAnsiTheme="minorHAnsi" w:eastAsiaTheme="minorEastAsia" w:cstheme="minorBidi"/>
      <w:kern w:val="2"/>
      <w:sz w:val="18"/>
      <w:szCs w:val="18"/>
    </w:rPr>
  </w:style>
  <w:style w:type="paragraph" w:customStyle="1" w:styleId="32">
    <w:name w:val="WPSOffice手动目录 1"/>
    <w:autoRedefine/>
    <w:qFormat/>
    <w:uiPriority w:val="0"/>
    <w:rPr>
      <w:rFonts w:ascii="Times New Roman" w:hAnsi="Times New Roman" w:eastAsia="宋体" w:cs="Times New Roman"/>
      <w:lang w:val="en-US" w:eastAsia="zh-CN" w:bidi="ar-SA"/>
    </w:rPr>
  </w:style>
  <w:style w:type="character" w:customStyle="1" w:styleId="33">
    <w:name w:val="纯文本 Char"/>
    <w:link w:val="8"/>
    <w:autoRedefine/>
    <w:qFormat/>
    <w:uiPriority w:val="0"/>
    <w:rPr>
      <w:rFonts w:ascii="宋体" w:hAnsi="Courier New"/>
      <w:kern w:val="2"/>
      <w:sz w:val="21"/>
      <w:szCs w:val="21"/>
    </w:rPr>
  </w:style>
  <w:style w:type="character" w:customStyle="1" w:styleId="34">
    <w:name w:val="正文首行缩进 Char"/>
    <w:basedOn w:val="15"/>
    <w:link w:val="13"/>
    <w:autoRedefine/>
    <w:qFormat/>
    <w:uiPriority w:val="0"/>
    <w:rPr>
      <w:kern w:val="2"/>
      <w:sz w:val="21"/>
      <w:szCs w:val="21"/>
    </w:rPr>
  </w:style>
  <w:style w:type="paragraph" w:styleId="35">
    <w:name w:val="List Paragraph"/>
    <w:basedOn w:val="1"/>
    <w:autoRedefine/>
    <w:unhideWhenUsed/>
    <w:qFormat/>
    <w:uiPriority w:val="99"/>
    <w:pPr>
      <w:ind w:firstLine="420" w:firstLineChars="200"/>
    </w:pPr>
  </w:style>
  <w:style w:type="paragraph" w:customStyle="1" w:styleId="36">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autoRedefine/>
    <w:qFormat/>
    <w:uiPriority w:val="0"/>
    <w:pPr>
      <w:ind w:left="4094" w:right="607" w:firstLine="0"/>
      <w:jc w:val="center"/>
    </w:pPr>
  </w:style>
  <w:style w:type="character" w:customStyle="1" w:styleId="38">
    <w:name w:val="c Char1"/>
    <w:link w:val="39"/>
    <w:autoRedefine/>
    <w:qFormat/>
    <w:uiPriority w:val="0"/>
    <w:rPr>
      <w:rFonts w:eastAsia="仿宋_GB2312" w:cs="宋体"/>
      <w:sz w:val="28"/>
    </w:rPr>
  </w:style>
  <w:style w:type="paragraph" w:customStyle="1" w:styleId="39">
    <w:name w:val="c"/>
    <w:basedOn w:val="1"/>
    <w:link w:val="38"/>
    <w:autoRedefine/>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36</Pages>
  <Words>14470</Words>
  <Characters>15166</Characters>
  <Lines>131</Lines>
  <Paragraphs>37</Paragraphs>
  <TotalTime>4</TotalTime>
  <ScaleCrop>false</ScaleCrop>
  <LinksUpToDate>false</LinksUpToDate>
  <CharactersWithSpaces>17055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段桂敏</cp:lastModifiedBy>
  <cp:lastPrinted>2024-02-21T03:23:00Z</cp:lastPrinted>
  <dcterms:modified xsi:type="dcterms:W3CDTF">2024-02-28T01:08:39Z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6A5EBC58036646C9BF2BE5C2C5F8F821_13</vt:lpwstr>
  </property>
</Properties>
</file>