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bookmarkStart w:id="96" w:name="_GoBack"/>
      <w:bookmarkEnd w:id="96"/>
    </w:p>
    <w:p>
      <w:pPr>
        <w:pStyle w:val="23"/>
        <w:rPr>
          <w:highlight w:val="none"/>
        </w:rPr>
      </w:pPr>
    </w:p>
    <w:p>
      <w:pPr>
        <w:pStyle w:val="23"/>
        <w:rPr>
          <w:highlight w:val="none"/>
        </w:rPr>
      </w:pPr>
    </w:p>
    <w:p>
      <w:pPr>
        <w:jc w:val="cente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十九涌新建垃圾收集站项目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3"/>
        <w:rPr>
          <w:rFonts w:hint="eastAsia" w:ascii="宋体" w:hAnsi="宋体" w:eastAsia="宋体" w:cs="宋体"/>
          <w:color w:val="auto"/>
          <w:sz w:val="72"/>
          <w:szCs w:val="72"/>
          <w:highlight w:val="none"/>
        </w:rPr>
      </w:pPr>
    </w:p>
    <w:p>
      <w:pPr>
        <w:pStyle w:val="23"/>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3月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5"/>
            <w:tabs>
              <w:tab w:val="right" w:leader="dot" w:pos="9410"/>
            </w:tabs>
            <w:rPr>
              <w:rFonts w:hint="eastAsia" w:ascii="宋体" w:hAnsi="宋体" w:eastAsia="宋体" w:cs="宋体"/>
              <w:b w:val="0"/>
              <w:bCs w:val="0"/>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_Toc17503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第1章 投标须知及前附表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_Toc17503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_Toc28921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第2章 项目需求书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_Toc28921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_Toc2908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第3章 投标格式文件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13</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_Toc24523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第4章 评标办法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_Toc24523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25</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_Toc11051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lang w:val="en-US" w:eastAsia="zh-CN"/>
            </w:rPr>
            <w:t>第5章 附件</w:t>
          </w:r>
          <w:r>
            <w:rPr>
              <w:rFonts w:hint="eastAsia" w:ascii="宋体" w:hAnsi="宋体" w:eastAsia="宋体" w:cs="宋体"/>
              <w:b w:val="0"/>
              <w:bCs w:val="0"/>
              <w:sz w:val="24"/>
              <w:szCs w:val="24"/>
            </w:rPr>
            <w:tab/>
          </w:r>
          <w:r>
            <w:rPr>
              <w:rFonts w:hint="eastAsia" w:ascii="宋体" w:hAnsi="宋体" w:eastAsia="宋体" w:cs="宋体"/>
              <w:b w:val="0"/>
              <w:bCs w:val="0"/>
              <w:sz w:val="24"/>
              <w:szCs w:val="24"/>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sz w:val="24"/>
              <w:szCs w:val="24"/>
              <w:lang w:val="en-US" w:eastAsia="zh-CN"/>
            </w:rPr>
            <w:t>2</w:t>
          </w:r>
        </w:p>
        <w:p>
          <w:pPr>
            <w:pStyle w:val="15"/>
            <w:tabs>
              <w:tab w:val="right" w:leader="dot" w:pos="9410"/>
            </w:tabs>
            <w:rPr>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7"/>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13388"/>
      <w:bookmarkStart w:id="3" w:name="_Toc23838"/>
      <w:bookmarkStart w:id="4" w:name="_Toc27659"/>
      <w:bookmarkStart w:id="5" w:name="_Toc17503"/>
      <w:bookmarkStart w:id="6" w:name="_Toc20698"/>
      <w:bookmarkStart w:id="7" w:name="_Toc374128472"/>
      <w:bookmarkStart w:id="8" w:name="_Toc13302"/>
      <w:bookmarkStart w:id="9" w:name="_Toc8549"/>
      <w:bookmarkStart w:id="10" w:name="_Toc91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8"/>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十九涌新建垃圾收集站项目</w:t>
            </w:r>
          </w:p>
        </w:tc>
      </w:tr>
      <w:tr>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广州市南沙区万顷沙镇南沙湿地景区</w:t>
            </w:r>
          </w:p>
        </w:tc>
      </w:tr>
      <w:tr>
        <w:tblPrEx>
          <w:tblCellMar>
            <w:top w:w="0" w:type="dxa"/>
            <w:left w:w="108" w:type="dxa"/>
            <w:bottom w:w="0" w:type="dxa"/>
            <w:right w:w="108" w:type="dxa"/>
          </w:tblCellMar>
        </w:tblPrEx>
        <w:trPr>
          <w:trHeight w:val="75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snapToGrid/>
                <w:color w:val="auto"/>
                <w:kern w:val="2"/>
                <w:sz w:val="21"/>
                <w:szCs w:val="21"/>
                <w:highlight w:val="none"/>
                <w:lang w:val="en-US" w:eastAsia="zh-CN" w:bidi="ar-SA"/>
              </w:rPr>
              <w:t>拆除现十九涌垃圾收集站并于十九涌门楼内临时停车场东侧处新建垃圾收集站一座。</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default" w:ascii="宋体" w:hAnsi="宋体" w:eastAsia="宋体" w:cs="宋体"/>
                <w:color w:val="FF0000"/>
                <w:highlight w:val="none"/>
                <w:u w:val="none"/>
                <w:lang w:val="en-US"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28.78</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1717"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snapToGrid/>
                <w:color w:val="auto"/>
                <w:kern w:val="2"/>
                <w:sz w:val="21"/>
                <w:szCs w:val="21"/>
                <w:highlight w:val="none"/>
                <w:lang w:val="en-US" w:eastAsia="zh-CN" w:bidi="ar-SA"/>
              </w:rPr>
              <w:t>新建垃圾收集站为单层钢结构构筑物，长15米，宽10米，建筑面积150平米</w:t>
            </w:r>
            <w:r>
              <w:rPr>
                <w:rFonts w:hint="eastAsia" w:ascii="宋体" w:hAnsi="宋体" w:eastAsia="宋体" w:cs="宋体"/>
                <w:color w:val="auto"/>
                <w:spacing w:val="0"/>
                <w:kern w:val="2"/>
                <w:sz w:val="21"/>
                <w:szCs w:val="21"/>
                <w:highlight w:val="none"/>
                <w:u w:val="none"/>
                <w:lang w:val="en-US" w:eastAsia="zh-CN" w:bidi="ar"/>
              </w:rPr>
              <w:t>，基础采用换填筏板，换填厚度600MM,屋顶为100厚双层彩钢夹芯板，配置室内照明及杀菌灯。具体以实际施工图纸、工程量清单为准</w:t>
            </w:r>
            <w:r>
              <w:rPr>
                <w:rFonts w:hint="eastAsia" w:ascii="宋体" w:hAnsi="宋体" w:eastAsia="宋体" w:cs="宋体"/>
                <w:color w:val="auto"/>
                <w:spacing w:val="0"/>
                <w:sz w:val="21"/>
                <w:szCs w:val="21"/>
                <w:highlight w:val="none"/>
                <w:u w:val="none"/>
                <w:lang w:val="en-US" w:eastAsia="zh-CN" w:bidi="ar"/>
              </w:rPr>
              <w:t>。</w:t>
            </w:r>
            <w:r>
              <w:rPr>
                <w:rFonts w:hint="eastAsia" w:ascii="宋体" w:hAnsi="宋体" w:eastAsia="宋体" w:cs="宋体"/>
                <w:color w:val="auto"/>
                <w:kern w:val="2"/>
                <w:sz w:val="21"/>
                <w:szCs w:val="21"/>
                <w:highlight w:val="none"/>
                <w:u w:val="none"/>
                <w:lang w:val="en-US" w:eastAsia="zh-CN" w:bidi="ar"/>
              </w:rPr>
              <w:t>投标人需按招标文件、图纸规范等要求进行施工，如设计图纸有调整时，必须服从要求调整</w:t>
            </w:r>
            <w:r>
              <w:rPr>
                <w:rFonts w:hint="eastAsia" w:ascii="宋体" w:hAnsi="宋体" w:eastAsia="宋体" w:cs="宋体"/>
                <w:bCs w:val="0"/>
                <w:color w:val="auto"/>
                <w:kern w:val="2"/>
                <w:sz w:val="21"/>
                <w:szCs w:val="21"/>
                <w:highlight w:val="none"/>
                <w:u w:val="none"/>
                <w:lang w:val="en-US" w:eastAsia="zh-CN" w:bidi="ar"/>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30个日历</w:t>
            </w:r>
            <w:r>
              <w:rPr>
                <w:rFonts w:hint="eastAsia" w:ascii="宋体" w:hAnsi="宋体" w:eastAsia="宋体" w:cs="宋体"/>
                <w:color w:val="auto"/>
                <w:sz w:val="21"/>
                <w:szCs w:val="21"/>
                <w:highlight w:val="none"/>
                <w:u w:val="none"/>
                <w:lang w:val="en-US" w:eastAsia="zh-CN"/>
              </w:rPr>
              <w:t>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highlight w:val="none"/>
                <w:u w:val="none"/>
              </w:rPr>
            </w:pPr>
            <w:r>
              <w:rPr>
                <w:rFonts w:hint="default" w:asciiTheme="minorHAnsi" w:hAnsiTheme="minorHAnsi" w:eastAsiaTheme="minorEastAsia" w:cstheme="minorBidi"/>
                <w:sz w:val="21"/>
                <w:szCs w:val="24"/>
                <w:highlight w:val="none"/>
                <w:u w:val="none"/>
              </w:rPr>
              <w:t>投标</w:t>
            </w:r>
            <w:r>
              <w:rPr>
                <w:rFonts w:hint="default" w:asciiTheme="minorHAnsi" w:hAnsiTheme="minorHAnsi" w:eastAsiaTheme="minorEastAsia" w:cstheme="minorBidi"/>
                <w:sz w:val="21"/>
                <w:szCs w:val="24"/>
                <w:highlight w:val="none"/>
                <w:u w:val="none"/>
                <w:lang w:eastAsia="zh-CN"/>
              </w:rPr>
              <w:t>人</w:t>
            </w:r>
            <w:r>
              <w:rPr>
                <w:rFonts w:hint="default" w:asciiTheme="minorHAnsi" w:hAnsiTheme="minorHAnsi" w:eastAsiaTheme="minorEastAsia" w:cstheme="minorBidi"/>
                <w:sz w:val="21"/>
                <w:szCs w:val="24"/>
                <w:highlight w:val="none"/>
                <w:u w:val="none"/>
              </w:rPr>
              <w:t>委派的项目负责人</w:t>
            </w:r>
            <w:r>
              <w:rPr>
                <w:rFonts w:hint="default" w:asciiTheme="minorHAnsi" w:hAnsiTheme="minorHAnsi" w:eastAsiaTheme="minorEastAsia" w:cstheme="minorBidi"/>
                <w:sz w:val="21"/>
                <w:szCs w:val="24"/>
                <w:highlight w:val="none"/>
                <w:u w:val="none"/>
                <w:lang w:eastAsia="zh-CN"/>
              </w:rPr>
              <w:t>为：</w:t>
            </w:r>
            <w:r>
              <w:rPr>
                <w:rFonts w:hint="default" w:asciiTheme="minorHAnsi" w:hAnsiTheme="minorHAnsi" w:eastAsiaTheme="minorEastAsia" w:cstheme="minorBidi"/>
                <w:sz w:val="21"/>
                <w:szCs w:val="24"/>
                <w:highlight w:val="none"/>
                <w:u w:val="none"/>
              </w:rPr>
              <w:t>市政公用工程专业</w:t>
            </w:r>
            <w:r>
              <w:rPr>
                <w:rFonts w:hint="default" w:asciiTheme="minorHAnsi" w:hAnsiTheme="minorHAnsi" w:eastAsiaTheme="minorEastAsia" w:cstheme="minorBidi"/>
                <w:sz w:val="21"/>
                <w:szCs w:val="24"/>
                <w:highlight w:val="none"/>
                <w:u w:val="none"/>
                <w:lang w:val="en-US" w:eastAsia="zh-CN"/>
              </w:rPr>
              <w:t>二</w:t>
            </w:r>
            <w:r>
              <w:rPr>
                <w:rFonts w:hint="default" w:asciiTheme="minorHAnsi" w:hAnsiTheme="minorHAnsi" w:eastAsiaTheme="minorEastAsia" w:cstheme="minorBidi"/>
                <w:sz w:val="21"/>
                <w:szCs w:val="24"/>
                <w:highlight w:val="none"/>
                <w:u w:val="none"/>
              </w:rPr>
              <w:t>级或以上级别的注册建造师</w:t>
            </w:r>
            <w:r>
              <w:rPr>
                <w:rFonts w:hint="default" w:asciiTheme="minorHAnsi" w:hAnsiTheme="minorHAnsi" w:eastAsiaTheme="minorEastAsia" w:cstheme="minorBidi"/>
                <w:sz w:val="21"/>
                <w:szCs w:val="24"/>
                <w:highlight w:val="none"/>
                <w:u w:val="none"/>
                <w:lang w:eastAsia="zh-CN"/>
              </w:rPr>
              <w:t>。</w:t>
            </w:r>
            <w:r>
              <w:rPr>
                <w:rFonts w:hint="default" w:asciiTheme="minorHAnsi" w:hAnsiTheme="minorHAnsi" w:eastAsiaTheme="minorEastAsia" w:cstheme="minorBidi"/>
                <w:b w:val="0"/>
                <w:bCs w:val="0"/>
                <w:sz w:val="21"/>
                <w:szCs w:val="24"/>
                <w:highlight w:val="none"/>
                <w:u w:val="none"/>
              </w:rPr>
              <w:t>项目负责人</w:t>
            </w:r>
            <w:r>
              <w:rPr>
                <w:rFonts w:hint="default" w:asciiTheme="minorHAnsi" w:hAnsiTheme="minorHAnsi" w:eastAsiaTheme="minorEastAsia" w:cstheme="minorBidi"/>
                <w:sz w:val="21"/>
                <w:szCs w:val="24"/>
                <w:highlight w:val="none"/>
                <w:u w:val="none"/>
              </w:rPr>
              <w:t>持有安全培训考核合格证（B类）</w:t>
            </w:r>
            <w:r>
              <w:rPr>
                <w:rFonts w:hint="default" w:asciiTheme="minorHAnsi" w:hAnsiTheme="minorHAnsi" w:eastAsiaTheme="minorEastAsia" w:cstheme="minorBidi"/>
                <w:b w:val="0"/>
                <w:bCs w:val="0"/>
                <w:sz w:val="21"/>
                <w:szCs w:val="24"/>
                <w:highlight w:val="none"/>
                <w:u w:val="none"/>
              </w:rPr>
              <w:t>。</w:t>
            </w:r>
          </w:p>
          <w:p>
            <w:pPr>
              <w:widowControl w:val="0"/>
              <w:numPr>
                <w:ilvl w:val="0"/>
                <w:numId w:val="1"/>
              </w:numPr>
              <w:spacing w:line="360" w:lineRule="auto"/>
              <w:ind w:firstLine="0" w:firstLineChars="0"/>
              <w:rPr>
                <w:rFonts w:hint="default" w:asciiTheme="minorHAnsi" w:hAnsiTheme="minorHAnsi" w:eastAsiaTheme="minorEastAsia" w:cstheme="minorBidi"/>
                <w:sz w:val="21"/>
                <w:szCs w:val="24"/>
                <w:highlight w:val="none"/>
                <w:u w:val="none"/>
                <w:shd w:val="clear"/>
                <w:lang w:val="en-US" w:eastAsia="zh-CN"/>
              </w:rPr>
            </w:pPr>
            <w:r>
              <w:rPr>
                <w:rFonts w:hint="default" w:asciiTheme="minorHAnsi" w:hAnsiTheme="minorHAnsi" w:eastAsiaTheme="minorEastAsia" w:cstheme="minorBidi"/>
                <w:sz w:val="21"/>
                <w:szCs w:val="24"/>
                <w:highlight w:val="none"/>
                <w:u w:val="none"/>
                <w:shd w:val="clear"/>
                <w:lang w:val="en-US" w:eastAsia="zh-CN"/>
              </w:rPr>
              <w:t>投标人委派的技术负责人具有</w:t>
            </w:r>
            <w:r>
              <w:rPr>
                <w:rFonts w:hint="default" w:asciiTheme="minorHAnsi" w:hAnsiTheme="minorHAnsi" w:eastAsiaTheme="minorEastAsia" w:cstheme="minorBidi"/>
                <w:sz w:val="21"/>
                <w:szCs w:val="24"/>
                <w:highlight w:val="none"/>
                <w:u w:val="none"/>
                <w:shd w:val="clear"/>
              </w:rPr>
              <w:t>市政公用工程专业</w:t>
            </w:r>
            <w:r>
              <w:rPr>
                <w:rFonts w:hint="default" w:asciiTheme="minorHAnsi" w:hAnsiTheme="minorHAnsi" w:eastAsiaTheme="minorEastAsia" w:cstheme="minorBidi"/>
                <w:sz w:val="21"/>
                <w:szCs w:val="24"/>
                <w:highlight w:val="none"/>
                <w:u w:val="none"/>
                <w:shd w:val="clear"/>
                <w:lang w:val="en-US" w:eastAsia="zh-CN"/>
              </w:rPr>
              <w:t>中级工程师或以上职称。技术负责人与项目负责人不能为同一人。</w:t>
            </w:r>
          </w:p>
          <w:p>
            <w:pPr>
              <w:numPr>
                <w:ilvl w:val="-1"/>
                <w:numId w:val="0"/>
              </w:numPr>
              <w:spacing w:line="360" w:lineRule="auto"/>
              <w:ind w:firstLine="0"/>
              <w:rPr>
                <w:rFonts w:hint="default" w:asciiTheme="minorHAnsi" w:hAnsiTheme="minorHAnsi" w:eastAsiaTheme="minorEastAsia" w:cstheme="minorBidi"/>
                <w:kern w:val="2"/>
                <w:sz w:val="21"/>
                <w:szCs w:val="24"/>
                <w:highlight w:val="none"/>
                <w:u w:val="none"/>
                <w:lang w:val="en-US" w:eastAsia="zh-CN" w:bidi="ar-SA"/>
              </w:rPr>
            </w:pPr>
            <w:r>
              <w:rPr>
                <w:rFonts w:hint="eastAsia" w:cstheme="minorBidi"/>
                <w:b w:val="0"/>
                <w:bCs w:val="0"/>
                <w:sz w:val="21"/>
                <w:szCs w:val="24"/>
                <w:highlight w:val="none"/>
                <w:u w:val="none"/>
                <w:lang w:val="en-US" w:eastAsia="zh-CN"/>
              </w:rPr>
              <w:t>3、</w:t>
            </w:r>
            <w:r>
              <w:rPr>
                <w:rFonts w:hint="default" w:asciiTheme="minorHAnsi" w:hAnsiTheme="minorHAnsi" w:eastAsiaTheme="minorEastAsia" w:cstheme="minorBidi"/>
                <w:b w:val="0"/>
                <w:bCs w:val="0"/>
                <w:sz w:val="21"/>
                <w:szCs w:val="24"/>
                <w:highlight w:val="none"/>
                <w:u w:val="none"/>
              </w:rPr>
              <w:t>专职安全员须具有</w:t>
            </w:r>
            <w:r>
              <w:rPr>
                <w:rFonts w:hint="default" w:asciiTheme="minorHAnsi" w:hAnsiTheme="minorHAnsi" w:eastAsiaTheme="minorEastAsia" w:cstheme="minorBidi"/>
                <w:sz w:val="21"/>
                <w:szCs w:val="24"/>
                <w:highlight w:val="none"/>
                <w:u w:val="none"/>
              </w:rPr>
              <w:t>安全生产考核合格证（C类）</w:t>
            </w:r>
            <w:r>
              <w:rPr>
                <w:rFonts w:hint="default" w:asciiTheme="minorHAnsi" w:hAnsiTheme="minorHAnsi" w:eastAsiaTheme="minorEastAsia" w:cstheme="minorBidi"/>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3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274,234.97</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贰拾柒万肆仟贰佰叁拾肆元玖角柒分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hAnsi="宋体" w:cs="宋体"/>
                <w:color w:val="auto"/>
                <w:kern w:val="2"/>
                <w:position w:val="0"/>
                <w:sz w:val="21"/>
                <w:szCs w:val="21"/>
                <w:highlight w:val="none"/>
                <w:u w:val="none"/>
                <w:lang w:val="en-US" w:eastAsia="zh-CN"/>
              </w:rPr>
              <w:t>12601.72</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519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highlight w:val="none"/>
              </w:rPr>
            </w:pPr>
            <w:r>
              <w:rPr>
                <w:rFonts w:hint="eastAsia"/>
                <w:highlight w:val="none"/>
              </w:rPr>
              <w:t>1、金额：人民币</w:t>
            </w:r>
            <w:r>
              <w:rPr>
                <w:rFonts w:hint="eastAsia"/>
                <w:highlight w:val="none"/>
                <w:lang w:val="en-US" w:eastAsia="zh-CN"/>
              </w:rPr>
              <w:t>伍仟</w:t>
            </w:r>
            <w:r>
              <w:rPr>
                <w:rFonts w:hint="eastAsia"/>
                <w:highlight w:val="none"/>
              </w:rPr>
              <w:t>元。</w:t>
            </w:r>
          </w:p>
          <w:p>
            <w:pPr>
              <w:numPr>
                <w:ilvl w:val="-1"/>
                <w:numId w:val="0"/>
              </w:numPr>
              <w:adjustRightInd w:val="0"/>
              <w:snapToGrid w:val="0"/>
              <w:spacing w:line="360" w:lineRule="auto"/>
              <w:rPr>
                <w:rFonts w:hint="eastAsia"/>
                <w:highlight w:val="none"/>
                <w:lang w:eastAsia="zh-CN"/>
              </w:rPr>
            </w:pPr>
            <w:r>
              <w:rPr>
                <w:rFonts w:hint="eastAsia"/>
                <w:highlight w:val="none"/>
              </w:rPr>
              <w:t>2、缴纳方式：</w:t>
            </w:r>
            <w:r>
              <w:rPr>
                <w:rFonts w:hint="eastAsia"/>
                <w:highlight w:val="none"/>
                <w:lang w:eastAsia="zh-CN"/>
              </w:rPr>
              <w:t>银行转账。</w:t>
            </w:r>
          </w:p>
          <w:p>
            <w:pPr>
              <w:numPr>
                <w:ilvl w:val="-1"/>
                <w:numId w:val="0"/>
              </w:numPr>
              <w:adjustRightInd w:val="0"/>
              <w:spacing w:line="360" w:lineRule="auto"/>
              <w:rPr>
                <w:rFonts w:hint="eastAsia"/>
                <w:highlight w:val="none"/>
                <w:lang w:eastAsia="zh-CN"/>
              </w:rPr>
            </w:pPr>
            <w:r>
              <w:rPr>
                <w:rFonts w:hint="eastAsia"/>
                <w:highlight w:val="none"/>
              </w:rPr>
              <w:t>账户名称：</w:t>
            </w:r>
            <w:r>
              <w:rPr>
                <w:highlight w:val="none"/>
              </w:rPr>
              <w:t>广州南沙</w:t>
            </w:r>
            <w:r>
              <w:rPr>
                <w:rFonts w:hint="eastAsia" w:asciiTheme="minorHAnsi" w:eastAsiaTheme="minorEastAsia"/>
                <w:highlight w:val="none"/>
                <w:lang w:val="en-US" w:eastAsia="zh-CN"/>
              </w:rPr>
              <w:t>湿地旅游发展</w:t>
            </w:r>
            <w:r>
              <w:rPr>
                <w:highlight w:val="none"/>
              </w:rPr>
              <w:t>有限公司</w:t>
            </w:r>
          </w:p>
          <w:p>
            <w:pPr>
              <w:numPr>
                <w:ilvl w:val="-1"/>
                <w:numId w:val="0"/>
              </w:numPr>
              <w:tabs>
                <w:tab w:val="left" w:pos="2940"/>
              </w:tabs>
              <w:adjustRightInd w:val="0"/>
              <w:spacing w:line="360" w:lineRule="auto"/>
              <w:rPr>
                <w:rFonts w:hint="default"/>
                <w:highlight w:val="none"/>
                <w:lang w:eastAsia="zh-CN"/>
              </w:rPr>
            </w:pPr>
            <w:r>
              <w:rPr>
                <w:rFonts w:hint="eastAsia"/>
                <w:highlight w:val="none"/>
              </w:rPr>
              <w:t>开户银行：广州农村商业银行十四冲支行</w:t>
            </w:r>
            <w:r>
              <w:rPr>
                <w:rFonts w:hint="default"/>
                <w:highlight w:val="none"/>
                <w:lang w:val="en-US" w:eastAsia="zh-CN"/>
              </w:rPr>
              <w:t xml:space="preserve">    </w:t>
            </w:r>
          </w:p>
          <w:p>
            <w:pPr>
              <w:numPr>
                <w:ilvl w:val="-1"/>
                <w:numId w:val="0"/>
              </w:numPr>
              <w:adjustRightInd w:val="0"/>
              <w:spacing w:line="360" w:lineRule="auto"/>
              <w:rPr>
                <w:rFonts w:hint="default"/>
                <w:highlight w:val="none"/>
                <w:lang w:val="en-US" w:eastAsia="zh-CN"/>
              </w:rPr>
            </w:pPr>
            <w:r>
              <w:rPr>
                <w:rFonts w:hint="eastAsia"/>
                <w:highlight w:val="none"/>
              </w:rPr>
              <w:t>账号</w:t>
            </w:r>
            <w:r>
              <w:rPr>
                <w:rFonts w:hint="default"/>
                <w:highlight w:val="none"/>
              </w:rPr>
              <w:t>：</w:t>
            </w:r>
            <w:r>
              <w:rPr>
                <w:rFonts w:hint="eastAsia"/>
                <w:highlight w:val="none"/>
              </w:rPr>
              <w:t>05621949000000074</w:t>
            </w:r>
          </w:p>
          <w:p>
            <w:pPr>
              <w:numPr>
                <w:ilvl w:val="0"/>
                <w:numId w:val="2"/>
              </w:numPr>
              <w:adjustRightInd w:val="0"/>
              <w:snapToGrid w:val="0"/>
              <w:spacing w:line="360" w:lineRule="auto"/>
              <w:rPr>
                <w:rFonts w:hint="eastAsia"/>
                <w:highlight w:val="none"/>
                <w:lang w:val="en-US" w:eastAsia="zh-CN"/>
              </w:rPr>
            </w:pPr>
            <w:r>
              <w:rPr>
                <w:rFonts w:hint="eastAsia"/>
                <w:highlight w:val="none"/>
              </w:rPr>
              <w:t>缴纳时间：投标单位须在202</w:t>
            </w:r>
            <w:r>
              <w:rPr>
                <w:rFonts w:hint="eastAsia"/>
                <w:highlight w:val="none"/>
                <w:lang w:val="en-US" w:eastAsia="zh-CN"/>
              </w:rPr>
              <w:t>4</w:t>
            </w:r>
            <w:r>
              <w:rPr>
                <w:rFonts w:hint="eastAsia"/>
                <w:highlight w:val="none"/>
              </w:rPr>
              <w:t>年</w:t>
            </w:r>
            <w:r>
              <w:rPr>
                <w:rFonts w:hint="eastAsia"/>
                <w:highlight w:val="none"/>
                <w:lang w:val="en-US" w:eastAsia="zh-CN"/>
              </w:rPr>
              <w:t>3月7</w:t>
            </w:r>
            <w:r>
              <w:rPr>
                <w:rFonts w:hint="eastAsia"/>
                <w:highlight w:val="none"/>
              </w:rPr>
              <w:t>日</w:t>
            </w:r>
            <w:r>
              <w:rPr>
                <w:rFonts w:hint="eastAsia"/>
                <w:highlight w:val="none"/>
                <w:lang w:eastAsia="zh-CN"/>
              </w:rPr>
              <w:t>（星期</w:t>
            </w:r>
            <w:r>
              <w:rPr>
                <w:rFonts w:hint="eastAsia"/>
                <w:highlight w:val="none"/>
                <w:lang w:val="en-US" w:eastAsia="zh-CN"/>
              </w:rPr>
              <w:t>四</w:t>
            </w:r>
            <w:r>
              <w:rPr>
                <w:rFonts w:hint="eastAsia"/>
                <w:highlight w:val="none"/>
                <w:lang w:eastAsia="zh-CN"/>
              </w:rPr>
              <w:t>）</w:t>
            </w:r>
            <w:r>
              <w:rPr>
                <w:rFonts w:hint="eastAsia"/>
                <w:highlight w:val="none"/>
                <w:lang w:val="en-US" w:eastAsia="zh-CN"/>
              </w:rPr>
              <w:t>16</w:t>
            </w:r>
            <w:r>
              <w:rPr>
                <w:rFonts w:hint="eastAsia"/>
                <w:highlight w:val="none"/>
              </w:rPr>
              <w:t>时</w:t>
            </w:r>
            <w:r>
              <w:rPr>
                <w:rFonts w:hint="eastAsia"/>
                <w:highlight w:val="none"/>
                <w:lang w:val="en-US" w:eastAsia="zh-CN"/>
              </w:rPr>
              <w:t>30</w:t>
            </w:r>
            <w:r>
              <w:rPr>
                <w:rFonts w:hint="eastAsia"/>
                <w:highlight w:val="none"/>
              </w:rPr>
              <w:t>分</w:t>
            </w:r>
            <w:r>
              <w:rPr>
                <w:rFonts w:hint="eastAsia"/>
                <w:highlight w:val="none"/>
                <w:lang w:eastAsia="zh-CN"/>
              </w:rPr>
              <w:t>前</w:t>
            </w:r>
            <w:r>
              <w:rPr>
                <w:rFonts w:hint="eastAsia"/>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十九涌新建垃圾收集站项目</w:t>
            </w:r>
            <w:r>
              <w:rPr>
                <w:rFonts w:hint="eastAsia"/>
                <w:highlight w:val="none"/>
              </w:rPr>
              <w:t>投标保证金】</w:t>
            </w:r>
          </w:p>
          <w:p>
            <w:pPr>
              <w:numPr>
                <w:ilvl w:val="0"/>
                <w:numId w:val="2"/>
              </w:numPr>
              <w:adjustRightInd w:val="0"/>
              <w:snapToGrid w:val="0"/>
              <w:spacing w:line="360" w:lineRule="auto"/>
              <w:rPr>
                <w:rFonts w:hint="eastAsia"/>
                <w:highlight w:val="none"/>
              </w:rPr>
            </w:pPr>
            <w:r>
              <w:rPr>
                <w:rFonts w:hint="eastAsia"/>
                <w:highlight w:val="none"/>
              </w:rPr>
              <w:t>未按规定缴纳投标保证金的正式投标人将被视为自动放弃本工程的投标资格。</w:t>
            </w:r>
          </w:p>
          <w:p>
            <w:pPr>
              <w:pStyle w:val="11"/>
              <w:numPr>
                <w:ilvl w:val="0"/>
                <w:numId w:val="2"/>
              </w:numPr>
              <w:spacing w:line="360" w:lineRule="auto"/>
              <w:rPr>
                <w:rFonts w:hint="eastAsia"/>
                <w:highlight w:val="none"/>
                <w:lang w:val="en-US" w:eastAsia="zh-CN"/>
              </w:rPr>
            </w:pPr>
            <w:r>
              <w:rPr>
                <w:rFonts w:hint="eastAsia" w:asciiTheme="minorHAnsi" w:hAnsiTheme="minorHAnsi" w:eastAsiaTheme="minorEastAsia" w:cstheme="minorBidi"/>
                <w:b w:val="0"/>
                <w:sz w:val="21"/>
                <w:szCs w:val="24"/>
                <w:highlight w:val="none"/>
                <w:lang w:val="en-US" w:eastAsia="zh-CN"/>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3月8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3月8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3月8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rPr>
              <w:t>综合评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pStyle w:val="5"/>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7"/>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7"/>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7"/>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 xml:space="preserve">11.15施工组织方案。 </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7"/>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7"/>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7"/>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bookmarkStart w:id="13" w:name="_Toc7252"/>
      <w:bookmarkStart w:id="14" w:name="_Toc10474"/>
      <w:bookmarkStart w:id="15" w:name="_Toc22411"/>
      <w:bookmarkStart w:id="16" w:name="_Toc8409"/>
      <w:bookmarkStart w:id="17" w:name="_Toc8457"/>
      <w:bookmarkStart w:id="18" w:name="_Toc28921"/>
      <w:bookmarkStart w:id="19" w:name="_Toc28984"/>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9"/>
        <w:spacing w:line="560" w:lineRule="exact"/>
        <w:rPr>
          <w:rFonts w:hint="eastAsia" w:ascii="宋体" w:hAnsi="宋体" w:eastAsia="宋体" w:cs="Times New Roman"/>
          <w:b/>
          <w:kern w:val="0"/>
          <w:sz w:val="28"/>
          <w:szCs w:val="20"/>
          <w:highlight w:val="none"/>
          <w:u w:val="none"/>
          <w:lang w:val="en-US" w:eastAsia="zh-CN"/>
        </w:rPr>
      </w:pPr>
      <w:bookmarkStart w:id="20"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20"/>
    </w:p>
    <w:p>
      <w:pPr>
        <w:pStyle w:val="6"/>
        <w:spacing w:line="560" w:lineRule="exact"/>
        <w:ind w:firstLine="560" w:firstLineChars="200"/>
        <w:rPr>
          <w:rFonts w:hint="eastAsia" w:ascii="宋体" w:hAnsi="宋体" w:eastAsia="宋体" w:cs="宋体"/>
          <w:b w:val="0"/>
          <w:bCs/>
          <w:color w:val="000000"/>
          <w:kern w:val="0"/>
          <w:sz w:val="28"/>
          <w:szCs w:val="28"/>
          <w:highlight w:val="none"/>
          <w:lang w:eastAsia="zh-CN"/>
        </w:rPr>
      </w:pPr>
      <w:r>
        <w:rPr>
          <w:rFonts w:hint="eastAsia" w:ascii="宋体" w:hAnsi="宋体" w:eastAsia="宋体" w:cs="宋体"/>
          <w:b w:val="0"/>
          <w:bCs/>
          <w:snapToGrid/>
          <w:color w:val="auto"/>
          <w:kern w:val="2"/>
          <w:sz w:val="28"/>
          <w:szCs w:val="28"/>
          <w:highlight w:val="none"/>
          <w:lang w:val="en-US" w:eastAsia="zh-CN" w:bidi="ar-SA"/>
        </w:rPr>
        <w:t>拆除现十九涌垃圾收集站并于十九涌门楼内临时停车场东侧处新建垃圾收集站一座</w:t>
      </w:r>
      <w:r>
        <w:rPr>
          <w:rFonts w:hint="eastAsia" w:ascii="宋体" w:hAnsi="宋体" w:eastAsia="宋体" w:cs="宋体"/>
          <w:b w:val="0"/>
          <w:bCs/>
          <w:snapToGrid/>
          <w:color w:val="auto"/>
          <w:kern w:val="2"/>
          <w:sz w:val="28"/>
          <w:szCs w:val="28"/>
          <w:highlight w:val="none"/>
          <w:u w:val="none"/>
          <w:lang w:val="en-US" w:eastAsia="zh-CN" w:bidi="ar-SA"/>
        </w:rPr>
        <w:t>。</w:t>
      </w:r>
    </w:p>
    <w:p>
      <w:pPr>
        <w:pStyle w:val="6"/>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11"/>
        <w:spacing w:line="560" w:lineRule="exact"/>
        <w:ind w:firstLine="560" w:firstLineChars="200"/>
        <w:rPr>
          <w:rFonts w:hint="eastAsia" w:ascii="宋体" w:hAnsi="宋体" w:eastAsia="宋体" w:cs="宋体"/>
          <w:color w:val="auto"/>
          <w:sz w:val="28"/>
          <w:szCs w:val="28"/>
          <w:highlight w:val="none"/>
          <w:u w:val="none"/>
        </w:rPr>
      </w:pPr>
      <w:r>
        <w:rPr>
          <w:rFonts w:hint="eastAsia" w:ascii="宋体" w:hAnsi="宋体" w:eastAsia="宋体" w:cs="宋体"/>
          <w:snapToGrid/>
          <w:color w:val="auto"/>
          <w:kern w:val="2"/>
          <w:sz w:val="28"/>
          <w:szCs w:val="28"/>
          <w:highlight w:val="none"/>
          <w:u w:val="none"/>
          <w:lang w:val="en-US" w:eastAsia="zh-CN" w:bidi="ar-SA"/>
        </w:rPr>
        <w:t>新建垃圾收集站为单层钢结构构筑物，长15米，宽10米，建筑面积150平米</w:t>
      </w:r>
      <w:r>
        <w:rPr>
          <w:rFonts w:hint="eastAsia" w:ascii="宋体" w:hAnsi="宋体" w:eastAsia="宋体" w:cs="宋体"/>
          <w:color w:val="auto"/>
          <w:spacing w:val="0"/>
          <w:kern w:val="2"/>
          <w:sz w:val="28"/>
          <w:szCs w:val="28"/>
          <w:highlight w:val="none"/>
          <w:u w:val="none"/>
          <w:lang w:val="en-US" w:eastAsia="zh-CN" w:bidi="ar-SA"/>
        </w:rPr>
        <w:t>，基础采用换填筏板，换填厚度600MM,屋顶为100厚双层彩钢夹芯板，配置室内照明及杀菌灯。具体以实际施工图纸、工程量清单为准</w:t>
      </w:r>
      <w:r>
        <w:rPr>
          <w:rFonts w:hint="eastAsia" w:ascii="宋体" w:hAnsi="宋体" w:eastAsia="宋体" w:cs="宋体"/>
          <w:color w:val="auto"/>
          <w:spacing w:val="0"/>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投标人需按招标文件、图纸规范等要求进行施工，如设计图纸有调整时，必须服从要求调整</w:t>
      </w:r>
      <w:r>
        <w:rPr>
          <w:rFonts w:hint="eastAsia" w:ascii="宋体" w:hAnsi="宋体" w:eastAsia="宋体" w:cs="宋体"/>
          <w:bCs w:val="0"/>
          <w:color w:val="auto"/>
          <w:kern w:val="2"/>
          <w:sz w:val="28"/>
          <w:szCs w:val="28"/>
          <w:highlight w:val="none"/>
          <w:u w:val="none"/>
          <w:lang w:val="en-US" w:eastAsia="zh-CN" w:bidi="ar-SA"/>
        </w:rPr>
        <w:t>。</w:t>
      </w: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21" w:name="_Toc28153"/>
      <w:bookmarkStart w:id="22" w:name="_Toc2266"/>
      <w:bookmarkStart w:id="23" w:name="_Toc10090"/>
      <w:bookmarkStart w:id="24" w:name="_Toc2908"/>
      <w:bookmarkStart w:id="25" w:name="_Toc5931"/>
      <w:bookmarkStart w:id="26" w:name="_Toc19076"/>
      <w:bookmarkStart w:id="27" w:name="_Toc27735"/>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十九涌新建垃圾收集站项目</w:t>
      </w:r>
      <w:r>
        <w:rPr>
          <w:rFonts w:hint="eastAsia" w:ascii="宋体" w:hAnsi="宋体" w:eastAsia="宋体" w:cs="宋体"/>
          <w:color w:val="auto"/>
          <w:spacing w:val="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十九涌新建垃圾收集站项目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十九涌新建垃圾收集站项目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7"/>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8"/>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326909214"/>
      <w:bookmarkEnd w:id="34"/>
      <w:bookmarkStart w:id="35" w:name="_Toc199647676"/>
      <w:bookmarkEnd w:id="35"/>
      <w:bookmarkStart w:id="36" w:name="_Toc196130111"/>
      <w:bookmarkEnd w:id="36"/>
      <w:bookmarkStart w:id="37" w:name="_Toc459403395"/>
      <w:bookmarkEnd w:id="37"/>
      <w:bookmarkStart w:id="38" w:name="_Toc197235849"/>
      <w:bookmarkEnd w:id="38"/>
      <w:bookmarkStart w:id="39" w:name="_Toc196037098"/>
      <w:bookmarkEnd w:id="39"/>
      <w:bookmarkStart w:id="40" w:name="_Toc415833504"/>
      <w:bookmarkEnd w:id="40"/>
      <w:bookmarkStart w:id="41" w:name="_Toc415728298"/>
      <w:bookmarkEnd w:id="41"/>
      <w:bookmarkStart w:id="42" w:name="_Toc196036942"/>
      <w:bookmarkEnd w:id="42"/>
      <w:bookmarkStart w:id="43" w:name="_Toc196130014"/>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5" w:name="_Toc196130112"/>
      <w:bookmarkEnd w:id="45"/>
      <w:bookmarkStart w:id="46" w:name="_Toc197235850"/>
      <w:bookmarkEnd w:id="46"/>
      <w:bookmarkStart w:id="47" w:name="_Toc41822705"/>
      <w:bookmarkEnd w:id="47"/>
      <w:bookmarkStart w:id="48" w:name="_Toc199647677"/>
      <w:bookmarkEnd w:id="48"/>
      <w:bookmarkStart w:id="49" w:name="_Toc196130015"/>
      <w:bookmarkEnd w:id="49"/>
      <w:bookmarkStart w:id="50" w:name="_Toc196036943"/>
      <w:bookmarkEnd w:id="50"/>
      <w:bookmarkStart w:id="51" w:name="_Toc196037099"/>
      <w:bookmarkEnd w:id="51"/>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kern w:val="2"/>
                <w:sz w:val="24"/>
                <w:szCs w:val="20"/>
                <w:highlight w:val="none"/>
                <w:lang w:eastAsia="zh-CN"/>
              </w:rPr>
            </w:pPr>
            <w:r>
              <w:rPr>
                <w:rFonts w:hint="eastAsia" w:ascii="宋体" w:hAnsi="宋体" w:eastAsia="宋体" w:cs="Times New Roman"/>
                <w:kern w:val="0"/>
                <w:sz w:val="24"/>
                <w:szCs w:val="20"/>
                <w:highlight w:val="none"/>
              </w:rPr>
              <w:t>合同总价</w:t>
            </w:r>
            <w:r>
              <w:rPr>
                <w:rFonts w:hint="eastAsia" w:ascii="宋体" w:hAnsi="宋体" w:eastAsia="宋体" w:cs="Times New Roman"/>
                <w:kern w:val="0"/>
                <w:sz w:val="24"/>
                <w:szCs w:val="20"/>
                <w:highlight w:val="none"/>
                <w:lang w:eastAsia="zh-CN"/>
              </w:rPr>
              <w:t>（</w:t>
            </w:r>
            <w:r>
              <w:rPr>
                <w:rFonts w:hint="eastAsia" w:ascii="宋体" w:hAnsi="宋体" w:eastAsia="宋体" w:cs="Times New Roman"/>
                <w:kern w:val="0"/>
                <w:sz w:val="24"/>
                <w:szCs w:val="20"/>
                <w:highlight w:val="none"/>
                <w:lang w:val="en-US" w:eastAsia="zh-CN"/>
              </w:rPr>
              <w:t>万元</w:t>
            </w:r>
            <w:r>
              <w:rPr>
                <w:rFonts w:hint="eastAsia" w:ascii="宋体" w:hAnsi="宋体" w:eastAsia="宋体" w:cs="Times New Roman"/>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kern w:val="2"/>
                <w:sz w:val="24"/>
                <w:szCs w:val="20"/>
                <w:highlight w:val="yellow"/>
                <w:lang w:val="en-US"/>
              </w:rPr>
            </w:pPr>
            <w:r>
              <w:rPr>
                <w:rFonts w:hint="eastAsia" w:ascii="宋体" w:hAnsi="宋体" w:eastAsia="宋体" w:cs="Times New Roman"/>
                <w:kern w:val="0"/>
                <w:sz w:val="24"/>
                <w:szCs w:val="20"/>
                <w:highlight w:val="none"/>
                <w:lang w:val="en-US" w:eastAsia="zh-CN"/>
              </w:rPr>
              <w:t>开始</w:t>
            </w:r>
            <w:r>
              <w:rPr>
                <w:rFonts w:hint="eastAsia" w:ascii="宋体" w:hAnsi="宋体" w:eastAsia="宋体" w:cs="Times New Roman"/>
                <w:kern w:val="0"/>
                <w:sz w:val="24"/>
                <w:szCs w:val="20"/>
                <w:highlight w:val="none"/>
              </w:rPr>
              <w:t>时间</w:t>
            </w:r>
          </w:p>
        </w:tc>
        <w:tc>
          <w:tcPr>
            <w:tcW w:w="1708" w:type="dxa"/>
            <w:noWrap w:val="0"/>
            <w:vAlign w:val="center"/>
          </w:tcPr>
          <w:p>
            <w:pPr>
              <w:jc w:val="left"/>
              <w:rPr>
                <w:rFonts w:hint="default" w:ascii="宋体" w:hAnsi="宋体" w:eastAsia="宋体" w:cs="Times New Roman"/>
                <w:kern w:val="0"/>
                <w:sz w:val="24"/>
                <w:szCs w:val="20"/>
                <w:highlight w:val="none"/>
                <w:lang w:val="en-US"/>
              </w:rPr>
            </w:pPr>
            <w:r>
              <w:rPr>
                <w:rFonts w:hint="default" w:ascii="宋体" w:hAnsi="宋体" w:eastAsia="宋体" w:cs="Times New Roman"/>
                <w:kern w:val="0"/>
                <w:sz w:val="24"/>
                <w:szCs w:val="20"/>
                <w:highlight w:val="none"/>
                <w:lang w:val="en-US"/>
              </w:rPr>
              <w:t>业主单位、</w:t>
            </w:r>
          </w:p>
          <w:p>
            <w:pPr>
              <w:jc w:val="left"/>
              <w:rPr>
                <w:rFonts w:hint="default" w:ascii="宋体" w:hAnsi="宋体" w:eastAsia="宋体" w:cs="Times New Roman"/>
                <w:bCs/>
                <w:kern w:val="2"/>
                <w:sz w:val="24"/>
                <w:szCs w:val="20"/>
                <w:highlight w:val="none"/>
                <w:lang w:val="en-US" w:eastAsia="zh-CN"/>
              </w:rPr>
            </w:pPr>
            <w:r>
              <w:rPr>
                <w:rFonts w:hint="default" w:ascii="宋体" w:hAnsi="宋体" w:eastAsia="宋体" w:cs="Times New Roman"/>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yellow"/>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yellow"/>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yellow"/>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yellow"/>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5"/>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十九涌新建垃圾收集站项目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11"/>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1"/>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54" w:name="_Toc26234"/>
      <w:bookmarkStart w:id="55" w:name="_Toc23233"/>
      <w:bookmarkStart w:id="56" w:name="_Toc25010"/>
      <w:bookmarkStart w:id="57" w:name="_Toc8367"/>
      <w:bookmarkStart w:id="58" w:name="_Toc24523"/>
      <w:bookmarkStart w:id="59" w:name="_Toc17859"/>
      <w:bookmarkStart w:id="60" w:name="_Toc4893"/>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1"/>
        <w:rPr>
          <w:rFonts w:hint="default" w:ascii="仿宋" w:hAnsi="仿宋" w:eastAsia="仿宋" w:cs="仿宋"/>
          <w:color w:val="auto"/>
          <w:sz w:val="28"/>
          <w:szCs w:val="28"/>
          <w:highlight w:val="none"/>
        </w:rPr>
      </w:pPr>
    </w:p>
    <w:p>
      <w:pPr>
        <w:pStyle w:val="11"/>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61"/>
    </w:p>
    <w:p>
      <w:pPr>
        <w:pStyle w:val="26"/>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2" w:name="_Toc11051"/>
      <w:bookmarkStart w:id="63" w:name="_Toc3331"/>
      <w:bookmarkStart w:id="64" w:name="_Toc18242"/>
      <w:bookmarkStart w:id="65" w:name="_Toc13788"/>
      <w:bookmarkStart w:id="66" w:name="_Toc20865"/>
      <w:bookmarkStart w:id="67" w:name="_Toc5919"/>
      <w:bookmarkStart w:id="68" w:name="_Toc12170"/>
      <w:bookmarkStart w:id="69" w:name="_Toc6823"/>
      <w:r>
        <w:rPr>
          <w:rFonts w:hint="eastAsia" w:ascii="宋体" w:hAnsi="宋体" w:eastAsia="宋体" w:cs="宋体"/>
          <w:color w:val="auto"/>
          <w:sz w:val="21"/>
          <w:szCs w:val="21"/>
          <w:highlight w:val="none"/>
        </w:rPr>
        <w:t>附件1：符合性审查表</w:t>
      </w:r>
      <w:bookmarkEnd w:id="62"/>
      <w:bookmarkEnd w:id="63"/>
      <w:bookmarkEnd w:id="64"/>
      <w:bookmarkEnd w:id="65"/>
      <w:bookmarkEnd w:id="66"/>
      <w:bookmarkEnd w:id="67"/>
      <w:bookmarkEnd w:id="68"/>
      <w:bookmarkEnd w:id="6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0" w:name="_Toc18783"/>
    </w:p>
    <w:bookmarkEnd w:id="70"/>
    <w:p>
      <w:pPr>
        <w:snapToGrid w:val="0"/>
        <w:ind w:left="74"/>
        <w:outlineLvl w:val="0"/>
        <w:rPr>
          <w:rFonts w:hint="eastAsia" w:ascii="宋体" w:hAnsi="宋体" w:eastAsia="宋体" w:cs="宋体"/>
          <w:b w:val="0"/>
          <w:bCs/>
          <w:color w:val="auto"/>
          <w:sz w:val="21"/>
          <w:szCs w:val="21"/>
          <w:highlight w:val="none"/>
        </w:rPr>
      </w:pPr>
      <w:bookmarkStart w:id="71" w:name="_Toc20704"/>
      <w:bookmarkStart w:id="72" w:name="_Toc22905"/>
      <w:bookmarkStart w:id="73" w:name="_Toc5297"/>
      <w:bookmarkStart w:id="74" w:name="_Toc15156"/>
      <w:bookmarkStart w:id="75" w:name="_Toc12016"/>
      <w:bookmarkStart w:id="76" w:name="_Toc13000"/>
      <w:bookmarkStart w:id="77" w:name="_Toc32519"/>
      <w:bookmarkStart w:id="78" w:name="_Toc18739"/>
      <w:bookmarkStart w:id="79" w:name="_Toc6504"/>
      <w:bookmarkStart w:id="80" w:name="_Toc4185"/>
      <w:bookmarkStart w:id="81" w:name="_Toc15249"/>
      <w:bookmarkStart w:id="82" w:name="_Toc31760"/>
      <w:bookmarkStart w:id="83" w:name="_Toc2642"/>
      <w:r>
        <w:rPr>
          <w:rFonts w:hint="eastAsia" w:ascii="宋体" w:hAnsi="宋体" w:eastAsia="宋体" w:cs="宋体"/>
          <w:b w:val="0"/>
          <w:bCs/>
          <w:color w:val="auto"/>
          <w:sz w:val="21"/>
          <w:szCs w:val="21"/>
          <w:highlight w:val="none"/>
        </w:rPr>
        <w:t>附件2综合评分表（100分）</w:t>
      </w:r>
    </w:p>
    <w:p>
      <w:pPr>
        <w:widowControl w:val="0"/>
        <w:jc w:val="both"/>
        <w:rPr>
          <w:rFonts w:hint="eastAsia" w:ascii="宋体" w:hAnsi="Courier New" w:eastAsia="宋体" w:cs="Times New Roman"/>
          <w:b w:val="0"/>
          <w:bCs w:val="0"/>
          <w:kern w:val="2"/>
          <w:sz w:val="21"/>
          <w:szCs w:val="21"/>
          <w:lang w:val="en-US" w:eastAsia="zh-CN" w:bidi="ar-SA"/>
        </w:rPr>
      </w:pPr>
    </w:p>
    <w:tbl>
      <w:tblPr>
        <w:tblStyle w:val="18"/>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6"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商务部分（50分）</w:t>
            </w:r>
          </w:p>
          <w:p>
            <w:pPr>
              <w:pStyle w:val="2"/>
              <w:rPr>
                <w:rFonts w:hint="eastAsia" w:ascii="宋体" w:hAnsi="宋体" w:eastAsia="宋体" w:cs="宋体"/>
                <w:highlight w:val="none"/>
                <w:lang w:val="en-US" w:eastAsia="zh-CN"/>
              </w:rPr>
            </w:pPr>
          </w:p>
        </w:tc>
        <w:tc>
          <w:tcPr>
            <w:tcW w:w="1560" w:type="dxa"/>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000000"/>
                <w:sz w:val="21"/>
                <w:szCs w:val="21"/>
                <w:highlight w:val="none"/>
                <w:lang w:val="en-US" w:eastAsia="zh-CN"/>
              </w:rPr>
              <w:t>企业</w:t>
            </w:r>
            <w:r>
              <w:rPr>
                <w:rFonts w:hint="eastAsia" w:ascii="宋体" w:hAnsi="宋体" w:eastAsia="宋体" w:cs="宋体"/>
                <w:color w:val="000000"/>
                <w:sz w:val="21"/>
                <w:szCs w:val="21"/>
                <w:highlight w:val="none"/>
              </w:rPr>
              <w:t>业绩</w:t>
            </w:r>
          </w:p>
        </w:tc>
        <w:tc>
          <w:tcPr>
            <w:tcW w:w="735" w:type="dxa"/>
            <w:shd w:val="clear" w:color="auto" w:fill="auto"/>
            <w:vAlign w:val="center"/>
          </w:tcPr>
          <w:p>
            <w:pPr>
              <w:jc w:val="center"/>
              <w:rPr>
                <w:rFonts w:hint="eastAsia" w:ascii="宋体" w:hAnsi="宋体" w:eastAsia="宋体" w:cs="宋体"/>
                <w:color w:val="auto"/>
                <w:szCs w:val="21"/>
                <w:highlight w:val="none"/>
              </w:rPr>
            </w:pPr>
            <w:r>
              <w:rPr>
                <w:rFonts w:hint="eastAsia" w:ascii="宋体" w:hAnsi="宋体" w:eastAsia="宋体" w:cs="宋体"/>
                <w:sz w:val="21"/>
                <w:szCs w:val="21"/>
                <w:highlight w:val="none"/>
                <w:lang w:val="en-US" w:eastAsia="zh-CN"/>
              </w:rPr>
              <w:t>24</w:t>
            </w:r>
          </w:p>
        </w:tc>
        <w:tc>
          <w:tcPr>
            <w:tcW w:w="8730" w:type="dxa"/>
            <w:shd w:val="clear" w:color="auto" w:fill="auto"/>
            <w:vAlign w:val="center"/>
          </w:tcPr>
          <w:p>
            <w:pPr>
              <w:rPr>
                <w:rFonts w:hint="eastAsia" w:ascii="宋体" w:hAnsi="宋体" w:eastAsia="宋体" w:cs="宋体"/>
                <w:highlight w:val="none"/>
              </w:rPr>
            </w:pPr>
            <w:r>
              <w:rPr>
                <w:rFonts w:hint="eastAsia" w:ascii="宋体" w:hAnsi="宋体" w:eastAsia="宋体" w:cs="宋体"/>
                <w:kern w:val="2"/>
                <w:szCs w:val="24"/>
                <w:highlight w:val="none"/>
              </w:rPr>
              <w:t>投标人</w:t>
            </w:r>
            <w:r>
              <w:rPr>
                <w:rFonts w:hint="eastAsia" w:ascii="宋体" w:hAnsi="宋体" w:eastAsia="宋体" w:cs="宋体"/>
                <w:kern w:val="2"/>
                <w:szCs w:val="24"/>
                <w:highlight w:val="none"/>
                <w:lang w:val="en-US" w:eastAsia="zh-CN"/>
              </w:rPr>
              <w:t>2020</w:t>
            </w:r>
            <w:r>
              <w:rPr>
                <w:rFonts w:hint="eastAsia" w:ascii="宋体" w:hAnsi="宋体" w:eastAsia="宋体" w:cs="宋体"/>
                <w:kern w:val="2"/>
                <w:szCs w:val="24"/>
                <w:highlight w:val="none"/>
              </w:rPr>
              <w:t>年1月1日</w:t>
            </w:r>
            <w:r>
              <w:rPr>
                <w:rFonts w:hint="eastAsia" w:ascii="宋体" w:hAnsi="宋体" w:eastAsia="宋体" w:cs="宋体"/>
                <w:kern w:val="2"/>
                <w:szCs w:val="24"/>
                <w:highlight w:val="none"/>
                <w:lang w:val="en-US" w:eastAsia="zh-CN"/>
              </w:rPr>
              <w:t>至今</w:t>
            </w:r>
            <w:r>
              <w:rPr>
                <w:rFonts w:hint="eastAsia" w:ascii="宋体" w:hAnsi="宋体" w:eastAsia="宋体" w:cs="宋体"/>
                <w:kern w:val="2"/>
                <w:szCs w:val="24"/>
                <w:highlight w:val="none"/>
              </w:rPr>
              <w:t>（以合同签订时间为准）</w:t>
            </w:r>
            <w:r>
              <w:rPr>
                <w:rFonts w:hint="eastAsia" w:ascii="宋体" w:hAnsi="宋体" w:eastAsia="宋体" w:cs="宋体"/>
                <w:b w:val="0"/>
                <w:bCs w:val="0"/>
                <w:sz w:val="21"/>
                <w:szCs w:val="24"/>
                <w:highlight w:val="none"/>
                <w:lang w:val="en-US"/>
              </w:rPr>
              <w:t>承接过</w:t>
            </w:r>
            <w:r>
              <w:rPr>
                <w:rFonts w:hint="eastAsia" w:ascii="宋体" w:hAnsi="宋体" w:eastAsia="宋体" w:cs="宋体"/>
                <w:b w:val="0"/>
                <w:bCs w:val="0"/>
                <w:sz w:val="21"/>
                <w:szCs w:val="24"/>
                <w:highlight w:val="none"/>
                <w:lang w:val="en-US" w:eastAsia="zh-CN"/>
              </w:rPr>
              <w:t>类似钢结构项目业绩</w:t>
            </w:r>
            <w:r>
              <w:rPr>
                <w:rFonts w:hint="eastAsia" w:ascii="宋体" w:hAnsi="宋体" w:eastAsia="宋体" w:cs="宋体"/>
                <w:b w:val="0"/>
                <w:bCs w:val="0"/>
                <w:sz w:val="21"/>
                <w:szCs w:val="24"/>
                <w:highlight w:val="none"/>
                <w:lang w:val="en-US"/>
              </w:rPr>
              <w:t>，</w:t>
            </w:r>
            <w:r>
              <w:rPr>
                <w:rFonts w:hint="eastAsia" w:ascii="宋体" w:hAnsi="宋体" w:eastAsia="宋体" w:cs="宋体"/>
                <w:b w:val="0"/>
                <w:bCs w:val="0"/>
                <w:sz w:val="21"/>
                <w:szCs w:val="24"/>
                <w:highlight w:val="none"/>
                <w:lang w:val="en-US" w:eastAsia="zh-CN"/>
              </w:rPr>
              <w:t>每提供一个得4分，</w:t>
            </w:r>
            <w:r>
              <w:rPr>
                <w:rFonts w:hint="eastAsia" w:ascii="宋体" w:hAnsi="宋体" w:eastAsia="宋体" w:cs="宋体"/>
                <w:highlight w:val="none"/>
              </w:rPr>
              <w:t>本项最</w:t>
            </w:r>
            <w:r>
              <w:rPr>
                <w:rFonts w:hint="eastAsia" w:ascii="宋体" w:hAnsi="宋体" w:eastAsia="宋体" w:cs="宋体"/>
                <w:highlight w:val="none"/>
                <w:lang w:val="en-US" w:eastAsia="zh-CN"/>
              </w:rPr>
              <w:t>高得24分</w:t>
            </w:r>
            <w:r>
              <w:rPr>
                <w:rFonts w:hint="eastAsia" w:ascii="宋体" w:hAnsi="宋体" w:eastAsia="宋体" w:cs="宋体"/>
                <w:highlight w:val="none"/>
              </w:rPr>
              <w:t>。</w:t>
            </w:r>
          </w:p>
          <w:p>
            <w:pPr>
              <w:rPr>
                <w:rFonts w:hint="eastAsia" w:ascii="宋体" w:hAnsi="宋体" w:eastAsia="宋体" w:cs="宋体"/>
                <w:color w:val="auto"/>
                <w:szCs w:val="21"/>
                <w:highlight w:val="none"/>
              </w:rPr>
            </w:pPr>
            <w:r>
              <w:rPr>
                <w:rFonts w:hint="eastAsia" w:ascii="宋体" w:hAnsi="宋体" w:eastAsia="宋体" w:cs="宋体"/>
                <w:b w:val="0"/>
                <w:bCs w:val="0"/>
                <w:kern w:val="2"/>
                <w:sz w:val="21"/>
                <w:szCs w:val="24"/>
                <w:highlight w:val="none"/>
                <w:lang w:val="en-US" w:eastAsia="zh-CN" w:bidi="ar-SA"/>
              </w:rPr>
              <w:t>注：</w:t>
            </w:r>
            <w:r>
              <w:rPr>
                <w:rFonts w:hint="eastAsia" w:ascii="宋体" w:hAnsi="宋体" w:eastAsia="宋体" w:cs="宋体"/>
                <w:color w:val="auto"/>
                <w:szCs w:val="21"/>
                <w:highlight w:val="none"/>
              </w:rPr>
              <w:t>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合同关键页复印件（体现施工内容及</w:t>
            </w:r>
            <w:r>
              <w:rPr>
                <w:rFonts w:hint="eastAsia" w:ascii="宋体" w:hAnsi="宋体" w:eastAsia="宋体" w:cs="宋体"/>
                <w:color w:val="auto"/>
                <w:szCs w:val="21"/>
                <w:highlight w:val="none"/>
                <w:lang w:eastAsia="zh-CN"/>
              </w:rPr>
              <w:t>金</w:t>
            </w:r>
            <w:r>
              <w:rPr>
                <w:rFonts w:hint="eastAsia" w:ascii="宋体" w:hAnsi="宋体" w:eastAsia="宋体" w:cs="宋体"/>
                <w:color w:val="auto"/>
                <w:szCs w:val="21"/>
                <w:highlight w:val="none"/>
              </w:rPr>
              <w:t>额的页面、盖章页等），不提供、提供不全或专家无法认定的不得分，业绩时间以合同签订时间为准。</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1090" w:type="dxa"/>
            <w:vMerge w:val="continue"/>
            <w:shd w:val="clear" w:color="auto" w:fill="auto"/>
            <w:vAlign w:val="center"/>
          </w:tcPr>
          <w:p>
            <w:pPr>
              <w:pStyle w:val="2"/>
              <w:rPr>
                <w:rFonts w:hint="eastAsia" w:ascii="宋体" w:hAnsi="宋体" w:eastAsia="宋体" w:cs="宋体"/>
                <w:highlight w:val="none"/>
                <w:lang w:val="en-US" w:eastAsia="zh-CN"/>
              </w:rPr>
            </w:pPr>
          </w:p>
        </w:tc>
        <w:tc>
          <w:tcPr>
            <w:tcW w:w="1560" w:type="dxa"/>
            <w:shd w:val="clear" w:color="auto" w:fill="auto"/>
            <w:vAlign w:val="center"/>
          </w:tcPr>
          <w:p>
            <w:pPr>
              <w:widowControl/>
              <w:ind w:left="-42" w:leftChars="0" w:right="-61" w:righ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企业荣誉</w:t>
            </w:r>
          </w:p>
        </w:tc>
        <w:tc>
          <w:tcPr>
            <w:tcW w:w="735" w:type="dxa"/>
            <w:shd w:val="clear" w:color="auto" w:fill="auto"/>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8730" w:type="dxa"/>
            <w:shd w:val="clear" w:color="auto" w:fill="auto"/>
            <w:vAlign w:val="center"/>
          </w:tcPr>
          <w:p>
            <w:pPr>
              <w:rPr>
                <w:rFonts w:hint="eastAsia" w:ascii="宋体" w:hAnsi="宋体" w:eastAsia="宋体" w:cs="宋体"/>
                <w:szCs w:val="21"/>
                <w:highlight w:val="none"/>
                <w:lang w:val="en-US" w:eastAsia="zh-CN"/>
              </w:rPr>
            </w:pPr>
            <w:r>
              <w:rPr>
                <w:rFonts w:hint="eastAsia" w:ascii="宋体" w:hAnsi="宋体" w:eastAsia="宋体" w:cs="宋体"/>
                <w:szCs w:val="21"/>
                <w:highlight w:val="none"/>
              </w:rPr>
              <w:t>投标人具有</w:t>
            </w:r>
            <w:r>
              <w:rPr>
                <w:rFonts w:hint="eastAsia" w:ascii="宋体" w:hAnsi="宋体" w:eastAsia="宋体" w:cs="宋体"/>
                <w:kern w:val="2"/>
                <w:szCs w:val="24"/>
                <w:highlight w:val="none"/>
                <w:lang w:val="en-US" w:eastAsia="zh-CN"/>
              </w:rPr>
              <w:t>2020</w:t>
            </w:r>
            <w:r>
              <w:rPr>
                <w:rFonts w:hint="eastAsia" w:ascii="宋体" w:hAnsi="宋体" w:eastAsia="宋体" w:cs="宋体"/>
                <w:kern w:val="2"/>
                <w:szCs w:val="24"/>
                <w:highlight w:val="none"/>
              </w:rPr>
              <w:t>年1月1日</w:t>
            </w:r>
            <w:r>
              <w:rPr>
                <w:rFonts w:hint="eastAsia" w:ascii="宋体" w:hAnsi="宋体" w:eastAsia="宋体" w:cs="宋体"/>
                <w:kern w:val="2"/>
                <w:szCs w:val="24"/>
                <w:highlight w:val="none"/>
                <w:lang w:val="en-US" w:eastAsia="zh-CN"/>
              </w:rPr>
              <w:t>至今</w:t>
            </w:r>
            <w:r>
              <w:rPr>
                <w:rFonts w:hint="eastAsia" w:ascii="宋体" w:hAnsi="宋体" w:eastAsia="宋体" w:cs="宋体"/>
                <w:szCs w:val="21"/>
                <w:highlight w:val="none"/>
              </w:rPr>
              <w:t>工商行政部门或市场监督管理局颁发的“守合同重信用企业”证书，每</w:t>
            </w:r>
            <w:r>
              <w:rPr>
                <w:rFonts w:hint="eastAsia" w:ascii="宋体" w:hAnsi="宋体" w:eastAsia="宋体" w:cs="宋体"/>
                <w:szCs w:val="21"/>
                <w:highlight w:val="none"/>
                <w:lang w:val="en-US" w:eastAsia="zh-CN"/>
              </w:rPr>
              <w:t>提供一个</w:t>
            </w:r>
            <w:r>
              <w:rPr>
                <w:rFonts w:hint="eastAsia" w:ascii="宋体" w:hAnsi="宋体" w:eastAsia="宋体" w:cs="宋体"/>
                <w:szCs w:val="21"/>
                <w:highlight w:val="none"/>
              </w:rPr>
              <w:t>得</w:t>
            </w:r>
            <w:r>
              <w:rPr>
                <w:rFonts w:hint="eastAsia" w:ascii="宋体" w:hAnsi="宋体" w:eastAsia="宋体" w:cs="宋体"/>
                <w:szCs w:val="21"/>
                <w:highlight w:val="none"/>
                <w:lang w:val="en-US" w:eastAsia="zh-CN"/>
              </w:rPr>
              <w:t>1.5</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本项</w:t>
            </w:r>
            <w:r>
              <w:rPr>
                <w:rFonts w:hint="eastAsia" w:ascii="宋体" w:hAnsi="宋体" w:eastAsia="宋体" w:cs="宋体"/>
                <w:szCs w:val="21"/>
                <w:highlight w:val="none"/>
              </w:rPr>
              <w:t>最高得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分。需提供证书复印件，不符合或不提供不得分</w:t>
            </w:r>
            <w:r>
              <w:rPr>
                <w:rFonts w:hint="eastAsia" w:ascii="宋体" w:hAnsi="宋体" w:eastAsia="宋体" w:cs="宋体"/>
                <w:szCs w:val="21"/>
                <w:highlight w:val="none"/>
                <w:lang w:eastAsia="zh-CN"/>
              </w:rPr>
              <w:t>。</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jc w:val="center"/>
        </w:trPr>
        <w:tc>
          <w:tcPr>
            <w:tcW w:w="1090" w:type="dxa"/>
            <w:vMerge w:val="continue"/>
            <w:shd w:val="clear" w:color="auto" w:fill="auto"/>
            <w:vAlign w:val="center"/>
          </w:tcPr>
          <w:p>
            <w:pPr>
              <w:pStyle w:val="2"/>
              <w:rPr>
                <w:rFonts w:hint="eastAsia" w:ascii="宋体" w:hAnsi="宋体" w:eastAsia="宋体" w:cs="宋体"/>
                <w:highlight w:val="none"/>
                <w:lang w:val="en-US" w:eastAsia="zh-CN"/>
              </w:rPr>
            </w:pPr>
          </w:p>
        </w:tc>
        <w:tc>
          <w:tcPr>
            <w:tcW w:w="1560" w:type="dxa"/>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认证体系</w:t>
            </w:r>
          </w:p>
        </w:tc>
        <w:tc>
          <w:tcPr>
            <w:tcW w:w="735" w:type="dxa"/>
            <w:shd w:val="clear" w:color="auto" w:fill="auto"/>
            <w:vAlign w:val="center"/>
          </w:tcPr>
          <w:p>
            <w:pPr>
              <w:jc w:val="center"/>
              <w:rPr>
                <w:rFonts w:hint="eastAsia" w:ascii="宋体" w:hAnsi="宋体" w:eastAsia="宋体" w:cs="宋体"/>
                <w:color w:val="auto"/>
                <w:szCs w:val="21"/>
                <w:highlight w:val="none"/>
              </w:rPr>
            </w:pPr>
            <w:r>
              <w:rPr>
                <w:rFonts w:hint="eastAsia" w:ascii="宋体" w:hAnsi="宋体" w:eastAsia="宋体" w:cs="宋体"/>
                <w:sz w:val="21"/>
                <w:szCs w:val="21"/>
                <w:highlight w:val="none"/>
                <w:lang w:val="en-US" w:eastAsia="zh-CN"/>
              </w:rPr>
              <w:t>3</w:t>
            </w:r>
          </w:p>
        </w:tc>
        <w:tc>
          <w:tcPr>
            <w:tcW w:w="8730" w:type="dxa"/>
            <w:shd w:val="clear" w:color="auto" w:fill="auto"/>
            <w:vAlign w:val="center"/>
          </w:tcPr>
          <w:p>
            <w:pPr>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投标人具有有效的质量管理体系认证证书、环境管理体系认证证书、职业健康安全管理体系认证证书，每有一个证书得1分。本项最高得3分。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注：（须提供以上有效期内的证书复印件以及在全国认证认可信息公共服务平台上http://cx.cnca.cn查询结果的截图，证书状态必须为“有效”，否则不得分。）</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8" w:hRule="atLeast"/>
          <w:jc w:val="center"/>
        </w:trPr>
        <w:tc>
          <w:tcPr>
            <w:tcW w:w="1090" w:type="dxa"/>
            <w:vMerge w:val="continue"/>
            <w:shd w:val="clear" w:color="auto" w:fill="auto"/>
            <w:vAlign w:val="center"/>
          </w:tcPr>
          <w:p>
            <w:pPr>
              <w:pStyle w:val="2"/>
              <w:rPr>
                <w:rFonts w:hint="eastAsia"/>
                <w:highlight w:val="none"/>
                <w:lang w:val="en-US" w:eastAsia="zh-CN"/>
              </w:rPr>
            </w:pPr>
          </w:p>
        </w:tc>
        <w:tc>
          <w:tcPr>
            <w:tcW w:w="1560" w:type="dxa"/>
            <w:vMerge w:val="restart"/>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rPr>
              <w:t>拟派本项目团队情况</w:t>
            </w:r>
          </w:p>
        </w:tc>
        <w:tc>
          <w:tcPr>
            <w:tcW w:w="735" w:type="dxa"/>
            <w:shd w:val="clear" w:color="auto" w:fill="auto"/>
            <w:vAlign w:val="center"/>
          </w:tcPr>
          <w:p>
            <w:pPr>
              <w:jc w:val="center"/>
              <w:rPr>
                <w:rFonts w:hint="eastAsia" w:ascii="宋体" w:hAnsi="宋体" w:eastAsia="宋体" w:cs="宋体"/>
                <w:color w:val="auto"/>
                <w:szCs w:val="21"/>
                <w:highlight w:val="none"/>
              </w:rPr>
            </w:pPr>
            <w:r>
              <w:rPr>
                <w:rFonts w:hint="eastAsia" w:ascii="宋体" w:hAnsi="宋体" w:eastAsia="宋体" w:cs="宋体"/>
                <w:sz w:val="21"/>
                <w:szCs w:val="21"/>
                <w:highlight w:val="none"/>
                <w:lang w:val="en-US" w:eastAsia="zh-CN"/>
              </w:rPr>
              <w:t>5</w:t>
            </w:r>
          </w:p>
        </w:tc>
        <w:tc>
          <w:tcPr>
            <w:tcW w:w="8730" w:type="dxa"/>
            <w:shd w:val="clear" w:color="auto" w:fill="auto"/>
            <w:vAlign w:val="center"/>
          </w:tcPr>
          <w:p>
            <w:pPr>
              <w:rPr>
                <w:rFonts w:hint="eastAsia" w:ascii="宋体" w:hAnsi="宋体" w:eastAsia="宋体" w:cs="宋体"/>
                <w:bCs/>
                <w:color w:val="000000"/>
                <w:sz w:val="21"/>
                <w:szCs w:val="21"/>
                <w:highlight w:val="none"/>
                <w:lang w:eastAsia="zh-CN"/>
              </w:rPr>
            </w:pPr>
            <w:r>
              <w:rPr>
                <w:rFonts w:hint="eastAsia" w:ascii="宋体" w:hAnsi="宋体" w:eastAsia="宋体" w:cs="宋体"/>
                <w:bCs/>
                <w:color w:val="000000"/>
                <w:sz w:val="21"/>
                <w:szCs w:val="21"/>
                <w:highlight w:val="none"/>
              </w:rPr>
              <w:t>项目负责人具有</w:t>
            </w:r>
            <w:r>
              <w:rPr>
                <w:rFonts w:hint="eastAsia" w:ascii="宋体" w:hAnsi="宋体" w:eastAsia="宋体" w:cs="宋体"/>
                <w:bCs/>
                <w:color w:val="000000"/>
                <w:sz w:val="21"/>
                <w:szCs w:val="21"/>
                <w:highlight w:val="none"/>
                <w:lang w:val="en-US" w:eastAsia="zh-CN"/>
              </w:rPr>
              <w:t>建筑</w:t>
            </w:r>
            <w:r>
              <w:rPr>
                <w:rFonts w:hint="eastAsia" w:ascii="宋体" w:hAnsi="宋体" w:eastAsia="宋体" w:cs="宋体"/>
                <w:bCs/>
                <w:color w:val="000000"/>
                <w:sz w:val="21"/>
                <w:szCs w:val="21"/>
                <w:highlight w:val="none"/>
              </w:rPr>
              <w:t>工程</w:t>
            </w:r>
            <w:r>
              <w:rPr>
                <w:rFonts w:hint="eastAsia" w:ascii="宋体" w:hAnsi="宋体" w:eastAsia="宋体" w:cs="宋体"/>
                <w:bCs/>
                <w:color w:val="000000"/>
                <w:sz w:val="21"/>
                <w:szCs w:val="21"/>
                <w:highlight w:val="none"/>
                <w:lang w:val="en-US" w:eastAsia="zh-CN"/>
              </w:rPr>
              <w:t>专业</w:t>
            </w:r>
            <w:r>
              <w:rPr>
                <w:rFonts w:hint="eastAsia" w:ascii="宋体" w:hAnsi="宋体" w:eastAsia="宋体" w:cs="宋体"/>
                <w:bCs/>
                <w:color w:val="000000"/>
                <w:sz w:val="21"/>
                <w:szCs w:val="21"/>
                <w:highlight w:val="none"/>
              </w:rPr>
              <w:t>二级</w:t>
            </w:r>
            <w:r>
              <w:rPr>
                <w:rFonts w:hint="eastAsia" w:ascii="宋体" w:hAnsi="宋体" w:eastAsia="宋体" w:cs="宋体"/>
                <w:bCs/>
                <w:color w:val="000000"/>
                <w:sz w:val="21"/>
                <w:szCs w:val="21"/>
                <w:highlight w:val="none"/>
                <w:lang w:val="en-US" w:eastAsia="zh-CN"/>
              </w:rPr>
              <w:t>或以上</w:t>
            </w:r>
            <w:r>
              <w:rPr>
                <w:rFonts w:hint="eastAsia" w:ascii="宋体" w:hAnsi="宋体" w:eastAsia="宋体" w:cs="宋体"/>
                <w:bCs/>
                <w:color w:val="000000"/>
                <w:sz w:val="21"/>
                <w:szCs w:val="21"/>
                <w:highlight w:val="none"/>
              </w:rPr>
              <w:t>注册建造师得</w:t>
            </w:r>
            <w:r>
              <w:rPr>
                <w:rFonts w:hint="eastAsia" w:ascii="宋体" w:hAnsi="宋体" w:eastAsia="宋体" w:cs="宋体"/>
                <w:bCs/>
                <w:color w:val="000000"/>
                <w:sz w:val="21"/>
                <w:szCs w:val="21"/>
                <w:highlight w:val="none"/>
                <w:lang w:val="en-US" w:eastAsia="zh-CN"/>
              </w:rPr>
              <w:t>5</w:t>
            </w:r>
            <w:r>
              <w:rPr>
                <w:rFonts w:hint="eastAsia" w:ascii="宋体" w:hAnsi="宋体" w:eastAsia="宋体" w:cs="宋体"/>
                <w:bCs/>
                <w:color w:val="000000"/>
                <w:sz w:val="21"/>
                <w:szCs w:val="21"/>
                <w:highlight w:val="none"/>
              </w:rPr>
              <w:t>分</w:t>
            </w:r>
            <w:r>
              <w:rPr>
                <w:rFonts w:hint="eastAsia" w:ascii="宋体" w:hAnsi="宋体" w:eastAsia="宋体" w:cs="宋体"/>
                <w:bCs/>
                <w:color w:val="000000"/>
                <w:sz w:val="21"/>
                <w:szCs w:val="21"/>
                <w:highlight w:val="none"/>
                <w:lang w:eastAsia="zh-CN"/>
              </w:rPr>
              <w:t>。</w:t>
            </w:r>
          </w:p>
          <w:p>
            <w:pPr>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rPr>
              <w:t>注：需</w:t>
            </w: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i w:val="0"/>
                <w:iCs w:val="0"/>
                <w:caps w:val="0"/>
                <w:color w:val="444444"/>
                <w:spacing w:val="0"/>
                <w:sz w:val="21"/>
                <w:szCs w:val="21"/>
                <w:highlight w:val="none"/>
                <w:shd w:val="clear" w:fill="FFFFFF"/>
              </w:rPr>
              <w:t>毕业证</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sz w:val="21"/>
                <w:szCs w:val="21"/>
                <w:highlight w:val="none"/>
                <w:lang w:val="en-US" w:eastAsia="zh-CN"/>
              </w:rPr>
              <w:t>工作</w:t>
            </w:r>
            <w:r>
              <w:rPr>
                <w:rFonts w:hint="eastAsia" w:ascii="宋体" w:hAnsi="宋体" w:eastAsia="宋体" w:cs="宋体"/>
                <w:sz w:val="21"/>
                <w:szCs w:val="21"/>
                <w:highlight w:val="none"/>
              </w:rPr>
              <w:t>经验以毕业证的发证时间开始计算</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sz w:val="21"/>
                <w:szCs w:val="21"/>
                <w:highlight w:val="none"/>
              </w:rPr>
              <w:t>提供不齐或不提供不得分</w:t>
            </w:r>
            <w:r>
              <w:rPr>
                <w:rFonts w:hint="eastAsia" w:ascii="宋体" w:hAnsi="宋体" w:eastAsia="宋体" w:cs="宋体"/>
                <w:b w:val="0"/>
                <w:bCs w:val="0"/>
                <w:color w:val="auto"/>
                <w:sz w:val="21"/>
                <w:szCs w:val="21"/>
                <w:highlight w:val="none"/>
              </w:rPr>
              <w:t>。</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0" w:hRule="atLeast"/>
          <w:jc w:val="center"/>
        </w:trPr>
        <w:tc>
          <w:tcPr>
            <w:tcW w:w="1090" w:type="dxa"/>
            <w:vMerge w:val="continue"/>
            <w:shd w:val="clear" w:color="auto" w:fill="auto"/>
            <w:vAlign w:val="center"/>
          </w:tcPr>
          <w:p>
            <w:pPr>
              <w:pStyle w:val="2"/>
              <w:rPr>
                <w:rFonts w:hint="eastAsia"/>
                <w:highlight w:val="none"/>
                <w:lang w:val="en-US" w:eastAsia="zh-CN"/>
              </w:rPr>
            </w:pPr>
          </w:p>
        </w:tc>
        <w:tc>
          <w:tcPr>
            <w:tcW w:w="1560" w:type="dxa"/>
            <w:vMerge w:val="continue"/>
            <w:shd w:val="clear" w:color="auto" w:fill="auto"/>
            <w:vAlign w:val="center"/>
          </w:tcPr>
          <w:p>
            <w:pPr>
              <w:widowControl/>
              <w:ind w:left="-42" w:leftChars="0" w:right="-61" w:rightChars="0"/>
              <w:jc w:val="center"/>
              <w:rPr>
                <w:rFonts w:hint="eastAsia" w:ascii="宋体" w:hAnsi="宋体" w:eastAsia="宋体" w:cs="宋体"/>
                <w:sz w:val="21"/>
                <w:szCs w:val="21"/>
                <w:highlight w:val="none"/>
              </w:rPr>
            </w:pPr>
          </w:p>
        </w:tc>
        <w:tc>
          <w:tcPr>
            <w:tcW w:w="735" w:type="dxa"/>
            <w:shd w:val="clear" w:color="auto" w:fill="auto"/>
            <w:vAlign w:val="center"/>
          </w:tcPr>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8730" w:type="dxa"/>
            <w:shd w:val="clear" w:color="auto" w:fill="auto"/>
            <w:vAlign w:val="center"/>
          </w:tcPr>
          <w:p>
            <w:pPr>
              <w:spacing w:line="240" w:lineRule="auto"/>
              <w:rPr>
                <w:rFonts w:hint="eastAsia" w:ascii="宋体" w:hAnsi="宋体" w:eastAsia="宋体" w:cs="Arial Unicode MS"/>
                <w:szCs w:val="21"/>
                <w:highlight w:val="none"/>
              </w:rPr>
            </w:pPr>
            <w:r>
              <w:rPr>
                <w:rFonts w:hint="eastAsia" w:ascii="宋体" w:hAnsi="宋体" w:eastAsia="宋体" w:cs="Arial Unicode MS"/>
                <w:szCs w:val="21"/>
                <w:highlight w:val="none"/>
              </w:rPr>
              <w:t>拟委派的</w:t>
            </w:r>
            <w:r>
              <w:rPr>
                <w:rFonts w:ascii="Times New Roman" w:hAnsi="Times New Roman" w:eastAsia="宋体" w:cs="Arial Unicode MS"/>
                <w:szCs w:val="21"/>
                <w:highlight w:val="none"/>
              </w:rPr>
              <w:t>除项目负责人</w:t>
            </w:r>
            <w:r>
              <w:rPr>
                <w:rFonts w:hint="eastAsia" w:ascii="Times New Roman" w:hAnsi="Times New Roman" w:eastAsia="宋体" w:cs="Arial Unicode MS"/>
                <w:szCs w:val="21"/>
                <w:highlight w:val="none"/>
              </w:rPr>
              <w:t>外的其他人员</w:t>
            </w:r>
            <w:r>
              <w:rPr>
                <w:rFonts w:hint="eastAsia" w:ascii="宋体" w:hAnsi="宋体" w:eastAsia="宋体" w:cs="Arial Unicode MS"/>
                <w:szCs w:val="21"/>
                <w:highlight w:val="none"/>
              </w:rPr>
              <w:t>：</w:t>
            </w:r>
          </w:p>
          <w:p>
            <w:pPr>
              <w:numPr>
                <w:ilvl w:val="-1"/>
                <w:numId w:val="0"/>
              </w:numPr>
              <w:spacing w:line="240" w:lineRule="auto"/>
              <w:rPr>
                <w:rFonts w:hint="eastAsia" w:ascii="宋体" w:hAnsi="宋体" w:eastAsia="宋体" w:cs="Times New Roman"/>
                <w:bCs/>
                <w:szCs w:val="21"/>
                <w:highlight w:val="none"/>
              </w:rPr>
            </w:pPr>
            <w:r>
              <w:rPr>
                <w:rFonts w:hint="eastAsia" w:ascii="宋体" w:hAnsi="宋体" w:eastAsia="宋体" w:cs="Times New Roman"/>
                <w:bCs/>
                <w:szCs w:val="21"/>
                <w:highlight w:val="none"/>
                <w:lang w:val="en-US" w:eastAsia="zh-CN"/>
              </w:rPr>
              <w:t>1.</w:t>
            </w:r>
            <w:r>
              <w:rPr>
                <w:rFonts w:hint="eastAsia" w:ascii="宋体" w:hAnsi="宋体" w:eastAsia="宋体" w:cs="Times New Roman"/>
                <w:bCs/>
                <w:szCs w:val="21"/>
                <w:highlight w:val="none"/>
                <w:lang w:eastAsia="zh-CN"/>
              </w:rPr>
              <w:t>技术负责人</w:t>
            </w:r>
            <w:r>
              <w:rPr>
                <w:rFonts w:hint="eastAsia" w:ascii="宋体" w:hAnsi="宋体" w:eastAsia="宋体" w:cs="Times New Roman"/>
                <w:bCs/>
                <w:szCs w:val="21"/>
                <w:highlight w:val="none"/>
              </w:rPr>
              <w:t>具有</w:t>
            </w:r>
            <w:r>
              <w:rPr>
                <w:rFonts w:hint="eastAsia" w:ascii="宋体" w:hAnsi="宋体" w:eastAsia="宋体" w:cs="Times New Roman"/>
                <w:bCs/>
                <w:szCs w:val="21"/>
                <w:highlight w:val="none"/>
                <w:lang w:eastAsia="zh-CN"/>
              </w:rPr>
              <w:t>建筑工程中级</w:t>
            </w:r>
            <w:r>
              <w:rPr>
                <w:rFonts w:hint="eastAsia" w:ascii="宋体" w:hAnsi="宋体" w:eastAsia="宋体" w:cs="Times New Roman"/>
                <w:bCs/>
                <w:szCs w:val="21"/>
                <w:highlight w:val="none"/>
              </w:rPr>
              <w:t>工程师职称，得</w:t>
            </w:r>
            <w:r>
              <w:rPr>
                <w:rFonts w:hint="eastAsia" w:ascii="宋体" w:hAnsi="宋体" w:eastAsia="宋体" w:cs="Times New Roman"/>
                <w:bCs/>
                <w:szCs w:val="21"/>
                <w:highlight w:val="none"/>
                <w:lang w:val="en-US" w:eastAsia="zh-CN"/>
              </w:rPr>
              <w:t>5</w:t>
            </w:r>
            <w:r>
              <w:rPr>
                <w:rFonts w:hint="eastAsia" w:ascii="宋体" w:hAnsi="宋体" w:eastAsia="宋体" w:cs="Times New Roman"/>
                <w:bCs/>
                <w:szCs w:val="21"/>
                <w:highlight w:val="none"/>
              </w:rPr>
              <w:t>分</w:t>
            </w:r>
            <w:r>
              <w:rPr>
                <w:rFonts w:hint="eastAsia" w:ascii="宋体" w:hAnsi="宋体" w:eastAsia="宋体" w:cs="Times New Roman"/>
                <w:bCs/>
                <w:szCs w:val="21"/>
                <w:highlight w:val="none"/>
                <w:lang w:eastAsia="zh-CN"/>
              </w:rPr>
              <w:t>。</w:t>
            </w:r>
          </w:p>
          <w:p>
            <w:pPr>
              <w:numPr>
                <w:ilvl w:val="-1"/>
                <w:numId w:val="0"/>
              </w:numPr>
              <w:spacing w:line="240" w:lineRule="auto"/>
              <w:rPr>
                <w:rFonts w:hint="eastAsia" w:ascii="宋体" w:hAnsi="宋体" w:eastAsia="宋体" w:cs="Times New Roman"/>
                <w:bCs/>
                <w:szCs w:val="21"/>
                <w:highlight w:val="none"/>
              </w:rPr>
            </w:pPr>
            <w:r>
              <w:rPr>
                <w:rFonts w:hint="eastAsia" w:ascii="宋体" w:hAnsi="宋体" w:eastAsia="宋体" w:cs="Times New Roman"/>
                <w:bCs/>
                <w:szCs w:val="21"/>
                <w:highlight w:val="none"/>
                <w:lang w:val="en-US" w:eastAsia="zh-CN"/>
              </w:rPr>
              <w:t>2.</w:t>
            </w:r>
            <w:r>
              <w:rPr>
                <w:rFonts w:hint="eastAsia" w:ascii="宋体" w:hAnsi="宋体" w:eastAsia="宋体" w:cs="Times New Roman"/>
                <w:bCs/>
                <w:szCs w:val="21"/>
                <w:highlight w:val="none"/>
                <w:lang w:eastAsia="zh-CN"/>
              </w:rPr>
              <w:t>具</w:t>
            </w:r>
            <w:r>
              <w:rPr>
                <w:rFonts w:hint="eastAsia" w:ascii="宋体" w:hAnsi="宋体" w:eastAsia="宋体" w:cs="Times New Roman"/>
                <w:bCs/>
                <w:szCs w:val="21"/>
                <w:highlight w:val="none"/>
                <w:lang w:val="en-US" w:eastAsia="zh-CN"/>
              </w:rPr>
              <w:t>有</w:t>
            </w:r>
            <w:r>
              <w:rPr>
                <w:rFonts w:hint="eastAsia" w:ascii="宋体" w:hAnsi="宋体" w:eastAsia="宋体" w:cs="Times New Roman"/>
                <w:bCs/>
                <w:szCs w:val="21"/>
                <w:highlight w:val="none"/>
                <w:lang w:eastAsia="zh-CN"/>
              </w:rPr>
              <w:t>土木建筑一级造价工程师</w:t>
            </w:r>
            <w:r>
              <w:rPr>
                <w:rFonts w:hint="eastAsia" w:ascii="宋体" w:hAnsi="宋体" w:eastAsia="宋体" w:cs="Times New Roman"/>
                <w:bCs/>
                <w:szCs w:val="21"/>
                <w:highlight w:val="none"/>
              </w:rPr>
              <w:t>，得</w:t>
            </w:r>
            <w:r>
              <w:rPr>
                <w:rFonts w:hint="eastAsia" w:ascii="宋体" w:hAnsi="宋体" w:eastAsia="宋体" w:cs="Times New Roman"/>
                <w:bCs/>
                <w:szCs w:val="21"/>
                <w:highlight w:val="none"/>
                <w:lang w:val="en-US" w:eastAsia="zh-CN"/>
              </w:rPr>
              <w:t>5</w:t>
            </w:r>
            <w:r>
              <w:rPr>
                <w:rFonts w:hint="eastAsia" w:ascii="宋体" w:hAnsi="宋体" w:eastAsia="宋体" w:cs="Times New Roman"/>
                <w:bCs/>
                <w:szCs w:val="21"/>
                <w:highlight w:val="none"/>
              </w:rPr>
              <w:t>分</w:t>
            </w:r>
            <w:r>
              <w:rPr>
                <w:rFonts w:hint="eastAsia" w:ascii="宋体" w:hAnsi="宋体" w:eastAsia="宋体" w:cs="Times New Roman"/>
                <w:bCs/>
                <w:szCs w:val="21"/>
                <w:highlight w:val="none"/>
                <w:lang w:eastAsia="zh-CN"/>
              </w:rPr>
              <w:t>。</w:t>
            </w:r>
          </w:p>
          <w:p>
            <w:pPr>
              <w:spacing w:line="240" w:lineRule="auto"/>
              <w:rPr>
                <w:rFonts w:hint="eastAsia" w:ascii="宋体" w:hAnsi="宋体" w:eastAsia="宋体" w:cs="Times New Roman"/>
                <w:bCs/>
                <w:szCs w:val="21"/>
                <w:highlight w:val="none"/>
              </w:rPr>
            </w:pPr>
            <w:r>
              <w:rPr>
                <w:rFonts w:hint="eastAsia" w:ascii="宋体" w:hAnsi="宋体" w:eastAsia="宋体" w:cs="Arial Unicode MS"/>
                <w:szCs w:val="21"/>
                <w:highlight w:val="none"/>
                <w:lang w:val="en-US" w:eastAsia="zh-CN"/>
              </w:rPr>
              <w:t>3</w:t>
            </w:r>
            <w:r>
              <w:rPr>
                <w:rFonts w:hint="eastAsia" w:ascii="宋体" w:hAnsi="宋体" w:eastAsia="宋体" w:cs="Arial Unicode MS"/>
                <w:szCs w:val="21"/>
                <w:highlight w:val="none"/>
              </w:rPr>
              <w:t>.</w:t>
            </w:r>
            <w:r>
              <w:rPr>
                <w:rFonts w:hint="eastAsia" w:ascii="宋体" w:hAnsi="宋体" w:eastAsia="宋体" w:cs="Arial Unicode MS"/>
                <w:szCs w:val="21"/>
                <w:highlight w:val="none"/>
                <w:lang w:eastAsia="zh-CN"/>
              </w:rPr>
              <w:t>具</w:t>
            </w:r>
            <w:r>
              <w:rPr>
                <w:rFonts w:hint="eastAsia" w:ascii="宋体" w:hAnsi="宋体" w:eastAsia="宋体" w:cs="Arial Unicode MS"/>
                <w:szCs w:val="21"/>
                <w:highlight w:val="none"/>
                <w:lang w:val="en-US" w:eastAsia="zh-CN"/>
              </w:rPr>
              <w:t>有</w:t>
            </w:r>
            <w:r>
              <w:rPr>
                <w:rFonts w:hint="eastAsia" w:ascii="宋体" w:hAnsi="宋体" w:eastAsia="宋体" w:cs="Arial Unicode MS"/>
                <w:szCs w:val="21"/>
                <w:highlight w:val="none"/>
              </w:rPr>
              <w:t>专职安全员1名、施工员</w:t>
            </w:r>
            <w:r>
              <w:rPr>
                <w:rFonts w:hint="eastAsia" w:ascii="宋体" w:hAnsi="宋体" w:eastAsia="宋体" w:cs="Arial Unicode MS"/>
                <w:szCs w:val="21"/>
                <w:highlight w:val="none"/>
                <w:lang w:val="en-US" w:eastAsia="zh-CN"/>
              </w:rPr>
              <w:t>1</w:t>
            </w:r>
            <w:r>
              <w:rPr>
                <w:rFonts w:hint="eastAsia" w:ascii="宋体" w:hAnsi="宋体" w:eastAsia="宋体" w:cs="Arial Unicode MS"/>
                <w:szCs w:val="21"/>
                <w:highlight w:val="none"/>
              </w:rPr>
              <w:t>名、质量员1名、材料员1名、资料员1名，</w:t>
            </w:r>
            <w:r>
              <w:rPr>
                <w:rFonts w:hint="eastAsia" w:ascii="宋体" w:hAnsi="宋体" w:eastAsia="宋体" w:cs="宋体"/>
                <w:sz w:val="21"/>
                <w:szCs w:val="21"/>
                <w:highlight w:val="none"/>
                <w:lang w:eastAsia="zh-CN"/>
              </w:rPr>
              <w:t>满</w:t>
            </w:r>
            <w:r>
              <w:rPr>
                <w:rFonts w:hint="eastAsia" w:ascii="宋体" w:hAnsi="宋体" w:eastAsia="宋体" w:cs="宋体"/>
                <w:sz w:val="21"/>
                <w:szCs w:val="21"/>
                <w:highlight w:val="none"/>
              </w:rPr>
              <w:t>足上述人员配置要求得</w:t>
            </w:r>
            <w:r>
              <w:rPr>
                <w:rFonts w:hint="eastAsia" w:ascii="宋体" w:hAnsi="宋体" w:eastAsia="宋体" w:cs="宋体"/>
                <w:sz w:val="21"/>
                <w:szCs w:val="21"/>
                <w:highlight w:val="none"/>
                <w:lang w:val="en-US" w:eastAsia="zh-CN"/>
              </w:rPr>
              <w:t>5分，其他不得分</w:t>
            </w:r>
            <w:r>
              <w:rPr>
                <w:rFonts w:hint="eastAsia" w:ascii="宋体" w:hAnsi="宋体" w:eastAsia="宋体" w:cs="Times New Roman"/>
                <w:bCs/>
                <w:szCs w:val="21"/>
                <w:highlight w:val="none"/>
              </w:rPr>
              <w:t>。</w:t>
            </w:r>
          </w:p>
          <w:p>
            <w:pPr>
              <w:rPr>
                <w:rFonts w:hint="eastAsia" w:ascii="宋体" w:hAnsi="宋体" w:eastAsia="宋体" w:cs="宋体"/>
                <w:szCs w:val="21"/>
                <w:highlight w:val="none"/>
              </w:rPr>
            </w:pPr>
            <w:r>
              <w:rPr>
                <w:rFonts w:hint="eastAsia" w:ascii="宋体" w:hAnsi="宋体" w:eastAsia="宋体" w:cs="宋体"/>
                <w:szCs w:val="21"/>
                <w:highlight w:val="none"/>
              </w:rPr>
              <w:t>本项最高得1</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hint="eastAsia" w:ascii="宋体" w:hAnsi="宋体" w:eastAsia="宋体" w:cs="宋体"/>
                <w:sz w:val="21"/>
                <w:szCs w:val="21"/>
                <w:highlight w:val="none"/>
                <w:lang w:val="en-US" w:eastAsia="zh-CN"/>
              </w:rPr>
            </w:pPr>
            <w:r>
              <w:rPr>
                <w:rFonts w:hint="eastAsia" w:ascii="宋体" w:hAnsi="宋体" w:eastAsia="宋体" w:cs="宋体"/>
                <w:color w:val="auto"/>
                <w:spacing w:val="-5"/>
                <w:szCs w:val="21"/>
                <w:highlight w:val="none"/>
              </w:rPr>
              <w:t>注：</w:t>
            </w:r>
            <w:r>
              <w:rPr>
                <w:rFonts w:hint="eastAsia" w:ascii="宋体" w:hAnsi="宋体" w:eastAsia="宋体" w:cs="宋体"/>
                <w:i w:val="0"/>
                <w:iCs w:val="0"/>
                <w:caps w:val="0"/>
                <w:color w:val="auto"/>
                <w:spacing w:val="0"/>
                <w:sz w:val="21"/>
                <w:szCs w:val="21"/>
                <w:highlight w:val="none"/>
                <w:shd w:val="clear"/>
              </w:rPr>
              <w:t>拟投入本项目所有人员只能担任一个岗位，</w:t>
            </w:r>
            <w:r>
              <w:rPr>
                <w:rFonts w:hint="eastAsia" w:ascii="宋体" w:hAnsi="宋体" w:eastAsia="宋体" w:cs="宋体"/>
                <w:i w:val="0"/>
                <w:iCs w:val="0"/>
                <w:caps w:val="0"/>
                <w:color w:val="333333"/>
                <w:spacing w:val="0"/>
                <w:sz w:val="21"/>
                <w:szCs w:val="21"/>
                <w:highlight w:val="none"/>
                <w:shd w:val="clear" w:fill="FFFFFF"/>
              </w:rPr>
              <w:t>不得</w:t>
            </w:r>
            <w:r>
              <w:rPr>
                <w:rFonts w:hint="eastAsia" w:ascii="宋体" w:hAnsi="宋体" w:eastAsia="宋体" w:cs="宋体"/>
                <w:i w:val="0"/>
                <w:iCs w:val="0"/>
                <w:caps w:val="0"/>
                <w:color w:val="auto"/>
                <w:spacing w:val="0"/>
                <w:sz w:val="21"/>
                <w:szCs w:val="21"/>
                <w:highlight w:val="none"/>
                <w:shd w:val="clear"/>
              </w:rPr>
              <w:t>兼任</w:t>
            </w:r>
            <w:r>
              <w:rPr>
                <w:rFonts w:hint="eastAsia" w:ascii="宋体" w:hAnsi="宋体" w:eastAsia="宋体" w:cs="宋体"/>
                <w:i w:val="0"/>
                <w:iCs w:val="0"/>
                <w:caps w:val="0"/>
                <w:color w:val="auto"/>
                <w:spacing w:val="0"/>
                <w:sz w:val="21"/>
                <w:szCs w:val="21"/>
                <w:highlight w:val="none"/>
                <w:shd w:val="clear"/>
                <w:lang w:eastAsia="zh-CN"/>
              </w:rPr>
              <w:t>，</w:t>
            </w:r>
            <w:r>
              <w:rPr>
                <w:rFonts w:hint="eastAsia" w:ascii="宋体" w:hAnsi="宋体" w:eastAsia="宋体" w:cs="宋体"/>
                <w:b w:val="0"/>
                <w:bCs w:val="0"/>
                <w:color w:val="auto"/>
                <w:sz w:val="21"/>
                <w:szCs w:val="21"/>
                <w:highlight w:val="none"/>
                <w:lang w:val="en-US" w:eastAsia="zh-CN"/>
              </w:rPr>
              <w:t>需</w:t>
            </w: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i w:val="0"/>
                <w:iCs w:val="0"/>
                <w:caps w:val="0"/>
                <w:color w:val="444444"/>
                <w:spacing w:val="0"/>
                <w:sz w:val="21"/>
                <w:szCs w:val="21"/>
                <w:highlight w:val="none"/>
                <w:shd w:val="clear" w:fill="FFFFFF"/>
              </w:rPr>
              <w:t>毕业证</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sz w:val="21"/>
                <w:szCs w:val="21"/>
                <w:highlight w:val="none"/>
                <w:lang w:val="en-US" w:eastAsia="zh-CN"/>
              </w:rPr>
              <w:t>工作</w:t>
            </w:r>
            <w:r>
              <w:rPr>
                <w:rFonts w:hint="eastAsia" w:ascii="宋体" w:hAnsi="宋体" w:eastAsia="宋体" w:cs="宋体"/>
                <w:sz w:val="21"/>
                <w:szCs w:val="21"/>
                <w:highlight w:val="none"/>
              </w:rPr>
              <w:t>经验以毕业证的发证时间开始计算</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sz w:val="21"/>
                <w:szCs w:val="21"/>
                <w:highlight w:val="none"/>
              </w:rPr>
              <w:t>提供不齐或不提供不得分</w:t>
            </w:r>
            <w:r>
              <w:rPr>
                <w:rFonts w:hint="eastAsia" w:ascii="宋体" w:hAnsi="宋体" w:eastAsia="宋体" w:cs="宋体"/>
                <w:b w:val="0"/>
                <w:bCs w:val="0"/>
                <w:color w:val="auto"/>
                <w:sz w:val="21"/>
                <w:szCs w:val="21"/>
                <w:highlight w:val="none"/>
              </w:rPr>
              <w:t>。</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5"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p>
            <w:pPr>
              <w:snapToGrid w:val="0"/>
              <w:ind w:left="-2" w:leftChars="-1"/>
              <w:jc w:val="center"/>
              <w:rPr>
                <w:rFonts w:hint="eastAsia" w:ascii="宋体" w:hAnsi="宋体" w:eastAsia="宋体" w:cs="宋体"/>
                <w:color w:val="auto"/>
                <w:szCs w:val="21"/>
                <w:highlight w:val="none"/>
                <w:lang w:eastAsia="zh-CN"/>
              </w:rPr>
            </w:pPr>
          </w:p>
          <w:p>
            <w:pPr>
              <w:snapToGrid w:val="0"/>
              <w:ind w:left="0" w:left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50分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jc w:val="center"/>
              <w:rPr>
                <w:rFonts w:hint="eastAsia" w:ascii="宋体" w:hAnsi="宋体" w:eastAsia="宋体" w:cs="宋体"/>
                <w:b w:val="0"/>
                <w:bCs w:val="0"/>
                <w:color w:val="auto"/>
                <w:sz w:val="21"/>
                <w:szCs w:val="21"/>
                <w:highlight w:val="none"/>
              </w:rPr>
            </w:pPr>
            <w:r>
              <w:rPr>
                <w:rFonts w:hint="eastAsia" w:ascii="宋体" w:hAnsi="宋体" w:eastAsia="宋体" w:cs="宋体"/>
                <w:color w:val="0C0C0C"/>
                <w:sz w:val="21"/>
                <w:szCs w:val="21"/>
                <w:highlight w:val="none"/>
                <w:lang w:bidi="ar"/>
              </w:rPr>
              <w:t>工程概况及总体施工部署</w:t>
            </w:r>
          </w:p>
        </w:tc>
        <w:tc>
          <w:tcPr>
            <w:tcW w:w="735" w:type="dxa"/>
            <w:shd w:val="clear" w:color="auto" w:fill="auto"/>
            <w:vAlign w:val="center"/>
          </w:tcPr>
          <w:p>
            <w:pPr>
              <w:snapToGrid/>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lang w:val="en-US" w:eastAsia="zh-CN"/>
              </w:rPr>
              <w:t>10</w:t>
            </w:r>
          </w:p>
        </w:tc>
        <w:tc>
          <w:tcPr>
            <w:tcW w:w="8730" w:type="dxa"/>
            <w:shd w:val="clear" w:color="auto" w:fill="auto"/>
            <w:vAlign w:val="center"/>
          </w:tcPr>
          <w:p>
            <w:pPr>
              <w:pStyle w:val="69"/>
              <w:spacing w:line="240" w:lineRule="auto"/>
              <w:rPr>
                <w:rFonts w:ascii="宋体" w:hAnsi="宋体" w:eastAsia="宋体"/>
                <w:sz w:val="21"/>
                <w:szCs w:val="21"/>
                <w:highlight w:val="none"/>
              </w:rPr>
            </w:pPr>
            <w:r>
              <w:rPr>
                <w:rFonts w:hint="eastAsia" w:ascii="宋体" w:hAnsi="宋体" w:eastAsia="宋体"/>
                <w:sz w:val="21"/>
                <w:szCs w:val="21"/>
                <w:highlight w:val="none"/>
                <w:lang w:val="en-US" w:eastAsia="zh-CN"/>
              </w:rPr>
              <w:t>1.</w:t>
            </w:r>
            <w:r>
              <w:rPr>
                <w:rFonts w:hint="eastAsia" w:ascii="宋体" w:hAnsi="宋体" w:eastAsia="宋体"/>
                <w:sz w:val="21"/>
                <w:szCs w:val="21"/>
                <w:highlight w:val="none"/>
              </w:rPr>
              <w:t>工程概况描述十分详细，总体施工部署科学、可靠、完善，完全可行的，得</w:t>
            </w:r>
            <w:r>
              <w:rPr>
                <w:rFonts w:hint="eastAsia" w:ascii="宋体" w:hAnsi="宋体" w:eastAsia="宋体"/>
                <w:sz w:val="21"/>
                <w:szCs w:val="21"/>
                <w:highlight w:val="none"/>
                <w:lang w:val="en-US" w:eastAsia="zh-CN"/>
              </w:rPr>
              <w:t>10-8</w:t>
            </w:r>
            <w:r>
              <w:rPr>
                <w:rFonts w:hint="eastAsia" w:ascii="宋体" w:hAnsi="宋体" w:eastAsia="宋体"/>
                <w:sz w:val="21"/>
                <w:szCs w:val="21"/>
                <w:highlight w:val="none"/>
              </w:rPr>
              <w:t>分；</w:t>
            </w:r>
          </w:p>
          <w:p>
            <w:pPr>
              <w:pStyle w:val="69"/>
              <w:spacing w:line="240" w:lineRule="auto"/>
              <w:rPr>
                <w:rFonts w:ascii="宋体" w:hAnsi="宋体" w:eastAsia="宋体"/>
                <w:sz w:val="21"/>
                <w:szCs w:val="21"/>
                <w:highlight w:val="none"/>
              </w:rPr>
            </w:pPr>
            <w:r>
              <w:rPr>
                <w:rFonts w:hint="eastAsia" w:ascii="宋体" w:hAnsi="宋体" w:eastAsia="宋体"/>
                <w:sz w:val="21"/>
                <w:szCs w:val="21"/>
                <w:highlight w:val="none"/>
                <w:lang w:val="en-US" w:eastAsia="zh-CN"/>
              </w:rPr>
              <w:t>2.</w:t>
            </w:r>
            <w:r>
              <w:rPr>
                <w:rFonts w:hint="eastAsia" w:ascii="宋体" w:hAnsi="宋体" w:eastAsia="宋体"/>
                <w:sz w:val="21"/>
                <w:szCs w:val="21"/>
                <w:highlight w:val="none"/>
              </w:rPr>
              <w:t>工程概况描述较详细，总体施工部署较科学、较完善，较可行的，得</w:t>
            </w:r>
            <w:r>
              <w:rPr>
                <w:rFonts w:hint="eastAsia" w:ascii="宋体" w:hAnsi="宋体" w:eastAsia="宋体"/>
                <w:sz w:val="21"/>
                <w:szCs w:val="21"/>
                <w:highlight w:val="none"/>
                <w:lang w:val="en-US" w:eastAsia="zh-CN"/>
              </w:rPr>
              <w:t>7-5</w:t>
            </w:r>
            <w:r>
              <w:rPr>
                <w:rFonts w:hint="eastAsia" w:ascii="宋体" w:hAnsi="宋体" w:eastAsia="宋体"/>
                <w:sz w:val="21"/>
                <w:szCs w:val="21"/>
                <w:highlight w:val="none"/>
              </w:rPr>
              <w:t>分；</w:t>
            </w:r>
          </w:p>
          <w:p>
            <w:pPr>
              <w:pStyle w:val="69"/>
              <w:spacing w:line="240" w:lineRule="auto"/>
              <w:rPr>
                <w:rFonts w:ascii="宋体" w:hAnsi="宋体" w:eastAsia="宋体"/>
                <w:sz w:val="21"/>
                <w:szCs w:val="21"/>
                <w:highlight w:val="none"/>
              </w:rPr>
            </w:pPr>
            <w:r>
              <w:rPr>
                <w:rFonts w:hint="eastAsia" w:ascii="宋体" w:hAnsi="宋体" w:eastAsia="宋体"/>
                <w:sz w:val="21"/>
                <w:szCs w:val="21"/>
                <w:highlight w:val="none"/>
                <w:lang w:val="en-US" w:eastAsia="zh-CN"/>
              </w:rPr>
              <w:t>3.</w:t>
            </w:r>
            <w:r>
              <w:rPr>
                <w:rFonts w:hint="eastAsia" w:ascii="宋体" w:hAnsi="宋体" w:eastAsia="宋体"/>
                <w:sz w:val="21"/>
                <w:szCs w:val="21"/>
                <w:highlight w:val="none"/>
              </w:rPr>
              <w:t>工程概况描述一般详细，总体施工部署基本完善，基本可行的，得</w:t>
            </w:r>
            <w:r>
              <w:rPr>
                <w:rFonts w:hint="eastAsia" w:ascii="宋体" w:hAnsi="宋体" w:eastAsia="宋体"/>
                <w:sz w:val="21"/>
                <w:szCs w:val="21"/>
                <w:highlight w:val="none"/>
                <w:lang w:val="en-US" w:eastAsia="zh-CN"/>
              </w:rPr>
              <w:t>4-3</w:t>
            </w:r>
            <w:r>
              <w:rPr>
                <w:rFonts w:hint="eastAsia" w:ascii="宋体" w:hAnsi="宋体" w:eastAsia="宋体"/>
                <w:sz w:val="21"/>
                <w:szCs w:val="21"/>
                <w:highlight w:val="none"/>
              </w:rPr>
              <w:t>分；</w:t>
            </w:r>
          </w:p>
          <w:p>
            <w:pPr>
              <w:pStyle w:val="69"/>
              <w:spacing w:line="240" w:lineRule="auto"/>
              <w:rPr>
                <w:rFonts w:ascii="宋体" w:hAnsi="宋体" w:eastAsia="宋体"/>
                <w:sz w:val="21"/>
                <w:szCs w:val="21"/>
                <w:highlight w:val="none"/>
              </w:rPr>
            </w:pPr>
            <w:r>
              <w:rPr>
                <w:rFonts w:hint="eastAsia" w:ascii="宋体" w:hAnsi="宋体" w:eastAsia="宋体"/>
                <w:sz w:val="21"/>
                <w:szCs w:val="21"/>
                <w:highlight w:val="none"/>
                <w:lang w:val="en-US" w:eastAsia="zh-CN"/>
              </w:rPr>
              <w:t>4.</w:t>
            </w:r>
            <w:r>
              <w:rPr>
                <w:rFonts w:hint="eastAsia" w:ascii="宋体" w:hAnsi="宋体" w:eastAsia="宋体"/>
                <w:sz w:val="21"/>
                <w:szCs w:val="21"/>
                <w:highlight w:val="none"/>
              </w:rPr>
              <w:t>工程概况描述不详细，总体施工部署不完善，不可行的，得</w:t>
            </w:r>
            <w:r>
              <w:rPr>
                <w:rFonts w:hint="eastAsia" w:ascii="宋体" w:hAnsi="宋体" w:eastAsia="宋体"/>
                <w:sz w:val="21"/>
                <w:szCs w:val="21"/>
                <w:highlight w:val="none"/>
                <w:lang w:val="en-US" w:eastAsia="zh-CN"/>
              </w:rPr>
              <w:t>2-0</w:t>
            </w:r>
            <w:r>
              <w:rPr>
                <w:rFonts w:hint="eastAsia" w:ascii="宋体" w:hAnsi="宋体" w:eastAsia="宋体"/>
                <w:sz w:val="21"/>
                <w:szCs w:val="21"/>
                <w:highlight w:val="none"/>
              </w:rPr>
              <w:t>分；</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sz w:val="21"/>
                <w:szCs w:val="21"/>
                <w:highlight w:val="none"/>
              </w:rPr>
              <w:t>不</w:t>
            </w:r>
            <w:r>
              <w:rPr>
                <w:rFonts w:hint="eastAsia" w:ascii="宋体" w:hAnsi="宋体" w:eastAsia="宋体"/>
                <w:sz w:val="21"/>
                <w:szCs w:val="21"/>
                <w:highlight w:val="none"/>
                <w:lang w:eastAsia="zh-CN"/>
              </w:rPr>
              <w:t>提供</w:t>
            </w:r>
            <w:r>
              <w:rPr>
                <w:rFonts w:hint="eastAsia" w:ascii="宋体" w:hAnsi="宋体" w:eastAsia="宋体"/>
                <w:sz w:val="21"/>
                <w:szCs w:val="21"/>
                <w:highlight w:val="none"/>
              </w:rPr>
              <w:t>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8"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施工组织方案与技术措施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bCs/>
                <w:color w:val="auto"/>
                <w:sz w:val="21"/>
                <w:szCs w:val="21"/>
                <w:highlight w:val="none"/>
                <w:lang w:val="en-US" w:eastAsia="zh-CN"/>
              </w:rPr>
              <w:t>1.施工组织方案与技术措施</w:t>
            </w:r>
            <w:r>
              <w:rPr>
                <w:rFonts w:hint="eastAsia" w:ascii="宋体" w:hAnsi="宋体" w:eastAsia="宋体" w:cs="宋体"/>
                <w:color w:val="0C0C0C"/>
                <w:sz w:val="21"/>
                <w:szCs w:val="21"/>
                <w:highlight w:val="none"/>
                <w:lang w:bidi="ar"/>
              </w:rPr>
              <w:t>科学、可靠、完善，完全可行的，得</w:t>
            </w:r>
            <w:r>
              <w:rPr>
                <w:rFonts w:hint="eastAsia" w:ascii="宋体" w:hAnsi="宋体" w:eastAsia="宋体" w:cs="宋体"/>
                <w:color w:val="0C0C0C"/>
                <w:sz w:val="21"/>
                <w:szCs w:val="21"/>
                <w:highlight w:val="none"/>
                <w:lang w:val="en-US" w:eastAsia="zh-CN" w:bidi="ar"/>
              </w:rPr>
              <w:t>10-8</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bCs/>
                <w:color w:val="auto"/>
                <w:sz w:val="21"/>
                <w:szCs w:val="21"/>
                <w:highlight w:val="none"/>
                <w:lang w:val="en-US" w:eastAsia="zh-CN"/>
              </w:rPr>
              <w:t>2.施工组织方案与技术措施</w:t>
            </w:r>
            <w:r>
              <w:rPr>
                <w:rFonts w:hint="eastAsia" w:ascii="宋体" w:hAnsi="宋体" w:eastAsia="宋体" w:cs="宋体"/>
                <w:color w:val="0C0C0C"/>
                <w:sz w:val="21"/>
                <w:szCs w:val="21"/>
                <w:highlight w:val="none"/>
                <w:lang w:bidi="ar"/>
              </w:rPr>
              <w:t>较科学、较完善，较可行的，得</w:t>
            </w:r>
            <w:r>
              <w:rPr>
                <w:rFonts w:hint="eastAsia" w:ascii="宋体" w:hAnsi="宋体" w:eastAsia="宋体" w:cs="宋体"/>
                <w:color w:val="0C0C0C"/>
                <w:sz w:val="21"/>
                <w:szCs w:val="21"/>
                <w:highlight w:val="none"/>
                <w:lang w:val="en-US" w:eastAsia="zh-CN" w:bidi="ar"/>
              </w:rPr>
              <w:t>7-</w:t>
            </w:r>
            <w:r>
              <w:rPr>
                <w:rFonts w:hint="eastAsia" w:ascii="宋体" w:hAnsi="宋体" w:eastAsia="宋体" w:cs="宋体"/>
                <w:color w:val="0C0C0C"/>
                <w:sz w:val="21"/>
                <w:szCs w:val="21"/>
                <w:highlight w:val="none"/>
                <w:lang w:bidi="ar"/>
              </w:rPr>
              <w:t>5分；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bCs/>
                <w:color w:val="auto"/>
                <w:sz w:val="21"/>
                <w:szCs w:val="21"/>
                <w:highlight w:val="none"/>
                <w:lang w:val="en-US" w:eastAsia="zh-CN"/>
              </w:rPr>
              <w:t>3.施工组织方案与技术措施</w:t>
            </w:r>
            <w:r>
              <w:rPr>
                <w:rFonts w:hint="eastAsia" w:ascii="宋体" w:hAnsi="宋体" w:eastAsia="宋体" w:cs="宋体"/>
                <w:color w:val="0C0C0C"/>
                <w:sz w:val="21"/>
                <w:szCs w:val="21"/>
                <w:highlight w:val="none"/>
                <w:lang w:bidi="ar"/>
              </w:rPr>
              <w:t>基本完善，</w:t>
            </w:r>
            <w:r>
              <w:rPr>
                <w:rFonts w:hint="eastAsia" w:ascii="宋体" w:hAnsi="宋体" w:eastAsia="宋体"/>
                <w:sz w:val="21"/>
                <w:szCs w:val="21"/>
                <w:highlight w:val="none"/>
              </w:rPr>
              <w:t>基本</w:t>
            </w:r>
            <w:r>
              <w:rPr>
                <w:rFonts w:hint="eastAsia" w:ascii="宋体" w:hAnsi="宋体" w:eastAsia="宋体" w:cs="宋体"/>
                <w:color w:val="0C0C0C"/>
                <w:sz w:val="21"/>
                <w:szCs w:val="21"/>
                <w:highlight w:val="none"/>
                <w:lang w:bidi="ar"/>
              </w:rPr>
              <w:t>可行的，得</w:t>
            </w:r>
            <w:r>
              <w:rPr>
                <w:rFonts w:hint="eastAsia" w:ascii="宋体" w:hAnsi="宋体" w:eastAsia="宋体" w:cs="宋体"/>
                <w:color w:val="0C0C0C"/>
                <w:sz w:val="21"/>
                <w:szCs w:val="21"/>
                <w:highlight w:val="none"/>
                <w:lang w:val="en-US" w:eastAsia="zh-CN" w:bidi="ar"/>
              </w:rPr>
              <w:t>4-</w:t>
            </w:r>
            <w:r>
              <w:rPr>
                <w:rFonts w:hint="eastAsia" w:ascii="宋体" w:hAnsi="宋体" w:eastAsia="宋体" w:cs="宋体"/>
                <w:color w:val="0C0C0C"/>
                <w:sz w:val="21"/>
                <w:szCs w:val="21"/>
                <w:highlight w:val="none"/>
                <w:lang w:bidi="ar"/>
              </w:rPr>
              <w:t>3分；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bCs/>
                <w:color w:val="auto"/>
                <w:sz w:val="21"/>
                <w:szCs w:val="21"/>
                <w:highlight w:val="none"/>
                <w:lang w:val="en-US" w:eastAsia="zh-CN"/>
              </w:rPr>
              <w:t>4.施工组织方案与技术措施</w:t>
            </w:r>
            <w:r>
              <w:rPr>
                <w:rFonts w:hint="eastAsia" w:ascii="宋体" w:hAnsi="宋体" w:eastAsia="宋体" w:cs="宋体"/>
                <w:color w:val="0C0C0C"/>
                <w:sz w:val="21"/>
                <w:szCs w:val="21"/>
                <w:highlight w:val="none"/>
                <w:lang w:bidi="ar"/>
              </w:rPr>
              <w:t>不完善，</w:t>
            </w:r>
            <w:r>
              <w:rPr>
                <w:rFonts w:hint="eastAsia" w:ascii="宋体" w:hAnsi="宋体" w:eastAsia="宋体"/>
                <w:sz w:val="21"/>
                <w:szCs w:val="21"/>
                <w:highlight w:val="none"/>
              </w:rPr>
              <w:t>不可行的，</w:t>
            </w:r>
            <w:r>
              <w:rPr>
                <w:rFonts w:hint="eastAsia" w:ascii="宋体" w:hAnsi="宋体" w:eastAsia="宋体" w:cs="宋体"/>
                <w:color w:val="0C0C0C"/>
                <w:sz w:val="21"/>
                <w:szCs w:val="21"/>
                <w:highlight w:val="none"/>
                <w:lang w:bidi="ar"/>
              </w:rPr>
              <w:t>得</w:t>
            </w:r>
            <w:r>
              <w:rPr>
                <w:rFonts w:hint="eastAsia" w:ascii="宋体" w:hAnsi="宋体" w:eastAsia="宋体" w:cs="宋体"/>
                <w:color w:val="0C0C0C"/>
                <w:sz w:val="21"/>
                <w:szCs w:val="21"/>
                <w:highlight w:val="none"/>
                <w:lang w:val="en-US" w:eastAsia="zh-CN" w:bidi="ar"/>
              </w:rPr>
              <w:t>2-0</w:t>
            </w:r>
            <w:r>
              <w:rPr>
                <w:rFonts w:hint="eastAsia" w:ascii="宋体" w:hAnsi="宋体" w:eastAsia="宋体" w:cs="宋体"/>
                <w:color w:val="0C0C0C"/>
                <w:sz w:val="21"/>
                <w:szCs w:val="21"/>
                <w:highlight w:val="none"/>
                <w:lang w:bidi="ar"/>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sz w:val="21"/>
                <w:szCs w:val="21"/>
                <w:highlight w:val="none"/>
              </w:rPr>
              <w:t>不</w:t>
            </w:r>
            <w:r>
              <w:rPr>
                <w:rFonts w:hint="eastAsia" w:ascii="宋体" w:hAnsi="宋体" w:eastAsia="宋体"/>
                <w:sz w:val="21"/>
                <w:szCs w:val="21"/>
                <w:highlight w:val="none"/>
                <w:lang w:eastAsia="zh-CN"/>
              </w:rPr>
              <w:t>提供</w:t>
            </w:r>
            <w:r>
              <w:rPr>
                <w:rFonts w:hint="eastAsia" w:ascii="宋体" w:hAnsi="宋体" w:eastAsia="宋体"/>
                <w:sz w:val="21"/>
                <w:szCs w:val="21"/>
                <w:highlight w:val="none"/>
              </w:rPr>
              <w:t>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3"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sz w:val="21"/>
                <w:szCs w:val="21"/>
                <w:highlight w:val="none"/>
              </w:rPr>
            </w:pPr>
            <w:r>
              <w:rPr>
                <w:rFonts w:hint="eastAsia" w:ascii="宋体" w:hAnsi="宋体" w:eastAsia="宋体" w:cs="宋体"/>
                <w:color w:val="0C0C0C"/>
                <w:sz w:val="21"/>
                <w:szCs w:val="21"/>
                <w:highlight w:val="none"/>
                <w:lang w:bidi="ar"/>
              </w:rPr>
              <w:t>进度计划安排及工期保证措施、劳动力、施工设备等资源配备计划</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1.</w:t>
            </w:r>
            <w:r>
              <w:rPr>
                <w:rFonts w:hint="eastAsia" w:ascii="宋体" w:hAnsi="宋体" w:eastAsia="宋体" w:cs="宋体"/>
                <w:color w:val="0C0C0C"/>
                <w:sz w:val="21"/>
                <w:szCs w:val="21"/>
                <w:highlight w:val="none"/>
                <w:lang w:bidi="ar"/>
              </w:rPr>
              <w:t>进度计划安排及工期保证措施、劳动力、施工设备等资源配备计划科学、可靠、完善，完全可行的，得</w:t>
            </w:r>
            <w:r>
              <w:rPr>
                <w:rFonts w:hint="eastAsia" w:ascii="宋体" w:hAnsi="宋体" w:eastAsia="宋体" w:cs="宋体"/>
                <w:color w:val="0C0C0C"/>
                <w:sz w:val="21"/>
                <w:szCs w:val="21"/>
                <w:highlight w:val="none"/>
                <w:lang w:val="en-US" w:eastAsia="zh-CN" w:bidi="ar"/>
              </w:rPr>
              <w:t>10-8</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2.</w:t>
            </w:r>
            <w:r>
              <w:rPr>
                <w:rFonts w:hint="eastAsia" w:ascii="宋体" w:hAnsi="宋体" w:eastAsia="宋体" w:cs="宋体"/>
                <w:color w:val="0C0C0C"/>
                <w:sz w:val="21"/>
                <w:szCs w:val="21"/>
                <w:highlight w:val="none"/>
                <w:lang w:bidi="ar"/>
              </w:rPr>
              <w:t>进度计划安排及工期保证措施、劳动力、施工设备等资源配备计划较科学、较完善，较可行的，得</w:t>
            </w:r>
            <w:r>
              <w:rPr>
                <w:rFonts w:hint="eastAsia" w:ascii="宋体" w:hAnsi="宋体" w:eastAsia="宋体" w:cs="宋体"/>
                <w:color w:val="0C0C0C"/>
                <w:sz w:val="21"/>
                <w:szCs w:val="21"/>
                <w:highlight w:val="none"/>
                <w:lang w:val="en-US" w:eastAsia="zh-CN" w:bidi="ar"/>
              </w:rPr>
              <w:t>7-5</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3.</w:t>
            </w:r>
            <w:r>
              <w:rPr>
                <w:rFonts w:hint="eastAsia" w:ascii="宋体" w:hAnsi="宋体" w:eastAsia="宋体" w:cs="宋体"/>
                <w:color w:val="0C0C0C"/>
                <w:sz w:val="21"/>
                <w:szCs w:val="21"/>
                <w:highlight w:val="none"/>
                <w:lang w:bidi="ar"/>
              </w:rPr>
              <w:t>进度计划安排及工期保证措施、劳动力、施工设备等资源配备计划基本完善，</w:t>
            </w:r>
            <w:r>
              <w:rPr>
                <w:rFonts w:hint="eastAsia" w:ascii="宋体" w:hAnsi="宋体" w:eastAsia="宋体"/>
                <w:sz w:val="21"/>
                <w:szCs w:val="21"/>
                <w:highlight w:val="none"/>
              </w:rPr>
              <w:t>基本</w:t>
            </w:r>
            <w:r>
              <w:rPr>
                <w:rFonts w:hint="eastAsia" w:ascii="宋体" w:hAnsi="宋体" w:eastAsia="宋体" w:cs="宋体"/>
                <w:color w:val="0C0C0C"/>
                <w:sz w:val="21"/>
                <w:szCs w:val="21"/>
                <w:highlight w:val="none"/>
                <w:lang w:bidi="ar"/>
              </w:rPr>
              <w:t>可行的，得</w:t>
            </w:r>
            <w:r>
              <w:rPr>
                <w:rFonts w:hint="eastAsia" w:ascii="宋体" w:hAnsi="宋体" w:eastAsia="宋体" w:cs="宋体"/>
                <w:color w:val="0C0C0C"/>
                <w:sz w:val="21"/>
                <w:szCs w:val="21"/>
                <w:highlight w:val="none"/>
                <w:lang w:val="en-US" w:eastAsia="zh-CN" w:bidi="ar"/>
              </w:rPr>
              <w:t>4-3</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4.</w:t>
            </w:r>
            <w:r>
              <w:rPr>
                <w:rFonts w:hint="eastAsia" w:ascii="宋体" w:hAnsi="宋体" w:eastAsia="宋体" w:cs="宋体"/>
                <w:color w:val="0C0C0C"/>
                <w:sz w:val="21"/>
                <w:szCs w:val="21"/>
                <w:highlight w:val="none"/>
                <w:lang w:bidi="ar"/>
              </w:rPr>
              <w:t>进度计划安排及工期保证措施、劳动力、施工设备等资源配备计划不完善，</w:t>
            </w:r>
            <w:r>
              <w:rPr>
                <w:rFonts w:hint="eastAsia" w:ascii="宋体" w:hAnsi="宋体" w:eastAsia="宋体"/>
                <w:sz w:val="21"/>
                <w:szCs w:val="21"/>
                <w:highlight w:val="none"/>
              </w:rPr>
              <w:t>不可行的，</w:t>
            </w:r>
            <w:r>
              <w:rPr>
                <w:rFonts w:hint="eastAsia" w:ascii="宋体" w:hAnsi="宋体" w:eastAsia="宋体" w:cs="宋体"/>
                <w:color w:val="0C0C0C"/>
                <w:sz w:val="21"/>
                <w:szCs w:val="21"/>
                <w:highlight w:val="none"/>
                <w:lang w:bidi="ar"/>
              </w:rPr>
              <w:t>得</w:t>
            </w:r>
            <w:r>
              <w:rPr>
                <w:rFonts w:hint="eastAsia" w:ascii="宋体" w:hAnsi="宋体" w:eastAsia="宋体" w:cs="宋体"/>
                <w:color w:val="0C0C0C"/>
                <w:sz w:val="21"/>
                <w:szCs w:val="21"/>
                <w:highlight w:val="none"/>
                <w:lang w:val="en-US" w:eastAsia="zh-CN" w:bidi="ar"/>
              </w:rPr>
              <w:t>2-0</w:t>
            </w:r>
            <w:r>
              <w:rPr>
                <w:rFonts w:hint="eastAsia" w:ascii="宋体" w:hAnsi="宋体" w:eastAsia="宋体" w:cs="宋体"/>
                <w:color w:val="0C0C0C"/>
                <w:sz w:val="21"/>
                <w:szCs w:val="21"/>
                <w:highlight w:val="none"/>
                <w:lang w:bidi="ar"/>
              </w:rPr>
              <w:t>分；</w:t>
            </w:r>
          </w:p>
          <w:p>
            <w:pPr>
              <w:snapToGrid w:val="0"/>
              <w:ind w:left="-2" w:leftChars="-1"/>
              <w:jc w:val="left"/>
              <w:rPr>
                <w:rFonts w:hint="eastAsia" w:ascii="宋体" w:hAnsi="宋体" w:eastAsia="宋体" w:cs="宋体"/>
                <w:sz w:val="21"/>
                <w:szCs w:val="21"/>
                <w:highlight w:val="none"/>
                <w:lang w:val="en-US" w:eastAsia="zh-CN"/>
              </w:rPr>
            </w:pPr>
            <w:r>
              <w:rPr>
                <w:rFonts w:hint="eastAsia" w:ascii="宋体" w:hAnsi="宋体" w:eastAsia="宋体"/>
                <w:sz w:val="21"/>
                <w:szCs w:val="21"/>
                <w:highlight w:val="none"/>
              </w:rPr>
              <w:t>不</w:t>
            </w:r>
            <w:r>
              <w:rPr>
                <w:rFonts w:hint="eastAsia" w:ascii="宋体" w:hAnsi="宋体" w:eastAsia="宋体"/>
                <w:sz w:val="21"/>
                <w:szCs w:val="21"/>
                <w:highlight w:val="none"/>
                <w:lang w:eastAsia="zh-CN"/>
              </w:rPr>
              <w:t>提供</w:t>
            </w:r>
            <w:r>
              <w:rPr>
                <w:rFonts w:hint="eastAsia" w:ascii="宋体" w:hAnsi="宋体" w:eastAsia="宋体"/>
                <w:sz w:val="21"/>
                <w:szCs w:val="21"/>
                <w:highlight w:val="none"/>
              </w:rPr>
              <w:t>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8"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sz w:val="21"/>
                <w:szCs w:val="21"/>
                <w:highlight w:val="none"/>
              </w:rPr>
            </w:pPr>
            <w:r>
              <w:rPr>
                <w:rFonts w:hint="eastAsia" w:ascii="宋体" w:hAnsi="宋体" w:eastAsia="宋体" w:cs="宋体"/>
                <w:color w:val="0C0C0C"/>
                <w:sz w:val="21"/>
                <w:szCs w:val="21"/>
                <w:highlight w:val="none"/>
                <w:lang w:bidi="ar"/>
              </w:rPr>
              <w:t>质量保证措施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1.</w:t>
            </w:r>
            <w:r>
              <w:rPr>
                <w:rFonts w:hint="eastAsia" w:ascii="宋体" w:hAnsi="宋体" w:eastAsia="宋体" w:cs="宋体"/>
                <w:color w:val="0C0C0C"/>
                <w:sz w:val="21"/>
                <w:szCs w:val="21"/>
                <w:highlight w:val="none"/>
                <w:lang w:bidi="ar"/>
              </w:rPr>
              <w:t>质量保证措施科学、可靠、完善，完全可行的，得</w:t>
            </w:r>
            <w:r>
              <w:rPr>
                <w:rFonts w:hint="eastAsia" w:ascii="宋体" w:hAnsi="宋体" w:eastAsia="宋体" w:cs="宋体"/>
                <w:color w:val="0C0C0C"/>
                <w:sz w:val="21"/>
                <w:szCs w:val="21"/>
                <w:highlight w:val="none"/>
                <w:lang w:val="en-US" w:eastAsia="zh-CN" w:bidi="ar"/>
              </w:rPr>
              <w:t>10-8</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2.</w:t>
            </w:r>
            <w:r>
              <w:rPr>
                <w:rFonts w:hint="eastAsia" w:ascii="宋体" w:hAnsi="宋体" w:eastAsia="宋体" w:cs="宋体"/>
                <w:color w:val="0C0C0C"/>
                <w:sz w:val="21"/>
                <w:szCs w:val="21"/>
                <w:highlight w:val="none"/>
                <w:lang w:bidi="ar"/>
              </w:rPr>
              <w:t>质量保证措施较科学、较完善，较可行的，得</w:t>
            </w:r>
            <w:r>
              <w:rPr>
                <w:rFonts w:hint="eastAsia" w:ascii="宋体" w:hAnsi="宋体" w:eastAsia="宋体" w:cs="宋体"/>
                <w:color w:val="0C0C0C"/>
                <w:sz w:val="21"/>
                <w:szCs w:val="21"/>
                <w:highlight w:val="none"/>
                <w:lang w:val="en-US" w:eastAsia="zh-CN" w:bidi="ar"/>
              </w:rPr>
              <w:t>7-5</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3.</w:t>
            </w:r>
            <w:r>
              <w:rPr>
                <w:rFonts w:hint="eastAsia" w:ascii="宋体" w:hAnsi="宋体" w:eastAsia="宋体" w:cs="宋体"/>
                <w:color w:val="0C0C0C"/>
                <w:sz w:val="21"/>
                <w:szCs w:val="21"/>
                <w:highlight w:val="none"/>
                <w:lang w:bidi="ar"/>
              </w:rPr>
              <w:t>质量保证措施基本完善，</w:t>
            </w:r>
            <w:r>
              <w:rPr>
                <w:rFonts w:hint="eastAsia" w:ascii="宋体" w:hAnsi="宋体" w:eastAsia="宋体"/>
                <w:sz w:val="21"/>
                <w:szCs w:val="21"/>
                <w:highlight w:val="none"/>
              </w:rPr>
              <w:t>基本</w:t>
            </w:r>
            <w:r>
              <w:rPr>
                <w:rFonts w:hint="eastAsia" w:ascii="宋体" w:hAnsi="宋体" w:eastAsia="宋体" w:cs="宋体"/>
                <w:color w:val="0C0C0C"/>
                <w:sz w:val="21"/>
                <w:szCs w:val="21"/>
                <w:highlight w:val="none"/>
                <w:lang w:bidi="ar"/>
              </w:rPr>
              <w:t>可行的，得</w:t>
            </w:r>
            <w:r>
              <w:rPr>
                <w:rFonts w:hint="eastAsia" w:ascii="宋体" w:hAnsi="宋体" w:eastAsia="宋体" w:cs="宋体"/>
                <w:color w:val="0C0C0C"/>
                <w:sz w:val="21"/>
                <w:szCs w:val="21"/>
                <w:highlight w:val="none"/>
                <w:lang w:val="en-US" w:eastAsia="zh-CN" w:bidi="ar"/>
              </w:rPr>
              <w:t>4-3</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4.</w:t>
            </w:r>
            <w:r>
              <w:rPr>
                <w:rFonts w:hint="eastAsia" w:ascii="宋体" w:hAnsi="宋体" w:eastAsia="宋体" w:cs="宋体"/>
                <w:color w:val="0C0C0C"/>
                <w:sz w:val="21"/>
                <w:szCs w:val="21"/>
                <w:highlight w:val="none"/>
                <w:lang w:bidi="ar"/>
              </w:rPr>
              <w:t>质量保证措施不完善，</w:t>
            </w:r>
            <w:r>
              <w:rPr>
                <w:rFonts w:hint="eastAsia" w:ascii="宋体" w:hAnsi="宋体" w:eastAsia="宋体"/>
                <w:sz w:val="21"/>
                <w:szCs w:val="21"/>
                <w:highlight w:val="none"/>
              </w:rPr>
              <w:t>不可行的，</w:t>
            </w:r>
            <w:r>
              <w:rPr>
                <w:rFonts w:hint="eastAsia" w:ascii="宋体" w:hAnsi="宋体" w:eastAsia="宋体" w:cs="宋体"/>
                <w:color w:val="0C0C0C"/>
                <w:sz w:val="21"/>
                <w:szCs w:val="21"/>
                <w:highlight w:val="none"/>
                <w:lang w:bidi="ar"/>
              </w:rPr>
              <w:t>得</w:t>
            </w:r>
            <w:r>
              <w:rPr>
                <w:rFonts w:hint="eastAsia" w:ascii="宋体" w:hAnsi="宋体" w:eastAsia="宋体" w:cs="宋体"/>
                <w:color w:val="0C0C0C"/>
                <w:sz w:val="21"/>
                <w:szCs w:val="21"/>
                <w:highlight w:val="none"/>
                <w:lang w:val="en-US" w:eastAsia="zh-CN" w:bidi="ar"/>
              </w:rPr>
              <w:t>2-0</w:t>
            </w:r>
            <w:r>
              <w:rPr>
                <w:rFonts w:hint="eastAsia" w:ascii="宋体" w:hAnsi="宋体" w:eastAsia="宋体" w:cs="宋体"/>
                <w:color w:val="0C0C0C"/>
                <w:sz w:val="21"/>
                <w:szCs w:val="21"/>
                <w:highlight w:val="none"/>
                <w:lang w:bidi="ar"/>
              </w:rPr>
              <w:t>分；</w:t>
            </w:r>
          </w:p>
          <w:p>
            <w:pPr>
              <w:snapToGrid w:val="0"/>
              <w:ind w:left="-2" w:leftChars="-1"/>
              <w:jc w:val="left"/>
              <w:rPr>
                <w:rFonts w:hint="eastAsia" w:ascii="宋体" w:hAnsi="宋体" w:eastAsia="宋体" w:cs="宋体"/>
                <w:sz w:val="21"/>
                <w:szCs w:val="21"/>
                <w:highlight w:val="none"/>
                <w:lang w:val="en-US" w:eastAsia="zh-CN"/>
              </w:rPr>
            </w:pPr>
            <w:r>
              <w:rPr>
                <w:rFonts w:hint="eastAsia" w:ascii="宋体" w:hAnsi="宋体" w:eastAsia="宋体"/>
                <w:sz w:val="21"/>
                <w:szCs w:val="21"/>
                <w:highlight w:val="none"/>
              </w:rPr>
              <w:t>不</w:t>
            </w:r>
            <w:r>
              <w:rPr>
                <w:rFonts w:hint="eastAsia" w:ascii="宋体" w:hAnsi="宋体" w:eastAsia="宋体"/>
                <w:sz w:val="21"/>
                <w:szCs w:val="21"/>
                <w:highlight w:val="none"/>
                <w:lang w:eastAsia="zh-CN"/>
              </w:rPr>
              <w:t>提供</w:t>
            </w:r>
            <w:r>
              <w:rPr>
                <w:rFonts w:hint="eastAsia" w:ascii="宋体" w:hAnsi="宋体" w:eastAsia="宋体"/>
                <w:sz w:val="21"/>
                <w:szCs w:val="21"/>
                <w:highlight w:val="none"/>
              </w:rPr>
              <w:t>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6"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0C0C0C"/>
                <w:sz w:val="21"/>
                <w:szCs w:val="21"/>
                <w:highlight w:val="none"/>
                <w:lang w:bidi="ar"/>
              </w:rPr>
              <w:t>安全文明施工措施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1.</w:t>
            </w:r>
            <w:r>
              <w:rPr>
                <w:rFonts w:hint="eastAsia" w:ascii="宋体" w:hAnsi="宋体" w:eastAsia="宋体" w:cs="宋体"/>
                <w:color w:val="0C0C0C"/>
                <w:sz w:val="21"/>
                <w:szCs w:val="21"/>
                <w:highlight w:val="none"/>
                <w:lang w:bidi="ar"/>
              </w:rPr>
              <w:t>安全文明施工措施科学、可靠、完善，完全可行的，得</w:t>
            </w:r>
            <w:r>
              <w:rPr>
                <w:rFonts w:hint="eastAsia" w:ascii="宋体" w:hAnsi="宋体" w:eastAsia="宋体" w:cs="宋体"/>
                <w:color w:val="0C0C0C"/>
                <w:sz w:val="21"/>
                <w:szCs w:val="21"/>
                <w:highlight w:val="none"/>
                <w:lang w:val="en-US" w:eastAsia="zh-CN" w:bidi="ar"/>
              </w:rPr>
              <w:t>10-8</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2.</w:t>
            </w:r>
            <w:r>
              <w:rPr>
                <w:rFonts w:hint="eastAsia" w:ascii="宋体" w:hAnsi="宋体" w:eastAsia="宋体" w:cs="宋体"/>
                <w:color w:val="0C0C0C"/>
                <w:sz w:val="21"/>
                <w:szCs w:val="21"/>
                <w:highlight w:val="none"/>
                <w:lang w:bidi="ar"/>
              </w:rPr>
              <w:t>安全文明施工措施较科学、较完善，较可行的，得</w:t>
            </w:r>
            <w:r>
              <w:rPr>
                <w:rFonts w:hint="eastAsia" w:ascii="宋体" w:hAnsi="宋体" w:eastAsia="宋体" w:cs="宋体"/>
                <w:color w:val="0C0C0C"/>
                <w:sz w:val="21"/>
                <w:szCs w:val="21"/>
                <w:highlight w:val="none"/>
                <w:lang w:val="en-US" w:eastAsia="zh-CN" w:bidi="ar"/>
              </w:rPr>
              <w:t>7-5</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3.</w:t>
            </w:r>
            <w:r>
              <w:rPr>
                <w:rFonts w:hint="eastAsia" w:ascii="宋体" w:hAnsi="宋体" w:eastAsia="宋体" w:cs="宋体"/>
                <w:color w:val="0C0C0C"/>
                <w:sz w:val="21"/>
                <w:szCs w:val="21"/>
                <w:highlight w:val="none"/>
                <w:lang w:bidi="ar"/>
              </w:rPr>
              <w:t>安全文明施工措施基本完善，</w:t>
            </w:r>
            <w:r>
              <w:rPr>
                <w:rFonts w:hint="eastAsia" w:ascii="宋体" w:hAnsi="宋体" w:eastAsia="宋体"/>
                <w:sz w:val="21"/>
                <w:szCs w:val="21"/>
                <w:highlight w:val="none"/>
              </w:rPr>
              <w:t>基本</w:t>
            </w:r>
            <w:r>
              <w:rPr>
                <w:rFonts w:hint="eastAsia" w:ascii="宋体" w:hAnsi="宋体" w:eastAsia="宋体" w:cs="宋体"/>
                <w:color w:val="0C0C0C"/>
                <w:sz w:val="21"/>
                <w:szCs w:val="21"/>
                <w:highlight w:val="none"/>
                <w:lang w:bidi="ar"/>
              </w:rPr>
              <w:t>可行的，得</w:t>
            </w:r>
            <w:r>
              <w:rPr>
                <w:rFonts w:hint="eastAsia" w:ascii="宋体" w:hAnsi="宋体" w:eastAsia="宋体" w:cs="宋体"/>
                <w:color w:val="0C0C0C"/>
                <w:sz w:val="21"/>
                <w:szCs w:val="21"/>
                <w:highlight w:val="none"/>
                <w:lang w:val="en-US" w:eastAsia="zh-CN" w:bidi="ar"/>
              </w:rPr>
              <w:t>4-3</w:t>
            </w:r>
            <w:r>
              <w:rPr>
                <w:rFonts w:hint="eastAsia" w:ascii="宋体" w:hAnsi="宋体" w:eastAsia="宋体" w:cs="宋体"/>
                <w:color w:val="0C0C0C"/>
                <w:sz w:val="21"/>
                <w:szCs w:val="21"/>
                <w:highlight w:val="none"/>
                <w:lang w:bidi="ar"/>
              </w:rPr>
              <w:t>分；</w:t>
            </w:r>
          </w:p>
          <w:p>
            <w:pPr>
              <w:pStyle w:val="69"/>
              <w:spacing w:line="240" w:lineRule="auto"/>
              <w:rPr>
                <w:rFonts w:ascii="宋体" w:hAnsi="宋体" w:eastAsia="宋体" w:cs="宋体"/>
                <w:color w:val="0C0C0C"/>
                <w:sz w:val="21"/>
                <w:szCs w:val="21"/>
                <w:highlight w:val="none"/>
                <w:lang w:bidi="ar"/>
              </w:rPr>
            </w:pPr>
            <w:r>
              <w:rPr>
                <w:rFonts w:hint="eastAsia" w:ascii="宋体" w:hAnsi="宋体" w:eastAsia="宋体" w:cs="宋体"/>
                <w:color w:val="0C0C0C"/>
                <w:sz w:val="21"/>
                <w:szCs w:val="21"/>
                <w:highlight w:val="none"/>
                <w:lang w:val="en-US" w:eastAsia="zh-CN" w:bidi="ar"/>
              </w:rPr>
              <w:t>4.</w:t>
            </w:r>
            <w:r>
              <w:rPr>
                <w:rFonts w:hint="eastAsia" w:ascii="宋体" w:hAnsi="宋体" w:eastAsia="宋体" w:cs="宋体"/>
                <w:color w:val="0C0C0C"/>
                <w:sz w:val="21"/>
                <w:szCs w:val="21"/>
                <w:highlight w:val="none"/>
                <w:lang w:bidi="ar"/>
              </w:rPr>
              <w:t>安全文明施工措施不完善，</w:t>
            </w:r>
            <w:r>
              <w:rPr>
                <w:rFonts w:hint="eastAsia" w:ascii="宋体" w:hAnsi="宋体" w:eastAsia="宋体"/>
                <w:sz w:val="21"/>
                <w:szCs w:val="21"/>
                <w:highlight w:val="none"/>
              </w:rPr>
              <w:t>不可行的，</w:t>
            </w:r>
            <w:r>
              <w:rPr>
                <w:rFonts w:hint="eastAsia" w:ascii="宋体" w:hAnsi="宋体" w:eastAsia="宋体" w:cs="宋体"/>
                <w:color w:val="0C0C0C"/>
                <w:sz w:val="21"/>
                <w:szCs w:val="21"/>
                <w:highlight w:val="none"/>
                <w:lang w:bidi="ar"/>
              </w:rPr>
              <w:t>得</w:t>
            </w:r>
            <w:r>
              <w:rPr>
                <w:rFonts w:hint="eastAsia" w:ascii="宋体" w:hAnsi="宋体" w:eastAsia="宋体" w:cs="宋体"/>
                <w:color w:val="0C0C0C"/>
                <w:sz w:val="21"/>
                <w:szCs w:val="21"/>
                <w:highlight w:val="none"/>
                <w:lang w:val="en-US" w:eastAsia="zh-CN" w:bidi="ar"/>
              </w:rPr>
              <w:t>2-0</w:t>
            </w:r>
            <w:r>
              <w:rPr>
                <w:rFonts w:hint="eastAsia" w:ascii="宋体" w:hAnsi="宋体" w:eastAsia="宋体" w:cs="宋体"/>
                <w:color w:val="0C0C0C"/>
                <w:sz w:val="21"/>
                <w:szCs w:val="21"/>
                <w:highlight w:val="none"/>
                <w:lang w:bidi="ar"/>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sz w:val="21"/>
                <w:szCs w:val="21"/>
                <w:highlight w:val="none"/>
              </w:rPr>
              <w:t>不</w:t>
            </w:r>
            <w:r>
              <w:rPr>
                <w:rFonts w:hint="eastAsia" w:ascii="宋体" w:hAnsi="宋体" w:eastAsia="宋体"/>
                <w:sz w:val="21"/>
                <w:szCs w:val="21"/>
                <w:highlight w:val="none"/>
                <w:lang w:eastAsia="zh-CN"/>
              </w:rPr>
              <w:t>提供</w:t>
            </w:r>
            <w:r>
              <w:rPr>
                <w:rFonts w:hint="eastAsia" w:ascii="宋体" w:hAnsi="宋体" w:eastAsia="宋体"/>
                <w:sz w:val="21"/>
                <w:szCs w:val="21"/>
                <w:highlight w:val="none"/>
              </w:rPr>
              <w:t>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73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Calibri" w:hAnsi="Calibri" w:eastAsia="宋体" w:cs="Times New Roman"/>
          <w:highlight w:val="none"/>
        </w:rPr>
      </w:pPr>
      <w:r>
        <w:rPr>
          <w:rFonts w:hint="eastAsia" w:ascii="仿宋" w:hAnsi="仿宋" w:eastAsia="仿宋" w:cs="宋体"/>
          <w:color w:val="auto"/>
          <w:sz w:val="24"/>
          <w:highlight w:val="none"/>
        </w:rPr>
        <w:t xml:space="preserve"> </w:t>
      </w:r>
      <w:r>
        <w:rPr>
          <w:rFonts w:hint="eastAsia" w:ascii="仿宋" w:hAnsi="仿宋" w:eastAsia="仿宋" w:cs="宋体"/>
          <w:color w:val="auto"/>
          <w:sz w:val="24"/>
          <w:highlight w:val="none"/>
          <w:lang w:val="en-US" w:eastAsia="zh-CN"/>
        </w:rPr>
        <w:t xml:space="preserve">   </w:t>
      </w:r>
      <w:r>
        <w:rPr>
          <w:rFonts w:hint="eastAsia" w:ascii="宋体" w:hAnsi="宋体" w:eastAsia="宋体" w:cs="宋体"/>
          <w:color w:val="auto"/>
          <w:szCs w:val="21"/>
          <w:highlight w:val="none"/>
        </w:rPr>
        <w:t>说明：</w:t>
      </w: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Cs w:val="18"/>
          <w:highlight w:val="none"/>
          <w:lang w:eastAsia="zh-CN"/>
        </w:rPr>
        <w:t>。</w:t>
      </w: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ind w:firstLine="630" w:firstLineChars="300"/>
        <w:rPr>
          <w:rFonts w:ascii="Calibri" w:hAnsi="Calibri" w:eastAsia="宋体" w:cs="Times New Roman"/>
          <w:highlight w:val="none"/>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bookmarkEnd w:id="71"/>
    <w:bookmarkEnd w:id="72"/>
    <w:bookmarkEnd w:id="73"/>
    <w:bookmarkEnd w:id="74"/>
    <w:bookmarkEnd w:id="75"/>
    <w:bookmarkEnd w:id="76"/>
    <w:bookmarkEnd w:id="77"/>
    <w:bookmarkEnd w:id="78"/>
    <w:bookmarkEnd w:id="79"/>
    <w:bookmarkEnd w:id="80"/>
    <w:bookmarkEnd w:id="81"/>
    <w:bookmarkEnd w:id="82"/>
    <w:bookmarkEnd w:id="83"/>
    <w:p>
      <w:pPr>
        <w:rPr>
          <w:rFonts w:hint="eastAsia" w:ascii="宋体" w:hAnsi="宋体" w:cs="宋体"/>
          <w:color w:val="auto"/>
          <w:szCs w:val="21"/>
          <w:highlight w:val="none"/>
        </w:rPr>
      </w:pPr>
    </w:p>
    <w:p>
      <w:pPr>
        <w:rPr>
          <w:rFonts w:hint="eastAsia"/>
          <w:highlight w:val="none"/>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widowControl w:val="0"/>
        <w:jc w:val="both"/>
        <w:rPr>
          <w:rFonts w:hint="default" w:ascii="宋体" w:hAnsi="宋体" w:eastAsia="宋体" w:cs="宋体"/>
          <w:color w:val="auto"/>
          <w:kern w:val="2"/>
          <w:sz w:val="21"/>
          <w:szCs w:val="21"/>
          <w:highlight w:val="none"/>
          <w:lang w:val="en-US" w:eastAsia="zh-CN" w:bidi="ar-SA"/>
        </w:rPr>
      </w:pPr>
    </w:p>
    <w:tbl>
      <w:tblPr>
        <w:tblStyle w:val="18"/>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1700"/>
        <w:gridCol w:w="1409"/>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409"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1、报价等于基准价的，得分=100。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snapToGrid w:val="0"/>
        <w:spacing w:line="360" w:lineRule="auto"/>
        <w:jc w:val="left"/>
        <w:rPr>
          <w:rFonts w:hint="eastAsia" w:ascii="宋体" w:hAnsi="宋体"/>
          <w:color w:val="auto"/>
          <w:sz w:val="21"/>
          <w:szCs w:val="21"/>
          <w:highlight w:val="none"/>
        </w:rPr>
      </w:pPr>
    </w:p>
    <w:p>
      <w:pPr>
        <w:snapToGrid w:val="0"/>
        <w:spacing w:line="20" w:lineRule="atLeast"/>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pStyle w:val="11"/>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4" w:name="_Toc17298"/>
      <w:bookmarkStart w:id="85" w:name="_Toc27349"/>
      <w:bookmarkStart w:id="86" w:name="_Toc10364"/>
      <w:bookmarkStart w:id="87" w:name="_Toc17416"/>
      <w:bookmarkStart w:id="88" w:name="_Toc17435"/>
      <w:bookmarkStart w:id="89" w:name="_Toc4858"/>
      <w:bookmarkStart w:id="90" w:name="_Toc17392"/>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4"/>
      <w:bookmarkEnd w:id="85"/>
      <w:bookmarkEnd w:id="86"/>
      <w:bookmarkEnd w:id="87"/>
      <w:bookmarkEnd w:id="88"/>
      <w:bookmarkEnd w:id="89"/>
      <w:bookmarkEnd w:id="90"/>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湿地</w:t>
      </w:r>
      <w:r>
        <w:rPr>
          <w:rFonts w:hint="eastAsia" w:ascii="宋体" w:hAnsi="宋体" w:eastAsia="宋体"/>
          <w:color w:val="auto"/>
          <w:sz w:val="24"/>
          <w:szCs w:val="24"/>
          <w:highlight w:val="none"/>
          <w:u w:val="single"/>
          <w:lang w:eastAsia="zh-CN"/>
        </w:rPr>
        <w:t>旅游发展有限公司</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十九涌新建垃圾收集站项目</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p>
      <w:pPr>
        <w:rPr>
          <w:rFonts w:hint="default"/>
          <w:color w:val="auto"/>
          <w:highlight w:val="none"/>
        </w:rPr>
      </w:pPr>
    </w:p>
    <w:p>
      <w:pPr>
        <w:pStyle w:val="5"/>
        <w:rPr>
          <w:rFonts w:hint="default"/>
          <w:color w:val="auto"/>
          <w:highlight w:val="none"/>
        </w:rPr>
      </w:pPr>
    </w:p>
    <w:p>
      <w:pPr>
        <w:rPr>
          <w:rFonts w:hint="default"/>
          <w:color w:val="auto"/>
          <w:highlight w:val="none"/>
        </w:rPr>
      </w:pPr>
    </w:p>
    <w:p>
      <w:pPr>
        <w:pStyle w:val="5"/>
        <w:rPr>
          <w:rFonts w:hint="default"/>
          <w:color w:val="auto"/>
          <w:highlight w:val="none"/>
        </w:rPr>
      </w:pPr>
    </w:p>
    <w:p>
      <w:pPr>
        <w:rPr>
          <w:rFonts w:hint="default"/>
          <w:color w:val="auto"/>
          <w:highlight w:val="none"/>
        </w:rPr>
      </w:pPr>
    </w:p>
    <w:p>
      <w:pPr>
        <w:pStyle w:val="11"/>
        <w:rPr>
          <w:rFonts w:hint="default"/>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1" w:name="_Toc9237"/>
      <w:bookmarkStart w:id="92" w:name="_Toc26871"/>
      <w:bookmarkStart w:id="93" w:name="_Toc3465"/>
      <w:bookmarkStart w:id="94" w:name="_Toc24807"/>
      <w:bookmarkStart w:id="95" w:name="_Toc17693"/>
      <w:r>
        <w:rPr>
          <w:rFonts w:hint="eastAsia" w:ascii="宋体" w:hAnsi="宋体" w:cs="宋体" w:eastAsiaTheme="minorEastAsia"/>
          <w:b/>
          <w:color w:val="auto"/>
          <w:kern w:val="0"/>
          <w:sz w:val="28"/>
          <w:szCs w:val="28"/>
          <w:highlight w:val="none"/>
          <w:lang w:val="en-US" w:eastAsia="zh-CN"/>
        </w:rPr>
        <w:t>非联合体投标声明（格式自拟）</w:t>
      </w:r>
      <w:bookmarkEnd w:id="91"/>
      <w:bookmarkEnd w:id="92"/>
      <w:bookmarkEnd w:id="93"/>
      <w:bookmarkEnd w:id="94"/>
      <w:bookmarkEnd w:id="95"/>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汉仪细圆简">
    <w:altName w:val="黑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C80459"/>
    <w:rsid w:val="02E9680F"/>
    <w:rsid w:val="02F7533D"/>
    <w:rsid w:val="030457ED"/>
    <w:rsid w:val="03562994"/>
    <w:rsid w:val="03CB6D70"/>
    <w:rsid w:val="04364A4F"/>
    <w:rsid w:val="04376975"/>
    <w:rsid w:val="04D330E5"/>
    <w:rsid w:val="04E40895"/>
    <w:rsid w:val="05031424"/>
    <w:rsid w:val="050E236F"/>
    <w:rsid w:val="051B7598"/>
    <w:rsid w:val="052E78DA"/>
    <w:rsid w:val="0557469B"/>
    <w:rsid w:val="059A410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DA863B4"/>
    <w:rsid w:val="0E1B10A8"/>
    <w:rsid w:val="0E80564C"/>
    <w:rsid w:val="0EA03B8A"/>
    <w:rsid w:val="0EAC0C18"/>
    <w:rsid w:val="0EB25F9A"/>
    <w:rsid w:val="0EE07B74"/>
    <w:rsid w:val="0F656FB0"/>
    <w:rsid w:val="0F8D0176"/>
    <w:rsid w:val="0F912314"/>
    <w:rsid w:val="0FD73768"/>
    <w:rsid w:val="10A4638E"/>
    <w:rsid w:val="10D83B3D"/>
    <w:rsid w:val="11135DC8"/>
    <w:rsid w:val="11235643"/>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4306F9"/>
    <w:rsid w:val="1C9203A6"/>
    <w:rsid w:val="1E032835"/>
    <w:rsid w:val="1E562810"/>
    <w:rsid w:val="1E7A1CAB"/>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1A656D"/>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1A3A95"/>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205A63"/>
    <w:rsid w:val="594F1692"/>
    <w:rsid w:val="59566C52"/>
    <w:rsid w:val="597674DD"/>
    <w:rsid w:val="59F07874"/>
    <w:rsid w:val="5A416E84"/>
    <w:rsid w:val="5AAF5CCA"/>
    <w:rsid w:val="5B6E68B8"/>
    <w:rsid w:val="5B8D6C19"/>
    <w:rsid w:val="5BAA698D"/>
    <w:rsid w:val="5BCE61FA"/>
    <w:rsid w:val="5C4F2C59"/>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9A1245C"/>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next w:val="1"/>
    <w:link w:val="44"/>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styleId="3">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0">
    <w:name w:val="annotation text"/>
    <w:basedOn w:val="1"/>
    <w:semiHidden/>
    <w:unhideWhenUsed/>
    <w:qFormat/>
    <w:uiPriority w:val="0"/>
    <w:pPr>
      <w:jc w:val="left"/>
    </w:pPr>
  </w:style>
  <w:style w:type="paragraph" w:styleId="11">
    <w:name w:val="Plain Text"/>
    <w:basedOn w:val="1"/>
    <w:next w:val="1"/>
    <w:link w:val="37"/>
    <w:qFormat/>
    <w:uiPriority w:val="0"/>
    <w:rPr>
      <w:rFonts w:hint="eastAsia" w:ascii="宋体" w:hAnsi="Courier New" w:eastAsia="宋体" w:cs="Times New Roman"/>
      <w:szCs w:val="21"/>
    </w:rPr>
  </w:style>
  <w:style w:type="paragraph" w:styleId="12">
    <w:name w:val="Balloon Text"/>
    <w:basedOn w:val="1"/>
    <w:link w:val="35"/>
    <w:qFormat/>
    <w:uiPriority w:val="0"/>
    <w:rPr>
      <w:sz w:val="18"/>
      <w:szCs w:val="18"/>
    </w:rPr>
  </w:style>
  <w:style w:type="paragraph" w:styleId="13">
    <w:name w:val="footer"/>
    <w:basedOn w:val="1"/>
    <w:link w:val="34"/>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7">
    <w:name w:val="Body Text First Indent"/>
    <w:basedOn w:val="2"/>
    <w:link w:val="38"/>
    <w:qFormat/>
    <w:uiPriority w:val="0"/>
    <w:pPr>
      <w:spacing w:beforeAutospacing="1" w:after="120"/>
      <w:ind w:firstLine="420"/>
    </w:pPr>
    <w:rPr>
      <w:rFonts w:ascii="Times New Roman" w:hAnsi="Times New Roman" w:eastAsia="宋体" w:cs="Times New Roman"/>
      <w:szCs w:val="21"/>
    </w:r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4"/>
    <w:qFormat/>
    <w:uiPriority w:val="0"/>
    <w:rPr>
      <w:rFonts w:asciiTheme="minorHAnsi" w:hAnsiTheme="minorHAnsi" w:eastAsiaTheme="minorEastAsia" w:cstheme="minorBidi"/>
      <w:kern w:val="2"/>
      <w:sz w:val="18"/>
      <w:szCs w:val="18"/>
    </w:rPr>
  </w:style>
  <w:style w:type="character" w:customStyle="1" w:styleId="34">
    <w:name w:val="页脚 Char"/>
    <w:basedOn w:val="19"/>
    <w:link w:val="13"/>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2"/>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11"/>
    <w:qFormat/>
    <w:uiPriority w:val="0"/>
    <w:rPr>
      <w:rFonts w:ascii="宋体" w:hAnsi="Courier New"/>
      <w:kern w:val="2"/>
      <w:sz w:val="21"/>
      <w:szCs w:val="21"/>
    </w:rPr>
  </w:style>
  <w:style w:type="character" w:customStyle="1" w:styleId="38">
    <w:name w:val="正文首行缩进 Char"/>
    <w:basedOn w:val="19"/>
    <w:link w:val="17"/>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4">
    <w:name w:val="标题 3 Char"/>
    <w:link w:val="6"/>
    <w:qFormat/>
    <w:uiPriority w:val="0"/>
    <w:rPr>
      <w:rFonts w:ascii="宋体" w:hAnsi="宋体"/>
      <w:b/>
      <w:sz w:val="28"/>
      <w:lang w:val="en-US" w:eastAsia="zh-CN" w:bidi="ar-SA"/>
    </w:rPr>
  </w:style>
  <w:style w:type="character" w:customStyle="1" w:styleId="45">
    <w:name w:val="active2"/>
    <w:basedOn w:val="19"/>
    <w:qFormat/>
    <w:uiPriority w:val="0"/>
    <w:rPr>
      <w:color w:val="00FF00"/>
      <w:shd w:val="clear" w:fill="111111"/>
    </w:rPr>
  </w:style>
  <w:style w:type="character" w:customStyle="1" w:styleId="46">
    <w:name w:val="cdropright"/>
    <w:basedOn w:val="19"/>
    <w:qFormat/>
    <w:uiPriority w:val="0"/>
  </w:style>
  <w:style w:type="character" w:customStyle="1" w:styleId="47">
    <w:name w:val="drapbtn"/>
    <w:basedOn w:val="19"/>
    <w:qFormat/>
    <w:uiPriority w:val="0"/>
  </w:style>
  <w:style w:type="character" w:customStyle="1" w:styleId="48">
    <w:name w:val="after"/>
    <w:basedOn w:val="19"/>
    <w:qFormat/>
    <w:uiPriority w:val="0"/>
    <w:rPr>
      <w:sz w:val="0"/>
      <w:szCs w:val="0"/>
    </w:rPr>
  </w:style>
  <w:style w:type="character" w:customStyle="1" w:styleId="49">
    <w:name w:val="pagechatarealistclose_box"/>
    <w:basedOn w:val="19"/>
    <w:qFormat/>
    <w:uiPriority w:val="0"/>
  </w:style>
  <w:style w:type="character" w:customStyle="1" w:styleId="50">
    <w:name w:val="pagechatarealistclose_box1"/>
    <w:basedOn w:val="19"/>
    <w:qFormat/>
    <w:uiPriority w:val="0"/>
  </w:style>
  <w:style w:type="character" w:customStyle="1" w:styleId="51">
    <w:name w:val="hilite5"/>
    <w:basedOn w:val="19"/>
    <w:qFormat/>
    <w:uiPriority w:val="0"/>
    <w:rPr>
      <w:color w:val="FFFFFF"/>
      <w:shd w:val="clear" w:fill="666666"/>
    </w:rPr>
  </w:style>
  <w:style w:type="character" w:customStyle="1" w:styleId="52">
    <w:name w:val="associateddata"/>
    <w:basedOn w:val="19"/>
    <w:qFormat/>
    <w:uiPriority w:val="0"/>
    <w:rPr>
      <w:shd w:val="clear" w:fill="50A6F9"/>
    </w:rPr>
  </w:style>
  <w:style w:type="character" w:customStyle="1" w:styleId="53">
    <w:name w:val="cy"/>
    <w:basedOn w:val="19"/>
    <w:qFormat/>
    <w:uiPriority w:val="0"/>
  </w:style>
  <w:style w:type="character" w:customStyle="1" w:styleId="54">
    <w:name w:val="cdropleft"/>
    <w:basedOn w:val="19"/>
    <w:qFormat/>
    <w:uiPriority w:val="0"/>
  </w:style>
  <w:style w:type="character" w:customStyle="1" w:styleId="55">
    <w:name w:val="ico1654"/>
    <w:basedOn w:val="19"/>
    <w:qFormat/>
    <w:uiPriority w:val="0"/>
  </w:style>
  <w:style w:type="character" w:customStyle="1" w:styleId="56">
    <w:name w:val="ico1655"/>
    <w:basedOn w:val="19"/>
    <w:qFormat/>
    <w:uiPriority w:val="0"/>
  </w:style>
  <w:style w:type="character" w:customStyle="1" w:styleId="57">
    <w:name w:val="layui-layer-tabnow"/>
    <w:basedOn w:val="19"/>
    <w:qFormat/>
    <w:uiPriority w:val="0"/>
    <w:rPr>
      <w:bdr w:val="single" w:color="CCCCCC" w:sz="6" w:space="0"/>
      <w:shd w:val="clear" w:fill="FFFFFF"/>
    </w:rPr>
  </w:style>
  <w:style w:type="character" w:customStyle="1" w:styleId="58">
    <w:name w:val="button4"/>
    <w:basedOn w:val="19"/>
    <w:qFormat/>
    <w:uiPriority w:val="0"/>
  </w:style>
  <w:style w:type="character" w:customStyle="1" w:styleId="59">
    <w:name w:val="w32"/>
    <w:basedOn w:val="19"/>
    <w:qFormat/>
    <w:uiPriority w:val="0"/>
  </w:style>
  <w:style w:type="character" w:customStyle="1" w:styleId="60">
    <w:name w:val="tmpztreemove_arrow"/>
    <w:basedOn w:val="19"/>
    <w:qFormat/>
    <w:uiPriority w:val="0"/>
  </w:style>
  <w:style w:type="character" w:customStyle="1" w:styleId="61">
    <w:name w:val="icontext1"/>
    <w:basedOn w:val="19"/>
    <w:qFormat/>
    <w:uiPriority w:val="0"/>
  </w:style>
  <w:style w:type="character" w:customStyle="1" w:styleId="62">
    <w:name w:val="icontext11"/>
    <w:basedOn w:val="19"/>
    <w:qFormat/>
    <w:uiPriority w:val="0"/>
  </w:style>
  <w:style w:type="character" w:customStyle="1" w:styleId="63">
    <w:name w:val="icontext12"/>
    <w:basedOn w:val="19"/>
    <w:qFormat/>
    <w:uiPriority w:val="0"/>
  </w:style>
  <w:style w:type="character" w:customStyle="1" w:styleId="64">
    <w:name w:val="iconline2"/>
    <w:basedOn w:val="19"/>
    <w:qFormat/>
    <w:uiPriority w:val="0"/>
  </w:style>
  <w:style w:type="character" w:customStyle="1" w:styleId="65">
    <w:name w:val="iconline21"/>
    <w:basedOn w:val="19"/>
    <w:qFormat/>
    <w:uiPriority w:val="0"/>
  </w:style>
  <w:style w:type="character" w:customStyle="1" w:styleId="66">
    <w:name w:val="icontext2"/>
    <w:basedOn w:val="19"/>
    <w:qFormat/>
    <w:uiPriority w:val="0"/>
  </w:style>
  <w:style w:type="character" w:customStyle="1" w:styleId="67">
    <w:name w:val="icontext3"/>
    <w:basedOn w:val="19"/>
    <w:qFormat/>
    <w:uiPriority w:val="0"/>
  </w:style>
  <w:style w:type="character" w:customStyle="1" w:styleId="68">
    <w:name w:val="first-child"/>
    <w:basedOn w:val="19"/>
    <w:qFormat/>
    <w:uiPriority w:val="0"/>
  </w:style>
  <w:style w:type="paragraph" w:customStyle="1" w:styleId="69">
    <w:name w:val="Default"/>
    <w:qFormat/>
    <w:uiPriority w:val="0"/>
    <w:pPr>
      <w:widowControl w:val="0"/>
      <w:autoSpaceDE w:val="0"/>
      <w:autoSpaceDN w:val="0"/>
      <w:adjustRightInd w:val="0"/>
      <w:spacing w:line="276" w:lineRule="auto"/>
      <w:jc w:val="both"/>
    </w:pPr>
    <w:rPr>
      <w:rFonts w:ascii="汉仪细圆简" w:hAnsi="Times New Roman" w:eastAsia="汉仪细圆简" w:cs="汉仪细圆简"/>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11</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2024-03-04T01:39:00Z</cp:lastPrinted>
  <dcterms:modified xsi:type="dcterms:W3CDTF">2024-03-04T02:24:10Z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B891C393F57D4D7BBD886ED65E8997D5_13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