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3"/>
        <w:rPr>
          <w:highlight w:val="none"/>
        </w:rPr>
      </w:pPr>
    </w:p>
    <w:p>
      <w:pPr>
        <w:pStyle w:val="23"/>
        <w:rPr>
          <w:highlight w:val="none"/>
        </w:rPr>
      </w:pPr>
    </w:p>
    <w:p>
      <w:pPr>
        <w:jc w:val="cente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南沙天后宫沙滩观景平台维修维护项目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3"/>
        <w:rPr>
          <w:rFonts w:hint="eastAsia" w:ascii="宋体" w:hAnsi="宋体" w:eastAsia="宋体" w:cs="宋体"/>
          <w:color w:val="auto"/>
          <w:sz w:val="72"/>
          <w:szCs w:val="72"/>
          <w:highlight w:val="none"/>
        </w:rPr>
      </w:pPr>
    </w:p>
    <w:p>
      <w:pPr>
        <w:pStyle w:val="23"/>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3月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_Toc17503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第1章 投标须知及前附表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_Toc17503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_Toc28921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第2章 项目需求书</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_Toc28921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12</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_Toc2908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第3章 投标格式文件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_Toc2908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14</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_Toc24523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第4章 评标办法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_Toc24523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26</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_Toc11051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lang w:val="en-US" w:eastAsia="zh-CN"/>
            </w:rPr>
            <w:t>第5章 附件</w:t>
          </w:r>
          <w:r>
            <w:rPr>
              <w:rFonts w:hint="eastAsia" w:ascii="宋体" w:hAnsi="宋体" w:eastAsia="宋体" w:cs="宋体"/>
              <w:b w:val="0"/>
              <w:bCs w:val="0"/>
              <w:sz w:val="24"/>
              <w:szCs w:val="24"/>
            </w:rPr>
            <w:tab/>
          </w:r>
          <w:r>
            <w:rPr>
              <w:rFonts w:hint="eastAsia" w:ascii="宋体" w:hAnsi="宋体" w:eastAsia="宋体" w:cs="宋体"/>
              <w:b w:val="0"/>
              <w:bCs w:val="0"/>
              <w:sz w:val="24"/>
              <w:szCs w:val="24"/>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sz w:val="24"/>
              <w:szCs w:val="24"/>
              <w:lang w:val="en-US" w:eastAsia="zh-CN"/>
            </w:rPr>
            <w:t>2</w:t>
          </w:r>
        </w:p>
        <w:p>
          <w:pPr>
            <w:pStyle w:val="14"/>
            <w:tabs>
              <w:tab w:val="right" w:leader="dot" w:pos="9410"/>
            </w:tabs>
            <w:rPr>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7"/>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0698"/>
      <w:bookmarkStart w:id="3" w:name="_Toc17503"/>
      <w:bookmarkStart w:id="4" w:name="_Toc13302"/>
      <w:bookmarkStart w:id="5" w:name="_Toc9159"/>
      <w:bookmarkStart w:id="6" w:name="_Toc374128472"/>
      <w:bookmarkStart w:id="7" w:name="_Toc8549"/>
      <w:bookmarkStart w:id="8" w:name="_Toc13388"/>
      <w:bookmarkStart w:id="9" w:name="_Toc23838"/>
      <w:bookmarkStart w:id="10" w:name="_Toc276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8"/>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南沙天后宫沙滩观景平台维修维护项目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w:t>
            </w:r>
            <w:r>
              <w:rPr>
                <w:rFonts w:hint="eastAsia" w:ascii="宋体" w:hAnsi="宋体" w:cs="宋体"/>
                <w:color w:val="auto"/>
                <w:kern w:val="2"/>
                <w:position w:val="0"/>
                <w:sz w:val="21"/>
                <w:szCs w:val="21"/>
                <w:highlight w:val="none"/>
                <w:lang w:val="en-US" w:eastAsia="zh-CN"/>
              </w:rPr>
              <w:t>天后宫</w:t>
            </w:r>
            <w:r>
              <w:rPr>
                <w:rFonts w:hint="eastAsia" w:ascii="宋体" w:hAnsi="宋体" w:eastAsia="宋体" w:cs="宋体"/>
                <w:color w:val="auto"/>
                <w:kern w:val="2"/>
                <w:position w:val="0"/>
                <w:sz w:val="21"/>
                <w:szCs w:val="21"/>
                <w:highlight w:val="none"/>
              </w:rPr>
              <w:t>景区内</w:t>
            </w:r>
          </w:p>
        </w:tc>
      </w:tr>
      <w:tr>
        <w:tblPrEx>
          <w:tblCellMar>
            <w:top w:w="0" w:type="dxa"/>
            <w:left w:w="108" w:type="dxa"/>
            <w:bottom w:w="0" w:type="dxa"/>
            <w:right w:w="108" w:type="dxa"/>
          </w:tblCellMar>
        </w:tblPrEx>
        <w:trPr>
          <w:trHeight w:val="75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highlight w:val="none"/>
              </w:rPr>
              <w:t>本项目位于南沙天后宫沙滩观景平台，面积350.20</w:t>
            </w:r>
            <w:r>
              <w:rPr>
                <w:rFonts w:hint="eastAsia"/>
                <w:highlight w:val="none"/>
                <w:lang w:val="en-US" w:eastAsia="zh-CN"/>
              </w:rPr>
              <w:t>㎡</w:t>
            </w:r>
            <w:r>
              <w:rPr>
                <w:rFonts w:hint="eastAsia"/>
                <w:highlight w:val="none"/>
              </w:rPr>
              <w:t>，由于长年浪潮冲</w:t>
            </w:r>
            <w:r>
              <w:rPr>
                <w:rFonts w:hint="eastAsia" w:ascii="宋体" w:hAnsi="宋体" w:eastAsia="宋体" w:cs="宋体"/>
                <w:color w:val="auto"/>
                <w:highlight w:val="none"/>
                <w:u w:val="none"/>
              </w:rPr>
              <w:t>刷导致水土流失、地面塌陷、栏杆老旧，存在安全隐患，需维修处理。</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default" w:ascii="宋体" w:hAnsi="宋体" w:eastAsia="宋体" w:cs="宋体"/>
                <w:color w:val="FF0000"/>
                <w:highlight w:val="none"/>
                <w:u w:val="none"/>
                <w:lang w:val="en-US"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37.8</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88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beforeAutospacing="0"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0"/>
                <w:kern w:val="2"/>
                <w:sz w:val="21"/>
                <w:szCs w:val="21"/>
                <w:highlight w:val="none"/>
                <w:u w:val="none"/>
                <w:lang w:val="en-US" w:eastAsia="zh-CN" w:bidi="ar"/>
              </w:rPr>
              <w:t>完成本项目招标过程中发布的关于该项目相关的全部内容(具体以工程量清单和相关资料为准)。</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202</w:t>
            </w:r>
            <w:r>
              <w:rPr>
                <w:rFonts w:hint="eastAsia" w:ascii="宋体" w:hAnsi="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lang w:val="en-US" w:eastAsia="zh-CN"/>
              </w:rPr>
              <w:t>年</w:t>
            </w:r>
            <w:r>
              <w:rPr>
                <w:rFonts w:hint="eastAsia" w:ascii="宋体" w:hAnsi="宋体" w:cs="宋体"/>
                <w:color w:val="auto"/>
                <w:sz w:val="21"/>
                <w:szCs w:val="21"/>
                <w:highlight w:val="none"/>
                <w:u w:val="none"/>
                <w:lang w:val="en-US" w:eastAsia="zh-CN"/>
              </w:rPr>
              <w:t>4月30</w:t>
            </w:r>
            <w:r>
              <w:rPr>
                <w:rFonts w:hint="eastAsia" w:ascii="宋体" w:hAnsi="宋体" w:eastAsia="宋体" w:cs="宋体"/>
                <w:color w:val="auto"/>
                <w:sz w:val="21"/>
                <w:szCs w:val="21"/>
                <w:highlight w:val="none"/>
                <w:u w:val="none"/>
                <w:lang w:val="en-US" w:eastAsia="zh-CN"/>
              </w:rPr>
              <w:t>日前完成全部</w:t>
            </w:r>
            <w:r>
              <w:rPr>
                <w:rFonts w:hint="eastAsia" w:ascii="宋体" w:hAnsi="宋体" w:cs="宋体"/>
                <w:color w:val="auto"/>
                <w:sz w:val="21"/>
                <w:szCs w:val="21"/>
                <w:highlight w:val="none"/>
                <w:u w:val="none"/>
                <w:lang w:val="en-US" w:eastAsia="zh-CN"/>
              </w:rPr>
              <w:t>维修工作</w:t>
            </w:r>
            <w:r>
              <w:rPr>
                <w:rFonts w:hint="eastAsia" w:ascii="宋体" w:hAnsi="宋体" w:eastAsia="宋体" w:cs="宋体"/>
                <w:color w:val="auto"/>
                <w:sz w:val="21"/>
                <w:szCs w:val="21"/>
                <w:highlight w:val="none"/>
                <w:u w:val="none"/>
                <w:lang w:val="en-US" w:eastAsia="zh-CN"/>
              </w:rPr>
              <w:t>并通过验收。</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w:t>
            </w:r>
            <w:r>
              <w:rPr>
                <w:rFonts w:hint="eastAsia" w:ascii="宋体" w:hAnsi="宋体" w:eastAsia="宋体" w:cs="宋体"/>
                <w:bCs w:val="0"/>
                <w:i w:val="0"/>
                <w:iCs w:val="0"/>
                <w:caps w:val="0"/>
                <w:color w:val="auto"/>
                <w:spacing w:val="0"/>
                <w:sz w:val="21"/>
                <w:szCs w:val="21"/>
                <w:highlight w:val="none"/>
                <w:shd w:val="clear"/>
                <w:lang w:val="en-US" w:eastAsia="zh-CN"/>
              </w:rPr>
              <w:t>须</w:t>
            </w:r>
            <w:r>
              <w:rPr>
                <w:rFonts w:hint="eastAsia" w:ascii="宋体" w:hAnsi="宋体" w:eastAsia="宋体" w:cs="宋体"/>
                <w:bCs w:val="0"/>
                <w:i w:val="0"/>
                <w:iCs w:val="0"/>
                <w:caps w:val="0"/>
                <w:color w:val="auto"/>
                <w:spacing w:val="0"/>
                <w:sz w:val="21"/>
                <w:szCs w:val="21"/>
                <w:highlight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shd w:val="clear"/>
                <w:lang w:val="en-US" w:eastAsia="zh-CN"/>
              </w:rPr>
              <w:t>三</w:t>
            </w:r>
            <w:r>
              <w:rPr>
                <w:rFonts w:hint="eastAsia" w:ascii="宋体" w:hAnsi="宋体" w:eastAsia="宋体" w:cs="宋体"/>
                <w:bCs w:val="0"/>
                <w:i w:val="0"/>
                <w:iCs w:val="0"/>
                <w:caps w:val="0"/>
                <w:color w:val="auto"/>
                <w:spacing w:val="0"/>
                <w:sz w:val="21"/>
                <w:szCs w:val="21"/>
                <w:highlight w:val="none"/>
                <w:shd w:val="clear"/>
              </w:rPr>
              <w:t>级</w:t>
            </w:r>
            <w:r>
              <w:rPr>
                <w:rFonts w:hint="eastAsia" w:ascii="宋体" w:hAnsi="宋体" w:eastAsia="宋体" w:cs="宋体"/>
                <w:bCs w:val="0"/>
                <w:i w:val="0"/>
                <w:iCs w:val="0"/>
                <w:caps w:val="0"/>
                <w:color w:val="auto"/>
                <w:spacing w:val="0"/>
                <w:sz w:val="21"/>
                <w:szCs w:val="21"/>
                <w:highlight w:val="none"/>
                <w:shd w:val="clear"/>
                <w:lang w:val="en-US" w:eastAsia="zh-CN"/>
              </w:rPr>
              <w:t>或</w:t>
            </w:r>
            <w:r>
              <w:rPr>
                <w:rFonts w:hint="eastAsia" w:ascii="宋体" w:hAnsi="宋体" w:eastAsia="宋体" w:cs="宋体"/>
                <w:bCs w:val="0"/>
                <w:i w:val="0"/>
                <w:iCs w:val="0"/>
                <w:caps w:val="0"/>
                <w:color w:val="auto"/>
                <w:spacing w:val="0"/>
                <w:sz w:val="21"/>
                <w:szCs w:val="21"/>
                <w:highlight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highlight w:val="none"/>
                <w:u w:val="none"/>
              </w:rPr>
            </w:pPr>
            <w:r>
              <w:rPr>
                <w:rFonts w:hint="default" w:asciiTheme="minorHAnsi" w:hAnsiTheme="minorHAnsi" w:eastAsiaTheme="minorEastAsia" w:cstheme="minorBidi"/>
                <w:sz w:val="21"/>
                <w:szCs w:val="24"/>
                <w:highlight w:val="none"/>
                <w:u w:val="none"/>
              </w:rPr>
              <w:t>投标</w:t>
            </w:r>
            <w:r>
              <w:rPr>
                <w:rFonts w:hint="default" w:asciiTheme="minorHAnsi" w:hAnsiTheme="minorHAnsi" w:eastAsiaTheme="minorEastAsia" w:cstheme="minorBidi"/>
                <w:sz w:val="21"/>
                <w:szCs w:val="24"/>
                <w:highlight w:val="none"/>
                <w:u w:val="none"/>
                <w:lang w:eastAsia="zh-CN"/>
              </w:rPr>
              <w:t>人</w:t>
            </w:r>
            <w:r>
              <w:rPr>
                <w:rFonts w:hint="default" w:asciiTheme="minorHAnsi" w:hAnsiTheme="minorHAnsi" w:eastAsiaTheme="minorEastAsia" w:cstheme="minorBidi"/>
                <w:sz w:val="21"/>
                <w:szCs w:val="24"/>
                <w:highlight w:val="none"/>
                <w:u w:val="none"/>
              </w:rPr>
              <w:t>委派的项目负责人</w:t>
            </w:r>
            <w:r>
              <w:rPr>
                <w:rFonts w:hint="default" w:asciiTheme="minorHAnsi" w:hAnsiTheme="minorHAnsi" w:eastAsiaTheme="minorEastAsia" w:cstheme="minorBidi"/>
                <w:sz w:val="21"/>
                <w:szCs w:val="24"/>
                <w:highlight w:val="none"/>
                <w:u w:val="none"/>
                <w:lang w:eastAsia="zh-CN"/>
              </w:rPr>
              <w:t>为：</w:t>
            </w:r>
            <w:r>
              <w:rPr>
                <w:rFonts w:hint="default" w:asciiTheme="minorHAnsi" w:hAnsiTheme="minorHAnsi" w:eastAsiaTheme="minorEastAsia" w:cstheme="minorBidi"/>
                <w:sz w:val="21"/>
                <w:szCs w:val="24"/>
                <w:highlight w:val="none"/>
                <w:u w:val="none"/>
              </w:rPr>
              <w:t>市政公用工程专业</w:t>
            </w:r>
            <w:r>
              <w:rPr>
                <w:rFonts w:hint="default" w:asciiTheme="minorHAnsi" w:hAnsiTheme="minorHAnsi" w:eastAsiaTheme="minorEastAsia" w:cstheme="minorBidi"/>
                <w:sz w:val="21"/>
                <w:szCs w:val="24"/>
                <w:highlight w:val="none"/>
                <w:u w:val="none"/>
                <w:lang w:val="en-US" w:eastAsia="zh-CN"/>
              </w:rPr>
              <w:t>二</w:t>
            </w:r>
            <w:r>
              <w:rPr>
                <w:rFonts w:hint="default" w:asciiTheme="minorHAnsi" w:hAnsiTheme="minorHAnsi" w:eastAsiaTheme="minorEastAsia" w:cstheme="minorBidi"/>
                <w:sz w:val="21"/>
                <w:szCs w:val="24"/>
                <w:highlight w:val="none"/>
                <w:u w:val="none"/>
              </w:rPr>
              <w:t>级或以上级别的注册建造师</w:t>
            </w:r>
            <w:r>
              <w:rPr>
                <w:rFonts w:hint="default" w:asciiTheme="minorHAnsi" w:hAnsiTheme="minorHAnsi" w:eastAsiaTheme="minorEastAsia" w:cstheme="minorBidi"/>
                <w:sz w:val="21"/>
                <w:szCs w:val="24"/>
                <w:highlight w:val="none"/>
                <w:u w:val="none"/>
                <w:lang w:eastAsia="zh-CN"/>
              </w:rPr>
              <w:t>。</w:t>
            </w:r>
            <w:r>
              <w:rPr>
                <w:rFonts w:hint="default" w:asciiTheme="minorHAnsi" w:hAnsiTheme="minorHAnsi" w:eastAsiaTheme="minorEastAsia" w:cstheme="minorBidi"/>
                <w:b w:val="0"/>
                <w:bCs w:val="0"/>
                <w:sz w:val="21"/>
                <w:szCs w:val="24"/>
                <w:highlight w:val="none"/>
                <w:u w:val="none"/>
              </w:rPr>
              <w:t>项目负责人</w:t>
            </w:r>
            <w:r>
              <w:rPr>
                <w:rFonts w:hint="default" w:asciiTheme="minorHAnsi" w:hAnsiTheme="minorHAnsi" w:eastAsiaTheme="minorEastAsia" w:cstheme="minorBidi"/>
                <w:sz w:val="21"/>
                <w:szCs w:val="24"/>
                <w:highlight w:val="none"/>
                <w:u w:val="none"/>
              </w:rPr>
              <w:t>持有安全培训考核合格证（B类）</w:t>
            </w:r>
            <w:r>
              <w:rPr>
                <w:rFonts w:hint="default" w:asciiTheme="minorHAnsi" w:hAnsiTheme="minorHAnsi" w:eastAsiaTheme="minorEastAsia" w:cstheme="minorBidi"/>
                <w:b w:val="0"/>
                <w:bCs w:val="0"/>
                <w:sz w:val="21"/>
                <w:szCs w:val="24"/>
                <w:highlight w:val="none"/>
                <w:u w:val="none"/>
              </w:rPr>
              <w:t>。</w:t>
            </w:r>
          </w:p>
          <w:p>
            <w:pPr>
              <w:widowControl w:val="0"/>
              <w:numPr>
                <w:ilvl w:val="0"/>
                <w:numId w:val="1"/>
              </w:numPr>
              <w:spacing w:line="360" w:lineRule="auto"/>
              <w:ind w:firstLine="0" w:firstLineChars="0"/>
              <w:rPr>
                <w:rFonts w:hint="default" w:asciiTheme="minorHAnsi" w:hAnsiTheme="minorHAnsi" w:eastAsiaTheme="minorEastAsia" w:cstheme="minorBidi"/>
                <w:sz w:val="21"/>
                <w:szCs w:val="24"/>
                <w:highlight w:val="none"/>
                <w:u w:val="none"/>
                <w:shd w:val="clear"/>
                <w:lang w:val="en-US" w:eastAsia="zh-CN"/>
              </w:rPr>
            </w:pPr>
            <w:r>
              <w:rPr>
                <w:rFonts w:hint="default" w:asciiTheme="minorHAnsi" w:hAnsiTheme="minorHAnsi" w:eastAsiaTheme="minorEastAsia" w:cstheme="minorBidi"/>
                <w:sz w:val="21"/>
                <w:szCs w:val="24"/>
                <w:highlight w:val="none"/>
                <w:u w:val="none"/>
                <w:shd w:val="clear"/>
                <w:lang w:val="en-US" w:eastAsia="zh-CN"/>
              </w:rPr>
              <w:t>投标人委派的技术负责人具有</w:t>
            </w:r>
            <w:r>
              <w:rPr>
                <w:rFonts w:hint="default" w:asciiTheme="minorHAnsi" w:hAnsiTheme="minorHAnsi" w:eastAsiaTheme="minorEastAsia" w:cstheme="minorBidi"/>
                <w:sz w:val="21"/>
                <w:szCs w:val="24"/>
                <w:highlight w:val="none"/>
                <w:u w:val="none"/>
                <w:shd w:val="clear"/>
              </w:rPr>
              <w:t>市政公用工程专业</w:t>
            </w:r>
            <w:r>
              <w:rPr>
                <w:rFonts w:hint="default" w:asciiTheme="minorHAnsi" w:hAnsiTheme="minorHAnsi" w:eastAsiaTheme="minorEastAsia" w:cstheme="minorBidi"/>
                <w:sz w:val="21"/>
                <w:szCs w:val="24"/>
                <w:highlight w:val="none"/>
                <w:u w:val="none"/>
                <w:shd w:val="clear"/>
                <w:lang w:val="en-US" w:eastAsia="zh-CN"/>
              </w:rPr>
              <w:t>中级工程师或以上职称。技术负责人与项目负责人不能为同一人。</w:t>
            </w:r>
          </w:p>
          <w:p>
            <w:pPr>
              <w:numPr>
                <w:ilvl w:val="-1"/>
                <w:numId w:val="0"/>
              </w:numPr>
              <w:spacing w:line="360" w:lineRule="auto"/>
              <w:ind w:firstLine="0"/>
              <w:rPr>
                <w:rFonts w:hint="default" w:asciiTheme="minorHAnsi" w:hAnsiTheme="minorHAnsi" w:eastAsiaTheme="minorEastAsia" w:cstheme="minorBidi"/>
                <w:kern w:val="2"/>
                <w:sz w:val="21"/>
                <w:szCs w:val="24"/>
                <w:highlight w:val="none"/>
                <w:u w:val="none"/>
                <w:lang w:val="en-US" w:eastAsia="zh-CN" w:bidi="ar-SA"/>
              </w:rPr>
            </w:pPr>
            <w:r>
              <w:rPr>
                <w:rFonts w:hint="eastAsia" w:cstheme="minorBidi"/>
                <w:b w:val="0"/>
                <w:bCs w:val="0"/>
                <w:sz w:val="21"/>
                <w:szCs w:val="24"/>
                <w:highlight w:val="none"/>
                <w:u w:val="none"/>
                <w:lang w:val="en-US" w:eastAsia="zh-CN"/>
              </w:rPr>
              <w:t>3、</w:t>
            </w:r>
            <w:r>
              <w:rPr>
                <w:rFonts w:hint="default" w:asciiTheme="minorHAnsi" w:hAnsiTheme="minorHAnsi" w:eastAsiaTheme="minorEastAsia" w:cstheme="minorBidi"/>
                <w:b w:val="0"/>
                <w:bCs w:val="0"/>
                <w:sz w:val="21"/>
                <w:szCs w:val="24"/>
                <w:highlight w:val="none"/>
                <w:u w:val="none"/>
              </w:rPr>
              <w:t>专职安全员须具有</w:t>
            </w:r>
            <w:r>
              <w:rPr>
                <w:rFonts w:hint="default" w:asciiTheme="minorHAnsi" w:hAnsiTheme="minorHAnsi" w:eastAsiaTheme="minorEastAsia" w:cstheme="minorBidi"/>
                <w:sz w:val="21"/>
                <w:szCs w:val="24"/>
                <w:highlight w:val="none"/>
                <w:u w:val="none"/>
              </w:rPr>
              <w:t>安全生产考核合格证（C类）</w:t>
            </w:r>
            <w:r>
              <w:rPr>
                <w:rFonts w:hint="default" w:asciiTheme="minorHAnsi" w:hAnsiTheme="minorHAnsi" w:eastAsiaTheme="minorEastAsia" w:cstheme="minorBidi"/>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sz w:val="21"/>
                <w:szCs w:val="24"/>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3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¥373641.13</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（大写：人民币叁拾柒万叁仟陆佰肆拾壹元壹角叁分），其中，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10958.45</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393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highlight w:val="none"/>
              </w:rPr>
            </w:pPr>
            <w:r>
              <w:rPr>
                <w:rFonts w:hint="eastAsia" w:ascii="宋体" w:hAnsi="宋体" w:eastAsia="宋体" w:cs="宋体"/>
                <w:highlight w:val="none"/>
              </w:rPr>
              <w:t>1、金额：人民币</w:t>
            </w:r>
            <w:r>
              <w:rPr>
                <w:rFonts w:hint="eastAsia" w:ascii="宋体" w:hAnsi="宋体" w:eastAsia="宋体" w:cs="宋体"/>
                <w:highlight w:val="none"/>
                <w:lang w:val="en-US" w:eastAsia="zh-CN"/>
              </w:rPr>
              <w:t>伍仟</w:t>
            </w:r>
            <w:r>
              <w:rPr>
                <w:rFonts w:hint="eastAsia" w:ascii="宋体" w:hAnsi="宋体" w:eastAsia="宋体" w:cs="宋体"/>
                <w:highlight w:val="none"/>
              </w:rPr>
              <w:t>元。</w:t>
            </w:r>
          </w:p>
          <w:p>
            <w:pPr>
              <w:numPr>
                <w:ilvl w:val="-1"/>
                <w:numId w:val="0"/>
              </w:numPr>
              <w:adjustRightInd w:val="0"/>
              <w:snapToGrid w:val="0"/>
              <w:spacing w:line="360" w:lineRule="auto"/>
              <w:rPr>
                <w:rFonts w:hint="eastAsia" w:ascii="宋体" w:hAnsi="宋体" w:eastAsia="宋体" w:cs="宋体"/>
                <w:highlight w:val="none"/>
                <w:lang w:eastAsia="zh-CN"/>
              </w:rPr>
            </w:pPr>
            <w:r>
              <w:rPr>
                <w:rFonts w:hint="eastAsia" w:ascii="宋体" w:hAnsi="宋体" w:eastAsia="宋体" w:cs="宋体"/>
                <w:highlight w:val="none"/>
              </w:rPr>
              <w:t>2、缴纳方式：</w:t>
            </w:r>
            <w:r>
              <w:rPr>
                <w:rFonts w:hint="eastAsia" w:ascii="宋体" w:hAnsi="宋体" w:eastAsia="宋体" w:cs="宋体"/>
                <w:highlight w:val="none"/>
                <w:lang w:eastAsia="zh-CN"/>
              </w:rPr>
              <w:t>银行转账。</w:t>
            </w:r>
          </w:p>
          <w:p>
            <w:pPr>
              <w:numPr>
                <w:ilvl w:val="-1"/>
                <w:numId w:val="0"/>
              </w:numPr>
              <w:adjustRightInd w:val="0"/>
              <w:spacing w:line="360" w:lineRule="auto"/>
              <w:rPr>
                <w:rFonts w:hint="eastAsia" w:ascii="宋体" w:hAnsi="宋体" w:eastAsia="宋体" w:cs="宋体"/>
                <w:highlight w:val="none"/>
                <w:lang w:eastAsia="zh-CN"/>
              </w:rPr>
            </w:pPr>
            <w:r>
              <w:rPr>
                <w:rFonts w:hint="eastAsia" w:ascii="宋体" w:hAnsi="宋体" w:eastAsia="宋体" w:cs="宋体"/>
                <w:highlight w:val="none"/>
              </w:rPr>
              <w:t>账户名称：广州南沙</w:t>
            </w:r>
            <w:r>
              <w:rPr>
                <w:rFonts w:hint="eastAsia" w:ascii="宋体" w:hAnsi="宋体" w:eastAsia="宋体" w:cs="宋体"/>
                <w:highlight w:val="none"/>
                <w:lang w:val="en-US" w:eastAsia="zh-CN"/>
              </w:rPr>
              <w:t>旅游发展</w:t>
            </w:r>
            <w:r>
              <w:rPr>
                <w:rFonts w:hint="eastAsia" w:ascii="宋体" w:hAnsi="宋体" w:eastAsia="宋体" w:cs="宋体"/>
                <w:highlight w:val="none"/>
              </w:rPr>
              <w:t>有限公司</w:t>
            </w:r>
          </w:p>
          <w:p>
            <w:pPr>
              <w:numPr>
                <w:ilvl w:val="-1"/>
                <w:numId w:val="0"/>
              </w:numPr>
              <w:adjustRightInd w:val="0"/>
              <w:spacing w:line="360" w:lineRule="auto"/>
              <w:rPr>
                <w:rFonts w:hint="eastAsia" w:ascii="宋体" w:hAnsi="宋体" w:eastAsia="宋体" w:cs="宋体"/>
                <w:highlight w:val="none"/>
                <w:lang w:eastAsia="zh-CN"/>
              </w:rPr>
            </w:pPr>
            <w:r>
              <w:rPr>
                <w:rFonts w:hint="eastAsia" w:ascii="宋体" w:hAnsi="宋体" w:eastAsia="宋体" w:cs="宋体"/>
                <w:highlight w:val="none"/>
              </w:rPr>
              <w:t>开户银行：中国银行广州南沙科技园区支行</w:t>
            </w:r>
            <w:r>
              <w:rPr>
                <w:rFonts w:hint="eastAsia" w:ascii="宋体" w:hAnsi="宋体" w:eastAsia="宋体" w:cs="宋体"/>
                <w:highlight w:val="none"/>
                <w:lang w:val="en-US" w:eastAsia="zh-CN"/>
              </w:rPr>
              <w:t xml:space="preserve">  </w:t>
            </w:r>
          </w:p>
          <w:p>
            <w:pPr>
              <w:numPr>
                <w:ilvl w:val="-1"/>
                <w:numId w:val="0"/>
              </w:numPr>
              <w:adjustRightInd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rPr>
              <w:t>账号：644457756045</w:t>
            </w:r>
          </w:p>
          <w:p>
            <w:pPr>
              <w:numPr>
                <w:ilvl w:val="0"/>
                <w:numId w:val="2"/>
              </w:numPr>
              <w:adjustRightInd w:val="0"/>
              <w:snapToGrid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rPr>
              <w:t>缴纳时间：投标单位须在202</w:t>
            </w:r>
            <w:r>
              <w:rPr>
                <w:rFonts w:hint="eastAsia" w:ascii="宋体" w:hAnsi="宋体" w:eastAsia="宋体" w:cs="宋体"/>
                <w:highlight w:val="none"/>
                <w:lang w:val="en-US" w:eastAsia="zh-CN"/>
              </w:rPr>
              <w:t>4</w:t>
            </w:r>
            <w:r>
              <w:rPr>
                <w:rFonts w:hint="eastAsia" w:ascii="宋体" w:hAnsi="宋体" w:eastAsia="宋体" w:cs="宋体"/>
                <w:highlight w:val="none"/>
              </w:rPr>
              <w:t>年</w:t>
            </w:r>
            <w:r>
              <w:rPr>
                <w:rFonts w:hint="eastAsia" w:ascii="宋体" w:hAnsi="宋体" w:eastAsia="宋体" w:cs="宋体"/>
                <w:highlight w:val="none"/>
                <w:lang w:val="en-US" w:eastAsia="zh-CN"/>
              </w:rPr>
              <w:t>4月2</w:t>
            </w:r>
            <w:r>
              <w:rPr>
                <w:rFonts w:hint="eastAsia" w:ascii="宋体" w:hAnsi="宋体" w:eastAsia="宋体" w:cs="宋体"/>
                <w:highlight w:val="none"/>
              </w:rPr>
              <w:t>日</w:t>
            </w:r>
            <w:r>
              <w:rPr>
                <w:rFonts w:hint="eastAsia" w:ascii="宋体" w:hAnsi="宋体" w:eastAsia="宋体" w:cs="宋体"/>
                <w:highlight w:val="none"/>
                <w:lang w:eastAsia="zh-CN"/>
              </w:rPr>
              <w:t>（星期</w:t>
            </w:r>
            <w:r>
              <w:rPr>
                <w:rFonts w:hint="eastAsia" w:ascii="宋体" w:hAnsi="宋体" w:eastAsia="宋体" w:cs="宋体"/>
                <w:highlight w:val="none"/>
                <w:lang w:val="en-US" w:eastAsia="zh-CN"/>
              </w:rPr>
              <w:t>二</w:t>
            </w:r>
            <w:r>
              <w:rPr>
                <w:rFonts w:hint="eastAsia" w:ascii="宋体" w:hAnsi="宋体" w:eastAsia="宋体" w:cs="宋体"/>
                <w:highlight w:val="none"/>
                <w:lang w:eastAsia="zh-CN"/>
              </w:rPr>
              <w:t>）</w:t>
            </w:r>
            <w:r>
              <w:rPr>
                <w:rFonts w:hint="eastAsia" w:ascii="宋体" w:hAnsi="宋体" w:eastAsia="宋体" w:cs="宋体"/>
                <w:highlight w:val="none"/>
                <w:lang w:val="en-US" w:eastAsia="zh-CN"/>
              </w:rPr>
              <w:t>16</w:t>
            </w:r>
            <w:r>
              <w:rPr>
                <w:rFonts w:hint="eastAsia" w:ascii="宋体" w:hAnsi="宋体" w:eastAsia="宋体" w:cs="宋体"/>
                <w:highlight w:val="none"/>
              </w:rPr>
              <w:t>时</w:t>
            </w:r>
            <w:r>
              <w:rPr>
                <w:rFonts w:hint="eastAsia" w:ascii="宋体" w:hAnsi="宋体" w:eastAsia="宋体" w:cs="宋体"/>
                <w:highlight w:val="none"/>
                <w:lang w:val="en-US" w:eastAsia="zh-CN"/>
              </w:rPr>
              <w:t>00</w:t>
            </w:r>
            <w:r>
              <w:rPr>
                <w:rFonts w:hint="eastAsia" w:ascii="宋体" w:hAnsi="宋体" w:eastAsia="宋体" w:cs="宋体"/>
                <w:highlight w:val="none"/>
              </w:rPr>
              <w:t>分</w:t>
            </w:r>
            <w:r>
              <w:rPr>
                <w:rFonts w:hint="eastAsia" w:ascii="宋体" w:hAnsi="宋体" w:eastAsia="宋体" w:cs="宋体"/>
                <w:highlight w:val="none"/>
                <w:lang w:eastAsia="zh-CN"/>
              </w:rPr>
              <w:t>前</w:t>
            </w:r>
            <w:r>
              <w:rPr>
                <w:rFonts w:hint="eastAsia" w:ascii="宋体" w:hAnsi="宋体" w:eastAsia="宋体" w:cs="宋体"/>
                <w:highlight w:val="none"/>
              </w:rPr>
              <w:t>以投标人转出【</w:t>
            </w:r>
            <w:r>
              <w:rPr>
                <w:rFonts w:hint="eastAsia" w:ascii="宋体" w:hAnsi="宋体" w:eastAsia="宋体" w:cs="宋体"/>
                <w:color w:val="auto"/>
                <w:szCs w:val="21"/>
                <w:highlight w:val="none"/>
              </w:rPr>
              <w:t>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b w:val="0"/>
                <w:bCs w:val="0"/>
                <w:color w:val="auto"/>
                <w:sz w:val="21"/>
                <w:szCs w:val="21"/>
                <w:highlight w:val="none"/>
                <w:lang w:val="en-US" w:eastAsia="zh-CN"/>
              </w:rPr>
              <w:t>南沙天后宫沙滩观景平台维修维护项目</w:t>
            </w:r>
            <w:r>
              <w:rPr>
                <w:rFonts w:hint="eastAsia" w:ascii="宋体" w:hAnsi="宋体" w:eastAsia="宋体" w:cs="宋体"/>
                <w:highlight w:val="none"/>
              </w:rPr>
              <w:t>投标保证金】</w:t>
            </w:r>
          </w:p>
          <w:p>
            <w:pPr>
              <w:pStyle w:val="2"/>
              <w:numPr>
                <w:ilvl w:val="0"/>
                <w:numId w:val="2"/>
              </w:numPr>
              <w:spacing w:line="360" w:lineRule="auto"/>
              <w:rPr>
                <w:rFonts w:hint="eastAsia" w:ascii="宋体" w:hAnsi="宋体" w:eastAsia="宋体" w:cs="宋体"/>
                <w:highlight w:val="none"/>
                <w:lang w:val="en-US" w:eastAsia="zh-CN"/>
              </w:rPr>
            </w:pPr>
            <w:r>
              <w:rPr>
                <w:rFonts w:hint="eastAsia" w:ascii="宋体" w:hAnsi="宋体" w:eastAsia="宋体" w:cs="宋体"/>
                <w:color w:val="auto"/>
                <w:szCs w:val="21"/>
                <w:highlight w:val="none"/>
                <w:lang w:val="en-US" w:eastAsia="zh-CN"/>
              </w:rPr>
              <w:t>投标保证金在开标结束后，按招标人内部程序，原路退回投标单位缴款账户。</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4月3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4月3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4月3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trHeight w:val="913" w:hRule="atLeast"/>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pStyle w:val="4"/>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2"/>
        <w:rPr>
          <w:rFonts w:hint="eastAsia"/>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7"/>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7"/>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7"/>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Ansi="宋体" w:cs="宋体"/>
          <w:color w:val="auto"/>
          <w:sz w:val="24"/>
          <w:highlight w:val="none"/>
        </w:rPr>
        <w:t>刻录光盘或提供U盘，需为公司盖章版本</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11.15施工组织方案。</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7"/>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7"/>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7"/>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8457"/>
      <w:bookmarkStart w:id="14" w:name="_Toc28984"/>
      <w:bookmarkStart w:id="15" w:name="_Toc28921"/>
      <w:bookmarkStart w:id="16" w:name="_Toc10474"/>
      <w:bookmarkStart w:id="17" w:name="_Toc7252"/>
      <w:bookmarkStart w:id="18" w:name="_Toc22411"/>
      <w:bookmarkStart w:id="19" w:name="_Toc8409"/>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黑体" w:hAnsi="黑体" w:eastAsia="黑体" w:cs="黑体"/>
          <w:b w:val="0"/>
          <w:bCs w:val="0"/>
          <w:sz w:val="32"/>
          <w:szCs w:val="32"/>
          <w:lang w:val="en-US" w:eastAsia="zh-CN"/>
        </w:rPr>
      </w:pPr>
      <w:bookmarkStart w:id="20" w:name="_Toc23673"/>
      <w:r>
        <w:rPr>
          <w:rFonts w:hint="eastAsia" w:ascii="黑体" w:hAnsi="黑体" w:eastAsia="黑体" w:cs="黑体"/>
          <w:b w:val="0"/>
          <w:bCs w:val="0"/>
          <w:sz w:val="32"/>
          <w:szCs w:val="32"/>
          <w:lang w:val="en-US" w:eastAsia="zh-CN"/>
        </w:rPr>
        <w:t>一、项目概况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项目位于南沙天后宫沙滩观景平台，由于长年浪潮冲刷导致水土流失、地面塌陷、栏杆老旧，存在一定的安全隐患，需维修处理。</w:t>
      </w:r>
    </w:p>
    <w:p>
      <w:pPr>
        <w:keepNext w:val="0"/>
        <w:keepLines w:val="0"/>
        <w:pageBreakBefore w:val="0"/>
        <w:widowControl w:val="0"/>
        <w:numPr>
          <w:ilvl w:val="0"/>
          <w:numId w:val="4"/>
        </w:numPr>
        <w:kinsoku/>
        <w:wordWrap/>
        <w:overflowPunct/>
        <w:topLinePunct w:val="0"/>
        <w:autoSpaceDE/>
        <w:autoSpaceDN/>
        <w:bidi w:val="0"/>
        <w:adjustRightInd/>
        <w:snapToGrid/>
        <w:spacing w:line="540" w:lineRule="exact"/>
        <w:textAlignment w:val="auto"/>
        <w:rPr>
          <w:rFonts w:hint="eastAsia" w:ascii="黑体" w:hAnsi="黑体" w:eastAsia="黑体" w:cs="黑体"/>
          <w:b w:val="0"/>
          <w:bCs w:val="0"/>
          <w:sz w:val="32"/>
          <w:szCs w:val="32"/>
          <w:lang w:val="en-US" w:eastAsia="zh-CN"/>
        </w:rPr>
      </w:pPr>
      <w:bookmarkStart w:id="21" w:name="_Toc26562"/>
      <w:r>
        <w:rPr>
          <w:rFonts w:hint="eastAsia" w:ascii="黑体" w:hAnsi="黑体" w:eastAsia="黑体" w:cs="黑体"/>
          <w:b w:val="0"/>
          <w:bCs w:val="0"/>
          <w:sz w:val="32"/>
          <w:szCs w:val="32"/>
          <w:lang w:val="en-US" w:eastAsia="zh-CN"/>
        </w:rPr>
        <w:t>施工方案</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（1）对塌陷区域进行彻底清理，移除松散土壤与杂物；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（2）对塌陷区域进行土壤加固处理，采用注浆、加筋等方式，增强土壤稳定性；</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（3）在塌陷区域周边设置防水层，以防止水分对土壤的侵蚀；</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（4）对平台表面进行重新铺设，采用抗滑、耐磨的材料，确保平台使用的舒适性。</w:t>
      </w:r>
    </w:p>
    <w:p>
      <w:pPr>
        <w:keepNext w:val="0"/>
        <w:keepLines w:val="0"/>
        <w:pageBreakBefore w:val="0"/>
        <w:widowControl w:val="0"/>
        <w:numPr>
          <w:ilvl w:val="0"/>
          <w:numId w:val="4"/>
        </w:numPr>
        <w:kinsoku/>
        <w:wordWrap/>
        <w:overflowPunct/>
        <w:topLinePunct w:val="0"/>
        <w:autoSpaceDE/>
        <w:autoSpaceDN/>
        <w:bidi w:val="0"/>
        <w:adjustRightInd/>
        <w:snapToGrid/>
        <w:spacing w:line="540" w:lineRule="exact"/>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主要施工方法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（1）拆除靠岸边塌陷区域混凝土（150mm厚）350.2㎡再下挖250mm土外运弃置；</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（2）老旧栏杆拆除换款维护66.8m；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（3）拆除废料外运运距5km；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（4）岸边U型区域挖土方39.825m³，铺设土工布防水132.5m²，浇捣C30素砼挡墙（起到挡水及配重效果），土方外运39.825m³；</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（5）岸边回填甲供石材30m³护脚, 场内运距2km；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（6）铺设水稳层6% 200mm厚，合计350.2m²；</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（7）铺设C30混凝土200mm厚 （钢筋φ12@200单层双向）350.2m²；</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（8）栏杆植筋φ</w:t>
      </w:r>
      <w:r>
        <w:rPr>
          <w:rFonts w:hint="eastAsia" w:ascii="Times New Roman" w:hAnsi="Times New Roman" w:eastAsia="方正仿宋_GB2312" w:cs="方正仿宋_GB2312"/>
          <w:kern w:val="2"/>
          <w:sz w:val="32"/>
          <w:szCs w:val="40"/>
          <w:lang w:val="en-US" w:eastAsia="zh-CN" w:bidi="ar-SA"/>
        </w:rPr>
        <w:t>12@200，深度1.5m，</w:t>
      </w:r>
      <w:r>
        <w:rPr>
          <w:rFonts w:hint="eastAsia" w:ascii="Times New Roman" w:hAnsi="Times New Roman" w:eastAsia="方正仿宋_GB2312" w:cs="方正仿宋_GB2312"/>
          <w:sz w:val="32"/>
          <w:szCs w:val="40"/>
          <w:lang w:val="en-US" w:eastAsia="zh-CN"/>
        </w:rPr>
        <w:t>合计</w:t>
      </w:r>
      <w:r>
        <w:rPr>
          <w:rFonts w:hint="eastAsia" w:ascii="Times New Roman" w:hAnsi="Times New Roman" w:eastAsia="方正仿宋_GB2312" w:cs="方正仿宋_GB2312"/>
          <w:kern w:val="2"/>
          <w:sz w:val="32"/>
          <w:szCs w:val="40"/>
          <w:lang w:val="en-US" w:eastAsia="zh-CN" w:bidi="ar-SA"/>
        </w:rPr>
        <w:t>330根</w:t>
      </w:r>
      <w:r>
        <w:rPr>
          <w:rFonts w:hint="eastAsia" w:ascii="Times New Roman" w:hAnsi="Times New Roman" w:eastAsia="方正仿宋_GB2312" w:cs="方正仿宋_GB2312"/>
          <w:sz w:val="32"/>
          <w:szCs w:val="4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（9）砌筑方沟 540mm*360mm，合计43.5m；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（10）钢护栏围蔽30m。</w:t>
      </w:r>
    </w:p>
    <w:p>
      <w:pPr>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drawing>
          <wp:inline distT="0" distB="0" distL="114300" distR="114300">
            <wp:extent cx="5262880" cy="2700655"/>
            <wp:effectExtent l="0" t="0" r="13970" b="444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5262880" cy="27006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drawing>
          <wp:inline distT="0" distB="0" distL="114300" distR="114300">
            <wp:extent cx="5273675" cy="2757170"/>
            <wp:effectExtent l="0" t="0" r="3175" b="508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8"/>
                    <a:stretch>
                      <a:fillRect/>
                    </a:stretch>
                  </pic:blipFill>
                  <pic:spPr>
                    <a:xfrm>
                      <a:off x="0" y="0"/>
                      <a:ext cx="5273675" cy="27571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drawing>
          <wp:inline distT="0" distB="0" distL="114300" distR="114300">
            <wp:extent cx="5266055" cy="2546350"/>
            <wp:effectExtent l="0" t="0" r="10795" b="635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9"/>
                    <a:stretch>
                      <a:fillRect/>
                    </a:stretch>
                  </pic:blipFill>
                  <pic:spPr>
                    <a:xfrm>
                      <a:off x="0" y="0"/>
                      <a:ext cx="5266055" cy="25463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jc w:val="center"/>
        <w:textAlignment w:val="auto"/>
        <w:rPr>
          <w:rFonts w:hint="default" w:ascii="Times New Roman" w:hAnsi="Times New Roman" w:eastAsia="方正仿宋_GB2312" w:cs="方正仿宋_GB2312"/>
          <w:sz w:val="32"/>
          <w:szCs w:val="40"/>
          <w:lang w:val="en-US" w:eastAsia="zh-CN"/>
        </w:rPr>
      </w:pPr>
      <w:r>
        <w:rPr>
          <w:rFonts w:hint="eastAsia" w:ascii="Times New Roman" w:hAnsi="Times New Roman" w:eastAsia="方正仿宋_GB2312" w:cs="方正仿宋_GB2312"/>
          <w:sz w:val="32"/>
          <w:szCs w:val="40"/>
          <w:lang w:val="en-US" w:eastAsia="zh-CN"/>
        </w:rPr>
        <w:t>维修维护范围</w:t>
      </w:r>
    </w:p>
    <w:bookmarkEnd w:id="20"/>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2" w:name="_Toc28153"/>
      <w:bookmarkStart w:id="23" w:name="_Toc5931"/>
      <w:bookmarkStart w:id="24" w:name="_Toc10090"/>
      <w:bookmarkStart w:id="25" w:name="_Toc2908"/>
      <w:bookmarkStart w:id="26" w:name="_Toc19076"/>
      <w:bookmarkStart w:id="27" w:name="_Toc27735"/>
      <w:bookmarkStart w:id="28" w:name="_Toc2266"/>
      <w:r>
        <w:rPr>
          <w:rFonts w:hint="eastAsia" w:ascii="黑体" w:hAnsi="宋体" w:cs="黑体"/>
          <w:b/>
          <w:color w:val="auto"/>
          <w:kern w:val="44"/>
          <w:sz w:val="44"/>
          <w:szCs w:val="44"/>
          <w:highlight w:val="none"/>
        </w:rPr>
        <w:t>第3章  投标格式文件</w:t>
      </w:r>
      <w:bookmarkEnd w:id="12"/>
      <w:bookmarkEnd w:id="22"/>
      <w:bookmarkEnd w:id="23"/>
      <w:bookmarkEnd w:id="24"/>
      <w:bookmarkEnd w:id="25"/>
      <w:bookmarkEnd w:id="26"/>
      <w:bookmarkEnd w:id="27"/>
      <w:bookmarkEnd w:id="28"/>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南沙天后宫沙滩观景平台维修维护项目</w:t>
      </w:r>
      <w:r>
        <w:rPr>
          <w:rFonts w:hint="eastAsia" w:ascii="宋体" w:hAnsi="宋体" w:eastAsia="宋体" w:cs="宋体"/>
          <w:color w:val="auto"/>
          <w:spacing w:val="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南沙天后宫沙滩观景平台维修维护</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9" w:name="_Toc216145749"/>
      <w:bookmarkEnd w:id="29"/>
      <w:bookmarkStart w:id="30" w:name="_Toc223342668"/>
      <w:bookmarkEnd w:id="30"/>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31" w:name="_Toc172416501"/>
      <w:bookmarkEnd w:id="31"/>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r:link="rId11"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r:link="rId13"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2" w:name="_Toc216145759"/>
      <w:bookmarkEnd w:id="32"/>
      <w:bookmarkStart w:id="33"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3"/>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4" w:name="_Toc41822704"/>
      <w:bookmarkEnd w:id="34"/>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南沙天后宫沙滩观景平台维修维护项目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7"/>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8"/>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5" w:name="_Toc415728298"/>
      <w:bookmarkEnd w:id="35"/>
      <w:bookmarkStart w:id="36" w:name="_Toc459403395"/>
      <w:bookmarkEnd w:id="36"/>
      <w:bookmarkStart w:id="37" w:name="_Toc199647676"/>
      <w:bookmarkEnd w:id="37"/>
      <w:bookmarkStart w:id="38" w:name="_Toc415833504"/>
      <w:bookmarkEnd w:id="38"/>
      <w:bookmarkStart w:id="39" w:name="_Toc196130111"/>
      <w:bookmarkEnd w:id="39"/>
      <w:bookmarkStart w:id="40" w:name="_Toc326909214"/>
      <w:bookmarkEnd w:id="40"/>
      <w:bookmarkStart w:id="41" w:name="_Toc196130014"/>
      <w:bookmarkEnd w:id="41"/>
      <w:bookmarkStart w:id="42" w:name="_Toc196036942"/>
      <w:bookmarkEnd w:id="42"/>
      <w:bookmarkStart w:id="43" w:name="_Toc196037098"/>
      <w:bookmarkEnd w:id="43"/>
      <w:bookmarkStart w:id="44" w:name="_Toc197235849"/>
      <w:bookmarkEnd w:id="44"/>
      <w:bookmarkStart w:id="45" w:name="_Toc462911099"/>
    </w:p>
    <w:bookmarkEnd w:id="45"/>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highlight w:val="none"/>
          <w:lang w:val="en-US" w:eastAsia="zh-CN" w:bidi="ar-SA"/>
        </w:rPr>
      </w:pPr>
      <w:bookmarkStart w:id="46" w:name="_Toc196036943"/>
      <w:bookmarkEnd w:id="46"/>
      <w:bookmarkStart w:id="47" w:name="_Toc41822705"/>
      <w:bookmarkEnd w:id="47"/>
      <w:bookmarkStart w:id="48" w:name="_Toc196130015"/>
      <w:bookmarkEnd w:id="48"/>
      <w:bookmarkStart w:id="49" w:name="_Toc196037099"/>
      <w:bookmarkEnd w:id="49"/>
      <w:bookmarkStart w:id="50" w:name="_Toc197235850"/>
      <w:bookmarkEnd w:id="50"/>
      <w:bookmarkStart w:id="51" w:name="_Toc199647677"/>
      <w:bookmarkEnd w:id="51"/>
      <w:bookmarkStart w:id="52" w:name="_Toc196130112"/>
      <w:bookmarkEnd w:id="52"/>
      <w:r>
        <w:rPr>
          <w:rFonts w:hint="eastAsia" w:ascii="宋体" w:hAnsi="宋体" w:eastAsia="宋体" w:cs="Times New Roman"/>
          <w:b/>
          <w:bCs/>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highlight w:val="none"/>
          <w:u w:val="none"/>
          <w:lang w:val="en-US" w:eastAsia="zh-CN" w:bidi="ar-SA"/>
        </w:rPr>
      </w:pPr>
      <w:r>
        <w:rPr>
          <w:rFonts w:hint="eastAsia" w:ascii="宋体" w:hAnsi="宋体" w:eastAsia="宋体" w:cs="Times New Roman"/>
          <w:b/>
          <w:bCs/>
          <w:kern w:val="2"/>
          <w:sz w:val="24"/>
          <w:highlight w:val="none"/>
          <w:u w:val="none"/>
          <w:lang w:val="en-US" w:eastAsia="zh-CN" w:bidi="ar-SA"/>
        </w:rPr>
        <w:t xml:space="preserve">项目名称：                  </w:t>
      </w:r>
    </w:p>
    <w:tbl>
      <w:tblPr>
        <w:tblStyle w:val="18"/>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kern w:val="2"/>
                <w:sz w:val="24"/>
                <w:szCs w:val="20"/>
                <w:highlight w:val="none"/>
                <w:lang w:eastAsia="zh-CN"/>
              </w:rPr>
            </w:pPr>
            <w:r>
              <w:rPr>
                <w:rFonts w:hint="eastAsia" w:ascii="宋体" w:hAnsi="宋体" w:eastAsia="宋体" w:cs="Times New Roman"/>
                <w:kern w:val="0"/>
                <w:sz w:val="24"/>
                <w:szCs w:val="20"/>
                <w:highlight w:val="none"/>
              </w:rPr>
              <w:t>合同总价</w:t>
            </w:r>
            <w:r>
              <w:rPr>
                <w:rFonts w:hint="eastAsia" w:ascii="宋体" w:hAnsi="宋体" w:eastAsia="宋体" w:cs="Times New Roman"/>
                <w:kern w:val="0"/>
                <w:sz w:val="24"/>
                <w:szCs w:val="20"/>
                <w:highlight w:val="none"/>
                <w:lang w:eastAsia="zh-CN"/>
              </w:rPr>
              <w:t>（</w:t>
            </w:r>
            <w:r>
              <w:rPr>
                <w:rFonts w:hint="eastAsia" w:ascii="宋体" w:hAnsi="宋体" w:eastAsia="宋体" w:cs="Times New Roman"/>
                <w:kern w:val="0"/>
                <w:sz w:val="24"/>
                <w:szCs w:val="20"/>
                <w:highlight w:val="none"/>
                <w:lang w:val="en-US" w:eastAsia="zh-CN"/>
              </w:rPr>
              <w:t>万元</w:t>
            </w:r>
            <w:r>
              <w:rPr>
                <w:rFonts w:hint="eastAsia" w:ascii="宋体" w:hAnsi="宋体" w:eastAsia="宋体" w:cs="Times New Roman"/>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kern w:val="2"/>
                <w:sz w:val="24"/>
                <w:szCs w:val="20"/>
                <w:highlight w:val="none"/>
                <w:lang w:val="en-US"/>
              </w:rPr>
            </w:pPr>
            <w:r>
              <w:rPr>
                <w:rFonts w:hint="eastAsia" w:ascii="宋体" w:hAnsi="宋体" w:eastAsia="宋体" w:cs="Times New Roman"/>
                <w:kern w:val="0"/>
                <w:sz w:val="24"/>
                <w:szCs w:val="20"/>
                <w:highlight w:val="none"/>
                <w:lang w:val="en-US" w:eastAsia="zh-CN"/>
              </w:rPr>
              <w:t>竣工日期</w:t>
            </w:r>
          </w:p>
        </w:tc>
        <w:tc>
          <w:tcPr>
            <w:tcW w:w="1708" w:type="dxa"/>
            <w:noWrap w:val="0"/>
            <w:vAlign w:val="center"/>
          </w:tcPr>
          <w:p>
            <w:pPr>
              <w:jc w:val="left"/>
              <w:rPr>
                <w:rFonts w:hint="default" w:ascii="宋体" w:hAnsi="宋体" w:eastAsia="宋体" w:cs="Times New Roman"/>
                <w:kern w:val="0"/>
                <w:sz w:val="24"/>
                <w:szCs w:val="20"/>
                <w:highlight w:val="none"/>
                <w:lang w:val="en-US"/>
              </w:rPr>
            </w:pPr>
            <w:r>
              <w:rPr>
                <w:rFonts w:hint="default" w:ascii="宋体" w:hAnsi="宋体" w:eastAsia="宋体" w:cs="Times New Roman"/>
                <w:kern w:val="0"/>
                <w:sz w:val="24"/>
                <w:szCs w:val="20"/>
                <w:highlight w:val="none"/>
                <w:lang w:val="en-US"/>
              </w:rPr>
              <w:t>业主单位、</w:t>
            </w:r>
          </w:p>
          <w:p>
            <w:pPr>
              <w:jc w:val="left"/>
              <w:rPr>
                <w:rFonts w:hint="default" w:ascii="宋体" w:hAnsi="宋体" w:eastAsia="宋体" w:cs="Times New Roman"/>
                <w:bCs/>
                <w:kern w:val="2"/>
                <w:sz w:val="24"/>
                <w:szCs w:val="20"/>
                <w:highlight w:val="none"/>
                <w:lang w:val="en-US" w:eastAsia="zh-CN"/>
              </w:rPr>
            </w:pPr>
            <w:r>
              <w:rPr>
                <w:rFonts w:hint="default" w:ascii="宋体" w:hAnsi="宋体" w:eastAsia="宋体" w:cs="Times New Roman"/>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bl>
    <w:p>
      <w:pPr>
        <w:spacing w:line="360" w:lineRule="auto"/>
        <w:rPr>
          <w:rFonts w:ascii="宋体" w:hAnsi="宋体" w:eastAsia="宋体" w:cs="Times New Roman"/>
          <w:kern w:val="2"/>
          <w:sz w:val="24"/>
          <w:szCs w:val="20"/>
          <w:highlight w:val="none"/>
        </w:rPr>
      </w:pP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投标人全称（盖公章）：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法定代表人或投标授权代表（签字或签章）：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highlight w:val="none"/>
          <w:lang w:val="en-US" w:eastAsia="zh-CN" w:bidi="ar-SA"/>
        </w:rPr>
      </w:pPr>
      <w:r>
        <w:rPr>
          <w:rFonts w:hint="eastAsia" w:ascii="宋体" w:hAnsi="宋体" w:eastAsia="宋体" w:cs="Times New Roman"/>
          <w:b/>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4"/>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eastAsiaTheme="minorEastAsia"/>
                <w:b w:val="0"/>
                <w:bCs/>
                <w:color w:val="auto"/>
                <w:sz w:val="21"/>
                <w:szCs w:val="21"/>
                <w:highlight w:val="none"/>
                <w:u w:val="none"/>
                <w:lang w:val="en-US" w:eastAsia="zh-CN"/>
              </w:rPr>
              <w:t>南沙天后宫沙滩观景平台维修维护</w:t>
            </w:r>
            <w:r>
              <w:rPr>
                <w:rFonts w:hint="eastAsia" w:ascii="宋体" w:hAnsi="宋体" w:cs="宋体"/>
                <w:b w:val="0"/>
                <w:bCs/>
                <w:color w:val="auto"/>
                <w:sz w:val="21"/>
                <w:szCs w:val="21"/>
                <w:highlight w:val="none"/>
                <w:u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2"/>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3" w:name="_Toc374128477"/>
      <w:bookmarkEnd w:id="53"/>
      <w:bookmarkStart w:id="54"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5" w:name="_Toc26234"/>
      <w:bookmarkStart w:id="56" w:name="_Toc4893"/>
      <w:bookmarkStart w:id="57" w:name="_Toc25010"/>
      <w:bookmarkStart w:id="58" w:name="_Toc23233"/>
      <w:bookmarkStart w:id="59" w:name="_Toc8367"/>
      <w:bookmarkStart w:id="60" w:name="_Toc24523"/>
      <w:bookmarkStart w:id="61" w:name="_Toc17859"/>
      <w:r>
        <w:rPr>
          <w:rFonts w:hint="eastAsia" w:ascii="黑体" w:hAnsi="宋体" w:cs="黑体"/>
          <w:b/>
          <w:color w:val="auto"/>
          <w:kern w:val="44"/>
          <w:sz w:val="44"/>
          <w:szCs w:val="44"/>
          <w:highlight w:val="none"/>
        </w:rPr>
        <w:t>第4章 评标办法</w:t>
      </w:r>
      <w:bookmarkEnd w:id="54"/>
      <w:bookmarkEnd w:id="55"/>
      <w:bookmarkEnd w:id="56"/>
      <w:bookmarkEnd w:id="57"/>
      <w:bookmarkEnd w:id="58"/>
      <w:bookmarkEnd w:id="59"/>
      <w:bookmarkEnd w:id="60"/>
      <w:bookmarkEnd w:id="61"/>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5"/>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2"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62"/>
    </w:p>
    <w:p>
      <w:pPr>
        <w:pStyle w:val="26"/>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3" w:name="_Toc18242"/>
      <w:bookmarkStart w:id="64" w:name="_Toc13788"/>
      <w:bookmarkStart w:id="65" w:name="_Toc5919"/>
      <w:bookmarkStart w:id="66" w:name="_Toc6823"/>
      <w:bookmarkStart w:id="67" w:name="_Toc3331"/>
      <w:bookmarkStart w:id="68" w:name="_Toc20865"/>
      <w:bookmarkStart w:id="69" w:name="_Toc12170"/>
      <w:bookmarkStart w:id="70" w:name="_Toc11051"/>
      <w:r>
        <w:rPr>
          <w:rFonts w:hint="eastAsia" w:ascii="宋体" w:hAnsi="宋体" w:eastAsia="宋体" w:cs="宋体"/>
          <w:color w:val="auto"/>
          <w:sz w:val="21"/>
          <w:szCs w:val="21"/>
          <w:highlight w:val="none"/>
        </w:rPr>
        <w:t>附件1：符合性审查表</w:t>
      </w:r>
      <w:bookmarkEnd w:id="63"/>
      <w:bookmarkEnd w:id="64"/>
      <w:bookmarkEnd w:id="65"/>
      <w:bookmarkEnd w:id="66"/>
      <w:bookmarkEnd w:id="67"/>
      <w:bookmarkEnd w:id="68"/>
      <w:bookmarkEnd w:id="69"/>
      <w:bookmarkEnd w:id="7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1" w:name="_Toc18783"/>
    </w:p>
    <w:bookmarkEnd w:id="71"/>
    <w:p>
      <w:pPr>
        <w:snapToGrid w:val="0"/>
        <w:ind w:left="74"/>
        <w:outlineLvl w:val="0"/>
        <w:rPr>
          <w:rFonts w:hint="eastAsia" w:ascii="宋体" w:hAnsi="宋体" w:eastAsia="宋体" w:cs="宋体"/>
          <w:b w:val="0"/>
          <w:bCs/>
          <w:color w:val="auto"/>
          <w:sz w:val="21"/>
          <w:szCs w:val="21"/>
          <w:highlight w:val="none"/>
        </w:rPr>
      </w:pPr>
      <w:bookmarkStart w:id="72" w:name="_Toc31760"/>
      <w:bookmarkStart w:id="73" w:name="_Toc5297"/>
      <w:bookmarkStart w:id="74" w:name="_Toc4185"/>
      <w:bookmarkStart w:id="75" w:name="_Toc32519"/>
      <w:bookmarkStart w:id="76" w:name="_Toc6504"/>
      <w:bookmarkStart w:id="77" w:name="_Toc22905"/>
      <w:bookmarkStart w:id="78" w:name="_Toc18739"/>
      <w:bookmarkStart w:id="79" w:name="_Toc15249"/>
      <w:bookmarkStart w:id="80" w:name="_Toc13000"/>
      <w:bookmarkStart w:id="81" w:name="_Toc2642"/>
      <w:bookmarkStart w:id="82" w:name="_Toc20704"/>
      <w:bookmarkStart w:id="83" w:name="_Toc15156"/>
      <w:bookmarkStart w:id="84" w:name="_Toc12016"/>
      <w:r>
        <w:rPr>
          <w:rFonts w:hint="eastAsia" w:ascii="宋体" w:hAnsi="宋体" w:eastAsia="宋体" w:cs="宋体"/>
          <w:b w:val="0"/>
          <w:bCs/>
          <w:color w:val="auto"/>
          <w:sz w:val="21"/>
          <w:szCs w:val="21"/>
          <w:highlight w:val="none"/>
        </w:rPr>
        <w:t>附件2综合评分表（100分）</w:t>
      </w:r>
    </w:p>
    <w:p>
      <w:pPr>
        <w:widowControl w:val="0"/>
        <w:jc w:val="both"/>
        <w:rPr>
          <w:rFonts w:hint="eastAsia" w:ascii="宋体" w:hAnsi="Courier New" w:eastAsia="宋体" w:cs="Times New Roman"/>
          <w:b w:val="0"/>
          <w:bCs w:val="0"/>
          <w:kern w:val="2"/>
          <w:sz w:val="21"/>
          <w:szCs w:val="21"/>
          <w:lang w:val="en-US" w:eastAsia="zh-CN" w:bidi="ar-SA"/>
        </w:rPr>
      </w:pPr>
    </w:p>
    <w:tbl>
      <w:tblPr>
        <w:tblStyle w:val="18"/>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73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1090" w:type="dxa"/>
            <w:shd w:val="clear" w:color="auto" w:fill="auto"/>
            <w:vAlign w:val="center"/>
          </w:tcPr>
          <w:p>
            <w:pPr>
              <w:snapToGrid w:val="0"/>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730"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1"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商务部分（50分）</w:t>
            </w:r>
          </w:p>
          <w:p>
            <w:pPr>
              <w:widowControl w:val="0"/>
              <w:jc w:val="both"/>
              <w:rPr>
                <w:rFonts w:hint="eastAsia" w:ascii="Calibri" w:hAnsi="Calibri" w:eastAsia="宋体" w:cs="Times New Roman"/>
                <w:kern w:val="2"/>
                <w:sz w:val="21"/>
                <w:szCs w:val="24"/>
                <w:highlight w:val="none"/>
                <w:lang w:val="en-US" w:eastAsia="zh-CN" w:bidi="ar-SA"/>
              </w:rPr>
            </w:pPr>
          </w:p>
        </w:tc>
        <w:tc>
          <w:tcPr>
            <w:tcW w:w="1560" w:type="dxa"/>
            <w:shd w:val="clear" w:color="auto" w:fill="auto"/>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000000"/>
                <w:sz w:val="21"/>
                <w:szCs w:val="21"/>
                <w:highlight w:val="none"/>
                <w:lang w:val="en-US" w:eastAsia="zh-CN"/>
              </w:rPr>
              <w:t>企业</w:t>
            </w:r>
            <w:r>
              <w:rPr>
                <w:rFonts w:hint="eastAsia" w:ascii="宋体" w:hAnsi="宋体" w:eastAsia="宋体" w:cs="宋体"/>
                <w:color w:val="000000"/>
                <w:sz w:val="21"/>
                <w:szCs w:val="21"/>
                <w:highlight w:val="none"/>
              </w:rPr>
              <w:t>业绩</w:t>
            </w:r>
          </w:p>
        </w:tc>
        <w:tc>
          <w:tcPr>
            <w:tcW w:w="735" w:type="dxa"/>
            <w:shd w:val="clear" w:color="auto" w:fill="auto"/>
            <w:vAlign w:val="center"/>
          </w:tcPr>
          <w:p>
            <w:pPr>
              <w:jc w:val="center"/>
              <w:rPr>
                <w:rFonts w:hint="default" w:ascii="宋体" w:hAnsi="宋体" w:eastAsia="宋体" w:cs="宋体"/>
                <w:color w:val="auto"/>
                <w:szCs w:val="21"/>
                <w:highlight w:val="none"/>
                <w:lang w:val="en-US"/>
              </w:rPr>
            </w:pPr>
            <w:r>
              <w:rPr>
                <w:rFonts w:hint="eastAsia" w:ascii="宋体" w:hAnsi="宋体" w:eastAsia="宋体" w:cs="宋体"/>
                <w:sz w:val="21"/>
                <w:szCs w:val="21"/>
                <w:highlight w:val="none"/>
                <w:lang w:val="en-US" w:eastAsia="zh-CN"/>
              </w:rPr>
              <w:t>24</w:t>
            </w:r>
          </w:p>
        </w:tc>
        <w:tc>
          <w:tcPr>
            <w:tcW w:w="8730" w:type="dxa"/>
            <w:shd w:val="clear" w:color="auto" w:fill="auto"/>
            <w:vAlign w:val="center"/>
          </w:tcPr>
          <w:p>
            <w:pPr>
              <w:rPr>
                <w:rFonts w:hint="eastAsia" w:ascii="宋体" w:hAnsi="宋体" w:eastAsia="宋体" w:cs="宋体"/>
                <w:highlight w:val="none"/>
              </w:rPr>
            </w:pPr>
            <w:r>
              <w:rPr>
                <w:rFonts w:hint="eastAsia" w:ascii="宋体" w:hAnsi="宋体" w:eastAsia="宋体" w:cs="宋体"/>
                <w:kern w:val="2"/>
                <w:szCs w:val="24"/>
                <w:highlight w:val="none"/>
              </w:rPr>
              <w:t>投标人</w:t>
            </w:r>
            <w:r>
              <w:rPr>
                <w:rFonts w:hint="eastAsia" w:ascii="宋体" w:hAnsi="宋体" w:eastAsia="宋体" w:cs="宋体"/>
                <w:kern w:val="2"/>
                <w:szCs w:val="24"/>
                <w:highlight w:val="none"/>
                <w:lang w:val="en-US" w:eastAsia="zh-CN"/>
              </w:rPr>
              <w:t>2020</w:t>
            </w:r>
            <w:r>
              <w:rPr>
                <w:rFonts w:hint="eastAsia" w:ascii="宋体" w:hAnsi="宋体" w:eastAsia="宋体" w:cs="宋体"/>
                <w:kern w:val="2"/>
                <w:szCs w:val="24"/>
                <w:highlight w:val="none"/>
              </w:rPr>
              <w:t>年1月1日</w:t>
            </w:r>
            <w:r>
              <w:rPr>
                <w:rFonts w:hint="eastAsia" w:ascii="宋体" w:hAnsi="宋体" w:eastAsia="宋体" w:cs="宋体"/>
                <w:kern w:val="2"/>
                <w:szCs w:val="24"/>
                <w:highlight w:val="none"/>
                <w:lang w:val="en-US" w:eastAsia="zh-CN"/>
              </w:rPr>
              <w:t>至今</w:t>
            </w:r>
            <w:r>
              <w:rPr>
                <w:rFonts w:hint="eastAsia" w:ascii="宋体" w:hAnsi="宋体" w:eastAsia="宋体" w:cs="宋体"/>
                <w:kern w:val="2"/>
                <w:szCs w:val="24"/>
                <w:highlight w:val="none"/>
              </w:rPr>
              <w:t>（以</w:t>
            </w:r>
            <w:r>
              <w:rPr>
                <w:rFonts w:hint="eastAsia" w:ascii="宋体" w:hAnsi="宋体" w:eastAsia="宋体" w:cs="宋体"/>
                <w:kern w:val="2"/>
                <w:szCs w:val="24"/>
                <w:highlight w:val="none"/>
                <w:lang w:val="en-US" w:eastAsia="zh-CN"/>
              </w:rPr>
              <w:t>承接</w:t>
            </w:r>
            <w:r>
              <w:rPr>
                <w:rFonts w:hint="eastAsia" w:ascii="宋体" w:hAnsi="宋体" w:eastAsia="宋体" w:cs="宋体"/>
                <w:kern w:val="2"/>
                <w:szCs w:val="24"/>
                <w:highlight w:val="none"/>
              </w:rPr>
              <w:t>合同签订时间为准）</w:t>
            </w:r>
            <w:r>
              <w:rPr>
                <w:rFonts w:hint="eastAsia" w:ascii="宋体" w:hAnsi="宋体" w:eastAsia="宋体" w:cs="宋体"/>
                <w:b w:val="0"/>
                <w:bCs w:val="0"/>
                <w:sz w:val="21"/>
                <w:szCs w:val="24"/>
                <w:highlight w:val="none"/>
                <w:lang w:val="en-US"/>
              </w:rPr>
              <w:t>承接过</w:t>
            </w:r>
            <w:r>
              <w:rPr>
                <w:rFonts w:hint="eastAsia" w:ascii="宋体" w:hAnsi="宋体" w:eastAsia="宋体" w:cs="宋体"/>
                <w:b w:val="0"/>
                <w:bCs w:val="0"/>
                <w:sz w:val="21"/>
                <w:szCs w:val="24"/>
                <w:highlight w:val="none"/>
                <w:lang w:val="en-US" w:eastAsia="zh-CN"/>
              </w:rPr>
              <w:t>单项合同金额</w:t>
            </w:r>
            <w:r>
              <w:rPr>
                <w:rFonts w:hint="eastAsia" w:ascii="宋体" w:hAnsi="宋体" w:eastAsia="宋体" w:cs="宋体"/>
                <w:color w:val="auto"/>
                <w:szCs w:val="21"/>
                <w:highlight w:val="none"/>
                <w:lang w:val="en-US" w:eastAsia="zh-CN"/>
              </w:rPr>
              <w:t>25</w:t>
            </w:r>
            <w:r>
              <w:rPr>
                <w:rFonts w:hint="eastAsia" w:ascii="宋体" w:hAnsi="宋体" w:eastAsia="宋体" w:cs="宋体"/>
                <w:color w:val="auto"/>
                <w:szCs w:val="21"/>
                <w:highlight w:val="none"/>
              </w:rPr>
              <w:t>万元</w:t>
            </w:r>
            <w:r>
              <w:rPr>
                <w:rFonts w:hint="eastAsia" w:ascii="宋体" w:hAnsi="宋体" w:eastAsia="宋体" w:cs="宋体"/>
                <w:color w:val="auto"/>
                <w:szCs w:val="21"/>
                <w:highlight w:val="none"/>
                <w:lang w:val="en-US" w:eastAsia="zh-CN"/>
              </w:rPr>
              <w:t>及</w:t>
            </w:r>
            <w:r>
              <w:rPr>
                <w:rFonts w:hint="eastAsia" w:ascii="宋体" w:hAnsi="宋体" w:eastAsia="宋体" w:cs="宋体"/>
                <w:color w:val="auto"/>
                <w:szCs w:val="21"/>
                <w:highlight w:val="none"/>
              </w:rPr>
              <w:t>以上的</w:t>
            </w:r>
            <w:r>
              <w:rPr>
                <w:rFonts w:hint="eastAsia" w:ascii="宋体" w:hAnsi="宋体" w:eastAsia="宋体" w:cs="宋体"/>
                <w:color w:val="auto"/>
                <w:szCs w:val="21"/>
                <w:highlight w:val="none"/>
                <w:lang w:val="en-US" w:eastAsia="zh-CN"/>
              </w:rPr>
              <w:t>类似</w:t>
            </w:r>
            <w:r>
              <w:rPr>
                <w:rFonts w:hint="eastAsia" w:ascii="宋体" w:hAnsi="宋体" w:eastAsia="宋体" w:cs="宋体"/>
                <w:sz w:val="21"/>
                <w:szCs w:val="21"/>
                <w:highlight w:val="none"/>
                <w:lang w:val="en-US" w:eastAsia="zh-CN"/>
              </w:rPr>
              <w:t>市政道路</w:t>
            </w:r>
            <w:r>
              <w:rPr>
                <w:rFonts w:hint="eastAsia" w:ascii="宋体" w:hAnsi="宋体" w:eastAsia="宋体" w:cs="宋体"/>
                <w:sz w:val="21"/>
                <w:szCs w:val="21"/>
                <w:highlight w:val="none"/>
                <w:lang w:val="zh-TW"/>
              </w:rPr>
              <w:t>工程施工</w:t>
            </w:r>
            <w:r>
              <w:rPr>
                <w:rFonts w:hint="eastAsia" w:ascii="宋体" w:hAnsi="宋体" w:eastAsia="宋体" w:cs="宋体"/>
                <w:bCs/>
                <w:color w:val="auto"/>
                <w:sz w:val="21"/>
                <w:szCs w:val="21"/>
                <w:highlight w:val="none"/>
              </w:rPr>
              <w:t>业绩</w:t>
            </w:r>
            <w:r>
              <w:rPr>
                <w:rFonts w:hint="eastAsia" w:ascii="宋体" w:hAnsi="宋体" w:eastAsia="宋体" w:cs="宋体"/>
                <w:b w:val="0"/>
                <w:bCs w:val="0"/>
                <w:sz w:val="21"/>
                <w:szCs w:val="24"/>
                <w:highlight w:val="none"/>
                <w:lang w:val="en-US"/>
              </w:rPr>
              <w:t>，</w:t>
            </w:r>
            <w:r>
              <w:rPr>
                <w:rFonts w:hint="eastAsia" w:ascii="宋体" w:hAnsi="宋体" w:eastAsia="宋体" w:cs="宋体"/>
                <w:b w:val="0"/>
                <w:bCs w:val="0"/>
                <w:sz w:val="21"/>
                <w:szCs w:val="24"/>
                <w:highlight w:val="none"/>
                <w:lang w:val="en-US" w:eastAsia="zh-CN"/>
              </w:rPr>
              <w:t>每提供一个得8分，</w:t>
            </w:r>
            <w:r>
              <w:rPr>
                <w:rFonts w:hint="eastAsia" w:ascii="宋体" w:hAnsi="宋体" w:eastAsia="宋体" w:cs="宋体"/>
                <w:highlight w:val="none"/>
              </w:rPr>
              <w:t>本项最</w:t>
            </w:r>
            <w:r>
              <w:rPr>
                <w:rFonts w:hint="eastAsia" w:ascii="宋体" w:hAnsi="宋体" w:eastAsia="宋体" w:cs="宋体"/>
                <w:highlight w:val="none"/>
                <w:lang w:val="en-US" w:eastAsia="zh-CN"/>
              </w:rPr>
              <w:t>高得</w:t>
            </w:r>
            <w:r>
              <w:rPr>
                <w:rFonts w:hint="default" w:ascii="宋体" w:hAnsi="宋体" w:eastAsia="宋体" w:cs="宋体"/>
                <w:highlight w:val="none"/>
                <w:lang w:val="en-US" w:eastAsia="zh-CN"/>
              </w:rPr>
              <w:t>24</w:t>
            </w:r>
            <w:r>
              <w:rPr>
                <w:rFonts w:hint="eastAsia" w:ascii="宋体" w:hAnsi="宋体" w:eastAsia="宋体" w:cs="宋体"/>
                <w:highlight w:val="none"/>
                <w:lang w:val="en-US" w:eastAsia="zh-CN"/>
              </w:rPr>
              <w:t>分</w:t>
            </w:r>
            <w:r>
              <w:rPr>
                <w:rFonts w:hint="eastAsia" w:ascii="宋体" w:hAnsi="宋体" w:eastAsia="宋体" w:cs="宋体"/>
                <w:highlight w:val="none"/>
              </w:rPr>
              <w:t>。</w:t>
            </w:r>
          </w:p>
          <w:p>
            <w:pPr>
              <w:rPr>
                <w:rFonts w:hint="eastAsia" w:ascii="宋体" w:hAnsi="宋体" w:eastAsia="宋体" w:cs="宋体"/>
                <w:color w:val="auto"/>
                <w:szCs w:val="21"/>
                <w:highlight w:val="none"/>
              </w:rPr>
            </w:pPr>
            <w:r>
              <w:rPr>
                <w:rFonts w:hint="default" w:ascii="Calibri" w:hAnsi="Calibri" w:eastAsia="宋体" w:cs="Times New Roman"/>
                <w:b w:val="0"/>
                <w:bCs w:val="0"/>
                <w:kern w:val="2"/>
                <w:sz w:val="21"/>
                <w:szCs w:val="24"/>
                <w:highlight w:val="none"/>
                <w:lang w:val="en-US" w:eastAsia="zh-CN" w:bidi="ar-SA"/>
              </w:rPr>
              <w:t>注：</w:t>
            </w:r>
            <w:r>
              <w:rPr>
                <w:rFonts w:hint="eastAsia" w:ascii="宋体" w:hAnsi="宋体" w:eastAsia="宋体" w:cs="宋体"/>
                <w:color w:val="auto"/>
                <w:szCs w:val="21"/>
                <w:highlight w:val="none"/>
              </w:rPr>
              <w:t>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合同关键页复印件（体现施工内容及</w:t>
            </w:r>
            <w:r>
              <w:rPr>
                <w:rFonts w:hint="eastAsia" w:ascii="宋体" w:hAnsi="宋体" w:eastAsia="宋体" w:cs="宋体"/>
                <w:color w:val="auto"/>
                <w:szCs w:val="21"/>
                <w:highlight w:val="none"/>
                <w:lang w:eastAsia="zh-CN"/>
              </w:rPr>
              <w:t>金</w:t>
            </w:r>
            <w:r>
              <w:rPr>
                <w:rFonts w:hint="eastAsia" w:ascii="宋体" w:hAnsi="宋体" w:eastAsia="宋体" w:cs="宋体"/>
                <w:color w:val="auto"/>
                <w:szCs w:val="21"/>
                <w:highlight w:val="none"/>
              </w:rPr>
              <w:t>额的页面、盖章页等），不提供、提供不全或专家无法认定的不得分，业绩时间以合同签订时间为准。</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atLeast"/>
          <w:jc w:val="center"/>
        </w:trPr>
        <w:tc>
          <w:tcPr>
            <w:tcW w:w="1090" w:type="dxa"/>
            <w:vMerge w:val="continue"/>
            <w:shd w:val="clear" w:color="auto" w:fill="auto"/>
            <w:vAlign w:val="center"/>
          </w:tcPr>
          <w:p>
            <w:pPr>
              <w:widowControl w:val="0"/>
              <w:jc w:val="both"/>
              <w:rPr>
                <w:rFonts w:hint="eastAsia" w:ascii="Calibri" w:hAnsi="Calibri" w:eastAsia="宋体" w:cs="Times New Roman"/>
                <w:kern w:val="2"/>
                <w:sz w:val="21"/>
                <w:szCs w:val="24"/>
                <w:highlight w:val="none"/>
                <w:lang w:val="en-US" w:eastAsia="zh-CN" w:bidi="ar-SA"/>
              </w:rPr>
            </w:pPr>
          </w:p>
        </w:tc>
        <w:tc>
          <w:tcPr>
            <w:tcW w:w="1560" w:type="dxa"/>
            <w:shd w:val="clear" w:color="auto" w:fill="auto"/>
            <w:vAlign w:val="center"/>
          </w:tcPr>
          <w:p>
            <w:pPr>
              <w:widowControl/>
              <w:ind w:left="-42" w:leftChars="0" w:right="-61" w:rightChars="0"/>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企业荣誉</w:t>
            </w:r>
          </w:p>
        </w:tc>
        <w:tc>
          <w:tcPr>
            <w:tcW w:w="735" w:type="dxa"/>
            <w:shd w:val="clear" w:color="auto" w:fill="auto"/>
            <w:vAlign w:val="center"/>
          </w:tcPr>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8730" w:type="dxa"/>
            <w:shd w:val="clear" w:color="auto" w:fill="auto"/>
            <w:vAlign w:val="center"/>
          </w:tcPr>
          <w:p>
            <w:pPr>
              <w:numPr>
                <w:ilvl w:val="0"/>
                <w:numId w:val="6"/>
              </w:numPr>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投标人具有</w:t>
            </w:r>
            <w:r>
              <w:rPr>
                <w:rFonts w:hint="eastAsia" w:ascii="宋体" w:hAnsi="宋体" w:eastAsia="宋体" w:cs="宋体"/>
                <w:kern w:val="2"/>
                <w:szCs w:val="24"/>
                <w:highlight w:val="none"/>
                <w:lang w:val="en-US" w:eastAsia="zh-CN"/>
              </w:rPr>
              <w:t>2020年度</w:t>
            </w:r>
            <w:r>
              <w:rPr>
                <w:rFonts w:hint="eastAsia" w:ascii="Calibri" w:hAnsi="Calibri" w:eastAsia="宋体" w:cs="Times New Roman"/>
                <w:kern w:val="2"/>
                <w:szCs w:val="24"/>
                <w:highlight w:val="none"/>
                <w:lang w:val="en-US" w:eastAsia="zh-CN"/>
              </w:rPr>
              <w:t>至今</w:t>
            </w:r>
            <w:r>
              <w:rPr>
                <w:rFonts w:hint="eastAsia" w:ascii="宋体" w:hAnsi="宋体" w:eastAsia="宋体" w:cs="Times New Roman"/>
                <w:szCs w:val="21"/>
                <w:highlight w:val="none"/>
              </w:rPr>
              <w:t>工商行政部门或市场监督管理局颁发的“守合同重信用企业”证书，</w:t>
            </w:r>
            <w:bookmarkStart w:id="97" w:name="_GoBack"/>
            <w:bookmarkEnd w:id="97"/>
            <w:r>
              <w:rPr>
                <w:rFonts w:hint="eastAsia" w:ascii="宋体" w:hAnsi="宋体" w:eastAsia="宋体" w:cs="宋体"/>
                <w:b w:val="0"/>
                <w:bCs w:val="0"/>
                <w:sz w:val="21"/>
                <w:szCs w:val="24"/>
                <w:highlight w:val="none"/>
                <w:lang w:val="en-US" w:eastAsia="zh-CN"/>
              </w:rPr>
              <w:t>提供一个</w:t>
            </w:r>
            <w:r>
              <w:rPr>
                <w:rFonts w:hint="eastAsia" w:ascii="宋体" w:hAnsi="宋体" w:eastAsia="宋体" w:cs="Times New Roman"/>
                <w:szCs w:val="21"/>
                <w:highlight w:val="none"/>
              </w:rPr>
              <w:t>得</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分，</w:t>
            </w:r>
            <w:r>
              <w:rPr>
                <w:rFonts w:hint="eastAsia" w:ascii="宋体" w:hAnsi="宋体" w:eastAsia="宋体" w:cs="Times New Roman"/>
                <w:szCs w:val="21"/>
                <w:highlight w:val="none"/>
                <w:lang w:val="en-US" w:eastAsia="zh-CN"/>
              </w:rPr>
              <w:t>本项</w:t>
            </w:r>
            <w:r>
              <w:rPr>
                <w:rFonts w:hint="eastAsia" w:ascii="宋体" w:hAnsi="宋体" w:eastAsia="宋体" w:cs="Times New Roman"/>
                <w:szCs w:val="21"/>
                <w:highlight w:val="none"/>
              </w:rPr>
              <w:t>最高得</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分。需提供证书复印件，不符合或不提供不得分</w:t>
            </w:r>
            <w:r>
              <w:rPr>
                <w:rFonts w:hint="eastAsia" w:ascii="宋体" w:hAnsi="宋体" w:eastAsia="宋体" w:cs="Times New Roman"/>
                <w:szCs w:val="21"/>
                <w:highlight w:val="none"/>
                <w:lang w:eastAsia="zh-CN"/>
              </w:rPr>
              <w:t>。</w:t>
            </w:r>
          </w:p>
          <w:p>
            <w:pP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投投标人获得“高新技术企业”证书并在有效期内的得</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分</w:t>
            </w:r>
            <w:r>
              <w:rPr>
                <w:rFonts w:hint="eastAsia" w:ascii="宋体" w:hAnsi="宋体" w:eastAsia="宋体" w:cs="Times New Roman"/>
                <w:szCs w:val="21"/>
                <w:highlight w:val="none"/>
                <w:lang w:val="en-US" w:eastAsia="zh-CN"/>
              </w:rPr>
              <w:t>，</w:t>
            </w:r>
            <w:r>
              <w:rPr>
                <w:rFonts w:hint="eastAsia" w:ascii="宋体" w:hAnsi="宋体" w:eastAsia="宋体" w:cs="宋体"/>
                <w:highlight w:val="none"/>
              </w:rPr>
              <w:t>本项最</w:t>
            </w:r>
            <w:r>
              <w:rPr>
                <w:rFonts w:hint="eastAsia" w:ascii="宋体" w:hAnsi="宋体" w:eastAsia="宋体" w:cs="宋体"/>
                <w:highlight w:val="none"/>
                <w:lang w:val="en-US" w:eastAsia="zh-CN"/>
              </w:rPr>
              <w:t>高得5分。</w:t>
            </w:r>
            <w:r>
              <w:rPr>
                <w:rFonts w:hint="eastAsia" w:ascii="宋体" w:hAnsi="宋体" w:eastAsia="宋体" w:cs="Times New Roman"/>
                <w:szCs w:val="21"/>
                <w:highlight w:val="none"/>
              </w:rPr>
              <w:t>需提供证书复印件</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不符合或不提供不得分</w:t>
            </w:r>
            <w:r>
              <w:rPr>
                <w:rFonts w:hint="eastAsia" w:ascii="宋体" w:hAnsi="宋体" w:eastAsia="宋体" w:cs="Times New Roman"/>
                <w:szCs w:val="21"/>
                <w:highlight w:val="none"/>
                <w:lang w:eastAsia="zh-CN"/>
              </w:rPr>
              <w:t>。</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6" w:hRule="atLeast"/>
          <w:jc w:val="center"/>
        </w:trPr>
        <w:tc>
          <w:tcPr>
            <w:tcW w:w="1090" w:type="dxa"/>
            <w:vMerge w:val="continue"/>
            <w:shd w:val="clear" w:color="auto" w:fill="auto"/>
            <w:vAlign w:val="center"/>
          </w:tcPr>
          <w:p>
            <w:pPr>
              <w:widowControl w:val="0"/>
              <w:jc w:val="both"/>
              <w:rPr>
                <w:rFonts w:hint="eastAsia" w:ascii="Calibri" w:hAnsi="Calibri" w:eastAsia="宋体" w:cs="Times New Roman"/>
                <w:kern w:val="2"/>
                <w:sz w:val="21"/>
                <w:szCs w:val="24"/>
                <w:highlight w:val="none"/>
                <w:lang w:val="en-US" w:eastAsia="zh-CN" w:bidi="ar-SA"/>
              </w:rPr>
            </w:pPr>
          </w:p>
        </w:tc>
        <w:tc>
          <w:tcPr>
            <w:tcW w:w="1560" w:type="dxa"/>
            <w:vMerge w:val="restart"/>
            <w:shd w:val="clear" w:color="auto" w:fill="auto"/>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pacing w:val="-5"/>
                <w:szCs w:val="21"/>
                <w:highlight w:val="none"/>
              </w:rPr>
              <w:t>拟派本项目团队情况</w:t>
            </w:r>
          </w:p>
        </w:tc>
        <w:tc>
          <w:tcPr>
            <w:tcW w:w="735" w:type="dxa"/>
            <w:shd w:val="clear" w:color="auto" w:fill="auto"/>
            <w:vAlign w:val="center"/>
          </w:tcPr>
          <w:p>
            <w:pPr>
              <w:jc w:val="center"/>
              <w:rPr>
                <w:rFonts w:hint="default" w:ascii="宋体" w:hAnsi="宋体" w:eastAsia="宋体" w:cs="宋体"/>
                <w:color w:val="auto"/>
                <w:szCs w:val="21"/>
                <w:highlight w:val="none"/>
                <w:lang w:val="en-US"/>
              </w:rPr>
            </w:pPr>
            <w:r>
              <w:rPr>
                <w:rFonts w:hint="eastAsia" w:ascii="宋体" w:hAnsi="宋体" w:eastAsia="宋体" w:cs="宋体"/>
                <w:sz w:val="21"/>
                <w:szCs w:val="21"/>
                <w:highlight w:val="none"/>
                <w:lang w:val="en-US" w:eastAsia="zh-CN"/>
              </w:rPr>
              <w:t>8</w:t>
            </w:r>
          </w:p>
        </w:tc>
        <w:tc>
          <w:tcPr>
            <w:tcW w:w="8730" w:type="dxa"/>
            <w:shd w:val="clear" w:color="auto" w:fill="auto"/>
            <w:vAlign w:val="center"/>
          </w:tcPr>
          <w:p>
            <w:pPr>
              <w:rPr>
                <w:rFonts w:hint="eastAsia" w:ascii="宋体" w:hAnsi="宋体" w:eastAsia="宋体" w:cs="宋体"/>
                <w:bCs/>
                <w:color w:val="000000"/>
                <w:sz w:val="21"/>
                <w:szCs w:val="21"/>
                <w:highlight w:val="none"/>
                <w:lang w:eastAsia="zh-CN"/>
              </w:rPr>
            </w:pPr>
            <w:r>
              <w:rPr>
                <w:rFonts w:hint="eastAsia" w:ascii="宋体" w:hAnsi="宋体" w:eastAsia="宋体" w:cs="宋体"/>
                <w:bCs/>
                <w:color w:val="000000"/>
                <w:sz w:val="21"/>
                <w:szCs w:val="21"/>
                <w:highlight w:val="none"/>
              </w:rPr>
              <w:t>项目负责人</w:t>
            </w:r>
            <w:r>
              <w:rPr>
                <w:rFonts w:hint="eastAsia" w:ascii="宋体" w:hAnsi="宋体" w:eastAsia="宋体" w:cs="宋体"/>
                <w:bCs/>
                <w:color w:val="000000"/>
                <w:sz w:val="21"/>
                <w:szCs w:val="21"/>
                <w:highlight w:val="none"/>
                <w:lang w:val="en-US" w:eastAsia="zh-CN"/>
              </w:rPr>
              <w:t>同时</w:t>
            </w:r>
            <w:r>
              <w:rPr>
                <w:rFonts w:hint="eastAsia" w:ascii="宋体" w:hAnsi="宋体" w:eastAsia="宋体" w:cs="宋体"/>
                <w:bCs/>
                <w:color w:val="000000"/>
                <w:sz w:val="21"/>
                <w:szCs w:val="21"/>
                <w:highlight w:val="none"/>
              </w:rPr>
              <w:t>具有</w:t>
            </w:r>
            <w:r>
              <w:rPr>
                <w:rFonts w:hint="eastAsia" w:ascii="宋体" w:hAnsi="宋体" w:eastAsia="宋体" w:cs="宋体"/>
                <w:bCs/>
                <w:color w:val="000000"/>
                <w:sz w:val="21"/>
                <w:szCs w:val="21"/>
                <w:highlight w:val="none"/>
                <w:lang w:val="en-US" w:eastAsia="zh-CN"/>
              </w:rPr>
              <w:t>建筑</w:t>
            </w:r>
            <w:r>
              <w:rPr>
                <w:rFonts w:hint="eastAsia" w:ascii="宋体" w:hAnsi="宋体" w:eastAsia="宋体" w:cs="宋体"/>
                <w:bCs/>
                <w:color w:val="000000"/>
                <w:sz w:val="21"/>
                <w:szCs w:val="21"/>
                <w:highlight w:val="none"/>
              </w:rPr>
              <w:t>工程</w:t>
            </w:r>
            <w:r>
              <w:rPr>
                <w:rFonts w:hint="eastAsia" w:ascii="宋体" w:hAnsi="宋体" w:eastAsia="宋体" w:cs="宋体"/>
                <w:bCs/>
                <w:color w:val="000000"/>
                <w:sz w:val="21"/>
                <w:szCs w:val="21"/>
                <w:highlight w:val="none"/>
                <w:lang w:eastAsia="zh-CN"/>
              </w:rPr>
              <w:t>、</w:t>
            </w:r>
            <w:r>
              <w:rPr>
                <w:rFonts w:hint="eastAsia" w:ascii="宋体" w:hAnsi="宋体" w:eastAsia="宋体" w:cs="宋体"/>
                <w:bCs/>
                <w:color w:val="000000"/>
                <w:sz w:val="21"/>
                <w:szCs w:val="21"/>
                <w:highlight w:val="none"/>
                <w:lang w:val="en-US" w:eastAsia="zh-CN"/>
              </w:rPr>
              <w:t>市政公用工程专业</w:t>
            </w:r>
            <w:r>
              <w:rPr>
                <w:rFonts w:hint="eastAsia" w:ascii="宋体" w:hAnsi="宋体" w:eastAsia="宋体" w:cs="宋体"/>
                <w:bCs/>
                <w:color w:val="000000"/>
                <w:sz w:val="21"/>
                <w:szCs w:val="21"/>
                <w:highlight w:val="none"/>
              </w:rPr>
              <w:t>二级</w:t>
            </w:r>
            <w:r>
              <w:rPr>
                <w:rFonts w:hint="eastAsia" w:ascii="宋体" w:hAnsi="宋体" w:eastAsia="宋体" w:cs="宋体"/>
                <w:bCs/>
                <w:color w:val="000000"/>
                <w:sz w:val="21"/>
                <w:szCs w:val="21"/>
                <w:highlight w:val="none"/>
                <w:lang w:val="en-US" w:eastAsia="zh-CN"/>
              </w:rPr>
              <w:t>或以上</w:t>
            </w:r>
            <w:r>
              <w:rPr>
                <w:rFonts w:hint="eastAsia" w:ascii="宋体" w:hAnsi="宋体" w:eastAsia="宋体" w:cs="宋体"/>
                <w:bCs/>
                <w:color w:val="000000"/>
                <w:sz w:val="21"/>
                <w:szCs w:val="21"/>
                <w:highlight w:val="none"/>
              </w:rPr>
              <w:t>注册建造师得</w:t>
            </w:r>
            <w:r>
              <w:rPr>
                <w:rFonts w:hint="eastAsia" w:ascii="宋体" w:hAnsi="宋体" w:eastAsia="宋体" w:cs="宋体"/>
                <w:bCs/>
                <w:color w:val="000000"/>
                <w:sz w:val="21"/>
                <w:szCs w:val="21"/>
                <w:highlight w:val="none"/>
                <w:lang w:val="en-US" w:eastAsia="zh-CN"/>
              </w:rPr>
              <w:t>8</w:t>
            </w:r>
            <w:r>
              <w:rPr>
                <w:rFonts w:hint="eastAsia" w:ascii="宋体" w:hAnsi="宋体" w:eastAsia="宋体" w:cs="宋体"/>
                <w:bCs/>
                <w:color w:val="000000"/>
                <w:sz w:val="21"/>
                <w:szCs w:val="21"/>
                <w:highlight w:val="none"/>
              </w:rPr>
              <w:t>分</w:t>
            </w:r>
            <w:r>
              <w:rPr>
                <w:rFonts w:hint="eastAsia" w:ascii="宋体" w:hAnsi="宋体" w:eastAsia="宋体" w:cs="宋体"/>
                <w:bCs/>
                <w:color w:val="000000"/>
                <w:sz w:val="21"/>
                <w:szCs w:val="21"/>
                <w:highlight w:val="none"/>
                <w:lang w:eastAsia="zh-CN"/>
              </w:rPr>
              <w:t>。</w:t>
            </w:r>
          </w:p>
          <w:p>
            <w:pPr>
              <w:rPr>
                <w:rFonts w:hint="eastAsia" w:ascii="宋体" w:hAnsi="宋体" w:eastAsia="宋体" w:cs="宋体"/>
                <w:color w:val="auto"/>
                <w:szCs w:val="21"/>
                <w:highlight w:val="none"/>
              </w:rPr>
            </w:pPr>
            <w:r>
              <w:rPr>
                <w:rFonts w:hint="eastAsia" w:ascii="宋体" w:hAnsi="宋体" w:eastAsia="宋体" w:cs="宋体"/>
                <w:color w:val="auto"/>
                <w:spacing w:val="-5"/>
                <w:szCs w:val="21"/>
                <w:highlight w:val="none"/>
              </w:rPr>
              <w:t>注：</w:t>
            </w:r>
            <w:r>
              <w:rPr>
                <w:rFonts w:hint="eastAsia" w:ascii="宋体" w:hAnsi="宋体" w:eastAsia="宋体" w:cs="宋体"/>
                <w:b w:val="0"/>
                <w:bCs w:val="0"/>
                <w:color w:val="auto"/>
                <w:sz w:val="21"/>
                <w:szCs w:val="21"/>
                <w:highlight w:val="none"/>
                <w:lang w:val="en-US" w:eastAsia="zh-CN"/>
              </w:rPr>
              <w:t>需</w:t>
            </w:r>
            <w:r>
              <w:rPr>
                <w:rFonts w:hint="eastAsia" w:ascii="宋体" w:hAnsi="宋体" w:eastAsia="宋体" w:cs="宋体"/>
                <w:b w:val="0"/>
                <w:bCs w:val="0"/>
                <w:color w:val="auto"/>
                <w:sz w:val="21"/>
                <w:szCs w:val="21"/>
                <w:highlight w:val="none"/>
              </w:rPr>
              <w:t>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w:t>
            </w:r>
            <w:r>
              <w:rPr>
                <w:rFonts w:hint="eastAsia" w:ascii="宋体" w:hAnsi="宋体" w:eastAsia="宋体" w:cs="宋体"/>
                <w:b w:val="0"/>
                <w:bCs w:val="0"/>
                <w:color w:val="auto"/>
                <w:kern w:val="2"/>
                <w:sz w:val="21"/>
                <w:szCs w:val="21"/>
                <w:highlight w:val="none"/>
                <w:lang w:val="en-US" w:eastAsia="zh-CN"/>
              </w:rPr>
              <w:t>和</w:t>
            </w:r>
            <w:r>
              <w:rPr>
                <w:rFonts w:hint="eastAsia" w:ascii="宋体" w:hAnsi="宋体" w:eastAsia="宋体" w:cs="宋体"/>
                <w:b w:val="0"/>
                <w:bCs w:val="0"/>
                <w:color w:val="auto"/>
                <w:sz w:val="21"/>
                <w:szCs w:val="21"/>
                <w:highlight w:val="none"/>
              </w:rPr>
              <w:t>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sz w:val="21"/>
                <w:szCs w:val="21"/>
                <w:highlight w:val="none"/>
              </w:rPr>
              <w:t>提供不齐或不提供不得分</w:t>
            </w:r>
            <w:r>
              <w:rPr>
                <w:rFonts w:hint="eastAsia" w:ascii="宋体" w:hAnsi="宋体" w:eastAsia="宋体" w:cs="宋体"/>
                <w:b w:val="0"/>
                <w:bCs w:val="0"/>
                <w:color w:val="auto"/>
                <w:sz w:val="21"/>
                <w:szCs w:val="21"/>
                <w:highlight w:val="none"/>
              </w:rPr>
              <w:t>。</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1" w:hRule="atLeast"/>
          <w:jc w:val="center"/>
        </w:trPr>
        <w:tc>
          <w:tcPr>
            <w:tcW w:w="1090" w:type="dxa"/>
            <w:vMerge w:val="continue"/>
            <w:shd w:val="clear" w:color="auto" w:fill="auto"/>
            <w:vAlign w:val="center"/>
          </w:tcPr>
          <w:p>
            <w:pPr>
              <w:widowControl w:val="0"/>
              <w:jc w:val="both"/>
              <w:rPr>
                <w:rFonts w:hint="eastAsia" w:ascii="Calibri" w:hAnsi="Calibri" w:eastAsia="宋体" w:cs="Times New Roman"/>
                <w:kern w:val="2"/>
                <w:sz w:val="21"/>
                <w:szCs w:val="24"/>
                <w:highlight w:val="none"/>
                <w:lang w:val="en-US" w:eastAsia="zh-CN" w:bidi="ar-SA"/>
              </w:rPr>
            </w:pPr>
          </w:p>
        </w:tc>
        <w:tc>
          <w:tcPr>
            <w:tcW w:w="1560" w:type="dxa"/>
            <w:vMerge w:val="continue"/>
            <w:shd w:val="clear" w:color="auto" w:fill="auto"/>
            <w:vAlign w:val="center"/>
          </w:tcPr>
          <w:p>
            <w:pPr>
              <w:widowControl/>
              <w:ind w:left="-42" w:leftChars="0" w:right="-61" w:rightChars="0"/>
              <w:jc w:val="center"/>
              <w:rPr>
                <w:rFonts w:hint="eastAsia" w:ascii="宋体" w:hAnsi="宋体" w:eastAsia="宋体" w:cs="宋体"/>
                <w:sz w:val="21"/>
                <w:szCs w:val="21"/>
                <w:highlight w:val="none"/>
              </w:rPr>
            </w:pPr>
          </w:p>
        </w:tc>
        <w:tc>
          <w:tcPr>
            <w:tcW w:w="735" w:type="dxa"/>
            <w:shd w:val="clear" w:color="auto" w:fill="auto"/>
            <w:vAlign w:val="center"/>
          </w:tcPr>
          <w:p>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8730" w:type="dxa"/>
            <w:shd w:val="clear" w:color="auto" w:fill="auto"/>
            <w:vAlign w:val="center"/>
          </w:tcPr>
          <w:p>
            <w:pPr>
              <w:spacing w:line="240" w:lineRule="auto"/>
              <w:rPr>
                <w:rFonts w:hint="eastAsia" w:ascii="宋体" w:hAnsi="宋体" w:eastAsia="宋体" w:cs="Arial Unicode MS"/>
                <w:szCs w:val="21"/>
                <w:highlight w:val="none"/>
              </w:rPr>
            </w:pPr>
            <w:r>
              <w:rPr>
                <w:rFonts w:hint="eastAsia" w:ascii="宋体" w:hAnsi="宋体" w:eastAsia="宋体" w:cs="Arial Unicode MS"/>
                <w:szCs w:val="21"/>
                <w:highlight w:val="none"/>
              </w:rPr>
              <w:t>拟委派的</w:t>
            </w:r>
            <w:r>
              <w:rPr>
                <w:rFonts w:ascii="Times New Roman" w:hAnsi="Times New Roman" w:eastAsia="宋体" w:cs="Arial Unicode MS"/>
                <w:szCs w:val="21"/>
                <w:highlight w:val="none"/>
              </w:rPr>
              <w:t>除项目负责人</w:t>
            </w:r>
            <w:r>
              <w:rPr>
                <w:rFonts w:hint="eastAsia" w:ascii="Times New Roman" w:hAnsi="Times New Roman" w:eastAsia="宋体" w:cs="Arial Unicode MS"/>
                <w:szCs w:val="21"/>
                <w:highlight w:val="none"/>
              </w:rPr>
              <w:t>外的其他人员</w:t>
            </w:r>
            <w:r>
              <w:rPr>
                <w:rFonts w:hint="eastAsia" w:ascii="宋体" w:hAnsi="宋体" w:eastAsia="宋体" w:cs="Arial Unicode MS"/>
                <w:szCs w:val="21"/>
                <w:highlight w:val="none"/>
              </w:rPr>
              <w:t>：</w:t>
            </w:r>
          </w:p>
          <w:p>
            <w:pPr>
              <w:numPr>
                <w:ilvl w:val="-1"/>
                <w:numId w:val="0"/>
              </w:numPr>
              <w:spacing w:line="240" w:lineRule="auto"/>
              <w:rPr>
                <w:rFonts w:hint="eastAsia" w:ascii="宋体" w:hAnsi="宋体" w:eastAsia="宋体" w:cs="Times New Roman"/>
                <w:bCs/>
                <w:szCs w:val="21"/>
                <w:highlight w:val="none"/>
              </w:rPr>
            </w:pPr>
            <w:r>
              <w:rPr>
                <w:rFonts w:hint="eastAsia" w:ascii="宋体" w:hAnsi="宋体" w:eastAsia="宋体" w:cs="Times New Roman"/>
                <w:bCs/>
                <w:szCs w:val="21"/>
                <w:highlight w:val="none"/>
                <w:lang w:val="en-US" w:eastAsia="zh-CN"/>
              </w:rPr>
              <w:t>1.</w:t>
            </w:r>
            <w:r>
              <w:rPr>
                <w:rFonts w:hint="eastAsia" w:ascii="宋体" w:hAnsi="宋体" w:eastAsia="宋体" w:cs="Times New Roman"/>
                <w:bCs/>
                <w:szCs w:val="21"/>
                <w:highlight w:val="none"/>
                <w:lang w:eastAsia="zh-CN"/>
              </w:rPr>
              <w:t>技术负责人</w:t>
            </w:r>
            <w:r>
              <w:rPr>
                <w:rFonts w:hint="eastAsia" w:ascii="宋体" w:hAnsi="宋体" w:eastAsia="宋体" w:cs="Times New Roman"/>
                <w:bCs/>
                <w:szCs w:val="21"/>
                <w:highlight w:val="none"/>
              </w:rPr>
              <w:t>具有</w:t>
            </w:r>
            <w:r>
              <w:rPr>
                <w:rFonts w:hint="eastAsia" w:ascii="宋体" w:hAnsi="宋体" w:eastAsia="宋体" w:cs="Times New Roman"/>
                <w:bCs/>
                <w:szCs w:val="21"/>
                <w:highlight w:val="none"/>
                <w:lang w:eastAsia="zh-CN"/>
              </w:rPr>
              <w:t>建筑工程中级</w:t>
            </w:r>
            <w:r>
              <w:rPr>
                <w:rFonts w:hint="eastAsia" w:ascii="宋体" w:hAnsi="宋体" w:eastAsia="宋体" w:cs="Times New Roman"/>
                <w:bCs/>
                <w:szCs w:val="21"/>
                <w:highlight w:val="none"/>
              </w:rPr>
              <w:t>工程师职称，得</w:t>
            </w:r>
            <w:r>
              <w:rPr>
                <w:rFonts w:hint="eastAsia" w:ascii="宋体" w:hAnsi="宋体" w:eastAsia="宋体" w:cs="Times New Roman"/>
                <w:bCs/>
                <w:szCs w:val="21"/>
                <w:highlight w:val="none"/>
                <w:lang w:val="en-US" w:eastAsia="zh-CN"/>
              </w:rPr>
              <w:t>4</w:t>
            </w:r>
            <w:r>
              <w:rPr>
                <w:rFonts w:hint="eastAsia" w:ascii="宋体" w:hAnsi="宋体" w:eastAsia="宋体" w:cs="Times New Roman"/>
                <w:bCs/>
                <w:szCs w:val="21"/>
                <w:highlight w:val="none"/>
              </w:rPr>
              <w:t>分</w:t>
            </w:r>
            <w:r>
              <w:rPr>
                <w:rFonts w:hint="eastAsia" w:ascii="宋体" w:hAnsi="宋体" w:eastAsia="宋体" w:cs="Times New Roman"/>
                <w:bCs/>
                <w:szCs w:val="21"/>
                <w:highlight w:val="none"/>
                <w:lang w:eastAsia="zh-CN"/>
              </w:rPr>
              <w:t>。</w:t>
            </w:r>
          </w:p>
          <w:p>
            <w:pPr>
              <w:numPr>
                <w:ilvl w:val="-1"/>
                <w:numId w:val="0"/>
              </w:numPr>
              <w:spacing w:line="240" w:lineRule="auto"/>
              <w:rPr>
                <w:rFonts w:hint="eastAsia" w:ascii="宋体" w:hAnsi="宋体" w:eastAsia="宋体" w:cs="Times New Roman"/>
                <w:bCs/>
                <w:szCs w:val="21"/>
                <w:highlight w:val="none"/>
              </w:rPr>
            </w:pPr>
            <w:r>
              <w:rPr>
                <w:rFonts w:hint="eastAsia" w:ascii="宋体" w:hAnsi="宋体" w:eastAsia="宋体" w:cs="Times New Roman"/>
                <w:bCs/>
                <w:szCs w:val="21"/>
                <w:highlight w:val="none"/>
                <w:lang w:val="en-US" w:eastAsia="zh-CN"/>
              </w:rPr>
              <w:t>2.</w:t>
            </w:r>
            <w:r>
              <w:rPr>
                <w:rFonts w:hint="eastAsia" w:ascii="宋体" w:hAnsi="宋体" w:eastAsia="宋体" w:cs="Times New Roman"/>
                <w:bCs/>
                <w:szCs w:val="21"/>
                <w:highlight w:val="none"/>
                <w:lang w:eastAsia="zh-CN"/>
              </w:rPr>
              <w:t>具</w:t>
            </w:r>
            <w:r>
              <w:rPr>
                <w:rFonts w:hint="eastAsia" w:ascii="宋体" w:hAnsi="宋体" w:eastAsia="宋体" w:cs="Times New Roman"/>
                <w:bCs/>
                <w:szCs w:val="21"/>
                <w:highlight w:val="none"/>
                <w:lang w:val="en-US" w:eastAsia="zh-CN"/>
              </w:rPr>
              <w:t>有</w:t>
            </w:r>
            <w:r>
              <w:rPr>
                <w:rFonts w:hint="eastAsia" w:ascii="宋体" w:hAnsi="宋体" w:eastAsia="宋体" w:cs="Times New Roman"/>
                <w:bCs/>
                <w:szCs w:val="21"/>
                <w:highlight w:val="none"/>
                <w:lang w:eastAsia="zh-CN"/>
              </w:rPr>
              <w:t>土木建筑</w:t>
            </w:r>
            <w:r>
              <w:rPr>
                <w:rFonts w:hint="eastAsia" w:ascii="宋体" w:hAnsi="宋体" w:eastAsia="宋体" w:cs="Times New Roman"/>
                <w:bCs/>
                <w:szCs w:val="21"/>
                <w:highlight w:val="none"/>
                <w:lang w:val="en-US" w:eastAsia="zh-CN"/>
              </w:rPr>
              <w:t>二</w:t>
            </w:r>
            <w:r>
              <w:rPr>
                <w:rFonts w:hint="eastAsia" w:ascii="宋体" w:hAnsi="宋体" w:eastAsia="宋体" w:cs="Times New Roman"/>
                <w:bCs/>
                <w:szCs w:val="21"/>
                <w:highlight w:val="none"/>
                <w:lang w:eastAsia="zh-CN"/>
              </w:rPr>
              <w:t>级造价工程师</w:t>
            </w:r>
            <w:r>
              <w:rPr>
                <w:rFonts w:hint="eastAsia" w:ascii="宋体" w:hAnsi="宋体" w:eastAsia="宋体" w:cs="Times New Roman"/>
                <w:bCs/>
                <w:szCs w:val="21"/>
                <w:highlight w:val="none"/>
              </w:rPr>
              <w:t>，得</w:t>
            </w:r>
            <w:r>
              <w:rPr>
                <w:rFonts w:hint="eastAsia" w:ascii="宋体" w:hAnsi="宋体" w:eastAsia="宋体" w:cs="Times New Roman"/>
                <w:bCs/>
                <w:szCs w:val="21"/>
                <w:highlight w:val="none"/>
                <w:lang w:val="en-US" w:eastAsia="zh-CN"/>
              </w:rPr>
              <w:t>4</w:t>
            </w:r>
            <w:r>
              <w:rPr>
                <w:rFonts w:hint="eastAsia" w:ascii="宋体" w:hAnsi="宋体" w:eastAsia="宋体" w:cs="Times New Roman"/>
                <w:bCs/>
                <w:szCs w:val="21"/>
                <w:highlight w:val="none"/>
              </w:rPr>
              <w:t>分</w:t>
            </w:r>
            <w:r>
              <w:rPr>
                <w:rFonts w:hint="eastAsia" w:ascii="宋体" w:hAnsi="宋体" w:eastAsia="宋体" w:cs="Times New Roman"/>
                <w:bCs/>
                <w:szCs w:val="21"/>
                <w:highlight w:val="none"/>
                <w:lang w:eastAsia="zh-CN"/>
              </w:rPr>
              <w:t>。</w:t>
            </w:r>
          </w:p>
          <w:p>
            <w:pPr>
              <w:rPr>
                <w:rFonts w:hint="eastAsia" w:ascii="宋体" w:hAnsi="宋体" w:eastAsia="宋体" w:cs="宋体"/>
                <w:szCs w:val="21"/>
                <w:highlight w:val="none"/>
              </w:rPr>
            </w:pPr>
            <w:r>
              <w:rPr>
                <w:rFonts w:hint="eastAsia" w:ascii="宋体" w:hAnsi="宋体" w:eastAsia="宋体" w:cs="宋体"/>
                <w:szCs w:val="21"/>
                <w:highlight w:val="none"/>
              </w:rPr>
              <w:t>本项最高得</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w:t>
            </w:r>
          </w:p>
          <w:p>
            <w:pPr>
              <w:rPr>
                <w:rFonts w:hint="eastAsia" w:ascii="宋体" w:hAnsi="宋体" w:eastAsia="宋体" w:cs="宋体"/>
                <w:sz w:val="21"/>
                <w:szCs w:val="21"/>
                <w:highlight w:val="none"/>
                <w:lang w:val="en-US" w:eastAsia="zh-CN"/>
              </w:rPr>
            </w:pPr>
            <w:r>
              <w:rPr>
                <w:rFonts w:hint="eastAsia" w:ascii="宋体" w:hAnsi="宋体" w:eastAsia="宋体" w:cs="宋体"/>
                <w:color w:val="auto"/>
                <w:spacing w:val="-5"/>
                <w:szCs w:val="21"/>
                <w:highlight w:val="none"/>
              </w:rPr>
              <w:t>注：</w:t>
            </w:r>
            <w:r>
              <w:rPr>
                <w:rFonts w:hint="eastAsia" w:ascii="宋体" w:hAnsi="宋体" w:eastAsia="宋体" w:cs="宋体"/>
                <w:b w:val="0"/>
                <w:bCs w:val="0"/>
                <w:color w:val="auto"/>
                <w:sz w:val="21"/>
                <w:szCs w:val="21"/>
                <w:highlight w:val="none"/>
                <w:lang w:val="en-US" w:eastAsia="zh-CN"/>
              </w:rPr>
              <w:t>需</w:t>
            </w:r>
            <w:r>
              <w:rPr>
                <w:rFonts w:hint="eastAsia" w:ascii="宋体" w:hAnsi="宋体" w:eastAsia="宋体" w:cs="宋体"/>
                <w:b w:val="0"/>
                <w:bCs w:val="0"/>
                <w:color w:val="auto"/>
                <w:sz w:val="21"/>
                <w:szCs w:val="21"/>
                <w:highlight w:val="none"/>
              </w:rPr>
              <w:t>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w:t>
            </w:r>
            <w:r>
              <w:rPr>
                <w:rFonts w:hint="eastAsia" w:ascii="宋体" w:hAnsi="宋体" w:eastAsia="宋体" w:cs="宋体"/>
                <w:b w:val="0"/>
                <w:bCs w:val="0"/>
                <w:color w:val="auto"/>
                <w:kern w:val="2"/>
                <w:sz w:val="21"/>
                <w:szCs w:val="21"/>
                <w:highlight w:val="none"/>
                <w:lang w:val="en-US" w:eastAsia="zh-CN"/>
              </w:rPr>
              <w:t xml:space="preserve">和 </w:t>
            </w:r>
            <w:r>
              <w:rPr>
                <w:rFonts w:hint="eastAsia" w:ascii="宋体" w:hAnsi="宋体" w:eastAsia="宋体" w:cs="宋体"/>
                <w:b w:val="0"/>
                <w:bCs w:val="0"/>
                <w:color w:val="auto"/>
                <w:sz w:val="21"/>
                <w:szCs w:val="21"/>
                <w:highlight w:val="none"/>
              </w:rPr>
              <w:t>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sz w:val="21"/>
                <w:szCs w:val="21"/>
                <w:highlight w:val="none"/>
              </w:rPr>
              <w:t>提供不齐或不提供不得分</w:t>
            </w:r>
            <w:r>
              <w:rPr>
                <w:rFonts w:hint="eastAsia" w:ascii="宋体" w:hAnsi="宋体" w:eastAsia="宋体" w:cs="宋体"/>
                <w:b w:val="0"/>
                <w:bCs w:val="0"/>
                <w:color w:val="auto"/>
                <w:sz w:val="21"/>
                <w:szCs w:val="21"/>
                <w:highlight w:val="none"/>
              </w:rPr>
              <w:t>。</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3"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p>
            <w:pPr>
              <w:snapToGrid w:val="0"/>
              <w:ind w:left="-2" w:leftChars="-1"/>
              <w:jc w:val="center"/>
              <w:rPr>
                <w:rFonts w:hint="eastAsia" w:ascii="宋体" w:hAnsi="宋体" w:eastAsia="宋体" w:cs="宋体"/>
                <w:color w:val="auto"/>
                <w:szCs w:val="21"/>
                <w:highlight w:val="none"/>
                <w:lang w:eastAsia="zh-CN"/>
              </w:rPr>
            </w:pPr>
          </w:p>
          <w:p>
            <w:pPr>
              <w:snapToGrid w:val="0"/>
              <w:ind w:left="0" w:left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50分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jc w:val="center"/>
              <w:rPr>
                <w:rFonts w:hint="eastAsia" w:ascii="宋体" w:hAnsi="宋体" w:eastAsia="宋体" w:cs="宋体"/>
                <w:b w:val="0"/>
                <w:bCs w:val="0"/>
                <w:color w:val="auto"/>
                <w:sz w:val="21"/>
                <w:szCs w:val="21"/>
                <w:highlight w:val="none"/>
              </w:rPr>
            </w:pPr>
            <w:r>
              <w:rPr>
                <w:rFonts w:hint="eastAsia" w:ascii="宋体" w:hAnsi="宋体" w:cs="宋体"/>
                <w:sz w:val="21"/>
                <w:szCs w:val="21"/>
                <w:highlight w:val="none"/>
              </w:rPr>
              <w:t>项目进度及控制措施</w:t>
            </w:r>
          </w:p>
        </w:tc>
        <w:tc>
          <w:tcPr>
            <w:tcW w:w="735" w:type="dxa"/>
            <w:shd w:val="clear" w:color="auto" w:fill="auto"/>
            <w:vAlign w:val="center"/>
          </w:tcPr>
          <w:p>
            <w:pPr>
              <w:snapToGrid/>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sz w:val="21"/>
                <w:szCs w:val="21"/>
                <w:highlight w:val="none"/>
                <w:lang w:val="en-US" w:eastAsia="zh-CN"/>
              </w:rPr>
              <w:t>10</w:t>
            </w:r>
          </w:p>
        </w:tc>
        <w:tc>
          <w:tcPr>
            <w:tcW w:w="8730" w:type="dxa"/>
            <w:shd w:val="clear" w:color="auto" w:fill="auto"/>
            <w:vAlign w:val="center"/>
          </w:tcPr>
          <w:p>
            <w:pPr>
              <w:numPr>
                <w:ilvl w:val="0"/>
                <w:numId w:val="7"/>
              </w:numPr>
              <w:jc w:val="left"/>
              <w:rPr>
                <w:rFonts w:hint="eastAsia"/>
                <w:sz w:val="21"/>
                <w:szCs w:val="21"/>
                <w:highlight w:val="none"/>
              </w:rPr>
            </w:pPr>
            <w:r>
              <w:rPr>
                <w:rFonts w:hint="eastAsia" w:asciiTheme="minorHAnsi" w:eastAsiaTheme="minorEastAsia"/>
                <w:sz w:val="21"/>
                <w:szCs w:val="21"/>
                <w:highlight w:val="none"/>
                <w:lang w:val="en-US" w:eastAsia="zh-CN"/>
              </w:rPr>
              <w:t>优：</w:t>
            </w:r>
            <w:r>
              <w:rPr>
                <w:rFonts w:hint="eastAsia"/>
                <w:sz w:val="21"/>
                <w:szCs w:val="21"/>
                <w:highlight w:val="none"/>
              </w:rPr>
              <w:t>项目进度及控制措施详尽可行，完善，能满足项目要求，得</w:t>
            </w:r>
            <w:r>
              <w:rPr>
                <w:rFonts w:hint="eastAsia" w:ascii="宋体" w:hAnsi="宋体" w:cs="宋体"/>
                <w:sz w:val="21"/>
                <w:szCs w:val="21"/>
                <w:highlight w:val="none"/>
                <w:lang w:val="en-US" w:eastAsia="zh-CN"/>
              </w:rPr>
              <w:t>8-10</w:t>
            </w:r>
            <w:r>
              <w:rPr>
                <w:rFonts w:hint="eastAsia"/>
                <w:sz w:val="21"/>
                <w:szCs w:val="21"/>
                <w:highlight w:val="none"/>
              </w:rPr>
              <w:t>分</w:t>
            </w:r>
            <w:r>
              <w:rPr>
                <w:rFonts w:hint="eastAsia" w:eastAsiaTheme="minorEastAsia"/>
                <w:sz w:val="21"/>
                <w:szCs w:val="21"/>
                <w:highlight w:val="none"/>
                <w:lang w:eastAsia="zh-CN"/>
              </w:rPr>
              <w:t>；</w:t>
            </w:r>
          </w:p>
          <w:p>
            <w:pPr>
              <w:numPr>
                <w:ilvl w:val="0"/>
                <w:numId w:val="7"/>
              </w:numPr>
              <w:jc w:val="left"/>
              <w:rPr>
                <w:rFonts w:ascii="宋体" w:hAnsi="宋体" w:eastAsia="宋体" w:cs="宋体"/>
                <w:color w:val="auto"/>
                <w:szCs w:val="21"/>
                <w:highlight w:val="none"/>
              </w:rPr>
            </w:pPr>
            <w:r>
              <w:rPr>
                <w:rFonts w:hint="eastAsia" w:asciiTheme="minorHAnsi" w:eastAsiaTheme="minorEastAsia"/>
                <w:sz w:val="21"/>
                <w:szCs w:val="21"/>
                <w:highlight w:val="none"/>
                <w:lang w:val="en-US" w:eastAsia="zh-CN"/>
              </w:rPr>
              <w:t>中：</w:t>
            </w:r>
            <w:r>
              <w:rPr>
                <w:rFonts w:hint="eastAsia"/>
                <w:sz w:val="21"/>
                <w:szCs w:val="21"/>
                <w:highlight w:val="none"/>
              </w:rPr>
              <w:t>项目进度及控制措施可行，完善，能基本满足项目要求，得</w:t>
            </w:r>
            <w:r>
              <w:rPr>
                <w:rFonts w:hint="eastAsia" w:ascii="宋体" w:hAnsi="宋体" w:cs="宋体"/>
                <w:sz w:val="21"/>
                <w:szCs w:val="21"/>
                <w:highlight w:val="none"/>
                <w:lang w:val="en-US" w:eastAsia="zh-CN"/>
              </w:rPr>
              <w:t>6-7</w:t>
            </w:r>
            <w:r>
              <w:rPr>
                <w:rFonts w:hint="eastAsia"/>
                <w:sz w:val="21"/>
                <w:szCs w:val="21"/>
                <w:highlight w:val="none"/>
              </w:rPr>
              <w:t>分；</w:t>
            </w:r>
          </w:p>
          <w:p>
            <w:pPr>
              <w:numPr>
                <w:ilvl w:val="0"/>
                <w:numId w:val="7"/>
              </w:numPr>
              <w:jc w:val="left"/>
              <w:rPr>
                <w:rFonts w:ascii="宋体" w:hAnsi="宋体" w:eastAsia="宋体" w:cs="宋体"/>
                <w:color w:val="auto"/>
                <w:szCs w:val="21"/>
                <w:highlight w:val="none"/>
              </w:rPr>
            </w:pPr>
            <w:r>
              <w:rPr>
                <w:rFonts w:hint="eastAsia" w:asciiTheme="minorHAnsi" w:eastAsiaTheme="minorEastAsia"/>
                <w:sz w:val="21"/>
                <w:szCs w:val="21"/>
                <w:highlight w:val="none"/>
                <w:lang w:val="en-US" w:eastAsia="zh-CN"/>
              </w:rPr>
              <w:t>差：</w:t>
            </w:r>
            <w:r>
              <w:rPr>
                <w:rFonts w:hint="eastAsia"/>
                <w:sz w:val="21"/>
                <w:szCs w:val="21"/>
                <w:highlight w:val="none"/>
              </w:rPr>
              <w:t>项目进度及控制措施一般，勉强</w:t>
            </w:r>
            <w:r>
              <w:rPr>
                <w:rFonts w:hint="eastAsia" w:ascii="宋体" w:hAnsi="宋体" w:cs="宋体"/>
                <w:sz w:val="21"/>
                <w:szCs w:val="21"/>
                <w:highlight w:val="none"/>
              </w:rPr>
              <w:t>能</w:t>
            </w:r>
            <w:r>
              <w:rPr>
                <w:rFonts w:hint="eastAsia"/>
                <w:sz w:val="21"/>
                <w:szCs w:val="21"/>
                <w:highlight w:val="none"/>
              </w:rPr>
              <w:t>满足项目要求，得</w:t>
            </w:r>
            <w:r>
              <w:rPr>
                <w:rFonts w:hint="eastAsia" w:ascii="宋体" w:hAnsi="宋体" w:cs="宋体"/>
                <w:sz w:val="21"/>
                <w:szCs w:val="21"/>
                <w:highlight w:val="none"/>
                <w:lang w:val="en-US" w:eastAsia="zh-CN"/>
              </w:rPr>
              <w:t>0-5</w:t>
            </w:r>
            <w:r>
              <w:rPr>
                <w:rFonts w:hint="eastAsia"/>
                <w:sz w:val="21"/>
                <w:szCs w:val="21"/>
                <w:highlight w:val="none"/>
              </w:rPr>
              <w:t>分</w:t>
            </w:r>
            <w:r>
              <w:rPr>
                <w:rFonts w:hint="eastAsia" w:eastAsiaTheme="minorEastAsia"/>
                <w:sz w:val="21"/>
                <w:szCs w:val="21"/>
                <w:highlight w:val="none"/>
                <w:lang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提供方案则不得分。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3"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sz w:val="21"/>
                <w:szCs w:val="21"/>
                <w:highlight w:val="none"/>
              </w:rPr>
            </w:pPr>
            <w:r>
              <w:rPr>
                <w:rFonts w:hint="eastAsia" w:ascii="宋体" w:hAnsi="宋体" w:eastAsia="宋体" w:cs="宋体"/>
                <w:color w:val="auto"/>
                <w:spacing w:val="-5"/>
                <w:szCs w:val="21"/>
                <w:highlight w:val="none"/>
              </w:rPr>
              <w:t>对项目的理解程度、重点难点分析情况</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1、优：对具体项目的理解程度、特点、实施难点、易损多发维修点清楚，有针对性，得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2、中：对具体项目的理解程度、特点、实施难点、易损多发维修点较清楚，较有针对性，得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3、差：对具体项目的理解程度、特点、实施难点、易损多发维修点了解一般，针对性一般，得0-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snapToGrid w:val="0"/>
              <w:ind w:left="-2" w:leftChars="-1"/>
              <w:jc w:val="left"/>
              <w:rPr>
                <w:rFonts w:hint="eastAsia" w:ascii="宋体" w:hAnsi="宋体" w:eastAsia="宋体" w:cs="宋体"/>
                <w:sz w:val="21"/>
                <w:szCs w:val="21"/>
                <w:highlight w:val="none"/>
                <w:lang w:val="en-US" w:eastAsia="zh-CN"/>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提供方案则不得分。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sz w:val="21"/>
                <w:szCs w:val="21"/>
                <w:highlight w:val="none"/>
              </w:rPr>
            </w:pPr>
            <w:r>
              <w:rPr>
                <w:rFonts w:hint="eastAsia" w:ascii="宋体" w:hAnsi="宋体" w:eastAsia="宋体" w:cs="宋体"/>
                <w:color w:val="0C0C0C"/>
                <w:sz w:val="21"/>
                <w:szCs w:val="21"/>
                <w:highlight w:val="none"/>
                <w:lang w:bidi="ar"/>
              </w:rPr>
              <w:t>质量保证措施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snapToGrid w:val="0"/>
              <w:ind w:left="-2" w:leftChars="-1"/>
              <w:jc w:val="left"/>
              <w:rPr>
                <w:rFonts w:hint="eastAsia" w:ascii="宋体" w:hAnsi="宋体" w:eastAsia="宋体" w:cs="宋体"/>
                <w:sz w:val="21"/>
                <w:szCs w:val="21"/>
                <w:highlight w:val="none"/>
                <w:lang w:val="en-US" w:eastAsia="zh-CN"/>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提供方案则不得分。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6"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snapToGrid w:val="0"/>
              <w:ind w:left="-2" w:leftChars="-1"/>
              <w:jc w:val="center"/>
              <w:rPr>
                <w:rFonts w:hint="eastAsia" w:ascii="宋体" w:hAnsi="宋体" w:eastAsia="宋体" w:cs="宋体"/>
                <w:color w:val="auto"/>
                <w:kern w:val="2"/>
                <w:sz w:val="21"/>
                <w:szCs w:val="21"/>
                <w:highlight w:val="none"/>
                <w:lang w:val="en-US" w:eastAsia="zh-CN" w:bidi="ar-SA"/>
              </w:rPr>
            </w:pPr>
          </w:p>
        </w:tc>
        <w:tc>
          <w:tcPr>
            <w:tcW w:w="735" w:type="dxa"/>
            <w:shd w:val="clear" w:color="auto" w:fill="auto"/>
            <w:vAlign w:val="center"/>
          </w:tcPr>
          <w:p>
            <w:pPr>
              <w:snapToGrid w:val="0"/>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1、优：对本服务项目安全生产工作提出具体管理方案，安全防护制度健全，可行性高，能有效保障本服务项目的安全实施，得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2、中：对本服务项目安全生产工作提出具体管理方案，安全防护制度可行性较高，基本保障本服务项目的安全实施，得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3、差：对本服务项目安全生产工作提出具体管理方案，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snapToGrid w:val="0"/>
              <w:ind w:left="-2" w:leftChars="-1"/>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 xml:space="preserve">提供方案则不得分。 </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7"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rPr>
              <w:t>应急方案</w:t>
            </w:r>
          </w:p>
        </w:tc>
        <w:tc>
          <w:tcPr>
            <w:tcW w:w="735" w:type="dxa"/>
            <w:shd w:val="clear" w:color="auto" w:fill="auto"/>
            <w:vAlign w:val="center"/>
          </w:tcPr>
          <w:p>
            <w:pPr>
              <w:spacing w:line="360" w:lineRule="exact"/>
              <w:ind w:left="-2" w:leftChars="-1"/>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10</w:t>
            </w:r>
          </w:p>
        </w:tc>
        <w:tc>
          <w:tcPr>
            <w:tcW w:w="8730" w:type="dxa"/>
            <w:shd w:val="clear" w:color="auto" w:fill="auto"/>
            <w:vAlign w:val="center"/>
          </w:tcPr>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优：</w:t>
            </w:r>
            <w:r>
              <w:rPr>
                <w:rFonts w:hint="eastAsia" w:ascii="宋体" w:hAnsi="宋体" w:eastAsia="宋体" w:cs="宋体"/>
                <w:sz w:val="21"/>
                <w:szCs w:val="21"/>
                <w:highlight w:val="none"/>
              </w:rPr>
              <w:t>提出的突发事件的应急预案和处理措施（包括应急响应时间、处理措施等）优秀，内容详细全面，可实施性强，得</w:t>
            </w:r>
            <w:r>
              <w:rPr>
                <w:rFonts w:hint="eastAsia" w:ascii="宋体" w:hAnsi="宋体" w:eastAsia="宋体" w:cs="宋体"/>
                <w:color w:val="auto"/>
                <w:szCs w:val="21"/>
                <w:highlight w:val="none"/>
                <w:lang w:val="en-US" w:eastAsia="zh-CN"/>
              </w:rPr>
              <w:t>8-10</w:t>
            </w:r>
            <w:r>
              <w:rPr>
                <w:rFonts w:hint="eastAsia" w:ascii="宋体" w:hAnsi="宋体" w:eastAsia="宋体" w:cs="宋体"/>
                <w:sz w:val="21"/>
                <w:szCs w:val="21"/>
                <w:highlight w:val="none"/>
              </w:rPr>
              <w:t>分；</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中：</w:t>
            </w:r>
            <w:r>
              <w:rPr>
                <w:rFonts w:hint="eastAsia" w:ascii="宋体" w:hAnsi="宋体" w:eastAsia="宋体" w:cs="宋体"/>
                <w:sz w:val="21"/>
                <w:szCs w:val="21"/>
                <w:highlight w:val="none"/>
              </w:rPr>
              <w:t>提出的突发事件的应急预案和处理措施（包括应急响应时间、处理措施等）良好，内容较详细，可实施性较强，得</w:t>
            </w:r>
            <w:r>
              <w:rPr>
                <w:rFonts w:hint="eastAsia" w:ascii="宋体" w:hAnsi="宋体" w:eastAsia="宋体" w:cs="宋体"/>
                <w:color w:val="auto"/>
                <w:szCs w:val="21"/>
                <w:highlight w:val="none"/>
                <w:lang w:val="en-US" w:eastAsia="zh-CN"/>
              </w:rPr>
              <w:t>6-7</w:t>
            </w:r>
            <w:r>
              <w:rPr>
                <w:rFonts w:hint="eastAsia" w:ascii="宋体" w:hAnsi="宋体" w:eastAsia="宋体" w:cs="宋体"/>
                <w:sz w:val="21"/>
                <w:szCs w:val="21"/>
                <w:highlight w:val="none"/>
              </w:rPr>
              <w:t>分；</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差：</w:t>
            </w:r>
            <w:r>
              <w:rPr>
                <w:rFonts w:hint="eastAsia" w:ascii="宋体" w:hAnsi="宋体" w:eastAsia="宋体" w:cs="宋体"/>
                <w:sz w:val="21"/>
                <w:szCs w:val="21"/>
                <w:highlight w:val="none"/>
              </w:rPr>
              <w:t>提出的突发事件的应急预案和处理措施（包括应急响应时间、处理措施等）一般，内容一般，可实施性不强，得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sz w:val="21"/>
                <w:szCs w:val="21"/>
                <w:highlight w:val="none"/>
              </w:rPr>
              <w:t>分；</w:t>
            </w:r>
          </w:p>
          <w:p>
            <w:pPr>
              <w:spacing w:line="360" w:lineRule="exact"/>
              <w:ind w:left="-2" w:leftChars="-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highlight w:val="none"/>
              </w:rPr>
              <w:t>不提供方案不得分</w:t>
            </w:r>
            <w:r>
              <w:rPr>
                <w:rFonts w:hint="eastAsia" w:ascii="宋体" w:hAnsi="宋体" w:eastAsia="宋体" w:cs="宋体"/>
                <w:sz w:val="21"/>
                <w:szCs w:val="21"/>
                <w:highlight w:val="none"/>
                <w:lang w:eastAsia="zh-CN"/>
              </w:rPr>
              <w:t>。</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65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73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spacing w:line="360" w:lineRule="exact"/>
        <w:ind w:left="74" w:firstLine="0" w:firstLineChars="0"/>
        <w:jc w:val="left"/>
        <w:rPr>
          <w:rFonts w:ascii="Calibri" w:hAnsi="Calibri" w:eastAsia="宋体" w:cs="Times New Roman"/>
          <w:highlight w:val="none"/>
        </w:rPr>
      </w:pPr>
      <w:r>
        <w:rPr>
          <w:rFonts w:hint="eastAsia" w:ascii="仿宋" w:hAnsi="仿宋" w:eastAsia="仿宋" w:cs="宋体"/>
          <w:color w:val="auto"/>
          <w:sz w:val="24"/>
          <w:highlight w:val="none"/>
        </w:rPr>
        <w:t xml:space="preserve"> </w:t>
      </w:r>
      <w:r>
        <w:rPr>
          <w:rFonts w:hint="eastAsia" w:ascii="仿宋" w:hAnsi="仿宋" w:eastAsia="仿宋" w:cs="宋体"/>
          <w:color w:val="auto"/>
          <w:sz w:val="24"/>
          <w:highlight w:val="none"/>
          <w:lang w:val="en-US" w:eastAsia="zh-CN"/>
        </w:rPr>
        <w:t xml:space="preserve">   </w:t>
      </w:r>
      <w:r>
        <w:rPr>
          <w:rFonts w:hint="eastAsia" w:ascii="宋体" w:hAnsi="宋体" w:eastAsia="宋体" w:cs="宋体"/>
          <w:color w:val="auto"/>
          <w:szCs w:val="21"/>
          <w:highlight w:val="none"/>
        </w:rPr>
        <w:t>说明：</w:t>
      </w:r>
      <w:r>
        <w:rPr>
          <w:rFonts w:hint="eastAsia" w:ascii="宋体" w:hAnsi="宋体" w:eastAsia="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Cs w:val="18"/>
          <w:highlight w:val="none"/>
          <w:lang w:eastAsia="zh-CN"/>
        </w:rPr>
        <w:t>。</w:t>
      </w: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ind w:firstLine="1050" w:firstLineChars="500"/>
        <w:rPr>
          <w:rFonts w:ascii="Calibri" w:hAnsi="Calibri" w:eastAsia="宋体" w:cs="Times New Roman"/>
          <w:highlight w:val="none"/>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bookmarkEnd w:id="72"/>
    <w:bookmarkEnd w:id="73"/>
    <w:bookmarkEnd w:id="74"/>
    <w:bookmarkEnd w:id="75"/>
    <w:bookmarkEnd w:id="76"/>
    <w:bookmarkEnd w:id="77"/>
    <w:bookmarkEnd w:id="78"/>
    <w:bookmarkEnd w:id="79"/>
    <w:bookmarkEnd w:id="80"/>
    <w:bookmarkEnd w:id="81"/>
    <w:bookmarkEnd w:id="82"/>
    <w:bookmarkEnd w:id="83"/>
    <w:bookmarkEnd w:id="84"/>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widowControl w:val="0"/>
        <w:jc w:val="both"/>
        <w:rPr>
          <w:rFonts w:hint="default" w:ascii="宋体" w:hAnsi="宋体" w:eastAsia="宋体" w:cs="宋体"/>
          <w:color w:val="auto"/>
          <w:kern w:val="2"/>
          <w:sz w:val="21"/>
          <w:szCs w:val="21"/>
          <w:highlight w:val="none"/>
          <w:lang w:val="en-US" w:eastAsia="zh-CN" w:bidi="ar-SA"/>
        </w:rPr>
      </w:pPr>
    </w:p>
    <w:tbl>
      <w:tblPr>
        <w:tblStyle w:val="18"/>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投标报价等于基准价为满分100分，高于基准价的1%扣1分，低于基准价的1%扣0.5分，以此类推。最低得分0分。得分保留两位小数。计算公式如下：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1、报价等于基准价的，得分=100。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2、报价高于基准价的，得分=100-[（报价-基准价）/基准价]×100×1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pStyle w:val="2"/>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5" w:name="_Toc17298"/>
      <w:bookmarkStart w:id="86" w:name="_Toc27349"/>
      <w:bookmarkStart w:id="87" w:name="_Toc17416"/>
      <w:bookmarkStart w:id="88" w:name="_Toc10364"/>
      <w:bookmarkStart w:id="89" w:name="_Toc4858"/>
      <w:bookmarkStart w:id="90" w:name="_Toc17435"/>
      <w:bookmarkStart w:id="91" w:name="_Toc17392"/>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5"/>
      <w:bookmarkEnd w:id="86"/>
      <w:bookmarkEnd w:id="87"/>
      <w:bookmarkEnd w:id="88"/>
      <w:bookmarkEnd w:id="89"/>
      <w:bookmarkEnd w:id="90"/>
      <w:bookmarkEnd w:id="91"/>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广州南沙旅游发展有限公司</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z w:val="24"/>
          <w:szCs w:val="24"/>
          <w:highlight w:val="none"/>
          <w:u w:val="single"/>
          <w:lang w:val="en-US" w:eastAsia="zh-CN"/>
        </w:rPr>
        <w:t>南沙天后宫沙滩观景平台维修维护项目</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2"/>
        <w:rPr>
          <w:rFonts w:hint="default"/>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2" w:name="_Toc26871"/>
      <w:bookmarkStart w:id="93" w:name="_Toc24807"/>
      <w:bookmarkStart w:id="94" w:name="_Toc3465"/>
      <w:bookmarkStart w:id="95" w:name="_Toc9237"/>
      <w:bookmarkStart w:id="96" w:name="_Toc17693"/>
      <w:r>
        <w:rPr>
          <w:rFonts w:hint="eastAsia" w:ascii="宋体" w:hAnsi="宋体" w:cs="宋体" w:eastAsiaTheme="minorEastAsia"/>
          <w:b/>
          <w:color w:val="auto"/>
          <w:kern w:val="0"/>
          <w:sz w:val="28"/>
          <w:szCs w:val="28"/>
          <w:highlight w:val="none"/>
          <w:lang w:val="en-US" w:eastAsia="zh-CN"/>
        </w:rPr>
        <w:t>非联合体投标声明（格式自拟）</w:t>
      </w:r>
      <w:bookmarkEnd w:id="92"/>
      <w:bookmarkEnd w:id="93"/>
      <w:bookmarkEnd w:id="94"/>
      <w:bookmarkEnd w:id="95"/>
      <w:bookmarkEnd w:id="96"/>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BA8D0C9D"/>
    <w:multiLevelType w:val="singleLevel"/>
    <w:tmpl w:val="BA8D0C9D"/>
    <w:lvl w:ilvl="0" w:tentative="0">
      <w:start w:val="2"/>
      <w:numFmt w:val="chineseCounting"/>
      <w:suff w:val="nothing"/>
      <w:lvlText w:val="%1、"/>
      <w:lvlJc w:val="left"/>
      <w:rPr>
        <w:rFonts w:hint="eastAsia"/>
      </w:rPr>
    </w:lvl>
  </w:abstractNum>
  <w:abstractNum w:abstractNumId="3">
    <w:nsid w:val="CB8718C6"/>
    <w:multiLevelType w:val="singleLevel"/>
    <w:tmpl w:val="CB8718C6"/>
    <w:lvl w:ilvl="0" w:tentative="0">
      <w:start w:val="3"/>
      <w:numFmt w:val="decimal"/>
      <w:suff w:val="nothing"/>
      <w:lvlText w:val="%1、"/>
      <w:lvlJc w:val="left"/>
    </w:lvl>
  </w:abstractNum>
  <w:abstractNum w:abstractNumId="4">
    <w:nsid w:val="FE4D5559"/>
    <w:multiLevelType w:val="singleLevel"/>
    <w:tmpl w:val="FE4D5559"/>
    <w:lvl w:ilvl="0" w:tentative="0">
      <w:start w:val="1"/>
      <w:numFmt w:val="decimal"/>
      <w:suff w:val="nothing"/>
      <w:lvlText w:val="%1、"/>
      <w:lvlJc w:val="left"/>
    </w:lvl>
  </w:abstractNum>
  <w:abstractNum w:abstractNumId="5">
    <w:nsid w:val="1B649512"/>
    <w:multiLevelType w:val="singleLevel"/>
    <w:tmpl w:val="1B649512"/>
    <w:lvl w:ilvl="0" w:tentative="0">
      <w:start w:val="1"/>
      <w:numFmt w:val="decimal"/>
      <w:suff w:val="nothing"/>
      <w:lvlText w:val="%1、"/>
      <w:lvlJc w:val="left"/>
    </w:lvl>
  </w:abstractNum>
  <w:abstractNum w:abstractNumId="6">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6"/>
  </w:num>
  <w:num w:numId="4">
    <w:abstractNumId w:val="2"/>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C80459"/>
    <w:rsid w:val="02E9680F"/>
    <w:rsid w:val="02F7533D"/>
    <w:rsid w:val="030457ED"/>
    <w:rsid w:val="03562994"/>
    <w:rsid w:val="03CB6D70"/>
    <w:rsid w:val="04364A4F"/>
    <w:rsid w:val="04376975"/>
    <w:rsid w:val="04D330E5"/>
    <w:rsid w:val="04E40895"/>
    <w:rsid w:val="05031424"/>
    <w:rsid w:val="051B7598"/>
    <w:rsid w:val="052E78DA"/>
    <w:rsid w:val="0557469B"/>
    <w:rsid w:val="059A4101"/>
    <w:rsid w:val="05FF5A31"/>
    <w:rsid w:val="073B0CB2"/>
    <w:rsid w:val="07746BCF"/>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2A3B3D"/>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8E7BA2"/>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4306F9"/>
    <w:rsid w:val="1C9203A6"/>
    <w:rsid w:val="1D6E5C4A"/>
    <w:rsid w:val="1E032835"/>
    <w:rsid w:val="1E562810"/>
    <w:rsid w:val="1E7A1CAB"/>
    <w:rsid w:val="1EBD45C4"/>
    <w:rsid w:val="1F1C5732"/>
    <w:rsid w:val="1F584BD1"/>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6233EC"/>
    <w:rsid w:val="30EC6390"/>
    <w:rsid w:val="311233CC"/>
    <w:rsid w:val="31B57180"/>
    <w:rsid w:val="321A656D"/>
    <w:rsid w:val="321B76BE"/>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CF3627A"/>
    <w:rsid w:val="4D195C1E"/>
    <w:rsid w:val="4D904DD7"/>
    <w:rsid w:val="4D9C287D"/>
    <w:rsid w:val="4DC04FA6"/>
    <w:rsid w:val="4DC53F66"/>
    <w:rsid w:val="4DEC4822"/>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05DCD"/>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next w:val="1"/>
    <w:link w:val="44"/>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7"/>
    <w:qFormat/>
    <w:uiPriority w:val="0"/>
    <w:rPr>
      <w:rFonts w:hint="eastAsia" w:ascii="宋体" w:hAnsi="Courier New" w:eastAsia="宋体" w:cs="Times New Roman"/>
      <w:szCs w:val="21"/>
    </w:rPr>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9">
    <w:name w:val="annotation text"/>
    <w:basedOn w:val="1"/>
    <w:semiHidden/>
    <w:unhideWhenUsed/>
    <w:qFormat/>
    <w:uiPriority w:val="0"/>
    <w:pPr>
      <w:jc w:val="left"/>
    </w:pPr>
  </w:style>
  <w:style w:type="paragraph" w:styleId="10">
    <w:name w:val="Body Text"/>
    <w:basedOn w:val="1"/>
    <w:next w:val="1"/>
    <w:qFormat/>
    <w:uiPriority w:val="0"/>
  </w:style>
  <w:style w:type="paragraph" w:styleId="11">
    <w:name w:val="Balloon Text"/>
    <w:basedOn w:val="1"/>
    <w:link w:val="35"/>
    <w:qFormat/>
    <w:uiPriority w:val="0"/>
    <w:rPr>
      <w:sz w:val="18"/>
      <w:szCs w:val="18"/>
    </w:rPr>
  </w:style>
  <w:style w:type="paragraph" w:styleId="12">
    <w:name w:val="footer"/>
    <w:basedOn w:val="1"/>
    <w:link w:val="34"/>
    <w:qFormat/>
    <w:uiPriority w:val="0"/>
    <w:pPr>
      <w:tabs>
        <w:tab w:val="center" w:pos="4153"/>
        <w:tab w:val="right" w:pos="8306"/>
      </w:tabs>
      <w:snapToGrid w:val="0"/>
      <w:jc w:val="left"/>
    </w:pPr>
    <w:rPr>
      <w:sz w:val="18"/>
      <w:szCs w:val="18"/>
    </w:rPr>
  </w:style>
  <w:style w:type="paragraph" w:styleId="13">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rPr>
      <w:rFonts w:ascii="Times New Roman" w:hAnsi="Times New Roman" w:eastAsia="宋体" w:cs="Times New Roman"/>
      <w:szCs w:val="21"/>
    </w:rPr>
  </w:style>
  <w:style w:type="paragraph" w:styleId="15">
    <w:name w:val="Subtitle"/>
    <w:next w:val="1"/>
    <w:qFormat/>
    <w:uiPriority w:val="0"/>
    <w:pPr>
      <w:widowControl w:val="0"/>
      <w:spacing w:before="240" w:after="60" w:line="312" w:lineRule="auto"/>
      <w:jc w:val="center"/>
      <w:outlineLvl w:val="1"/>
    </w:pPr>
    <w:rPr>
      <w:rFonts w:ascii="Arial" w:hAnsi="Arial" w:eastAsia="宋体" w:cs="Arial"/>
      <w:b/>
      <w:bCs/>
      <w:kern w:val="28"/>
      <w:sz w:val="32"/>
      <w:szCs w:val="32"/>
      <w:lang w:val="en-US" w:eastAsia="zh-CN" w:bidi="ar-SA"/>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7">
    <w:name w:val="Body Text First Indent"/>
    <w:basedOn w:val="10"/>
    <w:link w:val="38"/>
    <w:qFormat/>
    <w:uiPriority w:val="0"/>
    <w:pPr>
      <w:spacing w:beforeAutospacing="1" w:after="120"/>
      <w:ind w:firstLine="420"/>
    </w:pPr>
    <w:rPr>
      <w:rFonts w:ascii="Times New Roman" w:hAnsi="Times New Roman" w:eastAsia="宋体" w:cs="Times New Roman"/>
      <w:szCs w:val="21"/>
    </w:r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样式 小四 行距: 1.5 倍行距"/>
    <w:basedOn w:val="1"/>
    <w:qFormat/>
    <w:uiPriority w:val="0"/>
    <w:pPr>
      <w:ind w:firstLine="480"/>
    </w:pPr>
    <w:rPr>
      <w:rFonts w:cs="宋体"/>
    </w:rPr>
  </w:style>
  <w:style w:type="paragraph" w:customStyle="1" w:styleId="24">
    <w:name w:val="表格文字"/>
    <w:basedOn w:val="1"/>
    <w:qFormat/>
    <w:uiPriority w:val="0"/>
    <w:pPr>
      <w:spacing w:before="25" w:after="25"/>
      <w:jc w:val="left"/>
    </w:pPr>
    <w:rPr>
      <w:bCs/>
      <w:spacing w:val="10"/>
      <w:kern w:val="0"/>
      <w:sz w:val="24"/>
    </w:rPr>
  </w:style>
  <w:style w:type="paragraph" w:customStyle="1" w:styleId="25">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qFormat/>
    <w:uiPriority w:val="0"/>
    <w:pPr>
      <w:ind w:firstLine="420" w:firstLineChars="200"/>
    </w:pPr>
    <w:rPr>
      <w:rFonts w:ascii="Calibri" w:hAnsi="Calibri" w:eastAsia="宋体" w:cs="Times New Roman"/>
      <w:szCs w:val="21"/>
    </w:rPr>
  </w:style>
  <w:style w:type="paragraph" w:customStyle="1" w:styleId="29">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qFormat/>
    <w:uiPriority w:val="0"/>
    <w:rPr>
      <w:rFonts w:hint="default" w:ascii="Times New Roman" w:hAnsi="Times New Roman" w:cs="Times New Roman"/>
    </w:rPr>
  </w:style>
  <w:style w:type="character" w:customStyle="1" w:styleId="31">
    <w:name w:val="15"/>
    <w:basedOn w:val="19"/>
    <w:qFormat/>
    <w:uiPriority w:val="0"/>
    <w:rPr>
      <w:rFonts w:hint="default" w:ascii="Times New Roman" w:hAnsi="Times New Roman" w:cs="Times New Roman"/>
    </w:rPr>
  </w:style>
  <w:style w:type="character" w:customStyle="1" w:styleId="32">
    <w:name w:val="16"/>
    <w:basedOn w:val="19"/>
    <w:qFormat/>
    <w:uiPriority w:val="0"/>
    <w:rPr>
      <w:rFonts w:hint="default" w:ascii="Times New Roman" w:hAnsi="Times New Roman" w:cs="Times New Roman"/>
      <w:color w:val="0000FF"/>
      <w:u w:val="single"/>
    </w:rPr>
  </w:style>
  <w:style w:type="character" w:customStyle="1" w:styleId="33">
    <w:name w:val="页眉 Char"/>
    <w:basedOn w:val="19"/>
    <w:link w:val="13"/>
    <w:qFormat/>
    <w:uiPriority w:val="0"/>
    <w:rPr>
      <w:rFonts w:asciiTheme="minorHAnsi" w:hAnsiTheme="minorHAnsi" w:eastAsiaTheme="minorEastAsia" w:cstheme="minorBidi"/>
      <w:kern w:val="2"/>
      <w:sz w:val="18"/>
      <w:szCs w:val="18"/>
    </w:rPr>
  </w:style>
  <w:style w:type="character" w:customStyle="1" w:styleId="34">
    <w:name w:val="页脚 Char"/>
    <w:basedOn w:val="19"/>
    <w:link w:val="12"/>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1"/>
    <w:qFormat/>
    <w:uiPriority w:val="0"/>
    <w:rPr>
      <w:rFonts w:asciiTheme="minorHAnsi" w:hAnsiTheme="minorHAnsi" w:eastAsiaTheme="minorEastAsia" w:cstheme="minorBidi"/>
      <w:kern w:val="2"/>
      <w:sz w:val="18"/>
      <w:szCs w:val="18"/>
    </w:rPr>
  </w:style>
  <w:style w:type="paragraph" w:customStyle="1" w:styleId="36">
    <w:name w:val="WPSOffice手动目录 1"/>
    <w:qFormat/>
    <w:uiPriority w:val="0"/>
    <w:rPr>
      <w:rFonts w:ascii="Times New Roman" w:hAnsi="Times New Roman" w:eastAsia="宋体" w:cs="Times New Roman"/>
      <w:lang w:val="en-US" w:eastAsia="zh-CN" w:bidi="ar-SA"/>
    </w:rPr>
  </w:style>
  <w:style w:type="character" w:customStyle="1" w:styleId="37">
    <w:name w:val="纯文本 Char"/>
    <w:link w:val="2"/>
    <w:qFormat/>
    <w:uiPriority w:val="0"/>
    <w:rPr>
      <w:rFonts w:ascii="宋体" w:hAnsi="Courier New"/>
      <w:kern w:val="2"/>
      <w:sz w:val="21"/>
      <w:szCs w:val="21"/>
    </w:rPr>
  </w:style>
  <w:style w:type="character" w:customStyle="1" w:styleId="38">
    <w:name w:val="正文首行缩进 Char"/>
    <w:basedOn w:val="19"/>
    <w:link w:val="17"/>
    <w:qFormat/>
    <w:uiPriority w:val="0"/>
    <w:rPr>
      <w:kern w:val="2"/>
      <w:sz w:val="21"/>
      <w:szCs w:val="21"/>
    </w:rPr>
  </w:style>
  <w:style w:type="paragraph" w:styleId="39">
    <w:name w:val="List Paragraph"/>
    <w:basedOn w:val="1"/>
    <w:unhideWhenUsed/>
    <w:qFormat/>
    <w:uiPriority w:val="99"/>
    <w:pPr>
      <w:ind w:firstLine="420" w:firstLineChars="200"/>
    </w:pPr>
  </w:style>
  <w:style w:type="paragraph" w:customStyle="1" w:styleId="4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qFormat/>
    <w:uiPriority w:val="0"/>
    <w:pPr>
      <w:ind w:left="4094" w:right="607" w:firstLine="0"/>
      <w:jc w:val="center"/>
    </w:pPr>
  </w:style>
  <w:style w:type="character" w:customStyle="1" w:styleId="42">
    <w:name w:val="c Char1"/>
    <w:link w:val="43"/>
    <w:qFormat/>
    <w:uiPriority w:val="0"/>
    <w:rPr>
      <w:rFonts w:eastAsia="仿宋_GB2312" w:cs="宋体"/>
      <w:sz w:val="28"/>
    </w:rPr>
  </w:style>
  <w:style w:type="paragraph" w:customStyle="1" w:styleId="43">
    <w:name w:val="c"/>
    <w:basedOn w:val="1"/>
    <w:link w:val="42"/>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4">
    <w:name w:val="标题 3 Char"/>
    <w:link w:val="5"/>
    <w:qFormat/>
    <w:uiPriority w:val="0"/>
    <w:rPr>
      <w:rFonts w:ascii="宋体" w:hAnsi="宋体"/>
      <w:b/>
      <w:sz w:val="28"/>
      <w:lang w:val="en-US" w:eastAsia="zh-CN" w:bidi="ar-SA"/>
    </w:rPr>
  </w:style>
  <w:style w:type="character" w:customStyle="1" w:styleId="45">
    <w:name w:val="active2"/>
    <w:basedOn w:val="19"/>
    <w:qFormat/>
    <w:uiPriority w:val="0"/>
    <w:rPr>
      <w:color w:val="00FF00"/>
      <w:shd w:val="clear" w:fill="111111"/>
    </w:rPr>
  </w:style>
  <w:style w:type="character" w:customStyle="1" w:styleId="46">
    <w:name w:val="cdropright"/>
    <w:basedOn w:val="19"/>
    <w:qFormat/>
    <w:uiPriority w:val="0"/>
  </w:style>
  <w:style w:type="character" w:customStyle="1" w:styleId="47">
    <w:name w:val="drapbtn"/>
    <w:basedOn w:val="19"/>
    <w:qFormat/>
    <w:uiPriority w:val="0"/>
  </w:style>
  <w:style w:type="character" w:customStyle="1" w:styleId="48">
    <w:name w:val="after"/>
    <w:basedOn w:val="19"/>
    <w:qFormat/>
    <w:uiPriority w:val="0"/>
    <w:rPr>
      <w:sz w:val="0"/>
      <w:szCs w:val="0"/>
    </w:rPr>
  </w:style>
  <w:style w:type="character" w:customStyle="1" w:styleId="49">
    <w:name w:val="pagechatarealistclose_box"/>
    <w:basedOn w:val="19"/>
    <w:qFormat/>
    <w:uiPriority w:val="0"/>
  </w:style>
  <w:style w:type="character" w:customStyle="1" w:styleId="50">
    <w:name w:val="pagechatarealistclose_box1"/>
    <w:basedOn w:val="19"/>
    <w:qFormat/>
    <w:uiPriority w:val="0"/>
  </w:style>
  <w:style w:type="character" w:customStyle="1" w:styleId="51">
    <w:name w:val="hilite5"/>
    <w:basedOn w:val="19"/>
    <w:qFormat/>
    <w:uiPriority w:val="0"/>
    <w:rPr>
      <w:color w:val="FFFFFF"/>
      <w:shd w:val="clear" w:fill="666666"/>
    </w:rPr>
  </w:style>
  <w:style w:type="character" w:customStyle="1" w:styleId="52">
    <w:name w:val="associateddata"/>
    <w:basedOn w:val="19"/>
    <w:qFormat/>
    <w:uiPriority w:val="0"/>
    <w:rPr>
      <w:shd w:val="clear" w:fill="50A6F9"/>
    </w:rPr>
  </w:style>
  <w:style w:type="character" w:customStyle="1" w:styleId="53">
    <w:name w:val="cy"/>
    <w:basedOn w:val="19"/>
    <w:qFormat/>
    <w:uiPriority w:val="0"/>
  </w:style>
  <w:style w:type="character" w:customStyle="1" w:styleId="54">
    <w:name w:val="cdropleft"/>
    <w:basedOn w:val="19"/>
    <w:qFormat/>
    <w:uiPriority w:val="0"/>
  </w:style>
  <w:style w:type="character" w:customStyle="1" w:styleId="55">
    <w:name w:val="ico1654"/>
    <w:basedOn w:val="19"/>
    <w:qFormat/>
    <w:uiPriority w:val="0"/>
  </w:style>
  <w:style w:type="character" w:customStyle="1" w:styleId="56">
    <w:name w:val="ico1655"/>
    <w:basedOn w:val="19"/>
    <w:qFormat/>
    <w:uiPriority w:val="0"/>
  </w:style>
  <w:style w:type="character" w:customStyle="1" w:styleId="57">
    <w:name w:val="layui-layer-tabnow"/>
    <w:basedOn w:val="19"/>
    <w:qFormat/>
    <w:uiPriority w:val="0"/>
    <w:rPr>
      <w:bdr w:val="single" w:color="CCCCCC" w:sz="6" w:space="0"/>
      <w:shd w:val="clear" w:fill="FFFFFF"/>
    </w:rPr>
  </w:style>
  <w:style w:type="character" w:customStyle="1" w:styleId="58">
    <w:name w:val="button4"/>
    <w:basedOn w:val="19"/>
    <w:qFormat/>
    <w:uiPriority w:val="0"/>
  </w:style>
  <w:style w:type="character" w:customStyle="1" w:styleId="59">
    <w:name w:val="w32"/>
    <w:basedOn w:val="19"/>
    <w:qFormat/>
    <w:uiPriority w:val="0"/>
  </w:style>
  <w:style w:type="character" w:customStyle="1" w:styleId="60">
    <w:name w:val="tmpztreemove_arrow"/>
    <w:basedOn w:val="19"/>
    <w:qFormat/>
    <w:uiPriority w:val="0"/>
  </w:style>
  <w:style w:type="character" w:customStyle="1" w:styleId="61">
    <w:name w:val="icontext1"/>
    <w:basedOn w:val="19"/>
    <w:qFormat/>
    <w:uiPriority w:val="0"/>
  </w:style>
  <w:style w:type="character" w:customStyle="1" w:styleId="62">
    <w:name w:val="icontext11"/>
    <w:basedOn w:val="19"/>
    <w:qFormat/>
    <w:uiPriority w:val="0"/>
  </w:style>
  <w:style w:type="character" w:customStyle="1" w:styleId="63">
    <w:name w:val="icontext12"/>
    <w:basedOn w:val="19"/>
    <w:qFormat/>
    <w:uiPriority w:val="0"/>
  </w:style>
  <w:style w:type="character" w:customStyle="1" w:styleId="64">
    <w:name w:val="iconline2"/>
    <w:basedOn w:val="19"/>
    <w:qFormat/>
    <w:uiPriority w:val="0"/>
  </w:style>
  <w:style w:type="character" w:customStyle="1" w:styleId="65">
    <w:name w:val="iconline21"/>
    <w:basedOn w:val="19"/>
    <w:qFormat/>
    <w:uiPriority w:val="0"/>
  </w:style>
  <w:style w:type="character" w:customStyle="1" w:styleId="66">
    <w:name w:val="icontext2"/>
    <w:basedOn w:val="19"/>
    <w:qFormat/>
    <w:uiPriority w:val="0"/>
  </w:style>
  <w:style w:type="character" w:customStyle="1" w:styleId="67">
    <w:name w:val="icontext3"/>
    <w:basedOn w:val="19"/>
    <w:qFormat/>
    <w:uiPriority w:val="0"/>
  </w:style>
  <w:style w:type="character" w:customStyle="1" w:styleId="68">
    <w:name w:val="first-child"/>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2" Type="http://schemas.openxmlformats.org/officeDocument/2006/relationships/image" Target="media/image5.png"/><Relationship Id="rId11"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48</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2024-03-28T01:33:49Z</cp:lastPrinted>
  <dcterms:modified xsi:type="dcterms:W3CDTF">2024-03-28T01:35:46Z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481E2D6B61344EA58D9AAADBF8345C81_13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