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pStyle w:val="23"/>
        <w:rPr>
          <w:highlight w:val="none"/>
        </w:rPr>
      </w:pPr>
    </w:p>
    <w:p>
      <w:pPr>
        <w:pStyle w:val="23"/>
        <w:rPr>
          <w:highlight w:val="none"/>
        </w:rPr>
      </w:pPr>
    </w:p>
    <w:p>
      <w:pPr>
        <w:jc w:val="center"/>
        <w:rPr>
          <w:rFonts w:ascii="宋体" w:hAnsi="宋体" w:eastAsia="宋体" w:cs="宋体"/>
          <w:color w:val="auto"/>
          <w:sz w:val="72"/>
          <w:szCs w:val="72"/>
          <w:highlight w:val="none"/>
        </w:rPr>
      </w:pPr>
      <w:r>
        <w:rPr>
          <w:rFonts w:hint="eastAsia" w:ascii="宋体" w:hAnsi="宋体" w:eastAsia="宋体" w:cs="宋体"/>
          <w:b/>
          <w:bCs w:val="0"/>
          <w:color w:val="auto"/>
          <w:sz w:val="44"/>
          <w:szCs w:val="44"/>
          <w:highlight w:val="none"/>
          <w:lang w:val="en-US" w:eastAsia="zh-CN"/>
        </w:rPr>
        <w:t>天后宫中轴线主干道维修维护项目</w:t>
      </w:r>
    </w:p>
    <w:p>
      <w:pP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pStyle w:val="23"/>
        <w:rPr>
          <w:rFonts w:hint="eastAsia" w:ascii="宋体" w:hAnsi="宋体" w:eastAsia="宋体" w:cs="宋体"/>
          <w:color w:val="auto"/>
          <w:sz w:val="72"/>
          <w:szCs w:val="72"/>
          <w:highlight w:val="none"/>
        </w:rPr>
      </w:pPr>
    </w:p>
    <w:p>
      <w:pPr>
        <w:pStyle w:val="23"/>
        <w:rPr>
          <w:rFonts w:hint="eastAsia" w:ascii="宋体" w:hAnsi="宋体" w:eastAsia="宋体" w:cs="宋体"/>
          <w:color w:val="auto"/>
          <w:sz w:val="72"/>
          <w:szCs w:val="72"/>
          <w:highlight w:val="none"/>
        </w:rPr>
      </w:pP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p>
    <w:p>
      <w:pPr>
        <w:spacing w:line="520" w:lineRule="exact"/>
        <w:ind w:right="-101" w:rightChars="-48" w:firstLine="1285" w:firstLineChars="400"/>
        <w:rPr>
          <w:rFonts w:ascii="宋体" w:hAnsi="宋体" w:eastAsia="宋体" w:cs="宋体"/>
          <w:color w:val="auto"/>
          <w:spacing w:val="28"/>
          <w:position w:val="8"/>
          <w:sz w:val="28"/>
          <w:szCs w:val="28"/>
          <w:highlight w:val="none"/>
        </w:rPr>
      </w:pPr>
      <w:bookmarkStart w:id="1" w:name="OLE_LINK4"/>
      <w:bookmarkEnd w:id="1"/>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4月</w:t>
      </w:r>
    </w:p>
    <w:p>
      <w:pPr>
        <w:rPr>
          <w:rFonts w:ascii="黑体" w:hAnsi="宋体" w:eastAsia="黑体" w:cs="黑体"/>
          <w:color w:val="auto"/>
          <w:sz w:val="36"/>
          <w:szCs w:val="36"/>
          <w:highlight w:val="none"/>
        </w:rPr>
        <w:sectPr>
          <w:pgSz w:w="11906" w:h="16840"/>
          <w:pgMar w:top="1247" w:right="1135" w:bottom="1247" w:left="1361" w:header="720" w:footer="720" w:gutter="0"/>
          <w:cols w:space="425" w:num="1"/>
          <w:docGrid w:type="lines" w:linePitch="285" w:charSpace="0"/>
        </w:sectPr>
      </w:pPr>
    </w:p>
    <w:p>
      <w:pPr>
        <w:rPr>
          <w:rFonts w:hint="eastAsia" w:ascii="宋体" w:hAnsi="宋体" w:eastAsia="宋体" w:cs="宋体"/>
          <w:color w:val="auto"/>
          <w:sz w:val="24"/>
          <w:szCs w:val="24"/>
          <w:highlight w:val="none"/>
        </w:rPr>
      </w:pPr>
    </w:p>
    <w:bookmarkEnd w:id="0"/>
    <w:sdt>
      <w:sdtPr>
        <w:rPr>
          <w:rFonts w:hint="eastAsia" w:ascii="宋体" w:hAnsi="宋体" w:eastAsia="宋体" w:cs="宋体"/>
          <w:color w:val="auto"/>
          <w:sz w:val="24"/>
          <w:highlight w:val="none"/>
        </w:rPr>
        <w:id w:val="147481204"/>
        <w:docPartObj>
          <w:docPartGallery w:val="Table of Contents"/>
          <w:docPartUnique/>
        </w:docPartObj>
      </w:sdtPr>
      <w:sdtEndPr>
        <w:rPr>
          <w:rFonts w:hint="eastAsia" w:ascii="宋体" w:hAnsi="宋体" w:eastAsia="宋体" w:cs="宋体"/>
          <w:color w:val="auto"/>
          <w:sz w:val="24"/>
          <w:highlight w:val="none"/>
        </w:rPr>
      </w:sdtEndPr>
      <w:sdtContent>
        <w:p>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_Toc17503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第1章 投标须知及前附表</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_Toc17503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3</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_Toc28921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第2章 项目需求书</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_Toc28921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14</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_Toc2908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第3章 投标格式文件</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_Toc2908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18</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_Toc24523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kern w:val="44"/>
              <w:sz w:val="24"/>
              <w:szCs w:val="24"/>
              <w:highlight w:val="none"/>
            </w:rPr>
            <w:t>第4章 评标办法</w:t>
          </w:r>
          <w:r>
            <w:rPr>
              <w:rFonts w:hint="eastAsia" w:ascii="宋体" w:hAnsi="宋体" w:eastAsia="宋体" w:cs="宋体"/>
              <w:b w:val="0"/>
              <w:bCs w:val="0"/>
              <w:sz w:val="24"/>
              <w:szCs w:val="24"/>
            </w:rPr>
            <w:tab/>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 PAGEREF _Toc24523 \h </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29</w:t>
          </w:r>
          <w:r>
            <w:rPr>
              <w:rFonts w:hint="eastAsia" w:ascii="宋体" w:hAnsi="宋体" w:eastAsia="宋体" w:cs="宋体"/>
              <w:b w:val="0"/>
              <w:bCs w:val="0"/>
              <w:sz w:val="24"/>
              <w:szCs w:val="24"/>
            </w:rPr>
            <w:fldChar w:fldCharType="end"/>
          </w:r>
          <w:r>
            <w:rPr>
              <w:rFonts w:hint="eastAsia" w:ascii="宋体" w:hAnsi="宋体" w:eastAsia="宋体" w:cs="宋体"/>
              <w:b w:val="0"/>
              <w:bCs w:val="0"/>
              <w:color w:val="auto"/>
              <w:sz w:val="24"/>
              <w:szCs w:val="24"/>
              <w:highlight w:val="none"/>
            </w:rPr>
            <w:fldChar w:fldCharType="end"/>
          </w:r>
        </w:p>
        <w:p>
          <w:pPr>
            <w:pStyle w:val="14"/>
            <w:tabs>
              <w:tab w:val="right" w:leader="dot" w:pos="9410"/>
            </w:tabs>
            <w:rPr>
              <w:rFonts w:hint="eastAsia" w:ascii="宋体" w:hAnsi="宋体" w:eastAsia="宋体" w:cs="宋体"/>
              <w:b w:val="0"/>
              <w:bCs w:val="0"/>
              <w:sz w:val="24"/>
              <w:szCs w:val="24"/>
            </w:rPr>
          </w:pPr>
          <w:r>
            <w:rPr>
              <w:rFonts w:hint="eastAsia" w:ascii="宋体" w:hAnsi="宋体" w:eastAsia="宋体" w:cs="宋体"/>
              <w:b w:val="0"/>
              <w:bCs w:val="0"/>
              <w:color w:val="auto"/>
              <w:sz w:val="24"/>
              <w:szCs w:val="24"/>
              <w:highlight w:val="none"/>
            </w:rPr>
            <w:fldChar w:fldCharType="begin"/>
          </w:r>
          <w:r>
            <w:rPr>
              <w:rFonts w:hint="eastAsia" w:ascii="宋体" w:hAnsi="宋体" w:eastAsia="宋体" w:cs="宋体"/>
              <w:b w:val="0"/>
              <w:bCs w:val="0"/>
              <w:sz w:val="24"/>
              <w:szCs w:val="24"/>
              <w:highlight w:val="none"/>
            </w:rPr>
            <w:instrText xml:space="preserve"> HYPERLINK \l _Toc11051 </w:instrText>
          </w:r>
          <w:r>
            <w:rPr>
              <w:rFonts w:hint="eastAsia" w:ascii="宋体" w:hAnsi="宋体" w:eastAsia="宋体" w:cs="宋体"/>
              <w:b w:val="0"/>
              <w:bCs w:val="0"/>
              <w:sz w:val="24"/>
              <w:szCs w:val="24"/>
              <w:highlight w:val="none"/>
            </w:rPr>
            <w:fldChar w:fldCharType="separate"/>
          </w:r>
          <w:r>
            <w:rPr>
              <w:rFonts w:hint="eastAsia" w:ascii="宋体" w:hAnsi="宋体" w:eastAsia="宋体" w:cs="宋体"/>
              <w:b w:val="0"/>
              <w:bCs w:val="0"/>
              <w:sz w:val="24"/>
              <w:szCs w:val="24"/>
              <w:highlight w:val="none"/>
              <w:lang w:val="en-US" w:eastAsia="zh-CN"/>
            </w:rPr>
            <w:t>第5章 附件</w:t>
          </w:r>
          <w:r>
            <w:rPr>
              <w:rFonts w:hint="eastAsia" w:ascii="宋体" w:hAnsi="宋体" w:eastAsia="宋体" w:cs="宋体"/>
              <w:b w:val="0"/>
              <w:bCs w:val="0"/>
              <w:sz w:val="24"/>
              <w:szCs w:val="24"/>
            </w:rPr>
            <w:tab/>
          </w:r>
          <w:r>
            <w:rPr>
              <w:rFonts w:hint="eastAsia" w:ascii="宋体" w:hAnsi="宋体" w:eastAsia="宋体" w:cs="宋体"/>
              <w:b w:val="0"/>
              <w:bCs w:val="0"/>
              <w:sz w:val="24"/>
              <w:szCs w:val="24"/>
              <w:lang w:eastAsia="zh-CN"/>
            </w:rPr>
            <w:t>3</w:t>
          </w:r>
          <w:r>
            <w:rPr>
              <w:rFonts w:hint="eastAsia" w:ascii="宋体" w:hAnsi="宋体" w:eastAsia="宋体" w:cs="宋体"/>
              <w:b w:val="0"/>
              <w:bCs w:val="0"/>
              <w:color w:val="auto"/>
              <w:sz w:val="24"/>
              <w:szCs w:val="24"/>
              <w:highlight w:val="none"/>
            </w:rPr>
            <w:fldChar w:fldCharType="end"/>
          </w:r>
          <w:r>
            <w:rPr>
              <w:rFonts w:hint="eastAsia" w:ascii="宋体" w:hAnsi="宋体" w:eastAsia="宋体" w:cs="宋体"/>
              <w:b w:val="0"/>
              <w:bCs w:val="0"/>
              <w:sz w:val="24"/>
              <w:szCs w:val="24"/>
              <w:lang w:val="en-US" w:eastAsia="zh-CN"/>
            </w:rPr>
            <w:t>2</w:t>
          </w:r>
        </w:p>
        <w:p>
          <w:pPr>
            <w:pStyle w:val="14"/>
            <w:tabs>
              <w:tab w:val="right" w:leader="dot" w:pos="9410"/>
            </w:tabs>
            <w:rPr>
              <w:sz w:val="24"/>
              <w:szCs w:val="24"/>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fldChar w:fldCharType="end"/>
          </w:r>
        </w:p>
      </w:sdtContent>
    </w:sdt>
    <w:p>
      <w:pPr>
        <w:pStyle w:val="17"/>
        <w:widowControl/>
        <w:spacing w:beforeAutospacing="0" w:after="0"/>
        <w:ind w:firstLine="0"/>
        <w:rPr>
          <w:rFonts w:hint="eastAsia" w:ascii="宋体" w:hAnsi="宋体" w:eastAsia="宋体" w:cs="宋体"/>
          <w:color w:val="auto"/>
          <w:sz w:val="24"/>
          <w:szCs w:val="24"/>
          <w:highlight w:val="none"/>
        </w:rPr>
        <w:sectPr>
          <w:pgSz w:w="11906" w:h="16840"/>
          <w:pgMar w:top="1247" w:right="1135" w:bottom="1247" w:left="1361" w:header="720" w:footer="720" w:gutter="0"/>
          <w:cols w:space="425" w:num="1"/>
          <w:docGrid w:type="lines" w:linePitch="285" w:charSpace="0"/>
        </w:sectPr>
      </w:pPr>
      <w:r>
        <w:rPr>
          <w:rFonts w:hint="eastAsia" w:ascii="宋体" w:hAnsi="宋体" w:eastAsia="宋体" w:cs="宋体"/>
          <w:color w:val="auto"/>
          <w:sz w:val="24"/>
          <w:szCs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27659"/>
      <w:bookmarkStart w:id="3" w:name="_Toc9159"/>
      <w:bookmarkStart w:id="4" w:name="_Toc13302"/>
      <w:bookmarkStart w:id="5" w:name="_Toc8549"/>
      <w:bookmarkStart w:id="6" w:name="_Toc13388"/>
      <w:bookmarkStart w:id="7" w:name="_Toc374128472"/>
      <w:bookmarkStart w:id="8" w:name="_Toc20698"/>
      <w:bookmarkStart w:id="9" w:name="_Toc23838"/>
      <w:bookmarkStart w:id="10" w:name="_Toc17503"/>
      <w:r>
        <w:rPr>
          <w:rFonts w:hint="eastAsia" w:ascii="黑体" w:hAnsi="宋体" w:cs="黑体"/>
          <w:b/>
          <w:color w:val="auto"/>
          <w:kern w:val="44"/>
          <w:sz w:val="44"/>
          <w:szCs w:val="44"/>
          <w:highlight w:val="none"/>
        </w:rPr>
        <w:t>第1章 投标须知及前附表</w:t>
      </w:r>
      <w:bookmarkEnd w:id="2"/>
      <w:bookmarkEnd w:id="3"/>
      <w:bookmarkEnd w:id="4"/>
      <w:bookmarkEnd w:id="5"/>
      <w:bookmarkEnd w:id="6"/>
      <w:bookmarkEnd w:id="7"/>
      <w:bookmarkEnd w:id="8"/>
      <w:bookmarkEnd w:id="9"/>
      <w:bookmarkEnd w:id="10"/>
    </w:p>
    <w:p>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8"/>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jc w:val="both"/>
              <w:rPr>
                <w:rFonts w:hint="eastAsia" w:ascii="宋体" w:hAnsi="宋体" w:eastAsia="宋体" w:cs="宋体"/>
                <w:color w:val="auto"/>
                <w:szCs w:val="21"/>
                <w:highlight w:val="none"/>
                <w:u w:val="none"/>
                <w:lang w:eastAsia="zh-CN"/>
              </w:rPr>
            </w:pPr>
            <w:r>
              <w:rPr>
                <w:rFonts w:hint="eastAsia" w:ascii="宋体" w:hAnsi="宋体" w:eastAsia="宋体" w:cs="宋体"/>
                <w:b w:val="0"/>
                <w:bCs w:val="0"/>
                <w:color w:val="auto"/>
                <w:sz w:val="21"/>
                <w:szCs w:val="21"/>
                <w:highlight w:val="none"/>
                <w:lang w:val="en-US" w:eastAsia="zh-CN"/>
              </w:rPr>
              <w:t>天后宫中轴线主干道维修维护项目</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jc w:val="left"/>
              <w:rPr>
                <w:rFonts w:hint="eastAsia" w:ascii="宋体" w:hAnsi="宋体" w:eastAsia="宋体" w:cs="宋体"/>
                <w:color w:val="auto"/>
                <w:highlight w:val="none"/>
                <w:u w:val="none"/>
                <w:lang w:eastAsia="zh-CN"/>
              </w:rPr>
            </w:pPr>
            <w:r>
              <w:rPr>
                <w:rFonts w:hint="eastAsia" w:ascii="宋体" w:hAnsi="宋体" w:eastAsia="宋体" w:cs="宋体"/>
                <w:color w:val="auto"/>
                <w:kern w:val="2"/>
                <w:position w:val="0"/>
                <w:sz w:val="21"/>
                <w:szCs w:val="21"/>
                <w:highlight w:val="none"/>
              </w:rPr>
              <w:t>广州市南沙区</w:t>
            </w:r>
            <w:r>
              <w:rPr>
                <w:rFonts w:hint="eastAsia" w:ascii="宋体" w:hAnsi="宋体" w:cs="宋体"/>
                <w:color w:val="auto"/>
                <w:kern w:val="2"/>
                <w:position w:val="0"/>
                <w:sz w:val="21"/>
                <w:szCs w:val="21"/>
                <w:highlight w:val="none"/>
                <w:lang w:val="en-US" w:eastAsia="zh-CN"/>
              </w:rPr>
              <w:t>天后宫</w:t>
            </w:r>
            <w:r>
              <w:rPr>
                <w:rFonts w:hint="eastAsia" w:ascii="宋体" w:hAnsi="宋体" w:eastAsia="宋体" w:cs="宋体"/>
                <w:color w:val="auto"/>
                <w:kern w:val="2"/>
                <w:position w:val="0"/>
                <w:sz w:val="21"/>
                <w:szCs w:val="21"/>
                <w:highlight w:val="none"/>
              </w:rPr>
              <w:t>景区内</w:t>
            </w:r>
          </w:p>
        </w:tc>
      </w:tr>
      <w:tr>
        <w:tblPrEx>
          <w:tblCellMar>
            <w:top w:w="0" w:type="dxa"/>
            <w:left w:w="108" w:type="dxa"/>
            <w:bottom w:w="0" w:type="dxa"/>
            <w:right w:w="108" w:type="dxa"/>
          </w:tblCellMar>
        </w:tblPrEx>
        <w:trPr>
          <w:trHeight w:val="755"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lang w:val="en-US" w:eastAsia="zh-CN"/>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pacing w:val="0"/>
                <w:kern w:val="2"/>
                <w:sz w:val="21"/>
                <w:szCs w:val="21"/>
                <w:highlight w:val="none"/>
                <w:u w:val="none"/>
                <w:lang w:val="en-US" w:eastAsia="zh-CN" w:bidi="ar"/>
              </w:rPr>
              <w:t>为解决中轴线主干道积水问题和消除安全隐患，拟对中轴线主干道地面和沉降明渠进行维修维护。</w:t>
            </w:r>
            <w:r>
              <w:rPr>
                <w:rFonts w:hint="eastAsia" w:ascii="宋体" w:hAnsi="宋体" w:eastAsia="宋体" w:cs="宋体"/>
                <w:highlight w:val="none"/>
              </w:rPr>
              <w:t>项目位于南沙天后宫内中轴线的主干道位置，总长92.6米、宽14.2米，两侧明渠宽度为0.3米、长为77米。本次维护维修总面积约为1314.9平方米。</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default" w:ascii="宋体" w:hAnsi="宋体" w:eastAsia="宋体" w:cs="宋体"/>
                <w:color w:val="FF0000"/>
                <w:highlight w:val="none"/>
                <w:u w:val="none"/>
                <w:lang w:val="en-US"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固定综合单价包干，工程量按实结算，绿色施工安全防护措施费总价包干</w:t>
            </w:r>
            <w:r>
              <w:rPr>
                <w:rFonts w:hint="eastAsia" w:ascii="宋体" w:hAnsi="宋体" w:cs="宋体"/>
                <w:bCs w:val="0"/>
                <w:color w:val="auto"/>
                <w:sz w:val="21"/>
                <w:szCs w:val="21"/>
                <w:highlight w:val="none"/>
                <w:u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42.1</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rPr>
              <w:t>2.2.</w:t>
            </w:r>
            <w:r>
              <w:rPr>
                <w:rFonts w:hint="eastAsia" w:ascii="宋体" w:hAnsi="宋体" w:cs="宋体"/>
                <w:color w:val="auto"/>
                <w:highlight w:val="none"/>
                <w:lang w:val="en-US" w:eastAsia="zh-CN"/>
              </w:rPr>
              <w:t>6</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88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spacing w:beforeAutospacing="0" w:after="0" w:line="320" w:lineRule="exact"/>
              <w:ind w:firstLine="0"/>
              <w:rPr>
                <w:rFonts w:hint="eastAsia" w:ascii="宋体" w:hAnsi="宋体" w:eastAsia="宋体" w:cs="宋体"/>
                <w:color w:val="auto"/>
                <w:kern w:val="2"/>
                <w:sz w:val="21"/>
                <w:szCs w:val="21"/>
                <w:highlight w:val="none"/>
                <w:u w:val="none"/>
              </w:rPr>
            </w:pPr>
            <w:r>
              <w:rPr>
                <w:rFonts w:hint="eastAsia" w:ascii="宋体" w:hAnsi="宋体" w:eastAsia="宋体" w:cs="宋体"/>
                <w:color w:val="auto"/>
                <w:spacing w:val="0"/>
                <w:kern w:val="2"/>
                <w:sz w:val="21"/>
                <w:szCs w:val="21"/>
                <w:highlight w:val="none"/>
                <w:u w:val="none"/>
                <w:lang w:val="en-US" w:eastAsia="zh-CN" w:bidi="ar"/>
              </w:rPr>
              <w:t>完成本项目招标过程中发布的关于该项目相关的全部内容(具体以工程量清单和相关资料为准)。</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line="440" w:lineRule="exact"/>
              <w:ind w:firstLine="0"/>
              <w:jc w:val="both"/>
              <w:rPr>
                <w:rFonts w:hint="default" w:ascii="宋体" w:hAnsi="宋体" w:eastAsia="宋体" w:cs="宋体"/>
                <w:color w:val="auto"/>
                <w:kern w:val="2"/>
                <w:sz w:val="21"/>
                <w:szCs w:val="21"/>
                <w:highlight w:val="none"/>
                <w:u w:val="none"/>
                <w:lang w:val="en-US" w:eastAsia="zh-CN" w:bidi="ar-SA"/>
              </w:rPr>
            </w:pPr>
            <w:r>
              <w:rPr>
                <w:rFonts w:hint="eastAsia" w:ascii="宋体" w:hAnsi="宋体" w:cs="宋体"/>
                <w:color w:val="auto"/>
                <w:sz w:val="21"/>
                <w:szCs w:val="21"/>
                <w:highlight w:val="none"/>
                <w:u w:val="none"/>
                <w:lang w:val="en-US" w:eastAsia="zh-CN"/>
              </w:rPr>
              <w:t>30个日历天</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81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i w:val="0"/>
                <w:iCs w:val="0"/>
                <w:caps w:val="0"/>
                <w:color w:val="auto"/>
                <w:spacing w:val="0"/>
                <w:sz w:val="21"/>
                <w:szCs w:val="21"/>
                <w:highlight w:val="none"/>
                <w:shd w:val="clear"/>
              </w:rPr>
              <w:t>投标人</w:t>
            </w:r>
            <w:r>
              <w:rPr>
                <w:rFonts w:hint="eastAsia" w:ascii="宋体" w:hAnsi="宋体" w:eastAsia="宋体" w:cs="宋体"/>
                <w:bCs w:val="0"/>
                <w:i w:val="0"/>
                <w:iCs w:val="0"/>
                <w:caps w:val="0"/>
                <w:color w:val="auto"/>
                <w:spacing w:val="0"/>
                <w:sz w:val="21"/>
                <w:szCs w:val="21"/>
                <w:highlight w:val="none"/>
                <w:shd w:val="clear"/>
                <w:lang w:val="en-US" w:eastAsia="zh-CN"/>
              </w:rPr>
              <w:t>须</w:t>
            </w:r>
            <w:r>
              <w:rPr>
                <w:rFonts w:hint="eastAsia" w:ascii="宋体" w:hAnsi="宋体" w:eastAsia="宋体" w:cs="宋体"/>
                <w:bCs w:val="0"/>
                <w:i w:val="0"/>
                <w:iCs w:val="0"/>
                <w:caps w:val="0"/>
                <w:color w:val="auto"/>
                <w:spacing w:val="0"/>
                <w:sz w:val="21"/>
                <w:szCs w:val="21"/>
                <w:highlight w:val="none"/>
                <w:shd w:val="clear"/>
              </w:rPr>
              <w:t>具备建设行政主管部门颁发的市政公用工程施工总承包</w:t>
            </w:r>
            <w:r>
              <w:rPr>
                <w:rFonts w:hint="eastAsia" w:ascii="宋体" w:hAnsi="宋体" w:eastAsia="宋体" w:cs="宋体"/>
                <w:bCs w:val="0"/>
                <w:i w:val="0"/>
                <w:iCs w:val="0"/>
                <w:caps w:val="0"/>
                <w:color w:val="auto"/>
                <w:spacing w:val="0"/>
                <w:sz w:val="21"/>
                <w:szCs w:val="21"/>
                <w:highlight w:val="none"/>
                <w:shd w:val="clear"/>
                <w:lang w:val="en-US" w:eastAsia="zh-CN"/>
              </w:rPr>
              <w:t>三</w:t>
            </w:r>
            <w:r>
              <w:rPr>
                <w:rFonts w:hint="eastAsia" w:ascii="宋体" w:hAnsi="宋体" w:eastAsia="宋体" w:cs="宋体"/>
                <w:bCs w:val="0"/>
                <w:i w:val="0"/>
                <w:iCs w:val="0"/>
                <w:caps w:val="0"/>
                <w:color w:val="auto"/>
                <w:spacing w:val="0"/>
                <w:sz w:val="21"/>
                <w:szCs w:val="21"/>
                <w:highlight w:val="none"/>
                <w:shd w:val="clear"/>
              </w:rPr>
              <w:t>级</w:t>
            </w:r>
            <w:r>
              <w:rPr>
                <w:rFonts w:hint="eastAsia" w:ascii="宋体" w:hAnsi="宋体" w:eastAsia="宋体" w:cs="宋体"/>
                <w:bCs w:val="0"/>
                <w:i w:val="0"/>
                <w:iCs w:val="0"/>
                <w:caps w:val="0"/>
                <w:color w:val="auto"/>
                <w:spacing w:val="0"/>
                <w:sz w:val="21"/>
                <w:szCs w:val="21"/>
                <w:highlight w:val="none"/>
                <w:shd w:val="clear"/>
                <w:lang w:val="en-US" w:eastAsia="zh-CN"/>
              </w:rPr>
              <w:t>或</w:t>
            </w:r>
            <w:r>
              <w:rPr>
                <w:rFonts w:hint="eastAsia" w:ascii="宋体" w:hAnsi="宋体" w:eastAsia="宋体" w:cs="宋体"/>
                <w:bCs w:val="0"/>
                <w:i w:val="0"/>
                <w:iCs w:val="0"/>
                <w:caps w:val="0"/>
                <w:color w:val="auto"/>
                <w:spacing w:val="0"/>
                <w:sz w:val="21"/>
                <w:szCs w:val="21"/>
                <w:highlight w:val="none"/>
                <w:shd w:val="clear"/>
              </w:rPr>
              <w:t>以上资质，持有有效的安全生产许可证</w:t>
            </w:r>
            <w:r>
              <w:rPr>
                <w:rFonts w:hint="eastAsia" w:ascii="宋体" w:hAnsi="宋体" w:eastAsia="宋体" w:cs="宋体"/>
                <w:bCs w:val="0"/>
                <w:i w:val="0"/>
                <w:iCs w:val="0"/>
                <w:caps w:val="0"/>
                <w:color w:val="auto"/>
                <w:spacing w:val="0"/>
                <w:sz w:val="21"/>
                <w:szCs w:val="21"/>
                <w:highlight w:val="none"/>
                <w:shd w:val="clear"/>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default" w:ascii="宋体" w:hAnsi="宋体" w:cs="宋体"/>
                <w:color w:val="auto"/>
                <w:highlight w:val="none"/>
                <w:lang w:val="en-US"/>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highlight w:val="none"/>
                <w:lang w:val="en-US"/>
              </w:rPr>
              <w:t>2.3.</w:t>
            </w:r>
            <w:r>
              <w:rPr>
                <w:rFonts w:hint="default" w:ascii="宋体" w:hAnsi="宋体" w:cs="宋体"/>
                <w:color w:val="auto"/>
                <w:highlight w:val="none"/>
                <w:lang w:val="en-US" w:eastAsia="zh-CN"/>
              </w:rPr>
              <w:t>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widowControl w:val="0"/>
              <w:numPr>
                <w:ilvl w:val="0"/>
                <w:numId w:val="1"/>
              </w:numPr>
              <w:spacing w:line="360" w:lineRule="auto"/>
              <w:ind w:firstLine="0" w:firstLineChars="0"/>
              <w:rPr>
                <w:rFonts w:hint="default"/>
                <w:highlight w:val="none"/>
                <w:u w:val="none"/>
              </w:rPr>
            </w:pPr>
            <w:r>
              <w:rPr>
                <w:rFonts w:hint="default" w:asciiTheme="minorHAnsi" w:hAnsiTheme="minorHAnsi" w:eastAsiaTheme="minorEastAsia" w:cstheme="minorBidi"/>
                <w:sz w:val="21"/>
                <w:szCs w:val="24"/>
                <w:highlight w:val="none"/>
                <w:u w:val="none"/>
              </w:rPr>
              <w:t>投标</w:t>
            </w:r>
            <w:r>
              <w:rPr>
                <w:rFonts w:hint="default" w:asciiTheme="minorHAnsi" w:hAnsiTheme="minorHAnsi" w:eastAsiaTheme="minorEastAsia" w:cstheme="minorBidi"/>
                <w:sz w:val="21"/>
                <w:szCs w:val="24"/>
                <w:highlight w:val="none"/>
                <w:u w:val="none"/>
                <w:lang w:eastAsia="zh-CN"/>
              </w:rPr>
              <w:t>人</w:t>
            </w:r>
            <w:r>
              <w:rPr>
                <w:rFonts w:hint="default" w:asciiTheme="minorHAnsi" w:hAnsiTheme="minorHAnsi" w:eastAsiaTheme="minorEastAsia" w:cstheme="minorBidi"/>
                <w:sz w:val="21"/>
                <w:szCs w:val="24"/>
                <w:highlight w:val="none"/>
                <w:u w:val="none"/>
              </w:rPr>
              <w:t>委派的项目负责人</w:t>
            </w:r>
            <w:r>
              <w:rPr>
                <w:rFonts w:hint="default" w:asciiTheme="minorHAnsi" w:hAnsiTheme="minorHAnsi" w:eastAsiaTheme="minorEastAsia" w:cstheme="minorBidi"/>
                <w:sz w:val="21"/>
                <w:szCs w:val="24"/>
                <w:highlight w:val="none"/>
                <w:u w:val="none"/>
                <w:lang w:eastAsia="zh-CN"/>
              </w:rPr>
              <w:t>为：</w:t>
            </w:r>
            <w:r>
              <w:rPr>
                <w:rFonts w:hint="default" w:asciiTheme="minorHAnsi" w:hAnsiTheme="minorHAnsi" w:eastAsiaTheme="minorEastAsia" w:cstheme="minorBidi"/>
                <w:sz w:val="21"/>
                <w:szCs w:val="24"/>
                <w:highlight w:val="none"/>
                <w:u w:val="none"/>
              </w:rPr>
              <w:t>市政公用工程专业</w:t>
            </w:r>
            <w:r>
              <w:rPr>
                <w:rFonts w:hint="default" w:asciiTheme="minorHAnsi" w:hAnsiTheme="minorHAnsi" w:eastAsiaTheme="minorEastAsia" w:cstheme="minorBidi"/>
                <w:sz w:val="21"/>
                <w:szCs w:val="24"/>
                <w:highlight w:val="none"/>
                <w:u w:val="none"/>
                <w:lang w:val="en-US" w:eastAsia="zh-CN"/>
              </w:rPr>
              <w:t>二</w:t>
            </w:r>
            <w:r>
              <w:rPr>
                <w:rFonts w:hint="default" w:asciiTheme="minorHAnsi" w:hAnsiTheme="minorHAnsi" w:eastAsiaTheme="minorEastAsia" w:cstheme="minorBidi"/>
                <w:sz w:val="21"/>
                <w:szCs w:val="24"/>
                <w:highlight w:val="none"/>
                <w:u w:val="none"/>
              </w:rPr>
              <w:t>级或以上级别的注册建造师</w:t>
            </w:r>
            <w:r>
              <w:rPr>
                <w:rFonts w:hint="default" w:asciiTheme="minorHAnsi" w:hAnsiTheme="minorHAnsi" w:eastAsiaTheme="minorEastAsia" w:cstheme="minorBidi"/>
                <w:sz w:val="21"/>
                <w:szCs w:val="24"/>
                <w:highlight w:val="none"/>
                <w:u w:val="none"/>
                <w:lang w:eastAsia="zh-CN"/>
              </w:rPr>
              <w:t>。</w:t>
            </w:r>
            <w:r>
              <w:rPr>
                <w:rFonts w:hint="default" w:asciiTheme="minorHAnsi" w:hAnsiTheme="minorHAnsi" w:eastAsiaTheme="minorEastAsia" w:cstheme="minorBidi"/>
                <w:b w:val="0"/>
                <w:bCs w:val="0"/>
                <w:sz w:val="21"/>
                <w:szCs w:val="24"/>
                <w:highlight w:val="none"/>
                <w:u w:val="none"/>
              </w:rPr>
              <w:t>项目负责人</w:t>
            </w:r>
            <w:r>
              <w:rPr>
                <w:rFonts w:hint="default" w:asciiTheme="minorHAnsi" w:hAnsiTheme="minorHAnsi" w:eastAsiaTheme="minorEastAsia" w:cstheme="minorBidi"/>
                <w:sz w:val="21"/>
                <w:szCs w:val="24"/>
                <w:highlight w:val="none"/>
                <w:u w:val="none"/>
              </w:rPr>
              <w:t>持有安全培训考核合格证（B类）</w:t>
            </w:r>
            <w:r>
              <w:rPr>
                <w:rFonts w:hint="default" w:asciiTheme="minorHAnsi" w:hAnsiTheme="minorHAnsi" w:eastAsiaTheme="minorEastAsia" w:cstheme="minorBidi"/>
                <w:b w:val="0"/>
                <w:bCs w:val="0"/>
                <w:sz w:val="21"/>
                <w:szCs w:val="24"/>
                <w:highlight w:val="none"/>
                <w:u w:val="none"/>
              </w:rPr>
              <w:t>。</w:t>
            </w:r>
          </w:p>
          <w:p>
            <w:pPr>
              <w:widowControl w:val="0"/>
              <w:numPr>
                <w:ilvl w:val="0"/>
                <w:numId w:val="1"/>
              </w:numPr>
              <w:spacing w:line="360" w:lineRule="auto"/>
              <w:ind w:firstLine="0" w:firstLineChars="0"/>
              <w:rPr>
                <w:rFonts w:hint="default" w:asciiTheme="minorHAnsi" w:hAnsiTheme="minorHAnsi" w:eastAsiaTheme="minorEastAsia" w:cstheme="minorBidi"/>
                <w:sz w:val="21"/>
                <w:szCs w:val="24"/>
                <w:highlight w:val="none"/>
                <w:u w:val="none"/>
                <w:shd w:val="clear"/>
                <w:lang w:val="en-US" w:eastAsia="zh-CN"/>
              </w:rPr>
            </w:pPr>
            <w:r>
              <w:rPr>
                <w:rFonts w:hint="eastAsia" w:ascii="宋体" w:hAnsi="宋体" w:eastAsia="宋体" w:cs="宋体"/>
                <w:color w:val="auto"/>
                <w:sz w:val="21"/>
                <w:szCs w:val="21"/>
                <w:highlight w:val="none"/>
              </w:rPr>
              <w:t>投标人委派的技术负责人具有工程类工程师中级或以上职称。项目负责人和技术负责人不能为同一人。</w:t>
            </w:r>
          </w:p>
          <w:p>
            <w:pPr>
              <w:numPr>
                <w:ilvl w:val="-1"/>
                <w:numId w:val="0"/>
              </w:numPr>
              <w:spacing w:line="360" w:lineRule="auto"/>
              <w:ind w:firstLine="0"/>
              <w:rPr>
                <w:rFonts w:hint="default" w:asciiTheme="minorHAnsi" w:hAnsiTheme="minorHAnsi" w:eastAsiaTheme="minorEastAsia" w:cstheme="minorBidi"/>
                <w:kern w:val="2"/>
                <w:sz w:val="21"/>
                <w:szCs w:val="24"/>
                <w:highlight w:val="none"/>
                <w:u w:val="none"/>
                <w:lang w:val="en-US" w:eastAsia="zh-CN" w:bidi="ar-SA"/>
              </w:rPr>
            </w:pPr>
            <w:r>
              <w:rPr>
                <w:rFonts w:hint="eastAsia" w:cstheme="minorBidi"/>
                <w:b w:val="0"/>
                <w:bCs w:val="0"/>
                <w:sz w:val="21"/>
                <w:szCs w:val="24"/>
                <w:highlight w:val="none"/>
                <w:u w:val="none"/>
                <w:lang w:val="en-US" w:eastAsia="zh-CN"/>
              </w:rPr>
              <w:t>3、</w:t>
            </w:r>
            <w:r>
              <w:rPr>
                <w:rFonts w:hint="default" w:asciiTheme="minorHAnsi" w:hAnsiTheme="minorHAnsi" w:eastAsiaTheme="minorEastAsia" w:cstheme="minorBidi"/>
                <w:b w:val="0"/>
                <w:bCs w:val="0"/>
                <w:sz w:val="21"/>
                <w:szCs w:val="24"/>
                <w:highlight w:val="none"/>
                <w:u w:val="none"/>
              </w:rPr>
              <w:t>专职安全员须具有</w:t>
            </w:r>
            <w:r>
              <w:rPr>
                <w:rFonts w:hint="default" w:asciiTheme="minorHAnsi" w:hAnsiTheme="minorHAnsi" w:eastAsiaTheme="minorEastAsia" w:cstheme="minorBidi"/>
                <w:sz w:val="21"/>
                <w:szCs w:val="24"/>
                <w:highlight w:val="none"/>
                <w:u w:val="none"/>
              </w:rPr>
              <w:t>安全生产考核合格证（C类）</w:t>
            </w:r>
            <w:r>
              <w:rPr>
                <w:rFonts w:hint="default" w:asciiTheme="minorHAnsi" w:hAnsiTheme="minorHAnsi" w:eastAsiaTheme="minorEastAsia" w:cstheme="minorBidi"/>
                <w:kern w:val="2"/>
                <w:sz w:val="21"/>
                <w:szCs w:val="24"/>
                <w:highlight w:val="none"/>
                <w:u w:val="none"/>
              </w:rPr>
              <w:t>或建筑施工企业专职安全生产管理人员安全生产考核合格证书</w:t>
            </w:r>
            <w:r>
              <w:rPr>
                <w:rFonts w:hint="default" w:asciiTheme="minorHAnsi" w:hAnsiTheme="minorHAnsi" w:eastAsiaTheme="minorEastAsia" w:cstheme="minorBidi"/>
                <w:b w:val="0"/>
                <w:bCs w:val="0"/>
                <w:sz w:val="21"/>
                <w:szCs w:val="24"/>
                <w:highlight w:val="none"/>
                <w:u w:val="none"/>
                <w:lang w:eastAsia="zh-CN"/>
              </w:rPr>
              <w:t>。</w:t>
            </w:r>
          </w:p>
        </w:tc>
      </w:tr>
      <w:tr>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Autospacing="0" w:after="0" w:line="440" w:lineRule="exact"/>
              <w:ind w:left="0" w:leftChars="0" w:right="0" w:rightChars="0"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jc w:val="both"/>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48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210" w:firstLineChars="100"/>
              <w:jc w:val="both"/>
              <w:rPr>
                <w:rFonts w:hint="eastAsia" w:ascii="宋体" w:hAnsi="宋体" w:eastAsia="宋体" w:cs="宋体"/>
                <w:color w:val="auto"/>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line="440" w:lineRule="exact"/>
              <w:ind w:firstLine="0" w:firstLineChars="0"/>
              <w:jc w:val="center"/>
              <w:rPr>
                <w:rFonts w:hint="eastAsia" w:ascii="宋体" w:hAnsi="宋体" w:eastAsia="宋体" w:cs="宋体"/>
                <w:color w:val="auto"/>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43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spacing w:line="440" w:lineRule="exact"/>
              <w:ind w:firstLine="0"/>
              <w:jc w:val="both"/>
              <w:rPr>
                <w:rFonts w:hint="eastAsia" w:ascii="宋体" w:hAnsi="宋体" w:eastAsia="宋体" w:cs="宋体"/>
                <w:color w:val="auto"/>
                <w:sz w:val="21"/>
                <w:szCs w:val="21"/>
                <w:highlight w:val="none"/>
                <w:u w:val="none"/>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192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widowControl/>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rPr>
              <w:t>招标控制价为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413482</w:t>
            </w:r>
            <w:r>
              <w:rPr>
                <w:rFonts w:ascii="宋体" w:hAnsi="宋体" w:eastAsia="宋体" w:cs="宋体"/>
                <w:color w:val="auto"/>
                <w:kern w:val="2"/>
                <w:position w:val="0"/>
                <w:sz w:val="21"/>
                <w:szCs w:val="21"/>
                <w:highlight w:val="none"/>
                <w:u w:val="none"/>
              </w:rPr>
              <w:t>.</w:t>
            </w:r>
            <w:r>
              <w:rPr>
                <w:rFonts w:hint="eastAsia" w:ascii="宋体" w:hAnsi="宋体" w:eastAsia="宋体" w:cs="宋体"/>
                <w:color w:val="auto"/>
                <w:kern w:val="2"/>
                <w:position w:val="0"/>
                <w:sz w:val="21"/>
                <w:szCs w:val="21"/>
                <w:highlight w:val="none"/>
                <w:u w:val="none"/>
                <w:lang w:val="en-US" w:eastAsia="zh-CN"/>
              </w:rPr>
              <w:t>14</w:t>
            </w:r>
            <w:r>
              <w:rPr>
                <w:rFonts w:hint="eastAsia" w:ascii="宋体" w:hAnsi="宋体" w:eastAsia="宋体" w:cs="宋体"/>
                <w:color w:val="auto"/>
                <w:sz w:val="21"/>
                <w:szCs w:val="21"/>
                <w:highlight w:val="none"/>
                <w:u w:val="none"/>
              </w:rPr>
              <w:t>元</w:t>
            </w:r>
            <w:r>
              <w:rPr>
                <w:rFonts w:hint="eastAsia" w:ascii="宋体" w:hAnsi="宋体" w:eastAsia="宋体" w:cs="宋体"/>
                <w:color w:val="auto"/>
                <w:sz w:val="21"/>
                <w:szCs w:val="21"/>
                <w:highlight w:val="none"/>
                <w:u w:val="none"/>
                <w:lang w:eastAsia="zh-CN"/>
              </w:rPr>
              <w:t>（大写：人民币肆拾壹万叁仟肆佰捌拾贰元壹角肆分），其中，</w:t>
            </w:r>
            <w:r>
              <w:rPr>
                <w:rFonts w:hint="eastAsia" w:ascii="宋体" w:hAnsi="宋体" w:eastAsia="宋体" w:cs="宋体"/>
                <w:bCs w:val="0"/>
                <w:color w:val="auto"/>
                <w:sz w:val="21"/>
                <w:szCs w:val="21"/>
                <w:highlight w:val="none"/>
                <w:u w:val="none"/>
                <w:lang w:eastAsia="zh-CN"/>
              </w:rPr>
              <w:t>绿色施工安全防护措施费为</w:t>
            </w:r>
            <w:r>
              <w:rPr>
                <w:rFonts w:hint="eastAsia" w:ascii="宋体" w:hAnsi="宋体" w:eastAsia="宋体" w:cs="宋体"/>
                <w:color w:val="auto"/>
                <w:sz w:val="21"/>
                <w:szCs w:val="21"/>
                <w:highlight w:val="none"/>
                <w:u w:val="none"/>
                <w:lang w:val="en-US" w:eastAsia="zh-CN"/>
              </w:rPr>
              <w:t>¥</w:t>
            </w:r>
            <w:r>
              <w:rPr>
                <w:rFonts w:hint="eastAsia" w:ascii="宋体" w:hAnsi="宋体" w:eastAsia="宋体" w:cs="宋体"/>
                <w:color w:val="auto"/>
                <w:kern w:val="2"/>
                <w:position w:val="0"/>
                <w:sz w:val="21"/>
                <w:szCs w:val="21"/>
                <w:highlight w:val="none"/>
                <w:u w:val="none"/>
                <w:lang w:val="en-US" w:eastAsia="zh-CN"/>
              </w:rPr>
              <w:t>32315.63</w:t>
            </w:r>
            <w:r>
              <w:rPr>
                <w:rFonts w:hint="eastAsia" w:ascii="宋体" w:hAnsi="宋体" w:eastAsia="宋体" w:cs="宋体"/>
                <w:bCs w:val="0"/>
                <w:color w:val="auto"/>
                <w:sz w:val="21"/>
                <w:szCs w:val="21"/>
                <w:highlight w:val="none"/>
                <w:u w:val="none"/>
                <w:lang w:val="en-US" w:eastAsia="zh-CN"/>
              </w:rPr>
              <w:t>元（固定值）</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kern w:val="2"/>
                <w:sz w:val="21"/>
                <w:szCs w:val="21"/>
                <w:highlight w:val="none"/>
                <w:u w:val="none"/>
                <w:lang w:val="en-US" w:eastAsia="zh-CN" w:bidi="ar-SA"/>
              </w:rPr>
              <w:t>投标单位自行报价，投标总报价不能超过招标控制价，否则按无效投标处理。（小数点后保留二位小数，第三位小数四舍五入）</w:t>
            </w:r>
          </w:p>
        </w:tc>
      </w:tr>
      <w:tr>
        <w:tblPrEx>
          <w:tblCellMar>
            <w:top w:w="0" w:type="dxa"/>
            <w:left w:w="108" w:type="dxa"/>
            <w:bottom w:w="0" w:type="dxa"/>
            <w:right w:w="108" w:type="dxa"/>
          </w:tblCellMar>
        </w:tblPrEx>
        <w:trPr>
          <w:trHeight w:val="43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393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adjustRightInd w:val="0"/>
              <w:snapToGrid w:val="0"/>
              <w:spacing w:line="360" w:lineRule="auto"/>
              <w:rPr>
                <w:rFonts w:hint="eastAsia" w:ascii="宋体" w:hAnsi="宋体" w:eastAsia="宋体" w:cs="宋体"/>
                <w:highlight w:val="none"/>
              </w:rPr>
            </w:pPr>
            <w:r>
              <w:rPr>
                <w:rFonts w:hint="eastAsia" w:ascii="宋体" w:hAnsi="宋体" w:eastAsia="宋体" w:cs="宋体"/>
                <w:highlight w:val="none"/>
              </w:rPr>
              <w:t>1、金额：人民币</w:t>
            </w:r>
            <w:r>
              <w:rPr>
                <w:rFonts w:hint="eastAsia" w:ascii="宋体" w:hAnsi="宋体" w:eastAsia="宋体" w:cs="宋体"/>
                <w:highlight w:val="none"/>
                <w:lang w:val="en-US" w:eastAsia="zh-CN"/>
              </w:rPr>
              <w:t>伍仟</w:t>
            </w:r>
            <w:r>
              <w:rPr>
                <w:rFonts w:hint="eastAsia" w:ascii="宋体" w:hAnsi="宋体" w:eastAsia="宋体" w:cs="宋体"/>
                <w:highlight w:val="none"/>
              </w:rPr>
              <w:t>元。</w:t>
            </w:r>
          </w:p>
          <w:p>
            <w:pPr>
              <w:numPr>
                <w:ilvl w:val="-1"/>
                <w:numId w:val="0"/>
              </w:numPr>
              <w:adjustRightInd w:val="0"/>
              <w:snapToGrid w:val="0"/>
              <w:spacing w:line="360" w:lineRule="auto"/>
              <w:rPr>
                <w:rFonts w:hint="eastAsia" w:ascii="宋体" w:hAnsi="宋体" w:eastAsia="宋体" w:cs="宋体"/>
                <w:highlight w:val="none"/>
                <w:lang w:eastAsia="zh-CN"/>
              </w:rPr>
            </w:pPr>
            <w:r>
              <w:rPr>
                <w:rFonts w:hint="eastAsia" w:ascii="宋体" w:hAnsi="宋体" w:eastAsia="宋体" w:cs="宋体"/>
                <w:highlight w:val="none"/>
              </w:rPr>
              <w:t>2、缴纳方式：</w:t>
            </w:r>
            <w:r>
              <w:rPr>
                <w:rFonts w:hint="eastAsia" w:ascii="宋体" w:hAnsi="宋体" w:eastAsia="宋体" w:cs="宋体"/>
                <w:highlight w:val="none"/>
                <w:lang w:eastAsia="zh-CN"/>
              </w:rPr>
              <w:t>银行转账。</w:t>
            </w:r>
          </w:p>
          <w:p>
            <w:pPr>
              <w:numPr>
                <w:ilvl w:val="-1"/>
                <w:numId w:val="0"/>
              </w:numPr>
              <w:adjustRightInd w:val="0"/>
              <w:spacing w:line="360" w:lineRule="auto"/>
              <w:rPr>
                <w:rFonts w:hint="eastAsia" w:ascii="宋体" w:hAnsi="宋体" w:eastAsia="宋体" w:cs="宋体"/>
                <w:highlight w:val="none"/>
                <w:lang w:eastAsia="zh-CN"/>
              </w:rPr>
            </w:pPr>
            <w:r>
              <w:rPr>
                <w:rFonts w:hint="eastAsia" w:ascii="宋体" w:hAnsi="宋体" w:eastAsia="宋体" w:cs="宋体"/>
                <w:highlight w:val="none"/>
              </w:rPr>
              <w:t>账户名称：广州南沙</w:t>
            </w:r>
            <w:r>
              <w:rPr>
                <w:rFonts w:hint="eastAsia" w:ascii="宋体" w:hAnsi="宋体" w:eastAsia="宋体" w:cs="宋体"/>
                <w:highlight w:val="none"/>
                <w:lang w:val="en-US" w:eastAsia="zh-CN"/>
              </w:rPr>
              <w:t>旅游发展</w:t>
            </w:r>
            <w:r>
              <w:rPr>
                <w:rFonts w:hint="eastAsia" w:ascii="宋体" w:hAnsi="宋体" w:eastAsia="宋体" w:cs="宋体"/>
                <w:highlight w:val="none"/>
              </w:rPr>
              <w:t>有限公司</w:t>
            </w:r>
          </w:p>
          <w:p>
            <w:pPr>
              <w:numPr>
                <w:ilvl w:val="-1"/>
                <w:numId w:val="0"/>
              </w:numPr>
              <w:adjustRightInd w:val="0"/>
              <w:spacing w:line="360" w:lineRule="auto"/>
              <w:rPr>
                <w:rFonts w:hint="eastAsia" w:ascii="宋体" w:hAnsi="宋体" w:eastAsia="宋体" w:cs="宋体"/>
                <w:highlight w:val="none"/>
                <w:lang w:eastAsia="zh-CN"/>
              </w:rPr>
            </w:pPr>
            <w:r>
              <w:rPr>
                <w:rFonts w:hint="eastAsia" w:ascii="宋体" w:hAnsi="宋体" w:eastAsia="宋体" w:cs="宋体"/>
                <w:highlight w:val="none"/>
              </w:rPr>
              <w:t>开户银行：中国银行广州南沙科技园区支行</w:t>
            </w:r>
            <w:r>
              <w:rPr>
                <w:rFonts w:hint="eastAsia" w:ascii="宋体" w:hAnsi="宋体" w:eastAsia="宋体" w:cs="宋体"/>
                <w:highlight w:val="none"/>
                <w:lang w:val="en-US" w:eastAsia="zh-CN"/>
              </w:rPr>
              <w:t xml:space="preserve">  </w:t>
            </w:r>
          </w:p>
          <w:p>
            <w:pPr>
              <w:numPr>
                <w:ilvl w:val="-1"/>
                <w:numId w:val="0"/>
              </w:numPr>
              <w:adjustRightInd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rPr>
              <w:t>账号：644457756045</w:t>
            </w:r>
          </w:p>
          <w:p>
            <w:pPr>
              <w:numPr>
                <w:ilvl w:val="0"/>
                <w:numId w:val="2"/>
              </w:numPr>
              <w:adjustRightInd w:val="0"/>
              <w:snapToGrid w:val="0"/>
              <w:spacing w:line="360" w:lineRule="auto"/>
              <w:rPr>
                <w:rFonts w:hint="eastAsia" w:ascii="宋体" w:hAnsi="宋体" w:eastAsia="宋体" w:cs="宋体"/>
                <w:highlight w:val="none"/>
                <w:lang w:val="en-US" w:eastAsia="zh-CN"/>
              </w:rPr>
            </w:pPr>
            <w:r>
              <w:rPr>
                <w:rFonts w:hint="eastAsia" w:ascii="宋体" w:hAnsi="宋体" w:eastAsia="宋体" w:cs="宋体"/>
                <w:highlight w:val="none"/>
              </w:rPr>
              <w:t>缴纳时间：投标单位须在202</w:t>
            </w:r>
            <w:r>
              <w:rPr>
                <w:rFonts w:hint="eastAsia" w:ascii="宋体" w:hAnsi="宋体" w:eastAsia="宋体" w:cs="宋体"/>
                <w:highlight w:val="none"/>
                <w:lang w:val="en-US" w:eastAsia="zh-CN"/>
              </w:rPr>
              <w:t>4</w:t>
            </w:r>
            <w:r>
              <w:rPr>
                <w:rFonts w:hint="eastAsia" w:ascii="宋体" w:hAnsi="宋体" w:eastAsia="宋体" w:cs="宋体"/>
                <w:highlight w:val="none"/>
              </w:rPr>
              <w:t>年</w:t>
            </w:r>
            <w:r>
              <w:rPr>
                <w:rFonts w:hint="eastAsia" w:ascii="宋体" w:hAnsi="宋体" w:eastAsia="宋体" w:cs="宋体"/>
                <w:highlight w:val="none"/>
                <w:lang w:val="en-US" w:eastAsia="zh-CN"/>
              </w:rPr>
              <w:t>4月11</w:t>
            </w:r>
            <w:r>
              <w:rPr>
                <w:rFonts w:hint="eastAsia" w:ascii="宋体" w:hAnsi="宋体" w:eastAsia="宋体" w:cs="宋体"/>
                <w:highlight w:val="none"/>
              </w:rPr>
              <w:t>日</w:t>
            </w:r>
            <w:r>
              <w:rPr>
                <w:rFonts w:hint="eastAsia" w:ascii="宋体" w:hAnsi="宋体" w:eastAsia="宋体" w:cs="宋体"/>
                <w:highlight w:val="none"/>
                <w:lang w:eastAsia="zh-CN"/>
              </w:rPr>
              <w:t>（星期</w:t>
            </w:r>
            <w:r>
              <w:rPr>
                <w:rFonts w:hint="eastAsia" w:ascii="宋体" w:hAnsi="宋体" w:eastAsia="宋体" w:cs="宋体"/>
                <w:highlight w:val="none"/>
                <w:lang w:val="en-US" w:eastAsia="zh-CN"/>
              </w:rPr>
              <w:t>四</w:t>
            </w:r>
            <w:r>
              <w:rPr>
                <w:rFonts w:hint="eastAsia" w:ascii="宋体" w:hAnsi="宋体" w:eastAsia="宋体" w:cs="宋体"/>
                <w:highlight w:val="none"/>
                <w:lang w:eastAsia="zh-CN"/>
              </w:rPr>
              <w:t>）</w:t>
            </w:r>
            <w:r>
              <w:rPr>
                <w:rFonts w:hint="eastAsia" w:ascii="宋体" w:hAnsi="宋体" w:eastAsia="宋体" w:cs="宋体"/>
                <w:highlight w:val="none"/>
                <w:lang w:val="en-US" w:eastAsia="zh-CN"/>
              </w:rPr>
              <w:t>16</w:t>
            </w:r>
            <w:r>
              <w:rPr>
                <w:rFonts w:hint="eastAsia" w:ascii="宋体" w:hAnsi="宋体" w:eastAsia="宋体" w:cs="宋体"/>
                <w:highlight w:val="none"/>
              </w:rPr>
              <w:t>时</w:t>
            </w:r>
            <w:r>
              <w:rPr>
                <w:rFonts w:hint="eastAsia" w:ascii="宋体" w:hAnsi="宋体" w:eastAsia="宋体" w:cs="宋体"/>
                <w:highlight w:val="none"/>
                <w:lang w:val="en-US" w:eastAsia="zh-CN"/>
              </w:rPr>
              <w:t>00</w:t>
            </w:r>
            <w:r>
              <w:rPr>
                <w:rFonts w:hint="eastAsia" w:ascii="宋体" w:hAnsi="宋体" w:eastAsia="宋体" w:cs="宋体"/>
                <w:highlight w:val="none"/>
              </w:rPr>
              <w:t>分</w:t>
            </w:r>
            <w:r>
              <w:rPr>
                <w:rFonts w:hint="eastAsia" w:ascii="宋体" w:hAnsi="宋体" w:eastAsia="宋体" w:cs="宋体"/>
                <w:highlight w:val="none"/>
                <w:lang w:eastAsia="zh-CN"/>
              </w:rPr>
              <w:t>前</w:t>
            </w:r>
            <w:r>
              <w:rPr>
                <w:rFonts w:hint="eastAsia" w:ascii="宋体" w:hAnsi="宋体" w:eastAsia="宋体" w:cs="宋体"/>
                <w:highlight w:val="none"/>
              </w:rPr>
              <w:t>以投标人转出【</w:t>
            </w:r>
            <w:r>
              <w:rPr>
                <w:rFonts w:hint="eastAsia" w:ascii="宋体" w:hAnsi="宋体" w:eastAsia="宋体" w:cs="宋体"/>
                <w:color w:val="auto"/>
                <w:szCs w:val="21"/>
                <w:highlight w:val="none"/>
              </w:rPr>
              <w:t>汇款时</w:t>
            </w:r>
            <w:r>
              <w:rPr>
                <w:rFonts w:hint="eastAsia" w:ascii="宋体" w:hAnsi="宋体" w:eastAsia="宋体" w:cs="宋体"/>
                <w:color w:val="auto"/>
                <w:szCs w:val="21"/>
                <w:highlight w:val="none"/>
                <w:lang w:eastAsia="zh-CN"/>
              </w:rPr>
              <w:t>注明</w:t>
            </w:r>
            <w:r>
              <w:rPr>
                <w:rFonts w:hint="eastAsia" w:ascii="宋体" w:hAnsi="宋体" w:eastAsia="宋体" w:cs="宋体"/>
                <w:color w:val="auto"/>
                <w:szCs w:val="21"/>
                <w:highlight w:val="none"/>
              </w:rPr>
              <w:t>：</w:t>
            </w:r>
            <w:r>
              <w:rPr>
                <w:rFonts w:hint="eastAsia" w:ascii="宋体" w:hAnsi="宋体" w:eastAsia="宋体" w:cs="宋体"/>
                <w:b w:val="0"/>
                <w:bCs w:val="0"/>
                <w:color w:val="auto"/>
                <w:sz w:val="21"/>
                <w:szCs w:val="21"/>
                <w:highlight w:val="none"/>
                <w:lang w:val="en-US" w:eastAsia="zh-CN"/>
              </w:rPr>
              <w:t>天后宫中轴线主干道维修维护项目</w:t>
            </w:r>
            <w:r>
              <w:rPr>
                <w:rFonts w:hint="eastAsia" w:ascii="宋体" w:hAnsi="宋体" w:eastAsia="宋体" w:cs="宋体"/>
                <w:highlight w:val="none"/>
              </w:rPr>
              <w:t>投标保证金】</w:t>
            </w:r>
          </w:p>
          <w:p>
            <w:pPr>
              <w:pStyle w:val="2"/>
              <w:numPr>
                <w:ilvl w:val="0"/>
                <w:numId w:val="2"/>
              </w:numPr>
              <w:spacing w:line="360" w:lineRule="auto"/>
              <w:rPr>
                <w:rFonts w:hint="eastAsia" w:ascii="宋体" w:hAnsi="宋体" w:eastAsia="宋体" w:cs="宋体"/>
                <w:highlight w:val="none"/>
                <w:lang w:val="en-US" w:eastAsia="zh-CN"/>
              </w:rPr>
            </w:pPr>
            <w:r>
              <w:rPr>
                <w:rFonts w:hint="eastAsia" w:ascii="宋体" w:hAnsi="宋体" w:eastAsia="宋体" w:cs="宋体"/>
                <w:color w:val="auto"/>
                <w:szCs w:val="21"/>
                <w:highlight w:val="none"/>
                <w:lang w:val="en-US" w:eastAsia="zh-CN"/>
              </w:rPr>
              <w:t>投标保证金在开标结束后，按招标人内部程序，原路退回投标单位缴款账户。</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0" w:beforeAutospacing="0" w:after="0" w:line="440" w:lineRule="exact"/>
              <w:ind w:left="0" w:leftChars="0" w:right="0" w:rightChars="0" w:firstLine="0"/>
              <w:jc w:val="center"/>
              <w:rPr>
                <w:rFonts w:hint="eastAsia"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7"/>
              <w:widowControl/>
              <w:spacing w:after="0" w:line="44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281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rPr>
              <w:t>1</w:t>
            </w:r>
            <w:r>
              <w:rPr>
                <w:rFonts w:hint="eastAsia" w:ascii="宋体" w:hAnsi="宋体" w:cs="宋体"/>
                <w:color w:val="auto"/>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7"/>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收件人：林小姐，</w:t>
            </w:r>
            <w:r>
              <w:rPr>
                <w:rFonts w:hint="eastAsia" w:ascii="宋体" w:hAnsi="宋体" w:eastAsia="宋体" w:cs="宋体"/>
                <w:color w:val="auto"/>
                <w:kern w:val="2"/>
                <w:sz w:val="21"/>
                <w:szCs w:val="21"/>
                <w:highlight w:val="none"/>
                <w:u w:val="none"/>
              </w:rPr>
              <w:t>020-</w:t>
            </w:r>
            <w:r>
              <w:rPr>
                <w:rFonts w:hint="eastAsia" w:ascii="宋体" w:hAnsi="宋体" w:eastAsia="宋体" w:cs="宋体"/>
                <w:color w:val="auto"/>
                <w:kern w:val="2"/>
                <w:sz w:val="21"/>
                <w:szCs w:val="21"/>
                <w:highlight w:val="none"/>
                <w:u w:val="none"/>
                <w:lang w:val="en-US" w:eastAsia="zh-CN"/>
              </w:rPr>
              <w:t>31151828</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w:t>
            </w:r>
            <w:r>
              <w:rPr>
                <w:rFonts w:hint="eastAsia" w:ascii="宋体" w:hAnsi="宋体" w:eastAsia="宋体" w:cs="宋体"/>
                <w:color w:val="auto"/>
                <w:kern w:val="2"/>
                <w:sz w:val="21"/>
                <w:szCs w:val="21"/>
                <w:highlight w:val="none"/>
                <w:u w:val="none"/>
                <w:shd w:val="clear" w:color="auto" w:fill="auto"/>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color="auto" w:fill="auto"/>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分前</w:t>
            </w:r>
            <w:r>
              <w:rPr>
                <w:rFonts w:hint="eastAsia" w:ascii="宋体" w:hAnsi="宋体" w:eastAsia="宋体" w:cs="宋体"/>
                <w:color w:val="auto"/>
                <w:kern w:val="2"/>
                <w:sz w:val="21"/>
                <w:szCs w:val="21"/>
                <w:highlight w:val="none"/>
                <w:u w:val="none"/>
                <w:lang w:val="en-US" w:eastAsia="zh-CN" w:bidi="ar-SA"/>
              </w:rPr>
              <w:t>。</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7"/>
              <w:widowControl/>
              <w:spacing w:after="0" w:line="440" w:lineRule="exact"/>
              <w:ind w:firstLine="0" w:firstLineChars="0"/>
              <w:jc w:val="center"/>
              <w:rPr>
                <w:rFonts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4</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4月12</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五</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w:t>
            </w:r>
            <w:r>
              <w:rPr>
                <w:rFonts w:hint="eastAsia" w:ascii="宋体" w:hAnsi="宋体" w:eastAsia="宋体" w:cs="宋体"/>
                <w:color w:val="auto"/>
                <w:kern w:val="2"/>
                <w:sz w:val="21"/>
                <w:szCs w:val="21"/>
                <w:highlight w:val="none"/>
                <w:u w:val="none"/>
                <w:shd w:val="clear"/>
                <w:lang w:bidi="ar-SA"/>
              </w:rPr>
              <w:t>广州市南沙区南沙街天后路88号南沙天后宫景区办公室2楼</w:t>
            </w:r>
            <w:r>
              <w:rPr>
                <w:rFonts w:hint="eastAsia" w:ascii="宋体" w:hAnsi="宋体" w:eastAsia="宋体" w:cs="宋体"/>
                <w:color w:val="auto"/>
                <w:kern w:val="2"/>
                <w:sz w:val="21"/>
                <w:szCs w:val="21"/>
                <w:highlight w:val="none"/>
                <w:u w:val="none"/>
                <w:shd w:val="clear"/>
                <w:lang w:val="en-US" w:eastAsia="zh-CN" w:bidi="ar-SA"/>
              </w:rPr>
              <w:t>206评标室</w:t>
            </w:r>
          </w:p>
          <w:p>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trHeight w:val="913" w:hRule="atLeast"/>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7"/>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highlight w:val="none"/>
                <w:u w:val="none"/>
              </w:rPr>
            </w:pPr>
            <w:r>
              <w:rPr>
                <w:rFonts w:hint="eastAsia" w:ascii="宋体" w:hAnsi="宋体" w:eastAsia="宋体" w:cs="宋体"/>
                <w:color w:val="auto"/>
                <w:szCs w:val="21"/>
                <w:highlight w:val="none"/>
                <w:u w:val="none"/>
              </w:rPr>
              <w:t>综合</w:t>
            </w:r>
            <w:r>
              <w:rPr>
                <w:rFonts w:hint="eastAsia" w:ascii="宋体" w:hAnsi="宋体" w:eastAsia="宋体" w:cs="宋体"/>
                <w:color w:val="auto"/>
                <w:szCs w:val="21"/>
                <w:highlight w:val="none"/>
                <w:u w:val="none"/>
                <w:lang w:val="en-US" w:eastAsia="zh-CN"/>
              </w:rPr>
              <w:t>评审</w:t>
            </w:r>
            <w:r>
              <w:rPr>
                <w:rFonts w:hint="eastAsia" w:ascii="宋体" w:hAnsi="宋体" w:eastAsia="宋体" w:cs="宋体"/>
                <w:color w:val="auto"/>
                <w:szCs w:val="21"/>
                <w:highlight w:val="none"/>
                <w:u w:val="none"/>
              </w:rPr>
              <w:t>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pPr>
        <w:pStyle w:val="4"/>
        <w:rPr>
          <w:rFonts w:hint="eastAsia" w:ascii="宋体" w:hAnsi="宋体" w:eastAsia="宋体" w:cs="宋体"/>
          <w:b/>
          <w:color w:val="auto"/>
          <w:sz w:val="36"/>
          <w:szCs w:val="36"/>
          <w:highlight w:val="none"/>
        </w:rPr>
      </w:pPr>
    </w:p>
    <w:p>
      <w:pPr>
        <w:rPr>
          <w:rFonts w:hint="eastAsia" w:ascii="宋体" w:hAnsi="宋体" w:eastAsia="宋体" w:cs="宋体"/>
          <w:b/>
          <w:color w:val="auto"/>
          <w:sz w:val="36"/>
          <w:szCs w:val="36"/>
          <w:highlight w:val="none"/>
        </w:rPr>
      </w:pPr>
    </w:p>
    <w:p>
      <w:pPr>
        <w:pStyle w:val="2"/>
        <w:rPr>
          <w:rFonts w:hint="eastAsia"/>
        </w:rPr>
      </w:pPr>
    </w:p>
    <w:p>
      <w:pPr>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rPr>
        <w:t>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widowControl/>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 “书面函件”指打字或印刷的函件，包括电传、电报和传真。</w:t>
      </w:r>
    </w:p>
    <w:p>
      <w:pPr>
        <w:spacing w:line="360" w:lineRule="auto"/>
        <w:ind w:firstLine="482" w:firstLineChars="200"/>
        <w:outlineLvl w:val="3"/>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spacing w:line="360" w:lineRule="auto"/>
        <w:ind w:left="0" w:firstLine="480" w:firstLineChars="200"/>
        <w:outlineLvl w:val="3"/>
        <w:rPr>
          <w:rFonts w:hint="eastAsia" w:ascii="宋体" w:hAnsi="宋体" w:eastAsia="宋体" w:cs="宋体"/>
          <w:color w:val="auto"/>
          <w:sz w:val="24"/>
          <w:highlight w:val="none"/>
        </w:rPr>
      </w:pPr>
      <w:r>
        <w:rPr>
          <w:rFonts w:hint="eastAsia" w:ascii="宋体" w:hAnsi="宋体" w:eastAsia="宋体" w:cs="宋体"/>
          <w:color w:val="auto"/>
          <w:sz w:val="24"/>
          <w:highlight w:val="none"/>
        </w:rPr>
        <w:t>2.2项目概况：</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建设</w:t>
      </w:r>
      <w:r>
        <w:rPr>
          <w:rFonts w:hint="eastAsia" w:ascii="宋体" w:hAnsi="宋体" w:eastAsia="宋体" w:cs="宋体"/>
          <w:color w:val="auto"/>
          <w:sz w:val="24"/>
          <w:highlight w:val="none"/>
          <w:lang w:val="en-US" w:eastAsia="zh-CN"/>
        </w:rPr>
        <w:t>规模</w:t>
      </w:r>
      <w:r>
        <w:rPr>
          <w:rFonts w:hint="eastAsia" w:ascii="宋体" w:hAnsi="宋体" w:eastAsia="宋体" w:cs="宋体"/>
          <w:color w:val="auto"/>
          <w:sz w:val="24"/>
          <w:highlight w:val="none"/>
        </w:rPr>
        <w:t>：见投标须知前附表第2项。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4承包方式</w:t>
      </w:r>
      <w:r>
        <w:rPr>
          <w:rFonts w:hint="eastAsia" w:ascii="宋体" w:hAnsi="宋体" w:eastAsia="宋体" w:cs="宋体"/>
          <w:color w:val="auto"/>
          <w:sz w:val="24"/>
          <w:highlight w:val="none"/>
        </w:rPr>
        <w:t>：见投标须知前附表第3项。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6质量</w:t>
      </w:r>
      <w:r>
        <w:rPr>
          <w:rFonts w:hint="eastAsia" w:ascii="宋体" w:hAnsi="宋体" w:eastAsia="宋体" w:cs="宋体"/>
          <w:color w:val="auto"/>
          <w:sz w:val="24"/>
          <w:highlight w:val="none"/>
        </w:rPr>
        <w:t>目标：见投标须知前附表第5项。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spacing w:line="360" w:lineRule="auto"/>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spacing w:line="360" w:lineRule="auto"/>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spacing w:line="360" w:lineRule="auto"/>
        <w:ind w:left="-1" w:firstLine="480" w:firstLineChars="200"/>
        <w:rPr>
          <w:highlight w:val="none"/>
        </w:rPr>
      </w:pPr>
      <w:r>
        <w:rPr>
          <w:rFonts w:hint="eastAsia" w:ascii="宋体" w:hAnsi="宋体" w:eastAsia="宋体" w:cs="宋体"/>
          <w:color w:val="auto"/>
          <w:sz w:val="24"/>
          <w:highlight w:val="none"/>
          <w:lang w:val="en-US" w:eastAsia="zh-CN"/>
        </w:rPr>
        <w:t>2.3.4</w:t>
      </w:r>
      <w:r>
        <w:rPr>
          <w:rFonts w:hint="eastAsia" w:ascii="宋体" w:hAnsi="宋体" w:eastAsia="宋体" w:cs="宋体"/>
          <w:color w:val="auto"/>
          <w:sz w:val="24"/>
          <w:highlight w:val="none"/>
        </w:rPr>
        <w:t>服务人员的专业配套要求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见投标须知前附表第</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7"/>
        <w:widowControl/>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spacing w:line="360" w:lineRule="auto"/>
        <w:ind w:firstLine="480" w:firstLineChars="200"/>
        <w:rPr>
          <w:rFonts w:hint="eastAsia" w:ascii="黑体" w:hAnsi="华文楷体" w:eastAsia="黑体" w:cs="黑体"/>
          <w:color w:val="auto"/>
          <w:sz w:val="24"/>
          <w:highlight w:val="none"/>
          <w:lang w:eastAsia="zh-CN"/>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4）合同</w:t>
      </w:r>
      <w:r>
        <w:rPr>
          <w:rFonts w:hint="eastAsia" w:ascii="黑体" w:hAnsi="华文楷体" w:eastAsia="黑体" w:cs="黑体"/>
          <w:color w:val="auto"/>
          <w:sz w:val="24"/>
          <w:highlight w:val="none"/>
          <w:lang w:eastAsia="zh-CN"/>
        </w:rPr>
        <w:t>（</w:t>
      </w:r>
      <w:r>
        <w:rPr>
          <w:rFonts w:hint="eastAsia" w:ascii="黑体" w:hAnsi="华文楷体" w:eastAsia="黑体" w:cs="黑体"/>
          <w:color w:val="auto"/>
          <w:sz w:val="24"/>
          <w:highlight w:val="none"/>
          <w:lang w:val="en-US" w:eastAsia="zh-CN"/>
        </w:rPr>
        <w:t>另附</w:t>
      </w:r>
      <w:r>
        <w:rPr>
          <w:rFonts w:hint="eastAsia" w:ascii="黑体" w:hAnsi="华文楷体" w:eastAsia="黑体" w:cs="黑体"/>
          <w:color w:val="auto"/>
          <w:sz w:val="24"/>
          <w:highlight w:val="none"/>
          <w:lang w:eastAsia="zh-CN"/>
        </w:rPr>
        <w:t>）</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8.2招标答疑会会议纪要将在提交投标文件截止时间1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widowControl/>
        <w:spacing w:beforeAutospacing="0" w:after="0" w:line="360" w:lineRule="auto"/>
        <w:ind w:firstLine="480" w:firstLineChars="200"/>
        <w:jc w:val="both"/>
        <w:rPr>
          <w:rFonts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8.3答疑会会议纪要为招标文件的一部分。</w:t>
      </w:r>
    </w:p>
    <w:p>
      <w:pPr>
        <w:spacing w:line="360" w:lineRule="auto"/>
        <w:ind w:firstLine="480" w:firstLineChars="200"/>
        <w:outlineLvl w:val="3"/>
        <w:rPr>
          <w:rFonts w:hint="eastAsia" w:ascii="宋体" w:hAnsi="宋体" w:cs="宋体"/>
          <w:b/>
          <w:color w:val="auto"/>
          <w:sz w:val="24"/>
          <w:highlight w:val="none"/>
        </w:rPr>
      </w:pPr>
      <w:r>
        <w:rPr>
          <w:rFonts w:hint="eastAsia" w:ascii="宋体" w:hAnsi="宋体" w:eastAsia="宋体" w:cs="宋体"/>
          <w:color w:val="auto"/>
          <w:kern w:val="2"/>
          <w:sz w:val="24"/>
          <w:szCs w:val="24"/>
          <w:highlight w:val="none"/>
          <w:lang w:val="en-US" w:eastAsia="zh-CN" w:bidi="ar-SA"/>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7"/>
        <w:widowControl/>
        <w:spacing w:beforeAutospacing="0" w:after="0"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7"/>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 xml:space="preserve">7 </w:t>
      </w:r>
      <w:r>
        <w:rPr>
          <w:rFonts w:hint="eastAsia" w:ascii="宋体" w:hAnsi="宋体" w:eastAsia="宋体" w:cs="宋体"/>
          <w:color w:val="auto"/>
          <w:sz w:val="24"/>
          <w:highlight w:val="none"/>
        </w:rPr>
        <w:t>投标人综合概况（按招标文件第3章格式填写）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b w:val="0"/>
          <w:bCs w:val="0"/>
          <w:color w:val="auto"/>
          <w:kern w:val="2"/>
          <w:sz w:val="24"/>
          <w:highlight w:val="none"/>
          <w:lang w:val="en-US" w:eastAsia="zh-CN" w:bidi="ar-SA"/>
        </w:rPr>
        <w:t>投标人业绩一览表</w:t>
      </w:r>
      <w:r>
        <w:rPr>
          <w:rFonts w:hint="eastAsia" w:ascii="宋体" w:hAnsi="宋体" w:eastAsia="宋体" w:cs="宋体"/>
          <w:color w:val="auto"/>
          <w:sz w:val="24"/>
          <w:highlight w:val="none"/>
        </w:rPr>
        <w:t>及证明文件（按招标文件第3章格式填写）</w:t>
      </w:r>
      <w:r>
        <w:rPr>
          <w:rFonts w:hint="eastAsia" w:ascii="宋体" w:hAnsi="宋体" w:eastAsia="宋体" w:cs="宋体"/>
          <w:color w:val="auto"/>
          <w:sz w:val="24"/>
          <w:highlight w:val="none"/>
          <w:lang w:eastAsia="zh-CN"/>
        </w:rPr>
        <w:t>。</w:t>
      </w:r>
    </w:p>
    <w:p>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widowControl/>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技术标文件（独立成册）。</w:t>
      </w:r>
    </w:p>
    <w:p>
      <w:pPr>
        <w:widowControl/>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投标文件电子版（</w:t>
      </w:r>
      <w:r>
        <w:rPr>
          <w:rFonts w:hAnsi="宋体" w:cs="宋体"/>
          <w:color w:val="auto"/>
          <w:sz w:val="24"/>
          <w:highlight w:val="none"/>
        </w:rPr>
        <w:t>刻录光盘或提供U盘，需为公司盖章版本</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11.13投标申请人声明。</w:t>
      </w:r>
    </w:p>
    <w:p>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11.14施工组织方案。</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11.15非联合体投标声明（格式自拟）。</w:t>
      </w:r>
    </w:p>
    <w:p>
      <w:pPr>
        <w:widowControl/>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11.16投标人认为需要提供的其他文件。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w:t>
      </w:r>
      <w:r>
        <w:rPr>
          <w:rFonts w:hint="eastAsia" w:ascii="宋体" w:hAnsi="宋体" w:cs="宋体"/>
          <w:color w:val="auto"/>
          <w:kern w:val="2"/>
          <w:sz w:val="24"/>
          <w:szCs w:val="24"/>
          <w:highlight w:val="none"/>
          <w:u w:val="none"/>
          <w:lang w:val="en-US" w:eastAsia="zh-CN" w:bidi="ar-SA"/>
        </w:rPr>
        <w:t>无效投标</w:t>
      </w:r>
      <w:r>
        <w:rPr>
          <w:rFonts w:hint="eastAsia" w:ascii="宋体" w:hAnsi="宋体" w:eastAsia="宋体" w:cs="宋体"/>
          <w:color w:val="auto"/>
          <w:sz w:val="24"/>
          <w:szCs w:val="24"/>
          <w:highlight w:val="none"/>
          <w:lang w:eastAsia="zh-CN"/>
        </w:rPr>
        <w:t>处</w:t>
      </w:r>
      <w:r>
        <w:rPr>
          <w:rFonts w:hint="eastAsia" w:ascii="宋体" w:hAnsi="宋体" w:cs="宋体"/>
          <w:color w:val="auto"/>
          <w:sz w:val="24"/>
          <w:szCs w:val="24"/>
          <w:highlight w:val="none"/>
          <w:lang w:eastAsia="zh-CN"/>
        </w:rPr>
        <w:t>理</w:t>
      </w:r>
      <w:r>
        <w:rPr>
          <w:rFonts w:hint="eastAsia" w:ascii="宋体" w:hAnsi="宋体" w:cs="宋体"/>
          <w:color w:val="auto"/>
          <w:sz w:val="24"/>
          <w:szCs w:val="24"/>
          <w:highlight w:val="none"/>
        </w:rPr>
        <w:t>。（小数点后保留二位小数，第三位小数四舍五入）</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7"/>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到投标截止时间止，招标人收到的投标文件少于3家的，招标人将依法重新组织招标。</w:t>
      </w:r>
    </w:p>
    <w:p>
      <w:pPr>
        <w:pStyle w:val="17"/>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w:t>
      </w:r>
      <w:r>
        <w:rPr>
          <w:rFonts w:hint="eastAsia" w:ascii="宋体" w:hAnsi="宋体" w:eastAsia="宋体" w:cs="宋体"/>
          <w:color w:val="auto"/>
          <w:sz w:val="24"/>
          <w:szCs w:val="24"/>
          <w:highlight w:val="none"/>
        </w:rPr>
        <w:t>a、投标人名称；b、标书密封情况；c、有无法定代表人证明书及授权委托证明书；d、投标总报价</w:t>
      </w:r>
      <w:r>
        <w:rPr>
          <w:rFonts w:hint="eastAsia" w:ascii="宋体" w:hAnsi="宋体" w:eastAsia="宋体" w:cs="宋体"/>
          <w:color w:val="auto"/>
          <w:sz w:val="24"/>
          <w:highlight w:val="none"/>
        </w:rPr>
        <w:t>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7"/>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7"/>
        <w:widowControl/>
        <w:numPr>
          <w:ilvl w:val="0"/>
          <w:numId w:val="3"/>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7"/>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11" w:name="_Toc1632"/>
      <w:bookmarkStart w:id="12" w:name="_Toc27492"/>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bookmarkStart w:id="13" w:name="_Toc28984"/>
      <w:bookmarkStart w:id="14" w:name="_Toc10474"/>
      <w:bookmarkStart w:id="15" w:name="_Toc22411"/>
      <w:bookmarkStart w:id="16" w:name="_Toc8409"/>
      <w:bookmarkStart w:id="17" w:name="_Toc7252"/>
      <w:bookmarkStart w:id="18" w:name="_Toc8457"/>
      <w:bookmarkStart w:id="19" w:name="_Toc28921"/>
      <w:r>
        <w:rPr>
          <w:rFonts w:hint="eastAsia" w:ascii="方正小标宋简体" w:hAnsi="方正小标宋简体" w:eastAsia="方正小标宋简体" w:cs="方正小标宋简体"/>
          <w:b/>
          <w:color w:val="auto"/>
          <w:kern w:val="44"/>
          <w:sz w:val="36"/>
          <w:szCs w:val="36"/>
          <w:highlight w:val="none"/>
        </w:rPr>
        <w:t>第2章 项目需求书</w:t>
      </w:r>
      <w:bookmarkEnd w:id="11"/>
      <w:bookmarkEnd w:id="13"/>
      <w:bookmarkEnd w:id="14"/>
      <w:bookmarkEnd w:id="15"/>
      <w:bookmarkEnd w:id="16"/>
      <w:bookmarkEnd w:id="17"/>
      <w:bookmarkEnd w:id="18"/>
      <w:bookmarkEnd w:id="19"/>
    </w:p>
    <w:p>
      <w:pPr>
        <w:rPr>
          <w:rFonts w:ascii="宋体" w:hAnsi="宋体" w:eastAsia="宋体" w:cs="宋体"/>
          <w:b/>
          <w:color w:val="auto"/>
          <w:sz w:val="30"/>
          <w:szCs w:val="30"/>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Times New Roman" w:hAnsi="Times New Roman" w:eastAsia="方正仿宋_GB2312" w:cs="黑体"/>
          <w:b w:val="0"/>
          <w:bCs w:val="0"/>
          <w:sz w:val="28"/>
          <w:szCs w:val="28"/>
          <w:lang w:val="en-US" w:eastAsia="zh-CN"/>
        </w:rPr>
      </w:pPr>
      <w:bookmarkStart w:id="20" w:name="_Toc23673"/>
      <w:r>
        <w:rPr>
          <w:rFonts w:hint="eastAsia" w:ascii="Times New Roman" w:hAnsi="Times New Roman" w:eastAsia="方正仿宋_GB2312" w:cs="黑体"/>
          <w:b w:val="0"/>
          <w:bCs w:val="0"/>
          <w:sz w:val="28"/>
          <w:szCs w:val="28"/>
          <w:lang w:val="en-US" w:eastAsia="zh-CN"/>
        </w:rPr>
        <w:t>一、项目概况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项目位于南沙天后宫内中轴线的主干道位置，总长92.6米、宽14.2米，两侧明渠宽度为0.3米、长为77米。本次维护维修总面积约为1314.9平方米。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由于主干道的地铺石早期修建于二十世纪九十年代，近二十年来，未进行过大范围的全面维修维护，地面出现明显的沉降，</w:t>
      </w:r>
      <w:r>
        <w:rPr>
          <w:rFonts w:hint="eastAsia" w:ascii="Times New Roman" w:hAnsi="Times New Roman" w:eastAsia="方正仿宋_GB2312" w:cs="方正仿宋_GB2312"/>
          <w:sz w:val="28"/>
          <w:szCs w:val="28"/>
          <w:lang w:val="en-US" w:eastAsia="zh-CN"/>
        </w:rPr>
        <w:t>高差接近</w:t>
      </w:r>
      <w:r>
        <w:rPr>
          <w:rFonts w:hint="eastAsia" w:ascii="Times New Roman" w:hAnsi="Times New Roman" w:eastAsia="方正仿宋_GB2312" w:cs="仿宋_GB2312"/>
          <w:sz w:val="28"/>
          <w:szCs w:val="28"/>
          <w:lang w:val="en-US" w:eastAsia="zh-CN"/>
        </w:rPr>
        <w:t>550mm，亟需维修处理，降低安全隐患的可能性。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方正仿宋_GB2312" w:cs="黑体"/>
          <w:b w:val="0"/>
          <w:bCs w:val="0"/>
          <w:sz w:val="28"/>
          <w:szCs w:val="28"/>
          <w:lang w:val="en-US" w:eastAsia="zh-CN"/>
        </w:rPr>
      </w:pPr>
      <w:r>
        <w:rPr>
          <w:rFonts w:hint="eastAsia" w:ascii="Times New Roman" w:hAnsi="Times New Roman" w:eastAsia="方正仿宋_GB2312" w:cs="黑体"/>
          <w:b w:val="0"/>
          <w:bCs w:val="0"/>
          <w:sz w:val="28"/>
          <w:szCs w:val="28"/>
          <w:lang w:val="en-US" w:eastAsia="zh-CN"/>
        </w:rPr>
        <w:t>二、施工方案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b/>
          <w:bCs/>
          <w:sz w:val="28"/>
          <w:szCs w:val="28"/>
          <w:lang w:val="en-US" w:eastAsia="zh-CN"/>
        </w:rPr>
      </w:pPr>
      <w:r>
        <w:rPr>
          <w:rFonts w:hint="eastAsia" w:ascii="Times New Roman" w:hAnsi="Times New Roman" w:eastAsia="方正仿宋_GB2312" w:cs="仿宋_GB2312"/>
          <w:sz w:val="28"/>
          <w:szCs w:val="28"/>
          <w:lang w:val="en-US" w:eastAsia="zh-CN"/>
        </w:rPr>
        <w:t>改造范围主要有以下五点：一是主干道整体花岗岩地铺石进行人工开挖；二是地面清理平整以及人工机器压实；三是地铺石错缝铺装以及破损石材更换；四是一侧绿化带路沿石和花基抬高；五是一侧明渠找坡修复达到排水顺畅效果。以上改造内容需符合国家、地方规范以及公司安全生产要求等规章制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方正仿宋_GB2312" w:cs="黑体"/>
          <w:b w:val="0"/>
          <w:bCs w:val="0"/>
          <w:sz w:val="28"/>
          <w:szCs w:val="28"/>
          <w:lang w:val="en-US" w:eastAsia="zh-CN"/>
        </w:rPr>
      </w:pPr>
      <w:r>
        <w:rPr>
          <w:rFonts w:hint="eastAsia" w:ascii="Times New Roman" w:hAnsi="Times New Roman" w:eastAsia="方正仿宋_GB2312" w:cs="黑体"/>
          <w:b w:val="0"/>
          <w:bCs w:val="0"/>
          <w:sz w:val="28"/>
          <w:szCs w:val="28"/>
          <w:lang w:val="en-US" w:eastAsia="zh-CN"/>
        </w:rPr>
        <w:t>三、主要施工内容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（1）地铺石地面拆、搬、移，约为1314.9㎡，采用分边拆除，保障景区正常交通，搬迁至旁边20米外堆放；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（2）地铺石维护及清理背面水泥砂浆，约为1314.9㎡；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（3）经测量，原场地标高平均8.02米，比实际完成标高8.16米低0.14米，采用拆除原石板地面后先挖机整平基础面（场内挖土高挖低填1314.9*0.2*50%=131.49立方），整平后压路机压实（沉降量计算为60MM）；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（4）按方案铺装水泥铺设200厚6%水泥石粉稳定层1314.9㎡；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（5）地铺石地面安装，总面积1314.9㎡；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（6）一侧明沟及花基增高和路沿石拆装，总长77米。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r>
        <w:rPr>
          <w:rFonts w:hint="eastAsia" w:ascii="Times New Roman" w:hAnsi="Times New Roman" w:eastAsia="方正仿宋_GB2312" w:cs="仿宋_GB2312"/>
          <w:sz w:val="28"/>
          <w:szCs w:val="28"/>
          <w:lang w:val="en-US" w:eastAsia="zh-CN"/>
        </w:rPr>
        <w:t>（7）采用围蔽三面先施工50%范围，待完成后再施工另50%区域。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Times New Roman" w:hAnsi="Times New Roman" w:eastAsia="方正仿宋_GB2312" w:cs="仿宋_GB2312"/>
          <w:sz w:val="28"/>
          <w:szCs w:val="28"/>
          <w:lang w:val="en-US" w:eastAsia="zh-CN"/>
        </w:rPr>
      </w:pPr>
    </w:p>
    <w:p>
      <w:pPr>
        <w:numPr>
          <w:ilvl w:val="0"/>
          <w:numId w:val="0"/>
        </w:numPr>
        <w:jc w:val="center"/>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drawing>
          <wp:inline distT="0" distB="0" distL="114300" distR="114300">
            <wp:extent cx="4994275" cy="2827020"/>
            <wp:effectExtent l="0" t="0" r="15875" b="11430"/>
            <wp:docPr id="8" name="图片 8" descr="a4988932b8955a95c6f968f026b1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4988932b8955a95c6f968f026b185d"/>
                    <pic:cNvPicPr>
                      <a:picLocks noChangeAspect="1"/>
                    </pic:cNvPicPr>
                  </pic:nvPicPr>
                  <pic:blipFill>
                    <a:blip r:embed="rId7"/>
                    <a:srcRect t="2194" r="573"/>
                    <a:stretch>
                      <a:fillRect/>
                    </a:stretch>
                  </pic:blipFill>
                  <pic:spPr>
                    <a:xfrm>
                      <a:off x="0" y="0"/>
                      <a:ext cx="4994275" cy="2827020"/>
                    </a:xfrm>
                    <a:prstGeom prst="rect">
                      <a:avLst/>
                    </a:prstGeom>
                  </pic:spPr>
                </pic:pic>
              </a:graphicData>
            </a:graphic>
          </wp:inline>
        </w:drawing>
      </w:r>
    </w:p>
    <w:p>
      <w:pPr>
        <w:numPr>
          <w:ilvl w:val="0"/>
          <w:numId w:val="0"/>
        </w:numPr>
        <w:jc w:val="center"/>
        <w:rPr>
          <w:rFonts w:hint="eastAsia" w:ascii="Times New Roman" w:hAnsi="Times New Roman" w:eastAsia="方正仿宋_GB2312" w:cs="方正仿宋_GB2312"/>
          <w:sz w:val="32"/>
          <w:szCs w:val="32"/>
          <w:lang w:val="en-US" w:eastAsia="zh-CN"/>
        </w:rPr>
      </w:pPr>
      <w:r>
        <w:rPr>
          <w:rFonts w:ascii="Calibri" w:hAnsi="Calibri" w:eastAsia="宋体" w:cs="Times New Roman"/>
        </w:rPr>
        <w:drawing>
          <wp:inline distT="0" distB="0" distL="114300" distR="114300">
            <wp:extent cx="5270500" cy="5081905"/>
            <wp:effectExtent l="0" t="0" r="635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70500" cy="50819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现场图片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_GB2312" w:cs="方正仿宋_GB2312"/>
          <w:sz w:val="32"/>
          <w:szCs w:val="32"/>
          <w:lang w:val="en-US" w:eastAsia="zh-CN"/>
        </w:rPr>
      </w:pPr>
    </w:p>
    <w:p>
      <w:pPr>
        <w:numPr>
          <w:ilvl w:val="0"/>
          <w:numId w:val="0"/>
        </w:numPr>
        <w:jc w:val="center"/>
        <w:rPr>
          <w:rFonts w:ascii="Times New Roman" w:hAnsi="Times New Roman" w:eastAsia="方正仿宋_GB2312" w:cs="Times New Roman"/>
        </w:rPr>
      </w:pPr>
      <w:r>
        <w:rPr>
          <w:rFonts w:ascii="Times New Roman" w:hAnsi="Times New Roman" w:eastAsia="方正仿宋_GB2312" w:cs="Times New Roman"/>
        </w:rPr>
        <w:drawing>
          <wp:inline distT="0" distB="0" distL="114300" distR="114300">
            <wp:extent cx="5264150" cy="2357120"/>
            <wp:effectExtent l="0" t="0" r="12700"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5264150" cy="2357120"/>
                    </a:xfrm>
                    <a:prstGeom prst="rect">
                      <a:avLst/>
                    </a:prstGeom>
                    <a:noFill/>
                    <a:ln>
                      <a:noFill/>
                    </a:ln>
                  </pic:spPr>
                </pic:pic>
              </a:graphicData>
            </a:graphic>
          </wp:inline>
        </w:drawing>
      </w:r>
      <w:r>
        <w:rPr>
          <w:rFonts w:ascii="Times New Roman" w:hAnsi="Times New Roman" w:eastAsia="方正仿宋_GB2312" w:cs="Times New Roman"/>
        </w:rPr>
        <w:drawing>
          <wp:inline distT="0" distB="0" distL="114300" distR="114300">
            <wp:extent cx="5273040" cy="2633345"/>
            <wp:effectExtent l="0" t="0" r="3810"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73040" cy="2633345"/>
                    </a:xfrm>
                    <a:prstGeom prst="rect">
                      <a:avLst/>
                    </a:prstGeom>
                    <a:noFill/>
                    <a:ln>
                      <a:noFill/>
                    </a:ln>
                  </pic:spPr>
                </pic:pic>
              </a:graphicData>
            </a:graphic>
          </wp:inline>
        </w:drawing>
      </w:r>
      <w:r>
        <w:rPr>
          <w:rFonts w:hint="eastAsia" w:ascii="Times New Roman" w:hAnsi="Times New Roman" w:eastAsia="方正仿宋_GB2312" w:cs="Times New Roman"/>
          <w:lang w:val="en-US" w:eastAsia="zh-CN"/>
        </w:rPr>
        <w:t xml:space="preserve">      </w:t>
      </w:r>
      <w:r>
        <w:rPr>
          <w:rFonts w:ascii="Times New Roman" w:hAnsi="Times New Roman" w:eastAsia="方正仿宋_GB2312" w:cs="Times New Roman"/>
        </w:rPr>
        <w:drawing>
          <wp:inline distT="0" distB="0" distL="114300" distR="114300">
            <wp:extent cx="5273040" cy="2637155"/>
            <wp:effectExtent l="0" t="0" r="38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273040" cy="2637155"/>
                    </a:xfrm>
                    <a:prstGeom prst="rect">
                      <a:avLst/>
                    </a:prstGeom>
                    <a:noFill/>
                    <a:ln>
                      <a:noFill/>
                    </a:ln>
                  </pic:spPr>
                </pic:pic>
              </a:graphicData>
            </a:graphic>
          </wp:inline>
        </w:drawing>
      </w:r>
    </w:p>
    <w:p>
      <w:pPr>
        <w:numPr>
          <w:ilvl w:val="0"/>
          <w:numId w:val="0"/>
        </w:numPr>
        <w:jc w:val="center"/>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t>提升后效果</w:t>
      </w:r>
    </w:p>
    <w:p>
      <w:pPr>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32"/>
          <w:lang w:val="en-US" w:eastAsia="zh-CN"/>
        </w:rPr>
        <w:br w:type="page"/>
      </w:r>
    </w:p>
    <w:p>
      <w:pPr>
        <w:numPr>
          <w:ilvl w:val="0"/>
          <w:numId w:val="0"/>
        </w:numPr>
        <w:jc w:val="center"/>
        <w:rPr>
          <w:rFonts w:ascii="Times New Roman" w:hAnsi="Times New Roman" w:eastAsia="方正仿宋_GB2312" w:cs="Times New Roman"/>
        </w:rPr>
      </w:pPr>
    </w:p>
    <w:p>
      <w:pPr>
        <w:numPr>
          <w:ilvl w:val="0"/>
          <w:numId w:val="0"/>
        </w:numPr>
        <w:jc w:val="center"/>
        <w:rPr>
          <w:rFonts w:ascii="Times New Roman" w:hAnsi="Times New Roman" w:eastAsia="方正仿宋_GB2312" w:cs="Times New Roman"/>
        </w:rPr>
      </w:pPr>
      <w:r>
        <w:rPr>
          <w:rFonts w:ascii="Times New Roman" w:hAnsi="Times New Roman" w:eastAsia="方正仿宋_GB2312" w:cs="Times New Roman"/>
        </w:rPr>
        <w:drawing>
          <wp:inline distT="0" distB="0" distL="114300" distR="114300">
            <wp:extent cx="5283835" cy="7002780"/>
            <wp:effectExtent l="0" t="0" r="12065" b="7620"/>
            <wp:docPr id="13" name="图片 2" descr="C:/Users/工程部/Desktop/H/1.天后宫主干道地面维修维护/3.相关材料准备/平面大样图图_00.jpg平面大样图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工程部/Desktop/H/1.天后宫主干道地面维修维护/3.相关材料准备/平面大样图图_00.jpg平面大样图图_00"/>
                    <pic:cNvPicPr>
                      <a:picLocks noChangeAspect="1"/>
                    </pic:cNvPicPr>
                  </pic:nvPicPr>
                  <pic:blipFill>
                    <a:blip r:embed="rId12"/>
                    <a:srcRect l="1197" r="1197"/>
                    <a:stretch>
                      <a:fillRect/>
                    </a:stretch>
                  </pic:blipFill>
                  <pic:spPr>
                    <a:xfrm>
                      <a:off x="0" y="0"/>
                      <a:ext cx="5283835" cy="7002780"/>
                    </a:xfrm>
                    <a:prstGeom prst="rect">
                      <a:avLst/>
                    </a:prstGeom>
                    <a:noFill/>
                    <a:ln>
                      <a:noFill/>
                    </a:ln>
                  </pic:spPr>
                </pic:pic>
              </a:graphicData>
            </a:graphic>
          </wp:inline>
        </w:drawing>
      </w:r>
    </w:p>
    <w:p>
      <w:pPr>
        <w:numPr>
          <w:ilvl w:val="0"/>
          <w:numId w:val="0"/>
        </w:numPr>
        <w:jc w:val="center"/>
        <w:rPr>
          <w:rFonts w:hint="eastAsia" w:ascii="Times New Roman" w:hAnsi="Times New Roman" w:eastAsia="方正仿宋_GB2312" w:cs="方正仿宋_GB2312"/>
          <w:sz w:val="32"/>
          <w:szCs w:val="32"/>
          <w:lang w:val="en-US" w:eastAsia="zh-CN"/>
        </w:rPr>
      </w:pPr>
      <w:r>
        <w:rPr>
          <w:rFonts w:hint="eastAsia" w:ascii="Times New Roman" w:hAnsi="Times New Roman" w:eastAsia="方正仿宋_GB2312" w:cs="方正仿宋_GB2312"/>
          <w:sz w:val="32"/>
          <w:szCs w:val="40"/>
          <w:lang w:val="en-US" w:eastAsia="zh-CN"/>
        </w:rPr>
        <w:t>平面节点图</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Chars="0"/>
        <w:jc w:val="center"/>
        <w:textAlignment w:val="auto"/>
        <w:rPr>
          <w:rFonts w:hint="default" w:ascii="Times New Roman" w:hAnsi="Times New Roman" w:eastAsia="方正仿宋_GB2312" w:cs="方正仿宋_GB2312"/>
          <w:sz w:val="32"/>
          <w:szCs w:val="40"/>
          <w:lang w:val="en-US" w:eastAsia="zh-CN"/>
        </w:rPr>
      </w:pPr>
      <w:bookmarkStart w:id="96" w:name="_GoBack"/>
      <w:bookmarkEnd w:id="96"/>
    </w:p>
    <w:bookmarkEnd w:id="20"/>
    <w:p>
      <w:pPr>
        <w:spacing w:line="560" w:lineRule="exact"/>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21" w:name="_Toc2266"/>
      <w:bookmarkStart w:id="22" w:name="_Toc19076"/>
      <w:bookmarkStart w:id="23" w:name="_Toc10090"/>
      <w:bookmarkStart w:id="24" w:name="_Toc28153"/>
      <w:bookmarkStart w:id="25" w:name="_Toc27735"/>
      <w:bookmarkStart w:id="26" w:name="_Toc2908"/>
      <w:bookmarkStart w:id="27" w:name="_Toc5931"/>
      <w:r>
        <w:rPr>
          <w:rFonts w:hint="eastAsia" w:ascii="黑体" w:hAnsi="宋体" w:cs="黑体"/>
          <w:b/>
          <w:color w:val="auto"/>
          <w:kern w:val="44"/>
          <w:sz w:val="44"/>
          <w:szCs w:val="44"/>
          <w:highlight w:val="none"/>
        </w:rPr>
        <w:t>第3章  投标格式文件</w:t>
      </w:r>
      <w:bookmarkEnd w:id="12"/>
      <w:bookmarkEnd w:id="21"/>
      <w:bookmarkEnd w:id="22"/>
      <w:bookmarkEnd w:id="23"/>
      <w:bookmarkEnd w:id="24"/>
      <w:bookmarkEnd w:id="25"/>
      <w:bookmarkEnd w:id="26"/>
      <w:bookmarkEnd w:id="27"/>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u w:val="singl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w:t>
      </w:r>
      <w:r>
        <w:rPr>
          <w:rFonts w:hint="eastAsia" w:ascii="宋体" w:hAnsi="宋体" w:eastAsia="宋体" w:cs="Times New Roman"/>
          <w:color w:val="auto"/>
          <w:spacing w:val="20"/>
          <w:sz w:val="24"/>
          <w:highlight w:val="none"/>
          <w:u w:val="none"/>
        </w:rPr>
        <w:t>贵方的</w:t>
      </w:r>
      <w:r>
        <w:rPr>
          <w:rFonts w:hint="eastAsia" w:ascii="宋体" w:hAnsi="宋体" w:eastAsia="宋体" w:cs="宋体"/>
          <w:b w:val="0"/>
          <w:bCs w:val="0"/>
          <w:color w:val="auto"/>
          <w:sz w:val="24"/>
          <w:szCs w:val="24"/>
          <w:highlight w:val="none"/>
          <w:u w:val="single"/>
          <w:lang w:val="en-US" w:eastAsia="zh-CN"/>
        </w:rPr>
        <w:t>天后宫中轴线主干道维修维护项目</w:t>
      </w:r>
      <w:r>
        <w:rPr>
          <w:rFonts w:hint="eastAsia" w:ascii="宋体" w:hAnsi="宋体" w:eastAsia="宋体" w:cs="宋体"/>
          <w:color w:val="auto"/>
          <w:spacing w:val="0"/>
          <w:sz w:val="24"/>
          <w:highlight w:val="none"/>
          <w:u w:val="single"/>
          <w:lang w:val="en-US" w:eastAsia="zh-CN"/>
        </w:rPr>
        <w:t>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宋体"/>
          <w:b w:val="0"/>
          <w:bCs w:val="0"/>
          <w:color w:val="auto"/>
          <w:sz w:val="24"/>
          <w:szCs w:val="24"/>
          <w:highlight w:val="none"/>
          <w:u w:val="single"/>
          <w:lang w:val="en-US" w:eastAsia="zh-CN"/>
        </w:rPr>
        <w:t>天后宫中轴线主干道维修维护项目</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val="en-US" w:eastAsia="zh-CN"/>
        </w:rPr>
        <w:t>合同</w:t>
      </w:r>
      <w:r>
        <w:rPr>
          <w:rFonts w:hint="eastAsia" w:ascii="宋体" w:hAnsi="宋体" w:eastAsia="宋体" w:cs="Times New Roman"/>
          <w:color w:val="auto"/>
          <w:spacing w:val="20"/>
          <w:sz w:val="24"/>
          <w:highlight w:val="none"/>
        </w:rPr>
        <w:t>之前，本投标</w:t>
      </w:r>
      <w:r>
        <w:rPr>
          <w:rFonts w:hint="eastAsia" w:ascii="宋体" w:hAnsi="宋体" w:eastAsia="宋体" w:cs="Times New Roman"/>
          <w:color w:val="auto"/>
          <w:spacing w:val="20"/>
          <w:sz w:val="24"/>
          <w:highlight w:val="none"/>
          <w:lang w:val="en-US" w:eastAsia="zh-CN"/>
        </w:rPr>
        <w:t>书</w:t>
      </w:r>
      <w:r>
        <w:rPr>
          <w:rFonts w:hint="eastAsia" w:ascii="宋体" w:hAnsi="宋体" w:eastAsia="宋体" w:cs="Times New Roman"/>
          <w:color w:val="auto"/>
          <w:spacing w:val="20"/>
          <w:sz w:val="24"/>
          <w:highlight w:val="none"/>
        </w:rPr>
        <w:t>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28" w:name="_Toc223342668"/>
      <w:bookmarkEnd w:id="28"/>
      <w:bookmarkStart w:id="29" w:name="_Toc216145749"/>
      <w:bookmarkEnd w:id="29"/>
      <w:r>
        <w:rPr>
          <w:rFonts w:hint="eastAsia" w:ascii="宋体" w:hAnsi="宋体" w:eastAsia="宋体" w:cs="黑体"/>
          <w:color w:val="auto"/>
          <w:sz w:val="28"/>
          <w:szCs w:val="28"/>
          <w:highlight w:val="none"/>
        </w:rPr>
        <w:t>格式三：</w:t>
      </w:r>
    </w:p>
    <w:p>
      <w:pPr>
        <w:pStyle w:val="29"/>
        <w:widowControl/>
        <w:ind w:firstLine="0" w:firstLineChars="0"/>
        <w:jc w:val="center"/>
        <w:outlineLvl w:val="2"/>
        <w:rPr>
          <w:color w:val="auto"/>
          <w:kern w:val="44"/>
          <w:highlight w:val="none"/>
        </w:rPr>
      </w:pPr>
      <w:bookmarkStart w:id="30" w:name="_Toc172416501"/>
      <w:bookmarkEnd w:id="30"/>
      <w:r>
        <w:rPr>
          <w:rFonts w:hint="eastAsia" w:ascii="宋体" w:hAnsi="宋体" w:cs="宋体"/>
          <w:b/>
          <w:color w:val="auto"/>
          <w:sz w:val="30"/>
          <w:szCs w:val="30"/>
          <w:highlight w:val="none"/>
        </w:rPr>
        <w:t>法定代表人证明书</w:t>
      </w:r>
    </w:p>
    <w:p>
      <w:pPr>
        <w:pStyle w:val="29"/>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r:link="rId14" cstate="print"/>
                    <a:stretch>
                      <a:fillRect/>
                    </a:stretch>
                  </pic:blipFill>
                  <pic:spPr>
                    <a:xfrm>
                      <a:off x="0" y="0"/>
                      <a:ext cx="5543550" cy="2790825"/>
                    </a:xfrm>
                    <a:prstGeom prst="rect">
                      <a:avLst/>
                    </a:prstGeom>
                    <a:noFill/>
                    <a:ln w="9525">
                      <a:noFill/>
                    </a:ln>
                  </pic:spPr>
                </pic:pic>
              </a:graphicData>
            </a:graphic>
          </wp:inline>
        </w:drawing>
      </w:r>
    </w:p>
    <w:p>
      <w:pPr>
        <w:pStyle w:val="29"/>
        <w:widowControl/>
        <w:ind w:firstLine="618"/>
        <w:rPr>
          <w:b/>
          <w:color w:val="auto"/>
          <w:sz w:val="30"/>
          <w:szCs w:val="30"/>
          <w:highlight w:val="none"/>
        </w:rPr>
      </w:pPr>
      <w:r>
        <w:rPr>
          <w:b/>
          <w:color w:val="auto"/>
          <w:sz w:val="30"/>
          <w:szCs w:val="30"/>
          <w:highlight w:val="none"/>
        </w:rPr>
        <w:t xml:space="preserve"> </w:t>
      </w:r>
    </w:p>
    <w:p>
      <w:pPr>
        <w:pStyle w:val="29"/>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9"/>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9"/>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r:link="rId16" cstate="print"/>
                    <a:stretch>
                      <a:fillRect/>
                    </a:stretch>
                  </pic:blipFill>
                  <pic:spPr>
                    <a:xfrm>
                      <a:off x="0" y="0"/>
                      <a:ext cx="5543550" cy="2838450"/>
                    </a:xfrm>
                    <a:prstGeom prst="rect">
                      <a:avLst/>
                    </a:prstGeom>
                    <a:noFill/>
                    <a:ln w="9525">
                      <a:noFill/>
                    </a:ln>
                  </pic:spPr>
                </pic:pic>
              </a:graphicData>
            </a:graphic>
          </wp:inline>
        </w:drawing>
      </w:r>
    </w:p>
    <w:p>
      <w:pPr>
        <w:pStyle w:val="27"/>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31" w:name="_Toc216145759"/>
      <w:bookmarkEnd w:id="31"/>
      <w:bookmarkStart w:id="32"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7"/>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32"/>
      <w:r>
        <w:rPr>
          <w:rFonts w:hint="eastAsia" w:ascii="宋体" w:hAnsi="宋体" w:eastAsia="宋体" w:cs="宋体"/>
          <w:color w:val="auto"/>
          <w:sz w:val="28"/>
          <w:szCs w:val="28"/>
          <w:highlight w:val="none"/>
        </w:rPr>
        <w:t xml:space="preserve"> </w:t>
      </w:r>
    </w:p>
    <w:p>
      <w:pPr>
        <w:snapToGrid w:val="0"/>
        <w:spacing w:after="120" w:line="440" w:lineRule="exact"/>
        <w:outlineLvl w:val="9"/>
        <w:rPr>
          <w:rFonts w:ascii="宋体" w:hAnsi="宋体" w:eastAsia="宋体" w:cs="宋体"/>
          <w:b/>
          <w:color w:val="auto"/>
          <w:sz w:val="28"/>
          <w:szCs w:val="28"/>
          <w:highlight w:val="none"/>
        </w:rPr>
      </w:pPr>
    </w:p>
    <w:p>
      <w:pPr>
        <w:snapToGrid w:val="0"/>
        <w:spacing w:after="120" w:line="440" w:lineRule="exact"/>
        <w:jc w:val="center"/>
        <w:outlineLvl w:val="2"/>
        <w:rPr>
          <w:rFonts w:ascii="宋体" w:hAnsi="宋体" w:eastAsia="宋体" w:cs="宋体"/>
          <w:b/>
          <w:color w:val="auto"/>
          <w:sz w:val="32"/>
          <w:szCs w:val="32"/>
          <w:highlight w:val="none"/>
        </w:rPr>
      </w:pPr>
      <w:bookmarkStart w:id="33" w:name="_Toc41822704"/>
      <w:bookmarkEnd w:id="33"/>
      <w:r>
        <w:rPr>
          <w:rFonts w:hint="eastAsia" w:ascii="宋体" w:hAnsi="宋体" w:eastAsia="宋体" w:cs="宋体"/>
          <w:b/>
          <w:color w:val="auto"/>
          <w:sz w:val="32"/>
          <w:szCs w:val="32"/>
          <w:highlight w:val="none"/>
        </w:rPr>
        <w:t>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p>
    <w:p>
      <w:pPr>
        <w:spacing w:line="560" w:lineRule="exact"/>
        <w:jc w:val="left"/>
        <w:rPr>
          <w:rFonts w:hint="default" w:ascii="宋体" w:hAnsi="宋体" w:eastAsia="宋体" w:cs="宋体"/>
          <w:color w:val="auto"/>
          <w:sz w:val="24"/>
          <w:highlight w:val="none"/>
          <w:u w:val="single"/>
          <w:lang w:val="en-US"/>
        </w:rPr>
      </w:pPr>
      <w:r>
        <w:rPr>
          <w:rFonts w:hint="eastAsia" w:ascii="宋体" w:hAnsi="宋体" w:eastAsia="宋体" w:cs="宋体"/>
          <w:color w:val="auto"/>
          <w:sz w:val="24"/>
          <w:highlight w:val="none"/>
        </w:rPr>
        <w:t>投标项目名称</w:t>
      </w:r>
      <w:r>
        <w:rPr>
          <w:rFonts w:hint="eastAsia" w:ascii="宋体" w:hAnsi="宋体" w:eastAsia="宋体" w:cs="宋体"/>
          <w:color w:val="auto"/>
          <w:sz w:val="24"/>
          <w:highlight w:val="none"/>
          <w:u w:val="none"/>
        </w:rPr>
        <w:t>：</w:t>
      </w:r>
      <w:r>
        <w:rPr>
          <w:rFonts w:hint="eastAsia" w:ascii="宋体" w:hAnsi="宋体" w:eastAsia="宋体" w:cs="宋体"/>
          <w:b w:val="0"/>
          <w:bCs w:val="0"/>
          <w:color w:val="auto"/>
          <w:sz w:val="24"/>
          <w:szCs w:val="24"/>
          <w:highlight w:val="none"/>
          <w:u w:val="single"/>
          <w:lang w:val="en-US" w:eastAsia="zh-CN"/>
        </w:rPr>
        <w:t>天后宫中轴线主干道维修维护项目</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hint="eastAsia" w:ascii="仿宋" w:hAnsi="仿宋" w:eastAsia="仿宋" w:cs="仿宋"/>
          <w:b/>
          <w:bCs/>
          <w:color w:val="auto"/>
          <w:sz w:val="36"/>
          <w:szCs w:val="36"/>
          <w:highlight w:val="none"/>
        </w:rPr>
      </w:pPr>
    </w:p>
    <w:p>
      <w:pPr>
        <w:pStyle w:val="27"/>
        <w:widowControl/>
        <w:spacing w:before="142" w:line="360" w:lineRule="auto"/>
        <w:jc w:val="both"/>
        <w:outlineLvl w:val="2"/>
        <w:rPr>
          <w:rFonts w:hint="eastAsia" w:ascii="宋体" w:hAnsi="宋体" w:eastAsia="宋体" w:cs="黑体"/>
          <w:b/>
          <w:bCs w:val="0"/>
          <w:color w:val="auto"/>
          <w:sz w:val="28"/>
          <w:szCs w:val="28"/>
          <w:highlight w:val="none"/>
        </w:rPr>
      </w:pPr>
      <w:r>
        <w:rPr>
          <w:rFonts w:hint="eastAsia" w:ascii="宋体" w:hAnsi="宋体" w:eastAsia="宋体" w:cs="黑体"/>
          <w:color w:val="auto"/>
          <w:sz w:val="28"/>
          <w:szCs w:val="28"/>
          <w:highlight w:val="none"/>
        </w:rPr>
        <w:t>格式</w:t>
      </w:r>
      <w:r>
        <w:rPr>
          <w:rFonts w:hint="eastAsia" w:ascii="宋体" w:hAnsi="宋体" w:eastAsia="宋体" w:cs="黑体"/>
          <w:color w:val="auto"/>
          <w:sz w:val="28"/>
          <w:szCs w:val="28"/>
          <w:highlight w:val="none"/>
          <w:lang w:val="en-US" w:eastAsia="zh-CN"/>
        </w:rPr>
        <w:t>五</w:t>
      </w:r>
      <w:r>
        <w:rPr>
          <w:rFonts w:hint="eastAsia" w:ascii="宋体" w:hAnsi="宋体" w:eastAsia="宋体" w:cs="黑体"/>
          <w:color w:val="auto"/>
          <w:sz w:val="28"/>
          <w:szCs w:val="28"/>
          <w:highlight w:val="none"/>
        </w:rPr>
        <w:t>：</w:t>
      </w:r>
    </w:p>
    <w:p>
      <w:pPr>
        <w:spacing w:line="360" w:lineRule="auto"/>
        <w:jc w:val="center"/>
        <w:outlineLvl w:val="2"/>
        <w:rPr>
          <w:rFonts w:hint="eastAsia" w:ascii="仿宋" w:hAnsi="仿宋" w:eastAsia="仿宋" w:cs="仿宋"/>
          <w:b/>
          <w:bCs/>
          <w:color w:val="auto"/>
          <w:sz w:val="36"/>
          <w:szCs w:val="36"/>
          <w:highlight w:val="none"/>
        </w:rPr>
      </w:pPr>
    </w:p>
    <w:p>
      <w:pPr>
        <w:spacing w:line="360" w:lineRule="auto"/>
        <w:jc w:val="center"/>
        <w:outlineLvl w:val="2"/>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投标人综合概况</w:t>
      </w:r>
    </w:p>
    <w:tbl>
      <w:tblPr>
        <w:tblStyle w:val="18"/>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ISO认证号、范围</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2563" w:type="dxa"/>
            <w:gridSpan w:val="2"/>
            <w:vMerge w:val="restart"/>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2563" w:type="dxa"/>
            <w:gridSpan w:val="2"/>
            <w:vMerge w:val="continue"/>
            <w:tcBorders>
              <w:tl2br w:val="nil"/>
              <w:tr2bl w:val="nil"/>
            </w:tcBorders>
            <w:shd w:val="clear" w:color="auto" w:fill="auto"/>
            <w:vAlign w:val="center"/>
          </w:tcPr>
          <w:p>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332" w:type="dxa"/>
            <w:gridSpan w:val="9"/>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2325" w:hRule="atLeast"/>
          <w:jc w:val="center"/>
        </w:trPr>
        <w:tc>
          <w:tcPr>
            <w:tcW w:w="9332" w:type="dxa"/>
            <w:gridSpan w:val="9"/>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34" w:name="_Toc459403395"/>
      <w:bookmarkEnd w:id="34"/>
      <w:bookmarkStart w:id="35" w:name="_Toc197235849"/>
      <w:bookmarkEnd w:id="35"/>
      <w:bookmarkStart w:id="36" w:name="_Toc415728298"/>
      <w:bookmarkEnd w:id="36"/>
      <w:bookmarkStart w:id="37" w:name="_Toc196130111"/>
      <w:bookmarkEnd w:id="37"/>
      <w:bookmarkStart w:id="38" w:name="_Toc196130014"/>
      <w:bookmarkEnd w:id="38"/>
      <w:bookmarkStart w:id="39" w:name="_Toc326909214"/>
      <w:bookmarkEnd w:id="39"/>
      <w:bookmarkStart w:id="40" w:name="_Toc415833504"/>
      <w:bookmarkEnd w:id="40"/>
      <w:bookmarkStart w:id="41" w:name="_Toc196036942"/>
      <w:bookmarkEnd w:id="41"/>
      <w:bookmarkStart w:id="42" w:name="_Toc196037098"/>
      <w:bookmarkEnd w:id="42"/>
      <w:bookmarkStart w:id="43" w:name="_Toc199647676"/>
      <w:bookmarkEnd w:id="43"/>
      <w:bookmarkStart w:id="44" w:name="_Toc462911099"/>
    </w:p>
    <w:bookmarkEnd w:id="44"/>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widowControl/>
        <w:jc w:val="left"/>
        <w:outlineLvl w:val="9"/>
        <w:rPr>
          <w:rFonts w:hint="eastAsia" w:ascii="宋体" w:hAnsi="宋体" w:eastAsia="宋体" w:cs="黑体"/>
          <w:b/>
          <w:color w:val="auto"/>
          <w:spacing w:val="4"/>
          <w:kern w:val="0"/>
          <w:sz w:val="28"/>
          <w:szCs w:val="28"/>
          <w:highlight w:val="none"/>
        </w:rPr>
      </w:pP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六</w:t>
      </w:r>
      <w:r>
        <w:rPr>
          <w:rFonts w:hint="eastAsia" w:ascii="仿宋" w:hAnsi="仿宋" w:eastAsia="仿宋" w:cs="宋体"/>
          <w:color w:val="auto"/>
          <w:sz w:val="28"/>
          <w:szCs w:val="28"/>
          <w:highlight w:val="none"/>
        </w:rPr>
        <w:t>：</w:t>
      </w:r>
    </w:p>
    <w:p>
      <w:pPr>
        <w:keepNext/>
        <w:keepLines/>
        <w:widowControl w:val="0"/>
        <w:adjustRightInd w:val="0"/>
        <w:spacing w:before="62" w:beforeLines="20" w:after="62" w:afterLines="20" w:line="360" w:lineRule="auto"/>
        <w:jc w:val="both"/>
        <w:textAlignment w:val="baseline"/>
        <w:outlineLvl w:val="1"/>
        <w:rPr>
          <w:rFonts w:ascii="宋体" w:hAnsi="宋体" w:eastAsia="宋体" w:cs="Times New Roman"/>
          <w:b/>
          <w:kern w:val="0"/>
          <w:sz w:val="30"/>
          <w:szCs w:val="20"/>
          <w:highlight w:val="none"/>
          <w:lang w:val="en-US" w:eastAsia="zh-CN" w:bidi="ar-SA"/>
        </w:rPr>
      </w:pPr>
    </w:p>
    <w:p>
      <w:pPr>
        <w:keepNext/>
        <w:keepLines/>
        <w:widowControl w:val="0"/>
        <w:adjustRightInd w:val="0"/>
        <w:spacing w:before="40" w:beforeLines="0" w:after="40" w:afterLines="0" w:line="360" w:lineRule="auto"/>
        <w:ind w:firstLine="3871" w:firstLineChars="1377"/>
        <w:jc w:val="both"/>
        <w:textAlignment w:val="baseline"/>
        <w:outlineLvl w:val="2"/>
        <w:rPr>
          <w:rFonts w:hint="eastAsia" w:ascii="宋体" w:hAnsi="宋体" w:eastAsia="宋体" w:cs="Times New Roman"/>
          <w:b/>
          <w:bCs/>
          <w:kern w:val="2"/>
          <w:sz w:val="28"/>
          <w:szCs w:val="28"/>
          <w:highlight w:val="none"/>
          <w:lang w:val="en-US" w:eastAsia="zh-CN" w:bidi="ar-SA"/>
        </w:rPr>
      </w:pPr>
      <w:bookmarkStart w:id="45" w:name="_Toc41822705"/>
      <w:bookmarkEnd w:id="45"/>
      <w:bookmarkStart w:id="46" w:name="_Toc196130015"/>
      <w:bookmarkEnd w:id="46"/>
      <w:bookmarkStart w:id="47" w:name="_Toc196130112"/>
      <w:bookmarkEnd w:id="47"/>
      <w:bookmarkStart w:id="48" w:name="_Toc199647677"/>
      <w:bookmarkEnd w:id="48"/>
      <w:bookmarkStart w:id="49" w:name="_Toc197235850"/>
      <w:bookmarkEnd w:id="49"/>
      <w:bookmarkStart w:id="50" w:name="_Toc196037099"/>
      <w:bookmarkEnd w:id="50"/>
      <w:bookmarkStart w:id="51" w:name="_Toc196036943"/>
      <w:bookmarkEnd w:id="51"/>
      <w:r>
        <w:rPr>
          <w:rFonts w:hint="eastAsia" w:ascii="宋体" w:hAnsi="宋体" w:eastAsia="宋体" w:cs="Times New Roman"/>
          <w:b/>
          <w:bCs/>
          <w:kern w:val="2"/>
          <w:sz w:val="28"/>
          <w:szCs w:val="28"/>
          <w:highlight w:val="none"/>
          <w:lang w:val="en-US" w:eastAsia="zh-CN" w:bidi="ar-SA"/>
        </w:rPr>
        <w:t>投标人业绩一览表</w:t>
      </w:r>
    </w:p>
    <w:p>
      <w:pPr>
        <w:keepNext/>
        <w:keepLines/>
        <w:widowControl w:val="0"/>
        <w:adjustRightInd w:val="0"/>
        <w:spacing w:before="40" w:beforeLines="0" w:after="40" w:afterLines="0" w:line="360" w:lineRule="auto"/>
        <w:ind w:right="-260" w:rightChars="-124" w:firstLine="0" w:firstLineChars="0"/>
        <w:jc w:val="both"/>
        <w:textAlignment w:val="baseline"/>
        <w:outlineLvl w:val="2"/>
        <w:rPr>
          <w:rFonts w:hint="eastAsia" w:ascii="宋体" w:hAnsi="宋体" w:eastAsia="宋体" w:cs="Times New Roman"/>
          <w:b/>
          <w:bCs/>
          <w:kern w:val="2"/>
          <w:sz w:val="24"/>
          <w:highlight w:val="none"/>
          <w:u w:val="none"/>
          <w:lang w:val="en-US" w:eastAsia="zh-CN" w:bidi="ar-SA"/>
        </w:rPr>
      </w:pPr>
      <w:r>
        <w:rPr>
          <w:rFonts w:hint="eastAsia" w:ascii="宋体" w:hAnsi="宋体" w:eastAsia="宋体" w:cs="Times New Roman"/>
          <w:b/>
          <w:bCs/>
          <w:kern w:val="2"/>
          <w:sz w:val="24"/>
          <w:highlight w:val="none"/>
          <w:u w:val="none"/>
          <w:lang w:val="en-US" w:eastAsia="zh-CN" w:bidi="ar-SA"/>
        </w:rPr>
        <w:t xml:space="preserve">项目名称：                  </w:t>
      </w:r>
    </w:p>
    <w:tbl>
      <w:tblPr>
        <w:tblStyle w:val="18"/>
        <w:tblW w:w="9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707"/>
        <w:gridCol w:w="1707"/>
        <w:gridCol w:w="1707"/>
        <w:gridCol w:w="1707"/>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11" w:type="dxa"/>
            <w:noWrap w:val="0"/>
            <w:vAlign w:val="center"/>
          </w:tcPr>
          <w:p>
            <w:pPr>
              <w:ind w:firstLine="0" w:firstLineChars="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序号</w:t>
            </w:r>
          </w:p>
        </w:tc>
        <w:tc>
          <w:tcPr>
            <w:tcW w:w="1707" w:type="dxa"/>
            <w:noWrap w:val="0"/>
            <w:vAlign w:val="center"/>
          </w:tcPr>
          <w:p>
            <w:pPr>
              <w:ind w:firstLine="240" w:firstLineChars="1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项目名称</w:t>
            </w:r>
          </w:p>
        </w:tc>
        <w:tc>
          <w:tcPr>
            <w:tcW w:w="1707" w:type="dxa"/>
            <w:noWrap w:val="0"/>
            <w:vAlign w:val="center"/>
          </w:tcPr>
          <w:p>
            <w:pPr>
              <w:ind w:firstLine="480" w:firstLineChars="200"/>
              <w:jc w:val="left"/>
              <w:rPr>
                <w:rFonts w:hint="eastAsia" w:ascii="宋体" w:hAnsi="宋体" w:eastAsia="宋体" w:cs="Times New Roman"/>
                <w:bCs/>
                <w:kern w:val="2"/>
                <w:sz w:val="24"/>
                <w:szCs w:val="20"/>
                <w:highlight w:val="none"/>
              </w:rPr>
            </w:pPr>
            <w:r>
              <w:rPr>
                <w:rFonts w:hint="eastAsia" w:ascii="宋体" w:hAnsi="宋体" w:eastAsia="宋体" w:cs="Times New Roman"/>
                <w:kern w:val="0"/>
                <w:sz w:val="24"/>
                <w:szCs w:val="20"/>
                <w:highlight w:val="none"/>
              </w:rPr>
              <w:t>规模</w:t>
            </w:r>
          </w:p>
        </w:tc>
        <w:tc>
          <w:tcPr>
            <w:tcW w:w="1707" w:type="dxa"/>
            <w:noWrap w:val="0"/>
            <w:vAlign w:val="center"/>
          </w:tcPr>
          <w:p>
            <w:pPr>
              <w:ind w:left="239" w:leftChars="114" w:firstLine="0" w:firstLineChars="0"/>
              <w:jc w:val="left"/>
              <w:rPr>
                <w:rFonts w:hint="eastAsia" w:ascii="宋体" w:hAnsi="宋体" w:eastAsia="宋体" w:cs="Times New Roman"/>
                <w:bCs/>
                <w:kern w:val="2"/>
                <w:sz w:val="24"/>
                <w:szCs w:val="20"/>
                <w:highlight w:val="none"/>
                <w:lang w:eastAsia="zh-CN"/>
              </w:rPr>
            </w:pPr>
            <w:r>
              <w:rPr>
                <w:rFonts w:hint="eastAsia" w:ascii="宋体" w:hAnsi="宋体" w:eastAsia="宋体" w:cs="Times New Roman"/>
                <w:kern w:val="0"/>
                <w:sz w:val="24"/>
                <w:szCs w:val="20"/>
                <w:highlight w:val="none"/>
              </w:rPr>
              <w:t>合同总价</w:t>
            </w:r>
            <w:r>
              <w:rPr>
                <w:rFonts w:hint="eastAsia" w:ascii="宋体" w:hAnsi="宋体" w:eastAsia="宋体" w:cs="Times New Roman"/>
                <w:kern w:val="0"/>
                <w:sz w:val="24"/>
                <w:szCs w:val="20"/>
                <w:highlight w:val="none"/>
                <w:lang w:eastAsia="zh-CN"/>
              </w:rPr>
              <w:t>（</w:t>
            </w:r>
            <w:r>
              <w:rPr>
                <w:rFonts w:hint="eastAsia" w:ascii="宋体" w:hAnsi="宋体" w:eastAsia="宋体" w:cs="Times New Roman"/>
                <w:kern w:val="0"/>
                <w:sz w:val="24"/>
                <w:szCs w:val="20"/>
                <w:highlight w:val="none"/>
                <w:lang w:val="en-US" w:eastAsia="zh-CN"/>
              </w:rPr>
              <w:t>万元</w:t>
            </w:r>
            <w:r>
              <w:rPr>
                <w:rFonts w:hint="eastAsia" w:ascii="宋体" w:hAnsi="宋体" w:eastAsia="宋体" w:cs="Times New Roman"/>
                <w:kern w:val="0"/>
                <w:sz w:val="24"/>
                <w:szCs w:val="20"/>
                <w:highlight w:val="none"/>
                <w:lang w:eastAsia="zh-CN"/>
              </w:rPr>
              <w:t>）</w:t>
            </w:r>
          </w:p>
        </w:tc>
        <w:tc>
          <w:tcPr>
            <w:tcW w:w="1707" w:type="dxa"/>
            <w:noWrap w:val="0"/>
            <w:vAlign w:val="center"/>
          </w:tcPr>
          <w:p>
            <w:pPr>
              <w:ind w:firstLine="240" w:firstLineChars="100"/>
              <w:jc w:val="left"/>
              <w:rPr>
                <w:rFonts w:hint="default" w:ascii="宋体" w:hAnsi="宋体" w:eastAsia="宋体" w:cs="Times New Roman"/>
                <w:bCs/>
                <w:kern w:val="2"/>
                <w:sz w:val="24"/>
                <w:szCs w:val="20"/>
                <w:highlight w:val="none"/>
                <w:lang w:val="en-US"/>
              </w:rPr>
            </w:pPr>
            <w:r>
              <w:rPr>
                <w:rFonts w:hint="eastAsia" w:ascii="宋体" w:hAnsi="宋体" w:eastAsia="宋体" w:cs="Times New Roman"/>
                <w:kern w:val="0"/>
                <w:sz w:val="24"/>
                <w:szCs w:val="20"/>
                <w:highlight w:val="none"/>
                <w:lang w:val="en-US" w:eastAsia="zh-CN"/>
              </w:rPr>
              <w:t>竣工日期</w:t>
            </w:r>
          </w:p>
        </w:tc>
        <w:tc>
          <w:tcPr>
            <w:tcW w:w="1708" w:type="dxa"/>
            <w:noWrap w:val="0"/>
            <w:vAlign w:val="center"/>
          </w:tcPr>
          <w:p>
            <w:pPr>
              <w:jc w:val="left"/>
              <w:rPr>
                <w:rFonts w:hint="default" w:ascii="宋体" w:hAnsi="宋体" w:eastAsia="宋体" w:cs="Times New Roman"/>
                <w:kern w:val="0"/>
                <w:sz w:val="24"/>
                <w:szCs w:val="20"/>
                <w:highlight w:val="none"/>
                <w:lang w:val="en-US"/>
              </w:rPr>
            </w:pPr>
            <w:r>
              <w:rPr>
                <w:rFonts w:hint="default" w:ascii="宋体" w:hAnsi="宋体" w:eastAsia="宋体" w:cs="Times New Roman"/>
                <w:kern w:val="0"/>
                <w:sz w:val="24"/>
                <w:szCs w:val="20"/>
                <w:highlight w:val="none"/>
                <w:lang w:val="en-US"/>
              </w:rPr>
              <w:t>业主单位、</w:t>
            </w:r>
          </w:p>
          <w:p>
            <w:pPr>
              <w:jc w:val="left"/>
              <w:rPr>
                <w:rFonts w:hint="default" w:ascii="宋体" w:hAnsi="宋体" w:eastAsia="宋体" w:cs="Times New Roman"/>
                <w:bCs/>
                <w:kern w:val="2"/>
                <w:sz w:val="24"/>
                <w:szCs w:val="20"/>
                <w:highlight w:val="none"/>
                <w:lang w:val="en-US" w:eastAsia="zh-CN"/>
              </w:rPr>
            </w:pPr>
            <w:r>
              <w:rPr>
                <w:rFonts w:hint="default" w:ascii="宋体" w:hAnsi="宋体" w:eastAsia="宋体" w:cs="Times New Roman"/>
                <w:kern w:val="0"/>
                <w:sz w:val="24"/>
                <w:szCs w:val="20"/>
                <w:highlight w:val="none"/>
                <w:lang w:val="en-US"/>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7" w:type="dxa"/>
            <w:noWrap w:val="0"/>
            <w:vAlign w:val="center"/>
          </w:tcPr>
          <w:p>
            <w:pPr>
              <w:spacing w:line="360" w:lineRule="auto"/>
              <w:jc w:val="left"/>
              <w:rPr>
                <w:rFonts w:ascii="宋体" w:hAnsi="宋体" w:eastAsia="宋体" w:cs="Times New Roman"/>
                <w:kern w:val="2"/>
                <w:sz w:val="24"/>
                <w:szCs w:val="20"/>
                <w:highlight w:val="none"/>
              </w:rPr>
            </w:pPr>
          </w:p>
        </w:tc>
        <w:tc>
          <w:tcPr>
            <w:tcW w:w="1708" w:type="dxa"/>
            <w:noWrap w:val="0"/>
            <w:vAlign w:val="center"/>
          </w:tcPr>
          <w:p>
            <w:pPr>
              <w:spacing w:line="360" w:lineRule="auto"/>
              <w:jc w:val="left"/>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widowControl w:val="0"/>
              <w:spacing w:line="360" w:lineRule="auto"/>
              <w:jc w:val="both"/>
              <w:rPr>
                <w:rFonts w:ascii="宋体" w:hAnsi="宋体" w:eastAsia="宋体" w:cs="Times New Roman"/>
                <w:color w:val="auto"/>
                <w:kern w:val="2"/>
                <w:sz w:val="24"/>
                <w:szCs w:val="20"/>
                <w:highlight w:val="none"/>
                <w:lang w:val="en-US" w:eastAsia="zh-CN" w:bidi="ar-SA"/>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11"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7" w:type="dxa"/>
            <w:noWrap w:val="0"/>
            <w:vAlign w:val="center"/>
          </w:tcPr>
          <w:p>
            <w:pPr>
              <w:spacing w:line="360" w:lineRule="auto"/>
              <w:rPr>
                <w:rFonts w:ascii="宋体" w:hAnsi="宋体" w:eastAsia="宋体" w:cs="Times New Roman"/>
                <w:kern w:val="2"/>
                <w:sz w:val="24"/>
                <w:szCs w:val="20"/>
                <w:highlight w:val="none"/>
              </w:rPr>
            </w:pPr>
          </w:p>
        </w:tc>
        <w:tc>
          <w:tcPr>
            <w:tcW w:w="1708" w:type="dxa"/>
            <w:noWrap w:val="0"/>
            <w:vAlign w:val="center"/>
          </w:tcPr>
          <w:p>
            <w:pPr>
              <w:spacing w:line="360" w:lineRule="auto"/>
              <w:rPr>
                <w:rFonts w:ascii="宋体" w:hAnsi="宋体" w:eastAsia="宋体" w:cs="Times New Roman"/>
                <w:kern w:val="2"/>
                <w:sz w:val="24"/>
                <w:szCs w:val="20"/>
                <w:highlight w:val="none"/>
              </w:rPr>
            </w:pPr>
          </w:p>
        </w:tc>
      </w:tr>
    </w:tbl>
    <w:p>
      <w:pPr>
        <w:spacing w:line="360" w:lineRule="auto"/>
        <w:rPr>
          <w:rFonts w:ascii="宋体" w:hAnsi="宋体" w:eastAsia="宋体" w:cs="Times New Roman"/>
          <w:kern w:val="2"/>
          <w:sz w:val="24"/>
          <w:szCs w:val="20"/>
          <w:highlight w:val="none"/>
        </w:rPr>
      </w:pP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投标人全称（盖公章）：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法定代表人或投标授权代表（签字或签章）：</w:t>
      </w:r>
    </w:p>
    <w:p>
      <w:pPr>
        <w:spacing w:line="360" w:lineRule="auto"/>
        <w:rPr>
          <w:rFonts w:ascii="宋体" w:hAnsi="宋体" w:eastAsia="宋体" w:cs="Times New Roman"/>
          <w:kern w:val="2"/>
          <w:sz w:val="24"/>
          <w:szCs w:val="20"/>
          <w:highlight w:val="none"/>
        </w:rPr>
      </w:pPr>
      <w:r>
        <w:rPr>
          <w:rFonts w:hint="eastAsia" w:ascii="宋体" w:hAnsi="宋体" w:eastAsia="宋体" w:cs="Times New Roman"/>
          <w:kern w:val="2"/>
          <w:sz w:val="24"/>
          <w:szCs w:val="20"/>
          <w:highlight w:val="none"/>
        </w:rPr>
        <w:t>日    期：     年   月   日</w:t>
      </w:r>
    </w:p>
    <w:p>
      <w:pPr>
        <w:keepNext/>
        <w:keepLines/>
        <w:widowControl w:val="0"/>
        <w:adjustRightInd w:val="0"/>
        <w:spacing w:before="40" w:after="40" w:line="360" w:lineRule="auto"/>
        <w:ind w:left="0"/>
        <w:jc w:val="both"/>
        <w:textAlignment w:val="baseline"/>
        <w:outlineLvl w:val="2"/>
        <w:rPr>
          <w:rFonts w:hint="eastAsia" w:ascii="宋体" w:hAnsi="宋体" w:eastAsia="宋体" w:cs="Times New Roman"/>
          <w:b/>
          <w:kern w:val="2"/>
          <w:sz w:val="21"/>
          <w:szCs w:val="20"/>
          <w:highlight w:val="none"/>
          <w:lang w:val="en-US" w:eastAsia="zh-CN" w:bidi="ar-SA"/>
        </w:rPr>
      </w:pPr>
    </w:p>
    <w:p>
      <w:pPr>
        <w:keepNext/>
        <w:keepLines/>
        <w:widowControl w:val="0"/>
        <w:adjustRightInd w:val="0"/>
        <w:spacing w:before="40" w:after="40" w:line="360" w:lineRule="auto"/>
        <w:ind w:left="0"/>
        <w:jc w:val="both"/>
        <w:textAlignment w:val="baseline"/>
        <w:outlineLvl w:val="2"/>
        <w:rPr>
          <w:rFonts w:ascii="宋体" w:hAnsi="宋体" w:eastAsia="宋体" w:cs="Times New Roman"/>
          <w:b/>
          <w:kern w:val="2"/>
          <w:sz w:val="21"/>
          <w:szCs w:val="20"/>
          <w:highlight w:val="none"/>
          <w:lang w:val="en-US" w:eastAsia="zh-CN" w:bidi="ar-SA"/>
        </w:rPr>
      </w:pPr>
      <w:r>
        <w:rPr>
          <w:rFonts w:hint="eastAsia" w:ascii="宋体" w:hAnsi="宋体" w:eastAsia="宋体" w:cs="Times New Roman"/>
          <w:b/>
          <w:kern w:val="2"/>
          <w:sz w:val="21"/>
          <w:szCs w:val="20"/>
          <w:highlight w:val="none"/>
          <w:lang w:val="en-US" w:eastAsia="zh-CN" w:bidi="ar-SA"/>
        </w:rPr>
        <w:t>注：1、本格式仅供参考，投标人可根据实际情况自定。</w:t>
      </w:r>
    </w:p>
    <w:p>
      <w:pPr>
        <w:bidi w:val="0"/>
        <w:spacing w:line="360" w:lineRule="auto"/>
        <w:ind w:firstLine="422" w:firstLineChars="200"/>
        <w:rPr>
          <w:rFonts w:hint="default" w:ascii="Calibri" w:hAnsi="Calibri" w:eastAsia="宋体" w:cs="Times New Roman"/>
          <w:b/>
          <w:bCs/>
          <w:kern w:val="2"/>
          <w:sz w:val="21"/>
          <w:szCs w:val="20"/>
          <w:highlight w:val="none"/>
          <w:lang w:val="en-US" w:eastAsia="zh-CN"/>
        </w:rPr>
      </w:pPr>
      <w:r>
        <w:rPr>
          <w:rFonts w:hint="eastAsia" w:ascii="Calibri" w:hAnsi="Calibri" w:eastAsia="宋体" w:cs="Times New Roman"/>
          <w:b/>
          <w:bCs/>
          <w:kern w:val="2"/>
          <w:sz w:val="21"/>
          <w:szCs w:val="20"/>
          <w:highlight w:val="none"/>
        </w:rPr>
        <w:t>2、</w:t>
      </w:r>
      <w:r>
        <w:rPr>
          <w:rFonts w:hint="eastAsia" w:ascii="宋体" w:hAnsi="宋体" w:eastAsia="宋体" w:cs="Times New Roman"/>
          <w:b/>
          <w:color w:val="auto"/>
          <w:kern w:val="2"/>
          <w:sz w:val="21"/>
          <w:szCs w:val="20"/>
          <w:highlight w:val="none"/>
        </w:rPr>
        <w:t>投标人提供的同类项目业绩证明资料附于该表后面</w:t>
      </w:r>
      <w:r>
        <w:rPr>
          <w:rFonts w:hint="eastAsia" w:ascii="宋体" w:hAnsi="宋体" w:eastAsia="宋体" w:cs="Times New Roman"/>
          <w:b/>
          <w:color w:val="auto"/>
          <w:kern w:val="2"/>
          <w:sz w:val="21"/>
          <w:szCs w:val="20"/>
          <w:highlight w:val="none"/>
          <w:lang w:eastAsia="zh-CN"/>
        </w:rPr>
        <w:t>，</w:t>
      </w:r>
      <w:r>
        <w:rPr>
          <w:rFonts w:hint="eastAsia" w:ascii="Calibri" w:hAnsi="Calibri" w:eastAsia="宋体" w:cs="Times New Roman"/>
          <w:b/>
          <w:bCs/>
          <w:kern w:val="2"/>
          <w:sz w:val="21"/>
          <w:szCs w:val="20"/>
          <w:highlight w:val="none"/>
        </w:rPr>
        <w:t>证明材料所需资料评见商务评分要求。</w:t>
      </w:r>
    </w:p>
    <w:p>
      <w:pPr>
        <w:outlineLvl w:val="1"/>
        <w:rPr>
          <w:rFonts w:ascii="仿宋" w:hAnsi="仿宋" w:eastAsia="宋体" w:cs="宋体"/>
          <w:color w:val="auto"/>
          <w:sz w:val="28"/>
          <w:szCs w:val="28"/>
          <w:highlight w:val="none"/>
        </w:rPr>
      </w:pPr>
      <w:r>
        <w:rPr>
          <w:rFonts w:ascii="宋体" w:hAnsi="宋体" w:eastAsia="宋体" w:cs="黑体"/>
          <w:b/>
          <w:color w:val="auto"/>
          <w:spacing w:val="4"/>
          <w:kern w:val="0"/>
          <w:sz w:val="28"/>
          <w:szCs w:val="28"/>
          <w:highlight w:val="none"/>
        </w:rPr>
        <w:br w:type="page"/>
      </w: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七</w:t>
      </w:r>
      <w:r>
        <w:rPr>
          <w:rFonts w:hint="eastAsia" w:ascii="仿宋" w:hAnsi="仿宋" w:eastAsia="仿宋" w:cs="宋体"/>
          <w:color w:val="auto"/>
          <w:sz w:val="28"/>
          <w:szCs w:val="28"/>
          <w:highlight w:val="none"/>
        </w:rPr>
        <w:t>：</w:t>
      </w:r>
    </w:p>
    <w:p>
      <w:pPr>
        <w:pStyle w:val="4"/>
        <w:rPr>
          <w:rFonts w:hint="eastAsia" w:ascii="仿宋" w:hAnsi="仿宋" w:eastAsia="仿宋" w:cs="仿宋"/>
          <w:color w:val="auto"/>
          <w:szCs w:val="21"/>
          <w:highlight w:val="none"/>
        </w:rPr>
      </w:pPr>
    </w:p>
    <w:p>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技术负责人</w:t>
      </w:r>
      <w:r>
        <w:rPr>
          <w:rFonts w:hint="eastAsia" w:ascii="仿宋" w:hAnsi="仿宋" w:eastAsia="仿宋" w:cs="仿宋"/>
          <w:color w:val="auto"/>
          <w:szCs w:val="21"/>
          <w:highlight w:val="none"/>
        </w:rPr>
        <w:t>）等。</w:t>
      </w:r>
    </w:p>
    <w:p>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hint="eastAsia" w:ascii="宋体" w:hAnsi="宋体" w:eastAsia="宋体" w:cs="黑体"/>
          <w:b/>
          <w:color w:val="auto"/>
          <w:spacing w:val="4"/>
          <w:kern w:val="0"/>
          <w:sz w:val="28"/>
          <w:szCs w:val="28"/>
          <w:highlight w:val="none"/>
        </w:rPr>
        <w:sectPr>
          <w:headerReference r:id="rId3" w:type="default"/>
          <w:footerReference r:id="rId4" w:type="default"/>
          <w:pgSz w:w="11906" w:h="16840"/>
          <w:pgMar w:top="1247" w:right="1135" w:bottom="1247" w:left="1361" w:header="720" w:footer="720" w:gutter="0"/>
          <w:pgNumType w:fmt="decimal"/>
          <w:cols w:space="425" w:num="1"/>
          <w:docGrid w:linePitch="285" w:charSpace="0"/>
        </w:sectPr>
      </w:pPr>
    </w:p>
    <w:p>
      <w:pPr>
        <w:outlineLvl w:val="1"/>
        <w:rPr>
          <w:rFonts w:ascii="仿宋" w:hAnsi="仿宋" w:eastAsia="宋体" w:cs="仿宋"/>
          <w:color w:val="auto"/>
          <w:szCs w:val="21"/>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val="en-US" w:eastAsia="zh-CN"/>
        </w:rPr>
        <w:t>八</w:t>
      </w:r>
      <w:r>
        <w:rPr>
          <w:rFonts w:hint="eastAsia" w:ascii="仿宋" w:hAnsi="仿宋" w:eastAsia="仿宋" w:cs="宋体"/>
          <w:color w:val="auto"/>
          <w:sz w:val="28"/>
          <w:szCs w:val="28"/>
          <w:highlight w:val="none"/>
        </w:rPr>
        <w:t>：</w:t>
      </w:r>
    </w:p>
    <w:p>
      <w:pPr>
        <w:spacing w:line="360" w:lineRule="auto"/>
        <w:outlineLvl w:val="1"/>
        <w:rPr>
          <w:rFonts w:ascii="仿宋" w:hAnsi="仿宋" w:eastAsia="仿宋" w:cs="宋体"/>
          <w:color w:val="auto"/>
          <w:sz w:val="28"/>
          <w:szCs w:val="28"/>
          <w:highlight w:val="none"/>
        </w:rPr>
      </w:pPr>
      <w:r>
        <w:rPr>
          <w:color w:val="auto"/>
          <w:spacing w:val="18"/>
          <w:highlight w:val="none"/>
        </w:rPr>
        <w:t xml:space="preserve"> </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8"/>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spacing w:line="360" w:lineRule="auto"/>
              <w:ind w:firstLine="0" w:firstLineChars="0"/>
              <w:jc w:val="left"/>
              <w:rPr>
                <w:rFonts w:hint="eastAsia" w:ascii="宋体" w:hAnsi="宋体" w:cs="宋体"/>
                <w:bCs/>
                <w:color w:val="auto"/>
                <w:szCs w:val="21"/>
                <w:highlight w:val="none"/>
                <w:u w:val="none"/>
                <w:lang w:val="en-US"/>
              </w:rPr>
            </w:pPr>
            <w:r>
              <w:rPr>
                <w:rFonts w:hint="eastAsia" w:ascii="宋体" w:hAnsi="宋体" w:cs="宋体" w:eastAsiaTheme="minorEastAsia"/>
                <w:b w:val="0"/>
                <w:bCs/>
                <w:color w:val="auto"/>
                <w:sz w:val="21"/>
                <w:szCs w:val="21"/>
                <w:highlight w:val="none"/>
                <w:u w:val="none"/>
                <w:lang w:val="en-US" w:eastAsia="zh-CN"/>
              </w:rPr>
              <w:t>天后宫中轴线主干道维修维护项目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restart"/>
            <w:vAlign w:val="center"/>
          </w:tcPr>
          <w:p>
            <w:pPr>
              <w:autoSpaceDE w:val="0"/>
              <w:autoSpaceDN w:val="0"/>
              <w:adjustRightInd w:val="0"/>
              <w:snapToGrid w:val="0"/>
              <w:spacing w:line="360" w:lineRule="auto"/>
              <w:ind w:firstLine="630" w:firstLineChars="300"/>
              <w:jc w:val="both"/>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eastAsia" w:ascii="宋体" w:hAnsi="宋体" w:cs="宋体"/>
                <w:bCs/>
                <w:color w:val="auto"/>
                <w:szCs w:val="21"/>
                <w:highlight w:val="none"/>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711" w:type="dxa"/>
            <w:vMerge w:val="continue"/>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 xml:space="preserve">为             </w:t>
            </w:r>
            <w:r>
              <w:rPr>
                <w:rFonts w:hint="eastAsia" w:ascii="宋体" w:hAnsi="宋体" w:cs="宋体"/>
                <w:bCs/>
                <w:color w:val="auto"/>
                <w:sz w:val="21"/>
                <w:szCs w:val="21"/>
                <w:highlight w:val="none"/>
                <w:u w:val="none"/>
                <w:lang w:val="en-US" w:eastAsia="zh-CN"/>
              </w:rPr>
              <w:t xml:space="preserve"> </w:t>
            </w:r>
            <w:r>
              <w:rPr>
                <w:rFonts w:hint="eastAsia" w:ascii="宋体" w:hAnsi="宋体" w:cs="宋体" w:eastAsiaTheme="minorEastAsia"/>
                <w:bCs/>
                <w:color w:val="auto"/>
                <w:sz w:val="21"/>
                <w:szCs w:val="21"/>
                <w:highlight w:val="none"/>
                <w:u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2"/>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2"/>
        <w:widowControl/>
        <w:spacing w:line="360" w:lineRule="auto"/>
        <w:ind w:firstLine="630" w:firstLineChars="300"/>
        <w:rPr>
          <w:rFonts w:hint="default" w:ascii="宋体" w:hAnsi="宋体" w:eastAsia="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bCs/>
          <w:color w:val="auto"/>
          <w:kern w:val="2"/>
          <w:sz w:val="21"/>
          <w:szCs w:val="21"/>
          <w:highlight w:val="none"/>
          <w:u w:val="none"/>
          <w:lang w:val="en-US" w:eastAsia="zh-CN" w:bidi="ar-SA"/>
        </w:rPr>
        <w:t>投标单位自行报价，投标总报价不能超过招标控制价，否则按</w:t>
      </w:r>
      <w:r>
        <w:rPr>
          <w:rFonts w:hint="eastAsia" w:hAnsi="宋体" w:cs="宋体"/>
          <w:bCs/>
          <w:color w:val="auto"/>
          <w:kern w:val="2"/>
          <w:sz w:val="21"/>
          <w:szCs w:val="21"/>
          <w:highlight w:val="none"/>
          <w:u w:val="none"/>
          <w:lang w:val="en-US" w:eastAsia="zh-CN" w:bidi="ar-SA"/>
        </w:rPr>
        <w:t>无效投标</w:t>
      </w:r>
      <w:r>
        <w:rPr>
          <w:rFonts w:hint="eastAsia" w:ascii="宋体" w:hAnsi="宋体" w:eastAsia="宋体" w:cs="宋体"/>
          <w:bCs/>
          <w:color w:val="auto"/>
          <w:kern w:val="2"/>
          <w:sz w:val="21"/>
          <w:szCs w:val="21"/>
          <w:highlight w:val="none"/>
          <w:u w:val="none"/>
          <w:lang w:val="en-US" w:eastAsia="zh-CN" w:bidi="ar-SA"/>
        </w:rPr>
        <w:t>处理。（小数点后保留二位小数，第三位小数四舍五入）</w:t>
      </w:r>
    </w:p>
    <w:p>
      <w:pPr>
        <w:pStyle w:val="2"/>
        <w:spacing w:line="360" w:lineRule="auto"/>
        <w:ind w:firstLine="630" w:firstLineChars="300"/>
        <w:rPr>
          <w:rFonts w:hint="eastAsia" w:ascii="宋体" w:hAnsi="宋体" w:eastAsia="宋体" w:cs="宋体"/>
          <w:color w:val="auto"/>
          <w:sz w:val="21"/>
          <w:szCs w:val="21"/>
          <w:highlight w:val="none"/>
        </w:rPr>
      </w:pPr>
    </w:p>
    <w:p>
      <w:pPr>
        <w:spacing w:line="360" w:lineRule="auto"/>
        <w:rPr>
          <w:rFonts w:hAnsi="宋体"/>
          <w:b/>
          <w:color w:val="auto"/>
          <w:highlight w:val="none"/>
        </w:rPr>
      </w:pP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52"/>
          <w:szCs w:val="52"/>
          <w:highlight w:val="none"/>
        </w:rPr>
      </w:pPr>
      <w:r>
        <w:rPr>
          <w:rFonts w:hint="eastAsia" w:eastAsia="黑体"/>
          <w:color w:val="auto"/>
          <w:sz w:val="52"/>
          <w:szCs w:val="52"/>
          <w:highlight w:val="none"/>
        </w:rPr>
        <w:t>技术文件</w:t>
      </w:r>
    </w:p>
    <w:p>
      <w:pPr>
        <w:autoSpaceDE w:val="0"/>
        <w:autoSpaceDN w:val="0"/>
        <w:adjustRightInd w:val="0"/>
        <w:spacing w:line="480" w:lineRule="auto"/>
        <w:rPr>
          <w:rFonts w:eastAsia="黑体"/>
          <w:color w:val="auto"/>
          <w:sz w:val="28"/>
          <w:szCs w:val="28"/>
          <w:highlight w:val="none"/>
        </w:rPr>
      </w:pPr>
    </w:p>
    <w:p>
      <w:pPr>
        <w:spacing w:line="480" w:lineRule="auto"/>
        <w:rPr>
          <w:color w:val="auto"/>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2"/>
        <w:rPr>
          <w:rFonts w:hint="default"/>
          <w:color w:val="auto"/>
          <w:highlight w:val="none"/>
        </w:rPr>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52" w:name="_Toc374128477"/>
      <w:bookmarkEnd w:id="52"/>
      <w:bookmarkStart w:id="53" w:name="_Toc3091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4" w:name="_Toc26234"/>
      <w:bookmarkStart w:id="55" w:name="_Toc4893"/>
      <w:bookmarkStart w:id="56" w:name="_Toc23233"/>
      <w:bookmarkStart w:id="57" w:name="_Toc25010"/>
      <w:bookmarkStart w:id="58" w:name="_Toc24523"/>
      <w:bookmarkStart w:id="59" w:name="_Toc8367"/>
      <w:bookmarkStart w:id="60" w:name="_Toc17859"/>
      <w:r>
        <w:rPr>
          <w:rFonts w:hint="eastAsia" w:ascii="黑体" w:hAnsi="宋体" w:cs="黑体"/>
          <w:b/>
          <w:color w:val="auto"/>
          <w:kern w:val="44"/>
          <w:sz w:val="44"/>
          <w:szCs w:val="44"/>
          <w:highlight w:val="none"/>
        </w:rPr>
        <w:t>第4章 评标办法</w:t>
      </w:r>
      <w:bookmarkEnd w:id="53"/>
      <w:bookmarkEnd w:id="54"/>
      <w:bookmarkEnd w:id="55"/>
      <w:bookmarkEnd w:id="56"/>
      <w:bookmarkEnd w:id="57"/>
      <w:bookmarkEnd w:id="58"/>
      <w:bookmarkEnd w:id="59"/>
      <w:bookmarkEnd w:id="60"/>
    </w:p>
    <w:p>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pgNumType w:fmt="decimal"/>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val="en-US" w:eastAsia="zh-CN"/>
        </w:rPr>
        <w:t>方式</w:t>
      </w:r>
      <w:r>
        <w:rPr>
          <w:rFonts w:hint="eastAsia" w:ascii="仿宋" w:hAnsi="仿宋" w:eastAsia="仿宋" w:cs="仿宋"/>
          <w:color w:val="auto"/>
          <w:sz w:val="28"/>
          <w:szCs w:val="28"/>
          <w:highlight w:val="none"/>
        </w:rPr>
        <w:t>，为保证招标“公开、公平、公正”，根据国家有关工程建设招标投标的法律、法规和方针、政策，制定本评标细则，实行评标的规范化、标准化、科学化。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 xml:space="preserve">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4"/>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2"/>
        <w:widowControl/>
        <w:spacing w:line="500" w:lineRule="exact"/>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2"/>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w:t>
      </w:r>
      <w:r>
        <w:rPr>
          <w:rFonts w:hint="eastAsia" w:ascii="仿宋" w:hAnsi="仿宋" w:eastAsia="仿宋" w:cs="仿宋"/>
          <w:b/>
          <w:color w:val="auto"/>
          <w:sz w:val="28"/>
          <w:szCs w:val="28"/>
          <w:highlight w:val="none"/>
          <w:u w:val="single"/>
          <w:lang w:val="en-US" w:eastAsia="zh-CN"/>
        </w:rPr>
        <w:t>审</w:t>
      </w:r>
      <w:r>
        <w:rPr>
          <w:rFonts w:hint="eastAsia" w:ascii="仿宋" w:hAnsi="仿宋" w:eastAsia="仿宋" w:cs="仿宋"/>
          <w:b/>
          <w:color w:val="auto"/>
          <w:sz w:val="28"/>
          <w:szCs w:val="28"/>
          <w:highlight w:val="none"/>
          <w:u w:val="single"/>
        </w:rPr>
        <w:t>法</w:t>
      </w:r>
      <w:r>
        <w:rPr>
          <w:rFonts w:hint="eastAsia" w:ascii="仿宋" w:hAnsi="仿宋" w:eastAsia="仿宋" w:cs="仿宋"/>
          <w:b/>
          <w:color w:val="auto"/>
          <w:sz w:val="28"/>
          <w:szCs w:val="28"/>
          <w:highlight w:val="none"/>
          <w:u w:val="none"/>
        </w:rPr>
        <w:t>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spacing w:line="500" w:lineRule="exact"/>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spacing w:line="500" w:lineRule="exact"/>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以此类推，如所有中标候选人均出现前款所列的情形，为招标失败，招标人依法重新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2"/>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a、投标人名称；b、标书密封情况；c、法定代表人证明及授权委托；d、投标报价等主要内容，并予以记录，记录提交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p>
    <w:p>
      <w:pPr>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2"/>
        <w:rPr>
          <w:rFonts w:hint="default" w:ascii="仿宋" w:hAnsi="仿宋" w:eastAsia="仿宋" w:cs="仿宋"/>
          <w:color w:val="auto"/>
          <w:sz w:val="28"/>
          <w:szCs w:val="28"/>
          <w:highlight w:val="none"/>
        </w:rPr>
      </w:pPr>
    </w:p>
    <w:p>
      <w:pPr>
        <w:pStyle w:val="2"/>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hint="eastAsia" w:ascii="黑体" w:hAnsi="宋体" w:cs="黑体"/>
          <w:b/>
          <w:color w:val="auto"/>
          <w:kern w:val="44"/>
          <w:sz w:val="44"/>
          <w:szCs w:val="44"/>
          <w:highlight w:val="none"/>
        </w:rPr>
      </w:pPr>
      <w:bookmarkStart w:id="61" w:name="_Toc26593"/>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hint="eastAsia" w:ascii="黑体" w:hAnsi="宋体" w:cs="黑体"/>
          <w:b/>
          <w:color w:val="auto"/>
          <w:kern w:val="44"/>
          <w:sz w:val="44"/>
          <w:szCs w:val="44"/>
          <w:highlight w:val="none"/>
        </w:rPr>
      </w:pP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61"/>
    </w:p>
    <w:p>
      <w:pPr>
        <w:pStyle w:val="26"/>
        <w:widowControl/>
        <w:ind w:firstLine="562"/>
        <w:rPr>
          <w:rFonts w:hint="eastAsia" w:ascii="仿宋" w:hAnsi="仿宋" w:eastAsia="仿宋" w:cs="仿宋"/>
          <w:b/>
          <w:color w:val="auto"/>
          <w:kern w:val="0"/>
          <w:sz w:val="28"/>
          <w:szCs w:val="28"/>
          <w:highlight w:val="none"/>
          <w:u w:val="single"/>
          <w:lang w:val="en-US" w:eastAsia="zh-CN"/>
        </w:rPr>
      </w:pP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62" w:name="_Toc6823"/>
      <w:bookmarkStart w:id="63" w:name="_Toc3331"/>
      <w:bookmarkStart w:id="64" w:name="_Toc11051"/>
      <w:bookmarkStart w:id="65" w:name="_Toc18242"/>
      <w:bookmarkStart w:id="66" w:name="_Toc12170"/>
      <w:bookmarkStart w:id="67" w:name="_Toc13788"/>
      <w:bookmarkStart w:id="68" w:name="_Toc5919"/>
      <w:bookmarkStart w:id="69" w:name="_Toc20865"/>
      <w:r>
        <w:rPr>
          <w:rFonts w:hint="eastAsia" w:ascii="宋体" w:hAnsi="宋体" w:eastAsia="宋体" w:cs="宋体"/>
          <w:color w:val="auto"/>
          <w:sz w:val="21"/>
          <w:szCs w:val="21"/>
          <w:highlight w:val="none"/>
        </w:rPr>
        <w:t>附件1：符合性审查表</w:t>
      </w:r>
      <w:bookmarkEnd w:id="62"/>
      <w:bookmarkEnd w:id="63"/>
      <w:bookmarkEnd w:id="64"/>
      <w:bookmarkEnd w:id="65"/>
      <w:bookmarkEnd w:id="66"/>
      <w:bookmarkEnd w:id="67"/>
      <w:bookmarkEnd w:id="68"/>
      <w:bookmarkEnd w:id="69"/>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Lines="50" w:afterLines="50" w:line="240" w:lineRule="exact"/>
              <w:ind w:left="105" w:leftChars="50" w:right="105" w:rightChars="50"/>
              <w:jc w:val="center"/>
              <w:rPr>
                <w:rFonts w:ascii="仿宋" w:hAnsi="仿宋" w:eastAsia="仿宋" w:cs="仿宋"/>
                <w:b/>
                <w:color w:val="auto"/>
                <w:highlight w:val="none"/>
              </w:rPr>
            </w:pPr>
          </w:p>
          <w:p>
            <w:pPr>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50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val="en-US" w:eastAsia="zh-CN"/>
              </w:rPr>
              <w:t>第七条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9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eastAsia" w:ascii="仿宋" w:hAnsi="仿宋" w:cs="仿宋" w:eastAsiaTheme="minorEastAsia"/>
                <w:color w:val="auto"/>
                <w:sz w:val="21"/>
                <w:szCs w:val="21"/>
                <w:highlight w:val="none"/>
                <w:lang w:eastAsia="zh-CN"/>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5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lang w:val="en-US" w:eastAsia="zh-CN"/>
              </w:rPr>
              <w:t>无“未实质性响应招标文件”的情况</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Lines="50" w:afterLines="50" w:line="240" w:lineRule="exact"/>
              <w:ind w:left="-51"/>
              <w:contextualSpacing w:val="0"/>
              <w:jc w:val="center"/>
              <w:rPr>
                <w:rFonts w:ascii="仿宋" w:hAnsi="仿宋" w:eastAsia="仿宋" w:cs="仿宋"/>
                <w:color w:val="auto"/>
                <w:szCs w:val="21"/>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51"/>
              <w:contextualSpacing w:val="0"/>
              <w:jc w:val="both"/>
              <w:rPr>
                <w:rFonts w:ascii="仿宋" w:hAnsi="仿宋" w:eastAsia="仿宋" w:cs="仿宋"/>
                <w:color w:val="auto"/>
                <w:szCs w:val="21"/>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Lines="5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5" w:type="default"/>
          <w:pgSz w:w="11906" w:h="16838"/>
          <w:pgMar w:top="1440" w:right="1797" w:bottom="1440" w:left="1797" w:header="720" w:footer="720" w:gutter="0"/>
          <w:pgNumType w:fmt="decimal"/>
          <w:cols w:space="0" w:num="1"/>
          <w:rtlGutter w:val="0"/>
          <w:docGrid w:linePitch="312" w:charSpace="0"/>
        </w:sectPr>
      </w:pPr>
      <w:bookmarkStart w:id="70" w:name="_Toc18783"/>
    </w:p>
    <w:bookmarkEnd w:id="70"/>
    <w:p>
      <w:pPr>
        <w:snapToGrid w:val="0"/>
        <w:ind w:left="74"/>
        <w:outlineLvl w:val="0"/>
        <w:rPr>
          <w:rFonts w:hint="eastAsia" w:ascii="宋体" w:hAnsi="宋体" w:eastAsia="宋体" w:cs="宋体"/>
          <w:b w:val="0"/>
          <w:bCs/>
          <w:color w:val="auto"/>
          <w:sz w:val="21"/>
          <w:szCs w:val="21"/>
          <w:highlight w:val="none"/>
        </w:rPr>
      </w:pPr>
      <w:bookmarkStart w:id="71" w:name="_Toc31760"/>
      <w:bookmarkStart w:id="72" w:name="_Toc15156"/>
      <w:bookmarkStart w:id="73" w:name="_Toc15249"/>
      <w:bookmarkStart w:id="74" w:name="_Toc2642"/>
      <w:bookmarkStart w:id="75" w:name="_Toc18739"/>
      <w:bookmarkStart w:id="76" w:name="_Toc12016"/>
      <w:bookmarkStart w:id="77" w:name="_Toc32519"/>
      <w:bookmarkStart w:id="78" w:name="_Toc20704"/>
      <w:bookmarkStart w:id="79" w:name="_Toc6504"/>
      <w:bookmarkStart w:id="80" w:name="_Toc4185"/>
      <w:bookmarkStart w:id="81" w:name="_Toc5297"/>
      <w:bookmarkStart w:id="82" w:name="_Toc22905"/>
      <w:bookmarkStart w:id="83" w:name="_Toc13000"/>
      <w:r>
        <w:rPr>
          <w:rFonts w:hint="eastAsia" w:ascii="宋体" w:hAnsi="宋体" w:eastAsia="宋体" w:cs="宋体"/>
          <w:b w:val="0"/>
          <w:bCs/>
          <w:color w:val="auto"/>
          <w:sz w:val="21"/>
          <w:szCs w:val="21"/>
          <w:highlight w:val="none"/>
        </w:rPr>
        <w:t>附件2综合评分表（100分）</w:t>
      </w:r>
    </w:p>
    <w:p>
      <w:pPr>
        <w:widowControl w:val="0"/>
        <w:jc w:val="both"/>
        <w:rPr>
          <w:rFonts w:hint="eastAsia" w:ascii="宋体" w:hAnsi="Courier New" w:eastAsia="宋体" w:cs="Times New Roman"/>
          <w:b w:val="0"/>
          <w:bCs w:val="0"/>
          <w:kern w:val="2"/>
          <w:sz w:val="21"/>
          <w:szCs w:val="21"/>
          <w:lang w:val="en-US" w:eastAsia="zh-CN" w:bidi="ar-SA"/>
        </w:rPr>
      </w:pPr>
    </w:p>
    <w:tbl>
      <w:tblPr>
        <w:tblStyle w:val="18"/>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560"/>
        <w:gridCol w:w="735"/>
        <w:gridCol w:w="873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90" w:type="dxa"/>
            <w:shd w:val="clear" w:color="auto" w:fill="auto"/>
            <w:vAlign w:val="center"/>
          </w:tcPr>
          <w:p>
            <w:pPr>
              <w:snapToGrid w:val="0"/>
              <w:ind w:left="-2" w:leftChars="-1"/>
              <w:jc w:val="center"/>
              <w:rPr>
                <w:rFonts w:hint="eastAsia" w:ascii="宋体" w:hAnsi="宋体" w:eastAsia="宋体" w:cs="宋体"/>
                <w:color w:val="auto"/>
                <w:szCs w:val="21"/>
                <w:highlight w:val="yellow"/>
                <w:lang w:val="en-US" w:eastAsia="zh-CN"/>
              </w:rPr>
            </w:pPr>
            <w:r>
              <w:rPr>
                <w:rFonts w:hint="eastAsia" w:ascii="宋体" w:hAnsi="宋体" w:eastAsia="宋体" w:cs="宋体"/>
                <w:color w:val="auto"/>
                <w:szCs w:val="21"/>
                <w:highlight w:val="none"/>
              </w:rPr>
              <w:t>序号</w:t>
            </w:r>
          </w:p>
        </w:tc>
        <w:tc>
          <w:tcPr>
            <w:tcW w:w="1560" w:type="dxa"/>
            <w:shd w:val="clear" w:color="auto" w:fill="auto"/>
            <w:vAlign w:val="center"/>
          </w:tcPr>
          <w:p>
            <w:pPr>
              <w:snapToGrid w:val="0"/>
              <w:ind w:left="-2" w:leftChars="-1"/>
              <w:jc w:val="center"/>
              <w:rPr>
                <w:rFonts w:hint="eastAsia" w:ascii="宋体" w:hAnsi="宋体" w:eastAsia="宋体" w:cs="宋体"/>
                <w:color w:val="auto"/>
                <w:szCs w:val="21"/>
                <w:highlight w:val="yellow"/>
              </w:rPr>
            </w:pPr>
            <w:r>
              <w:rPr>
                <w:rFonts w:hint="eastAsia" w:ascii="宋体" w:hAnsi="宋体" w:eastAsia="宋体" w:cs="宋体"/>
                <w:color w:val="auto"/>
                <w:szCs w:val="21"/>
                <w:highlight w:val="none"/>
              </w:rPr>
              <w:t>类别</w:t>
            </w:r>
          </w:p>
        </w:tc>
        <w:tc>
          <w:tcPr>
            <w:tcW w:w="735" w:type="dxa"/>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snapToGrid w:val="0"/>
              <w:ind w:left="-2" w:leftChars="-1"/>
              <w:jc w:val="center"/>
              <w:rPr>
                <w:rFonts w:hint="eastAsia" w:ascii="宋体" w:hAnsi="宋体" w:eastAsia="宋体" w:cs="宋体"/>
                <w:color w:val="auto"/>
                <w:szCs w:val="21"/>
                <w:highlight w:val="yellow"/>
              </w:rPr>
            </w:pPr>
            <w:r>
              <w:rPr>
                <w:rFonts w:hint="eastAsia" w:ascii="宋体" w:hAnsi="宋体" w:eastAsia="宋体" w:cs="宋体"/>
                <w:color w:val="auto"/>
                <w:szCs w:val="21"/>
                <w:highlight w:val="none"/>
              </w:rPr>
              <w:t>分值</w:t>
            </w:r>
          </w:p>
        </w:tc>
        <w:tc>
          <w:tcPr>
            <w:tcW w:w="8730" w:type="dxa"/>
            <w:shd w:val="clear" w:color="auto" w:fill="auto"/>
            <w:vAlign w:val="center"/>
          </w:tcPr>
          <w:p>
            <w:pPr>
              <w:snapToGrid w:val="0"/>
              <w:jc w:val="center"/>
              <w:rPr>
                <w:rFonts w:hint="eastAsia" w:ascii="宋体" w:hAnsi="宋体" w:eastAsia="宋体" w:cs="宋体"/>
                <w:color w:val="auto"/>
                <w:szCs w:val="21"/>
                <w:highlight w:val="yellow"/>
              </w:rPr>
            </w:pPr>
            <w:r>
              <w:rPr>
                <w:rFonts w:hint="eastAsia" w:ascii="宋体" w:hAnsi="宋体" w:eastAsia="宋体" w:cs="宋体"/>
                <w:color w:val="auto"/>
                <w:szCs w:val="21"/>
                <w:highlight w:val="none"/>
              </w:rPr>
              <w:t>评 分 说 明</w:t>
            </w:r>
          </w:p>
        </w:tc>
        <w:tc>
          <w:tcPr>
            <w:tcW w:w="680" w:type="dxa"/>
            <w:shd w:val="clear" w:color="auto" w:fill="auto"/>
            <w:vAlign w:val="center"/>
          </w:tcPr>
          <w:p>
            <w:pPr>
              <w:snapToGrid w:val="0"/>
              <w:ind w:left="-2" w:leftChars="-1"/>
              <w:jc w:val="center"/>
              <w:rPr>
                <w:rFonts w:hint="eastAsia" w:ascii="宋体" w:hAnsi="宋体" w:eastAsia="宋体" w:cs="宋体"/>
                <w:color w:val="auto"/>
                <w:szCs w:val="21"/>
                <w:highlight w:val="yellow"/>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widowControl w:val="0"/>
              <w:snapToGrid w:val="0"/>
              <w:spacing w:before="120" w:after="120" w:line="320" w:lineRule="exact"/>
              <w:ind w:left="0" w:leftChars="0" w:firstLine="0" w:firstLineChars="0"/>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（50分）</w:t>
            </w:r>
          </w:p>
          <w:p>
            <w:pPr>
              <w:snapToGrid w:val="0"/>
              <w:ind w:left="-2" w:leftChars="-1"/>
              <w:jc w:val="center"/>
              <w:rPr>
                <w:rFonts w:hint="eastAsia" w:ascii="Calibri" w:hAnsi="Calibri" w:eastAsia="宋体" w:cs="Times New Roman"/>
                <w:kern w:val="2"/>
                <w:sz w:val="21"/>
                <w:szCs w:val="24"/>
                <w:highlight w:val="yellow"/>
                <w:lang w:val="en-US" w:eastAsia="zh-CN" w:bidi="ar-SA"/>
              </w:rPr>
            </w:pPr>
          </w:p>
        </w:tc>
        <w:tc>
          <w:tcPr>
            <w:tcW w:w="1560" w:type="dxa"/>
            <w:shd w:val="clear" w:color="auto" w:fill="auto"/>
            <w:vAlign w:val="center"/>
          </w:tcPr>
          <w:p>
            <w:pPr>
              <w:snapToGrid/>
              <w:ind w:left="42" w:leftChars="20" w:right="42" w:rightChars="20"/>
              <w:jc w:val="center"/>
              <w:rPr>
                <w:rFonts w:hint="eastAsia" w:ascii="宋体" w:hAnsi="宋体" w:eastAsia="宋体" w:cs="宋体"/>
                <w:color w:val="auto"/>
                <w:szCs w:val="21"/>
                <w:highlight w:val="yellow"/>
              </w:rPr>
            </w:pPr>
            <w:r>
              <w:rPr>
                <w:color w:val="auto"/>
                <w:highlight w:val="none"/>
              </w:rPr>
              <w:t>企业业绩</w:t>
            </w:r>
          </w:p>
        </w:tc>
        <w:tc>
          <w:tcPr>
            <w:tcW w:w="735" w:type="dxa"/>
            <w:shd w:val="clear" w:color="auto" w:fill="auto"/>
            <w:vAlign w:val="center"/>
          </w:tcPr>
          <w:p>
            <w:pPr>
              <w:spacing w:line="240" w:lineRule="auto"/>
              <w:ind w:left="42" w:leftChars="20" w:right="42" w:rightChars="20"/>
              <w:jc w:val="center"/>
              <w:rPr>
                <w:rFonts w:hint="default" w:ascii="宋体" w:hAnsi="宋体" w:eastAsia="宋体" w:cs="宋体"/>
                <w:color w:val="auto"/>
                <w:szCs w:val="21"/>
                <w:highlight w:val="yellow"/>
                <w:lang w:val="en-US"/>
              </w:rPr>
            </w:pPr>
            <w:r>
              <w:rPr>
                <w:rFonts w:hint="eastAsia" w:ascii="宋体" w:hAnsi="宋体" w:eastAsia="宋体" w:cs="宋体"/>
                <w:b w:val="0"/>
                <w:bCs w:val="0"/>
                <w:color w:val="auto"/>
                <w:sz w:val="21"/>
                <w:szCs w:val="21"/>
                <w:highlight w:val="none"/>
                <w:lang w:val="en-US" w:eastAsia="zh-CN"/>
              </w:rPr>
              <w:t>20</w:t>
            </w:r>
          </w:p>
        </w:tc>
        <w:tc>
          <w:tcPr>
            <w:tcW w:w="8730" w:type="dxa"/>
            <w:shd w:val="clear" w:color="auto" w:fill="auto"/>
            <w:vAlign w:val="center"/>
          </w:tcPr>
          <w:p>
            <w:pPr>
              <w:spacing w:line="360" w:lineRule="auto"/>
              <w:ind w:left="42" w:leftChars="20" w:right="42" w:rightChars="20"/>
              <w:jc w:val="left"/>
              <w:rPr>
                <w:rFonts w:hint="eastAsia" w:ascii="宋体" w:hAnsi="宋体" w:eastAsia="宋体" w:cs="宋体"/>
                <w:color w:val="auto"/>
                <w:szCs w:val="21"/>
                <w:highlight w:val="yellow"/>
              </w:rPr>
            </w:pPr>
            <w:r>
              <w:rPr>
                <w:rFonts w:hint="eastAsia" w:ascii="宋体" w:hAnsi="宋体" w:eastAsia="宋体" w:cs="宋体"/>
                <w:color w:val="auto"/>
                <w:kern w:val="2"/>
                <w:szCs w:val="24"/>
                <w:highlight w:val="none"/>
              </w:rPr>
              <w:t>投标人自</w:t>
            </w:r>
            <w:r>
              <w:rPr>
                <w:rFonts w:hint="eastAsia" w:ascii="宋体" w:hAnsi="宋体" w:eastAsia="宋体" w:cs="宋体"/>
                <w:color w:val="auto"/>
                <w:kern w:val="2"/>
                <w:szCs w:val="24"/>
                <w:highlight w:val="none"/>
                <w:lang w:val="en-US" w:eastAsia="zh-CN"/>
              </w:rPr>
              <w:t>2021</w:t>
            </w:r>
            <w:r>
              <w:rPr>
                <w:rFonts w:hint="eastAsia" w:ascii="宋体" w:hAnsi="宋体" w:eastAsia="宋体" w:cs="宋体"/>
                <w:color w:val="auto"/>
                <w:kern w:val="2"/>
                <w:szCs w:val="24"/>
                <w:highlight w:val="none"/>
              </w:rPr>
              <w:t>年1月1日以来（以</w:t>
            </w:r>
            <w:r>
              <w:rPr>
                <w:rFonts w:hint="eastAsia" w:ascii="宋体" w:hAnsi="宋体" w:eastAsia="宋体" w:cs="宋体"/>
                <w:color w:val="auto"/>
                <w:kern w:val="2"/>
                <w:szCs w:val="24"/>
                <w:highlight w:val="none"/>
                <w:lang w:eastAsia="zh-CN"/>
              </w:rPr>
              <w:t>竣工</w:t>
            </w:r>
            <w:r>
              <w:rPr>
                <w:rFonts w:hint="eastAsia" w:cstheme="minorBidi"/>
                <w:color w:val="auto"/>
                <w:kern w:val="2"/>
                <w:szCs w:val="24"/>
                <w:highlight w:val="none"/>
                <w:lang w:val="en-US" w:eastAsia="zh-CN"/>
              </w:rPr>
              <w:t>验收</w:t>
            </w:r>
            <w:r>
              <w:rPr>
                <w:rFonts w:hint="eastAsia" w:ascii="宋体" w:hAnsi="宋体" w:eastAsia="宋体" w:cs="宋体"/>
                <w:color w:val="auto"/>
                <w:kern w:val="2"/>
                <w:szCs w:val="24"/>
                <w:highlight w:val="none"/>
                <w:lang w:eastAsia="zh-CN"/>
              </w:rPr>
              <w:t>报告</w:t>
            </w:r>
            <w:r>
              <w:rPr>
                <w:rFonts w:hint="eastAsia" w:ascii="宋体" w:hAnsi="宋体" w:eastAsia="宋体" w:cs="宋体"/>
                <w:color w:val="auto"/>
                <w:kern w:val="2"/>
                <w:szCs w:val="24"/>
                <w:highlight w:val="none"/>
              </w:rPr>
              <w:t>时间为准）</w:t>
            </w:r>
            <w:r>
              <w:rPr>
                <w:rFonts w:hint="eastAsia" w:ascii="宋体" w:hAnsi="宋体" w:eastAsia="宋体" w:cs="宋体"/>
                <w:b w:val="0"/>
                <w:bCs w:val="0"/>
                <w:color w:val="auto"/>
                <w:sz w:val="21"/>
                <w:szCs w:val="24"/>
                <w:highlight w:val="none"/>
                <w:lang w:val="en-US"/>
              </w:rPr>
              <w:t>承接过单项合同金额不低于</w:t>
            </w:r>
            <w:r>
              <w:rPr>
                <w:rFonts w:hint="eastAsia" w:ascii="宋体" w:hAnsi="宋体" w:eastAsia="宋体" w:cs="宋体"/>
                <w:b w:val="0"/>
                <w:bCs w:val="0"/>
                <w:color w:val="auto"/>
                <w:sz w:val="21"/>
                <w:szCs w:val="24"/>
                <w:highlight w:val="none"/>
                <w:lang w:val="en-US" w:eastAsia="zh-CN"/>
              </w:rPr>
              <w:t>30</w:t>
            </w:r>
            <w:r>
              <w:rPr>
                <w:rFonts w:hint="eastAsia" w:ascii="宋体" w:hAnsi="宋体" w:eastAsia="宋体" w:cs="宋体"/>
                <w:b w:val="0"/>
                <w:bCs w:val="0"/>
                <w:color w:val="auto"/>
                <w:sz w:val="21"/>
                <w:szCs w:val="24"/>
                <w:highlight w:val="none"/>
                <w:lang w:val="en-US"/>
              </w:rPr>
              <w:t>万元（含</w:t>
            </w:r>
            <w:r>
              <w:rPr>
                <w:rFonts w:hint="eastAsia" w:ascii="宋体" w:hAnsi="宋体" w:eastAsia="宋体" w:cs="宋体"/>
                <w:b w:val="0"/>
                <w:bCs w:val="0"/>
                <w:color w:val="auto"/>
                <w:sz w:val="21"/>
                <w:szCs w:val="24"/>
                <w:highlight w:val="none"/>
                <w:lang w:val="en-US" w:eastAsia="zh-CN"/>
              </w:rPr>
              <w:t>30</w:t>
            </w:r>
            <w:r>
              <w:rPr>
                <w:rFonts w:hint="eastAsia" w:ascii="宋体" w:hAnsi="宋体" w:eastAsia="宋体" w:cs="宋体"/>
                <w:b w:val="0"/>
                <w:bCs w:val="0"/>
                <w:color w:val="auto"/>
                <w:sz w:val="21"/>
                <w:szCs w:val="24"/>
                <w:highlight w:val="none"/>
                <w:lang w:val="en-US"/>
              </w:rPr>
              <w:t>万元）的</w:t>
            </w:r>
            <w:r>
              <w:rPr>
                <w:rFonts w:hint="eastAsia" w:ascii="宋体" w:hAnsi="宋体" w:eastAsia="宋体" w:cs="宋体"/>
                <w:color w:val="auto"/>
                <w:sz w:val="21"/>
                <w:szCs w:val="21"/>
                <w:highlight w:val="none"/>
                <w:lang w:val="en-US" w:eastAsia="zh-CN"/>
              </w:rPr>
              <w:t>市政道路</w:t>
            </w:r>
            <w:r>
              <w:rPr>
                <w:rFonts w:hint="eastAsia" w:ascii="宋体" w:hAnsi="宋体" w:eastAsia="宋体" w:cs="宋体"/>
                <w:color w:val="auto"/>
                <w:sz w:val="21"/>
                <w:szCs w:val="21"/>
                <w:highlight w:val="none"/>
                <w:lang w:val="zh-TW"/>
              </w:rPr>
              <w:t>工程施工</w:t>
            </w:r>
            <w:r>
              <w:rPr>
                <w:rFonts w:hint="eastAsia" w:ascii="宋体" w:hAnsi="宋体" w:eastAsia="宋体" w:cs="宋体"/>
                <w:b w:val="0"/>
                <w:bCs w:val="0"/>
                <w:color w:val="auto"/>
                <w:sz w:val="21"/>
                <w:szCs w:val="24"/>
                <w:highlight w:val="none"/>
                <w:lang w:val="en-US" w:eastAsia="zh-CN"/>
              </w:rPr>
              <w:t>业绩</w:t>
            </w:r>
            <w:r>
              <w:rPr>
                <w:rFonts w:hint="eastAsia" w:ascii="宋体" w:hAnsi="宋体" w:eastAsia="宋体" w:cs="宋体"/>
                <w:b w:val="0"/>
                <w:bCs w:val="0"/>
                <w:color w:val="auto"/>
                <w:sz w:val="21"/>
                <w:szCs w:val="24"/>
                <w:highlight w:val="none"/>
                <w:lang w:val="en-US"/>
              </w:rPr>
              <w:t>，</w:t>
            </w:r>
            <w:r>
              <w:rPr>
                <w:rFonts w:hint="eastAsia" w:ascii="宋体" w:hAnsi="宋体" w:eastAsia="宋体" w:cs="宋体"/>
                <w:b w:val="0"/>
                <w:bCs w:val="0"/>
                <w:color w:val="auto"/>
                <w:sz w:val="21"/>
                <w:szCs w:val="24"/>
                <w:highlight w:val="none"/>
                <w:lang w:val="en-US" w:eastAsia="zh-CN"/>
              </w:rPr>
              <w:t>每提供一个得5分，</w:t>
            </w:r>
            <w:r>
              <w:rPr>
                <w:rFonts w:hint="eastAsia" w:ascii="宋体" w:hAnsi="宋体" w:eastAsia="宋体" w:cs="宋体"/>
                <w:color w:val="auto"/>
                <w:highlight w:val="none"/>
              </w:rPr>
              <w:t>本项最</w:t>
            </w:r>
            <w:r>
              <w:rPr>
                <w:rFonts w:hint="eastAsia" w:ascii="宋体" w:hAnsi="宋体" w:eastAsia="宋体" w:cs="宋体"/>
                <w:color w:val="auto"/>
                <w:highlight w:val="none"/>
                <w:lang w:val="en-US" w:eastAsia="zh-CN"/>
              </w:rPr>
              <w:t>高得20分</w:t>
            </w:r>
            <w:r>
              <w:rPr>
                <w:rFonts w:hint="eastAsia" w:ascii="宋体" w:hAnsi="宋体" w:eastAsia="宋体" w:cs="宋体"/>
                <w:color w:val="auto"/>
                <w:highlight w:val="none"/>
              </w:rPr>
              <w:t>。</w:t>
            </w:r>
            <w:r>
              <w:rPr>
                <w:rFonts w:hint="eastAsia" w:ascii="宋体" w:hAnsi="宋体" w:eastAsia="宋体" w:cs="宋体"/>
                <w:b w:val="0"/>
                <w:bCs w:val="0"/>
                <w:color w:val="auto"/>
                <w:kern w:val="2"/>
                <w:sz w:val="21"/>
                <w:szCs w:val="24"/>
                <w:highlight w:val="none"/>
                <w:lang w:val="en-US" w:eastAsia="zh-CN" w:bidi="ar-SA"/>
              </w:rPr>
              <w:t>注：需提供项目业绩证明材料（</w:t>
            </w:r>
            <w:r>
              <w:rPr>
                <w:rFonts w:hint="eastAsia" w:ascii="宋体" w:hAnsi="宋体" w:eastAsia="宋体" w:cs="宋体"/>
                <w:b w:val="0"/>
                <w:bCs w:val="0"/>
                <w:color w:val="auto"/>
                <w:kern w:val="2"/>
                <w:sz w:val="21"/>
                <w:szCs w:val="24"/>
                <w:highlight w:val="none"/>
                <w:lang w:val="en-US" w:eastAsia="zh-CN" w:bidi="ar-SA"/>
              </w:rPr>
              <w:t>中标通知书或免招标的相关证明</w:t>
            </w:r>
            <w:r>
              <w:rPr>
                <w:rFonts w:hint="eastAsia" w:ascii="宋体" w:hAnsi="宋体" w:eastAsia="宋体" w:cs="宋体"/>
                <w:b w:val="0"/>
                <w:bCs w:val="0"/>
                <w:color w:val="auto"/>
                <w:kern w:val="2"/>
                <w:sz w:val="21"/>
                <w:szCs w:val="24"/>
                <w:highlight w:val="none"/>
                <w:lang w:val="en-US" w:eastAsia="zh-CN" w:bidi="ar-SA"/>
              </w:rPr>
              <w:t>、合同关</w:t>
            </w:r>
            <w:r>
              <w:rPr>
                <w:rFonts w:hint="default" w:asciiTheme="minorHAnsi" w:hAnsiTheme="minorHAnsi" w:eastAsiaTheme="minorEastAsia" w:cstheme="minorBidi"/>
                <w:b w:val="0"/>
                <w:bCs w:val="0"/>
                <w:color w:val="auto"/>
                <w:kern w:val="2"/>
                <w:sz w:val="21"/>
                <w:szCs w:val="24"/>
                <w:highlight w:val="none"/>
                <w:lang w:val="en-US" w:eastAsia="zh-CN" w:bidi="ar-SA"/>
              </w:rPr>
              <w:t>键页</w:t>
            </w:r>
            <w:r>
              <w:rPr>
                <w:rFonts w:hint="eastAsia" w:cstheme="minorBidi"/>
                <w:b w:val="0"/>
                <w:bCs w:val="0"/>
                <w:color w:val="auto"/>
                <w:kern w:val="2"/>
                <w:sz w:val="21"/>
                <w:szCs w:val="24"/>
                <w:highlight w:val="none"/>
                <w:lang w:val="en-US" w:eastAsia="zh-CN" w:bidi="ar-SA"/>
              </w:rPr>
              <w:t>、竣工验收报告</w:t>
            </w:r>
            <w:r>
              <w:rPr>
                <w:rFonts w:hint="default" w:asciiTheme="minorHAnsi" w:hAnsiTheme="minorHAnsi" w:eastAsiaTheme="minorEastAsia" w:cstheme="minorBidi"/>
                <w:b w:val="0"/>
                <w:bCs w:val="0"/>
                <w:color w:val="auto"/>
                <w:kern w:val="2"/>
                <w:sz w:val="21"/>
                <w:szCs w:val="24"/>
                <w:highlight w:val="none"/>
                <w:lang w:val="en-US" w:eastAsia="zh-CN" w:bidi="ar-SA"/>
              </w:rPr>
              <w:t>复印件加盖公章）</w:t>
            </w:r>
            <w:r>
              <w:rPr>
                <w:rFonts w:hint="eastAsia" w:cstheme="minorBidi"/>
                <w:b w:val="0"/>
                <w:bCs w:val="0"/>
                <w:color w:val="auto"/>
                <w:kern w:val="2"/>
                <w:sz w:val="21"/>
                <w:szCs w:val="24"/>
                <w:highlight w:val="none"/>
                <w:lang w:val="en-US" w:eastAsia="zh-CN" w:bidi="ar-SA"/>
              </w:rPr>
              <w:t>，</w:t>
            </w:r>
            <w:r>
              <w:rPr>
                <w:rFonts w:hint="default" w:asciiTheme="minorHAnsi" w:hAnsiTheme="minorHAnsi" w:eastAsiaTheme="minorEastAsia" w:cstheme="minorBidi"/>
                <w:color w:val="auto"/>
                <w:kern w:val="2"/>
                <w:szCs w:val="24"/>
                <w:highlight w:val="none"/>
              </w:rPr>
              <w:t>业绩时间以</w:t>
            </w:r>
            <w:r>
              <w:rPr>
                <w:rFonts w:hint="eastAsia" w:cstheme="minorBidi"/>
                <w:color w:val="auto"/>
                <w:kern w:val="2"/>
                <w:szCs w:val="24"/>
                <w:highlight w:val="none"/>
                <w:lang w:eastAsia="zh-CN"/>
              </w:rPr>
              <w:t>竣工</w:t>
            </w:r>
            <w:r>
              <w:rPr>
                <w:rFonts w:hint="eastAsia" w:cstheme="minorBidi"/>
                <w:color w:val="auto"/>
                <w:kern w:val="2"/>
                <w:szCs w:val="24"/>
                <w:highlight w:val="none"/>
                <w:lang w:val="en-US" w:eastAsia="zh-CN"/>
              </w:rPr>
              <w:t>验收</w:t>
            </w:r>
            <w:r>
              <w:rPr>
                <w:rFonts w:hint="eastAsia" w:cstheme="minorBidi"/>
                <w:color w:val="auto"/>
                <w:kern w:val="2"/>
                <w:szCs w:val="24"/>
                <w:highlight w:val="none"/>
                <w:lang w:eastAsia="zh-CN"/>
              </w:rPr>
              <w:t>报告</w:t>
            </w:r>
            <w:r>
              <w:rPr>
                <w:rFonts w:hint="default" w:asciiTheme="minorHAnsi" w:hAnsiTheme="minorHAnsi" w:eastAsiaTheme="minorEastAsia" w:cstheme="minorBidi"/>
                <w:color w:val="auto"/>
                <w:kern w:val="2"/>
                <w:szCs w:val="24"/>
                <w:highlight w:val="none"/>
              </w:rPr>
              <w:t>时间为准</w:t>
            </w:r>
            <w:r>
              <w:rPr>
                <w:rFonts w:hint="eastAsia" w:cstheme="minorBidi"/>
                <w:color w:val="auto"/>
                <w:kern w:val="2"/>
                <w:szCs w:val="24"/>
                <w:highlight w:val="none"/>
                <w:lang w:eastAsia="zh-CN"/>
              </w:rPr>
              <w:t>。</w:t>
            </w:r>
            <w:r>
              <w:rPr>
                <w:rFonts w:hint="eastAsia" w:ascii="宋体" w:hAnsi="宋体" w:eastAsia="宋体" w:cs="宋体"/>
                <w:color w:val="auto"/>
                <w:szCs w:val="21"/>
                <w:highlight w:val="none"/>
              </w:rPr>
              <w:t>不提供、提供不全或专家无法认定的不得分</w:t>
            </w:r>
            <w:r>
              <w:rPr>
                <w:rFonts w:hint="default" w:asciiTheme="minorHAnsi" w:hAnsiTheme="minorHAnsi" w:eastAsiaTheme="minorEastAsia" w:cstheme="minorBidi"/>
                <w:b w:val="0"/>
                <w:bCs w:val="0"/>
                <w:color w:val="auto"/>
                <w:kern w:val="2"/>
                <w:sz w:val="21"/>
                <w:szCs w:val="24"/>
                <w:highlight w:val="none"/>
                <w:lang w:val="en-US" w:eastAsia="zh-CN" w:bidi="ar-SA"/>
              </w:rPr>
              <w:t>。</w:t>
            </w:r>
          </w:p>
        </w:tc>
        <w:tc>
          <w:tcPr>
            <w:tcW w:w="680" w:type="dxa"/>
            <w:shd w:val="clear" w:color="auto" w:fill="auto"/>
            <w:vAlign w:val="center"/>
          </w:tcPr>
          <w:p>
            <w:pPr>
              <w:spacing w:line="220" w:lineRule="exact"/>
              <w:ind w:left="-2" w:leftChars="-1"/>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atLeast"/>
          <w:jc w:val="center"/>
        </w:trPr>
        <w:tc>
          <w:tcPr>
            <w:tcW w:w="1090" w:type="dxa"/>
            <w:vMerge w:val="continue"/>
            <w:shd w:val="clear" w:color="auto" w:fill="auto"/>
            <w:vAlign w:val="center"/>
          </w:tcPr>
          <w:p>
            <w:pPr>
              <w:snapToGrid w:val="0"/>
              <w:ind w:left="-2" w:leftChars="-1"/>
              <w:jc w:val="center"/>
              <w:rPr>
                <w:rFonts w:hint="eastAsia" w:ascii="Calibri" w:hAnsi="Calibri" w:eastAsia="宋体" w:cs="Times New Roman"/>
                <w:kern w:val="2"/>
                <w:sz w:val="21"/>
                <w:szCs w:val="24"/>
                <w:highlight w:val="yellow"/>
                <w:lang w:val="en-US" w:eastAsia="zh-CN" w:bidi="ar-SA"/>
              </w:rPr>
            </w:pPr>
          </w:p>
        </w:tc>
        <w:tc>
          <w:tcPr>
            <w:tcW w:w="1560" w:type="dxa"/>
            <w:shd w:val="clear" w:color="auto" w:fill="auto"/>
            <w:vAlign w:val="center"/>
          </w:tcPr>
          <w:p>
            <w:pPr>
              <w:snapToGrid/>
              <w:ind w:left="42" w:leftChars="20" w:right="42" w:rightChars="20"/>
              <w:jc w:val="center"/>
              <w:rPr>
                <w:rFonts w:hint="eastAsia" w:ascii="宋体" w:hAnsi="宋体" w:eastAsia="宋体" w:cs="Times New Roman"/>
                <w:szCs w:val="21"/>
                <w:highlight w:val="yellow"/>
                <w:lang w:eastAsia="zh-CN"/>
              </w:rPr>
            </w:pPr>
            <w:r>
              <w:rPr>
                <w:rFonts w:hint="eastAsia" w:ascii="宋体" w:hAnsi="宋体" w:eastAsia="宋体" w:cs="宋体"/>
                <w:color w:val="auto"/>
                <w:kern w:val="2"/>
                <w:sz w:val="21"/>
                <w:szCs w:val="21"/>
                <w:highlight w:val="none"/>
                <w:lang w:val="en-US" w:eastAsia="zh-CN" w:bidi="ar-SA"/>
              </w:rPr>
              <w:t>工程项目获奖情况</w:t>
            </w:r>
          </w:p>
        </w:tc>
        <w:tc>
          <w:tcPr>
            <w:tcW w:w="735" w:type="dxa"/>
            <w:shd w:val="clear" w:color="auto" w:fill="auto"/>
            <w:vAlign w:val="center"/>
          </w:tcPr>
          <w:p>
            <w:pPr>
              <w:spacing w:line="240" w:lineRule="auto"/>
              <w:ind w:left="42" w:leftChars="20" w:right="42" w:rightChars="20"/>
              <w:jc w:val="center"/>
              <w:rPr>
                <w:rFonts w:hint="default" w:ascii="宋体" w:hAnsi="宋体" w:eastAsia="宋体" w:cs="宋体"/>
                <w:sz w:val="21"/>
                <w:szCs w:val="21"/>
                <w:highlight w:val="yellow"/>
                <w:lang w:val="en-US" w:eastAsia="zh-CN"/>
              </w:rPr>
            </w:pPr>
            <w:r>
              <w:rPr>
                <w:rFonts w:hint="eastAsia" w:ascii="宋体" w:hAnsi="宋体" w:eastAsia="宋体" w:cs="宋体"/>
                <w:bCs w:val="0"/>
                <w:color w:val="auto"/>
                <w:sz w:val="21"/>
                <w:szCs w:val="21"/>
                <w:highlight w:val="none"/>
                <w:lang w:val="en-US" w:eastAsia="zh-CN"/>
              </w:rPr>
              <w:t>15</w:t>
            </w:r>
          </w:p>
        </w:tc>
        <w:tc>
          <w:tcPr>
            <w:tcW w:w="8730" w:type="dxa"/>
            <w:shd w:val="clear" w:color="auto" w:fill="auto"/>
            <w:vAlign w:val="center"/>
          </w:tcPr>
          <w:p>
            <w:pPr>
              <w:spacing w:line="360" w:lineRule="auto"/>
              <w:ind w:left="42" w:leftChars="20" w:right="42" w:rightChars="20"/>
              <w:jc w:val="left"/>
              <w:rPr>
                <w:rFonts w:hint="eastAsia" w:ascii="宋体" w:hAnsi="宋体" w:eastAsia="宋体" w:cs="Times New Roman"/>
                <w:szCs w:val="21"/>
                <w:highlight w:val="yellow"/>
                <w:lang w:val="en-US" w:eastAsia="zh-CN"/>
              </w:rPr>
            </w:pPr>
            <w:r>
              <w:rPr>
                <w:rFonts w:hint="default" w:ascii="宋体" w:hAnsi="宋体" w:eastAsia="宋体" w:cs="宋体"/>
                <w:color w:val="auto"/>
                <w:kern w:val="2"/>
                <w:sz w:val="21"/>
                <w:szCs w:val="21"/>
                <w:highlight w:val="none"/>
                <w:lang w:val="en-US" w:eastAsia="zh-CN" w:bidi="ar-SA"/>
              </w:rPr>
              <w:t>投标人自20</w:t>
            </w:r>
            <w:r>
              <w:rPr>
                <w:rFonts w:hint="eastAsia" w:ascii="宋体" w:hAnsi="宋体" w:eastAsia="宋体" w:cs="宋体"/>
                <w:color w:val="auto"/>
                <w:kern w:val="2"/>
                <w:sz w:val="21"/>
                <w:szCs w:val="21"/>
                <w:highlight w:val="none"/>
                <w:lang w:val="en-US" w:eastAsia="zh-CN" w:bidi="ar-SA"/>
              </w:rPr>
              <w:t>21</w:t>
            </w:r>
            <w:r>
              <w:rPr>
                <w:rFonts w:hint="default" w:ascii="宋体" w:hAnsi="宋体" w:eastAsia="宋体" w:cs="宋体"/>
                <w:color w:val="auto"/>
                <w:kern w:val="2"/>
                <w:sz w:val="21"/>
                <w:szCs w:val="21"/>
                <w:highlight w:val="none"/>
                <w:lang w:val="en-US" w:eastAsia="zh-CN" w:bidi="ar-SA"/>
              </w:rPr>
              <w:t>年1月1日以来承建（含参建）的市政</w:t>
            </w:r>
            <w:r>
              <w:rPr>
                <w:rFonts w:hint="eastAsia" w:ascii="宋体" w:hAnsi="宋体" w:cs="宋体"/>
                <w:color w:val="auto"/>
                <w:kern w:val="2"/>
                <w:sz w:val="21"/>
                <w:szCs w:val="21"/>
                <w:highlight w:val="none"/>
                <w:lang w:val="en-US" w:eastAsia="zh-CN" w:bidi="ar-SA"/>
              </w:rPr>
              <w:t>类</w:t>
            </w:r>
            <w:r>
              <w:rPr>
                <w:rFonts w:hint="default" w:ascii="宋体" w:hAnsi="宋体" w:eastAsia="宋体" w:cs="宋体"/>
                <w:color w:val="auto"/>
                <w:kern w:val="2"/>
                <w:sz w:val="21"/>
                <w:szCs w:val="21"/>
                <w:highlight w:val="none"/>
                <w:lang w:val="en-US" w:eastAsia="zh-CN" w:bidi="ar-SA"/>
              </w:rPr>
              <w:t>工程施工项目获得</w:t>
            </w:r>
            <w:r>
              <w:rPr>
                <w:rFonts w:hint="eastAsia" w:ascii="宋体" w:hAnsi="宋体" w:cs="宋体"/>
                <w:color w:val="auto"/>
                <w:kern w:val="2"/>
                <w:sz w:val="21"/>
                <w:szCs w:val="21"/>
                <w:highlight w:val="none"/>
                <w:lang w:val="en-US" w:eastAsia="zh-CN" w:bidi="ar-SA"/>
              </w:rPr>
              <w:t>过质量类奖项</w:t>
            </w:r>
            <w:r>
              <w:rPr>
                <w:rFonts w:hint="default" w:ascii="宋体" w:hAnsi="宋体" w:eastAsia="宋体" w:cs="宋体"/>
                <w:color w:val="auto"/>
                <w:kern w:val="2"/>
                <w:sz w:val="21"/>
                <w:szCs w:val="21"/>
                <w:highlight w:val="none"/>
                <w:lang w:val="en-US" w:eastAsia="zh-CN" w:bidi="ar-SA"/>
              </w:rPr>
              <w:t>情况：</w:t>
            </w:r>
            <w:r>
              <w:rPr>
                <w:rFonts w:hint="eastAsia" w:ascii="宋体" w:hAnsi="宋体" w:eastAsia="宋体" w:cs="宋体"/>
                <w:color w:val="auto"/>
                <w:sz w:val="21"/>
                <w:szCs w:val="21"/>
                <w:highlight w:val="none"/>
                <w:lang w:val="en-US" w:eastAsia="zh-Hans"/>
              </w:rPr>
              <w:t>1、获得过省级或以</w:t>
            </w:r>
            <w:r>
              <w:rPr>
                <w:rFonts w:hint="eastAsia" w:ascii="宋体" w:hAnsi="宋体" w:cs="宋体"/>
                <w:color w:val="auto"/>
                <w:sz w:val="21"/>
                <w:szCs w:val="21"/>
                <w:highlight w:val="none"/>
                <w:lang w:val="en-US" w:eastAsia="zh-CN"/>
              </w:rPr>
              <w:t>上奖项</w:t>
            </w:r>
            <w:r>
              <w:rPr>
                <w:rFonts w:hint="eastAsia" w:ascii="宋体" w:hAnsi="宋体" w:eastAsia="宋体" w:cs="宋体"/>
                <w:color w:val="auto"/>
                <w:sz w:val="21"/>
                <w:szCs w:val="21"/>
                <w:highlight w:val="none"/>
                <w:lang w:val="en-US" w:eastAsia="zh-Hans"/>
              </w:rPr>
              <w:t>的，每项得</w:t>
            </w:r>
            <w:r>
              <w:rPr>
                <w:rFonts w:hint="eastAsia" w:ascii="宋体" w:hAnsi="宋体" w:cs="宋体"/>
                <w:color w:val="auto"/>
                <w:sz w:val="21"/>
                <w:szCs w:val="21"/>
                <w:highlight w:val="none"/>
                <w:lang w:val="en-US" w:eastAsia="zh-CN"/>
              </w:rPr>
              <w:t>7.5</w:t>
            </w:r>
            <w:r>
              <w:rPr>
                <w:rFonts w:hint="eastAsia" w:ascii="宋体" w:hAnsi="宋体" w:eastAsia="宋体" w:cs="宋体"/>
                <w:color w:val="auto"/>
                <w:sz w:val="21"/>
                <w:szCs w:val="21"/>
                <w:highlight w:val="none"/>
                <w:lang w:val="en-US" w:eastAsia="zh-Hans"/>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Hans"/>
              </w:rPr>
              <w:t>分。2、获得过市级</w:t>
            </w:r>
            <w:r>
              <w:rPr>
                <w:rFonts w:hint="eastAsia" w:ascii="宋体" w:hAnsi="宋体" w:cs="宋体"/>
                <w:color w:val="auto"/>
                <w:sz w:val="21"/>
                <w:szCs w:val="21"/>
                <w:highlight w:val="none"/>
                <w:lang w:val="en-US" w:eastAsia="zh-CN"/>
              </w:rPr>
              <w:t>奖项</w:t>
            </w:r>
            <w:r>
              <w:rPr>
                <w:rFonts w:hint="eastAsia" w:ascii="宋体" w:hAnsi="宋体" w:eastAsia="宋体" w:cs="宋体"/>
                <w:color w:val="auto"/>
                <w:sz w:val="21"/>
                <w:szCs w:val="21"/>
                <w:highlight w:val="none"/>
                <w:lang w:val="en-US" w:eastAsia="zh-Hans"/>
              </w:rPr>
              <w:t>的，每项得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Hans"/>
              </w:rPr>
              <w:t>分，最高得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Hans"/>
              </w:rPr>
              <w:t>分</w:t>
            </w:r>
            <w:r>
              <w:rPr>
                <w:rFonts w:hint="default" w:ascii="宋体" w:hAnsi="宋体" w:eastAsia="宋体" w:cs="宋体"/>
                <w:color w:val="auto"/>
                <w:kern w:val="2"/>
                <w:sz w:val="21"/>
                <w:szCs w:val="21"/>
                <w:highlight w:val="none"/>
                <w:lang w:val="en-US" w:eastAsia="zh-CN" w:bidi="ar-SA"/>
              </w:rPr>
              <w:t>； 注：【本项最高</w:t>
            </w:r>
            <w:r>
              <w:rPr>
                <w:rFonts w:hint="eastAsia" w:ascii="宋体" w:hAnsi="宋体" w:eastAsia="宋体" w:cs="宋体"/>
                <w:color w:val="auto"/>
                <w:kern w:val="2"/>
                <w:sz w:val="21"/>
                <w:szCs w:val="21"/>
                <w:highlight w:val="none"/>
                <w:lang w:val="en-US" w:eastAsia="zh-CN" w:bidi="ar-SA"/>
              </w:rPr>
              <w:t>15</w:t>
            </w:r>
            <w:r>
              <w:rPr>
                <w:rFonts w:hint="default" w:ascii="宋体" w:hAnsi="宋体" w:eastAsia="宋体" w:cs="宋体"/>
                <w:color w:val="auto"/>
                <w:kern w:val="2"/>
                <w:sz w:val="21"/>
                <w:szCs w:val="21"/>
                <w:highlight w:val="none"/>
                <w:lang w:val="en-US" w:eastAsia="zh-CN" w:bidi="ar-SA"/>
              </w:rPr>
              <w:t>分】 1</w:t>
            </w:r>
            <w:r>
              <w:rPr>
                <w:rFonts w:hint="eastAsia" w:ascii="宋体" w:hAnsi="宋体" w:cs="宋体"/>
                <w:color w:val="auto"/>
                <w:kern w:val="2"/>
                <w:sz w:val="21"/>
                <w:szCs w:val="21"/>
                <w:highlight w:val="none"/>
                <w:lang w:val="en-US" w:eastAsia="zh-CN" w:bidi="ar-SA"/>
              </w:rPr>
              <w:t>．</w:t>
            </w:r>
            <w:r>
              <w:rPr>
                <w:rFonts w:hint="default" w:ascii="宋体" w:hAnsi="宋体" w:eastAsia="宋体" w:cs="宋体"/>
                <w:color w:val="auto"/>
                <w:kern w:val="2"/>
                <w:sz w:val="21"/>
                <w:szCs w:val="21"/>
                <w:highlight w:val="none"/>
                <w:lang w:val="en-US" w:eastAsia="zh-CN" w:bidi="ar-SA"/>
              </w:rPr>
              <w:t>投标人须提供工程项目获奖证书或获奖文件复印件(加盖投标人公章)，同时还须提供颁发机构官方网站发布的表彰公布通知(或公布通知或表彰决定)查询网页(或截图)打印页和查询网址链接并加盖投标单位公章，不提供不得分。 2</w:t>
            </w:r>
            <w:r>
              <w:rPr>
                <w:rFonts w:hint="eastAsia" w:ascii="宋体" w:hAnsi="宋体" w:cs="宋体"/>
                <w:color w:val="auto"/>
                <w:kern w:val="2"/>
                <w:sz w:val="21"/>
                <w:szCs w:val="21"/>
                <w:highlight w:val="none"/>
                <w:lang w:val="en-US" w:eastAsia="zh-CN" w:bidi="ar-SA"/>
              </w:rPr>
              <w:t>．</w:t>
            </w:r>
            <w:r>
              <w:rPr>
                <w:rFonts w:hint="default" w:ascii="宋体" w:hAnsi="宋体" w:eastAsia="宋体" w:cs="宋体"/>
                <w:color w:val="auto"/>
                <w:kern w:val="2"/>
                <w:sz w:val="21"/>
                <w:szCs w:val="21"/>
                <w:highlight w:val="none"/>
                <w:lang w:val="en-US" w:eastAsia="zh-CN" w:bidi="ar-SA"/>
              </w:rPr>
              <w:t>工程项目获奖根据人民政府或工程建设相关行业行政主管部门或经民政部门批准成立的工程建设相关行业协会颁发的获奖证书或获奖正式文件确认，如提供工程建设相关行业协会颁发的获奖证书或获奖正式文件，则须同时提供该行业协会在“中国社会组织公共服务平台”的登记信息查询结果网页打印件并加盖投标人公章，否则不予计分。</w:t>
            </w:r>
            <w:r>
              <w:rPr>
                <w:rFonts w:hint="default" w:ascii="宋体" w:hAnsi="宋体" w:eastAsia="宋体" w:cs="宋体"/>
                <w:color w:val="auto"/>
                <w:szCs w:val="21"/>
                <w:highlight w:val="none"/>
                <w:lang w:val="en-US" w:eastAsia="zh-CN"/>
              </w:rPr>
              <w:t>3.同一项目按最高奖</w:t>
            </w:r>
            <w:r>
              <w:rPr>
                <w:rFonts w:hint="default"/>
                <w:color w:val="auto"/>
                <w:highlight w:val="none"/>
                <w:lang w:val="en-US" w:eastAsia="zh-CN"/>
              </w:rPr>
              <w:t>项计分，不得重复计算。</w:t>
            </w:r>
            <w:r>
              <w:rPr>
                <w:rFonts w:hint="default" w:ascii="宋体" w:hAnsi="宋体" w:eastAsia="宋体" w:cs="宋体"/>
                <w:color w:val="auto"/>
                <w:kern w:val="2"/>
                <w:sz w:val="21"/>
                <w:szCs w:val="21"/>
                <w:highlight w:val="none"/>
                <w:lang w:val="en-US" w:eastAsia="zh-CN" w:bidi="ar-SA"/>
              </w:rPr>
              <w:t xml:space="preserve"> </w:t>
            </w:r>
          </w:p>
        </w:tc>
        <w:tc>
          <w:tcPr>
            <w:tcW w:w="680" w:type="dxa"/>
            <w:shd w:val="clear" w:color="auto" w:fill="auto"/>
            <w:vAlign w:val="center"/>
          </w:tcPr>
          <w:p>
            <w:pPr>
              <w:spacing w:line="220" w:lineRule="exact"/>
              <w:ind w:left="-2" w:leftChars="-1"/>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90" w:type="dxa"/>
            <w:vMerge w:val="continue"/>
            <w:shd w:val="clear" w:color="auto" w:fill="auto"/>
            <w:vAlign w:val="center"/>
          </w:tcPr>
          <w:p>
            <w:pPr>
              <w:snapToGrid w:val="0"/>
              <w:ind w:left="-2" w:leftChars="-1"/>
              <w:jc w:val="center"/>
              <w:rPr>
                <w:rFonts w:hint="eastAsia" w:ascii="Calibri" w:hAnsi="Calibri" w:eastAsia="宋体" w:cs="Times New Roman"/>
                <w:kern w:val="2"/>
                <w:sz w:val="21"/>
                <w:szCs w:val="24"/>
                <w:highlight w:val="yellow"/>
                <w:lang w:val="en-US" w:eastAsia="zh-CN" w:bidi="ar-SA"/>
              </w:rPr>
            </w:pPr>
          </w:p>
        </w:tc>
        <w:tc>
          <w:tcPr>
            <w:tcW w:w="1560" w:type="dxa"/>
            <w:shd w:val="clear" w:color="auto" w:fill="auto"/>
            <w:vAlign w:val="center"/>
          </w:tcPr>
          <w:p>
            <w:pPr>
              <w:widowControl/>
              <w:jc w:val="center"/>
              <w:textAlignment w:val="center"/>
              <w:rPr>
                <w:rFonts w:hint="eastAsia" w:ascii="宋体" w:hAnsi="宋体" w:eastAsia="宋体" w:cs="宋体"/>
                <w:color w:val="auto"/>
                <w:szCs w:val="21"/>
                <w:highlight w:val="yellow"/>
              </w:rPr>
            </w:pPr>
            <w:r>
              <w:rPr>
                <w:rFonts w:hint="eastAsia" w:ascii="宋体" w:hAnsi="宋体" w:eastAsia="宋体" w:cs="宋体"/>
                <w:color w:val="auto"/>
                <w:kern w:val="0"/>
                <w:sz w:val="21"/>
                <w:szCs w:val="21"/>
                <w:highlight w:val="none"/>
                <w:lang w:val="en-US" w:eastAsia="zh-CN" w:bidi="ar"/>
              </w:rPr>
              <w:t>企业</w:t>
            </w:r>
            <w:r>
              <w:rPr>
                <w:rFonts w:hint="eastAsia" w:ascii="宋体" w:hAnsi="宋体" w:cs="宋体"/>
                <w:color w:val="auto"/>
                <w:kern w:val="0"/>
                <w:sz w:val="21"/>
                <w:szCs w:val="21"/>
                <w:highlight w:val="none"/>
                <w:lang w:val="en-US" w:eastAsia="zh-CN" w:bidi="ar"/>
              </w:rPr>
              <w:t>荣</w:t>
            </w:r>
            <w:r>
              <w:rPr>
                <w:rFonts w:hint="eastAsia" w:ascii="宋体" w:hAnsi="宋体" w:eastAsia="宋体" w:cs="宋体"/>
                <w:color w:val="auto"/>
                <w:kern w:val="0"/>
                <w:sz w:val="21"/>
                <w:szCs w:val="21"/>
                <w:highlight w:val="none"/>
                <w:lang w:val="en-US" w:eastAsia="zh-CN" w:bidi="ar"/>
              </w:rPr>
              <w:t>誉</w:t>
            </w:r>
          </w:p>
        </w:tc>
        <w:tc>
          <w:tcPr>
            <w:tcW w:w="735" w:type="dxa"/>
            <w:shd w:val="clear" w:color="auto" w:fill="auto"/>
            <w:vAlign w:val="center"/>
          </w:tcPr>
          <w:p>
            <w:pPr>
              <w:widowControl/>
              <w:jc w:val="center"/>
              <w:textAlignment w:val="center"/>
              <w:rPr>
                <w:rFonts w:hint="default" w:ascii="宋体" w:hAnsi="宋体" w:eastAsia="宋体" w:cs="宋体"/>
                <w:color w:val="auto"/>
                <w:szCs w:val="21"/>
                <w:highlight w:val="yellow"/>
                <w:lang w:val="en-US"/>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5</w:t>
            </w:r>
          </w:p>
        </w:tc>
        <w:tc>
          <w:tcPr>
            <w:tcW w:w="8730" w:type="dxa"/>
            <w:shd w:val="clear" w:color="auto" w:fill="auto"/>
            <w:vAlign w:val="center"/>
          </w:tcPr>
          <w:p>
            <w:pPr>
              <w:numPr>
                <w:ilvl w:val="0"/>
                <w:numId w:val="0"/>
              </w:numPr>
              <w:snapToGrid w:val="0"/>
              <w:spacing w:line="360" w:lineRule="auto"/>
              <w:ind w:left="0" w:leftChars="0" w:firstLine="0" w:firstLineChars="0"/>
              <w:jc w:val="left"/>
              <w:rPr>
                <w:rFonts w:hint="eastAsia" w:ascii="宋体" w:hAnsi="宋体" w:eastAsia="宋体" w:cs="宋体"/>
                <w:color w:val="auto"/>
                <w:sz w:val="21"/>
                <w:szCs w:val="21"/>
                <w:highlight w:val="none"/>
                <w:lang w:val="en-US" w:eastAsia="zh-Hans"/>
              </w:rPr>
            </w:pPr>
            <w:r>
              <w:rPr>
                <w:rFonts w:hint="eastAsia" w:ascii="宋体" w:hAnsi="宋体" w:eastAsia="宋体" w:cs="宋体"/>
                <w:color w:val="auto"/>
                <w:sz w:val="21"/>
                <w:szCs w:val="21"/>
                <w:highlight w:val="none"/>
                <w:lang w:val="en-US" w:eastAsia="zh-Hans"/>
              </w:rPr>
              <w:t>投标人</w:t>
            </w:r>
            <w:r>
              <w:rPr>
                <w:rFonts w:hint="eastAsia" w:ascii="宋体" w:hAnsi="宋体" w:eastAsia="宋体" w:cs="宋体"/>
                <w:color w:val="auto"/>
                <w:sz w:val="21"/>
                <w:szCs w:val="21"/>
                <w:highlight w:val="none"/>
                <w:lang w:val="en-US"/>
              </w:rPr>
              <w:t>20</w:t>
            </w:r>
            <w:r>
              <w:rPr>
                <w:rFonts w:hint="eastAsia" w:ascii="宋体" w:hAnsi="宋体" w:eastAsia="宋体" w:cs="宋体"/>
                <w:color w:val="auto"/>
                <w:sz w:val="21"/>
                <w:szCs w:val="21"/>
                <w:highlight w:val="none"/>
                <w:lang w:val="en-US" w:eastAsia="zh-CN"/>
              </w:rPr>
              <w:t>21</w:t>
            </w:r>
            <w:r>
              <w:rPr>
                <w:rFonts w:hint="eastAsia" w:ascii="宋体" w:hAnsi="宋体" w:eastAsia="宋体" w:cs="宋体"/>
                <w:color w:val="auto"/>
                <w:sz w:val="21"/>
                <w:szCs w:val="21"/>
                <w:highlight w:val="none"/>
                <w:lang w:val="en-US"/>
              </w:rPr>
              <w:t>年1月1日以来</w:t>
            </w:r>
            <w:r>
              <w:rPr>
                <w:rFonts w:hint="eastAsia" w:ascii="宋体" w:hAnsi="宋体" w:eastAsia="宋体" w:cs="宋体"/>
                <w:color w:val="auto"/>
                <w:sz w:val="21"/>
                <w:szCs w:val="21"/>
                <w:highlight w:val="none"/>
                <w:lang w:val="en-US" w:eastAsia="zh-Hans"/>
              </w:rPr>
              <w:t>获得表彰情况：1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Hans"/>
              </w:rPr>
              <w:t>获得过省级或以上“</w:t>
            </w:r>
            <w:r>
              <w:rPr>
                <w:rFonts w:hint="eastAsia" w:ascii="宋体" w:hAnsi="宋体" w:eastAsia="宋体" w:cs="宋体"/>
                <w:color w:val="auto"/>
                <w:sz w:val="21"/>
                <w:szCs w:val="21"/>
                <w:highlight w:val="none"/>
                <w:lang w:val="en-US" w:eastAsia="zh-CN"/>
              </w:rPr>
              <w:t>履约管理</w:t>
            </w:r>
            <w:r>
              <w:rPr>
                <w:rFonts w:hint="eastAsia" w:ascii="宋体" w:hAnsi="宋体" w:eastAsia="宋体" w:cs="宋体"/>
                <w:color w:val="auto"/>
                <w:sz w:val="21"/>
                <w:szCs w:val="21"/>
                <w:highlight w:val="none"/>
                <w:lang w:val="en-US" w:eastAsia="zh-Hans"/>
              </w:rPr>
              <w:t>类”表彰的，每项得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Hans"/>
              </w:rPr>
              <w:t>分，最高得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Hans"/>
              </w:rPr>
              <w:t>.0分。2、获得过市级“</w:t>
            </w:r>
            <w:r>
              <w:rPr>
                <w:rFonts w:hint="eastAsia" w:ascii="宋体" w:hAnsi="宋体" w:eastAsia="宋体" w:cs="宋体"/>
                <w:color w:val="auto"/>
                <w:sz w:val="21"/>
                <w:szCs w:val="21"/>
                <w:highlight w:val="none"/>
                <w:lang w:val="en-US" w:eastAsia="zh-CN"/>
              </w:rPr>
              <w:t>履约管理</w:t>
            </w:r>
            <w:r>
              <w:rPr>
                <w:rFonts w:hint="eastAsia" w:ascii="宋体" w:hAnsi="宋体" w:eastAsia="宋体" w:cs="宋体"/>
                <w:color w:val="auto"/>
                <w:sz w:val="21"/>
                <w:szCs w:val="21"/>
                <w:highlight w:val="none"/>
                <w:lang w:val="en-US" w:eastAsia="zh-Hans"/>
              </w:rPr>
              <w:t>类”表彰的，每项得</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Hans"/>
              </w:rPr>
              <w:t>分，最高得</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lang w:val="en-US" w:eastAsia="zh-Hans"/>
              </w:rPr>
              <w:t>分。</w:t>
            </w:r>
          </w:p>
          <w:p>
            <w:pPr>
              <w:numPr>
                <w:ilvl w:val="-1"/>
                <w:numId w:val="0"/>
              </w:numPr>
              <w:snapToGrid w:val="0"/>
              <w:spacing w:line="360" w:lineRule="auto"/>
              <w:ind w:left="0" w:leftChars="0" w:firstLine="0" w:firstLineChars="0"/>
              <w:jc w:val="left"/>
              <w:rPr>
                <w:rFonts w:hint="eastAsia" w:ascii="宋体" w:hAnsi="宋体" w:eastAsia="宋体" w:cs="宋体"/>
                <w:color w:val="auto"/>
                <w:szCs w:val="21"/>
                <w:highlight w:val="yellow"/>
              </w:rPr>
            </w:pPr>
            <w:r>
              <w:rPr>
                <w:rFonts w:hint="eastAsia" w:ascii="宋体" w:hAnsi="宋体" w:eastAsia="宋体" w:cs="宋体"/>
                <w:color w:val="auto"/>
                <w:sz w:val="21"/>
                <w:szCs w:val="21"/>
                <w:highlight w:val="none"/>
                <w:lang w:val="en-US" w:eastAsia="zh-Hans"/>
              </w:rPr>
              <w:t>注：【本项最高得</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val="en-US" w:eastAsia="zh-Hans"/>
              </w:rPr>
              <w:t>分】1.获得表彰情况以省（包括省、自治区、直辖市）、市人民政府或行业行政主管部门或经民政部批准成立的工程建设行业协会颁发的表彰证书或表彰文件为准</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Hans"/>
              </w:rPr>
              <w:t>投标人提供表彰（获奖）证书或表彰（获奖）正式文件的</w:t>
            </w:r>
            <w:r>
              <w:rPr>
                <w:rFonts w:hint="eastAsia" w:ascii="宋体" w:hAnsi="宋体" w:eastAsia="宋体" w:cs="宋体"/>
                <w:color w:val="auto"/>
                <w:sz w:val="21"/>
                <w:szCs w:val="21"/>
                <w:highlight w:val="none"/>
                <w:lang w:val="en-US" w:eastAsia="zh-CN"/>
              </w:rPr>
              <w:t>复印</w:t>
            </w:r>
            <w:r>
              <w:rPr>
                <w:rFonts w:hint="eastAsia" w:ascii="宋体" w:hAnsi="宋体" w:eastAsia="宋体" w:cs="宋体"/>
                <w:color w:val="auto"/>
                <w:sz w:val="21"/>
                <w:szCs w:val="21"/>
                <w:highlight w:val="none"/>
                <w:lang w:val="en-US" w:eastAsia="zh-Hans"/>
              </w:rPr>
              <w:t>件和提供查询网页（或截图）打印页和查询网址链接并加盖投标单位公章，未按要求提供的，不得分。</w:t>
            </w:r>
            <w:r>
              <w:rPr>
                <w:rFonts w:hint="default"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en-US" w:eastAsia="zh-CN"/>
              </w:rPr>
              <w:t>不同等级</w:t>
            </w:r>
            <w:r>
              <w:rPr>
                <w:rFonts w:hint="default" w:ascii="宋体" w:hAnsi="宋体" w:eastAsia="宋体" w:cs="宋体"/>
                <w:color w:val="auto"/>
                <w:szCs w:val="21"/>
                <w:highlight w:val="none"/>
                <w:lang w:val="en-US" w:eastAsia="zh-CN"/>
              </w:rPr>
              <w:t>按最高奖</w:t>
            </w:r>
            <w:r>
              <w:rPr>
                <w:rFonts w:hint="default"/>
                <w:color w:val="auto"/>
                <w:highlight w:val="none"/>
                <w:lang w:val="en-US" w:eastAsia="zh-CN"/>
              </w:rPr>
              <w:t>项计分，不得</w:t>
            </w:r>
            <w:r>
              <w:rPr>
                <w:rFonts w:hint="eastAsia"/>
                <w:color w:val="auto"/>
                <w:highlight w:val="none"/>
                <w:lang w:val="en-US" w:eastAsia="zh-CN"/>
              </w:rPr>
              <w:t>累计</w:t>
            </w:r>
            <w:r>
              <w:rPr>
                <w:rFonts w:hint="default"/>
                <w:color w:val="auto"/>
                <w:highlight w:val="none"/>
                <w:lang w:val="en-US" w:eastAsia="zh-CN"/>
              </w:rPr>
              <w:t>计算。</w:t>
            </w:r>
            <w:r>
              <w:rPr>
                <w:rFonts w:hint="eastAsia"/>
                <w:color w:val="auto"/>
                <w:highlight w:val="none"/>
                <w:lang w:val="en-US" w:eastAsia="zh-CN"/>
              </w:rPr>
              <w:t>4</w:t>
            </w:r>
            <w:r>
              <w:rPr>
                <w:rFonts w:hint="default"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CN"/>
              </w:rPr>
              <w:t>时间以</w:t>
            </w:r>
            <w:r>
              <w:rPr>
                <w:rFonts w:hint="eastAsia" w:ascii="宋体" w:hAnsi="宋体" w:eastAsia="宋体" w:cs="宋体"/>
                <w:color w:val="auto"/>
                <w:sz w:val="21"/>
                <w:szCs w:val="21"/>
                <w:highlight w:val="none"/>
                <w:lang w:val="en-US" w:eastAsia="zh-Hans"/>
              </w:rPr>
              <w:t>颁发</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val="en-US" w:eastAsia="zh-Hans"/>
              </w:rPr>
              <w:t>表彰证书或表彰文件为准</w:t>
            </w:r>
          </w:p>
        </w:tc>
        <w:tc>
          <w:tcPr>
            <w:tcW w:w="680" w:type="dxa"/>
            <w:shd w:val="clear" w:color="auto" w:fill="auto"/>
            <w:vAlign w:val="center"/>
          </w:tcPr>
          <w:p>
            <w:pPr>
              <w:spacing w:line="360" w:lineRule="exact"/>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3" w:hRule="atLeast"/>
          <w:jc w:val="center"/>
        </w:trPr>
        <w:tc>
          <w:tcPr>
            <w:tcW w:w="1090" w:type="dxa"/>
            <w:vMerge w:val="restart"/>
            <w:shd w:val="clear" w:color="auto" w:fill="auto"/>
            <w:vAlign w:val="center"/>
          </w:tcPr>
          <w:p>
            <w:pPr>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ind w:left="-2" w:leftChars="-1"/>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50分</w:t>
            </w:r>
            <w:r>
              <w:rPr>
                <w:rFonts w:hint="eastAsia" w:ascii="宋体" w:hAnsi="宋体" w:eastAsia="宋体" w:cs="宋体"/>
                <w:b w:val="0"/>
                <w:bCs w:val="0"/>
                <w:color w:val="auto"/>
                <w:szCs w:val="21"/>
                <w:highlight w:val="none"/>
                <w:lang w:eastAsia="zh-CN"/>
              </w:rPr>
              <w:t>）</w:t>
            </w:r>
          </w:p>
          <w:p>
            <w:pPr>
              <w:snapToGrid w:val="0"/>
              <w:ind w:left="-2" w:leftChars="-1"/>
              <w:jc w:val="center"/>
              <w:rPr>
                <w:rFonts w:hint="eastAsia" w:ascii="Calibri" w:hAnsi="Calibri" w:eastAsia="宋体" w:cs="Times New Roman"/>
                <w:kern w:val="2"/>
                <w:sz w:val="21"/>
                <w:szCs w:val="24"/>
                <w:highlight w:val="yellow"/>
                <w:lang w:val="en-US" w:eastAsia="zh-CN" w:bidi="ar-SA"/>
              </w:rPr>
            </w:pPr>
          </w:p>
        </w:tc>
        <w:tc>
          <w:tcPr>
            <w:tcW w:w="1560" w:type="dxa"/>
            <w:shd w:val="clear" w:color="auto" w:fill="auto"/>
            <w:vAlign w:val="center"/>
          </w:tcPr>
          <w:p>
            <w:pPr>
              <w:snapToGrid/>
              <w:jc w:val="center"/>
              <w:rPr>
                <w:rFonts w:hint="eastAsia" w:ascii="宋体" w:hAnsi="宋体" w:eastAsia="宋体" w:cs="宋体"/>
                <w:sz w:val="21"/>
                <w:szCs w:val="21"/>
                <w:highlight w:val="yellow"/>
              </w:rPr>
            </w:pPr>
            <w:r>
              <w:rPr>
                <w:rFonts w:hint="eastAsia" w:ascii="宋体" w:hAnsi="宋体" w:cs="宋体"/>
                <w:color w:val="auto"/>
                <w:sz w:val="21"/>
                <w:szCs w:val="21"/>
                <w:highlight w:val="none"/>
              </w:rPr>
              <w:t>项目进度及控制措施</w:t>
            </w:r>
          </w:p>
        </w:tc>
        <w:tc>
          <w:tcPr>
            <w:tcW w:w="735" w:type="dxa"/>
            <w:shd w:val="clear" w:color="auto" w:fill="auto"/>
            <w:vAlign w:val="center"/>
          </w:tcPr>
          <w:p>
            <w:pPr>
              <w:snapToGrid/>
              <w:jc w:val="center"/>
              <w:rPr>
                <w:rFonts w:hint="default"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numPr>
                <w:ilvl w:val="0"/>
                <w:numId w:val="5"/>
              </w:numPr>
              <w:jc w:val="left"/>
              <w:rPr>
                <w:rFonts w:hint="eastAsia"/>
                <w:color w:val="auto"/>
                <w:sz w:val="21"/>
                <w:szCs w:val="21"/>
                <w:highlight w:val="none"/>
              </w:rPr>
            </w:pPr>
            <w:r>
              <w:rPr>
                <w:rFonts w:hint="eastAsia" w:asciiTheme="minorHAnsi" w:eastAsiaTheme="minorEastAsia"/>
                <w:color w:val="auto"/>
                <w:sz w:val="21"/>
                <w:szCs w:val="21"/>
                <w:highlight w:val="none"/>
                <w:lang w:val="en-US" w:eastAsia="zh-CN"/>
              </w:rPr>
              <w:t>优：</w:t>
            </w:r>
            <w:r>
              <w:rPr>
                <w:rFonts w:hint="eastAsia"/>
                <w:color w:val="auto"/>
                <w:sz w:val="21"/>
                <w:szCs w:val="21"/>
                <w:highlight w:val="none"/>
              </w:rPr>
              <w:t>项目进度及控制措施详尽可行，完善，能满足项目要求，得</w:t>
            </w:r>
            <w:r>
              <w:rPr>
                <w:rFonts w:hint="eastAsia" w:ascii="宋体" w:hAnsi="宋体" w:cs="宋体"/>
                <w:color w:val="auto"/>
                <w:sz w:val="21"/>
                <w:szCs w:val="21"/>
                <w:highlight w:val="none"/>
                <w:lang w:val="en-US" w:eastAsia="zh-CN"/>
              </w:rPr>
              <w:t>8-10</w:t>
            </w:r>
            <w:r>
              <w:rPr>
                <w:rFonts w:hint="eastAsia"/>
                <w:color w:val="auto"/>
                <w:sz w:val="21"/>
                <w:szCs w:val="21"/>
                <w:highlight w:val="none"/>
              </w:rPr>
              <w:t>分</w:t>
            </w:r>
            <w:r>
              <w:rPr>
                <w:rFonts w:hint="eastAsia" w:eastAsiaTheme="minorEastAsia"/>
                <w:color w:val="auto"/>
                <w:sz w:val="21"/>
                <w:szCs w:val="21"/>
                <w:highlight w:val="none"/>
                <w:lang w:eastAsia="zh-CN"/>
              </w:rPr>
              <w:t>；</w:t>
            </w:r>
          </w:p>
          <w:p>
            <w:pPr>
              <w:numPr>
                <w:ilvl w:val="0"/>
                <w:numId w:val="5"/>
              </w:numPr>
              <w:jc w:val="left"/>
              <w:rPr>
                <w:rFonts w:ascii="宋体" w:hAnsi="宋体" w:eastAsia="宋体" w:cs="宋体"/>
                <w:color w:val="auto"/>
                <w:szCs w:val="21"/>
                <w:highlight w:val="none"/>
              </w:rPr>
            </w:pPr>
            <w:r>
              <w:rPr>
                <w:rFonts w:hint="eastAsia" w:asciiTheme="minorHAnsi" w:eastAsiaTheme="minorEastAsia"/>
                <w:color w:val="auto"/>
                <w:sz w:val="21"/>
                <w:szCs w:val="21"/>
                <w:highlight w:val="none"/>
                <w:lang w:val="en-US" w:eastAsia="zh-CN"/>
              </w:rPr>
              <w:t>中：</w:t>
            </w:r>
            <w:r>
              <w:rPr>
                <w:rFonts w:hint="eastAsia"/>
                <w:color w:val="auto"/>
                <w:sz w:val="21"/>
                <w:szCs w:val="21"/>
                <w:highlight w:val="none"/>
              </w:rPr>
              <w:t>项目进度及控制措施可行，完善，能基本满足项目要求，得</w:t>
            </w:r>
            <w:r>
              <w:rPr>
                <w:rFonts w:hint="eastAsia" w:ascii="宋体" w:hAnsi="宋体" w:cs="宋体"/>
                <w:color w:val="auto"/>
                <w:sz w:val="21"/>
                <w:szCs w:val="21"/>
                <w:highlight w:val="none"/>
                <w:lang w:val="en-US" w:eastAsia="zh-CN"/>
              </w:rPr>
              <w:t>6-7</w:t>
            </w:r>
            <w:r>
              <w:rPr>
                <w:rFonts w:hint="eastAsia"/>
                <w:color w:val="auto"/>
                <w:sz w:val="21"/>
                <w:szCs w:val="21"/>
                <w:highlight w:val="none"/>
              </w:rPr>
              <w:t>分；</w:t>
            </w:r>
          </w:p>
          <w:p>
            <w:pPr>
              <w:numPr>
                <w:ilvl w:val="0"/>
                <w:numId w:val="5"/>
              </w:numPr>
              <w:jc w:val="left"/>
              <w:rPr>
                <w:rFonts w:ascii="宋体" w:hAnsi="宋体" w:eastAsia="宋体" w:cs="宋体"/>
                <w:color w:val="auto"/>
                <w:szCs w:val="21"/>
                <w:highlight w:val="none"/>
              </w:rPr>
            </w:pPr>
            <w:r>
              <w:rPr>
                <w:rFonts w:hint="eastAsia" w:asciiTheme="minorHAnsi" w:eastAsiaTheme="minorEastAsia"/>
                <w:color w:val="auto"/>
                <w:sz w:val="21"/>
                <w:szCs w:val="21"/>
                <w:highlight w:val="none"/>
                <w:lang w:val="en-US" w:eastAsia="zh-CN"/>
              </w:rPr>
              <w:t>差：</w:t>
            </w:r>
            <w:r>
              <w:rPr>
                <w:rFonts w:hint="eastAsia"/>
                <w:color w:val="auto"/>
                <w:sz w:val="21"/>
                <w:szCs w:val="21"/>
                <w:highlight w:val="none"/>
              </w:rPr>
              <w:t>项目进度及控制措施一般，勉强</w:t>
            </w:r>
            <w:r>
              <w:rPr>
                <w:rFonts w:hint="eastAsia" w:ascii="宋体" w:hAnsi="宋体" w:cs="宋体"/>
                <w:color w:val="auto"/>
                <w:sz w:val="21"/>
                <w:szCs w:val="21"/>
                <w:highlight w:val="none"/>
              </w:rPr>
              <w:t>能</w:t>
            </w:r>
            <w:r>
              <w:rPr>
                <w:rFonts w:hint="eastAsia"/>
                <w:color w:val="auto"/>
                <w:sz w:val="21"/>
                <w:szCs w:val="21"/>
                <w:highlight w:val="none"/>
              </w:rPr>
              <w:t>满足项目要求，得</w:t>
            </w:r>
            <w:r>
              <w:rPr>
                <w:rFonts w:hint="eastAsia" w:ascii="宋体" w:hAnsi="宋体" w:cs="宋体"/>
                <w:color w:val="auto"/>
                <w:sz w:val="21"/>
                <w:szCs w:val="21"/>
                <w:highlight w:val="none"/>
                <w:lang w:val="en-US" w:eastAsia="zh-CN"/>
              </w:rPr>
              <w:t>0-5</w:t>
            </w:r>
            <w:r>
              <w:rPr>
                <w:rFonts w:hint="eastAsia"/>
                <w:color w:val="auto"/>
                <w:sz w:val="21"/>
                <w:szCs w:val="21"/>
                <w:highlight w:val="none"/>
              </w:rPr>
              <w:t>分</w:t>
            </w:r>
            <w:r>
              <w:rPr>
                <w:rFonts w:hint="eastAsia" w:eastAsiaTheme="minorEastAsia"/>
                <w:color w:val="auto"/>
                <w:sz w:val="21"/>
                <w:szCs w:val="21"/>
                <w:highlight w:val="none"/>
                <w:lang w:eastAsia="zh-CN"/>
              </w:rPr>
              <w:t>。</w:t>
            </w:r>
          </w:p>
          <w:p>
            <w:pPr>
              <w:jc w:val="left"/>
              <w:rPr>
                <w:rFonts w:hint="eastAsia" w:ascii="宋体" w:hAnsi="宋体" w:eastAsia="宋体" w:cs="宋体"/>
                <w:sz w:val="21"/>
                <w:szCs w:val="21"/>
                <w:highlight w:val="yellow"/>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240" w:lineRule="auto"/>
              <w:ind w:left="-2" w:leftChars="-1"/>
              <w:jc w:val="center"/>
              <w:rPr>
                <w:rFonts w:hint="eastAsia" w:ascii="宋体" w:hAnsi="宋体" w:eastAsia="宋体" w:cs="宋体"/>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yellow"/>
              </w:rPr>
            </w:pPr>
          </w:p>
        </w:tc>
        <w:tc>
          <w:tcPr>
            <w:tcW w:w="1560" w:type="dxa"/>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yellow"/>
              </w:rPr>
            </w:pPr>
            <w:r>
              <w:rPr>
                <w:rFonts w:hint="eastAsia" w:ascii="宋体" w:hAnsi="宋体" w:eastAsia="宋体" w:cs="宋体"/>
                <w:color w:val="auto"/>
                <w:spacing w:val="-5"/>
                <w:szCs w:val="21"/>
                <w:highlight w:val="none"/>
              </w:rPr>
              <w:t>对项目的理解程度、重点难点分析情况</w:t>
            </w:r>
          </w:p>
        </w:tc>
        <w:tc>
          <w:tcPr>
            <w:tcW w:w="735" w:type="dxa"/>
            <w:shd w:val="clear" w:color="auto" w:fill="auto"/>
            <w:vAlign w:val="center"/>
          </w:tcPr>
          <w:p>
            <w:pPr>
              <w:snapToGrid w:val="0"/>
              <w:ind w:left="-2" w:leftChars="-1"/>
              <w:jc w:val="center"/>
              <w:rPr>
                <w:rFonts w:hint="default" w:ascii="宋体" w:hAnsi="宋体" w:eastAsia="宋体" w:cs="宋体"/>
                <w:b w:val="0"/>
                <w:bCs w:val="0"/>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1、优：对具体项目的理解程度、特点、实施难点、易损多发维修点清楚，有针对性，得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2、中：对具体项目的理解程度、特点、实施难点、易损多发维修点较清楚，较有针对性，得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3、差：对具体项目的理解程度、特点、实施难点、易损多发维修点了解一般，针对性一般，得0-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b w:val="0"/>
                <w:bCs w:val="0"/>
                <w:color w:val="auto"/>
                <w:sz w:val="21"/>
                <w:szCs w:val="21"/>
                <w:highlight w:val="yellow"/>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3"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yellow"/>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yellow"/>
              </w:rPr>
            </w:pPr>
            <w:r>
              <w:rPr>
                <w:rFonts w:hint="eastAsia" w:ascii="宋体" w:hAnsi="宋体" w:eastAsia="宋体" w:cs="宋体"/>
                <w:color w:val="auto"/>
                <w:sz w:val="21"/>
                <w:szCs w:val="21"/>
                <w:highlight w:val="none"/>
                <w:lang w:bidi="ar"/>
              </w:rPr>
              <w:t>质量保证措施</w:t>
            </w:r>
          </w:p>
        </w:tc>
        <w:tc>
          <w:tcPr>
            <w:tcW w:w="735" w:type="dxa"/>
            <w:shd w:val="clear" w:color="auto" w:fill="auto"/>
            <w:vAlign w:val="center"/>
          </w:tcPr>
          <w:p>
            <w:pPr>
              <w:snapToGrid w:val="0"/>
              <w:ind w:left="-2" w:leftChars="-1"/>
              <w:jc w:val="center"/>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sz w:val="21"/>
                <w:szCs w:val="21"/>
                <w:highlight w:val="yellow"/>
                <w:lang w:val="en-US" w:eastAsia="zh-CN"/>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提供方案则不得分。</w:t>
            </w:r>
          </w:p>
        </w:tc>
        <w:tc>
          <w:tcPr>
            <w:tcW w:w="680"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5"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yellow"/>
              </w:rPr>
            </w:pPr>
          </w:p>
        </w:tc>
        <w:tc>
          <w:tcPr>
            <w:tcW w:w="1560" w:type="dxa"/>
            <w:shd w:val="clear" w:color="auto" w:fill="auto"/>
            <w:vAlign w:val="center"/>
          </w:tcPr>
          <w:p>
            <w:pPr>
              <w:snapToGrid w:val="0"/>
              <w:ind w:left="-2" w:leftChars="-1"/>
              <w:jc w:val="center"/>
              <w:rPr>
                <w:rFonts w:hint="eastAsia" w:ascii="宋体" w:hAnsi="宋体" w:eastAsia="宋体" w:cs="宋体"/>
                <w:sz w:val="21"/>
                <w:szCs w:val="21"/>
                <w:highlight w:val="yellow"/>
              </w:rPr>
            </w:pPr>
            <w:r>
              <w:rPr>
                <w:rFonts w:hint="eastAsia" w:ascii="宋体" w:hAnsi="宋体" w:eastAsia="宋体" w:cs="宋体"/>
                <w:color w:val="auto"/>
                <w:sz w:val="21"/>
                <w:szCs w:val="21"/>
                <w:highlight w:val="none"/>
              </w:rPr>
              <w:t>应急方案</w:t>
            </w:r>
          </w:p>
        </w:tc>
        <w:tc>
          <w:tcPr>
            <w:tcW w:w="735" w:type="dxa"/>
            <w:shd w:val="clear" w:color="auto" w:fill="auto"/>
            <w:vAlign w:val="center"/>
          </w:tcPr>
          <w:p>
            <w:pPr>
              <w:spacing w:line="360" w:lineRule="exact"/>
              <w:ind w:left="-2" w:leftChars="-1"/>
              <w:jc w:val="center"/>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zCs w:val="21"/>
                <w:highlight w:val="none"/>
                <w:lang w:val="en-US" w:eastAsia="zh-CN"/>
              </w:rPr>
              <w:t>10</w:t>
            </w:r>
          </w:p>
        </w:tc>
        <w:tc>
          <w:tcPr>
            <w:tcW w:w="8730" w:type="dxa"/>
            <w:shd w:val="clear" w:color="auto" w:fill="auto"/>
            <w:vAlign w:val="center"/>
          </w:tcPr>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优：</w:t>
            </w:r>
            <w:r>
              <w:rPr>
                <w:rFonts w:hint="eastAsia" w:ascii="宋体" w:hAnsi="宋体" w:eastAsia="宋体" w:cs="宋体"/>
                <w:color w:val="auto"/>
                <w:sz w:val="21"/>
                <w:szCs w:val="21"/>
                <w:highlight w:val="none"/>
              </w:rPr>
              <w:t>提出的突发事件的应急预案和处理措施（包括应急响应时间、处理措施等）优秀，内容详细全面，可实施性强，得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 w:val="21"/>
                <w:szCs w:val="21"/>
                <w:highlight w:val="none"/>
              </w:rPr>
              <w:t>分；</w:t>
            </w: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提出的突发事件的应急预案和处理措施（包括应急响应时间、处理措施等）良好，内容较详细，可实施性较强，得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 w:val="21"/>
                <w:szCs w:val="21"/>
                <w:highlight w:val="none"/>
              </w:rPr>
              <w:t>分；</w:t>
            </w:r>
          </w:p>
          <w:p>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差：</w:t>
            </w:r>
            <w:r>
              <w:rPr>
                <w:rFonts w:hint="eastAsia" w:ascii="宋体" w:hAnsi="宋体" w:eastAsia="宋体" w:cs="宋体"/>
                <w:color w:val="auto"/>
                <w:sz w:val="21"/>
                <w:szCs w:val="21"/>
                <w:highlight w:val="none"/>
              </w:rPr>
              <w:t>提出的突发事件的应急预案和处理措施（包括应急响应时间、处理措施等）一般，内容一般，可实施性不强，得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 w:val="21"/>
                <w:szCs w:val="21"/>
                <w:highlight w:val="none"/>
              </w:rPr>
              <w:t>分；</w:t>
            </w:r>
          </w:p>
          <w:p>
            <w:pPr>
              <w:spacing w:line="360" w:lineRule="exact"/>
              <w:ind w:left="-2" w:leftChars="-1"/>
              <w:rPr>
                <w:rFonts w:hint="eastAsia" w:ascii="宋体" w:hAnsi="宋体" w:eastAsia="宋体" w:cs="宋体"/>
                <w:sz w:val="21"/>
                <w:szCs w:val="21"/>
                <w:highlight w:val="yellow"/>
                <w:lang w:val="en-US" w:eastAsia="zh-CN"/>
              </w:rPr>
            </w:pPr>
            <w:r>
              <w:rPr>
                <w:rFonts w:hint="eastAsia" w:ascii="宋体" w:hAnsi="宋体" w:eastAsia="宋体" w:cs="宋体"/>
                <w:color w:val="auto"/>
                <w:sz w:val="21"/>
                <w:szCs w:val="21"/>
                <w:highlight w:val="none"/>
              </w:rPr>
              <w:t>不提供方案不得分</w:t>
            </w:r>
            <w:r>
              <w:rPr>
                <w:rFonts w:hint="eastAsia" w:ascii="宋体" w:hAnsi="宋体" w:eastAsia="宋体" w:cs="宋体"/>
                <w:color w:val="auto"/>
                <w:sz w:val="21"/>
                <w:szCs w:val="21"/>
                <w:highlight w:val="none"/>
                <w:lang w:eastAsia="zh-CN"/>
              </w:rPr>
              <w:t>。</w:t>
            </w:r>
          </w:p>
        </w:tc>
        <w:tc>
          <w:tcPr>
            <w:tcW w:w="680"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6" w:hRule="atLeast"/>
          <w:jc w:val="center"/>
        </w:trPr>
        <w:tc>
          <w:tcPr>
            <w:tcW w:w="1090" w:type="dxa"/>
            <w:vMerge w:val="continue"/>
            <w:shd w:val="clear" w:color="auto" w:fill="auto"/>
            <w:vAlign w:val="center"/>
          </w:tcPr>
          <w:p>
            <w:pPr>
              <w:snapToGrid w:val="0"/>
              <w:ind w:left="-2" w:leftChars="-1"/>
              <w:jc w:val="center"/>
              <w:rPr>
                <w:rFonts w:hint="eastAsia" w:ascii="宋体" w:hAnsi="宋体" w:eastAsia="宋体" w:cs="宋体"/>
                <w:b w:val="0"/>
                <w:bCs w:val="0"/>
                <w:color w:val="auto"/>
                <w:sz w:val="21"/>
                <w:szCs w:val="21"/>
                <w:highlight w:val="yellow"/>
              </w:rPr>
            </w:pPr>
          </w:p>
        </w:tc>
        <w:tc>
          <w:tcPr>
            <w:tcW w:w="156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pPr>
              <w:snapToGrid w:val="0"/>
              <w:ind w:left="-2" w:leftChars="-1"/>
              <w:jc w:val="center"/>
              <w:rPr>
                <w:rFonts w:hint="eastAsia" w:ascii="宋体" w:hAnsi="宋体" w:eastAsia="宋体" w:cs="宋体"/>
                <w:color w:val="auto"/>
                <w:kern w:val="2"/>
                <w:sz w:val="21"/>
                <w:szCs w:val="21"/>
                <w:highlight w:val="yellow"/>
                <w:lang w:val="en-US" w:eastAsia="zh-CN" w:bidi="ar-SA"/>
              </w:rPr>
            </w:pPr>
          </w:p>
        </w:tc>
        <w:tc>
          <w:tcPr>
            <w:tcW w:w="735" w:type="dxa"/>
            <w:shd w:val="clear" w:color="auto" w:fill="auto"/>
            <w:vAlign w:val="center"/>
          </w:tcPr>
          <w:p>
            <w:pPr>
              <w:snapToGrid w:val="0"/>
              <w:ind w:left="-2" w:leftChars="-1"/>
              <w:jc w:val="center"/>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10</w:t>
            </w:r>
          </w:p>
        </w:tc>
        <w:tc>
          <w:tcPr>
            <w:tcW w:w="8730" w:type="dxa"/>
            <w:shd w:val="clear" w:color="auto" w:fill="auto"/>
            <w:vAlign w:val="center"/>
          </w:tcPr>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1、优：对本项目安全生产工作提出具体管理方案，安全防护制度健全，可行性高，能有效保障本服务项目的安全实施，得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2、中：对本项目安全生产工作提出具体管理方案，安全防护制度可行性较高，基本保障本服务项目的安全实施，得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pPr>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3、差：对本项目安全生产工作提出具体管理方案，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pPr>
              <w:snapToGrid w:val="0"/>
              <w:ind w:left="-2" w:leftChars="-1"/>
              <w:jc w:val="left"/>
              <w:rPr>
                <w:rFonts w:hint="eastAsia" w:ascii="宋体" w:hAnsi="宋体" w:eastAsia="宋体" w:cs="宋体"/>
                <w:b w:val="0"/>
                <w:bCs w:val="0"/>
                <w:color w:val="auto"/>
                <w:kern w:val="2"/>
                <w:sz w:val="21"/>
                <w:szCs w:val="21"/>
                <w:highlight w:val="yellow"/>
                <w:lang w:val="en-US" w:eastAsia="zh-CN" w:bidi="ar-SA"/>
              </w:rPr>
            </w:pPr>
            <w:r>
              <w:rPr>
                <w:rFonts w:hint="eastAsia" w:ascii="宋体" w:hAnsi="宋体" w:eastAsia="宋体" w:cs="宋体"/>
                <w:color w:val="auto"/>
                <w:spacing w:val="-5"/>
                <w:szCs w:val="21"/>
                <w:highlight w:val="none"/>
                <w:lang w:val="en-US" w:eastAsia="zh-CN"/>
              </w:rPr>
              <w:t>不</w:t>
            </w:r>
            <w:r>
              <w:rPr>
                <w:rFonts w:hint="eastAsia" w:ascii="宋体" w:hAnsi="宋体" w:eastAsia="宋体" w:cs="宋体"/>
                <w:color w:val="auto"/>
                <w:spacing w:val="-5"/>
                <w:szCs w:val="21"/>
                <w:highlight w:val="none"/>
              </w:rPr>
              <w:t xml:space="preserve">提供方案则不得分。 </w:t>
            </w:r>
          </w:p>
        </w:tc>
        <w:tc>
          <w:tcPr>
            <w:tcW w:w="680" w:type="dxa"/>
            <w:shd w:val="clear" w:color="auto" w:fill="auto"/>
            <w:vAlign w:val="center"/>
          </w:tcPr>
          <w:p>
            <w:pPr>
              <w:snapToGrid w:val="0"/>
              <w:spacing w:line="240" w:lineRule="auto"/>
              <w:ind w:left="-2" w:leftChars="-1"/>
              <w:jc w:val="center"/>
              <w:rPr>
                <w:rFonts w:hint="eastAsia" w:ascii="宋体" w:hAnsi="宋体" w:eastAsia="宋体" w:cs="宋体"/>
                <w:color w:val="auto"/>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650" w:type="dxa"/>
            <w:gridSpan w:val="2"/>
            <w:shd w:val="clear" w:color="auto" w:fill="auto"/>
            <w:vAlign w:val="center"/>
          </w:tcPr>
          <w:p>
            <w:pPr>
              <w:jc w:val="center"/>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rPr>
              <w:t>合计</w:t>
            </w:r>
          </w:p>
        </w:tc>
        <w:tc>
          <w:tcPr>
            <w:tcW w:w="735" w:type="dxa"/>
            <w:shd w:val="clear" w:color="auto" w:fill="auto"/>
            <w:vAlign w:val="center"/>
          </w:tcPr>
          <w:p>
            <w:pPr>
              <w:spacing w:line="220" w:lineRule="exact"/>
              <w:ind w:left="-2" w:leftChars="-1"/>
              <w:jc w:val="center"/>
              <w:rPr>
                <w:rFonts w:hint="default" w:ascii="宋体" w:hAnsi="宋体" w:eastAsia="宋体" w:cs="宋体"/>
                <w:color w:val="auto"/>
                <w:kern w:val="2"/>
                <w:sz w:val="21"/>
                <w:szCs w:val="21"/>
                <w:highlight w:val="yellow"/>
                <w:lang w:val="en-US" w:eastAsia="zh-CN" w:bidi="ar-SA"/>
              </w:rPr>
            </w:pPr>
            <w:r>
              <w:rPr>
                <w:rFonts w:hint="eastAsia" w:ascii="宋体" w:hAnsi="宋体" w:eastAsia="宋体" w:cs="宋体"/>
                <w:color w:val="auto"/>
                <w:szCs w:val="21"/>
                <w:highlight w:val="none"/>
              </w:rPr>
              <w:t>100</w:t>
            </w:r>
          </w:p>
        </w:tc>
        <w:tc>
          <w:tcPr>
            <w:tcW w:w="8730" w:type="dxa"/>
            <w:shd w:val="clear" w:color="auto" w:fill="auto"/>
            <w:vAlign w:val="center"/>
          </w:tcPr>
          <w:p>
            <w:pPr>
              <w:spacing w:line="220" w:lineRule="exact"/>
              <w:ind w:left="-2" w:leftChars="-1"/>
              <w:rPr>
                <w:rFonts w:hint="eastAsia" w:ascii="宋体" w:hAnsi="宋体" w:eastAsia="宋体" w:cs="宋体"/>
                <w:color w:val="auto"/>
                <w:kern w:val="2"/>
                <w:sz w:val="21"/>
                <w:szCs w:val="21"/>
                <w:highlight w:val="yellow"/>
                <w:lang w:val="en-US" w:eastAsia="zh-CN" w:bidi="ar-SA"/>
              </w:rPr>
            </w:pPr>
          </w:p>
        </w:tc>
        <w:tc>
          <w:tcPr>
            <w:tcW w:w="680" w:type="dxa"/>
            <w:shd w:val="clear" w:color="auto" w:fill="auto"/>
            <w:vAlign w:val="center"/>
          </w:tcPr>
          <w:p>
            <w:pPr>
              <w:spacing w:line="360" w:lineRule="exact"/>
              <w:ind w:left="-2" w:leftChars="-1"/>
              <w:rPr>
                <w:rFonts w:hint="eastAsia" w:ascii="宋体" w:hAnsi="宋体" w:eastAsia="宋体" w:cs="宋体"/>
                <w:color w:val="auto"/>
                <w:sz w:val="21"/>
                <w:szCs w:val="21"/>
                <w:highlight w:val="yellow"/>
              </w:rPr>
            </w:pPr>
          </w:p>
        </w:tc>
      </w:tr>
    </w:tbl>
    <w:p>
      <w:pPr>
        <w:snapToGrid w:val="0"/>
        <w:spacing w:line="360" w:lineRule="exact"/>
        <w:ind w:left="74" w:firstLine="0" w:firstLineChars="0"/>
        <w:jc w:val="left"/>
        <w:rPr>
          <w:rFonts w:ascii="Calibri" w:hAnsi="Calibri" w:eastAsia="宋体" w:cs="Times New Roman"/>
          <w:highlight w:val="none"/>
        </w:rPr>
      </w:pPr>
      <w:r>
        <w:rPr>
          <w:rFonts w:hint="eastAsia" w:ascii="仿宋" w:hAnsi="仿宋" w:eastAsia="仿宋" w:cs="宋体"/>
          <w:color w:val="auto"/>
          <w:sz w:val="24"/>
          <w:highlight w:val="none"/>
        </w:rPr>
        <w:t xml:space="preserve"> </w:t>
      </w:r>
      <w:r>
        <w:rPr>
          <w:rFonts w:hint="eastAsia" w:ascii="仿宋" w:hAnsi="仿宋" w:eastAsia="仿宋" w:cs="宋体"/>
          <w:color w:val="auto"/>
          <w:sz w:val="24"/>
          <w:highlight w:val="none"/>
          <w:lang w:val="en-US" w:eastAsia="zh-CN"/>
        </w:rPr>
        <w:t xml:space="preserve">   </w:t>
      </w:r>
      <w:r>
        <w:rPr>
          <w:rFonts w:hint="eastAsia" w:ascii="宋体" w:hAnsi="宋体" w:eastAsia="宋体" w:cs="宋体"/>
          <w:color w:val="auto"/>
          <w:szCs w:val="21"/>
          <w:highlight w:val="none"/>
        </w:rPr>
        <w:t>说明：</w:t>
      </w:r>
      <w:r>
        <w:rPr>
          <w:rFonts w:hint="eastAsia" w:ascii="宋体" w:hAnsi="宋体" w:eastAsia="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eastAsia="宋体" w:cs="宋体"/>
          <w:color w:val="auto"/>
          <w:szCs w:val="18"/>
          <w:highlight w:val="none"/>
          <w:lang w:eastAsia="zh-CN"/>
        </w:rPr>
        <w:t>。</w:t>
      </w:r>
    </w:p>
    <w:p>
      <w:pPr>
        <w:widowControl w:val="0"/>
        <w:ind w:firstLine="420" w:firstLineChars="200"/>
        <w:jc w:val="both"/>
        <w:rPr>
          <w:rFonts w:hint="default" w:ascii="宋体" w:hAnsi="宋体" w:eastAsia="宋体" w:cs="宋体"/>
          <w:color w:val="auto"/>
          <w:kern w:val="0"/>
          <w:sz w:val="21"/>
          <w:szCs w:val="21"/>
          <w:highlight w:val="none"/>
          <w:lang w:val="en-US" w:eastAsia="zh-CN" w:bidi="ar-SA"/>
        </w:rPr>
      </w:pPr>
    </w:p>
    <w:p>
      <w:pPr>
        <w:ind w:firstLine="1050" w:firstLineChars="500"/>
        <w:rPr>
          <w:rFonts w:ascii="Calibri" w:hAnsi="Calibri" w:eastAsia="宋体" w:cs="Times New Roman"/>
          <w:highlight w:val="none"/>
        </w:rPr>
      </w:pPr>
      <w:r>
        <w:rPr>
          <w:rFonts w:hint="eastAsia" w:ascii="宋体" w:hAnsi="宋体" w:eastAsia="宋体" w:cs="Times New Roman"/>
          <w:b w:val="0"/>
          <w:bCs/>
          <w:sz w:val="21"/>
          <w:szCs w:val="21"/>
          <w:highlight w:val="none"/>
        </w:rPr>
        <w:t>评标专家</w:t>
      </w:r>
      <w:r>
        <w:rPr>
          <w:rFonts w:hint="eastAsia" w:ascii="宋体" w:hAnsi="宋体" w:eastAsia="宋体" w:cs="Times New Roman"/>
          <w:b w:val="0"/>
          <w:bCs/>
          <w:sz w:val="21"/>
          <w:szCs w:val="21"/>
          <w:highlight w:val="none"/>
          <w:lang w:val="en-US" w:eastAsia="zh-CN"/>
        </w:rPr>
        <w:t>签名：                                                                        日期：</w:t>
      </w:r>
    </w:p>
    <w:bookmarkEnd w:id="71"/>
    <w:bookmarkEnd w:id="72"/>
    <w:bookmarkEnd w:id="73"/>
    <w:bookmarkEnd w:id="74"/>
    <w:bookmarkEnd w:id="75"/>
    <w:bookmarkEnd w:id="76"/>
    <w:bookmarkEnd w:id="77"/>
    <w:bookmarkEnd w:id="78"/>
    <w:bookmarkEnd w:id="79"/>
    <w:bookmarkEnd w:id="80"/>
    <w:bookmarkEnd w:id="81"/>
    <w:bookmarkEnd w:id="82"/>
    <w:bookmarkEnd w:id="83"/>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widowControl w:val="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附件3：经济部分评分表</w:t>
      </w:r>
    </w:p>
    <w:p>
      <w:pPr>
        <w:widowControl w:val="0"/>
        <w:jc w:val="both"/>
        <w:rPr>
          <w:rFonts w:hint="default" w:ascii="宋体" w:hAnsi="宋体" w:eastAsia="宋体" w:cs="宋体"/>
          <w:color w:val="auto"/>
          <w:kern w:val="2"/>
          <w:sz w:val="21"/>
          <w:szCs w:val="21"/>
          <w:highlight w:val="none"/>
          <w:lang w:val="en-US" w:eastAsia="zh-CN" w:bidi="ar-SA"/>
        </w:rPr>
      </w:pPr>
    </w:p>
    <w:tbl>
      <w:tblPr>
        <w:tblStyle w:val="18"/>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Calibri" w:hAnsi="Calibri" w:eastAsia="宋体" w:cs="Calibri"/>
                <w:i w:val="0"/>
                <w:iCs w:val="0"/>
                <w:color w:val="auto"/>
                <w:sz w:val="21"/>
                <w:szCs w:val="21"/>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若经过符合性审查，（1）入围投标单位为3至5家的，则经济标报价部分以入围投标单位的有效总报价的算术平均值作为基准价；（2）入围投标单位为6家或以上的，则去掉一家最高报价、一家最低报价后，经济标报价部分以剩余入围投标单位有效报价的算术平均值作为基准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投标报价等于基准价为满分100分，高于基准价的1%扣1分，低于基准价的1%扣0.5分，以此类推。最低得分0分。得分保留两位小数。计算公式如下：</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1、报价等于基准价的，得分=100。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2、报价高于基准价的，得分=100-[（报价-基准价）/基准价]×100×1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highlight w:val="none"/>
                <w:u w:val="none"/>
                <w:lang w:val="en-US"/>
              </w:rPr>
            </w:pPr>
            <w:r>
              <w:rPr>
                <w:rFonts w:hint="eastAsia" w:ascii="宋体" w:hAnsi="宋体" w:eastAsia="宋体" w:cs="宋体"/>
                <w:i w:val="0"/>
                <w:iCs w:val="0"/>
                <w:color w:val="auto"/>
                <w:kern w:val="0"/>
                <w:sz w:val="21"/>
                <w:szCs w:val="21"/>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1"/>
                <w:szCs w:val="21"/>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1"/>
                <w:szCs w:val="21"/>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4"/>
                <w:szCs w:val="24"/>
                <w:highlight w:val="none"/>
                <w:u w:val="none"/>
              </w:rPr>
            </w:pPr>
          </w:p>
        </w:tc>
      </w:tr>
    </w:tbl>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snapToGrid w:val="0"/>
        <w:spacing w:line="360" w:lineRule="auto"/>
        <w:jc w:val="left"/>
        <w:rPr>
          <w:rFonts w:hint="eastAsia" w:ascii="宋体" w:hAnsi="宋体"/>
          <w:color w:val="auto"/>
          <w:sz w:val="21"/>
          <w:szCs w:val="21"/>
          <w:highlight w:val="none"/>
        </w:rPr>
      </w:pPr>
    </w:p>
    <w:p>
      <w:pPr>
        <w:pStyle w:val="2"/>
        <w:rPr>
          <w:rFonts w:hint="eastAsia" w:ascii="宋体" w:hAnsi="宋体"/>
          <w:color w:val="auto"/>
          <w:sz w:val="21"/>
          <w:szCs w:val="21"/>
          <w:highlight w:val="none"/>
        </w:rPr>
        <w:sectPr>
          <w:pgSz w:w="16838" w:h="11906" w:orient="landscape"/>
          <w:pgMar w:top="1800" w:right="1440" w:bottom="1800" w:left="1440" w:header="851" w:footer="992" w:gutter="0"/>
          <w:pgNumType w:fmt="decimal"/>
          <w:cols w:space="720" w:num="1"/>
          <w:docGrid w:type="lines" w:linePitch="312" w:charSpace="0"/>
        </w:sect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w:t>
      </w:r>
    </w:p>
    <w:p>
      <w:pPr>
        <w:adjustRightInd w:val="0"/>
        <w:snapToGrid w:val="0"/>
        <w:spacing w:line="360" w:lineRule="auto"/>
        <w:jc w:val="center"/>
        <w:outlineLvl w:val="0"/>
        <w:rPr>
          <w:rFonts w:ascii="宋体" w:hAnsi="宋体" w:cs="宋体"/>
          <w:b/>
          <w:color w:val="auto"/>
          <w:sz w:val="28"/>
          <w:szCs w:val="28"/>
          <w:highlight w:val="none"/>
        </w:rPr>
      </w:pPr>
      <w:bookmarkStart w:id="84" w:name="_Toc17416"/>
      <w:bookmarkStart w:id="85" w:name="_Toc4858"/>
      <w:bookmarkStart w:id="86" w:name="_Toc10364"/>
      <w:bookmarkStart w:id="87" w:name="_Toc17392"/>
      <w:bookmarkStart w:id="88" w:name="_Toc17298"/>
      <w:bookmarkStart w:id="89" w:name="_Toc17435"/>
      <w:bookmarkStart w:id="90" w:name="_Toc27349"/>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84"/>
      <w:bookmarkEnd w:id="85"/>
      <w:bookmarkEnd w:id="86"/>
      <w:bookmarkEnd w:id="87"/>
      <w:bookmarkEnd w:id="88"/>
      <w:bookmarkEnd w:id="89"/>
      <w:bookmarkEnd w:id="90"/>
    </w:p>
    <w:p>
      <w:pPr>
        <w:pStyle w:val="40"/>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lang w:eastAsia="zh-CN"/>
        </w:rPr>
        <w:t>广州南沙旅游发展有限公司</w:t>
      </w:r>
    </w:p>
    <w:p>
      <w:pPr>
        <w:pStyle w:val="40"/>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s="Times New Roman"/>
          <w:b w:val="0"/>
          <w:bCs w:val="0"/>
          <w:color w:val="auto"/>
          <w:sz w:val="24"/>
          <w:szCs w:val="24"/>
          <w:highlight w:val="none"/>
          <w:u w:val="single"/>
          <w:lang w:val="en-US" w:eastAsia="zh-CN"/>
        </w:rPr>
        <w:t>天后宫中轴线主干道维修维护项目</w:t>
      </w:r>
      <w:r>
        <w:rPr>
          <w:rFonts w:hint="eastAsia" w:ascii="宋体" w:hAnsi="宋体" w:eastAsia="宋体"/>
          <w:color w:val="auto"/>
          <w:sz w:val="24"/>
          <w:szCs w:val="24"/>
          <w:highlight w:val="none"/>
        </w:rPr>
        <w:t>投标工作，做出郑重声明：</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40"/>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40"/>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41"/>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40"/>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40"/>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2"/>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4"/>
        <w:rPr>
          <w:rFonts w:hint="default"/>
          <w:color w:val="auto"/>
          <w:highlight w:val="none"/>
        </w:rPr>
      </w:pPr>
    </w:p>
    <w:p>
      <w:pPr>
        <w:rPr>
          <w:rFonts w:hint="default"/>
          <w:color w:val="auto"/>
          <w:highlight w:val="none"/>
        </w:rPr>
      </w:pPr>
    </w:p>
    <w:p>
      <w:pPr>
        <w:pStyle w:val="2"/>
        <w:rPr>
          <w:rFonts w:hint="default"/>
        </w:rPr>
      </w:pPr>
    </w:p>
    <w:p>
      <w:pPr>
        <w:rPr>
          <w:rFonts w:hint="default"/>
          <w:color w:val="auto"/>
          <w:highlight w:val="none"/>
        </w:rPr>
      </w:pPr>
    </w:p>
    <w:p>
      <w:pPr>
        <w:snapToGrid w:val="0"/>
        <w:spacing w:line="360" w:lineRule="auto"/>
        <w:jc w:val="left"/>
        <w:rPr>
          <w:rFonts w:ascii="宋体" w:hAnsi="宋体"/>
          <w:color w:val="auto"/>
          <w:sz w:val="21"/>
          <w:szCs w:val="21"/>
          <w:highlight w:val="none"/>
        </w:rPr>
      </w:pPr>
      <w:r>
        <w:rPr>
          <w:rFonts w:hint="eastAsia" w:ascii="宋体" w:hAnsi="宋体"/>
          <w:color w:val="auto"/>
          <w:sz w:val="21"/>
          <w:szCs w:val="21"/>
          <w:highlight w:val="none"/>
        </w:rPr>
        <w:t>附件</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w:t>
      </w:r>
    </w:p>
    <w:p>
      <w:pPr>
        <w:adjustRightInd w:val="0"/>
        <w:snapToGrid w:val="0"/>
        <w:spacing w:line="360" w:lineRule="auto"/>
        <w:jc w:val="center"/>
        <w:outlineLvl w:val="0"/>
        <w:rPr>
          <w:rFonts w:hint="eastAsia" w:ascii="宋体" w:hAnsi="宋体" w:cs="宋体"/>
          <w:b/>
          <w:color w:val="auto"/>
          <w:kern w:val="0"/>
          <w:sz w:val="28"/>
          <w:szCs w:val="28"/>
          <w:highlight w:val="none"/>
        </w:rPr>
      </w:pPr>
      <w:bookmarkStart w:id="91" w:name="_Toc26871"/>
      <w:bookmarkStart w:id="92" w:name="_Toc17693"/>
      <w:bookmarkStart w:id="93" w:name="_Toc9237"/>
      <w:bookmarkStart w:id="94" w:name="_Toc24807"/>
      <w:bookmarkStart w:id="95" w:name="_Toc3465"/>
      <w:r>
        <w:rPr>
          <w:rFonts w:hint="eastAsia" w:ascii="宋体" w:hAnsi="宋体" w:cs="宋体" w:eastAsiaTheme="minorEastAsia"/>
          <w:b/>
          <w:color w:val="auto"/>
          <w:kern w:val="0"/>
          <w:sz w:val="28"/>
          <w:szCs w:val="28"/>
          <w:highlight w:val="none"/>
          <w:lang w:val="en-US" w:eastAsia="zh-CN"/>
        </w:rPr>
        <w:t>非联合体投标声明（格式自拟）</w:t>
      </w:r>
      <w:bookmarkEnd w:id="91"/>
      <w:bookmarkEnd w:id="92"/>
      <w:bookmarkEnd w:id="93"/>
      <w:bookmarkEnd w:id="94"/>
      <w:bookmarkEnd w:id="95"/>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left"/>
      <w:rPr>
        <w:rFonts w:hint="eastAsia" w:ascii="Times New Roman" w:hAnsi="Times New Roman"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A75DCC2A"/>
    <w:multiLevelType w:val="singleLevel"/>
    <w:tmpl w:val="A75DCC2A"/>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FE4D5559"/>
    <w:multiLevelType w:val="singleLevel"/>
    <w:tmpl w:val="FE4D5559"/>
    <w:lvl w:ilvl="0" w:tentative="0">
      <w:start w:val="1"/>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trackRevisions w:val="1"/>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zZjliNzQ4M2JhYjM0MjI3YTk2NzE0ZGY0MWQ5N2YifQ=="/>
    <w:docVar w:name="KSO_WPS_MARK_KEY" w:val="dcc34e8b-285d-400f-b82c-10351cc556af"/>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C80459"/>
    <w:rsid w:val="02E9680F"/>
    <w:rsid w:val="02F7533D"/>
    <w:rsid w:val="030457ED"/>
    <w:rsid w:val="03562994"/>
    <w:rsid w:val="03CB6D70"/>
    <w:rsid w:val="04364A4F"/>
    <w:rsid w:val="04376975"/>
    <w:rsid w:val="04D330E5"/>
    <w:rsid w:val="04E40895"/>
    <w:rsid w:val="05031424"/>
    <w:rsid w:val="051B7598"/>
    <w:rsid w:val="052E78DA"/>
    <w:rsid w:val="0557469B"/>
    <w:rsid w:val="059A4101"/>
    <w:rsid w:val="05FF5A31"/>
    <w:rsid w:val="073B0CB2"/>
    <w:rsid w:val="07746BCF"/>
    <w:rsid w:val="07F66A4C"/>
    <w:rsid w:val="083B43B1"/>
    <w:rsid w:val="08757A2C"/>
    <w:rsid w:val="089D5EE4"/>
    <w:rsid w:val="08A9464F"/>
    <w:rsid w:val="08C43471"/>
    <w:rsid w:val="08D505E6"/>
    <w:rsid w:val="09062DA7"/>
    <w:rsid w:val="09A667E8"/>
    <w:rsid w:val="0A621C44"/>
    <w:rsid w:val="0A9867C9"/>
    <w:rsid w:val="0B372B92"/>
    <w:rsid w:val="0BFF40FB"/>
    <w:rsid w:val="0C855B7E"/>
    <w:rsid w:val="0C87037B"/>
    <w:rsid w:val="0CC51EC7"/>
    <w:rsid w:val="0CF74903"/>
    <w:rsid w:val="0D2A3B3D"/>
    <w:rsid w:val="0E1B10A8"/>
    <w:rsid w:val="0E80564C"/>
    <w:rsid w:val="0EA03B8A"/>
    <w:rsid w:val="0EAC0C18"/>
    <w:rsid w:val="0EB25F9A"/>
    <w:rsid w:val="0EE07B74"/>
    <w:rsid w:val="0F656FB0"/>
    <w:rsid w:val="0F8D0176"/>
    <w:rsid w:val="0F912314"/>
    <w:rsid w:val="0FD73768"/>
    <w:rsid w:val="10A4638E"/>
    <w:rsid w:val="10D83B3D"/>
    <w:rsid w:val="11135DC8"/>
    <w:rsid w:val="11F528ED"/>
    <w:rsid w:val="12E86716"/>
    <w:rsid w:val="130F5872"/>
    <w:rsid w:val="134A310C"/>
    <w:rsid w:val="138E7BA2"/>
    <w:rsid w:val="13E640E2"/>
    <w:rsid w:val="13E744B7"/>
    <w:rsid w:val="14082F52"/>
    <w:rsid w:val="14085DAD"/>
    <w:rsid w:val="14233C6D"/>
    <w:rsid w:val="14452035"/>
    <w:rsid w:val="1448567A"/>
    <w:rsid w:val="145B3800"/>
    <w:rsid w:val="14DA40AE"/>
    <w:rsid w:val="15B036FB"/>
    <w:rsid w:val="16007AF5"/>
    <w:rsid w:val="163A7468"/>
    <w:rsid w:val="17463991"/>
    <w:rsid w:val="179E3273"/>
    <w:rsid w:val="17DF6EBB"/>
    <w:rsid w:val="17E977C8"/>
    <w:rsid w:val="1873680D"/>
    <w:rsid w:val="18E67433"/>
    <w:rsid w:val="18F12637"/>
    <w:rsid w:val="19095239"/>
    <w:rsid w:val="1A361CF4"/>
    <w:rsid w:val="1A9A2CAA"/>
    <w:rsid w:val="1AA864E1"/>
    <w:rsid w:val="1AB46DAB"/>
    <w:rsid w:val="1B6C2995"/>
    <w:rsid w:val="1BB630ED"/>
    <w:rsid w:val="1BC44893"/>
    <w:rsid w:val="1BE136FF"/>
    <w:rsid w:val="1C05708F"/>
    <w:rsid w:val="1C307374"/>
    <w:rsid w:val="1C4306F9"/>
    <w:rsid w:val="1C9203A6"/>
    <w:rsid w:val="1D6E5C4A"/>
    <w:rsid w:val="1E032835"/>
    <w:rsid w:val="1E562810"/>
    <w:rsid w:val="1E7A1CAB"/>
    <w:rsid w:val="1EBD45C4"/>
    <w:rsid w:val="1F1C5732"/>
    <w:rsid w:val="1F584BD1"/>
    <w:rsid w:val="205D447F"/>
    <w:rsid w:val="206E043A"/>
    <w:rsid w:val="20AD4C4C"/>
    <w:rsid w:val="21424D60"/>
    <w:rsid w:val="215321ED"/>
    <w:rsid w:val="224A02E7"/>
    <w:rsid w:val="227411DF"/>
    <w:rsid w:val="232E3EB1"/>
    <w:rsid w:val="23A43B04"/>
    <w:rsid w:val="24856237"/>
    <w:rsid w:val="25053D8A"/>
    <w:rsid w:val="25687B33"/>
    <w:rsid w:val="25791876"/>
    <w:rsid w:val="26236584"/>
    <w:rsid w:val="26B94C66"/>
    <w:rsid w:val="26FF6942"/>
    <w:rsid w:val="272101A5"/>
    <w:rsid w:val="272B74FA"/>
    <w:rsid w:val="2751149E"/>
    <w:rsid w:val="2765008E"/>
    <w:rsid w:val="2776675E"/>
    <w:rsid w:val="2837076A"/>
    <w:rsid w:val="2865301D"/>
    <w:rsid w:val="28C86C87"/>
    <w:rsid w:val="28D56736"/>
    <w:rsid w:val="29051210"/>
    <w:rsid w:val="296119D7"/>
    <w:rsid w:val="2A97100B"/>
    <w:rsid w:val="2B401296"/>
    <w:rsid w:val="2BEC17AE"/>
    <w:rsid w:val="2C1B0D4A"/>
    <w:rsid w:val="2C5357E2"/>
    <w:rsid w:val="2D0635AD"/>
    <w:rsid w:val="2DDB1EBF"/>
    <w:rsid w:val="2DE261EA"/>
    <w:rsid w:val="2DE71DA9"/>
    <w:rsid w:val="2DF963B5"/>
    <w:rsid w:val="2E6C5CB5"/>
    <w:rsid w:val="2EC40C57"/>
    <w:rsid w:val="2EE433BF"/>
    <w:rsid w:val="2F9B6BBA"/>
    <w:rsid w:val="2FEA73B1"/>
    <w:rsid w:val="30136E93"/>
    <w:rsid w:val="30334755"/>
    <w:rsid w:val="306233EC"/>
    <w:rsid w:val="30EC6390"/>
    <w:rsid w:val="311233CC"/>
    <w:rsid w:val="31B57180"/>
    <w:rsid w:val="321A656D"/>
    <w:rsid w:val="321B76BE"/>
    <w:rsid w:val="3283717A"/>
    <w:rsid w:val="33F561C4"/>
    <w:rsid w:val="347657C9"/>
    <w:rsid w:val="34935BA4"/>
    <w:rsid w:val="34A264CA"/>
    <w:rsid w:val="35830B03"/>
    <w:rsid w:val="36276355"/>
    <w:rsid w:val="3700775A"/>
    <w:rsid w:val="37A26BD4"/>
    <w:rsid w:val="37AE7FE3"/>
    <w:rsid w:val="38417D8A"/>
    <w:rsid w:val="38522CBB"/>
    <w:rsid w:val="390F4B98"/>
    <w:rsid w:val="39731517"/>
    <w:rsid w:val="39F52602"/>
    <w:rsid w:val="39FC703A"/>
    <w:rsid w:val="3A041618"/>
    <w:rsid w:val="3AC802EF"/>
    <w:rsid w:val="3B183024"/>
    <w:rsid w:val="3B6D4312"/>
    <w:rsid w:val="3BB718A6"/>
    <w:rsid w:val="3BC04127"/>
    <w:rsid w:val="3C88543E"/>
    <w:rsid w:val="3CB7521C"/>
    <w:rsid w:val="3CE76215"/>
    <w:rsid w:val="3CFF0303"/>
    <w:rsid w:val="3D7619F9"/>
    <w:rsid w:val="3D957982"/>
    <w:rsid w:val="3D96007A"/>
    <w:rsid w:val="3F30256A"/>
    <w:rsid w:val="3F4915A0"/>
    <w:rsid w:val="3F5F332B"/>
    <w:rsid w:val="3F641BC2"/>
    <w:rsid w:val="3F8502F8"/>
    <w:rsid w:val="3FD704B2"/>
    <w:rsid w:val="405854B3"/>
    <w:rsid w:val="4077019F"/>
    <w:rsid w:val="408D1DBF"/>
    <w:rsid w:val="409313F9"/>
    <w:rsid w:val="40B7508E"/>
    <w:rsid w:val="40C17CBA"/>
    <w:rsid w:val="40CA2819"/>
    <w:rsid w:val="418831AE"/>
    <w:rsid w:val="41EC3A6C"/>
    <w:rsid w:val="42A2655E"/>
    <w:rsid w:val="43420D2F"/>
    <w:rsid w:val="436C5E0D"/>
    <w:rsid w:val="43D9356D"/>
    <w:rsid w:val="44631084"/>
    <w:rsid w:val="446A549B"/>
    <w:rsid w:val="44800368"/>
    <w:rsid w:val="44E811C0"/>
    <w:rsid w:val="45180D62"/>
    <w:rsid w:val="457E617A"/>
    <w:rsid w:val="46871AD6"/>
    <w:rsid w:val="47025D0E"/>
    <w:rsid w:val="4735560E"/>
    <w:rsid w:val="47413F22"/>
    <w:rsid w:val="4792678F"/>
    <w:rsid w:val="47E03B89"/>
    <w:rsid w:val="481D5A38"/>
    <w:rsid w:val="487975A7"/>
    <w:rsid w:val="48E72086"/>
    <w:rsid w:val="496C347B"/>
    <w:rsid w:val="49732ED5"/>
    <w:rsid w:val="4999462F"/>
    <w:rsid w:val="499C01CA"/>
    <w:rsid w:val="49D2082D"/>
    <w:rsid w:val="49D9477F"/>
    <w:rsid w:val="49EF5898"/>
    <w:rsid w:val="4A1079FD"/>
    <w:rsid w:val="4A1D620C"/>
    <w:rsid w:val="4AED722D"/>
    <w:rsid w:val="4B3D40BA"/>
    <w:rsid w:val="4BC136D0"/>
    <w:rsid w:val="4BF328A0"/>
    <w:rsid w:val="4C2E17B4"/>
    <w:rsid w:val="4C547C35"/>
    <w:rsid w:val="4C81677F"/>
    <w:rsid w:val="4C856015"/>
    <w:rsid w:val="4CF3627A"/>
    <w:rsid w:val="4D195C1E"/>
    <w:rsid w:val="4D904DD7"/>
    <w:rsid w:val="4D9C287D"/>
    <w:rsid w:val="4DC04FA6"/>
    <w:rsid w:val="4DC53F66"/>
    <w:rsid w:val="4DEC4822"/>
    <w:rsid w:val="4E165AE9"/>
    <w:rsid w:val="4E2A0E48"/>
    <w:rsid w:val="4E2A7035"/>
    <w:rsid w:val="4F333601"/>
    <w:rsid w:val="4FC91A1A"/>
    <w:rsid w:val="50DB6247"/>
    <w:rsid w:val="50F24C19"/>
    <w:rsid w:val="51531E87"/>
    <w:rsid w:val="51552F81"/>
    <w:rsid w:val="51AB2104"/>
    <w:rsid w:val="525A7F6F"/>
    <w:rsid w:val="52760C06"/>
    <w:rsid w:val="530E35F9"/>
    <w:rsid w:val="53427976"/>
    <w:rsid w:val="53A07C03"/>
    <w:rsid w:val="53A63423"/>
    <w:rsid w:val="53B638D1"/>
    <w:rsid w:val="54386D63"/>
    <w:rsid w:val="54A36172"/>
    <w:rsid w:val="54BC0EE8"/>
    <w:rsid w:val="54BF6370"/>
    <w:rsid w:val="55055F70"/>
    <w:rsid w:val="55D41C4B"/>
    <w:rsid w:val="5702252D"/>
    <w:rsid w:val="572444C0"/>
    <w:rsid w:val="57692898"/>
    <w:rsid w:val="576D49E8"/>
    <w:rsid w:val="57951FF3"/>
    <w:rsid w:val="579C393A"/>
    <w:rsid w:val="583D3C73"/>
    <w:rsid w:val="594F1692"/>
    <w:rsid w:val="59566C52"/>
    <w:rsid w:val="597674DD"/>
    <w:rsid w:val="59F07874"/>
    <w:rsid w:val="5A416E84"/>
    <w:rsid w:val="5AAF5CCA"/>
    <w:rsid w:val="5B6E68B8"/>
    <w:rsid w:val="5B8D6C19"/>
    <w:rsid w:val="5BAA698D"/>
    <w:rsid w:val="5BCE61FA"/>
    <w:rsid w:val="5C9B134E"/>
    <w:rsid w:val="5DAA1580"/>
    <w:rsid w:val="5DF14932"/>
    <w:rsid w:val="5DFF04E8"/>
    <w:rsid w:val="5E1A6FB5"/>
    <w:rsid w:val="5E7A3CE2"/>
    <w:rsid w:val="5E960581"/>
    <w:rsid w:val="5F355496"/>
    <w:rsid w:val="5F8349F8"/>
    <w:rsid w:val="5F865CD7"/>
    <w:rsid w:val="5FB4440E"/>
    <w:rsid w:val="5FDC4484"/>
    <w:rsid w:val="60BA0556"/>
    <w:rsid w:val="60F61E20"/>
    <w:rsid w:val="6118527D"/>
    <w:rsid w:val="61A7533B"/>
    <w:rsid w:val="61AA37BB"/>
    <w:rsid w:val="621244D5"/>
    <w:rsid w:val="62B2296D"/>
    <w:rsid w:val="62B247EF"/>
    <w:rsid w:val="636147EE"/>
    <w:rsid w:val="63DB6B9E"/>
    <w:rsid w:val="64A86918"/>
    <w:rsid w:val="65B441A4"/>
    <w:rsid w:val="65D8147F"/>
    <w:rsid w:val="66373494"/>
    <w:rsid w:val="66591B82"/>
    <w:rsid w:val="66A2527C"/>
    <w:rsid w:val="66CF4630"/>
    <w:rsid w:val="66E005EB"/>
    <w:rsid w:val="672A46AF"/>
    <w:rsid w:val="68550B65"/>
    <w:rsid w:val="6898637C"/>
    <w:rsid w:val="68B16D7B"/>
    <w:rsid w:val="68BA7003"/>
    <w:rsid w:val="6B121E89"/>
    <w:rsid w:val="6C121EE9"/>
    <w:rsid w:val="6C281E78"/>
    <w:rsid w:val="6C307E68"/>
    <w:rsid w:val="6C920572"/>
    <w:rsid w:val="6CE07597"/>
    <w:rsid w:val="6D373324"/>
    <w:rsid w:val="6D635AD2"/>
    <w:rsid w:val="6DB227E4"/>
    <w:rsid w:val="6DBE1759"/>
    <w:rsid w:val="6DC31ECB"/>
    <w:rsid w:val="6E307289"/>
    <w:rsid w:val="6E656845"/>
    <w:rsid w:val="6F471F5D"/>
    <w:rsid w:val="6F8E74DB"/>
    <w:rsid w:val="6FE04A8C"/>
    <w:rsid w:val="70836CF8"/>
    <w:rsid w:val="70CF07C8"/>
    <w:rsid w:val="710F157A"/>
    <w:rsid w:val="716B11BC"/>
    <w:rsid w:val="71840FD7"/>
    <w:rsid w:val="718C3480"/>
    <w:rsid w:val="721D56A4"/>
    <w:rsid w:val="7225592F"/>
    <w:rsid w:val="72BC4D15"/>
    <w:rsid w:val="72F3401B"/>
    <w:rsid w:val="731416B4"/>
    <w:rsid w:val="73712518"/>
    <w:rsid w:val="738A0204"/>
    <w:rsid w:val="738E7AB2"/>
    <w:rsid w:val="73EF0074"/>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0007"/>
    <w:rsid w:val="78D86E43"/>
    <w:rsid w:val="79566D81"/>
    <w:rsid w:val="79E02BD8"/>
    <w:rsid w:val="7A2B55F9"/>
    <w:rsid w:val="7A3458D0"/>
    <w:rsid w:val="7A4B048B"/>
    <w:rsid w:val="7A7C35B8"/>
    <w:rsid w:val="7A96669D"/>
    <w:rsid w:val="7AC70013"/>
    <w:rsid w:val="7AF85D08"/>
    <w:rsid w:val="7B672810"/>
    <w:rsid w:val="7B681B66"/>
    <w:rsid w:val="7C561F60"/>
    <w:rsid w:val="7C6B2EC5"/>
    <w:rsid w:val="7C831CEC"/>
    <w:rsid w:val="7DD05DCD"/>
    <w:rsid w:val="7DDF7DDD"/>
    <w:rsid w:val="7E262745"/>
    <w:rsid w:val="7E300909"/>
    <w:rsid w:val="7EC84C80"/>
    <w:rsid w:val="7EF434D2"/>
    <w:rsid w:val="7EF55FF4"/>
    <w:rsid w:val="7F0627ED"/>
    <w:rsid w:val="7FA52E31"/>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qFormat="1" w:unhideWhenUsed="0" w:uiPriority="99"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paragraph" w:styleId="5">
    <w:name w:val="heading 3"/>
    <w:next w:val="1"/>
    <w:link w:val="44"/>
    <w:qFormat/>
    <w:uiPriority w:val="0"/>
    <w:pPr>
      <w:keepNext/>
      <w:keepLines/>
      <w:widowControl w:val="0"/>
      <w:adjustRightInd w:val="0"/>
      <w:spacing w:before="40" w:beforeLines="0" w:after="40" w:afterLines="0" w:line="360" w:lineRule="auto"/>
      <w:jc w:val="both"/>
      <w:textAlignment w:val="baseline"/>
      <w:outlineLvl w:val="2"/>
    </w:pPr>
    <w:rPr>
      <w:rFonts w:ascii="宋体" w:hAnsi="宋体" w:eastAsia="宋体" w:cs="Times New Roman"/>
      <w:b/>
      <w:sz w:val="28"/>
      <w:lang w:val="en-US" w:eastAsia="zh-CN" w:bidi="ar-SA"/>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37"/>
    <w:qFormat/>
    <w:uiPriority w:val="0"/>
    <w:rPr>
      <w:rFonts w:hint="eastAsia" w:ascii="宋体" w:hAnsi="Courier New" w:eastAsia="宋体" w:cs="Times New Roman"/>
      <w:szCs w:val="21"/>
    </w:rPr>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toa heading"/>
    <w:next w:val="1"/>
    <w:semiHidden/>
    <w:qFormat/>
    <w:uiPriority w:val="99"/>
    <w:pPr>
      <w:widowControl w:val="0"/>
      <w:spacing w:before="120"/>
      <w:jc w:val="both"/>
    </w:pPr>
    <w:rPr>
      <w:rFonts w:ascii="Cambria" w:hAnsi="Cambria" w:eastAsia="宋体" w:cs="Cambria"/>
      <w:sz w:val="24"/>
      <w:szCs w:val="24"/>
      <w:lang w:val="en-US" w:eastAsia="zh-CN" w:bidi="ar-SA"/>
    </w:rPr>
  </w:style>
  <w:style w:type="paragraph" w:styleId="9">
    <w:name w:val="annotation text"/>
    <w:basedOn w:val="1"/>
    <w:semiHidden/>
    <w:unhideWhenUsed/>
    <w:qFormat/>
    <w:uiPriority w:val="0"/>
    <w:pPr>
      <w:jc w:val="left"/>
    </w:pPr>
  </w:style>
  <w:style w:type="paragraph" w:styleId="10">
    <w:name w:val="Body Text"/>
    <w:basedOn w:val="1"/>
    <w:next w:val="1"/>
    <w:qFormat/>
    <w:uiPriority w:val="0"/>
  </w:style>
  <w:style w:type="paragraph" w:styleId="11">
    <w:name w:val="Balloon Text"/>
    <w:basedOn w:val="1"/>
    <w:link w:val="35"/>
    <w:qFormat/>
    <w:uiPriority w:val="0"/>
    <w:rPr>
      <w:sz w:val="18"/>
      <w:szCs w:val="18"/>
    </w:rPr>
  </w:style>
  <w:style w:type="paragraph" w:styleId="12">
    <w:name w:val="footer"/>
    <w:basedOn w:val="1"/>
    <w:link w:val="34"/>
    <w:qFormat/>
    <w:uiPriority w:val="0"/>
    <w:pPr>
      <w:tabs>
        <w:tab w:val="center" w:pos="4153"/>
        <w:tab w:val="right" w:pos="8306"/>
      </w:tabs>
      <w:snapToGrid w:val="0"/>
      <w:jc w:val="left"/>
    </w:pPr>
    <w:rPr>
      <w:sz w:val="18"/>
      <w:szCs w:val="18"/>
    </w:rPr>
  </w:style>
  <w:style w:type="paragraph" w:styleId="13">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rPr>
      <w:rFonts w:ascii="Times New Roman" w:hAnsi="Times New Roman" w:eastAsia="宋体" w:cs="Times New Roman"/>
      <w:szCs w:val="21"/>
    </w:rPr>
  </w:style>
  <w:style w:type="paragraph" w:styleId="15">
    <w:name w:val="Subtitle"/>
    <w:next w:val="1"/>
    <w:qFormat/>
    <w:uiPriority w:val="0"/>
    <w:pPr>
      <w:widowControl w:val="0"/>
      <w:spacing w:before="240" w:after="60" w:line="312" w:lineRule="auto"/>
      <w:jc w:val="center"/>
      <w:outlineLvl w:val="1"/>
    </w:pPr>
    <w:rPr>
      <w:rFonts w:ascii="Arial" w:hAnsi="Arial" w:eastAsia="宋体" w:cs="Arial"/>
      <w:b/>
      <w:bCs/>
      <w:kern w:val="28"/>
      <w:sz w:val="32"/>
      <w:szCs w:val="32"/>
      <w:lang w:val="en-US" w:eastAsia="zh-CN" w:bidi="ar-SA"/>
    </w:rPr>
  </w:style>
  <w:style w:type="paragraph" w:styleId="16">
    <w:name w:val="Title"/>
    <w:next w:val="1"/>
    <w:qFormat/>
    <w:uiPriority w:val="0"/>
    <w:pPr>
      <w:widowControl w:val="0"/>
      <w:spacing w:before="240" w:beforeLines="0" w:after="60" w:afterLines="0"/>
      <w:jc w:val="left"/>
      <w:outlineLvl w:val="0"/>
    </w:pPr>
    <w:rPr>
      <w:rFonts w:ascii="Cambria" w:hAnsi="Cambria" w:eastAsia="宋体" w:cs="Times New Roman"/>
      <w:b/>
      <w:bCs/>
      <w:kern w:val="2"/>
      <w:sz w:val="30"/>
      <w:szCs w:val="32"/>
      <w:lang w:val="en-US" w:eastAsia="zh-CN" w:bidi="ar-SA"/>
    </w:rPr>
  </w:style>
  <w:style w:type="paragraph" w:styleId="17">
    <w:name w:val="Body Text First Indent"/>
    <w:basedOn w:val="10"/>
    <w:link w:val="38"/>
    <w:qFormat/>
    <w:uiPriority w:val="0"/>
    <w:pPr>
      <w:spacing w:beforeAutospacing="1" w:after="120"/>
      <w:ind w:firstLine="420"/>
    </w:pPr>
    <w:rPr>
      <w:rFonts w:ascii="Times New Roman" w:hAnsi="Times New Roman" w:eastAsia="宋体" w:cs="Times New Roman"/>
      <w:szCs w:val="21"/>
    </w:rPr>
  </w:style>
  <w:style w:type="character" w:styleId="20">
    <w:name w:val="page number"/>
    <w:basedOn w:val="19"/>
    <w:qFormat/>
    <w:uiPriority w:val="0"/>
  </w:style>
  <w:style w:type="character" w:styleId="21">
    <w:name w:val="FollowedHyperlink"/>
    <w:basedOn w:val="19"/>
    <w:qFormat/>
    <w:uiPriority w:val="0"/>
    <w:rPr>
      <w:color w:val="0000FF"/>
      <w:u w:val="single"/>
    </w:rPr>
  </w:style>
  <w:style w:type="character" w:styleId="22">
    <w:name w:val="Hyperlink"/>
    <w:basedOn w:val="19"/>
    <w:qFormat/>
    <w:uiPriority w:val="0"/>
    <w:rPr>
      <w:color w:val="0000FF"/>
      <w:u w:val="single"/>
    </w:rPr>
  </w:style>
  <w:style w:type="paragraph" w:customStyle="1" w:styleId="23">
    <w:name w:val="样式 小四 行距: 1.5 倍行距"/>
    <w:basedOn w:val="1"/>
    <w:qFormat/>
    <w:uiPriority w:val="0"/>
    <w:pPr>
      <w:ind w:firstLine="480"/>
    </w:pPr>
    <w:rPr>
      <w:rFonts w:cs="宋体"/>
    </w:rPr>
  </w:style>
  <w:style w:type="paragraph" w:customStyle="1" w:styleId="24">
    <w:name w:val="表格文字"/>
    <w:basedOn w:val="1"/>
    <w:qFormat/>
    <w:uiPriority w:val="0"/>
    <w:pPr>
      <w:spacing w:before="25" w:after="25"/>
      <w:jc w:val="left"/>
    </w:pPr>
    <w:rPr>
      <w:bCs/>
      <w:spacing w:val="10"/>
      <w:kern w:val="0"/>
      <w:sz w:val="24"/>
    </w:rPr>
  </w:style>
  <w:style w:type="paragraph" w:customStyle="1" w:styleId="25">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6">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7">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8">
    <w:name w:val="列出段落1"/>
    <w:basedOn w:val="1"/>
    <w:qFormat/>
    <w:uiPriority w:val="0"/>
    <w:pPr>
      <w:ind w:firstLine="420" w:firstLineChars="200"/>
    </w:pPr>
    <w:rPr>
      <w:rFonts w:ascii="Calibri" w:hAnsi="Calibri" w:eastAsia="宋体" w:cs="Times New Roman"/>
      <w:szCs w:val="21"/>
    </w:rPr>
  </w:style>
  <w:style w:type="paragraph" w:customStyle="1" w:styleId="29">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30">
    <w:name w:val="10"/>
    <w:basedOn w:val="19"/>
    <w:qFormat/>
    <w:uiPriority w:val="0"/>
    <w:rPr>
      <w:rFonts w:hint="default" w:ascii="Times New Roman" w:hAnsi="Times New Roman" w:cs="Times New Roman"/>
    </w:rPr>
  </w:style>
  <w:style w:type="character" w:customStyle="1" w:styleId="31">
    <w:name w:val="15"/>
    <w:basedOn w:val="19"/>
    <w:qFormat/>
    <w:uiPriority w:val="0"/>
    <w:rPr>
      <w:rFonts w:hint="default" w:ascii="Times New Roman" w:hAnsi="Times New Roman" w:cs="Times New Roman"/>
    </w:rPr>
  </w:style>
  <w:style w:type="character" w:customStyle="1" w:styleId="32">
    <w:name w:val="16"/>
    <w:basedOn w:val="19"/>
    <w:qFormat/>
    <w:uiPriority w:val="0"/>
    <w:rPr>
      <w:rFonts w:hint="default" w:ascii="Times New Roman" w:hAnsi="Times New Roman" w:cs="Times New Roman"/>
      <w:color w:val="0000FF"/>
      <w:u w:val="single"/>
    </w:rPr>
  </w:style>
  <w:style w:type="character" w:customStyle="1" w:styleId="33">
    <w:name w:val="页眉 Char"/>
    <w:basedOn w:val="19"/>
    <w:link w:val="13"/>
    <w:qFormat/>
    <w:uiPriority w:val="0"/>
    <w:rPr>
      <w:rFonts w:asciiTheme="minorHAnsi" w:hAnsiTheme="minorHAnsi" w:eastAsiaTheme="minorEastAsia" w:cstheme="minorBidi"/>
      <w:kern w:val="2"/>
      <w:sz w:val="18"/>
      <w:szCs w:val="18"/>
    </w:rPr>
  </w:style>
  <w:style w:type="character" w:customStyle="1" w:styleId="34">
    <w:name w:val="页脚 Char"/>
    <w:basedOn w:val="19"/>
    <w:link w:val="12"/>
    <w:qFormat/>
    <w:uiPriority w:val="0"/>
    <w:rPr>
      <w:rFonts w:asciiTheme="minorHAnsi" w:hAnsiTheme="minorHAnsi" w:eastAsiaTheme="minorEastAsia" w:cstheme="minorBidi"/>
      <w:kern w:val="2"/>
      <w:sz w:val="18"/>
      <w:szCs w:val="18"/>
    </w:rPr>
  </w:style>
  <w:style w:type="character" w:customStyle="1" w:styleId="35">
    <w:name w:val="批注框文本 Char"/>
    <w:basedOn w:val="19"/>
    <w:link w:val="11"/>
    <w:qFormat/>
    <w:uiPriority w:val="0"/>
    <w:rPr>
      <w:rFonts w:asciiTheme="minorHAnsi" w:hAnsiTheme="minorHAnsi" w:eastAsiaTheme="minorEastAsia" w:cstheme="minorBidi"/>
      <w:kern w:val="2"/>
      <w:sz w:val="18"/>
      <w:szCs w:val="18"/>
    </w:rPr>
  </w:style>
  <w:style w:type="paragraph" w:customStyle="1" w:styleId="36">
    <w:name w:val="WPSOffice手动目录 1"/>
    <w:qFormat/>
    <w:uiPriority w:val="0"/>
    <w:rPr>
      <w:rFonts w:ascii="Times New Roman" w:hAnsi="Times New Roman" w:eastAsia="宋体" w:cs="Times New Roman"/>
      <w:lang w:val="en-US" w:eastAsia="zh-CN" w:bidi="ar-SA"/>
    </w:rPr>
  </w:style>
  <w:style w:type="character" w:customStyle="1" w:styleId="37">
    <w:name w:val="纯文本 Char"/>
    <w:link w:val="2"/>
    <w:qFormat/>
    <w:uiPriority w:val="0"/>
    <w:rPr>
      <w:rFonts w:ascii="宋体" w:hAnsi="Courier New"/>
      <w:kern w:val="2"/>
      <w:sz w:val="21"/>
      <w:szCs w:val="21"/>
    </w:rPr>
  </w:style>
  <w:style w:type="character" w:customStyle="1" w:styleId="38">
    <w:name w:val="正文首行缩进 Char"/>
    <w:basedOn w:val="19"/>
    <w:link w:val="17"/>
    <w:qFormat/>
    <w:uiPriority w:val="0"/>
    <w:rPr>
      <w:kern w:val="2"/>
      <w:sz w:val="21"/>
      <w:szCs w:val="21"/>
    </w:rPr>
  </w:style>
  <w:style w:type="paragraph" w:styleId="39">
    <w:name w:val="List Paragraph"/>
    <w:basedOn w:val="1"/>
    <w:unhideWhenUsed/>
    <w:qFormat/>
    <w:uiPriority w:val="99"/>
    <w:pPr>
      <w:ind w:firstLine="420" w:firstLineChars="200"/>
    </w:pPr>
  </w:style>
  <w:style w:type="paragraph" w:customStyle="1" w:styleId="40">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41">
    <w:name w:val="发文落款"/>
    <w:basedOn w:val="40"/>
    <w:qFormat/>
    <w:uiPriority w:val="0"/>
    <w:pPr>
      <w:ind w:left="4094" w:right="607" w:firstLine="0"/>
      <w:jc w:val="center"/>
    </w:pPr>
  </w:style>
  <w:style w:type="character" w:customStyle="1" w:styleId="42">
    <w:name w:val="c Char1"/>
    <w:link w:val="43"/>
    <w:qFormat/>
    <w:uiPriority w:val="0"/>
    <w:rPr>
      <w:rFonts w:eastAsia="仿宋_GB2312" w:cs="宋体"/>
      <w:sz w:val="28"/>
    </w:rPr>
  </w:style>
  <w:style w:type="paragraph" w:customStyle="1" w:styleId="43">
    <w:name w:val="c"/>
    <w:basedOn w:val="1"/>
    <w:link w:val="42"/>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character" w:customStyle="1" w:styleId="44">
    <w:name w:val="标题 3 Char"/>
    <w:link w:val="5"/>
    <w:qFormat/>
    <w:uiPriority w:val="0"/>
    <w:rPr>
      <w:rFonts w:ascii="宋体" w:hAnsi="宋体"/>
      <w:b/>
      <w:sz w:val="28"/>
      <w:lang w:val="en-US" w:eastAsia="zh-CN" w:bidi="ar-SA"/>
    </w:rPr>
  </w:style>
  <w:style w:type="character" w:customStyle="1" w:styleId="45">
    <w:name w:val="active2"/>
    <w:basedOn w:val="19"/>
    <w:qFormat/>
    <w:uiPriority w:val="0"/>
    <w:rPr>
      <w:color w:val="00FF00"/>
      <w:shd w:val="clear" w:fill="111111"/>
    </w:rPr>
  </w:style>
  <w:style w:type="character" w:customStyle="1" w:styleId="46">
    <w:name w:val="cdropright"/>
    <w:basedOn w:val="19"/>
    <w:qFormat/>
    <w:uiPriority w:val="0"/>
  </w:style>
  <w:style w:type="character" w:customStyle="1" w:styleId="47">
    <w:name w:val="drapbtn"/>
    <w:basedOn w:val="19"/>
    <w:qFormat/>
    <w:uiPriority w:val="0"/>
  </w:style>
  <w:style w:type="character" w:customStyle="1" w:styleId="48">
    <w:name w:val="after"/>
    <w:basedOn w:val="19"/>
    <w:qFormat/>
    <w:uiPriority w:val="0"/>
    <w:rPr>
      <w:sz w:val="0"/>
      <w:szCs w:val="0"/>
    </w:rPr>
  </w:style>
  <w:style w:type="character" w:customStyle="1" w:styleId="49">
    <w:name w:val="pagechatarealistclose_box"/>
    <w:basedOn w:val="19"/>
    <w:qFormat/>
    <w:uiPriority w:val="0"/>
  </w:style>
  <w:style w:type="character" w:customStyle="1" w:styleId="50">
    <w:name w:val="pagechatarealistclose_box1"/>
    <w:basedOn w:val="19"/>
    <w:qFormat/>
    <w:uiPriority w:val="0"/>
  </w:style>
  <w:style w:type="character" w:customStyle="1" w:styleId="51">
    <w:name w:val="hilite5"/>
    <w:basedOn w:val="19"/>
    <w:qFormat/>
    <w:uiPriority w:val="0"/>
    <w:rPr>
      <w:color w:val="FFFFFF"/>
      <w:shd w:val="clear" w:fill="666666"/>
    </w:rPr>
  </w:style>
  <w:style w:type="character" w:customStyle="1" w:styleId="52">
    <w:name w:val="associateddata"/>
    <w:basedOn w:val="19"/>
    <w:qFormat/>
    <w:uiPriority w:val="0"/>
    <w:rPr>
      <w:shd w:val="clear" w:fill="50A6F9"/>
    </w:rPr>
  </w:style>
  <w:style w:type="character" w:customStyle="1" w:styleId="53">
    <w:name w:val="cy"/>
    <w:basedOn w:val="19"/>
    <w:qFormat/>
    <w:uiPriority w:val="0"/>
  </w:style>
  <w:style w:type="character" w:customStyle="1" w:styleId="54">
    <w:name w:val="cdropleft"/>
    <w:basedOn w:val="19"/>
    <w:qFormat/>
    <w:uiPriority w:val="0"/>
  </w:style>
  <w:style w:type="character" w:customStyle="1" w:styleId="55">
    <w:name w:val="ico1654"/>
    <w:basedOn w:val="19"/>
    <w:qFormat/>
    <w:uiPriority w:val="0"/>
  </w:style>
  <w:style w:type="character" w:customStyle="1" w:styleId="56">
    <w:name w:val="ico1655"/>
    <w:basedOn w:val="19"/>
    <w:qFormat/>
    <w:uiPriority w:val="0"/>
  </w:style>
  <w:style w:type="character" w:customStyle="1" w:styleId="57">
    <w:name w:val="layui-layer-tabnow"/>
    <w:basedOn w:val="19"/>
    <w:qFormat/>
    <w:uiPriority w:val="0"/>
    <w:rPr>
      <w:bdr w:val="single" w:color="CCCCCC" w:sz="6" w:space="0"/>
      <w:shd w:val="clear" w:fill="FFFFFF"/>
    </w:rPr>
  </w:style>
  <w:style w:type="character" w:customStyle="1" w:styleId="58">
    <w:name w:val="button4"/>
    <w:basedOn w:val="19"/>
    <w:qFormat/>
    <w:uiPriority w:val="0"/>
  </w:style>
  <w:style w:type="character" w:customStyle="1" w:styleId="59">
    <w:name w:val="w32"/>
    <w:basedOn w:val="19"/>
    <w:qFormat/>
    <w:uiPriority w:val="0"/>
  </w:style>
  <w:style w:type="character" w:customStyle="1" w:styleId="60">
    <w:name w:val="tmpztreemove_arrow"/>
    <w:basedOn w:val="19"/>
    <w:qFormat/>
    <w:uiPriority w:val="0"/>
  </w:style>
  <w:style w:type="character" w:customStyle="1" w:styleId="61">
    <w:name w:val="icontext1"/>
    <w:basedOn w:val="19"/>
    <w:qFormat/>
    <w:uiPriority w:val="0"/>
  </w:style>
  <w:style w:type="character" w:customStyle="1" w:styleId="62">
    <w:name w:val="icontext11"/>
    <w:basedOn w:val="19"/>
    <w:qFormat/>
    <w:uiPriority w:val="0"/>
  </w:style>
  <w:style w:type="character" w:customStyle="1" w:styleId="63">
    <w:name w:val="icontext12"/>
    <w:basedOn w:val="19"/>
    <w:qFormat/>
    <w:uiPriority w:val="0"/>
  </w:style>
  <w:style w:type="character" w:customStyle="1" w:styleId="64">
    <w:name w:val="iconline2"/>
    <w:basedOn w:val="19"/>
    <w:qFormat/>
    <w:uiPriority w:val="0"/>
  </w:style>
  <w:style w:type="character" w:customStyle="1" w:styleId="65">
    <w:name w:val="iconline21"/>
    <w:basedOn w:val="19"/>
    <w:qFormat/>
    <w:uiPriority w:val="0"/>
  </w:style>
  <w:style w:type="character" w:customStyle="1" w:styleId="66">
    <w:name w:val="icontext2"/>
    <w:basedOn w:val="19"/>
    <w:qFormat/>
    <w:uiPriority w:val="0"/>
  </w:style>
  <w:style w:type="character" w:customStyle="1" w:styleId="67">
    <w:name w:val="icontext3"/>
    <w:basedOn w:val="19"/>
    <w:qFormat/>
    <w:uiPriority w:val="0"/>
  </w:style>
  <w:style w:type="character" w:customStyle="1" w:styleId="68">
    <w:name w:val="first-child"/>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5" Type="http://schemas.openxmlformats.org/officeDocument/2006/relationships/image" Target="media/image8.png"/><Relationship Id="rId14"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14980</Words>
  <Characters>15844</Characters>
  <Lines>131</Lines>
  <Paragraphs>37</Paragraphs>
  <TotalTime>5</TotalTime>
  <ScaleCrop>false</ScaleCrop>
  <LinksUpToDate>false</LinksUpToDate>
  <CharactersWithSpaces>16919</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2021-10-27T11:28:00Z</dcterms:created>
  <dc:creator>cf</dc:creator>
  <cp:lastModifiedBy>作者</cp:lastModifiedBy>
  <cp:lastPrinted>2024-04-08T03:27:58Z</cp:lastPrinted>
  <dcterms:modified xsi:type="dcterms:W3CDTF">2024-04-08T03:37:26Z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EE16ADABF779438897F97A1940B23AD2_13</vt:lpwstr>
  </property>
  <property fmtid="{D5CDD505-2E9C-101B-9397-08002B2CF9AE}" pid="4" name="CRO">
    <vt:lpwstr>wqlLaW5nc29mdCBQREYgdG8gV1BTIDgw</vt:lpwstr>
  </property>
  <property fmtid="{D5CDD505-2E9C-101B-9397-08002B2CF9AE}" pid="5" name="Created">
    <vt:filetime>2023-06-26T10:53:24Z</vt:filetime>
  </property>
  <property fmtid="{D5CDD505-2E9C-101B-9397-08002B2CF9AE}" pid="6" name="UsrData">
    <vt:lpwstr>6498fd9a7ac359001fd9ca81</vt:lpwstr>
  </property>
</Properties>
</file>