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 xml:space="preserve">        </w:t>
      </w:r>
    </w:p>
    <w:p>
      <w:pPr>
        <w:jc w:val="center"/>
        <w:rPr>
          <w:rFonts w:ascii="宋体" w:hAnsi="宋体" w:eastAsia="宋体" w:cs="宋体"/>
          <w:color w:val="auto"/>
          <w:sz w:val="72"/>
          <w:szCs w:val="72"/>
          <w:highlight w:val="none"/>
        </w:rPr>
      </w:pPr>
      <w:r>
        <w:rPr>
          <w:rFonts w:hint="eastAsia" w:ascii="宋体" w:hAnsi="宋体" w:eastAsia="黑体"/>
          <w:color w:val="auto"/>
          <w:sz w:val="48"/>
          <w:szCs w:val="48"/>
          <w:highlight w:val="none"/>
          <w:lang w:eastAsia="zh-CN"/>
        </w:rPr>
        <w:t>南伟码头结构检测评估项目</w:t>
      </w: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p>
    <w:p>
      <w:pPr>
        <w:spacing w:line="520" w:lineRule="exact"/>
        <w:ind w:right="-101" w:rightChars="-48" w:firstLine="0" w:firstLineChars="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广州南沙港口开发有限公司</w:t>
      </w:r>
    </w:p>
    <w:p>
      <w:pPr>
        <w:pStyle w:val="2"/>
        <w:rPr>
          <w:rFonts w:hint="default"/>
          <w:lang w:val="en-US" w:eastAsia="zh-CN"/>
        </w:rPr>
      </w:pPr>
      <w:r>
        <w:rPr>
          <w:rFonts w:hint="default"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val="en-US" w:eastAsia="zh-CN"/>
        </w:rPr>
        <w:t>招标编号：</w:t>
      </w:r>
      <w:r>
        <w:rPr>
          <w:rFonts w:hint="default" w:ascii="宋体" w:hAnsi="宋体" w:eastAsia="宋体" w:cs="宋体"/>
          <w:b/>
          <w:color w:val="auto"/>
          <w:sz w:val="32"/>
          <w:szCs w:val="32"/>
          <w:highlight w:val="none"/>
          <w:lang w:val="en-US" w:eastAsia="zh-CN"/>
        </w:rPr>
        <w:t>GK-ZH-2024042501</w:t>
      </w:r>
    </w:p>
    <w:p>
      <w:pPr>
        <w:spacing w:line="520" w:lineRule="exact"/>
        <w:ind w:right="-101" w:rightChars="-48" w:firstLine="0" w:firstLineChars="0"/>
        <w:jc w:val="center"/>
        <w:rPr>
          <w:rFonts w:ascii="宋体" w:hAnsi="宋体" w:eastAsia="宋体" w:cs="宋体"/>
          <w:color w:val="auto"/>
          <w:spacing w:val="28"/>
          <w:position w:val="8"/>
          <w:sz w:val="28"/>
          <w:szCs w:val="28"/>
          <w:highlight w:val="none"/>
        </w:rPr>
      </w:pPr>
      <w:bookmarkStart w:id="0" w:name="OLE_LINK4"/>
      <w:bookmarkEnd w:id="0"/>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lang w:eastAsia="zh-CN"/>
        </w:rPr>
        <w:t>20</w:t>
      </w:r>
      <w:r>
        <w:rPr>
          <w:rFonts w:hint="default" w:ascii="宋体" w:hAnsi="宋体" w:eastAsia="宋体" w:cs="宋体"/>
          <w:b/>
          <w:color w:val="auto"/>
          <w:sz w:val="32"/>
          <w:szCs w:val="32"/>
          <w:highlight w:val="none"/>
          <w:lang w:val="en-US" w:eastAsia="zh-CN"/>
        </w:rPr>
        <w:t>24</w:t>
      </w:r>
      <w:r>
        <w:rPr>
          <w:rFonts w:hint="eastAsia" w:ascii="宋体" w:hAnsi="宋体" w:eastAsia="宋体" w:cs="宋体"/>
          <w:b/>
          <w:color w:val="auto"/>
          <w:sz w:val="32"/>
          <w:szCs w:val="32"/>
          <w:highlight w:val="none"/>
          <w:lang w:eastAsia="zh-CN"/>
        </w:rPr>
        <w:t>年</w:t>
      </w:r>
      <w:r>
        <w:rPr>
          <w:rFonts w:hint="default"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lang w:val="en-US" w:eastAsia="zh-CN"/>
        </w:rPr>
        <w:t>月</w:t>
      </w:r>
    </w:p>
    <w:p>
      <w:pPr>
        <w:rPr>
          <w:rFonts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ascii="黑体" w:hAnsi="宋体" w:eastAsia="黑体" w:cs="黑体"/>
          <w:color w:val="auto"/>
          <w:sz w:val="36"/>
          <w:szCs w:val="36"/>
          <w:highlight w:val="none"/>
        </w:rPr>
      </w:pPr>
    </w:p>
    <w:bookmarkEnd w:id="1"/>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spacing w:line="360" w:lineRule="auto"/>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2"/>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"_Toc17710" </w:instrText>
          </w:r>
          <w:r>
            <w:rPr>
              <w:color w:val="auto"/>
              <w:highlight w:val="none"/>
            </w:rPr>
            <w:fldChar w:fldCharType="separate"/>
          </w:r>
          <w:r>
            <w:rPr>
              <w:rFonts w:hint="eastAsia" w:ascii="黑体" w:hAnsi="宋体" w:cs="黑体"/>
              <w:color w:val="auto"/>
              <w:kern w:val="44"/>
              <w:sz w:val="32"/>
              <w:szCs w:val="32"/>
              <w:highlight w:val="none"/>
            </w:rPr>
            <w:t>第1章 投标须知及前附表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_Toc17710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"_Toc32057" </w:instrText>
          </w:r>
          <w:r>
            <w:rPr>
              <w:color w:val="auto"/>
              <w:highlight w:val="none"/>
            </w:rPr>
            <w:fldChar w:fldCharType="separate"/>
          </w:r>
          <w:r>
            <w:rPr>
              <w:rFonts w:hint="eastAsia" w:ascii="黑体" w:hAnsi="宋体" w:cs="黑体"/>
              <w:color w:val="auto"/>
              <w:kern w:val="44"/>
              <w:sz w:val="32"/>
              <w:szCs w:val="32"/>
              <w:highlight w:val="none"/>
            </w:rPr>
            <w:t>第2章  投标格式文件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_Toc32057 \h </w:instrText>
          </w:r>
          <w:r>
            <w:rPr>
              <w:color w:val="auto"/>
              <w:sz w:val="32"/>
              <w:szCs w:val="32"/>
              <w:highlight w:val="none"/>
            </w:rPr>
            <w:fldChar w:fldCharType="separate"/>
          </w:r>
          <w:r>
            <w:rPr>
              <w:color w:val="auto"/>
              <w:sz w:val="32"/>
              <w:szCs w:val="32"/>
              <w:highlight w:val="none"/>
            </w:rPr>
            <w:t>15</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"_Toc1265" </w:instrText>
          </w:r>
          <w:r>
            <w:rPr>
              <w:color w:val="auto"/>
              <w:highlight w:val="none"/>
            </w:rPr>
            <w:fldChar w:fldCharType="separate"/>
          </w:r>
          <w:r>
            <w:rPr>
              <w:rFonts w:hint="eastAsia" w:ascii="黑体" w:hAnsi="宋体" w:cs="黑体"/>
              <w:color w:val="auto"/>
              <w:kern w:val="44"/>
              <w:sz w:val="32"/>
              <w:szCs w:val="32"/>
              <w:highlight w:val="none"/>
            </w:rPr>
            <w:t>第3章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_Toc1265 \h </w:instrText>
          </w:r>
          <w:r>
            <w:rPr>
              <w:color w:val="auto"/>
              <w:sz w:val="32"/>
              <w:szCs w:val="32"/>
              <w:highlight w:val="none"/>
            </w:rPr>
            <w:fldChar w:fldCharType="separate"/>
          </w:r>
          <w:r>
            <w:rPr>
              <w:color w:val="auto"/>
              <w:sz w:val="32"/>
              <w:szCs w:val="32"/>
              <w:highlight w:val="none"/>
            </w:rPr>
            <w:t>24</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"_Toc14580" </w:instrText>
          </w:r>
          <w:r>
            <w:rPr>
              <w:color w:val="auto"/>
              <w:highlight w:val="none"/>
            </w:rPr>
            <w:fldChar w:fldCharType="separate"/>
          </w:r>
          <w:r>
            <w:rPr>
              <w:rFonts w:hint="eastAsia" w:ascii="仿宋" w:hAnsi="仿宋" w:eastAsia="仿宋" w:cs="仿宋"/>
              <w:color w:val="auto"/>
              <w:sz w:val="32"/>
              <w:szCs w:val="32"/>
              <w:highlight w:val="none"/>
            </w:rPr>
            <w:t>附件1：符合性审查表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_Toc14580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附件2综合评分表（100分）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color w:val="auto"/>
              <w:sz w:val="32"/>
              <w:szCs w:val="32"/>
              <w:highlight w:val="none"/>
            </w:rPr>
            <w:fldChar w:fldCharType="end"/>
          </w:r>
        </w:p>
        <w:p>
          <w:pPr>
            <w:spacing w:line="360" w:lineRule="auto"/>
            <w:rPr>
              <w:rFonts w:hint="eastAsia" w:asciiTheme="minorEastAsia" w:hAnsiTheme="minorEastAsia" w:cstheme="minorEastAsia"/>
              <w:color w:val="auto"/>
              <w:sz w:val="32"/>
              <w:szCs w:val="32"/>
              <w:highlight w:val="none"/>
              <w:lang w:eastAsia="zh-CN"/>
            </w:rPr>
          </w:pPr>
          <w:r>
            <w:rPr>
              <w:rFonts w:hint="eastAsia" w:asciiTheme="minorEastAsia" w:hAnsiTheme="minorEastAsia" w:cstheme="minorEastAsia"/>
              <w:color w:val="auto"/>
              <w:sz w:val="32"/>
              <w:szCs w:val="32"/>
              <w:highlight w:val="none"/>
            </w:rPr>
            <w:fldChar w:fldCharType="end"/>
          </w: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结构检测技术要求</w:t>
          </w:r>
          <w:r>
            <w:rPr>
              <w:rFonts w:hint="eastAsia" w:ascii="仿宋" w:hAnsi="仿宋" w:eastAsia="仿宋" w:cs="仿宋"/>
              <w:color w:val="auto"/>
              <w:sz w:val="32"/>
              <w:szCs w:val="32"/>
              <w:highlight w:val="none"/>
              <w:lang w:val="en-US" w:eastAsia="zh-CN"/>
            </w:rPr>
            <w:t>..................................36</w:t>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p>
        <w:p>
          <w:pPr>
            <w:spacing w:line="360" w:lineRule="auto"/>
            <w:rPr>
              <w:color w:val="auto"/>
              <w:highlight w:val="none"/>
            </w:rPr>
          </w:pPr>
        </w:p>
      </w:sdtContent>
    </w:sdt>
    <w:p>
      <w:pPr>
        <w:pStyle w:val="13"/>
        <w:widowControl/>
        <w:spacing w:after="0" w:line="360" w:lineRule="auto"/>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7710"/>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4"/>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60" w:lineRule="auto"/>
              <w:ind w:firstLine="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南伟码头结构检测评估项目</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eastAsia="zh-CN"/>
              </w:rPr>
              <w:t>检测</w:t>
            </w:r>
            <w:r>
              <w:rPr>
                <w:rFonts w:hint="eastAsia" w:ascii="宋体" w:hAnsi="宋体" w:eastAsia="宋体" w:cs="宋体"/>
                <w:color w:val="auto"/>
                <w:highlight w:val="none"/>
              </w:rPr>
              <w:t>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tabs>
                <w:tab w:val="center" w:pos="3038"/>
              </w:tabs>
              <w:spacing w:after="0" w:line="360" w:lineRule="auto"/>
              <w:ind w:firstLine="0"/>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u w:val="none"/>
                <w:lang w:eastAsia="zh-CN"/>
              </w:rPr>
              <w:t>广州市南沙区港前路</w:t>
            </w:r>
            <w:r>
              <w:rPr>
                <w:rFonts w:hint="default" w:ascii="宋体" w:hAnsi="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号（南伟码头）</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eastAsia="zh-CN"/>
              </w:rPr>
              <w:t>检测</w:t>
            </w:r>
            <w:r>
              <w:rPr>
                <w:rFonts w:hint="eastAsia" w:ascii="宋体" w:hAnsi="宋体" w:eastAsia="宋体" w:cs="宋体"/>
                <w:color w:val="auto"/>
                <w:highlight w:val="none"/>
              </w:rPr>
              <w:t>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beforeLines="0" w:afterLines="0"/>
              <w:jc w:val="left"/>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u w:val="none"/>
                <w:lang w:val="en-US" w:eastAsia="zh-CN" w:bidi="ar-SA"/>
              </w:rPr>
              <w:t>本项目南伟码头地处珠江河口，位于南沙港客运码头及虎门渡轮码头之间。工程于1995 年建设完成，原码头设计由万吨级件杂货泊位及2.5 万吨级集装箱泊位组成，主体码头全长425m，为重力式扶壁结构。</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60" w:lineRule="auto"/>
              <w:ind w:firstLine="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不超</w:t>
            </w:r>
            <w:r>
              <w:rPr>
                <w:rFonts w:hint="default" w:ascii="宋体" w:hAnsi="宋体" w:cs="宋体"/>
                <w:color w:val="auto"/>
                <w:highlight w:val="none"/>
                <w:lang w:val="en-US" w:eastAsia="zh-CN"/>
              </w:rPr>
              <w:t>28</w:t>
            </w:r>
            <w:r>
              <w:rPr>
                <w:rFonts w:hint="eastAsia" w:ascii="宋体" w:hAnsi="宋体" w:cs="宋体"/>
                <w:color w:val="auto"/>
                <w:highlight w:val="none"/>
                <w:lang w:val="en-US" w:eastAsia="zh-CN"/>
              </w:rPr>
              <w:t>万</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8"/>
              <w:widowControl/>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szCs w:val="21"/>
                <w:highlight w:val="none"/>
              </w:rPr>
              <w:t>详见</w:t>
            </w:r>
            <w:r>
              <w:rPr>
                <w:rFonts w:hint="eastAsia" w:hAnsi="宋体"/>
                <w:szCs w:val="21"/>
                <w:highlight w:val="none"/>
                <w:lang w:eastAsia="zh-CN"/>
              </w:rPr>
              <w:t>附件</w:t>
            </w:r>
            <w:r>
              <w:rPr>
                <w:rFonts w:hint="default" w:hAnsi="宋体"/>
                <w:szCs w:val="21"/>
                <w:highlight w:val="none"/>
                <w:lang w:val="en-US" w:eastAsia="zh-CN"/>
              </w:rPr>
              <w:t>3</w:t>
            </w:r>
            <w:r>
              <w:rPr>
                <w:rFonts w:hint="eastAsia" w:hAnsi="宋体"/>
                <w:szCs w:val="21"/>
                <w:highlight w:val="none"/>
                <w:lang w:val="en-US" w:eastAsia="zh-CN"/>
              </w:rPr>
              <w:t>《南伟码头结构检测技术要求》</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发出中标通知书之日起</w:t>
            </w:r>
            <w:r>
              <w:rPr>
                <w:rFonts w:hint="eastAsia" w:ascii="宋体" w:hAnsi="宋体" w:eastAsia="宋体" w:cs="宋体"/>
                <w:bCs w:val="0"/>
                <w:color w:val="auto"/>
                <w:sz w:val="21"/>
                <w:szCs w:val="21"/>
                <w:highlight w:val="none"/>
                <w:lang w:eastAsia="zh-CN"/>
              </w:rPr>
              <w:t>至</w:t>
            </w:r>
            <w:r>
              <w:rPr>
                <w:rFonts w:hint="eastAsia" w:ascii="宋体" w:hAnsi="宋体" w:eastAsia="宋体" w:cs="宋体"/>
                <w:bCs w:val="0"/>
                <w:color w:val="auto"/>
                <w:sz w:val="21"/>
                <w:szCs w:val="21"/>
                <w:highlight w:val="none"/>
              </w:rPr>
              <w:t>中标单位进场完成所有检测项目且技术成果通过审批，并提交有效的检测报告。检测工作进度必须满足现场施工和</w:t>
            </w:r>
            <w:r>
              <w:rPr>
                <w:rFonts w:hint="eastAsia" w:ascii="宋体" w:hAnsi="宋体" w:eastAsia="宋体" w:cs="宋体"/>
                <w:bCs w:val="0"/>
                <w:color w:val="auto"/>
                <w:sz w:val="21"/>
                <w:szCs w:val="21"/>
                <w:highlight w:val="none"/>
                <w:lang w:eastAsia="zh-CN"/>
              </w:rPr>
              <w:t>招标人</w:t>
            </w:r>
            <w:r>
              <w:rPr>
                <w:rFonts w:hint="eastAsia" w:ascii="宋体" w:hAnsi="宋体" w:eastAsia="宋体" w:cs="宋体"/>
                <w:bCs w:val="0"/>
                <w:color w:val="auto"/>
                <w:sz w:val="21"/>
                <w:szCs w:val="21"/>
                <w:highlight w:val="none"/>
              </w:rPr>
              <w:t>的要求</w:t>
            </w:r>
            <w:r>
              <w:rPr>
                <w:rFonts w:hint="eastAsia" w:ascii="宋体" w:hAnsi="宋体" w:eastAsia="宋体" w:cs="宋体"/>
                <w:bCs w:val="0"/>
                <w:color w:val="auto"/>
                <w:sz w:val="21"/>
                <w:szCs w:val="21"/>
                <w:highlight w:val="none"/>
                <w:lang w:eastAsia="zh-CN"/>
              </w:rPr>
              <w:t>。</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0"/>
                <w:numId w:val="0"/>
              </w:numPr>
              <w:spacing w:line="360" w:lineRule="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投标人须具有水运工程材料甲级及水运工程结构（地基）甲级试验检测机构等级证书；</w:t>
            </w:r>
          </w:p>
          <w:p>
            <w:pPr>
              <w:numPr>
                <w:ilvl w:val="0"/>
                <w:numId w:val="0"/>
              </w:numPr>
              <w:spacing w:line="360" w:lineRule="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具有合法经营资质及独立法人资格的企业；</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3、2021年至今具有2项码头检测评估业绩；</w:t>
            </w:r>
          </w:p>
          <w:p>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eastAsia="zh-CN"/>
              </w:rPr>
              <w:t>供不得</w:t>
            </w:r>
            <w:r>
              <w:rPr>
                <w:rFonts w:hint="eastAsia" w:ascii="宋体" w:hAnsi="宋体" w:eastAsia="宋体" w:cs="宋体"/>
                <w:color w:val="auto"/>
                <w:sz w:val="21"/>
                <w:szCs w:val="21"/>
                <w:highlight w:val="none"/>
                <w:lang w:val="en-US" w:eastAsia="zh-CN"/>
              </w:rPr>
              <w:t>存在以下</w:t>
            </w:r>
            <w:r>
              <w:rPr>
                <w:rFonts w:hint="eastAsia" w:ascii="宋体" w:hAnsi="宋体" w:eastAsia="宋体" w:cs="宋体"/>
                <w:color w:val="auto"/>
                <w:sz w:val="21"/>
                <w:szCs w:val="21"/>
                <w:highlight w:val="none"/>
                <w:lang w:eastAsia="zh-CN"/>
              </w:rPr>
              <w:t>情形。</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（1）参加采购活动前3年内（2021年05月至2024年</w:t>
            </w:r>
            <w:r>
              <w:rPr>
                <w:rFonts w:hint="default"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月），在经营活动中没有重大违法记录。</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（2）近三年内（2021年04月至2024年03月）投标人及其法定代表人（单位负责人）无行贿犯罪行为。</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（3）未被列入严重违法失信企业名单，未被列入失信被执行人名单。</w:t>
            </w:r>
          </w:p>
          <w:p>
            <w:pPr>
              <w:numPr>
                <w:ilvl w:val="0"/>
                <w:numId w:val="0"/>
              </w:numPr>
              <w:spacing w:line="360" w:lineRule="auto"/>
              <w:rPr>
                <w:rFonts w:hint="eastAsia"/>
              </w:rPr>
            </w:pPr>
            <w:r>
              <w:rPr>
                <w:rFonts w:hint="eastAsia" w:ascii="宋体" w:hAnsi="宋体" w:eastAsia="宋体" w:cs="宋体"/>
                <w:color w:val="auto"/>
                <w:sz w:val="21"/>
                <w:szCs w:val="21"/>
                <w:highlight w:val="none"/>
                <w:lang w:val="en-US" w:eastAsia="zh-CN"/>
              </w:rPr>
              <w:t>（4）本次采购不接受联合体投标。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3"/>
              <w:widowControl/>
              <w:spacing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contextualSpacing w:val="0"/>
              <w:rPr>
                <w:rFonts w:hint="eastAsia" w:ascii="宋体" w:hAnsi="宋体" w:eastAsia="宋体" w:cs="宋体"/>
                <w:szCs w:val="21"/>
                <w:highlight w:val="none"/>
              </w:rPr>
            </w:pPr>
            <w:r>
              <w:rPr>
                <w:rFonts w:hint="eastAsia" w:ascii="宋体" w:hAnsi="宋体" w:eastAsia="宋体" w:cs="宋体"/>
                <w:szCs w:val="21"/>
                <w:highlight w:val="none"/>
              </w:rPr>
              <w:t>投标人拟担任本工程项目负责人须具有：</w:t>
            </w:r>
            <w:r>
              <w:rPr>
                <w:rFonts w:hint="eastAsia" w:ascii="宋体" w:hAnsi="宋体" w:eastAsia="宋体" w:cs="宋体"/>
                <w:szCs w:val="21"/>
                <w:highlight w:val="none"/>
                <w:lang w:val="en-US" w:eastAsia="zh-CN"/>
              </w:rPr>
              <w:t>工程序列高级工程师职称及水运工程试验检测师职业资格证书</w:t>
            </w:r>
            <w:r>
              <w:rPr>
                <w:rFonts w:hint="eastAsia" w:ascii="宋体" w:hAnsi="宋体" w:eastAsia="宋体" w:cs="宋体"/>
                <w:szCs w:val="21"/>
                <w:highlight w:val="none"/>
              </w:rPr>
              <w:t>。</w:t>
            </w:r>
          </w:p>
          <w:p>
            <w:pPr>
              <w:widowControl/>
              <w:spacing w:line="360" w:lineRule="auto"/>
              <w:ind w:firstLine="0"/>
              <w:rPr>
                <w:rFonts w:hint="eastAsia" w:ascii="宋体" w:hAnsi="宋体" w:eastAsia="宋体" w:cs="宋体"/>
                <w:szCs w:val="21"/>
                <w:lang w:val="en-US" w:eastAsia="zh-CN"/>
              </w:rPr>
            </w:pPr>
            <w:r>
              <w:rPr>
                <w:rFonts w:hint="eastAsia" w:ascii="宋体" w:hAnsi="宋体" w:eastAsia="宋体" w:cs="宋体"/>
                <w:color w:val="auto"/>
                <w:sz w:val="21"/>
                <w:szCs w:val="21"/>
                <w:highlight w:val="none"/>
              </w:rPr>
              <w:t>投标人拟担任</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负责人须具有：</w:t>
            </w:r>
            <w:r>
              <w:rPr>
                <w:rFonts w:hint="eastAsia" w:ascii="宋体" w:hAnsi="宋体" w:eastAsia="宋体" w:cs="宋体"/>
                <w:szCs w:val="21"/>
                <w:highlight w:val="none"/>
                <w:lang w:val="en-US" w:eastAsia="zh-CN"/>
              </w:rPr>
              <w:t>工程序列高级工程师职称及水运工程试验检测师职业资格证书</w:t>
            </w:r>
            <w:r>
              <w:rPr>
                <w:rFonts w:hint="eastAsia" w:ascii="宋体" w:hAnsi="宋体" w:eastAsia="宋体" w:cs="宋体"/>
                <w:color w:val="auto"/>
                <w:sz w:val="21"/>
                <w:szCs w:val="21"/>
                <w:highlight w:val="none"/>
                <w:u w:val="none"/>
                <w:lang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left="-59" w:leftChars="-28"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59"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59" w:leftChars="-28" w:right="-44" w:rightChars="-21"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1、本项目最高限价</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val="en-US" w:eastAsia="zh-CN"/>
              </w:rPr>
              <w:t>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2、报价应为完成采购文件“</w:t>
            </w:r>
            <w:r>
              <w:rPr>
                <w:rFonts w:hint="eastAsia" w:hAnsi="宋体"/>
                <w:szCs w:val="21"/>
                <w:highlight w:val="none"/>
                <w:lang w:eastAsia="zh-CN"/>
              </w:rPr>
              <w:t>附件</w:t>
            </w:r>
            <w:r>
              <w:rPr>
                <w:rFonts w:hint="default" w:hAnsi="宋体"/>
                <w:szCs w:val="21"/>
                <w:highlight w:val="none"/>
                <w:lang w:val="en-US" w:eastAsia="zh-CN"/>
              </w:rPr>
              <w:t>3</w:t>
            </w:r>
            <w:r>
              <w:rPr>
                <w:rFonts w:hint="eastAsia" w:hAnsi="宋体"/>
                <w:szCs w:val="21"/>
                <w:highlight w:val="none"/>
                <w:lang w:val="en-US" w:eastAsia="zh-CN"/>
              </w:rPr>
              <w:t>南伟码头结构检测技术要求</w:t>
            </w:r>
            <w:r>
              <w:rPr>
                <w:rFonts w:hint="eastAsia" w:ascii="宋体" w:hAnsi="宋体" w:eastAsia="宋体" w:cs="宋体"/>
                <w:color w:val="auto"/>
                <w:szCs w:val="21"/>
                <w:highlight w:val="none"/>
              </w:rPr>
              <w:t>”规定的所有内容，包括但不限于规费、税金6%，响应人不得拒绝采购人为完成采购需求可能额外增加的内容。</w:t>
            </w:r>
          </w:p>
          <w:p>
            <w:pPr>
              <w:spacing w:line="360" w:lineRule="auto"/>
              <w:rPr>
                <w:rFonts w:hint="eastAsia" w:ascii="宋体" w:hAnsi="宋体" w:eastAsia="宋体" w:cs="宋体"/>
                <w:color w:val="auto"/>
                <w:kern w:val="2"/>
                <w:sz w:val="21"/>
                <w:szCs w:val="21"/>
                <w:highlight w:val="none"/>
              </w:rPr>
            </w:pP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以固定总价形式报价，除合同另有约定外结算时不随物价水平以及政策变化等因素的变化而调整。</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255"/>
                <w:numId w:val="0"/>
              </w:num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1、金额：人民币</w:t>
            </w:r>
            <w:r>
              <w:rPr>
                <w:rFonts w:hint="eastAsia" w:ascii="宋体" w:hAnsi="宋体" w:eastAsia="宋体" w:cs="宋体"/>
                <w:color w:val="auto"/>
                <w:szCs w:val="21"/>
                <w:highlight w:val="none"/>
                <w:u w:val="none"/>
                <w:lang w:eastAsia="zh-CN"/>
              </w:rPr>
              <w:t>贰仟</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p>
            <w:pPr>
              <w:numPr>
                <w:ilvl w:val="255"/>
                <w:numId w:val="0"/>
              </w:num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2、缴纳方式：银行转账</w:t>
            </w:r>
            <w:r>
              <w:rPr>
                <w:rFonts w:hint="eastAsia" w:ascii="宋体" w:hAnsi="宋体" w:eastAsia="宋体" w:cs="宋体"/>
                <w:color w:val="auto"/>
                <w:szCs w:val="21"/>
                <w:highlight w:val="none"/>
                <w:lang w:eastAsia="zh-CN"/>
              </w:rPr>
              <w:t>。</w:t>
            </w:r>
          </w:p>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r>
              <w:rPr>
                <w:rFonts w:hint="eastAsia" w:ascii="宋体" w:hAnsi="宋体" w:eastAsia="宋体" w:cs="宋体"/>
                <w:color w:val="auto"/>
                <w:szCs w:val="21"/>
                <w:highlight w:val="none"/>
                <w:lang w:val="en-US" w:eastAsia="zh-CN"/>
              </w:rPr>
              <w:t>广州南沙港口开发有限公司</w:t>
            </w:r>
          </w:p>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val="en-US" w:eastAsia="zh-CN"/>
              </w:rPr>
              <w:t>工商银行广东自由贸易试验区南沙分行</w:t>
            </w:r>
            <w:r>
              <w:rPr>
                <w:rFonts w:hint="eastAsia" w:ascii="宋体" w:hAnsi="宋体" w:eastAsia="宋体" w:cs="宋体"/>
                <w:color w:val="auto"/>
                <w:szCs w:val="21"/>
                <w:highlight w:val="none"/>
              </w:rPr>
              <w:t xml:space="preserve"> </w:t>
            </w:r>
          </w:p>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lang w:val="en-US" w:eastAsia="zh-CN"/>
              </w:rPr>
              <w:t>3602056909000267409</w:t>
            </w:r>
          </w:p>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缴纳时间：投标单位须在202</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月</w:t>
            </w:r>
            <w:r>
              <w:rPr>
                <w:rFonts w:hint="default"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日（星期</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none"/>
              </w:rPr>
              <w:t>前</w:t>
            </w:r>
            <w:r>
              <w:rPr>
                <w:rFonts w:hint="eastAsia" w:ascii="宋体" w:hAnsi="宋体" w:eastAsia="宋体" w:cs="宋体"/>
                <w:color w:val="auto"/>
                <w:szCs w:val="21"/>
                <w:highlight w:val="none"/>
              </w:rPr>
              <w:t>以投标人转出【以招标单位查询的信息为准，汇款时备注：</w:t>
            </w:r>
            <w:r>
              <w:rPr>
                <w:rFonts w:hint="eastAsia" w:ascii="宋体" w:hAnsi="宋体" w:cs="宋体"/>
                <w:color w:val="auto"/>
                <w:highlight w:val="none"/>
                <w:lang w:eastAsia="zh-CN"/>
              </w:rPr>
              <w:t>南伟码头结构检测评估项目</w:t>
            </w:r>
            <w:r>
              <w:rPr>
                <w:rFonts w:hint="eastAsia" w:ascii="宋体" w:hAnsi="宋体" w:eastAsia="宋体" w:cs="宋体"/>
                <w:color w:val="auto"/>
                <w:szCs w:val="21"/>
                <w:highlight w:val="none"/>
              </w:rPr>
              <w:t>投标保证金】</w:t>
            </w:r>
          </w:p>
          <w:p>
            <w:pPr>
              <w:pStyle w:val="13"/>
              <w:widowControl/>
              <w:spacing w:beforeAutospacing="0"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4、未按规定缴纳投标保证金的正式投标人将被视为自动放弃本工程的投标资格。</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46" w:leftChars="-22"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投标文件：1份正本，4份副本。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收件人：李工</w:t>
            </w:r>
          </w:p>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提交地点：</w:t>
            </w:r>
            <w:r>
              <w:rPr>
                <w:rFonts w:hint="eastAsia" w:ascii="宋体" w:hAnsi="宋体" w:eastAsia="宋体" w:cs="宋体"/>
                <w:color w:val="auto"/>
                <w:szCs w:val="21"/>
                <w:highlight w:val="none"/>
                <w:lang w:eastAsia="zh-CN"/>
              </w:rPr>
              <w:t>广州市南沙区港前大道</w:t>
            </w:r>
            <w:r>
              <w:rPr>
                <w:rFonts w:hint="default"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eastAsia="zh-CN"/>
              </w:rPr>
              <w:t>号（南伟码头）侯工楼三楼会议室</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投标时间：20</w:t>
            </w:r>
            <w:r>
              <w:rPr>
                <w:rFonts w:hint="default" w:ascii="宋体" w:hAnsi="宋体" w:eastAsia="宋体" w:cs="宋体"/>
                <w:color w:val="auto"/>
                <w:szCs w:val="21"/>
                <w:highlight w:val="none"/>
                <w:lang w:val="en-US"/>
              </w:rPr>
              <w:t>24</w:t>
            </w:r>
            <w:r>
              <w:rPr>
                <w:rFonts w:hint="eastAsia" w:ascii="宋体" w:hAnsi="宋体" w:eastAsia="宋体" w:cs="宋体"/>
                <w:color w:val="auto"/>
                <w:szCs w:val="21"/>
                <w:highlight w:val="none"/>
              </w:rPr>
              <w:t>年</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月</w:t>
            </w: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日至20</w:t>
            </w:r>
            <w:r>
              <w:rPr>
                <w:rFonts w:hint="default" w:ascii="宋体" w:hAnsi="宋体" w:eastAsia="宋体" w:cs="宋体"/>
                <w:color w:val="auto"/>
                <w:szCs w:val="21"/>
                <w:highlight w:val="none"/>
                <w:lang w:val="en-US"/>
              </w:rPr>
              <w:t>24</w:t>
            </w:r>
            <w:r>
              <w:rPr>
                <w:rFonts w:hint="eastAsia" w:ascii="宋体" w:hAnsi="宋体" w:eastAsia="宋体" w:cs="宋体"/>
                <w:color w:val="auto"/>
                <w:szCs w:val="21"/>
                <w:highlight w:val="none"/>
              </w:rPr>
              <w:t>年</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月</w:t>
            </w:r>
            <w:r>
              <w:rPr>
                <w:rFonts w:hint="default"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eastAsia="zh-CN"/>
              </w:rPr>
              <w:t>上午</w:t>
            </w:r>
            <w:r>
              <w:rPr>
                <w:rFonts w:hint="default"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default"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未按规定时间内缴纳投标保证金的正式投标人将被视为自动放弃本项目的投标资</w:t>
            </w:r>
            <w:r>
              <w:rPr>
                <w:rFonts w:hint="eastAsia" w:ascii="宋体" w:hAnsi="宋体" w:eastAsia="宋体" w:cs="宋体"/>
                <w:color w:val="auto"/>
                <w:sz w:val="21"/>
                <w:szCs w:val="21"/>
                <w:highlight w:val="none"/>
                <w:lang w:val="en-US" w:eastAsia="zh-CN"/>
              </w:rPr>
              <w:t>格。</w:t>
            </w:r>
          </w:p>
          <w:p>
            <w:pPr>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43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 w:val="21"/>
                <w:szCs w:val="21"/>
                <w:highlight w:val="none"/>
              </w:rPr>
              <w:t>202</w:t>
            </w: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月</w:t>
            </w:r>
            <w:r>
              <w:rPr>
                <w:rFonts w:hint="default"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（星期</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）上午</w:t>
            </w:r>
            <w:r>
              <w:rPr>
                <w:rFonts w:hint="default"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default" w:ascii="宋体" w:hAnsi="宋体" w:eastAsia="宋体" w:cs="宋体"/>
                <w:color w:val="auto"/>
                <w:sz w:val="21"/>
                <w:szCs w:val="21"/>
                <w:highlight w:val="none"/>
                <w:lang w:val="en-US"/>
              </w:rPr>
              <w:t>30</w:t>
            </w:r>
            <w:r>
              <w:rPr>
                <w:rFonts w:hint="eastAsia" w:ascii="宋体" w:hAnsi="宋体" w:eastAsia="宋体" w:cs="宋体"/>
                <w:color w:val="auto"/>
                <w:sz w:val="21"/>
                <w:szCs w:val="21"/>
                <w:highlight w:val="none"/>
              </w:rPr>
              <w:t>分</w:t>
            </w:r>
          </w:p>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广州市南沙区港前大道</w:t>
            </w:r>
            <w:r>
              <w:rPr>
                <w:rFonts w:hint="default"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eastAsia="zh-CN"/>
              </w:rPr>
              <w:t>号（南伟码头）侯工楼三楼会议室</w:t>
            </w:r>
          </w:p>
          <w:p>
            <w:pPr>
              <w:spacing w:line="320" w:lineRule="exact"/>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广州南沙港口开发有限公司</w:t>
      </w:r>
      <w:r>
        <w:rPr>
          <w:rFonts w:hint="eastAsia" w:ascii="宋体" w:hAnsi="宋体" w:eastAsia="宋体" w:cs="宋体"/>
          <w:color w:val="auto"/>
          <w:sz w:val="24"/>
          <w:highlight w:val="none"/>
          <w:u w:val="singl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pStyle w:val="5"/>
        <w:ind w:firstLine="480" w:firstLineChars="200"/>
        <w:rPr>
          <w:rFonts w:eastAsia="宋体"/>
          <w:color w:val="auto"/>
          <w:highlight w:val="none"/>
        </w:rPr>
      </w:pPr>
      <w:r>
        <w:rPr>
          <w:rFonts w:ascii="宋体" w:hAnsi="宋体" w:eastAsia="宋体" w:cs="宋体"/>
          <w:color w:val="auto"/>
          <w:sz w:val="24"/>
          <w:highlight w:val="none"/>
        </w:rPr>
        <w:t xml:space="preserve">1.7 </w:t>
      </w:r>
      <w:r>
        <w:rPr>
          <w:rFonts w:hint="eastAsia" w:ascii="宋体" w:hAnsi="宋体" w:eastAsia="宋体" w:cs="宋体"/>
          <w:color w:val="auto"/>
          <w:sz w:val="24"/>
          <w:highlight w:val="none"/>
        </w:rPr>
        <w:t>“方案设计人”指</w:t>
      </w:r>
      <w:r>
        <w:rPr>
          <w:rFonts w:ascii="宋体" w:hAnsi="宋体" w:eastAsia="宋体" w:cs="宋体"/>
          <w:color w:val="auto"/>
          <w:sz w:val="24"/>
          <w:highlight w:val="none"/>
          <w:u w:val="single"/>
        </w:rPr>
        <w:t xml:space="preserve"> </w:t>
      </w:r>
      <w:r>
        <w:rPr>
          <w:rFonts w:hint="eastAsia" w:ascii="宋体" w:hAnsi="宋体" w:eastAsia="宋体" w:cs="宋体"/>
          <w:color w:val="auto"/>
          <w:kern w:val="2"/>
          <w:sz w:val="24"/>
          <w:szCs w:val="24"/>
          <w:highlight w:val="none"/>
          <w:u w:val="single"/>
          <w:lang w:val="en-US" w:eastAsia="zh-CN"/>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 “投标文件”指投标人根据本招标文件向招标人提交的全部文件。</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1.10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eastAsia="zh-CN"/>
        </w:rPr>
        <w:t>质量</w:t>
      </w:r>
      <w:r>
        <w:rPr>
          <w:rFonts w:hint="eastAsia" w:ascii="宋体" w:hAnsi="宋体" w:eastAsia="宋体" w:cs="宋体"/>
          <w:color w:val="auto"/>
          <w:sz w:val="24"/>
          <w:highlight w:val="none"/>
        </w:rPr>
        <w:t>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招标范围及服务期</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2.3.2 </w:t>
      </w:r>
      <w:r>
        <w:rPr>
          <w:rFonts w:hint="eastAsia" w:ascii="宋体" w:hAnsi="宋体" w:eastAsia="宋体" w:cs="宋体"/>
          <w:color w:val="auto"/>
          <w:sz w:val="24"/>
          <w:highlight w:val="none"/>
          <w:lang w:eastAsia="zh-CN"/>
        </w:rPr>
        <w:t>服务任务期限</w:t>
      </w:r>
      <w:r>
        <w:rPr>
          <w:rFonts w:hint="eastAsia" w:ascii="宋体" w:hAnsi="宋体" w:eastAsia="宋体" w:cs="宋体"/>
          <w:color w:val="auto"/>
          <w:sz w:val="24"/>
          <w:highlight w:val="none"/>
        </w:rPr>
        <w:t>要求：见投标须知前附表第7项。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3"/>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3）服务合同（另附）</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5）附件</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lang w:val="en-US" w:eastAsia="zh-CN"/>
        </w:rPr>
        <w:t>1</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w:t>
      </w:r>
      <w:r>
        <w:rPr>
          <w:rFonts w:hint="eastAsia" w:ascii="宋体" w:hAnsi="宋体" w:cs="宋体"/>
          <w:color w:val="auto"/>
          <w:sz w:val="24"/>
          <w:szCs w:val="24"/>
          <w:highlight w:val="none"/>
          <w:lang w:val="en-US" w:eastAsia="zh-CN"/>
        </w:rPr>
        <w:t>销</w:t>
      </w:r>
      <w:r>
        <w:rPr>
          <w:rFonts w:hint="eastAsia" w:ascii="宋体" w:hAnsi="宋体" w:cs="宋体"/>
          <w:color w:val="auto"/>
          <w:sz w:val="24"/>
          <w:szCs w:val="24"/>
          <w:highlight w:val="none"/>
        </w:rPr>
        <w:t>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lang w:val="en-US" w:eastAsia="zh-CN"/>
        </w:rPr>
        <w:t>1</w:t>
      </w:r>
      <w:r>
        <w:rPr>
          <w:rFonts w:hint="eastAsia" w:ascii="宋体" w:hAnsi="宋体" w:cs="宋体"/>
          <w:color w:val="auto"/>
          <w:sz w:val="24"/>
          <w:szCs w:val="24"/>
          <w:highlight w:val="none"/>
        </w:rPr>
        <w:t>日前，招标人可对招标文件进行必要的澄清或修改。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3"/>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11.3服务承诺书（按招标文件第2章格式填写）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11.4企业法定代表人证明书及法定代表人授权委托证明书（按招标文件第2章格式填写，或使用从工商管理部门购买的版本填写），法人身份证复印件、被授权人身份证复印件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11.5投标人综合概况（按招标文件第2章格式填写）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6投标人业绩情况</w:t>
      </w:r>
      <w:r>
        <w:rPr>
          <w:rFonts w:hint="eastAsia" w:ascii="宋体" w:hAnsi="宋体" w:eastAsia="宋体" w:cs="宋体"/>
          <w:color w:val="auto"/>
          <w:sz w:val="24"/>
          <w:highlight w:val="none"/>
        </w:rPr>
        <w:t>（按招标文件第2章格式填写）</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（含报价清单）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技术标文件（独立成册）</w:t>
      </w:r>
    </w:p>
    <w:p>
      <w:pPr>
        <w:spacing w:line="360" w:lineRule="auto"/>
        <w:ind w:firstLine="480" w:firstLineChars="200"/>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投标人认为需要提交的其他资料</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13.3投标报价方式：投标单位自行报价。（小数点后保留二位小数，第三位小数四舍五入）</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盖章签字后的复印件，字迹应清晰易于辨认，并应在投标文件封面的右上角清楚地注明“正本”或“副本”。正本和副本如有不一致之处，以正本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投标人、投标时间，右上角打上正本（或副本）。使用书式装订，装订时书订不外露；不能使用塑料面或塑料胶条装订。</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bookmarkStart w:id="48" w:name="_GoBack"/>
      <w:bookmarkEnd w:id="48"/>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w:t>
      </w:r>
      <w:r>
        <w:rPr>
          <w:rFonts w:hint="eastAsia" w:ascii="宋体" w:hAnsi="宋体" w:eastAsia="宋体" w:cs="宋体"/>
          <w:color w:val="auto"/>
          <w:sz w:val="24"/>
          <w:highlight w:val="none"/>
          <w:lang w:eastAsia="zh-CN"/>
        </w:rPr>
        <w:t>、技术标</w:t>
      </w:r>
      <w:r>
        <w:rPr>
          <w:rFonts w:hint="eastAsia" w:ascii="宋体" w:hAnsi="宋体" w:eastAsia="宋体" w:cs="宋体"/>
          <w:color w:val="auto"/>
          <w:sz w:val="24"/>
          <w:highlight w:val="none"/>
        </w:rPr>
        <w:t>一正四副及电子文件一起包封。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           </w:t>
      </w:r>
    </w:p>
    <w:p>
      <w:pPr>
        <w:snapToGrid w:val="0"/>
        <w:spacing w:line="360" w:lineRule="auto"/>
        <w:ind w:left="1" w:hanging="1"/>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南伟码头结构检测评估项目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202</w:t>
      </w:r>
      <w:r>
        <w:rPr>
          <w:rFonts w:hint="default"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default"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default"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eastAsia="zh-CN"/>
        </w:rPr>
        <w:t>（星期</w:t>
      </w:r>
      <w:r>
        <w:rPr>
          <w:rFonts w:hint="eastAsia" w:ascii="宋体" w:hAnsi="宋体" w:eastAsia="宋体"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lang w:eastAsia="zh-CN"/>
        </w:rPr>
        <w:t>）</w:t>
      </w:r>
      <w:r>
        <w:rPr>
          <w:rFonts w:hint="default"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3"/>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24.7招标人将上述符合要求的投标文件，送至评标小组进行评审的。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中标人确定后，招标人不对未中标人就评标过程以及未能中标原因作出任何解释。未中标人不得向评标小组组成人员或其他有关人员索问评标过程的情况和材料。</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如果投标文件实质上不响应招标文件的各项要求，评标小组将予以拒绝，并且不允许投标人通过修改或撤销其不符合要求的差异或保留，使之成为具有响应性的投标。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评标小组依据投标须知前附表第20项规定的评标标准和方法，详见本招标文件《评标办法》，对投标文件进行评审和比较，向招标人提出书面评标报告，并推荐经评审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合同将授予按本须知第27.3款所确定的中标人。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款项的拨付及至解除合同，由此造成的一切责任由中标人承担。</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pStyle w:val="3"/>
        <w:widowControl/>
        <w:spacing w:before="0" w:after="0" w:line="360" w:lineRule="auto"/>
        <w:jc w:val="center"/>
        <w:rPr>
          <w:rFonts w:ascii="黑体" w:hAnsi="宋体" w:cs="黑体"/>
          <w:b/>
          <w:color w:val="auto"/>
          <w:kern w:val="44"/>
          <w:sz w:val="44"/>
          <w:szCs w:val="44"/>
          <w:highlight w:val="none"/>
        </w:rPr>
      </w:pPr>
      <w:bookmarkStart w:id="4" w:name="_Toc374128473"/>
      <w:bookmarkEnd w:id="4"/>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5" w:name="_Toc32057"/>
      <w:r>
        <w:rPr>
          <w:rFonts w:hint="eastAsia" w:ascii="黑体" w:hAnsi="宋体" w:cs="黑体"/>
          <w:b/>
          <w:color w:val="auto"/>
          <w:kern w:val="44"/>
          <w:sz w:val="44"/>
          <w:szCs w:val="44"/>
          <w:highlight w:val="none"/>
        </w:rPr>
        <w:t>第2章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eastAsia="zh-CN"/>
        </w:rPr>
        <w:t>广州南沙港口开发有限公司</w:t>
      </w:r>
      <w:r>
        <w:rPr>
          <w:rFonts w:hint="eastAsia" w:ascii="宋体" w:hAnsi="宋体" w:eastAsia="宋体" w:cs="Times New Roman"/>
          <w:color w:val="auto"/>
          <w:spacing w:val="20"/>
          <w:sz w:val="24"/>
          <w:highlight w:val="none"/>
          <w:u w:val="singl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lang w:eastAsia="zh-CN"/>
        </w:rPr>
        <w:t>南伟码头结构检测评估项目</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color w:val="auto"/>
          <w:spacing w:val="20"/>
          <w:sz w:val="24"/>
          <w:highlight w:val="none"/>
          <w:lang w:eastAsia="zh-CN"/>
        </w:rPr>
        <w:t>服务</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w:t>
      </w:r>
      <w:r>
        <w:rPr>
          <w:rFonts w:hint="eastAsia" w:ascii="宋体" w:hAnsi="宋体" w:eastAsia="宋体" w:cs="Times New Roman"/>
          <w:color w:val="auto"/>
          <w:spacing w:val="20"/>
          <w:sz w:val="24"/>
          <w:highlight w:val="none"/>
          <w:lang w:eastAsia="zh-CN"/>
        </w:rPr>
        <w:t>服务</w:t>
      </w:r>
      <w:r>
        <w:rPr>
          <w:rFonts w:hint="eastAsia" w:ascii="宋体" w:hAnsi="宋体" w:eastAsia="宋体" w:cs="Times New Roman"/>
          <w:color w:val="auto"/>
          <w:spacing w:val="20"/>
          <w:sz w:val="24"/>
          <w:highlight w:val="none"/>
        </w:rPr>
        <w:t>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w:t>
      </w:r>
      <w:r>
        <w:rPr>
          <w:rFonts w:hint="eastAsia" w:ascii="宋体" w:hAnsi="宋体" w:eastAsia="宋体" w:cs="Times New Roman"/>
          <w:color w:val="auto"/>
          <w:spacing w:val="20"/>
          <w:sz w:val="24"/>
          <w:highlight w:val="none"/>
          <w:lang w:eastAsia="zh-CN"/>
        </w:rPr>
        <w:t>服务</w:t>
      </w:r>
      <w:r>
        <w:rPr>
          <w:rFonts w:hint="eastAsia" w:ascii="宋体" w:hAnsi="宋体" w:eastAsia="宋体" w:cs="Times New Roman"/>
          <w:color w:val="auto"/>
          <w:spacing w:val="20"/>
          <w:sz w:val="24"/>
          <w:highlight w:val="none"/>
        </w:rPr>
        <w:t>合同之前，本投标书连同贵方的中标通知书应成为约束贵、我双方的合同文件。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广州南沙港口开发有限公司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600"/>
        <w:rPr>
          <w:rFonts w:ascii="宋体" w:hAnsi="宋体" w:eastAsia="宋体" w:cs="宋体"/>
          <w:color w:val="auto"/>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70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1680" w:firstLineChars="70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1"/>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23"/>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3"/>
        <w:widowControl/>
        <w:ind w:firstLine="496"/>
        <w:jc w:val="right"/>
        <w:rPr>
          <w:b/>
          <w:color w:val="auto"/>
          <w:highlight w:val="none"/>
        </w:rPr>
      </w:pPr>
      <w:r>
        <w:rPr>
          <w:color w:val="auto"/>
          <w:highlight w:val="none"/>
        </w:rPr>
        <w:t xml:space="preserve">                                      </w:t>
      </w:r>
    </w:p>
    <w:p>
      <w:pPr>
        <w:pStyle w:val="23"/>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3"/>
        <w:widowControl/>
        <w:ind w:firstLine="618"/>
        <w:rPr>
          <w:b/>
          <w:color w:val="auto"/>
          <w:sz w:val="30"/>
          <w:szCs w:val="30"/>
          <w:highlight w:val="none"/>
        </w:rPr>
      </w:pPr>
      <w:r>
        <w:rPr>
          <w:b/>
          <w:color w:val="auto"/>
          <w:sz w:val="30"/>
          <w:szCs w:val="30"/>
          <w:highlight w:val="none"/>
        </w:rPr>
        <w:t xml:space="preserve"> </w:t>
      </w:r>
    </w:p>
    <w:p>
      <w:pPr>
        <w:pStyle w:val="23"/>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3"/>
        <w:widowControl/>
        <w:ind w:firstLine="496"/>
        <w:jc w:val="right"/>
        <w:rPr>
          <w:color w:val="auto"/>
          <w:highlight w:val="none"/>
        </w:rPr>
      </w:pPr>
      <w:r>
        <w:rPr>
          <w:color w:val="auto"/>
          <w:highlight w:val="none"/>
        </w:rPr>
        <w:t xml:space="preserve">         </w:t>
      </w:r>
    </w:p>
    <w:p>
      <w:pPr>
        <w:pStyle w:val="23"/>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1"/>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bookmarkEnd w:id="10"/>
    <w:p>
      <w:pPr>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196037097"/>
      <w:bookmarkEnd w:id="11"/>
      <w:bookmarkStart w:id="12" w:name="_Toc415833503"/>
      <w:bookmarkEnd w:id="12"/>
      <w:bookmarkStart w:id="13" w:name="_Toc199647675"/>
      <w:bookmarkEnd w:id="13"/>
      <w:bookmarkStart w:id="14" w:name="_Toc196036941"/>
      <w:bookmarkEnd w:id="14"/>
      <w:bookmarkStart w:id="15" w:name="_Toc41822703"/>
      <w:bookmarkEnd w:id="15"/>
      <w:bookmarkStart w:id="16" w:name="_Toc415728297"/>
      <w:bookmarkEnd w:id="16"/>
      <w:bookmarkStart w:id="17" w:name="_Toc196130013"/>
      <w:bookmarkEnd w:id="17"/>
      <w:bookmarkStart w:id="18" w:name="_Toc459403394"/>
      <w:bookmarkEnd w:id="18"/>
      <w:bookmarkStart w:id="19" w:name="_Toc196130110"/>
      <w:bookmarkEnd w:id="19"/>
      <w:bookmarkStart w:id="20" w:name="_Toc197235848"/>
      <w:bookmarkEnd w:id="20"/>
      <w:bookmarkStart w:id="21" w:name="_Toc326909213"/>
      <w:bookmarkEnd w:id="21"/>
      <w:bookmarkStart w:id="22" w:name="_Toc462911098"/>
      <w:r>
        <w:rPr>
          <w:rFonts w:hint="eastAsia" w:ascii="宋体" w:hAnsi="宋体" w:eastAsia="宋体" w:cs="黑体"/>
          <w:b/>
          <w:color w:val="auto"/>
          <w:spacing w:val="4"/>
          <w:kern w:val="0"/>
          <w:sz w:val="28"/>
          <w:szCs w:val="28"/>
          <w:highlight w:val="none"/>
        </w:rPr>
        <w:t>格式</w:t>
      </w:r>
      <w:bookmarkEnd w:id="22"/>
      <w:r>
        <w:rPr>
          <w:rFonts w:hint="eastAsia" w:ascii="宋体" w:hAnsi="宋体" w:eastAsia="宋体" w:cs="黑体"/>
          <w:b/>
          <w:color w:val="auto"/>
          <w:spacing w:val="4"/>
          <w:kern w:val="0"/>
          <w:sz w:val="28"/>
          <w:szCs w:val="28"/>
          <w:highlight w:val="none"/>
          <w:lang w:val="en-US" w:eastAsia="zh-CN"/>
        </w:rPr>
        <w:t>四</w:t>
      </w:r>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4"/>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67"/>
        <w:gridCol w:w="1553"/>
        <w:gridCol w:w="677"/>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8"/>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bookmarkStart w:id="24" w:name="_Toc459403395"/>
      <w:bookmarkEnd w:id="24"/>
      <w:bookmarkStart w:id="25" w:name="_Toc415728298"/>
      <w:bookmarkEnd w:id="25"/>
      <w:bookmarkStart w:id="26" w:name="_Toc197235849"/>
      <w:bookmarkEnd w:id="26"/>
      <w:bookmarkStart w:id="27" w:name="_Toc199647676"/>
      <w:bookmarkEnd w:id="27"/>
      <w:bookmarkStart w:id="28" w:name="_Toc415833504"/>
      <w:bookmarkEnd w:id="28"/>
      <w:bookmarkStart w:id="29" w:name="_Toc196130111"/>
      <w:bookmarkEnd w:id="29"/>
      <w:bookmarkStart w:id="30" w:name="_Toc326909214"/>
      <w:bookmarkEnd w:id="30"/>
      <w:bookmarkStart w:id="31" w:name="_Toc196036942"/>
      <w:bookmarkEnd w:id="31"/>
      <w:bookmarkStart w:id="32" w:name="_Toc196037098"/>
      <w:bookmarkEnd w:id="32"/>
      <w:bookmarkStart w:id="33" w:name="_Toc196130014"/>
      <w:bookmarkEnd w:id="33"/>
      <w:bookmarkStart w:id="34" w:name="_Toc462911099"/>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rPr>
          <w:rFonts w:ascii="宋体" w:hAnsi="宋体" w:eastAsia="宋体" w:cs="黑体"/>
          <w:b/>
          <w:color w:val="auto"/>
          <w:spacing w:val="4"/>
          <w:sz w:val="28"/>
          <w:szCs w:val="28"/>
          <w:highlight w:val="none"/>
        </w:rPr>
      </w:pPr>
    </w:p>
    <w:p>
      <w:pPr>
        <w:pStyle w:val="5"/>
        <w:ind w:left="0" w:leftChars="0" w:firstLine="0" w:firstLineChars="0"/>
        <w:rPr>
          <w:rFonts w:ascii="宋体" w:hAnsi="宋体" w:eastAsia="宋体" w:cs="黑体"/>
          <w:b/>
          <w:color w:val="auto"/>
          <w:spacing w:val="4"/>
          <w:sz w:val="28"/>
          <w:szCs w:val="28"/>
          <w:highlight w:val="none"/>
        </w:rPr>
      </w:pPr>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w:t>
      </w:r>
      <w:bookmarkEnd w:id="34"/>
      <w:r>
        <w:rPr>
          <w:rFonts w:hint="eastAsia" w:ascii="宋体" w:hAnsi="宋体" w:eastAsia="宋体" w:cs="黑体"/>
          <w:b/>
          <w:color w:val="auto"/>
          <w:spacing w:val="4"/>
          <w:kern w:val="0"/>
          <w:sz w:val="28"/>
          <w:szCs w:val="28"/>
          <w:highlight w:val="none"/>
          <w:lang w:val="en-US" w:eastAsia="zh-CN"/>
        </w:rPr>
        <w:t>五</w:t>
      </w:r>
      <w:r>
        <w:rPr>
          <w:rFonts w:hint="eastAsia" w:ascii="仿宋" w:hAnsi="仿宋" w:eastAsia="仿宋" w:cs="仿宋"/>
          <w:color w:val="auto"/>
          <w:kern w:val="24"/>
          <w:sz w:val="28"/>
          <w:szCs w:val="28"/>
          <w:highlight w:val="none"/>
        </w:rPr>
        <w:t>：</w:t>
      </w:r>
    </w:p>
    <w:p>
      <w:pPr>
        <w:spacing w:before="85" w:beforeLines="30" w:line="360" w:lineRule="auto"/>
        <w:jc w:val="center"/>
        <w:outlineLvl w:val="2"/>
        <w:rPr>
          <w:rFonts w:ascii="仿宋" w:hAnsi="仿宋" w:eastAsia="仿宋" w:cs="仿宋"/>
          <w:color w:val="auto"/>
          <w:kern w:val="24"/>
          <w:sz w:val="28"/>
          <w:szCs w:val="28"/>
          <w:highlight w:val="none"/>
        </w:rPr>
      </w:pPr>
      <w:bookmarkStart w:id="35" w:name="_Toc196130112"/>
      <w:bookmarkEnd w:id="35"/>
      <w:bookmarkStart w:id="36" w:name="_Toc196130015"/>
      <w:bookmarkEnd w:id="36"/>
      <w:bookmarkStart w:id="37" w:name="_Toc199647677"/>
      <w:bookmarkEnd w:id="37"/>
      <w:bookmarkStart w:id="38" w:name="_Toc41822705"/>
      <w:bookmarkEnd w:id="38"/>
      <w:bookmarkStart w:id="39" w:name="_Toc197235850"/>
      <w:bookmarkEnd w:id="39"/>
      <w:bookmarkStart w:id="40" w:name="_Toc196037099"/>
      <w:bookmarkEnd w:id="40"/>
      <w:bookmarkStart w:id="41" w:name="_Toc196036943"/>
      <w:bookmarkEnd w:id="41"/>
      <w:bookmarkStart w:id="42" w:name="_Toc326909215"/>
      <w:r>
        <w:rPr>
          <w:rFonts w:hint="eastAsia" w:ascii="仿宋" w:hAnsi="仿宋" w:eastAsia="仿宋" w:cs="仿宋"/>
          <w:b/>
          <w:bCs/>
          <w:color w:val="auto"/>
          <w:kern w:val="24"/>
          <w:sz w:val="36"/>
          <w:szCs w:val="36"/>
          <w:highlight w:val="none"/>
        </w:rPr>
        <w:t>业绩一览表</w:t>
      </w:r>
      <w:bookmarkEnd w:id="42"/>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7926" w:type="dxa"/>
        <w:jc w:val="center"/>
        <w:tblLayout w:type="fixed"/>
        <w:tblCellMar>
          <w:top w:w="0" w:type="dxa"/>
          <w:left w:w="108" w:type="dxa"/>
          <w:bottom w:w="0" w:type="dxa"/>
          <w:right w:w="108" w:type="dxa"/>
        </w:tblCellMar>
      </w:tblPr>
      <w:tblGrid>
        <w:gridCol w:w="724"/>
        <w:gridCol w:w="2002"/>
        <w:gridCol w:w="2567"/>
        <w:gridCol w:w="1303"/>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检测情况</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注：1、投标人提供的同类项目业绩证明资料附于该表后面。业绩证明资料须提供合同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相关证明资料必须能反映出评标所需指标，否则相应子项不予计分；时间以合同文件签订时间为准。</w:t>
      </w:r>
    </w:p>
    <w:p>
      <w:pPr>
        <w:spacing w:line="360" w:lineRule="auto"/>
        <w:ind w:firstLine="779" w:firstLineChars="371"/>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spacing w:line="360" w:lineRule="auto"/>
        <w:outlineLvl w:val="1"/>
        <w:rPr>
          <w:rFonts w:ascii="仿宋" w:hAnsi="仿宋" w:eastAsia="仿宋" w:cs="宋体"/>
          <w:color w:val="auto"/>
          <w:sz w:val="28"/>
          <w:szCs w:val="28"/>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val="en-US" w:eastAsia="zh-CN"/>
        </w:rPr>
        <w:t>六</w:t>
      </w:r>
      <w:r>
        <w:rPr>
          <w:rFonts w:hint="eastAsia" w:ascii="宋体" w:hAnsi="宋体" w:eastAsia="宋体" w:cs="黑体"/>
          <w:b/>
          <w:color w:val="auto"/>
          <w:spacing w:val="4"/>
          <w:kern w:val="0"/>
          <w:sz w:val="28"/>
          <w:szCs w:val="28"/>
          <w:highlight w:val="none"/>
        </w:rPr>
        <w:t>：</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711" w:type="dxa"/>
            <w:vAlign w:val="center"/>
          </w:tcPr>
          <w:p>
            <w:pPr>
              <w:autoSpaceDE w:val="0"/>
              <w:autoSpaceDN w:val="0"/>
              <w:adjustRightInd w:val="0"/>
              <w:snapToGrid w:val="0"/>
              <w:jc w:val="center"/>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lang w:val="en-US" w:eastAsia="zh-CN"/>
              </w:rPr>
              <w:t>投标报价</w:t>
            </w:r>
          </w:p>
        </w:tc>
        <w:tc>
          <w:tcPr>
            <w:tcW w:w="6699" w:type="dxa"/>
            <w:vAlign w:val="center"/>
          </w:tcPr>
          <w:p>
            <w:pPr>
              <w:autoSpaceDE w:val="0"/>
              <w:autoSpaceDN w:val="0"/>
              <w:adjustRightInd w:val="0"/>
              <w:snapToGrid w:val="0"/>
              <w:jc w:val="both"/>
              <w:rPr>
                <w:rFonts w:hint="eastAsia"/>
                <w:lang w:val="zh-CN"/>
              </w:rPr>
            </w:pPr>
            <w:r>
              <w:rPr>
                <w:rFonts w:hint="eastAsia"/>
                <w:lang w:val="zh-CN"/>
              </w:rPr>
              <w:t>大写：</w:t>
            </w:r>
          </w:p>
          <w:p>
            <w:pPr>
              <w:pStyle w:val="7"/>
              <w:ind w:left="0" w:leftChars="0"/>
              <w:rPr>
                <w:lang w:val="zh-CN"/>
              </w:rPr>
            </w:pPr>
            <w:r>
              <w:rPr>
                <w:rFonts w:hint="eastAsia" w:ascii="宋体" w:hAnsi="宋体" w:cs="宋体"/>
                <w:bCs/>
                <w:color w:val="auto"/>
                <w:szCs w:val="21"/>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bl>
    <w:p>
      <w:pPr>
        <w:pStyle w:val="8"/>
        <w:spacing w:line="360" w:lineRule="auto"/>
        <w:ind w:firstLine="210" w:firstLineChars="100"/>
        <w:rPr>
          <w:rFonts w:hint="eastAsia" w:hAnsi="宋体" w:cs="宋体"/>
          <w:bCs/>
          <w:color w:val="auto"/>
          <w:highlight w:val="none"/>
          <w:lang w:val="en-US" w:eastAsia="zh-CN"/>
        </w:rPr>
      </w:pPr>
      <w:r>
        <w:rPr>
          <w:rFonts w:hAnsi="宋体" w:cs="宋体"/>
          <w:bCs/>
          <w:color w:val="auto"/>
          <w:highlight w:val="none"/>
        </w:rPr>
        <w:t>注：</w:t>
      </w:r>
      <w:r>
        <w:rPr>
          <w:rFonts w:hint="eastAsia" w:hAnsi="宋体" w:cs="宋体"/>
          <w:bCs/>
          <w:color w:val="auto"/>
          <w:highlight w:val="none"/>
          <w:lang w:val="en-US" w:eastAsia="zh-CN"/>
        </w:rPr>
        <w:t>1、投标报价大小写不一致的，以大写金额为准。</w:t>
      </w:r>
    </w:p>
    <w:p>
      <w:pPr>
        <w:pStyle w:val="8"/>
        <w:numPr>
          <w:ilvl w:val="0"/>
          <w:numId w:val="0"/>
        </w:numPr>
        <w:spacing w:line="360" w:lineRule="auto"/>
        <w:rPr>
          <w:rFonts w:ascii="宋体" w:hAnsi="宋体" w:eastAsia="宋体" w:cs="宋体"/>
          <w:bCs/>
          <w:color w:val="auto"/>
          <w:highlight w:val="none"/>
        </w:rPr>
      </w:pPr>
      <w:r>
        <w:rPr>
          <w:rFonts w:hint="default" w:hAnsi="宋体" w:cs="宋体"/>
          <w:bCs/>
          <w:color w:val="auto"/>
          <w:kern w:val="2"/>
          <w:sz w:val="21"/>
          <w:szCs w:val="21"/>
          <w:highlight w:val="none"/>
          <w:lang w:val="en-US"/>
        </w:rPr>
        <w:t xml:space="preserve">      2</w:t>
      </w:r>
      <w:r>
        <w:rPr>
          <w:rFonts w:hint="eastAsia" w:hAnsi="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精确到小数点后两位</w:t>
      </w:r>
      <w:r>
        <w:rPr>
          <w:rFonts w:ascii="宋体" w:hAnsi="宋体" w:eastAsia="宋体" w:cs="宋体"/>
          <w:bCs/>
          <w:color w:val="auto"/>
          <w:highlight w:val="none"/>
        </w:rPr>
        <w:t>。</w:t>
      </w:r>
    </w:p>
    <w:p>
      <w:pPr>
        <w:numPr>
          <w:ilvl w:val="-1"/>
          <w:numId w:val="0"/>
        </w:numPr>
        <w:rPr>
          <w:rFonts w:hint="eastAsia"/>
        </w:rPr>
      </w:pP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2</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lang w:eastAsia="zh-CN"/>
        </w:rPr>
        <w:t>技术</w:t>
      </w:r>
      <w:r>
        <w:rPr>
          <w:rFonts w:hint="eastAsia" w:eastAsia="黑体"/>
          <w:color w:val="auto"/>
          <w:sz w:val="52"/>
          <w:szCs w:val="52"/>
          <w:highlight w:val="none"/>
        </w:rPr>
        <w:t>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pStyle w:val="8"/>
        <w:rPr>
          <w:rFonts w:hint="default"/>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43" w:name="_Toc374128477"/>
      <w:bookmarkEnd w:id="43"/>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44" w:name="_Toc1265"/>
      <w:r>
        <w:rPr>
          <w:rFonts w:hint="eastAsia" w:ascii="黑体" w:hAnsi="宋体" w:cs="黑体"/>
          <w:b/>
          <w:color w:val="auto"/>
          <w:kern w:val="44"/>
          <w:sz w:val="44"/>
          <w:szCs w:val="44"/>
          <w:highlight w:val="none"/>
        </w:rPr>
        <w:t>第3章 评标办法</w:t>
      </w:r>
      <w:bookmarkEnd w:id="44"/>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sz w:val="28"/>
          <w:szCs w:val="28"/>
          <w:highlight w:val="none"/>
        </w:rPr>
        <w:t>选择</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2.3《中华人民共和国招标投标法实施条例》</w:t>
      </w:r>
      <w:r>
        <w:rPr>
          <w:rFonts w:hint="eastAsia" w:ascii="仿宋" w:hAnsi="仿宋" w:eastAsia="仿宋" w:cs="仿宋"/>
          <w:color w:val="auto"/>
          <w:sz w:val="28"/>
          <w:szCs w:val="28"/>
          <w:highlight w:val="none"/>
          <w:lang w:eastAsia="zh-CN"/>
        </w:rPr>
        <w:t>；</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2.4七部委第12号令《评标小组和评标方法暂行规定》；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w:t>
      </w:r>
      <w:r>
        <w:rPr>
          <w:rFonts w:hint="eastAsia" w:ascii="仿宋" w:hAnsi="仿宋" w:eastAsia="仿宋" w:cs="仿宋"/>
          <w:color w:val="auto"/>
          <w:sz w:val="28"/>
          <w:szCs w:val="28"/>
          <w:highlight w:val="none"/>
          <w:lang w:val="en-US" w:eastAsia="zh-CN"/>
        </w:rPr>
        <w:t>徇</w:t>
      </w:r>
      <w:r>
        <w:rPr>
          <w:rFonts w:hint="eastAsia" w:ascii="仿宋" w:hAnsi="仿宋" w:eastAsia="仿宋" w:cs="仿宋"/>
          <w:color w:val="auto"/>
          <w:sz w:val="28"/>
          <w:szCs w:val="28"/>
          <w:highlight w:val="none"/>
        </w:rPr>
        <w:t>私；</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1"/>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招标人依法组建评标小组。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8"/>
        <w:widowControl/>
        <w:spacing w:line="500" w:lineRule="exact"/>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5.1评标小组</w:t>
      </w:r>
    </w:p>
    <w:p>
      <w:pPr>
        <w:pStyle w:val="8"/>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评标小组由招标人依法组建的5名专家组成。</w:t>
      </w:r>
    </w:p>
    <w:p>
      <w:pPr>
        <w:pStyle w:val="8"/>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评标小组推举产生1名评标组长，主持评审工作，评标组长与其他成员有同等表决权。</w:t>
      </w:r>
    </w:p>
    <w:p>
      <w:pPr>
        <w:pStyle w:val="8"/>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在符合招标文件规定的前提下，评标小组主要对投标文件进行评议。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如果少数投标人超越招标文件要求提交了模型、演示动画、特殊规格展示图纸或发生其他特殊情况，评标小组对超越招标文件要求的内容不进行评审，只评审该投标文件符合要求的内容。</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 评标小组专家计算各投标人的综合得分</w:t>
      </w:r>
      <w:r>
        <w:rPr>
          <w:rFonts w:hint="eastAsia" w:ascii="仿宋" w:hAnsi="仿宋" w:eastAsia="仿宋" w:cs="仿宋"/>
          <w:color w:val="auto"/>
          <w:sz w:val="28"/>
          <w:szCs w:val="28"/>
          <w:highlight w:val="none"/>
          <w:lang w:eastAsia="zh-CN"/>
        </w:rPr>
        <w:t>。</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(c)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□（a）招标人委托评标小组直接确定中标人；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小组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由招标人或其推选的代表检查投标文件的密封情况，也可以由招标人委托的公证机构检查并公证；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招标人将上述符合要求的投标文件，送至评标小组进行评审。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3）第三步：评标小组完成评标报告，向招标人推荐中标候选人。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确定中标人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招标人将参照以下原则进行本项目中标人的替换：</w:t>
      </w:r>
    </w:p>
    <w:p>
      <w:pPr>
        <w:numPr>
          <w:ilvl w:val="0"/>
          <w:numId w:val="2"/>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若中标人在实际工作中服务质量存在问题，未能表现出符合要求的</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水平，经招标人研究确定，可解除与中标人的合同关系，并按照中标候选人顺序依次选取新的中标人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numPr>
          <w:ilvl w:val="0"/>
          <w:numId w:val="2"/>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pStyle w:val="8"/>
        <w:rPr>
          <w:rFonts w:hint="default" w:ascii="仿宋" w:hAnsi="仿宋" w:eastAsia="仿宋" w:cs="仿宋"/>
          <w:color w:val="auto"/>
          <w:sz w:val="28"/>
          <w:szCs w:val="28"/>
          <w:highlight w:val="none"/>
        </w:rPr>
      </w:pPr>
    </w:p>
    <w:p>
      <w:pPr>
        <w:pStyle w:val="8"/>
        <w:rPr>
          <w:rFonts w:hint="default" w:ascii="仿宋" w:hAnsi="仿宋" w:eastAsia="仿宋" w:cs="仿宋"/>
          <w:color w:val="auto"/>
          <w:sz w:val="28"/>
          <w:szCs w:val="28"/>
          <w:highlight w:val="none"/>
        </w:rPr>
      </w:pPr>
    </w:p>
    <w:p>
      <w:pPr>
        <w:snapToGrid w:val="0"/>
        <w:spacing w:line="360" w:lineRule="auto"/>
        <w:rPr>
          <w:rFonts w:ascii="仿宋" w:hAnsi="仿宋" w:eastAsia="仿宋" w:cs="仿宋"/>
          <w:color w:val="auto"/>
          <w:sz w:val="2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附件</w:t>
      </w:r>
    </w:p>
    <w:p>
      <w:pPr>
        <w:pStyle w:val="20"/>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20"/>
        <w:widowControl/>
        <w:ind w:firstLine="562"/>
        <w:rPr>
          <w:rFonts w:hint="default" w:ascii="仿宋" w:hAnsi="仿宋" w:eastAsia="仿宋" w:cs="仿宋"/>
          <w:b/>
          <w:color w:val="auto"/>
          <w:sz w:val="28"/>
          <w:szCs w:val="28"/>
          <w:highlight w:val="none"/>
          <w:u w:val="single"/>
        </w:rPr>
      </w:pPr>
      <w:bookmarkStart w:id="45" w:name="OLE_LINK3"/>
      <w:bookmarkEnd w:id="45"/>
      <w:r>
        <w:rPr>
          <w:rFonts w:ascii="仿宋" w:hAnsi="仿宋" w:eastAsia="仿宋" w:cs="仿宋"/>
          <w:b/>
          <w:color w:val="auto"/>
          <w:sz w:val="28"/>
          <w:szCs w:val="28"/>
          <w:highlight w:val="none"/>
          <w:u w:val="single"/>
        </w:rPr>
        <w:t>附件2 综合评分表</w:t>
      </w:r>
    </w:p>
    <w:p>
      <w:pPr>
        <w:pStyle w:val="20"/>
        <w:widowControl/>
        <w:ind w:firstLine="562"/>
        <w:rPr>
          <w:rFonts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附件3 投标申请人声明</w:t>
      </w:r>
    </w:p>
    <w:p>
      <w:pPr>
        <w:pStyle w:val="20"/>
        <w:widowControl/>
        <w:ind w:firstLine="562"/>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4 招标人要求</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6" w:name="_Toc14580"/>
      <w:r>
        <w:rPr>
          <w:rFonts w:hint="eastAsia" w:ascii="仿宋" w:hAnsi="仿宋" w:eastAsia="仿宋" w:cs="仿宋"/>
          <w:color w:val="auto"/>
          <w:sz w:val="28"/>
          <w:szCs w:val="28"/>
          <w:highlight w:val="none"/>
        </w:rPr>
        <w:t>附件1：符合性审查表</w:t>
      </w:r>
      <w:bookmarkEnd w:id="46"/>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4"/>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w:t>
            </w:r>
            <w:r>
              <w:rPr>
                <w:rFonts w:hint="eastAsia" w:ascii="仿宋" w:hAnsi="仿宋" w:eastAsia="仿宋" w:cs="仿宋"/>
                <w:color w:val="auto"/>
                <w:szCs w:val="21"/>
                <w:highlight w:val="none"/>
                <w:lang w:val="en-US" w:eastAsia="zh-CN"/>
              </w:rPr>
              <w:t>符合资格审查要求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投标人业绩</w:t>
            </w:r>
            <w:r>
              <w:rPr>
                <w:rFonts w:hint="eastAsia" w:ascii="仿宋" w:hAnsi="仿宋" w:eastAsia="仿宋" w:cs="仿宋"/>
                <w:color w:val="auto"/>
                <w:szCs w:val="21"/>
                <w:highlight w:val="none"/>
                <w:lang w:val="en-US" w:eastAsia="zh-CN"/>
              </w:rPr>
              <w:t>符合</w:t>
            </w:r>
            <w:r>
              <w:rPr>
                <w:rFonts w:hint="eastAsia" w:ascii="仿宋" w:hAnsi="仿宋" w:eastAsia="仿宋" w:cs="仿宋"/>
                <w:color w:val="auto"/>
                <w:highlight w:val="none"/>
                <w:lang w:val="en-US" w:eastAsia="zh-CN"/>
              </w:rPr>
              <w:t>最低要求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yellow"/>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yellow"/>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yellow"/>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投标人拟投入项目负责人及技术负责人符合资格审查要求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lef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投标报价不超过招标控制价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cols w:space="425" w:num="1"/>
          <w:docGrid w:linePitch="312" w:charSpace="0"/>
        </w:sectPr>
      </w:pPr>
    </w:p>
    <w:p>
      <w:pPr>
        <w:snapToGrid w:val="0"/>
        <w:ind w:left="74"/>
        <w:outlineLvl w:val="0"/>
        <w:rPr>
          <w:rFonts w:hint="eastAsia" w:asciiTheme="minorEastAsia" w:hAnsiTheme="minorEastAsia" w:eastAsiaTheme="minorEastAsia" w:cstheme="minorEastAsia"/>
          <w:color w:val="auto"/>
          <w:sz w:val="24"/>
          <w:szCs w:val="24"/>
          <w:highlight w:val="none"/>
        </w:rPr>
      </w:pPr>
      <w:bookmarkStart w:id="47" w:name="_Toc27480"/>
      <w:r>
        <w:rPr>
          <w:rFonts w:hint="eastAsia" w:asciiTheme="minorEastAsia" w:hAnsiTheme="minorEastAsia" w:eastAsiaTheme="minorEastAsia" w:cstheme="minorEastAsia"/>
          <w:b/>
          <w:color w:val="auto"/>
          <w:sz w:val="24"/>
          <w:szCs w:val="24"/>
          <w:highlight w:val="none"/>
        </w:rPr>
        <w:t>附件2综合评分表</w:t>
      </w:r>
      <w:r>
        <w:rPr>
          <w:rFonts w:hint="eastAsia" w:asciiTheme="minorEastAsia" w:hAnsiTheme="minorEastAsia" w:eastAsiaTheme="minorEastAsia" w:cstheme="minorEastAsia"/>
          <w:color w:val="auto"/>
          <w:sz w:val="24"/>
          <w:szCs w:val="24"/>
          <w:highlight w:val="none"/>
        </w:rPr>
        <w:t>（100分）</w:t>
      </w:r>
      <w:bookmarkEnd w:id="47"/>
    </w:p>
    <w:p>
      <w:pPr>
        <w:spacing w:line="240" w:lineRule="auto"/>
        <w:ind w:firstLine="0" w:firstLineChars="0"/>
        <w:rPr>
          <w:rFonts w:hint="eastAsia" w:ascii="宋体" w:hAnsi="宋体" w:cs="Times New Roman"/>
          <w:color w:val="auto"/>
          <w:sz w:val="18"/>
          <w:szCs w:val="18"/>
          <w:highlight w:val="none"/>
        </w:rPr>
      </w:pPr>
    </w:p>
    <w:p>
      <w:pPr>
        <w:spacing w:line="240" w:lineRule="auto"/>
        <w:ind w:firstLine="0" w:firstLineChars="0"/>
        <w:rPr>
          <w:rFonts w:ascii="宋体" w:hAnsi="宋体" w:cs="Times New Roman"/>
          <w:color w:val="auto"/>
          <w:sz w:val="18"/>
          <w:szCs w:val="18"/>
          <w:highlight w:val="none"/>
        </w:rPr>
      </w:pPr>
      <w:r>
        <w:rPr>
          <w:rFonts w:hint="eastAsia" w:ascii="宋体" w:hAnsi="宋体" w:cs="Times New Roman"/>
          <w:color w:val="auto"/>
          <w:sz w:val="18"/>
          <w:szCs w:val="18"/>
          <w:highlight w:val="none"/>
        </w:rPr>
        <w:t>说明：综合评分法：商务部分20分、技术部分</w:t>
      </w:r>
      <w:r>
        <w:rPr>
          <w:rFonts w:hint="eastAsia" w:ascii="宋体" w:hAnsi="宋体" w:cs="Times New Roman"/>
          <w:color w:val="auto"/>
          <w:sz w:val="18"/>
          <w:szCs w:val="18"/>
          <w:highlight w:val="none"/>
          <w:lang w:val="en-US" w:eastAsia="zh-CN"/>
        </w:rPr>
        <w:t>50</w:t>
      </w:r>
      <w:r>
        <w:rPr>
          <w:rFonts w:hint="eastAsia" w:ascii="宋体" w:hAnsi="宋体" w:cs="Times New Roman"/>
          <w:color w:val="auto"/>
          <w:sz w:val="18"/>
          <w:szCs w:val="18"/>
          <w:highlight w:val="none"/>
        </w:rPr>
        <w:t>分、价格部分</w:t>
      </w:r>
      <w:r>
        <w:rPr>
          <w:rFonts w:hint="eastAsia" w:ascii="宋体" w:hAnsi="宋体" w:cs="Times New Roman"/>
          <w:color w:val="auto"/>
          <w:sz w:val="18"/>
          <w:szCs w:val="18"/>
          <w:highlight w:val="none"/>
          <w:lang w:val="en-US" w:eastAsia="zh-CN"/>
        </w:rPr>
        <w:t>30</w:t>
      </w:r>
      <w:r>
        <w:rPr>
          <w:rFonts w:hint="eastAsia" w:ascii="宋体" w:hAnsi="宋体" w:cs="Times New Roman"/>
          <w:color w:val="auto"/>
          <w:sz w:val="18"/>
          <w:szCs w:val="18"/>
          <w:highlight w:val="none"/>
        </w:rPr>
        <w:t>分，共100分</w:t>
      </w:r>
    </w:p>
    <w:p>
      <w:pPr>
        <w:numPr>
          <w:ilvl w:val="0"/>
          <w:numId w:val="3"/>
        </w:numPr>
        <w:spacing w:line="240" w:lineRule="auto"/>
        <w:ind w:firstLine="360" w:firstLineChars="200"/>
        <w:rPr>
          <w:rFonts w:ascii="宋体" w:hAnsi="宋体" w:cs="Times New Roman"/>
          <w:color w:val="auto"/>
          <w:sz w:val="24"/>
          <w:szCs w:val="24"/>
          <w:highlight w:val="none"/>
        </w:rPr>
      </w:pPr>
      <w:r>
        <w:rPr>
          <w:rFonts w:hint="eastAsia" w:ascii="宋体" w:hAnsi="宋体" w:cs="Times New Roman"/>
          <w:color w:val="auto"/>
          <w:sz w:val="18"/>
          <w:szCs w:val="18"/>
          <w:highlight w:val="none"/>
        </w:rPr>
        <w:t>商务部分：20分</w:t>
      </w:r>
    </w:p>
    <w:tbl>
      <w:tblPr>
        <w:tblStyle w:val="14"/>
        <w:tblW w:w="9060" w:type="dxa"/>
        <w:tblInd w:w="0" w:type="dxa"/>
        <w:tblLayout w:type="fixed"/>
        <w:tblCellMar>
          <w:top w:w="0" w:type="dxa"/>
          <w:left w:w="108" w:type="dxa"/>
          <w:bottom w:w="0" w:type="dxa"/>
          <w:right w:w="108" w:type="dxa"/>
        </w:tblCellMar>
      </w:tblPr>
      <w:tblGrid>
        <w:gridCol w:w="456"/>
        <w:gridCol w:w="816"/>
        <w:gridCol w:w="5916"/>
        <w:gridCol w:w="936"/>
        <w:gridCol w:w="936"/>
      </w:tblGrid>
      <w:tr>
        <w:tblPrEx>
          <w:tblCellMar>
            <w:top w:w="0" w:type="dxa"/>
            <w:left w:w="108" w:type="dxa"/>
            <w:bottom w:w="0" w:type="dxa"/>
            <w:right w:w="108" w:type="dxa"/>
          </w:tblCellMar>
        </w:tblPrEx>
        <w:trPr>
          <w:trHeight w:val="990" w:hRule="atLeast"/>
        </w:trPr>
        <w:tc>
          <w:tcPr>
            <w:tcW w:w="456"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序号</w:t>
            </w:r>
          </w:p>
        </w:tc>
        <w:tc>
          <w:tcPr>
            <w:tcW w:w="816" w:type="dxa"/>
            <w:tcBorders>
              <w:top w:val="single" w:color="auto" w:sz="4" w:space="0"/>
              <w:left w:val="nil"/>
              <w:bottom w:val="nil"/>
              <w:right w:val="single" w:color="auto" w:sz="4" w:space="0"/>
            </w:tcBorders>
            <w:noWrap/>
            <w:vAlign w:val="center"/>
          </w:tcPr>
          <w:p>
            <w:pPr>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评分项目</w:t>
            </w:r>
          </w:p>
        </w:tc>
        <w:tc>
          <w:tcPr>
            <w:tcW w:w="5916" w:type="dxa"/>
            <w:tcBorders>
              <w:top w:val="single" w:color="auto" w:sz="4" w:space="0"/>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评分标准</w:t>
            </w:r>
          </w:p>
        </w:tc>
        <w:tc>
          <w:tcPr>
            <w:tcW w:w="936" w:type="dxa"/>
            <w:tcBorders>
              <w:top w:val="single" w:color="auto" w:sz="4" w:space="0"/>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标准分（分）</w:t>
            </w:r>
          </w:p>
        </w:tc>
        <w:tc>
          <w:tcPr>
            <w:tcW w:w="936" w:type="dxa"/>
            <w:tcBorders>
              <w:top w:val="single" w:color="auto" w:sz="4" w:space="0"/>
              <w:left w:val="nil"/>
              <w:right w:val="single" w:color="auto" w:sz="4" w:space="0"/>
            </w:tcBorders>
            <w:noWrap/>
            <w:vAlign w:val="center"/>
          </w:tcPr>
          <w:p>
            <w:pPr>
              <w:adjustRightInd w:val="0"/>
              <w:snapToGrid w:val="0"/>
              <w:jc w:val="center"/>
              <w:rPr>
                <w:rFonts w:cs="Times New Roman"/>
                <w:color w:val="auto"/>
                <w:kern w:val="0"/>
                <w:sz w:val="18"/>
                <w:szCs w:val="18"/>
                <w:highlight w:val="none"/>
              </w:rPr>
            </w:pPr>
            <w:r>
              <w:rPr>
                <w:rFonts w:hint="eastAsia" w:cs="Times New Roman"/>
                <w:color w:val="auto"/>
                <w:kern w:val="0"/>
                <w:sz w:val="18"/>
                <w:szCs w:val="18"/>
                <w:highlight w:val="none"/>
              </w:rPr>
              <w:t>得分</w:t>
            </w:r>
          </w:p>
        </w:tc>
      </w:tr>
      <w:tr>
        <w:tblPrEx>
          <w:tblCellMar>
            <w:top w:w="0" w:type="dxa"/>
            <w:left w:w="108" w:type="dxa"/>
            <w:bottom w:w="0" w:type="dxa"/>
            <w:right w:w="108" w:type="dxa"/>
          </w:tblCellMar>
        </w:tblPrEx>
        <w:trPr>
          <w:trHeight w:val="54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r>
              <w:rPr>
                <w:rFonts w:cs="Times New Roman"/>
                <w:color w:val="auto"/>
                <w:kern w:val="0"/>
                <w:sz w:val="18"/>
                <w:szCs w:val="18"/>
                <w:highlight w:val="none"/>
              </w:rPr>
              <w:t>1</w:t>
            </w:r>
          </w:p>
        </w:tc>
        <w:tc>
          <w:tcPr>
            <w:tcW w:w="816"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cs="Times New Roman"/>
                <w:color w:val="auto"/>
                <w:sz w:val="18"/>
                <w:szCs w:val="18"/>
                <w:highlight w:val="none"/>
              </w:rPr>
            </w:pPr>
            <w:r>
              <w:rPr>
                <w:rFonts w:cs="Times New Roman"/>
                <w:color w:val="auto"/>
                <w:kern w:val="0"/>
                <w:sz w:val="18"/>
                <w:szCs w:val="18"/>
                <w:highlight w:val="none"/>
              </w:rPr>
              <w:t>投标人业绩</w:t>
            </w:r>
          </w:p>
        </w:tc>
        <w:tc>
          <w:tcPr>
            <w:tcW w:w="591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hint="eastAsia" w:cs="Times New Roman"/>
                <w:color w:val="auto"/>
                <w:kern w:val="0"/>
                <w:sz w:val="18"/>
                <w:szCs w:val="18"/>
                <w:highlight w:val="none"/>
                <w:lang w:val="en-US" w:eastAsia="zh-CN"/>
              </w:rPr>
              <w:t>满足投标人业绩要求得2分，在此基础上每多提供一个合格业绩（业绩要求和证明材料同资格要求）加1分，最多6分。</w:t>
            </w:r>
          </w:p>
        </w:tc>
        <w:tc>
          <w:tcPr>
            <w:tcW w:w="936" w:type="dxa"/>
            <w:tcBorders>
              <w:top w:val="single" w:color="auto" w:sz="4" w:space="0"/>
              <w:left w:val="nil"/>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6</w:t>
            </w:r>
          </w:p>
        </w:tc>
        <w:tc>
          <w:tcPr>
            <w:tcW w:w="936" w:type="dxa"/>
            <w:tcBorders>
              <w:top w:val="single" w:color="auto" w:sz="4" w:space="0"/>
              <w:left w:val="nil"/>
              <w:bottom w:val="single" w:color="auto" w:sz="4" w:space="0"/>
              <w:right w:val="single" w:color="auto" w:sz="4" w:space="0"/>
            </w:tcBorders>
            <w:noWrap/>
            <w:vAlign w:val="center"/>
          </w:tcPr>
          <w:p>
            <w:pPr>
              <w:snapToGrid w:val="0"/>
              <w:spacing w:beforeLines="50" w:afterLines="50"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103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r>
              <w:rPr>
                <w:rFonts w:cs="Times New Roman"/>
                <w:color w:val="auto"/>
                <w:kern w:val="0"/>
                <w:sz w:val="18"/>
                <w:szCs w:val="18"/>
                <w:highlight w:val="none"/>
              </w:rPr>
              <w:t>2</w:t>
            </w:r>
          </w:p>
        </w:tc>
        <w:tc>
          <w:tcPr>
            <w:tcW w:w="81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技术</w:t>
            </w:r>
            <w:r>
              <w:rPr>
                <w:rFonts w:hint="eastAsia" w:cs="Times New Roman"/>
                <w:color w:val="auto"/>
                <w:kern w:val="0"/>
                <w:sz w:val="18"/>
                <w:szCs w:val="18"/>
                <w:highlight w:val="none"/>
              </w:rPr>
              <w:t>实力</w:t>
            </w:r>
          </w:p>
        </w:tc>
        <w:tc>
          <w:tcPr>
            <w:tcW w:w="591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hint="eastAsia" w:cs="Times New Roman"/>
                <w:color w:val="auto"/>
                <w:kern w:val="0"/>
                <w:sz w:val="18"/>
                <w:szCs w:val="18"/>
                <w:highlight w:val="none"/>
              </w:rPr>
              <w:t>（1）属于高新技术企业的，得4分，不属于高新技术企业不得分；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w:t>
            </w:r>
            <w:r>
              <w:rPr>
                <w:rFonts w:hint="eastAsia" w:cs="Times New Roman"/>
                <w:color w:val="auto"/>
                <w:kern w:val="0"/>
                <w:sz w:val="18"/>
                <w:szCs w:val="18"/>
                <w:highlight w:val="none"/>
              </w:rPr>
              <w:t>2</w:t>
            </w:r>
            <w:r>
              <w:rPr>
                <w:rFonts w:cs="Times New Roman"/>
                <w:color w:val="auto"/>
                <w:kern w:val="0"/>
                <w:sz w:val="18"/>
                <w:szCs w:val="18"/>
                <w:highlight w:val="none"/>
              </w:rPr>
              <w:t>）</w:t>
            </w:r>
            <w:r>
              <w:rPr>
                <w:rFonts w:hint="eastAsia" w:cs="Times New Roman"/>
                <w:color w:val="auto"/>
                <w:kern w:val="0"/>
                <w:sz w:val="18"/>
                <w:szCs w:val="18"/>
                <w:highlight w:val="none"/>
              </w:rPr>
              <w:t>单位主编参与水运行业检测类规范的，得6分，无不得分。（需单位名称与规范上主编单位名称一致）</w:t>
            </w:r>
          </w:p>
        </w:tc>
        <w:tc>
          <w:tcPr>
            <w:tcW w:w="936" w:type="dxa"/>
            <w:tcBorders>
              <w:top w:val="single" w:color="auto" w:sz="4" w:space="0"/>
              <w:left w:val="nil"/>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10</w:t>
            </w:r>
          </w:p>
        </w:tc>
        <w:tc>
          <w:tcPr>
            <w:tcW w:w="936" w:type="dxa"/>
            <w:tcBorders>
              <w:top w:val="single" w:color="auto" w:sz="4" w:space="0"/>
              <w:left w:val="nil"/>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p>
        </w:tc>
      </w:tr>
      <w:tr>
        <w:tblPrEx>
          <w:tblCellMar>
            <w:top w:w="0" w:type="dxa"/>
            <w:left w:w="108" w:type="dxa"/>
            <w:bottom w:w="0" w:type="dxa"/>
            <w:right w:w="108" w:type="dxa"/>
          </w:tblCellMar>
        </w:tblPrEx>
        <w:trPr>
          <w:trHeight w:val="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Lines="50" w:line="240" w:lineRule="auto"/>
              <w:jc w:val="center"/>
              <w:rPr>
                <w:rFonts w:cs="Times New Roman"/>
                <w:color w:val="auto"/>
                <w:kern w:val="0"/>
                <w:sz w:val="18"/>
                <w:szCs w:val="18"/>
                <w:highlight w:val="none"/>
              </w:rPr>
            </w:pPr>
            <w:r>
              <w:rPr>
                <w:rFonts w:cs="Times New Roman"/>
                <w:color w:val="auto"/>
                <w:kern w:val="0"/>
                <w:sz w:val="18"/>
                <w:szCs w:val="18"/>
                <w:highlight w:val="none"/>
              </w:rPr>
              <w:t>3</w:t>
            </w:r>
          </w:p>
        </w:tc>
        <w:tc>
          <w:tcPr>
            <w:tcW w:w="816"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cs="Times New Roman"/>
                <w:color w:val="auto"/>
                <w:kern w:val="0"/>
                <w:sz w:val="18"/>
                <w:szCs w:val="18"/>
                <w:highlight w:val="none"/>
              </w:rPr>
            </w:pPr>
            <w:r>
              <w:rPr>
                <w:rFonts w:cs="Times New Roman"/>
                <w:color w:val="auto"/>
                <w:kern w:val="0"/>
                <w:sz w:val="18"/>
                <w:szCs w:val="18"/>
                <w:highlight w:val="none"/>
              </w:rPr>
              <w:t>综合实力</w:t>
            </w:r>
          </w:p>
        </w:tc>
        <w:tc>
          <w:tcPr>
            <w:tcW w:w="591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（1）同时通过质量管理体系、环境管理体系和职业健康安全管理体系认证得</w:t>
            </w:r>
            <w:r>
              <w:rPr>
                <w:rFonts w:hint="eastAsia" w:cs="Times New Roman"/>
                <w:color w:val="auto"/>
                <w:kern w:val="0"/>
                <w:sz w:val="18"/>
                <w:szCs w:val="18"/>
                <w:highlight w:val="none"/>
              </w:rPr>
              <w:t>2</w:t>
            </w:r>
            <w:r>
              <w:rPr>
                <w:rFonts w:cs="Times New Roman"/>
                <w:color w:val="auto"/>
                <w:kern w:val="0"/>
                <w:sz w:val="18"/>
                <w:szCs w:val="18"/>
                <w:highlight w:val="none"/>
              </w:rPr>
              <w:t>分，没有的不得分；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（2）</w:t>
            </w:r>
            <w:r>
              <w:rPr>
                <w:rFonts w:hint="eastAsia" w:cs="Times New Roman"/>
                <w:color w:val="auto"/>
                <w:kern w:val="0"/>
                <w:sz w:val="18"/>
                <w:szCs w:val="18"/>
                <w:highlight w:val="none"/>
              </w:rPr>
              <w:t>连续三年</w:t>
            </w:r>
            <w:r>
              <w:rPr>
                <w:rFonts w:cs="Times New Roman"/>
                <w:color w:val="auto"/>
                <w:kern w:val="0"/>
                <w:sz w:val="18"/>
                <w:szCs w:val="18"/>
                <w:highlight w:val="none"/>
              </w:rPr>
              <w:t>营业收入≥</w:t>
            </w:r>
            <w:r>
              <w:rPr>
                <w:rFonts w:hint="eastAsia" w:cs="Times New Roman"/>
                <w:color w:val="auto"/>
                <w:kern w:val="0"/>
                <w:sz w:val="18"/>
                <w:szCs w:val="18"/>
                <w:highlight w:val="none"/>
              </w:rPr>
              <w:t>10</w:t>
            </w:r>
            <w:r>
              <w:rPr>
                <w:rFonts w:cs="Times New Roman"/>
                <w:color w:val="auto"/>
                <w:kern w:val="0"/>
                <w:sz w:val="18"/>
                <w:szCs w:val="18"/>
                <w:highlight w:val="none"/>
              </w:rPr>
              <w:t>000万元，得</w:t>
            </w:r>
            <w:r>
              <w:rPr>
                <w:rFonts w:hint="eastAsia" w:cs="Times New Roman"/>
                <w:color w:val="auto"/>
                <w:kern w:val="0"/>
                <w:sz w:val="18"/>
                <w:szCs w:val="18"/>
                <w:highlight w:val="none"/>
              </w:rPr>
              <w:t>2</w:t>
            </w:r>
            <w:r>
              <w:rPr>
                <w:rFonts w:cs="Times New Roman"/>
                <w:color w:val="auto"/>
                <w:kern w:val="0"/>
                <w:sz w:val="18"/>
                <w:szCs w:val="18"/>
                <w:highlight w:val="none"/>
              </w:rPr>
              <w:t>分</w:t>
            </w:r>
            <w:r>
              <w:rPr>
                <w:rFonts w:hint="eastAsia" w:cs="Times New Roman"/>
                <w:color w:val="auto"/>
                <w:kern w:val="0"/>
                <w:sz w:val="18"/>
                <w:szCs w:val="18"/>
                <w:highlight w:val="none"/>
              </w:rPr>
              <w:t>（提供2020-2022年财务审计报告供核查）</w:t>
            </w:r>
          </w:p>
        </w:tc>
        <w:tc>
          <w:tcPr>
            <w:tcW w:w="936"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4</w:t>
            </w:r>
          </w:p>
        </w:tc>
        <w:tc>
          <w:tcPr>
            <w:tcW w:w="93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423" w:hRule="atLeast"/>
        </w:trPr>
        <w:tc>
          <w:tcPr>
            <w:tcW w:w="71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商务</w:t>
            </w:r>
            <w:r>
              <w:rPr>
                <w:rFonts w:cs="Times New Roman"/>
                <w:color w:val="auto"/>
                <w:kern w:val="0"/>
                <w:sz w:val="18"/>
                <w:szCs w:val="18"/>
                <w:highlight w:val="none"/>
              </w:rPr>
              <w:t>部分得分合计</w:t>
            </w:r>
          </w:p>
        </w:tc>
        <w:tc>
          <w:tcPr>
            <w:tcW w:w="93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20</w:t>
            </w:r>
          </w:p>
        </w:tc>
        <w:tc>
          <w:tcPr>
            <w:tcW w:w="93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p>
        </w:tc>
      </w:tr>
    </w:tbl>
    <w:p>
      <w:pPr>
        <w:spacing w:line="520" w:lineRule="exact"/>
        <w:ind w:firstLine="360" w:firstLineChars="200"/>
        <w:rPr>
          <w:rFonts w:ascii="宋体" w:hAnsi="宋体" w:cs="Times New Roman"/>
          <w:color w:val="auto"/>
          <w:sz w:val="18"/>
          <w:szCs w:val="18"/>
          <w:highlight w:val="none"/>
        </w:rPr>
      </w:pPr>
      <w:r>
        <w:rPr>
          <w:rFonts w:hint="eastAsia" w:ascii="宋体" w:hAnsi="宋体" w:cs="Times New Roman"/>
          <w:color w:val="auto"/>
          <w:sz w:val="18"/>
          <w:szCs w:val="18"/>
          <w:highlight w:val="none"/>
        </w:rPr>
        <w:t>二、技术部分：</w:t>
      </w:r>
      <w:r>
        <w:rPr>
          <w:rFonts w:hint="eastAsia" w:ascii="宋体" w:hAnsi="宋体" w:cs="Times New Roman"/>
          <w:color w:val="auto"/>
          <w:sz w:val="18"/>
          <w:szCs w:val="18"/>
          <w:highlight w:val="none"/>
          <w:lang w:val="en-US" w:eastAsia="zh-CN"/>
        </w:rPr>
        <w:t>50</w:t>
      </w:r>
      <w:r>
        <w:rPr>
          <w:rFonts w:hint="eastAsia" w:ascii="宋体" w:hAnsi="宋体" w:cs="Times New Roman"/>
          <w:color w:val="auto"/>
          <w:sz w:val="18"/>
          <w:szCs w:val="18"/>
          <w:highlight w:val="none"/>
        </w:rPr>
        <w:t>分</w:t>
      </w:r>
    </w:p>
    <w:tbl>
      <w:tblPr>
        <w:tblStyle w:val="14"/>
        <w:tblW w:w="9060" w:type="dxa"/>
        <w:tblInd w:w="0" w:type="dxa"/>
        <w:tblLayout w:type="fixed"/>
        <w:tblCellMar>
          <w:top w:w="0" w:type="dxa"/>
          <w:left w:w="108" w:type="dxa"/>
          <w:bottom w:w="0" w:type="dxa"/>
          <w:right w:w="108" w:type="dxa"/>
        </w:tblCellMar>
      </w:tblPr>
      <w:tblGrid>
        <w:gridCol w:w="423"/>
        <w:gridCol w:w="2496"/>
        <w:gridCol w:w="4776"/>
        <w:gridCol w:w="527"/>
        <w:gridCol w:w="838"/>
      </w:tblGrid>
      <w:tr>
        <w:tblPrEx>
          <w:tblCellMar>
            <w:top w:w="0" w:type="dxa"/>
            <w:left w:w="108" w:type="dxa"/>
            <w:bottom w:w="0" w:type="dxa"/>
            <w:right w:w="108" w:type="dxa"/>
          </w:tblCellMar>
        </w:tblPrEx>
        <w:trPr>
          <w:trHeight w:val="1177" w:hRule="atLeast"/>
        </w:trPr>
        <w:tc>
          <w:tcPr>
            <w:tcW w:w="423"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序号</w:t>
            </w:r>
          </w:p>
        </w:tc>
        <w:tc>
          <w:tcPr>
            <w:tcW w:w="2496" w:type="dxa"/>
            <w:tcBorders>
              <w:top w:val="single" w:color="auto" w:sz="4" w:space="0"/>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评分项目</w:t>
            </w:r>
          </w:p>
        </w:tc>
        <w:tc>
          <w:tcPr>
            <w:tcW w:w="4776" w:type="dxa"/>
            <w:tcBorders>
              <w:top w:val="single" w:color="auto" w:sz="4" w:space="0"/>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评分标准</w:t>
            </w:r>
          </w:p>
        </w:tc>
        <w:tc>
          <w:tcPr>
            <w:tcW w:w="527" w:type="dxa"/>
            <w:tcBorders>
              <w:top w:val="single" w:color="auto" w:sz="4" w:space="0"/>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标准分</w:t>
            </w:r>
          </w:p>
        </w:tc>
        <w:tc>
          <w:tcPr>
            <w:tcW w:w="838" w:type="dxa"/>
            <w:tcBorders>
              <w:top w:val="single" w:color="auto" w:sz="4" w:space="0"/>
              <w:left w:val="nil"/>
              <w:right w:val="single" w:color="auto" w:sz="4" w:space="0"/>
            </w:tcBorders>
            <w:noWrap/>
            <w:vAlign w:val="center"/>
          </w:tcPr>
          <w:p>
            <w:pPr>
              <w:snapToGrid w:val="0"/>
              <w:jc w:val="center"/>
              <w:rPr>
                <w:rFonts w:cs="Times New Roman"/>
                <w:color w:val="auto"/>
                <w:kern w:val="0"/>
                <w:sz w:val="18"/>
                <w:szCs w:val="18"/>
                <w:highlight w:val="none"/>
              </w:rPr>
            </w:pPr>
            <w:r>
              <w:rPr>
                <w:rFonts w:hint="eastAsia" w:cs="Times New Roman"/>
                <w:color w:val="auto"/>
                <w:kern w:val="0"/>
                <w:sz w:val="18"/>
                <w:szCs w:val="18"/>
                <w:highlight w:val="none"/>
              </w:rPr>
              <w:t>得分</w:t>
            </w:r>
          </w:p>
        </w:tc>
      </w:tr>
      <w:tr>
        <w:tblPrEx>
          <w:tblCellMar>
            <w:top w:w="0" w:type="dxa"/>
            <w:left w:w="108" w:type="dxa"/>
            <w:bottom w:w="0" w:type="dxa"/>
            <w:right w:w="108" w:type="dxa"/>
          </w:tblCellMar>
        </w:tblPrEx>
        <w:trPr>
          <w:trHeight w:val="1360" w:hRule="atLeast"/>
        </w:trPr>
        <w:tc>
          <w:tcPr>
            <w:tcW w:w="423" w:type="dxa"/>
            <w:tcBorders>
              <w:top w:val="single" w:color="auto" w:sz="4" w:space="0"/>
              <w:left w:val="single" w:color="auto" w:sz="4" w:space="0"/>
              <w:bottom w:val="nil"/>
              <w:right w:val="single" w:color="auto" w:sz="4" w:space="0"/>
            </w:tcBorders>
            <w:noWrap/>
            <w:vAlign w:val="center"/>
          </w:tcPr>
          <w:p>
            <w:pPr>
              <w:spacing w:line="240" w:lineRule="auto"/>
              <w:jc w:val="center"/>
              <w:rPr>
                <w:rFonts w:cs="Times New Roman"/>
                <w:color w:val="auto"/>
                <w:kern w:val="0"/>
                <w:sz w:val="18"/>
                <w:szCs w:val="18"/>
                <w:highlight w:val="none"/>
              </w:rPr>
            </w:pPr>
            <w:r>
              <w:rPr>
                <w:rFonts w:cs="Times New Roman"/>
                <w:color w:val="auto"/>
                <w:kern w:val="0"/>
                <w:sz w:val="18"/>
                <w:szCs w:val="18"/>
                <w:highlight w:val="none"/>
              </w:rPr>
              <w:t>1</w:t>
            </w:r>
          </w:p>
        </w:tc>
        <w:tc>
          <w:tcPr>
            <w:tcW w:w="2496" w:type="dxa"/>
            <w:tcBorders>
              <w:top w:val="single" w:color="auto" w:sz="4" w:space="0"/>
              <w:left w:val="nil"/>
              <w:bottom w:val="nil"/>
              <w:right w:val="single" w:color="auto" w:sz="4" w:space="0"/>
            </w:tcBorders>
            <w:noWrap/>
            <w:vAlign w:val="center"/>
          </w:tcPr>
          <w:p>
            <w:pPr>
              <w:snapToGrid w:val="0"/>
              <w:spacing w:line="240" w:lineRule="auto"/>
              <w:jc w:val="left"/>
              <w:rPr>
                <w:rFonts w:eastAsia="楷体" w:cs="Times New Roman"/>
                <w:color w:val="auto"/>
                <w:sz w:val="18"/>
                <w:szCs w:val="18"/>
                <w:highlight w:val="none"/>
              </w:rPr>
            </w:pPr>
            <w:r>
              <w:rPr>
                <w:rFonts w:cs="Times New Roman"/>
                <w:color w:val="auto"/>
                <w:sz w:val="18"/>
                <w:szCs w:val="18"/>
                <w:highlight w:val="none"/>
              </w:rPr>
              <w:t>项目管理机构设置</w:t>
            </w:r>
          </w:p>
        </w:tc>
        <w:tc>
          <w:tcPr>
            <w:tcW w:w="4776" w:type="dxa"/>
            <w:tcBorders>
              <w:top w:val="single" w:color="auto" w:sz="4" w:space="0"/>
              <w:left w:val="nil"/>
              <w:bottom w:val="nil"/>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机构设置合理</w:t>
            </w:r>
            <w:r>
              <w:rPr>
                <w:rFonts w:hint="eastAsia" w:cs="Times New Roman"/>
                <w:color w:val="auto"/>
                <w:kern w:val="0"/>
                <w:sz w:val="18"/>
                <w:szCs w:val="18"/>
                <w:highlight w:val="none"/>
              </w:rPr>
              <w:t>，</w:t>
            </w:r>
            <w:r>
              <w:rPr>
                <w:rFonts w:cs="Times New Roman"/>
                <w:color w:val="auto"/>
                <w:kern w:val="0"/>
                <w:sz w:val="18"/>
                <w:szCs w:val="18"/>
                <w:highlight w:val="none"/>
              </w:rPr>
              <w:t>职责分工明确：</w:t>
            </w:r>
            <w:r>
              <w:rPr>
                <w:rFonts w:hint="eastAsia" w:cs="Times New Roman"/>
                <w:color w:val="auto"/>
                <w:kern w:val="0"/>
                <w:sz w:val="18"/>
                <w:szCs w:val="18"/>
                <w:highlight w:val="none"/>
                <w:lang w:val="en-US" w:eastAsia="zh-CN"/>
              </w:rPr>
              <w:t>4.5</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6</w:t>
            </w:r>
            <w:r>
              <w:rPr>
                <w:rFonts w:cs="Times New Roman"/>
                <w:color w:val="auto"/>
                <w:kern w:val="0"/>
                <w:sz w:val="18"/>
                <w:szCs w:val="18"/>
                <w:highlight w:val="none"/>
              </w:rPr>
              <w:t>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机构设置较合理</w:t>
            </w:r>
            <w:r>
              <w:rPr>
                <w:rFonts w:hint="eastAsia" w:cs="Times New Roman"/>
                <w:color w:val="auto"/>
                <w:kern w:val="0"/>
                <w:sz w:val="18"/>
                <w:szCs w:val="18"/>
                <w:highlight w:val="none"/>
              </w:rPr>
              <w:t>，</w:t>
            </w:r>
            <w:r>
              <w:rPr>
                <w:rFonts w:cs="Times New Roman"/>
                <w:color w:val="auto"/>
                <w:kern w:val="0"/>
                <w:sz w:val="18"/>
                <w:szCs w:val="18"/>
                <w:highlight w:val="none"/>
              </w:rPr>
              <w:t>职责分工较明确：</w:t>
            </w:r>
            <w:r>
              <w:rPr>
                <w:rFonts w:hint="eastAsia" w:cs="Times New Roman"/>
                <w:color w:val="auto"/>
                <w:kern w:val="0"/>
                <w:sz w:val="18"/>
                <w:szCs w:val="18"/>
                <w:highlight w:val="none"/>
                <w:lang w:val="en-US" w:eastAsia="zh-CN"/>
              </w:rPr>
              <w:t>3</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4.5</w:t>
            </w:r>
            <w:r>
              <w:rPr>
                <w:rFonts w:cs="Times New Roman"/>
                <w:color w:val="auto"/>
                <w:kern w:val="0"/>
                <w:sz w:val="18"/>
                <w:szCs w:val="18"/>
                <w:highlight w:val="none"/>
              </w:rPr>
              <w:t>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机构设置较合理</w:t>
            </w:r>
            <w:r>
              <w:rPr>
                <w:rFonts w:hint="eastAsia" w:cs="Times New Roman"/>
                <w:color w:val="auto"/>
                <w:kern w:val="0"/>
                <w:sz w:val="18"/>
                <w:szCs w:val="18"/>
                <w:highlight w:val="none"/>
              </w:rPr>
              <w:t>，</w:t>
            </w:r>
            <w:r>
              <w:rPr>
                <w:rFonts w:cs="Times New Roman"/>
                <w:color w:val="auto"/>
                <w:kern w:val="0"/>
                <w:sz w:val="18"/>
                <w:szCs w:val="18"/>
                <w:highlight w:val="none"/>
              </w:rPr>
              <w:t>职责分工较合理，但部分细节待完善：</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3</w:t>
            </w:r>
            <w:r>
              <w:rPr>
                <w:rFonts w:cs="Times New Roman"/>
                <w:color w:val="auto"/>
                <w:kern w:val="0"/>
                <w:sz w:val="18"/>
                <w:szCs w:val="18"/>
                <w:highlight w:val="none"/>
              </w:rPr>
              <w:t>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无该项内容：0分</w:t>
            </w:r>
          </w:p>
        </w:tc>
        <w:tc>
          <w:tcPr>
            <w:tcW w:w="527" w:type="dxa"/>
            <w:tcBorders>
              <w:top w:val="single" w:color="auto" w:sz="4" w:space="0"/>
              <w:left w:val="nil"/>
              <w:bottom w:val="nil"/>
              <w:right w:val="single" w:color="auto" w:sz="4" w:space="0"/>
            </w:tcBorders>
            <w:noWrap/>
            <w:vAlign w:val="center"/>
          </w:tcPr>
          <w:p>
            <w:pPr>
              <w:snapToGrid w:val="0"/>
              <w:spacing w:line="240" w:lineRule="auto"/>
              <w:jc w:val="center"/>
              <w:rPr>
                <w:rFonts w:hint="eastAsia" w:cs="Times New Roman" w:eastAsiaTheme="minorEastAsia"/>
                <w:color w:val="auto"/>
                <w:kern w:val="0"/>
                <w:sz w:val="18"/>
                <w:szCs w:val="18"/>
                <w:highlight w:val="none"/>
                <w:lang w:eastAsia="zh-CN"/>
              </w:rPr>
            </w:pPr>
            <w:r>
              <w:rPr>
                <w:rFonts w:hint="eastAsia" w:cs="Times New Roman"/>
                <w:color w:val="auto"/>
                <w:kern w:val="0"/>
                <w:sz w:val="18"/>
                <w:szCs w:val="18"/>
                <w:highlight w:val="none"/>
                <w:lang w:val="en-US" w:eastAsia="zh-CN"/>
              </w:rPr>
              <w:t>6</w:t>
            </w:r>
          </w:p>
        </w:tc>
        <w:tc>
          <w:tcPr>
            <w:tcW w:w="838" w:type="dxa"/>
            <w:tcBorders>
              <w:top w:val="single" w:color="auto" w:sz="4" w:space="0"/>
              <w:left w:val="nil"/>
              <w:bottom w:val="nil"/>
              <w:right w:val="single" w:color="auto" w:sz="4" w:space="0"/>
            </w:tcBorders>
            <w:noWrap/>
            <w:vAlign w:val="center"/>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803"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cs="Times New Roman"/>
                <w:color w:val="auto"/>
                <w:kern w:val="0"/>
                <w:sz w:val="18"/>
                <w:szCs w:val="18"/>
                <w:highlight w:val="none"/>
              </w:rPr>
            </w:pPr>
            <w:r>
              <w:rPr>
                <w:rFonts w:cs="Times New Roman"/>
                <w:color w:val="auto"/>
                <w:kern w:val="0"/>
                <w:sz w:val="18"/>
                <w:szCs w:val="18"/>
                <w:highlight w:val="none"/>
              </w:rPr>
              <w:t>2</w:t>
            </w:r>
          </w:p>
        </w:tc>
        <w:tc>
          <w:tcPr>
            <w:tcW w:w="2496"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cs="Times New Roman"/>
                <w:color w:val="auto"/>
                <w:sz w:val="18"/>
                <w:szCs w:val="18"/>
                <w:highlight w:val="none"/>
              </w:rPr>
            </w:pPr>
            <w:r>
              <w:rPr>
                <w:rFonts w:cs="Times New Roman"/>
                <w:color w:val="auto"/>
                <w:sz w:val="18"/>
                <w:szCs w:val="18"/>
                <w:highlight w:val="none"/>
              </w:rPr>
              <w:t>项目经理部人员专业</w:t>
            </w:r>
          </w:p>
        </w:tc>
        <w:tc>
          <w:tcPr>
            <w:tcW w:w="477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同时持有工程序列正高级工程师职称证书及水运工程试验检测工程师证书人员每人</w:t>
            </w:r>
            <w:r>
              <w:rPr>
                <w:rFonts w:hint="eastAsia" w:cs="Times New Roman"/>
                <w:color w:val="auto"/>
                <w:kern w:val="0"/>
                <w:sz w:val="18"/>
                <w:szCs w:val="18"/>
                <w:highlight w:val="none"/>
                <w:lang w:val="en-US" w:eastAsia="zh-CN"/>
              </w:rPr>
              <w:t>2</w:t>
            </w:r>
            <w:r>
              <w:rPr>
                <w:rFonts w:cs="Times New Roman"/>
                <w:color w:val="auto"/>
                <w:kern w:val="0"/>
                <w:sz w:val="18"/>
                <w:szCs w:val="18"/>
                <w:highlight w:val="none"/>
              </w:rPr>
              <w:t>分，最高</w:t>
            </w:r>
            <w:r>
              <w:rPr>
                <w:rFonts w:hint="eastAsia" w:cs="Times New Roman"/>
                <w:color w:val="auto"/>
                <w:kern w:val="0"/>
                <w:sz w:val="18"/>
                <w:szCs w:val="18"/>
                <w:highlight w:val="none"/>
                <w:lang w:val="en-US" w:eastAsia="zh-CN"/>
              </w:rPr>
              <w:t>8</w:t>
            </w:r>
            <w:r>
              <w:rPr>
                <w:rFonts w:cs="Times New Roman"/>
                <w:color w:val="auto"/>
                <w:kern w:val="0"/>
                <w:sz w:val="18"/>
                <w:szCs w:val="18"/>
                <w:highlight w:val="none"/>
              </w:rPr>
              <w:t>分；</w:t>
            </w:r>
          </w:p>
          <w:p>
            <w:pPr>
              <w:snapToGrid w:val="0"/>
              <w:spacing w:line="240" w:lineRule="auto"/>
              <w:rPr>
                <w:rFonts w:cs="Times New Roman"/>
                <w:color w:val="auto"/>
                <w:sz w:val="18"/>
                <w:szCs w:val="18"/>
                <w:highlight w:val="none"/>
              </w:rPr>
            </w:pPr>
            <w:r>
              <w:rPr>
                <w:rFonts w:cs="Times New Roman"/>
                <w:color w:val="auto"/>
                <w:kern w:val="0"/>
                <w:sz w:val="18"/>
                <w:szCs w:val="18"/>
                <w:highlight w:val="none"/>
              </w:rPr>
              <w:t>同时持有工程序列高级工程师职称证书及水运工程试验检测工程师证书人员每人</w:t>
            </w:r>
            <w:r>
              <w:rPr>
                <w:rFonts w:hint="eastAsia" w:cs="Times New Roman"/>
                <w:color w:val="auto"/>
                <w:kern w:val="0"/>
                <w:sz w:val="18"/>
                <w:szCs w:val="18"/>
                <w:highlight w:val="none"/>
                <w:lang w:val="en-US" w:eastAsia="zh-CN"/>
              </w:rPr>
              <w:t>2</w:t>
            </w:r>
            <w:r>
              <w:rPr>
                <w:rFonts w:cs="Times New Roman"/>
                <w:color w:val="auto"/>
                <w:kern w:val="0"/>
                <w:sz w:val="18"/>
                <w:szCs w:val="18"/>
                <w:highlight w:val="none"/>
              </w:rPr>
              <w:t>分，最高</w:t>
            </w:r>
            <w:r>
              <w:rPr>
                <w:rFonts w:hint="eastAsia" w:cs="Times New Roman"/>
                <w:color w:val="auto"/>
                <w:kern w:val="0"/>
                <w:sz w:val="18"/>
                <w:szCs w:val="18"/>
                <w:highlight w:val="none"/>
                <w:lang w:val="en-US" w:eastAsia="zh-CN"/>
              </w:rPr>
              <w:t>8</w:t>
            </w:r>
            <w:r>
              <w:rPr>
                <w:rFonts w:cs="Times New Roman"/>
                <w:color w:val="auto"/>
                <w:kern w:val="0"/>
                <w:sz w:val="18"/>
                <w:szCs w:val="18"/>
                <w:highlight w:val="none"/>
              </w:rPr>
              <w:t>分</w:t>
            </w:r>
          </w:p>
        </w:tc>
        <w:tc>
          <w:tcPr>
            <w:tcW w:w="52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default" w:cs="Times New Roman" w:eastAsiaTheme="minorEastAsia"/>
                <w:color w:val="auto"/>
                <w:kern w:val="0"/>
                <w:sz w:val="18"/>
                <w:szCs w:val="18"/>
                <w:highlight w:val="none"/>
                <w:lang w:val="en-US" w:eastAsia="zh-CN"/>
              </w:rPr>
            </w:pPr>
            <w:r>
              <w:rPr>
                <w:rFonts w:hint="eastAsia" w:cs="Times New Roman"/>
                <w:color w:val="auto"/>
                <w:kern w:val="0"/>
                <w:sz w:val="18"/>
                <w:szCs w:val="18"/>
                <w:highlight w:val="none"/>
                <w:lang w:val="en-US" w:eastAsia="zh-CN"/>
              </w:rPr>
              <w:t>16</w:t>
            </w:r>
          </w:p>
        </w:tc>
        <w:tc>
          <w:tcPr>
            <w:tcW w:w="838"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20"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cs="Times New Roman"/>
                <w:color w:val="auto"/>
                <w:kern w:val="0"/>
                <w:sz w:val="18"/>
                <w:szCs w:val="18"/>
                <w:highlight w:val="none"/>
              </w:rPr>
            </w:pPr>
            <w:r>
              <w:rPr>
                <w:rFonts w:cs="Times New Roman"/>
                <w:color w:val="auto"/>
                <w:kern w:val="0"/>
                <w:sz w:val="18"/>
                <w:szCs w:val="18"/>
                <w:highlight w:val="none"/>
              </w:rPr>
              <w:t>3</w:t>
            </w:r>
          </w:p>
        </w:tc>
        <w:tc>
          <w:tcPr>
            <w:tcW w:w="2496"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cs="Times New Roman"/>
                <w:color w:val="auto"/>
                <w:kern w:val="0"/>
                <w:sz w:val="18"/>
                <w:szCs w:val="18"/>
                <w:highlight w:val="none"/>
              </w:rPr>
            </w:pPr>
            <w:r>
              <w:rPr>
                <w:rFonts w:cs="Times New Roman"/>
                <w:color w:val="auto"/>
                <w:sz w:val="18"/>
                <w:szCs w:val="18"/>
                <w:highlight w:val="none"/>
              </w:rPr>
              <w:t>检测控制程序和工作制度</w:t>
            </w:r>
            <w:r>
              <w:rPr>
                <w:rFonts w:hint="eastAsia" w:cs="Times New Roman"/>
                <w:color w:val="auto"/>
                <w:sz w:val="18"/>
                <w:szCs w:val="18"/>
                <w:highlight w:val="none"/>
              </w:rPr>
              <w:t>及</w:t>
            </w:r>
            <w:r>
              <w:rPr>
                <w:rFonts w:cs="Times New Roman"/>
                <w:color w:val="auto"/>
                <w:sz w:val="18"/>
                <w:szCs w:val="18"/>
                <w:highlight w:val="none"/>
              </w:rPr>
              <w:t>流程</w:t>
            </w:r>
          </w:p>
        </w:tc>
        <w:tc>
          <w:tcPr>
            <w:tcW w:w="477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程序、流程合理，制度健全</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4.5</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6</w:t>
            </w:r>
            <w:r>
              <w:rPr>
                <w:rFonts w:cs="Times New Roman"/>
                <w:color w:val="auto"/>
                <w:kern w:val="0"/>
                <w:sz w:val="18"/>
                <w:szCs w:val="18"/>
                <w:highlight w:val="none"/>
              </w:rPr>
              <w:t xml:space="preserve">分                 </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合理，可行，细节待完善：</w:t>
            </w:r>
            <w:r>
              <w:rPr>
                <w:rFonts w:hint="eastAsia" w:cs="Times New Roman"/>
                <w:color w:val="auto"/>
                <w:kern w:val="0"/>
                <w:sz w:val="18"/>
                <w:szCs w:val="18"/>
                <w:highlight w:val="none"/>
                <w:lang w:val="en-US" w:eastAsia="zh-CN"/>
              </w:rPr>
              <w:t>3</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4.5</w:t>
            </w:r>
            <w:r>
              <w:rPr>
                <w:rFonts w:cs="Times New Roman"/>
                <w:color w:val="auto"/>
                <w:kern w:val="0"/>
                <w:sz w:val="18"/>
                <w:szCs w:val="18"/>
                <w:highlight w:val="none"/>
              </w:rPr>
              <w:t>分</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不够全面，针对性欠缺：</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3</w:t>
            </w:r>
            <w:r>
              <w:rPr>
                <w:rFonts w:cs="Times New Roman"/>
                <w:color w:val="auto"/>
                <w:kern w:val="0"/>
                <w:sz w:val="18"/>
                <w:szCs w:val="18"/>
                <w:highlight w:val="none"/>
              </w:rPr>
              <w:t>分；</w:t>
            </w:r>
          </w:p>
          <w:p>
            <w:pPr>
              <w:snapToGrid w:val="0"/>
              <w:spacing w:line="240" w:lineRule="auto"/>
              <w:rPr>
                <w:rFonts w:cs="Times New Roman"/>
                <w:color w:val="auto"/>
                <w:sz w:val="18"/>
                <w:szCs w:val="18"/>
                <w:highlight w:val="none"/>
              </w:rPr>
            </w:pPr>
            <w:r>
              <w:rPr>
                <w:rFonts w:cs="Times New Roman"/>
                <w:color w:val="auto"/>
                <w:kern w:val="0"/>
                <w:sz w:val="18"/>
                <w:szCs w:val="18"/>
                <w:highlight w:val="none"/>
              </w:rPr>
              <w:t>无该项内容：0分</w:t>
            </w:r>
          </w:p>
        </w:tc>
        <w:tc>
          <w:tcPr>
            <w:tcW w:w="52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eastAsia" w:cs="Times New Roman" w:eastAsiaTheme="minorEastAsia"/>
                <w:color w:val="auto"/>
                <w:kern w:val="0"/>
                <w:sz w:val="18"/>
                <w:szCs w:val="18"/>
                <w:highlight w:val="none"/>
                <w:lang w:eastAsia="zh-CN"/>
              </w:rPr>
            </w:pPr>
            <w:r>
              <w:rPr>
                <w:rFonts w:hint="eastAsia" w:cs="Times New Roman"/>
                <w:color w:val="auto"/>
                <w:kern w:val="0"/>
                <w:sz w:val="18"/>
                <w:szCs w:val="18"/>
                <w:highlight w:val="none"/>
                <w:lang w:val="en-US" w:eastAsia="zh-CN"/>
              </w:rPr>
              <w:t>6</w:t>
            </w:r>
          </w:p>
        </w:tc>
        <w:tc>
          <w:tcPr>
            <w:tcW w:w="838"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20"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cs="Times New Roman"/>
                <w:color w:val="auto"/>
                <w:kern w:val="0"/>
                <w:sz w:val="18"/>
                <w:szCs w:val="18"/>
                <w:highlight w:val="none"/>
              </w:rPr>
            </w:pPr>
            <w:r>
              <w:rPr>
                <w:rFonts w:cs="Times New Roman"/>
                <w:color w:val="auto"/>
                <w:kern w:val="0"/>
                <w:sz w:val="18"/>
                <w:szCs w:val="18"/>
                <w:highlight w:val="none"/>
              </w:rPr>
              <w:t>4</w:t>
            </w:r>
          </w:p>
        </w:tc>
        <w:tc>
          <w:tcPr>
            <w:tcW w:w="249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sz w:val="18"/>
                <w:szCs w:val="18"/>
                <w:highlight w:val="none"/>
              </w:rPr>
            </w:pPr>
            <w:r>
              <w:rPr>
                <w:rFonts w:cs="Times New Roman"/>
                <w:color w:val="auto"/>
                <w:sz w:val="18"/>
                <w:szCs w:val="18"/>
                <w:highlight w:val="none"/>
              </w:rPr>
              <w:t>检测质量控制措施</w:t>
            </w:r>
          </w:p>
        </w:tc>
        <w:tc>
          <w:tcPr>
            <w:tcW w:w="477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体系完整、控制措施得力，</w:t>
            </w:r>
            <w:r>
              <w:rPr>
                <w:rFonts w:hint="eastAsia" w:cs="Times New Roman"/>
                <w:color w:val="auto"/>
                <w:kern w:val="0"/>
                <w:sz w:val="18"/>
                <w:szCs w:val="18"/>
                <w:highlight w:val="none"/>
                <w:lang w:val="en-US" w:eastAsia="zh-CN"/>
              </w:rPr>
              <w:t>4.5</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6</w:t>
            </w:r>
            <w:r>
              <w:rPr>
                <w:rFonts w:cs="Times New Roman"/>
                <w:color w:val="auto"/>
                <w:kern w:val="0"/>
                <w:sz w:val="18"/>
                <w:szCs w:val="18"/>
                <w:highlight w:val="none"/>
              </w:rPr>
              <w:t xml:space="preserve">分；      </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体系完整、控制措施较得力，</w:t>
            </w:r>
            <w:r>
              <w:rPr>
                <w:rFonts w:hint="eastAsia" w:cs="Times New Roman"/>
                <w:color w:val="auto"/>
                <w:kern w:val="0"/>
                <w:sz w:val="18"/>
                <w:szCs w:val="18"/>
                <w:highlight w:val="none"/>
                <w:lang w:val="en-US" w:eastAsia="zh-CN"/>
              </w:rPr>
              <w:t>3</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4.5</w:t>
            </w:r>
            <w:r>
              <w:rPr>
                <w:rFonts w:cs="Times New Roman"/>
                <w:color w:val="auto"/>
                <w:kern w:val="0"/>
                <w:sz w:val="18"/>
                <w:szCs w:val="18"/>
                <w:highlight w:val="none"/>
              </w:rPr>
              <w:t xml:space="preserve">分；       </w:t>
            </w:r>
          </w:p>
          <w:p>
            <w:pPr>
              <w:snapToGrid w:val="0"/>
              <w:spacing w:line="240" w:lineRule="auto"/>
              <w:jc w:val="left"/>
              <w:rPr>
                <w:rFonts w:cs="Times New Roman"/>
                <w:color w:val="auto"/>
                <w:kern w:val="0"/>
                <w:sz w:val="18"/>
                <w:szCs w:val="18"/>
                <w:highlight w:val="none"/>
              </w:rPr>
            </w:pPr>
            <w:r>
              <w:rPr>
                <w:rFonts w:cs="Times New Roman"/>
                <w:color w:val="auto"/>
                <w:kern w:val="0"/>
                <w:sz w:val="18"/>
                <w:szCs w:val="18"/>
                <w:highlight w:val="none"/>
              </w:rPr>
              <w:t>不完整或措施不得力或缺少，</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3</w:t>
            </w:r>
            <w:r>
              <w:rPr>
                <w:rFonts w:cs="Times New Roman"/>
                <w:color w:val="auto"/>
                <w:kern w:val="0"/>
                <w:sz w:val="18"/>
                <w:szCs w:val="18"/>
                <w:highlight w:val="none"/>
              </w:rPr>
              <w:t>分</w:t>
            </w:r>
          </w:p>
          <w:p>
            <w:pPr>
              <w:snapToGrid w:val="0"/>
              <w:spacing w:line="240" w:lineRule="auto"/>
              <w:jc w:val="left"/>
              <w:rPr>
                <w:rFonts w:cs="Times New Roman"/>
                <w:color w:val="auto"/>
                <w:kern w:val="0"/>
                <w:sz w:val="18"/>
                <w:szCs w:val="18"/>
                <w:highlight w:val="none"/>
              </w:rPr>
            </w:pPr>
            <w:r>
              <w:rPr>
                <w:rFonts w:cs="Times New Roman"/>
                <w:color w:val="auto"/>
                <w:kern w:val="0"/>
                <w:sz w:val="18"/>
                <w:szCs w:val="18"/>
                <w:highlight w:val="none"/>
              </w:rPr>
              <w:t>无该项内容：0分</w:t>
            </w:r>
          </w:p>
        </w:tc>
        <w:tc>
          <w:tcPr>
            <w:tcW w:w="52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lang w:val="en-US" w:eastAsia="zh-CN"/>
              </w:rPr>
              <w:t>6</w:t>
            </w:r>
          </w:p>
        </w:tc>
        <w:tc>
          <w:tcPr>
            <w:tcW w:w="838" w:type="dxa"/>
            <w:tcBorders>
              <w:top w:val="single" w:color="auto" w:sz="4" w:space="0"/>
              <w:left w:val="nil"/>
              <w:bottom w:val="single" w:color="auto" w:sz="4" w:space="0"/>
              <w:right w:val="single" w:color="auto" w:sz="4" w:space="0"/>
            </w:tcBorders>
            <w:noWrap/>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20"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5</w:t>
            </w:r>
          </w:p>
        </w:tc>
        <w:tc>
          <w:tcPr>
            <w:tcW w:w="2496"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cs="Times New Roman"/>
                <w:color w:val="auto"/>
                <w:sz w:val="18"/>
                <w:szCs w:val="18"/>
                <w:highlight w:val="none"/>
              </w:rPr>
            </w:pPr>
            <w:r>
              <w:rPr>
                <w:rFonts w:hint="eastAsia" w:cs="Times New Roman"/>
                <w:color w:val="auto"/>
                <w:sz w:val="18"/>
                <w:szCs w:val="18"/>
                <w:highlight w:val="none"/>
              </w:rPr>
              <w:t>检测设备</w:t>
            </w:r>
          </w:p>
        </w:tc>
        <w:tc>
          <w:tcPr>
            <w:tcW w:w="477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hint="eastAsia" w:cs="Times New Roman"/>
                <w:color w:val="auto"/>
                <w:kern w:val="0"/>
                <w:sz w:val="18"/>
                <w:szCs w:val="18"/>
                <w:highlight w:val="none"/>
              </w:rPr>
              <w:t>提供自有检测设备，发票金额超过500万元的：得</w:t>
            </w:r>
            <w:r>
              <w:rPr>
                <w:rFonts w:hint="eastAsia" w:cs="Times New Roman"/>
                <w:color w:val="auto"/>
                <w:kern w:val="0"/>
                <w:sz w:val="18"/>
                <w:szCs w:val="18"/>
                <w:highlight w:val="none"/>
                <w:lang w:val="en-US" w:eastAsia="zh-CN"/>
              </w:rPr>
              <w:t>10</w:t>
            </w:r>
            <w:r>
              <w:rPr>
                <w:rFonts w:hint="eastAsia" w:cs="Times New Roman"/>
                <w:color w:val="auto"/>
                <w:kern w:val="0"/>
                <w:sz w:val="18"/>
                <w:szCs w:val="18"/>
                <w:highlight w:val="none"/>
              </w:rPr>
              <w:t>分；</w:t>
            </w:r>
          </w:p>
          <w:p>
            <w:pPr>
              <w:snapToGrid w:val="0"/>
              <w:spacing w:line="240" w:lineRule="auto"/>
              <w:rPr>
                <w:rFonts w:cs="Times New Roman"/>
                <w:color w:val="auto"/>
                <w:kern w:val="0"/>
                <w:sz w:val="18"/>
                <w:szCs w:val="18"/>
                <w:highlight w:val="none"/>
              </w:rPr>
            </w:pPr>
            <w:r>
              <w:rPr>
                <w:rFonts w:hint="eastAsia" w:cs="Times New Roman"/>
                <w:color w:val="auto"/>
                <w:kern w:val="0"/>
                <w:sz w:val="18"/>
                <w:szCs w:val="18"/>
                <w:highlight w:val="none"/>
              </w:rPr>
              <w:t>提供自有检测设备，发票金额低于500万元（不含）超过200万元的：得</w:t>
            </w:r>
            <w:r>
              <w:rPr>
                <w:rFonts w:hint="eastAsia" w:cs="Times New Roman"/>
                <w:color w:val="auto"/>
                <w:kern w:val="0"/>
                <w:sz w:val="18"/>
                <w:szCs w:val="18"/>
                <w:highlight w:val="none"/>
                <w:lang w:val="en-US" w:eastAsia="zh-CN"/>
              </w:rPr>
              <w:t>5</w:t>
            </w:r>
            <w:r>
              <w:rPr>
                <w:rFonts w:hint="eastAsia" w:cs="Times New Roman"/>
                <w:color w:val="auto"/>
                <w:kern w:val="0"/>
                <w:sz w:val="18"/>
                <w:szCs w:val="18"/>
                <w:highlight w:val="none"/>
              </w:rPr>
              <w:t>分；</w:t>
            </w:r>
          </w:p>
          <w:p>
            <w:pPr>
              <w:snapToGrid w:val="0"/>
              <w:spacing w:line="240" w:lineRule="auto"/>
              <w:rPr>
                <w:color w:val="auto"/>
                <w:sz w:val="18"/>
                <w:szCs w:val="18"/>
                <w:highlight w:val="none"/>
              </w:rPr>
            </w:pPr>
            <w:r>
              <w:rPr>
                <w:rFonts w:hint="eastAsia" w:cs="Times New Roman"/>
                <w:color w:val="auto"/>
                <w:kern w:val="0"/>
                <w:sz w:val="18"/>
                <w:szCs w:val="18"/>
                <w:highlight w:val="none"/>
              </w:rPr>
              <w:t>无法提供自有检测设备发票的：0分</w:t>
            </w:r>
          </w:p>
        </w:tc>
        <w:tc>
          <w:tcPr>
            <w:tcW w:w="52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default" w:cs="Times New Roman" w:eastAsiaTheme="minorEastAsia"/>
                <w:color w:val="auto"/>
                <w:kern w:val="0"/>
                <w:sz w:val="18"/>
                <w:szCs w:val="18"/>
                <w:highlight w:val="none"/>
                <w:lang w:val="en-US" w:eastAsia="zh-CN"/>
              </w:rPr>
            </w:pPr>
            <w:r>
              <w:rPr>
                <w:rFonts w:hint="eastAsia" w:cs="Times New Roman"/>
                <w:color w:val="auto"/>
                <w:kern w:val="0"/>
                <w:sz w:val="18"/>
                <w:szCs w:val="18"/>
                <w:highlight w:val="none"/>
                <w:lang w:val="en-US" w:eastAsia="zh-CN"/>
              </w:rPr>
              <w:t>10</w:t>
            </w:r>
          </w:p>
        </w:tc>
        <w:tc>
          <w:tcPr>
            <w:tcW w:w="838" w:type="dxa"/>
            <w:tcBorders>
              <w:top w:val="single" w:color="auto" w:sz="4" w:space="0"/>
              <w:left w:val="nil"/>
              <w:bottom w:val="single" w:color="auto" w:sz="4" w:space="0"/>
              <w:right w:val="single" w:color="auto" w:sz="4" w:space="0"/>
            </w:tcBorders>
            <w:noWrap/>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20"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6</w:t>
            </w:r>
          </w:p>
        </w:tc>
        <w:tc>
          <w:tcPr>
            <w:tcW w:w="249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sz w:val="18"/>
                <w:szCs w:val="18"/>
                <w:highlight w:val="none"/>
              </w:rPr>
              <w:t>对合同履行的特点、实施难点及重点的分析和对策</w:t>
            </w:r>
          </w:p>
        </w:tc>
        <w:tc>
          <w:tcPr>
            <w:tcW w:w="4776" w:type="dxa"/>
            <w:tcBorders>
              <w:top w:val="single" w:color="auto" w:sz="4" w:space="0"/>
              <w:left w:val="nil"/>
              <w:bottom w:val="single" w:color="auto" w:sz="4" w:space="0"/>
              <w:right w:val="single" w:color="auto" w:sz="4" w:space="0"/>
            </w:tcBorders>
            <w:noWrap/>
            <w:vAlign w:val="center"/>
          </w:tcPr>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合同履行的特点、难点及重点分析到位，对策具有较强的针对性和可行性：</w:t>
            </w:r>
            <w:r>
              <w:rPr>
                <w:rFonts w:hint="eastAsia" w:cs="Times New Roman"/>
                <w:color w:val="auto"/>
                <w:kern w:val="0"/>
                <w:sz w:val="18"/>
                <w:szCs w:val="18"/>
                <w:highlight w:val="none"/>
                <w:lang w:val="en-US" w:eastAsia="zh-CN"/>
              </w:rPr>
              <w:t>4.5</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6</w:t>
            </w:r>
            <w:r>
              <w:rPr>
                <w:rFonts w:cs="Times New Roman"/>
                <w:color w:val="auto"/>
                <w:kern w:val="0"/>
                <w:sz w:val="18"/>
                <w:szCs w:val="18"/>
                <w:highlight w:val="none"/>
              </w:rPr>
              <w:t xml:space="preserve">分；     </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合同履行的特点、难点及重点分析较到位，对策具有一定的针对性和符合性：</w:t>
            </w:r>
            <w:r>
              <w:rPr>
                <w:rFonts w:hint="eastAsia" w:cs="Times New Roman"/>
                <w:color w:val="auto"/>
                <w:kern w:val="0"/>
                <w:sz w:val="18"/>
                <w:szCs w:val="18"/>
                <w:highlight w:val="none"/>
                <w:lang w:val="en-US" w:eastAsia="zh-CN"/>
              </w:rPr>
              <w:t>3</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4.5</w:t>
            </w:r>
            <w:r>
              <w:rPr>
                <w:rFonts w:cs="Times New Roman"/>
                <w:color w:val="auto"/>
                <w:kern w:val="0"/>
                <w:sz w:val="18"/>
                <w:szCs w:val="18"/>
                <w:highlight w:val="none"/>
              </w:rPr>
              <w:t xml:space="preserve">分；               </w:t>
            </w:r>
          </w:p>
          <w:p>
            <w:pPr>
              <w:snapToGrid w:val="0"/>
              <w:spacing w:line="240" w:lineRule="auto"/>
              <w:rPr>
                <w:rFonts w:cs="Times New Roman"/>
                <w:color w:val="auto"/>
                <w:kern w:val="0"/>
                <w:sz w:val="18"/>
                <w:szCs w:val="18"/>
                <w:highlight w:val="none"/>
              </w:rPr>
            </w:pPr>
            <w:r>
              <w:rPr>
                <w:rFonts w:cs="Times New Roman"/>
                <w:color w:val="auto"/>
                <w:kern w:val="0"/>
                <w:sz w:val="18"/>
                <w:szCs w:val="18"/>
                <w:highlight w:val="none"/>
              </w:rPr>
              <w:t>合同履行的特点、难点及重点分析较到位，对策具有针对性和符合性有部分不足：</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rPr>
              <w:t>~</w:t>
            </w:r>
            <w:r>
              <w:rPr>
                <w:rFonts w:hint="eastAsia" w:cs="Times New Roman"/>
                <w:color w:val="auto"/>
                <w:kern w:val="0"/>
                <w:sz w:val="18"/>
                <w:szCs w:val="18"/>
                <w:highlight w:val="none"/>
                <w:lang w:val="en-US" w:eastAsia="zh-CN"/>
              </w:rPr>
              <w:t>3</w:t>
            </w:r>
            <w:r>
              <w:rPr>
                <w:rFonts w:cs="Times New Roman"/>
                <w:color w:val="auto"/>
                <w:kern w:val="0"/>
                <w:sz w:val="18"/>
                <w:szCs w:val="18"/>
                <w:highlight w:val="none"/>
              </w:rPr>
              <w:t xml:space="preserve">分；                      </w:t>
            </w:r>
          </w:p>
          <w:p>
            <w:pPr>
              <w:snapToGrid w:val="0"/>
              <w:spacing w:line="240" w:lineRule="auto"/>
              <w:jc w:val="left"/>
              <w:rPr>
                <w:rFonts w:cs="Times New Roman"/>
                <w:color w:val="auto"/>
                <w:kern w:val="0"/>
                <w:sz w:val="18"/>
                <w:szCs w:val="18"/>
                <w:highlight w:val="none"/>
              </w:rPr>
            </w:pPr>
            <w:r>
              <w:rPr>
                <w:rFonts w:cs="Times New Roman"/>
                <w:color w:val="auto"/>
                <w:kern w:val="0"/>
                <w:sz w:val="18"/>
                <w:szCs w:val="18"/>
                <w:highlight w:val="none"/>
              </w:rPr>
              <w:t>无该项内容：0分</w:t>
            </w:r>
          </w:p>
        </w:tc>
        <w:tc>
          <w:tcPr>
            <w:tcW w:w="52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lang w:val="en-US" w:eastAsia="zh-CN"/>
              </w:rPr>
              <w:t>6</w:t>
            </w:r>
          </w:p>
        </w:tc>
        <w:tc>
          <w:tcPr>
            <w:tcW w:w="838" w:type="dxa"/>
            <w:tcBorders>
              <w:top w:val="single" w:color="auto" w:sz="4" w:space="0"/>
              <w:left w:val="nil"/>
              <w:bottom w:val="single" w:color="auto" w:sz="4" w:space="0"/>
              <w:right w:val="single" w:color="auto" w:sz="4" w:space="0"/>
            </w:tcBorders>
            <w:noWrap/>
          </w:tcPr>
          <w:p>
            <w:pPr>
              <w:snapToGrid w:val="0"/>
              <w:spacing w:line="240" w:lineRule="auto"/>
              <w:rPr>
                <w:rFonts w:cs="Times New Roman"/>
                <w:color w:val="auto"/>
                <w:kern w:val="0"/>
                <w:sz w:val="18"/>
                <w:szCs w:val="18"/>
                <w:highlight w:val="none"/>
              </w:rPr>
            </w:pPr>
          </w:p>
        </w:tc>
      </w:tr>
      <w:tr>
        <w:tblPrEx>
          <w:tblCellMar>
            <w:top w:w="0" w:type="dxa"/>
            <w:left w:w="108" w:type="dxa"/>
            <w:bottom w:w="0" w:type="dxa"/>
            <w:right w:w="108" w:type="dxa"/>
          </w:tblCellMar>
        </w:tblPrEx>
        <w:trPr>
          <w:trHeight w:val="584" w:hRule="atLeast"/>
        </w:trPr>
        <w:tc>
          <w:tcPr>
            <w:tcW w:w="4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cs="Times New Roman"/>
                <w:color w:val="auto"/>
                <w:kern w:val="0"/>
                <w:sz w:val="18"/>
                <w:szCs w:val="18"/>
                <w:highlight w:val="none"/>
              </w:rPr>
            </w:pPr>
          </w:p>
        </w:tc>
        <w:tc>
          <w:tcPr>
            <w:tcW w:w="7272"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技术部分得分合计</w:t>
            </w:r>
          </w:p>
        </w:tc>
        <w:tc>
          <w:tcPr>
            <w:tcW w:w="52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lang w:val="en-US" w:eastAsia="zh-CN"/>
              </w:rPr>
              <w:t>5</w:t>
            </w:r>
            <w:r>
              <w:rPr>
                <w:rFonts w:hint="eastAsia" w:cs="Times New Roman"/>
                <w:color w:val="auto"/>
                <w:kern w:val="0"/>
                <w:sz w:val="18"/>
                <w:szCs w:val="18"/>
                <w:highlight w:val="none"/>
              </w:rPr>
              <w:t>0</w:t>
            </w:r>
          </w:p>
        </w:tc>
        <w:tc>
          <w:tcPr>
            <w:tcW w:w="83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p>
        </w:tc>
      </w:tr>
    </w:tbl>
    <w:p>
      <w:pPr>
        <w:spacing w:line="520" w:lineRule="exact"/>
        <w:ind w:firstLine="360" w:firstLineChars="200"/>
        <w:rPr>
          <w:rFonts w:ascii="宋体" w:hAnsi="宋体" w:cs="Times New Roman"/>
          <w:color w:val="auto"/>
          <w:sz w:val="18"/>
          <w:szCs w:val="18"/>
          <w:highlight w:val="none"/>
        </w:rPr>
      </w:pPr>
      <w:r>
        <w:rPr>
          <w:rFonts w:hint="eastAsia" w:ascii="宋体" w:hAnsi="宋体" w:cs="Times New Roman"/>
          <w:color w:val="auto"/>
          <w:sz w:val="18"/>
          <w:szCs w:val="18"/>
          <w:highlight w:val="none"/>
        </w:rPr>
        <w:t>三、价格部分：</w:t>
      </w:r>
      <w:r>
        <w:rPr>
          <w:rFonts w:hint="default" w:ascii="宋体" w:hAnsi="宋体" w:cs="Times New Roman"/>
          <w:color w:val="auto"/>
          <w:sz w:val="18"/>
          <w:szCs w:val="18"/>
          <w:highlight w:val="none"/>
          <w:lang w:val="en-US"/>
        </w:rPr>
        <w:t>30</w:t>
      </w:r>
      <w:r>
        <w:rPr>
          <w:rFonts w:hint="eastAsia" w:ascii="宋体" w:hAnsi="宋体" w:cs="Times New Roman"/>
          <w:color w:val="auto"/>
          <w:sz w:val="18"/>
          <w:szCs w:val="18"/>
          <w:highlight w:val="none"/>
        </w:rPr>
        <w:t>分</w:t>
      </w:r>
    </w:p>
    <w:tbl>
      <w:tblPr>
        <w:tblStyle w:val="14"/>
        <w:tblW w:w="906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353"/>
        <w:gridCol w:w="491"/>
        <w:gridCol w:w="7166"/>
        <w:gridCol w:w="422"/>
        <w:gridCol w:w="6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84" w:hRule="atLeast"/>
        </w:trPr>
        <w:tc>
          <w:tcPr>
            <w:tcW w:w="353" w:type="dxa"/>
            <w:tcBorders>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序号</w:t>
            </w:r>
          </w:p>
        </w:tc>
        <w:tc>
          <w:tcPr>
            <w:tcW w:w="491" w:type="dxa"/>
            <w:tcBorders>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评分项目</w:t>
            </w:r>
          </w:p>
        </w:tc>
        <w:tc>
          <w:tcPr>
            <w:tcW w:w="7166" w:type="dxa"/>
            <w:tcBorders>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评分标准</w:t>
            </w:r>
          </w:p>
        </w:tc>
        <w:tc>
          <w:tcPr>
            <w:tcW w:w="422" w:type="dxa"/>
            <w:tcBorders>
              <w:left w:val="nil"/>
              <w:bottom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标准分</w:t>
            </w:r>
          </w:p>
        </w:tc>
        <w:tc>
          <w:tcPr>
            <w:tcW w:w="628" w:type="dxa"/>
            <w:tcBorders>
              <w:left w:val="nil"/>
            </w:tcBorders>
            <w:noWrap/>
            <w:vAlign w:val="center"/>
          </w:tcPr>
          <w:p>
            <w:pPr>
              <w:snapToGrid w:val="0"/>
              <w:jc w:val="center"/>
              <w:rPr>
                <w:rFonts w:cs="Times New Roman"/>
                <w:color w:val="auto"/>
                <w:kern w:val="0"/>
                <w:sz w:val="18"/>
                <w:szCs w:val="18"/>
                <w:highlight w:val="none"/>
              </w:rPr>
            </w:pPr>
            <w:r>
              <w:rPr>
                <w:rFonts w:hint="eastAsia" w:cs="Times New Roman"/>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47" w:hRule="atLeast"/>
        </w:trPr>
        <w:tc>
          <w:tcPr>
            <w:tcW w:w="353" w:type="dxa"/>
            <w:tcBorders>
              <w:top w:val="single" w:color="auto" w:sz="4" w:space="0"/>
              <w:bottom w:val="single" w:color="auto" w:sz="4" w:space="0"/>
              <w:right w:val="single" w:color="auto" w:sz="4" w:space="0"/>
            </w:tcBorders>
            <w:noWrap/>
            <w:vAlign w:val="center"/>
          </w:tcPr>
          <w:p>
            <w:pPr>
              <w:snapToGrid w:val="0"/>
              <w:spacing w:line="240" w:lineRule="auto"/>
              <w:jc w:val="center"/>
              <w:rPr>
                <w:rFonts w:cs="Times New Roman"/>
                <w:color w:val="auto"/>
                <w:kern w:val="0"/>
                <w:sz w:val="18"/>
                <w:szCs w:val="18"/>
                <w:highlight w:val="none"/>
              </w:rPr>
            </w:pPr>
            <w:r>
              <w:rPr>
                <w:rFonts w:cs="Times New Roman"/>
                <w:color w:val="auto"/>
                <w:kern w:val="0"/>
                <w:sz w:val="18"/>
                <w:szCs w:val="18"/>
                <w:highlight w:val="none"/>
              </w:rPr>
              <w:t>1</w:t>
            </w:r>
          </w:p>
        </w:tc>
        <w:tc>
          <w:tcPr>
            <w:tcW w:w="491" w:type="dxa"/>
            <w:tcBorders>
              <w:top w:val="single" w:color="auto" w:sz="4" w:space="0"/>
              <w:left w:val="nil"/>
              <w:bottom w:val="single" w:color="auto" w:sz="4" w:space="0"/>
              <w:right w:val="single" w:color="auto" w:sz="4" w:space="0"/>
            </w:tcBorders>
            <w:noWrap/>
            <w:vAlign w:val="center"/>
          </w:tcPr>
          <w:p>
            <w:pPr>
              <w:snapToGrid w:val="0"/>
              <w:spacing w:line="240" w:lineRule="auto"/>
              <w:jc w:val="left"/>
              <w:rPr>
                <w:rFonts w:eastAsia="楷体" w:cs="Times New Roman"/>
                <w:color w:val="auto"/>
                <w:sz w:val="18"/>
                <w:szCs w:val="18"/>
                <w:highlight w:val="none"/>
              </w:rPr>
            </w:pPr>
            <w:r>
              <w:rPr>
                <w:rFonts w:hint="eastAsia" w:ascii="宋体" w:hAnsi="宋体" w:cs="宋体"/>
                <w:color w:val="auto"/>
                <w:sz w:val="18"/>
                <w:szCs w:val="18"/>
                <w:highlight w:val="none"/>
              </w:rPr>
              <w:t>报价</w:t>
            </w:r>
          </w:p>
        </w:tc>
        <w:tc>
          <w:tcPr>
            <w:tcW w:w="7166" w:type="dxa"/>
            <w:tcBorders>
              <w:top w:val="single" w:color="auto" w:sz="4" w:space="0"/>
              <w:left w:val="nil"/>
              <w:bottom w:val="single" w:color="auto" w:sz="4" w:space="0"/>
              <w:right w:val="single" w:color="auto" w:sz="4" w:space="0"/>
            </w:tcBorders>
            <w:noWrap/>
            <w:vAlign w:val="center"/>
          </w:tcPr>
          <w:p>
            <w:pPr>
              <w:snapToGrid w:val="0"/>
              <w:spacing w:line="240" w:lineRule="auto"/>
              <w:rPr>
                <w:rFonts w:ascii="宋体" w:hAnsi="宋体" w:cs="宋体"/>
                <w:color w:val="auto"/>
                <w:sz w:val="18"/>
                <w:szCs w:val="18"/>
                <w:highlight w:val="none"/>
                <w:lang w:val="zh-CN"/>
              </w:rPr>
            </w:pPr>
            <w:r>
              <w:rPr>
                <w:rFonts w:hint="eastAsia" w:ascii="宋体" w:hAnsi="宋体" w:cs="宋体"/>
                <w:color w:val="auto"/>
                <w:sz w:val="18"/>
                <w:szCs w:val="18"/>
                <w:highlight w:val="none"/>
              </w:rPr>
              <w:t>（1）若通过初步评审的投标人家数≥5家时，以所有有效投标报价去掉一个最高报价和一个最低报价后的算术平均值为评标基准价；若通过初步评审的投标人家数＜5 家时，则直接取所有有效投标报价的算术平均值为评标基准价。</w:t>
            </w:r>
          </w:p>
          <w:p>
            <w:pPr>
              <w:snapToGrid w:val="0"/>
              <w:spacing w:line="240" w:lineRule="auto"/>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3</w:t>
            </w:r>
            <w:r>
              <w:rPr>
                <w:rFonts w:hint="eastAsia" w:ascii="宋体" w:hAnsi="宋体" w:cs="宋体"/>
                <w:color w:val="auto"/>
                <w:sz w:val="18"/>
                <w:szCs w:val="18"/>
                <w:highlight w:val="none"/>
                <w:lang w:val="zh-CN"/>
              </w:rPr>
              <w:t>）当投标人的投标报价＞评标基准价时，投标报价得分=[</w:t>
            </w:r>
            <w:r>
              <w:rPr>
                <w:rFonts w:hint="eastAsia" w:ascii="宋体" w:hAnsi="宋体" w:cs="宋体"/>
                <w:color w:val="auto"/>
                <w:sz w:val="18"/>
                <w:szCs w:val="18"/>
                <w:highlight w:val="none"/>
                <w:lang w:val="en-US" w:eastAsia="zh-CN"/>
              </w:rPr>
              <w:t>30</w:t>
            </w:r>
            <w:r>
              <w:rPr>
                <w:rFonts w:hint="eastAsia" w:ascii="宋体" w:hAnsi="宋体" w:cs="宋体"/>
                <w:color w:val="auto"/>
                <w:sz w:val="18"/>
                <w:szCs w:val="18"/>
                <w:highlight w:val="none"/>
                <w:lang w:val="zh-CN"/>
              </w:rPr>
              <w:t>－0.</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val="zh-CN"/>
              </w:rPr>
              <w:t>×100×（投标报价－评标基准价）/评标基准价]；</w:t>
            </w:r>
          </w:p>
          <w:p>
            <w:pPr>
              <w:snapToGrid w:val="0"/>
              <w:spacing w:line="240" w:lineRule="auto"/>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4</w:t>
            </w:r>
            <w:r>
              <w:rPr>
                <w:rFonts w:hint="eastAsia" w:ascii="宋体" w:hAnsi="宋体" w:cs="宋体"/>
                <w:color w:val="auto"/>
                <w:sz w:val="18"/>
                <w:szCs w:val="18"/>
                <w:highlight w:val="none"/>
                <w:lang w:val="zh-CN"/>
              </w:rPr>
              <w:t>）当投标人的投标报价</w:t>
            </w:r>
            <w:r>
              <w:rPr>
                <w:rFonts w:ascii="宋体" w:hAnsi="宋体" w:cs="宋体"/>
                <w:color w:val="auto"/>
                <w:sz w:val="18"/>
                <w:szCs w:val="18"/>
                <w:highlight w:val="none"/>
                <w:lang w:val="zh-CN"/>
              </w:rPr>
              <w:t>≤</w:t>
            </w:r>
            <w:r>
              <w:rPr>
                <w:rFonts w:hint="eastAsia" w:ascii="宋体" w:hAnsi="宋体" w:cs="宋体"/>
                <w:color w:val="auto"/>
                <w:sz w:val="18"/>
                <w:szCs w:val="18"/>
                <w:highlight w:val="none"/>
                <w:lang w:val="zh-CN"/>
              </w:rPr>
              <w:t>评标基准价时，投标报价得分=[</w:t>
            </w:r>
            <w:r>
              <w:rPr>
                <w:rFonts w:hint="eastAsia" w:ascii="宋体" w:hAnsi="宋体" w:cs="宋体"/>
                <w:color w:val="auto"/>
                <w:sz w:val="18"/>
                <w:szCs w:val="18"/>
                <w:highlight w:val="none"/>
                <w:lang w:val="en-US" w:eastAsia="zh-CN"/>
              </w:rPr>
              <w:t>30</w:t>
            </w:r>
            <w:r>
              <w:rPr>
                <w:rFonts w:hint="eastAsia" w:ascii="宋体" w:hAnsi="宋体" w:cs="宋体"/>
                <w:color w:val="auto"/>
                <w:sz w:val="18"/>
                <w:szCs w:val="18"/>
                <w:highlight w:val="none"/>
                <w:lang w:val="zh-CN"/>
              </w:rPr>
              <w:t>-0.</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lang w:val="zh-CN"/>
              </w:rPr>
              <w:t>×100×（评标基准价－投标报价）/评标基准价]。</w:t>
            </w:r>
          </w:p>
          <w:p>
            <w:pPr>
              <w:snapToGrid w:val="0"/>
              <w:spacing w:line="240" w:lineRule="auto"/>
              <w:rPr>
                <w:rFonts w:cs="Times New Roman"/>
                <w:color w:val="auto"/>
                <w:kern w:val="0"/>
                <w:sz w:val="18"/>
                <w:szCs w:val="18"/>
                <w:highlight w:val="none"/>
              </w:rPr>
            </w:pPr>
            <w:r>
              <w:rPr>
                <w:rFonts w:hint="eastAsia" w:ascii="宋体" w:hAnsi="宋体" w:cs="宋体"/>
                <w:color w:val="auto"/>
                <w:sz w:val="18"/>
                <w:szCs w:val="18"/>
                <w:highlight w:val="none"/>
                <w:lang w:val="zh-CN"/>
              </w:rPr>
              <w:t>注：投标报价得分计算保留小数点后两位，小数点后第三位“四舍五入”。</w:t>
            </w:r>
          </w:p>
        </w:tc>
        <w:tc>
          <w:tcPr>
            <w:tcW w:w="422"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rFonts w:hint="default" w:cs="Times New Roman" w:eastAsiaTheme="minorEastAsia"/>
                <w:color w:val="auto"/>
                <w:kern w:val="0"/>
                <w:sz w:val="18"/>
                <w:szCs w:val="18"/>
                <w:highlight w:val="none"/>
                <w:lang w:val="en-US" w:eastAsia="zh-CN"/>
              </w:rPr>
            </w:pPr>
            <w:r>
              <w:rPr>
                <w:rFonts w:hint="eastAsia" w:cs="Times New Roman"/>
                <w:color w:val="auto"/>
                <w:kern w:val="0"/>
                <w:sz w:val="18"/>
                <w:szCs w:val="18"/>
                <w:highlight w:val="none"/>
                <w:lang w:val="en-US" w:eastAsia="zh-CN"/>
              </w:rPr>
              <w:t>30</w:t>
            </w:r>
          </w:p>
        </w:tc>
        <w:tc>
          <w:tcPr>
            <w:tcW w:w="628" w:type="dxa"/>
            <w:tcBorders>
              <w:top w:val="single" w:color="auto" w:sz="4" w:space="0"/>
              <w:left w:val="nil"/>
              <w:bottom w:val="single" w:color="auto" w:sz="4" w:space="0"/>
            </w:tcBorders>
            <w:noWrap/>
            <w:vAlign w:val="center"/>
          </w:tcPr>
          <w:p>
            <w:pPr>
              <w:snapToGrid w:val="0"/>
              <w:spacing w:line="240" w:lineRule="auto"/>
              <w:rPr>
                <w:rFonts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2" w:hRule="atLeast"/>
        </w:trPr>
        <w:tc>
          <w:tcPr>
            <w:tcW w:w="353" w:type="dxa"/>
            <w:tcBorders>
              <w:top w:val="single" w:color="auto" w:sz="4" w:space="0"/>
              <w:right w:val="single" w:color="auto" w:sz="4" w:space="0"/>
            </w:tcBorders>
            <w:noWrap/>
            <w:vAlign w:val="center"/>
          </w:tcPr>
          <w:p>
            <w:pPr>
              <w:snapToGrid w:val="0"/>
              <w:spacing w:line="240" w:lineRule="auto"/>
              <w:jc w:val="center"/>
              <w:rPr>
                <w:rFonts w:cs="Times New Roman"/>
                <w:color w:val="auto"/>
                <w:kern w:val="0"/>
                <w:sz w:val="18"/>
                <w:szCs w:val="18"/>
                <w:highlight w:val="none"/>
                <w:u w:val="single"/>
              </w:rPr>
            </w:pPr>
          </w:p>
        </w:tc>
        <w:tc>
          <w:tcPr>
            <w:tcW w:w="7657" w:type="dxa"/>
            <w:gridSpan w:val="2"/>
            <w:tcBorders>
              <w:top w:val="single" w:color="auto" w:sz="4" w:space="0"/>
              <w:left w:val="nil"/>
              <w:right w:val="single" w:color="auto" w:sz="4" w:space="0"/>
            </w:tcBorders>
            <w:noWrap/>
            <w:vAlign w:val="center"/>
          </w:tcPr>
          <w:p>
            <w:pPr>
              <w:widowControl/>
              <w:adjustRightInd w:val="0"/>
              <w:snapToGrid w:val="0"/>
              <w:spacing w:line="240" w:lineRule="auto"/>
              <w:jc w:val="center"/>
              <w:rPr>
                <w:rFonts w:cs="Times New Roman"/>
                <w:color w:val="auto"/>
                <w:kern w:val="0"/>
                <w:sz w:val="18"/>
                <w:szCs w:val="18"/>
                <w:highlight w:val="none"/>
              </w:rPr>
            </w:pPr>
            <w:r>
              <w:rPr>
                <w:rFonts w:hint="eastAsia" w:cs="Times New Roman"/>
                <w:color w:val="auto"/>
                <w:kern w:val="0"/>
                <w:sz w:val="18"/>
                <w:szCs w:val="18"/>
                <w:highlight w:val="none"/>
              </w:rPr>
              <w:t>价格</w:t>
            </w:r>
            <w:r>
              <w:rPr>
                <w:rFonts w:cs="Times New Roman"/>
                <w:color w:val="auto"/>
                <w:kern w:val="0"/>
                <w:sz w:val="18"/>
                <w:szCs w:val="18"/>
                <w:highlight w:val="none"/>
              </w:rPr>
              <w:t>部分得分合计</w:t>
            </w:r>
          </w:p>
        </w:tc>
        <w:tc>
          <w:tcPr>
            <w:tcW w:w="422" w:type="dxa"/>
            <w:tcBorders>
              <w:top w:val="single" w:color="auto" w:sz="4" w:space="0"/>
              <w:left w:val="nil"/>
              <w:right w:val="single" w:color="auto" w:sz="4" w:space="0"/>
            </w:tcBorders>
            <w:noWrap/>
            <w:vAlign w:val="center"/>
          </w:tcPr>
          <w:p>
            <w:pPr>
              <w:widowControl/>
              <w:adjustRightInd w:val="0"/>
              <w:snapToGrid w:val="0"/>
              <w:spacing w:line="240" w:lineRule="auto"/>
              <w:jc w:val="center"/>
              <w:rPr>
                <w:rFonts w:hint="default" w:cs="Times New Roman" w:eastAsiaTheme="minorEastAsia"/>
                <w:color w:val="auto"/>
                <w:kern w:val="0"/>
                <w:sz w:val="18"/>
                <w:szCs w:val="18"/>
                <w:highlight w:val="none"/>
                <w:lang w:val="en-US" w:eastAsia="zh-CN"/>
              </w:rPr>
            </w:pPr>
            <w:r>
              <w:rPr>
                <w:rFonts w:hint="eastAsia" w:cs="Times New Roman"/>
                <w:color w:val="auto"/>
                <w:kern w:val="0"/>
                <w:sz w:val="18"/>
                <w:szCs w:val="18"/>
                <w:highlight w:val="none"/>
                <w:lang w:val="en-US" w:eastAsia="zh-CN"/>
              </w:rPr>
              <w:t>30</w:t>
            </w:r>
          </w:p>
        </w:tc>
        <w:tc>
          <w:tcPr>
            <w:tcW w:w="628" w:type="dxa"/>
            <w:tcBorders>
              <w:top w:val="single" w:color="auto" w:sz="4" w:space="0"/>
              <w:left w:val="nil"/>
            </w:tcBorders>
            <w:noWrap/>
            <w:vAlign w:val="center"/>
          </w:tcPr>
          <w:p>
            <w:pPr>
              <w:snapToGrid w:val="0"/>
              <w:spacing w:line="240" w:lineRule="auto"/>
              <w:rPr>
                <w:rFonts w:cs="Times New Roman"/>
                <w:color w:val="auto"/>
                <w:kern w:val="0"/>
                <w:sz w:val="18"/>
                <w:szCs w:val="18"/>
                <w:highlight w:val="none"/>
                <w:u w:val="single"/>
              </w:rPr>
            </w:pPr>
          </w:p>
        </w:tc>
      </w:tr>
    </w:tbl>
    <w:p>
      <w:pPr>
        <w:snapToGrid w:val="0"/>
        <w:ind w:left="7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keepLines/>
        <w:snapToGrid w:val="0"/>
        <w:spacing w:line="30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说明：</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本表中所有要求提供的证明资料复印件均需加盖投标人公章。未提供证明资料或提供的证明材料不齐全、不符合要求的，不得分</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附件3：</w:t>
      </w:r>
    </w:p>
    <w:p>
      <w:pPr>
        <w:shd w:val="clear" w:color="auto" w:fill="FFFFFF"/>
        <w:spacing w:line="360" w:lineRule="auto"/>
        <w:jc w:val="center"/>
        <w:rPr>
          <w:rFonts w:ascii="宋体" w:hAnsi="宋体" w:cs="宋体"/>
          <w:b/>
          <w:bCs/>
          <w:color w:val="auto"/>
          <w:sz w:val="30"/>
          <w:szCs w:val="30"/>
        </w:rPr>
      </w:pPr>
      <w:r>
        <w:rPr>
          <w:rFonts w:hint="eastAsia" w:ascii="宋体" w:hAnsi="宋体" w:cs="宋体"/>
          <w:b/>
          <w:bCs/>
          <w:color w:val="auto"/>
          <w:sz w:val="30"/>
          <w:szCs w:val="30"/>
        </w:rPr>
        <w:t>投标人声明</w:t>
      </w:r>
    </w:p>
    <w:p>
      <w:pPr>
        <w:spacing w:before="156" w:beforeLines="50" w:line="360" w:lineRule="auto"/>
        <w:jc w:val="left"/>
        <w:rPr>
          <w:color w:val="auto"/>
          <w:kern w:val="0"/>
          <w:sz w:val="24"/>
          <w:szCs w:val="24"/>
        </w:rPr>
      </w:pPr>
      <w:r>
        <w:rPr>
          <w:rFonts w:hint="eastAsia" w:ascii="宋体" w:hAnsi="宋体" w:cs="宋体"/>
          <w:color w:val="auto"/>
          <w:kern w:val="0"/>
          <w:sz w:val="24"/>
          <w:szCs w:val="24"/>
        </w:rPr>
        <w:t>本招标项目招标人及招标监管机构：</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本公司就参加投标工作，作出郑重声明：</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二、本公司保证在本项目投标中不与其他单位围标、串标，不出让投标资格，不向招标人或评标委员会成员行贿。</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p>
    <w:p>
      <w:pPr>
        <w:spacing w:line="360" w:lineRule="auto"/>
        <w:ind w:firstLine="567"/>
        <w:jc w:val="left"/>
        <w:rPr>
          <w:rFonts w:ascii="宋体" w:hAnsi="宋体" w:cs="宋体"/>
          <w:color w:val="auto"/>
          <w:kern w:val="0"/>
          <w:sz w:val="24"/>
          <w:szCs w:val="24"/>
        </w:rPr>
      </w:pPr>
      <w:r>
        <w:rPr>
          <w:rFonts w:hint="eastAsia"/>
          <w:b/>
          <w:color w:val="auto"/>
          <w:kern w:val="0"/>
          <w:sz w:val="24"/>
          <w:szCs w:val="24"/>
        </w:rPr>
        <w:t>四、</w:t>
      </w:r>
      <w:r>
        <w:rPr>
          <w:rFonts w:hint="eastAsia"/>
          <w:b/>
          <w:bCs/>
          <w:color w:val="auto"/>
          <w:kern w:val="0"/>
          <w:sz w:val="24"/>
          <w:szCs w:val="24"/>
        </w:rPr>
        <w:t>本公司</w:t>
      </w:r>
      <w:r>
        <w:rPr>
          <w:rFonts w:hint="eastAsia"/>
          <w:b/>
          <w:bCs/>
          <w:color w:val="auto"/>
          <w:kern w:val="0"/>
          <w:sz w:val="24"/>
          <w:szCs w:val="24"/>
          <w:lang w:eastAsia="zh-CN"/>
        </w:rPr>
        <w:t>自</w:t>
      </w:r>
      <w:r>
        <w:rPr>
          <w:rFonts w:hint="eastAsia" w:asciiTheme="minorHAnsi" w:hAnsiTheme="minorHAnsi" w:eastAsiaTheme="minorEastAsia" w:cstheme="minorBidi"/>
          <w:b/>
          <w:bCs/>
          <w:color w:val="auto"/>
          <w:kern w:val="0"/>
          <w:sz w:val="24"/>
          <w:szCs w:val="24"/>
          <w:highlight w:val="none"/>
          <w:u w:val="none"/>
        </w:rPr>
        <w:t>20</w:t>
      </w:r>
      <w:r>
        <w:rPr>
          <w:rFonts w:hint="eastAsia" w:cstheme="minorBidi"/>
          <w:b/>
          <w:bCs/>
          <w:color w:val="auto"/>
          <w:kern w:val="0"/>
          <w:sz w:val="24"/>
          <w:szCs w:val="24"/>
          <w:highlight w:val="none"/>
          <w:u w:val="none"/>
          <w:lang w:val="en-US" w:eastAsia="zh-CN"/>
        </w:rPr>
        <w:t>2</w:t>
      </w:r>
      <w:r>
        <w:rPr>
          <w:rFonts w:hint="default" w:cstheme="minorBidi"/>
          <w:b/>
          <w:bCs/>
          <w:color w:val="auto"/>
          <w:kern w:val="0"/>
          <w:sz w:val="24"/>
          <w:szCs w:val="24"/>
          <w:highlight w:val="none"/>
          <w:u w:val="none"/>
          <w:lang w:val="en-US" w:eastAsia="zh-CN"/>
        </w:rPr>
        <w:t>1</w:t>
      </w:r>
      <w:r>
        <w:rPr>
          <w:rFonts w:hint="eastAsia" w:asciiTheme="minorHAnsi" w:hAnsiTheme="minorHAnsi" w:eastAsiaTheme="minorEastAsia" w:cstheme="minorBidi"/>
          <w:b/>
          <w:bCs/>
          <w:color w:val="auto"/>
          <w:kern w:val="0"/>
          <w:sz w:val="24"/>
          <w:szCs w:val="24"/>
          <w:highlight w:val="none"/>
          <w:u w:val="none"/>
        </w:rPr>
        <w:t>年1月1日</w:t>
      </w:r>
      <w:r>
        <w:rPr>
          <w:rFonts w:hint="eastAsia"/>
          <w:b/>
          <w:bCs/>
          <w:color w:val="auto"/>
          <w:kern w:val="0"/>
          <w:sz w:val="24"/>
          <w:szCs w:val="24"/>
        </w:rPr>
        <w:t>起至投标截止时间止</w:t>
      </w:r>
      <w:r>
        <w:rPr>
          <w:rFonts w:hint="eastAsia"/>
          <w:b/>
          <w:bCs/>
          <w:color w:val="auto"/>
          <w:kern w:val="0"/>
          <w:sz w:val="24"/>
          <w:szCs w:val="24"/>
          <w:lang w:eastAsia="zh-CN"/>
        </w:rPr>
        <w:t>，</w:t>
      </w:r>
      <w:r>
        <w:rPr>
          <w:rFonts w:hint="eastAsia"/>
          <w:b/>
          <w:bCs/>
          <w:color w:val="auto"/>
          <w:kern w:val="0"/>
          <w:sz w:val="24"/>
          <w:szCs w:val="24"/>
        </w:rPr>
        <w:t>未因以往检测工作中存在伪造检测数据、出具虚假检测报告的行为被各级建设行政主管部门或市场监督管理部门行政处罚或通报。</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spacing w:line="360" w:lineRule="auto"/>
        <w:ind w:firstLine="567"/>
        <w:jc w:val="left"/>
        <w:rPr>
          <w:rFonts w:cs="宋体"/>
          <w:b/>
          <w:bCs/>
          <w:color w:val="auto"/>
          <w:kern w:val="0"/>
          <w:sz w:val="24"/>
          <w:szCs w:val="24"/>
        </w:rPr>
      </w:pPr>
      <w:r>
        <w:rPr>
          <w:rFonts w:hint="eastAsia" w:ascii="宋体" w:hAnsi="宋体" w:cs="宋体"/>
          <w:b/>
          <w:bCs/>
          <w:color w:val="auto"/>
          <w:kern w:val="0"/>
          <w:sz w:val="24"/>
          <w:szCs w:val="24"/>
        </w:rPr>
        <w:t>六、与本公司单位负责人为同一人或者与本公司存在控股、管理关系的其他单位包括</w:t>
      </w:r>
      <w:r>
        <w:rPr>
          <w:rFonts w:hint="eastAsia" w:ascii="宋体" w:hAnsi="宋体" w:cs="宋体"/>
          <w:b/>
          <w:bCs/>
          <w:color w:val="auto"/>
          <w:kern w:val="0"/>
          <w:sz w:val="24"/>
          <w:szCs w:val="24"/>
          <w:u w:val="single"/>
        </w:rPr>
        <w:t xml:space="preserve">             </w:t>
      </w:r>
      <w:r>
        <w:rPr>
          <w:rFonts w:hint="eastAsia" w:ascii="宋体" w:hAnsi="宋体" w:cs="宋体"/>
          <w:b/>
          <w:bCs/>
          <w:color w:val="auto"/>
          <w:kern w:val="0"/>
          <w:sz w:val="24"/>
          <w:szCs w:val="24"/>
        </w:rPr>
        <w:t>。（注：本条由投标人如实填写，如有，应列出全部满足招标公告资质要求的相关单位的名称；如无，则填写</w:t>
      </w:r>
      <w:r>
        <w:rPr>
          <w:rFonts w:hint="eastAsia" w:cs="宋体"/>
          <w:b/>
          <w:bCs/>
          <w:color w:val="auto"/>
          <w:kern w:val="0"/>
          <w:sz w:val="24"/>
          <w:szCs w:val="24"/>
        </w:rPr>
        <w:t>“无”。）</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七、本公司承诺，中标后严格执行安全生产相关管理规定。</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八、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本公司违反上述承诺，或本声明陈述与事实不符，经查实，本公司愿意接受公开通报，愿意按照《广州市建筑市场信用管理办法》（穗建规字﹝2020﹞16号）的规定被记录为失信信息，承担由此带来的法律后果，并自愿停止参加广州市行政辖区内的招标投标活动三个月。</w:t>
      </w:r>
    </w:p>
    <w:p>
      <w:pPr>
        <w:spacing w:line="360" w:lineRule="auto"/>
        <w:ind w:firstLine="567"/>
        <w:jc w:val="left"/>
        <w:rPr>
          <w:rFonts w:cs="宋体"/>
          <w:color w:val="auto"/>
          <w:kern w:val="0"/>
          <w:sz w:val="24"/>
          <w:szCs w:val="24"/>
        </w:rPr>
      </w:pPr>
      <w:r>
        <w:rPr>
          <w:rFonts w:hint="eastAsia" w:ascii="宋体" w:hAnsi="宋体" w:cs="宋体"/>
          <w:color w:val="auto"/>
          <w:kern w:val="0"/>
          <w:sz w:val="24"/>
          <w:szCs w:val="24"/>
        </w:rPr>
        <w:t>特此声明。</w:t>
      </w:r>
    </w:p>
    <w:p>
      <w:pPr>
        <w:spacing w:line="360" w:lineRule="auto"/>
        <w:rPr>
          <w:rFonts w:ascii="宋体" w:hAnsi="宋体" w:cs="宋体"/>
          <w:color w:val="auto"/>
          <w:szCs w:val="21"/>
        </w:rPr>
      </w:pPr>
    </w:p>
    <w:p>
      <w:pPr>
        <w:spacing w:line="360" w:lineRule="auto"/>
        <w:rPr>
          <w:rFonts w:ascii="宋体" w:hAnsi="宋体" w:cs="宋体"/>
          <w:color w:val="auto"/>
        </w:rPr>
      </w:pPr>
    </w:p>
    <w:p>
      <w:pPr>
        <w:spacing w:line="360" w:lineRule="auto"/>
        <w:ind w:firstLine="3402"/>
        <w:jc w:val="left"/>
        <w:rPr>
          <w:rFonts w:cs="宋体"/>
          <w:color w:val="auto"/>
          <w:kern w:val="0"/>
          <w:sz w:val="24"/>
          <w:szCs w:val="24"/>
        </w:rPr>
      </w:pPr>
      <w:r>
        <w:rPr>
          <w:rFonts w:hint="eastAsia" w:ascii="宋体" w:hAnsi="宋体" w:cs="宋体"/>
          <w:color w:val="auto"/>
          <w:kern w:val="0"/>
          <w:sz w:val="24"/>
          <w:szCs w:val="24"/>
        </w:rPr>
        <w:t>投标单位（盖公章）：</w:t>
      </w:r>
    </w:p>
    <w:p>
      <w:pPr>
        <w:spacing w:line="360" w:lineRule="auto"/>
        <w:ind w:firstLine="3402"/>
        <w:jc w:val="left"/>
        <w:rPr>
          <w:rFonts w:cs="宋体"/>
          <w:color w:val="auto"/>
          <w:kern w:val="0"/>
          <w:sz w:val="24"/>
          <w:szCs w:val="24"/>
        </w:rPr>
      </w:pPr>
      <w:r>
        <w:rPr>
          <w:rFonts w:hint="eastAsia" w:ascii="宋体" w:hAnsi="宋体" w:cs="宋体"/>
          <w:color w:val="auto"/>
          <w:kern w:val="0"/>
          <w:sz w:val="24"/>
          <w:szCs w:val="24"/>
        </w:rPr>
        <w:t>法定代表人或授权委托人（签字或盖章）：</w:t>
      </w:r>
    </w:p>
    <w:p>
      <w:pPr>
        <w:spacing w:line="360" w:lineRule="auto"/>
        <w:ind w:firstLine="3402"/>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日  期：   年   月   </w:t>
      </w:r>
    </w:p>
    <w:p>
      <w:pPr>
        <w:rPr>
          <w:color w:val="auto"/>
        </w:rPr>
      </w:pPr>
    </w:p>
    <w:p>
      <w:pPr>
        <w:spacing w:line="360" w:lineRule="auto"/>
        <w:rPr>
          <w:rFonts w:ascii="仿宋_GB2312" w:hAnsi="仿宋_GB2312" w:eastAsia="仿宋_GB2312" w:cs="仿宋_GB2312"/>
          <w:bCs/>
          <w:color w:val="auto"/>
          <w:sz w:val="32"/>
          <w:szCs w:val="32"/>
          <w:highlight w:val="none"/>
        </w:rPr>
      </w:pPr>
    </w:p>
    <w:p>
      <w:pPr>
        <w:rPr>
          <w:rFonts w:hint="default" w:eastAsiaTheme="minor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18FF97FD"/>
    <w:multiLevelType w:val="singleLevel"/>
    <w:tmpl w:val="18FF97FD"/>
    <w:lvl w:ilvl="0" w:tentative="0">
      <w:start w:val="1"/>
      <w:numFmt w:val="chineseCounting"/>
      <w:suff w:val="nothing"/>
      <w:lvlText w:val="%1、"/>
      <w:lvlJc w:val="left"/>
      <w:rPr>
        <w:rFonts w:hint="eastAsia"/>
        <w:sz w:val="18"/>
        <w:szCs w:val="18"/>
      </w:rPr>
    </w:lvl>
  </w:abstractNum>
  <w:abstractNum w:abstractNumId="2">
    <w:nsid w:val="61B5240C"/>
    <w:multiLevelType w:val="singleLevel"/>
    <w:tmpl w:val="61B5240C"/>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E5YmE0ODE1OThjMTBkY2ZmMDIzYzQ3MjYwZTAifQ=="/>
  </w:docVars>
  <w:rsids>
    <w:rsidRoot w:val="00172A27"/>
    <w:rsid w:val="0002289A"/>
    <w:rsid w:val="0002557B"/>
    <w:rsid w:val="0005254F"/>
    <w:rsid w:val="000744F3"/>
    <w:rsid w:val="00085D0C"/>
    <w:rsid w:val="00090FF3"/>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C717F"/>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21734"/>
    <w:rsid w:val="00B96CE0"/>
    <w:rsid w:val="00BB3D24"/>
    <w:rsid w:val="00CA24DF"/>
    <w:rsid w:val="00D06D88"/>
    <w:rsid w:val="00D0796B"/>
    <w:rsid w:val="00D50CF1"/>
    <w:rsid w:val="00D650B3"/>
    <w:rsid w:val="00D85D6D"/>
    <w:rsid w:val="00DD64C1"/>
    <w:rsid w:val="00DE3299"/>
    <w:rsid w:val="00E14E87"/>
    <w:rsid w:val="00E52FD7"/>
    <w:rsid w:val="00E85F0E"/>
    <w:rsid w:val="00EC3FB8"/>
    <w:rsid w:val="00EE23EE"/>
    <w:rsid w:val="00F15754"/>
    <w:rsid w:val="00F5751A"/>
    <w:rsid w:val="00F72550"/>
    <w:rsid w:val="00FF33A0"/>
    <w:rsid w:val="00FF76D9"/>
    <w:rsid w:val="01443353"/>
    <w:rsid w:val="01583855"/>
    <w:rsid w:val="02F7533D"/>
    <w:rsid w:val="03562994"/>
    <w:rsid w:val="035A0EDE"/>
    <w:rsid w:val="03CB6D70"/>
    <w:rsid w:val="03D5206B"/>
    <w:rsid w:val="04364A4F"/>
    <w:rsid w:val="043A0F20"/>
    <w:rsid w:val="04754D24"/>
    <w:rsid w:val="04CF4159"/>
    <w:rsid w:val="04E40895"/>
    <w:rsid w:val="050B0AD1"/>
    <w:rsid w:val="051B7598"/>
    <w:rsid w:val="05577B55"/>
    <w:rsid w:val="055B7D38"/>
    <w:rsid w:val="07AC4D2B"/>
    <w:rsid w:val="083B43B1"/>
    <w:rsid w:val="08757A2C"/>
    <w:rsid w:val="087A40C4"/>
    <w:rsid w:val="08A86F0A"/>
    <w:rsid w:val="09A667E8"/>
    <w:rsid w:val="09C053E7"/>
    <w:rsid w:val="0A7462CE"/>
    <w:rsid w:val="0B093D1A"/>
    <w:rsid w:val="0B372B92"/>
    <w:rsid w:val="0B3B76F5"/>
    <w:rsid w:val="0B9610F4"/>
    <w:rsid w:val="0C855B7E"/>
    <w:rsid w:val="0C87037B"/>
    <w:rsid w:val="0CEF0CD8"/>
    <w:rsid w:val="0D386A70"/>
    <w:rsid w:val="0E1B10A8"/>
    <w:rsid w:val="0E80564C"/>
    <w:rsid w:val="0E8B67DF"/>
    <w:rsid w:val="0EA03B8A"/>
    <w:rsid w:val="0EAC0C18"/>
    <w:rsid w:val="0EB25F9A"/>
    <w:rsid w:val="0F0E1360"/>
    <w:rsid w:val="0F8D0176"/>
    <w:rsid w:val="0FFF1232"/>
    <w:rsid w:val="10C90F85"/>
    <w:rsid w:val="115626A3"/>
    <w:rsid w:val="11EB5FE1"/>
    <w:rsid w:val="12E86716"/>
    <w:rsid w:val="14082F52"/>
    <w:rsid w:val="14085DAD"/>
    <w:rsid w:val="14233C6D"/>
    <w:rsid w:val="144323F4"/>
    <w:rsid w:val="14452035"/>
    <w:rsid w:val="145B3800"/>
    <w:rsid w:val="147E4E1C"/>
    <w:rsid w:val="16007AF5"/>
    <w:rsid w:val="163A203A"/>
    <w:rsid w:val="178F2FEA"/>
    <w:rsid w:val="17BF20B0"/>
    <w:rsid w:val="17E977C8"/>
    <w:rsid w:val="1873680D"/>
    <w:rsid w:val="18AF3306"/>
    <w:rsid w:val="18F12637"/>
    <w:rsid w:val="1922150A"/>
    <w:rsid w:val="19880595"/>
    <w:rsid w:val="1AB46DAB"/>
    <w:rsid w:val="1B6C2995"/>
    <w:rsid w:val="1BC44893"/>
    <w:rsid w:val="1BC65F54"/>
    <w:rsid w:val="1BDF2274"/>
    <w:rsid w:val="1C05708F"/>
    <w:rsid w:val="1C307374"/>
    <w:rsid w:val="1C9203A6"/>
    <w:rsid w:val="1E8832A2"/>
    <w:rsid w:val="1F1C5732"/>
    <w:rsid w:val="1FC2316E"/>
    <w:rsid w:val="20336A96"/>
    <w:rsid w:val="20F84A35"/>
    <w:rsid w:val="21424D60"/>
    <w:rsid w:val="21901353"/>
    <w:rsid w:val="220D3E3F"/>
    <w:rsid w:val="223B07F0"/>
    <w:rsid w:val="224A02E7"/>
    <w:rsid w:val="226A4BCE"/>
    <w:rsid w:val="227411DF"/>
    <w:rsid w:val="22803312"/>
    <w:rsid w:val="238E7B64"/>
    <w:rsid w:val="247C6AD1"/>
    <w:rsid w:val="24856237"/>
    <w:rsid w:val="24F20F0E"/>
    <w:rsid w:val="24FE116D"/>
    <w:rsid w:val="25053D8A"/>
    <w:rsid w:val="254B515D"/>
    <w:rsid w:val="25791876"/>
    <w:rsid w:val="26B94C66"/>
    <w:rsid w:val="26FF6942"/>
    <w:rsid w:val="272958A8"/>
    <w:rsid w:val="272B74FA"/>
    <w:rsid w:val="27A44741"/>
    <w:rsid w:val="27C21F87"/>
    <w:rsid w:val="2865301D"/>
    <w:rsid w:val="28732366"/>
    <w:rsid w:val="28A80261"/>
    <w:rsid w:val="28C86C87"/>
    <w:rsid w:val="28F41F4E"/>
    <w:rsid w:val="28FB65E3"/>
    <w:rsid w:val="296119D7"/>
    <w:rsid w:val="297D19A3"/>
    <w:rsid w:val="2A97100B"/>
    <w:rsid w:val="2AA809EC"/>
    <w:rsid w:val="2B401296"/>
    <w:rsid w:val="2B4754A3"/>
    <w:rsid w:val="2B9F277C"/>
    <w:rsid w:val="2D0635AD"/>
    <w:rsid w:val="2DDB1EBF"/>
    <w:rsid w:val="2DF963B5"/>
    <w:rsid w:val="2E6961DD"/>
    <w:rsid w:val="2EA67F31"/>
    <w:rsid w:val="2EC40C57"/>
    <w:rsid w:val="2EE433BF"/>
    <w:rsid w:val="30334755"/>
    <w:rsid w:val="309A6C96"/>
    <w:rsid w:val="311233CC"/>
    <w:rsid w:val="31306A57"/>
    <w:rsid w:val="332E1E50"/>
    <w:rsid w:val="34375C94"/>
    <w:rsid w:val="34935BA4"/>
    <w:rsid w:val="34A264CA"/>
    <w:rsid w:val="355552CD"/>
    <w:rsid w:val="362A056A"/>
    <w:rsid w:val="36BA638E"/>
    <w:rsid w:val="3703456E"/>
    <w:rsid w:val="37A26BD4"/>
    <w:rsid w:val="386E2C1B"/>
    <w:rsid w:val="39FC703A"/>
    <w:rsid w:val="3A4968CA"/>
    <w:rsid w:val="3B6D4312"/>
    <w:rsid w:val="3B7D5E2D"/>
    <w:rsid w:val="3BB466CB"/>
    <w:rsid w:val="3BB9179A"/>
    <w:rsid w:val="3C536A33"/>
    <w:rsid w:val="3CB7521C"/>
    <w:rsid w:val="3CE76215"/>
    <w:rsid w:val="3CFF0303"/>
    <w:rsid w:val="3D7619F9"/>
    <w:rsid w:val="3D96007A"/>
    <w:rsid w:val="3E512B11"/>
    <w:rsid w:val="3E9F1660"/>
    <w:rsid w:val="3F5F332B"/>
    <w:rsid w:val="3F8502F8"/>
    <w:rsid w:val="3FD704B2"/>
    <w:rsid w:val="3FE0447A"/>
    <w:rsid w:val="405854B3"/>
    <w:rsid w:val="409313F9"/>
    <w:rsid w:val="40CA2819"/>
    <w:rsid w:val="40DE71F5"/>
    <w:rsid w:val="40F706D6"/>
    <w:rsid w:val="418C72E5"/>
    <w:rsid w:val="41EC3A6C"/>
    <w:rsid w:val="42A2655E"/>
    <w:rsid w:val="42E71D47"/>
    <w:rsid w:val="436C5E0D"/>
    <w:rsid w:val="440F6ACF"/>
    <w:rsid w:val="44631084"/>
    <w:rsid w:val="446A549B"/>
    <w:rsid w:val="44800368"/>
    <w:rsid w:val="44DF75BD"/>
    <w:rsid w:val="4557299B"/>
    <w:rsid w:val="4599425E"/>
    <w:rsid w:val="45C40D74"/>
    <w:rsid w:val="46871AD6"/>
    <w:rsid w:val="46E44703"/>
    <w:rsid w:val="4735560E"/>
    <w:rsid w:val="47413F22"/>
    <w:rsid w:val="47692C54"/>
    <w:rsid w:val="47D55FFA"/>
    <w:rsid w:val="481D5A38"/>
    <w:rsid w:val="487975A7"/>
    <w:rsid w:val="489B0B5A"/>
    <w:rsid w:val="48E72086"/>
    <w:rsid w:val="494D5092"/>
    <w:rsid w:val="49732ED5"/>
    <w:rsid w:val="4A1079FD"/>
    <w:rsid w:val="4A1D620C"/>
    <w:rsid w:val="4AC57502"/>
    <w:rsid w:val="4AE21D6F"/>
    <w:rsid w:val="4BC136D0"/>
    <w:rsid w:val="4C2E17B4"/>
    <w:rsid w:val="4D276656"/>
    <w:rsid w:val="4D2C0BBC"/>
    <w:rsid w:val="4D904DD7"/>
    <w:rsid w:val="4D9C287D"/>
    <w:rsid w:val="4DC53F66"/>
    <w:rsid w:val="4E4F4497"/>
    <w:rsid w:val="4F815FEA"/>
    <w:rsid w:val="4FFF7497"/>
    <w:rsid w:val="50932EAD"/>
    <w:rsid w:val="51552F81"/>
    <w:rsid w:val="5174053C"/>
    <w:rsid w:val="51AB2104"/>
    <w:rsid w:val="525C5CD6"/>
    <w:rsid w:val="52840C61"/>
    <w:rsid w:val="52952D55"/>
    <w:rsid w:val="533D4D64"/>
    <w:rsid w:val="53427976"/>
    <w:rsid w:val="53A63423"/>
    <w:rsid w:val="54386D63"/>
    <w:rsid w:val="54A36172"/>
    <w:rsid w:val="54B0714A"/>
    <w:rsid w:val="54BC0EE8"/>
    <w:rsid w:val="55C049DC"/>
    <w:rsid w:val="55D41C4B"/>
    <w:rsid w:val="562E1696"/>
    <w:rsid w:val="58F95A7C"/>
    <w:rsid w:val="594F1692"/>
    <w:rsid w:val="59566C52"/>
    <w:rsid w:val="5AAF5CCA"/>
    <w:rsid w:val="5AC43F2A"/>
    <w:rsid w:val="5AD32383"/>
    <w:rsid w:val="5AD75A27"/>
    <w:rsid w:val="5B6E68B8"/>
    <w:rsid w:val="5B8D6C19"/>
    <w:rsid w:val="5BCE61FA"/>
    <w:rsid w:val="5C9B134E"/>
    <w:rsid w:val="5CE91666"/>
    <w:rsid w:val="5D580334"/>
    <w:rsid w:val="5DAA1580"/>
    <w:rsid w:val="5DEB0F2A"/>
    <w:rsid w:val="5E0C331A"/>
    <w:rsid w:val="5E1A6FB5"/>
    <w:rsid w:val="5E781EA8"/>
    <w:rsid w:val="5E7A3CE2"/>
    <w:rsid w:val="5F355496"/>
    <w:rsid w:val="5F7B5978"/>
    <w:rsid w:val="602642B3"/>
    <w:rsid w:val="61043C94"/>
    <w:rsid w:val="61A7533B"/>
    <w:rsid w:val="62B2296D"/>
    <w:rsid w:val="62C266BA"/>
    <w:rsid w:val="636147EE"/>
    <w:rsid w:val="63677EFB"/>
    <w:rsid w:val="63DB6B9E"/>
    <w:rsid w:val="63F47577"/>
    <w:rsid w:val="64CD6224"/>
    <w:rsid w:val="65B441A4"/>
    <w:rsid w:val="66373494"/>
    <w:rsid w:val="66591B82"/>
    <w:rsid w:val="66790C75"/>
    <w:rsid w:val="67110541"/>
    <w:rsid w:val="674F15EA"/>
    <w:rsid w:val="67A63985"/>
    <w:rsid w:val="67A65E4B"/>
    <w:rsid w:val="686731DA"/>
    <w:rsid w:val="6898637C"/>
    <w:rsid w:val="68B16D7B"/>
    <w:rsid w:val="68BA7003"/>
    <w:rsid w:val="68C057C9"/>
    <w:rsid w:val="6A364F93"/>
    <w:rsid w:val="6A5D1522"/>
    <w:rsid w:val="6BE11926"/>
    <w:rsid w:val="6C5C5A57"/>
    <w:rsid w:val="6C920572"/>
    <w:rsid w:val="6D827B87"/>
    <w:rsid w:val="6DC31ECB"/>
    <w:rsid w:val="6E656845"/>
    <w:rsid w:val="6EA64B45"/>
    <w:rsid w:val="6F471F5D"/>
    <w:rsid w:val="705B0CE2"/>
    <w:rsid w:val="70BF3967"/>
    <w:rsid w:val="710F157A"/>
    <w:rsid w:val="718C3480"/>
    <w:rsid w:val="726F354B"/>
    <w:rsid w:val="72B9765A"/>
    <w:rsid w:val="72F3401B"/>
    <w:rsid w:val="731416B4"/>
    <w:rsid w:val="736A0890"/>
    <w:rsid w:val="73712518"/>
    <w:rsid w:val="738E7AB2"/>
    <w:rsid w:val="73A54F01"/>
    <w:rsid w:val="73DF2037"/>
    <w:rsid w:val="73F47C56"/>
    <w:rsid w:val="74624F7D"/>
    <w:rsid w:val="74CC4368"/>
    <w:rsid w:val="7546516B"/>
    <w:rsid w:val="75AF555B"/>
    <w:rsid w:val="75D91BB6"/>
    <w:rsid w:val="75DC4673"/>
    <w:rsid w:val="764B64E0"/>
    <w:rsid w:val="76F3488A"/>
    <w:rsid w:val="77281C38"/>
    <w:rsid w:val="77864705"/>
    <w:rsid w:val="77ED4E91"/>
    <w:rsid w:val="781828A1"/>
    <w:rsid w:val="78780B98"/>
    <w:rsid w:val="788E06C1"/>
    <w:rsid w:val="78D76423"/>
    <w:rsid w:val="798A3DCF"/>
    <w:rsid w:val="79E02BD8"/>
    <w:rsid w:val="7A3458D0"/>
    <w:rsid w:val="7A4B048B"/>
    <w:rsid w:val="7A96669D"/>
    <w:rsid w:val="7B4F6DFC"/>
    <w:rsid w:val="7B667A30"/>
    <w:rsid w:val="7B672810"/>
    <w:rsid w:val="7B681B66"/>
    <w:rsid w:val="7C6B2EC5"/>
    <w:rsid w:val="7E300909"/>
    <w:rsid w:val="7E964054"/>
    <w:rsid w:val="7EC84C80"/>
    <w:rsid w:val="7ED83F50"/>
    <w:rsid w:val="7EF55FF4"/>
    <w:rsid w:val="7F250E39"/>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6">
    <w:name w:val="annotation text"/>
    <w:basedOn w:val="1"/>
    <w:semiHidden/>
    <w:unhideWhenUsed/>
    <w:qFormat/>
    <w:uiPriority w:val="0"/>
    <w:pPr>
      <w:jc w:val="left"/>
    </w:pPr>
  </w:style>
  <w:style w:type="paragraph" w:styleId="7">
    <w:name w:val="index 4"/>
    <w:basedOn w:val="1"/>
    <w:next w:val="1"/>
    <w:unhideWhenUsed/>
    <w:qFormat/>
    <w:uiPriority w:val="99"/>
    <w:pPr>
      <w:ind w:left="600" w:leftChars="600"/>
    </w:pPr>
  </w:style>
  <w:style w:type="paragraph" w:styleId="8">
    <w:name w:val="Plain Text"/>
    <w:basedOn w:val="1"/>
    <w:link w:val="31"/>
    <w:qFormat/>
    <w:uiPriority w:val="0"/>
    <w:rPr>
      <w:rFonts w:hint="eastAsia" w:ascii="宋体" w:hAnsi="Courier New" w:eastAsia="宋体" w:cs="Times New Roman"/>
      <w:szCs w:val="21"/>
    </w:rPr>
  </w:style>
  <w:style w:type="paragraph" w:styleId="9">
    <w:name w:val="Balloon Text"/>
    <w:basedOn w:val="1"/>
    <w:link w:val="29"/>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Cs w:val="21"/>
    </w:rPr>
  </w:style>
  <w:style w:type="paragraph" w:styleId="13">
    <w:name w:val="Body Text First Indent"/>
    <w:basedOn w:val="2"/>
    <w:link w:val="32"/>
    <w:qFormat/>
    <w:uiPriority w:val="0"/>
    <w:pPr>
      <w:spacing w:beforeAutospacing="1" w:after="120"/>
      <w:ind w:firstLine="420"/>
    </w:pPr>
    <w:rPr>
      <w:rFonts w:ascii="Times New Roman" w:hAnsi="Times New Roman" w:eastAsia="宋体" w:cs="Times New Roman"/>
      <w:szCs w:val="21"/>
    </w:rPr>
  </w:style>
  <w:style w:type="table" w:styleId="15">
    <w:name w:val="Table Grid"/>
    <w:basedOn w:val="14"/>
    <w:qFormat/>
    <w:uiPriority w:val="0"/>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0000FF"/>
      <w:u w:val="single"/>
    </w:rPr>
  </w:style>
  <w:style w:type="character" w:styleId="19">
    <w:name w:val="Hyperlink"/>
    <w:basedOn w:val="16"/>
    <w:qFormat/>
    <w:uiPriority w:val="0"/>
    <w:rPr>
      <w:color w:val="0000FF"/>
      <w:u w:val="single"/>
    </w:rPr>
  </w:style>
  <w:style w:type="paragraph" w:customStyle="1" w:styleId="20">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1">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2">
    <w:name w:val="列出段落1"/>
    <w:basedOn w:val="1"/>
    <w:qFormat/>
    <w:uiPriority w:val="0"/>
    <w:pPr>
      <w:ind w:firstLine="420" w:firstLineChars="200"/>
    </w:pPr>
    <w:rPr>
      <w:rFonts w:ascii="Calibri" w:hAnsi="Calibri" w:eastAsia="宋体" w:cs="Times New Roman"/>
      <w:szCs w:val="21"/>
    </w:rPr>
  </w:style>
  <w:style w:type="paragraph" w:customStyle="1" w:styleId="23">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4">
    <w:name w:val="10"/>
    <w:basedOn w:val="16"/>
    <w:qFormat/>
    <w:uiPriority w:val="0"/>
    <w:rPr>
      <w:rFonts w:hint="default" w:ascii="Times New Roman" w:hAnsi="Times New Roman" w:cs="Times New Roman"/>
    </w:rPr>
  </w:style>
  <w:style w:type="character" w:customStyle="1" w:styleId="25">
    <w:name w:val="15"/>
    <w:basedOn w:val="16"/>
    <w:qFormat/>
    <w:uiPriority w:val="0"/>
    <w:rPr>
      <w:rFonts w:hint="default" w:ascii="Times New Roman" w:hAnsi="Times New Roman" w:cs="Times New Roman"/>
    </w:rPr>
  </w:style>
  <w:style w:type="character" w:customStyle="1" w:styleId="26">
    <w:name w:val="16"/>
    <w:basedOn w:val="16"/>
    <w:qFormat/>
    <w:uiPriority w:val="0"/>
    <w:rPr>
      <w:rFonts w:hint="default" w:ascii="Times New Roman" w:hAnsi="Times New Roman" w:cs="Times New Roman"/>
      <w:color w:val="0000FF"/>
      <w:u w:val="single"/>
    </w:rPr>
  </w:style>
  <w:style w:type="character" w:customStyle="1" w:styleId="27">
    <w:name w:val="页眉 Char"/>
    <w:basedOn w:val="16"/>
    <w:link w:val="11"/>
    <w:qFormat/>
    <w:uiPriority w:val="0"/>
    <w:rPr>
      <w:rFonts w:asciiTheme="minorHAnsi" w:hAnsiTheme="minorHAnsi" w:eastAsiaTheme="minorEastAsia" w:cstheme="minorBidi"/>
      <w:kern w:val="2"/>
      <w:sz w:val="18"/>
      <w:szCs w:val="18"/>
    </w:rPr>
  </w:style>
  <w:style w:type="character" w:customStyle="1" w:styleId="28">
    <w:name w:val="页脚 Char"/>
    <w:basedOn w:val="16"/>
    <w:link w:val="10"/>
    <w:qFormat/>
    <w:uiPriority w:val="0"/>
    <w:rPr>
      <w:rFonts w:asciiTheme="minorHAnsi" w:hAnsiTheme="minorHAnsi" w:eastAsiaTheme="minorEastAsia" w:cstheme="minorBidi"/>
      <w:kern w:val="2"/>
      <w:sz w:val="18"/>
      <w:szCs w:val="18"/>
    </w:rPr>
  </w:style>
  <w:style w:type="character" w:customStyle="1" w:styleId="29">
    <w:name w:val="批注框文本 Char"/>
    <w:basedOn w:val="16"/>
    <w:link w:val="9"/>
    <w:qFormat/>
    <w:uiPriority w:val="0"/>
    <w:rPr>
      <w:rFonts w:asciiTheme="minorHAnsi" w:hAnsiTheme="minorHAnsi" w:eastAsiaTheme="minorEastAsia" w:cstheme="minorBidi"/>
      <w:kern w:val="2"/>
      <w:sz w:val="18"/>
      <w:szCs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纯文本 Char"/>
    <w:link w:val="8"/>
    <w:qFormat/>
    <w:uiPriority w:val="0"/>
    <w:rPr>
      <w:rFonts w:ascii="宋体" w:hAnsi="Courier New"/>
      <w:kern w:val="2"/>
      <w:sz w:val="21"/>
      <w:szCs w:val="21"/>
    </w:rPr>
  </w:style>
  <w:style w:type="character" w:customStyle="1" w:styleId="32">
    <w:name w:val="正文首行缩进 Char"/>
    <w:basedOn w:val="16"/>
    <w:link w:val="13"/>
    <w:qFormat/>
    <w:uiPriority w:val="0"/>
    <w:rPr>
      <w:kern w:val="2"/>
      <w:sz w:val="21"/>
      <w:szCs w:val="21"/>
    </w:rPr>
  </w:style>
  <w:style w:type="paragraph" w:styleId="33">
    <w:name w:val="List Paragraph"/>
    <w:basedOn w:val="1"/>
    <w:unhideWhenUsed/>
    <w:qFormat/>
    <w:uiPriority w:val="99"/>
    <w:pPr>
      <w:ind w:firstLine="420" w:firstLineChars="200"/>
    </w:p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5">
    <w:name w:val="发文落款"/>
    <w:basedOn w:val="34"/>
    <w:qFormat/>
    <w:uiPriority w:val="0"/>
    <w:pPr>
      <w:ind w:left="4094" w:right="607" w:firstLine="0"/>
      <w:jc w:val="center"/>
    </w:pPr>
  </w:style>
  <w:style w:type="paragraph" w:customStyle="1" w:styleId="36">
    <w:name w:val="样式 小四 行距: 1.5 倍行距"/>
    <w:basedOn w:val="1"/>
    <w:qFormat/>
    <w:uiPriority w:val="0"/>
    <w:pPr>
      <w:ind w:firstLine="480"/>
    </w:pPr>
    <w:rPr>
      <w:rFonts w:cs="宋体"/>
    </w:rPr>
  </w:style>
  <w:style w:type="paragraph" w:customStyle="1" w:styleId="37">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CM6"/>
    <w:basedOn w:val="1"/>
    <w:next w:val="1"/>
    <w:qFormat/>
    <w:uiPriority w:val="99"/>
    <w:pPr>
      <w:autoSpaceDE w:val="0"/>
      <w:autoSpaceDN w:val="0"/>
      <w:adjustRightInd w:val="0"/>
      <w:spacing w:line="626" w:lineRule="atLeast"/>
      <w:jc w:val="left"/>
    </w:pPr>
    <w:rPr>
      <w:rFonts w:ascii="隶书" w:eastAsia="隶书"/>
      <w:kern w:val="0"/>
      <w:sz w:val="24"/>
      <w:szCs w:val="24"/>
    </w:rPr>
  </w:style>
  <w:style w:type="paragraph" w:customStyle="1" w:styleId="39">
    <w:name w:val="正文 含缩进"/>
    <w:basedOn w:val="1"/>
    <w:qFormat/>
    <w:uiPriority w:val="0"/>
    <w:pPr>
      <w:ind w:firstLine="424" w:firstLineChars="202"/>
      <w:jc w:val="left"/>
    </w:p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EE305-43BA-46E1-85F4-564A5F93B7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16866</Words>
  <Characters>17648</Characters>
  <Lines>139</Lines>
  <Paragraphs>39</Paragraphs>
  <TotalTime>63</TotalTime>
  <ScaleCrop>false</ScaleCrop>
  <LinksUpToDate>false</LinksUpToDate>
  <CharactersWithSpaces>18586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2022-07-22T06:29:00Z</dcterms:created>
  <dc:creator>李晓晨</dc:creator>
  <cp:lastModifiedBy>李柏明</cp:lastModifiedBy>
  <cp:lastPrinted>2024-04-25T02:32:00Z</cp:lastPrinted>
  <dcterms:modified xsi:type="dcterms:W3CDTF">2024-05-07T03:50:13Z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91B8C8E756DD43C0A0D48817E0D50BE4</vt:lpwstr>
  </property>
</Properties>
</file>