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bookmarkStart w:id="41" w:name="_GoBack"/>
    </w:p>
    <w:p>
      <w:pPr>
        <w:jc w:val="center"/>
        <w:rPr>
          <w:rFonts w:hint="eastAsia" w:eastAsia="宋体"/>
          <w:color w:val="auto"/>
          <w:highlight w:val="none"/>
          <w:lang w:eastAsia="zh-CN"/>
        </w:rPr>
      </w:pPr>
      <w:r>
        <w:rPr>
          <w:rFonts w:hint="eastAsia" w:ascii="宋体" w:hAnsi="宋体" w:eastAsia="宋体" w:cs="宋体"/>
          <w:b/>
          <w:color w:val="auto"/>
          <w:sz w:val="44"/>
          <w:szCs w:val="44"/>
          <w:highlight w:val="none"/>
          <w:lang w:eastAsia="zh-CN"/>
        </w:rPr>
        <w:t>天后宫新建低压线路工程施工</w:t>
      </w:r>
    </w:p>
    <w:p>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hint="eastAsia" w:ascii="宋体" w:hAnsi="宋体" w:eastAsia="宋体" w:cs="宋体"/>
          <w:color w:val="auto"/>
          <w:sz w:val="32"/>
          <w:szCs w:val="32"/>
          <w:highlight w:val="none"/>
          <w:lang w:val="en-US" w:eastAsia="zh-CN"/>
        </w:rPr>
      </w:pP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ind w:firstLine="1285" w:firstLineChars="400"/>
        <w:rPr>
          <w:rFonts w:ascii="宋体" w:hAnsi="宋体" w:eastAsia="宋体" w:cs="宋体"/>
          <w:color w:val="auto"/>
          <w:sz w:val="32"/>
          <w:szCs w:val="32"/>
          <w:highlight w:val="none"/>
        </w:rPr>
      </w:pPr>
      <w:bookmarkStart w:id="0" w:name="_Toc29976"/>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广州南沙旅游发展有限公司</w:t>
      </w:r>
      <w:r>
        <w:rPr>
          <w:rFonts w:hint="eastAsia" w:ascii="宋体" w:hAnsi="宋体" w:eastAsia="宋体" w:cs="宋体"/>
          <w:b/>
          <w:color w:val="auto"/>
          <w:sz w:val="32"/>
          <w:szCs w:val="32"/>
          <w:highlight w:val="none"/>
        </w:rPr>
        <w:t>（业主单位）</w:t>
      </w:r>
    </w:p>
    <w:p>
      <w:pPr>
        <w:spacing w:line="360" w:lineRule="auto"/>
        <w:ind w:firstLine="2445" w:firstLineChars="761"/>
        <w:rPr>
          <w:rFonts w:ascii="宋体" w:hAnsi="宋体" w:eastAsia="宋体" w:cs="宋体"/>
          <w:b/>
          <w:color w:val="auto"/>
          <w:sz w:val="32"/>
          <w:szCs w:val="32"/>
          <w:highlight w:val="none"/>
        </w:rPr>
      </w:pPr>
      <w:bookmarkStart w:id="1" w:name="OLE_LINK4"/>
      <w:bookmarkEnd w:id="1"/>
      <w:r>
        <w:rPr>
          <w:rFonts w:hint="eastAsia" w:ascii="宋体" w:hAnsi="宋体" w:eastAsia="宋体" w:cs="宋体"/>
          <w:b/>
          <w:color w:val="auto"/>
          <w:sz w:val="32"/>
          <w:szCs w:val="32"/>
          <w:highlight w:val="none"/>
        </w:rPr>
        <w:t>广州南沙建设维护管理有限公司（建设管理单位）</w:t>
      </w:r>
    </w:p>
    <w:p>
      <w:pPr>
        <w:spacing w:line="520" w:lineRule="exact"/>
        <w:ind w:right="-101" w:rightChars="-48" w:firstLine="1285" w:firstLineChars="400"/>
        <w:rPr>
          <w:rFonts w:ascii="宋体" w:hAnsi="宋体" w:eastAsia="宋体" w:cs="宋体"/>
          <w:color w:val="auto"/>
          <w:spacing w:val="28"/>
          <w:position w:val="8"/>
          <w:sz w:val="28"/>
          <w:szCs w:val="28"/>
          <w:highlight w:val="none"/>
        </w:rPr>
      </w:pPr>
      <w:r>
        <w:rPr>
          <w:rFonts w:hint="eastAsia" w:ascii="宋体" w:hAnsi="宋体" w:eastAsia="宋体" w:cs="宋体"/>
          <w:b/>
          <w:color w:val="auto"/>
          <w:sz w:val="32"/>
          <w:szCs w:val="32"/>
          <w:highlight w:val="none"/>
        </w:rPr>
        <w:t>日  期：</w:t>
      </w:r>
      <w:r>
        <w:rPr>
          <w:rFonts w:hint="eastAsia" w:ascii="宋体" w:hAnsi="宋体" w:eastAsia="宋体" w:cs="宋体"/>
          <w:b/>
          <w:color w:val="auto"/>
          <w:sz w:val="32"/>
          <w:szCs w:val="32"/>
          <w:highlight w:val="none"/>
          <w:lang w:eastAsia="zh-CN"/>
        </w:rPr>
        <w:t>2024</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5</w:t>
      </w:r>
      <w:r>
        <w:rPr>
          <w:rFonts w:hint="eastAsia" w:ascii="宋体" w:hAnsi="宋体" w:eastAsia="宋体" w:cs="宋体"/>
          <w:b/>
          <w:color w:val="auto"/>
          <w:sz w:val="32"/>
          <w:szCs w:val="32"/>
          <w:highlight w:val="none"/>
        </w:rPr>
        <w:t>月</w:t>
      </w:r>
    </w:p>
    <w:p>
      <w:pPr>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p>
    <w:p>
      <w:pPr>
        <w:rPr>
          <w:rFonts w:ascii="黑体" w:hAnsi="宋体" w:eastAsia="黑体" w:cs="黑体"/>
          <w:color w:val="auto"/>
          <w:sz w:val="36"/>
          <w:szCs w:val="36"/>
          <w:highlight w:val="none"/>
        </w:rPr>
      </w:pPr>
    </w:p>
    <w:bookmarkEnd w:id="0"/>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highlight w:val="none"/>
        </w:rPr>
      </w:sdtEndPr>
      <w:sdtContent>
        <w:p>
          <w:pPr>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pPr>
            <w:pStyle w:val="13"/>
            <w:tabs>
              <w:tab w:val="right" w:leader="dot" w:pos="9419"/>
            </w:tabs>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TOC \o "1-1" \h \u </w:instrText>
          </w:r>
          <w:r>
            <w:rPr>
              <w:rFonts w:hint="eastAsia" w:asciiTheme="minorEastAsia" w:hAnsiTheme="minorEastAsia" w:eastAsiaTheme="minorEastAsia" w:cstheme="minorEastAsia"/>
              <w:color w:val="auto"/>
              <w:sz w:val="24"/>
              <w:szCs w:val="24"/>
              <w:highlight w:val="none"/>
            </w:rPr>
            <w:fldChar w:fldCharType="separate"/>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"_Toc13302"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第1章 投标须知及前附表</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_Toc13302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"_Toc1632"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第2章 项目需求书</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_Toc1632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"_Toc27492"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第3章  投标格式文件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_Toc27492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"_Toc30913"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第4章 评标办法</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_Toc30913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"_Toc26593"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第5章 附件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_Toc26593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38</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rPr>
              <w:color w:val="auto"/>
              <w:highlight w:val="none"/>
            </w:rPr>
          </w:pPr>
          <w:r>
            <w:rPr>
              <w:rFonts w:hint="eastAsia" w:asciiTheme="minorEastAsia" w:hAnsiTheme="minorEastAsia" w:cstheme="minorEastAsia"/>
              <w:color w:val="auto"/>
              <w:sz w:val="24"/>
              <w:highlight w:val="none"/>
            </w:rPr>
            <w:fldChar w:fldCharType="end"/>
          </w:r>
        </w:p>
      </w:sdtContent>
    </w:sdt>
    <w:p>
      <w:pPr>
        <w:pStyle w:val="14"/>
        <w:widowControl/>
        <w:spacing w:after="0"/>
        <w:ind w:firstLine="0"/>
        <w:rPr>
          <w:rFonts w:ascii="宋体" w:hAnsi="宋体" w:cs="宋体"/>
          <w:color w:val="auto"/>
          <w:highlight w:val="none"/>
        </w:rPr>
        <w:sectPr>
          <w:pgSz w:w="11915" w:h="16840"/>
          <w:pgMar w:top="1247" w:right="1135" w:bottom="1247" w:left="1361" w:header="720" w:footer="720" w:gutter="0"/>
          <w:cols w:space="425" w:num="1"/>
          <w:docGrid w:type="lines" w:linePitch="285" w:charSpace="0"/>
        </w:sectPr>
      </w:pPr>
      <w:r>
        <w:rPr>
          <w:rFonts w:hint="eastAsia" w:ascii="宋体" w:hAnsi="宋体" w:cs="宋体"/>
          <w:color w:val="auto"/>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2" w:name="_Toc13302"/>
      <w:bookmarkStart w:id="3" w:name="_Toc374128472"/>
      <w:r>
        <w:rPr>
          <w:rFonts w:hint="eastAsia" w:ascii="黑体" w:hAnsi="宋体" w:cs="黑体"/>
          <w:b/>
          <w:color w:val="auto"/>
          <w:kern w:val="44"/>
          <w:sz w:val="44"/>
          <w:szCs w:val="44"/>
          <w:highlight w:val="none"/>
        </w:rPr>
        <w:t>第1章 投标须知及前附表</w:t>
      </w:r>
      <w:bookmarkEnd w:id="2"/>
      <w:bookmarkEnd w:id="3"/>
    </w:p>
    <w:p>
      <w:pPr>
        <w:spacing w:after="142"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7"/>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highlight w:val="none"/>
                <w:lang w:eastAsia="zh-CN"/>
              </w:rPr>
            </w:pPr>
            <w:r>
              <w:rPr>
                <w:rFonts w:hint="eastAsia" w:ascii="宋体" w:hAnsi="宋体" w:cs="宋体"/>
                <w:color w:val="auto"/>
                <w:highlight w:val="none"/>
                <w:lang w:eastAsia="zh-CN"/>
              </w:rPr>
              <w:t>天后宫新建低压线路工程</w:t>
            </w:r>
            <w:r>
              <w:rPr>
                <w:rFonts w:hint="eastAsia" w:ascii="宋体" w:hAnsi="宋体" w:eastAsia="宋体" w:cs="宋体"/>
                <w:color w:val="auto"/>
                <w:highlight w:val="none"/>
                <w:lang w:eastAsia="zh-CN"/>
              </w:rPr>
              <w:t>施工</w:t>
            </w:r>
          </w:p>
        </w:tc>
      </w:tr>
      <w:tr>
        <w:tblPrEx>
          <w:tblCellMar>
            <w:top w:w="0" w:type="dxa"/>
            <w:left w:w="108" w:type="dxa"/>
            <w:bottom w:w="0" w:type="dxa"/>
            <w:right w:w="108" w:type="dxa"/>
          </w:tblCellMar>
        </w:tblPrEx>
        <w:trPr>
          <w:trHeight w:val="462"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p>
            <w:pPr>
              <w:pStyle w:val="14"/>
              <w:widowControl/>
              <w:spacing w:after="0" w:line="360" w:lineRule="auto"/>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广东省广州市南沙区</w:t>
            </w:r>
            <w:r>
              <w:rPr>
                <w:rFonts w:hint="eastAsia" w:ascii="宋体" w:hAnsi="宋体" w:eastAsia="宋体" w:cs="宋体"/>
                <w:color w:val="auto"/>
                <w:szCs w:val="21"/>
                <w:highlight w:val="none"/>
                <w:lang w:eastAsia="zh-CN"/>
              </w:rPr>
              <w:t>天后宫景区内</w:t>
            </w:r>
          </w:p>
        </w:tc>
      </w:tr>
      <w:tr>
        <w:tblPrEx>
          <w:tblCellMar>
            <w:top w:w="0" w:type="dxa"/>
            <w:left w:w="108" w:type="dxa"/>
            <w:bottom w:w="0" w:type="dxa"/>
            <w:right w:w="108" w:type="dxa"/>
          </w:tblCellMar>
        </w:tblPrEx>
        <w:trPr>
          <w:trHeight w:val="963"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b w:val="0"/>
                <w:bCs/>
                <w:color w:val="auto"/>
                <w:sz w:val="21"/>
                <w:szCs w:val="21"/>
                <w:highlight w:val="none"/>
                <w:lang w:eastAsia="zh-CN"/>
              </w:rPr>
              <w:t>为统筹利用天后宫景区用电，推进景区内部电网提升改造，拟从天后宫1号箱变，新做埋地电缆管并铺设电缆至餐吧和在建餐厅等区域</w:t>
            </w:r>
            <w:r>
              <w:rPr>
                <w:rFonts w:hint="eastAsia" w:ascii="宋体" w:hAnsi="宋体" w:eastAsia="宋体" w:cs="宋体"/>
                <w:bCs/>
                <w:color w:val="auto"/>
                <w:kern w:val="0"/>
                <w:sz w:val="21"/>
                <w:szCs w:val="21"/>
                <w:highlight w:val="none"/>
                <w:u w:val="none"/>
                <w:lang w:val="en-US" w:eastAsia="zh-CN"/>
              </w:rPr>
              <w:t>。</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综合单价包干，工程量按实结算，</w:t>
            </w:r>
            <w:r>
              <w:rPr>
                <w:rFonts w:hint="eastAsia" w:ascii="宋体" w:hAnsi="宋体" w:eastAsia="宋体" w:cs="宋体"/>
                <w:b w:val="0"/>
                <w:bCs/>
                <w:color w:val="auto"/>
                <w:sz w:val="21"/>
                <w:szCs w:val="21"/>
                <w:highlight w:val="none"/>
                <w:lang w:eastAsia="zh-CN"/>
              </w:rPr>
              <w:t>绿色施工安全防护措施费</w:t>
            </w:r>
            <w:r>
              <w:rPr>
                <w:rFonts w:hint="eastAsia" w:ascii="宋体" w:hAnsi="宋体" w:eastAsia="宋体" w:cs="宋体"/>
                <w:color w:val="auto"/>
                <w:highlight w:val="none"/>
              </w:rPr>
              <w:t>固定总价包干。</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工程投资</w:t>
            </w:r>
            <w:r>
              <w:rPr>
                <w:rFonts w:hint="eastAsia" w:ascii="宋体" w:hAnsi="宋体" w:eastAsia="宋体" w:cs="宋体"/>
                <w:color w:val="auto"/>
                <w:highlight w:val="none"/>
              </w:rPr>
              <w:t>约</w:t>
            </w:r>
            <w:r>
              <w:rPr>
                <w:rFonts w:hint="eastAsia" w:ascii="宋体" w:hAnsi="宋体" w:cs="宋体"/>
                <w:color w:val="auto"/>
                <w:highlight w:val="none"/>
                <w:lang w:val="en-US" w:eastAsia="zh-CN"/>
              </w:rPr>
              <w:t>137</w:t>
            </w:r>
            <w:r>
              <w:rPr>
                <w:rFonts w:hint="eastAsia" w:ascii="宋体" w:hAnsi="宋体" w:eastAsia="宋体" w:cs="宋体"/>
                <w:color w:val="auto"/>
                <w:highlight w:val="none"/>
              </w:rPr>
              <w:t>万元。</w:t>
            </w:r>
          </w:p>
        </w:tc>
      </w:tr>
      <w:tr>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工程质量符合国家验收规范，达到合格标准。</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3"/>
              <w:widowControl/>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b w:val="0"/>
                <w:bCs/>
                <w:color w:val="auto"/>
                <w:sz w:val="21"/>
                <w:szCs w:val="21"/>
                <w:highlight w:val="none"/>
                <w:lang w:eastAsia="zh-CN"/>
              </w:rPr>
              <w:t>项目建设内容包括</w:t>
            </w:r>
            <w:r>
              <w:rPr>
                <w:rFonts w:hint="eastAsia" w:ascii="宋体" w:hAnsi="宋体" w:eastAsia="宋体" w:cs="宋体"/>
                <w:b w:val="0"/>
                <w:bCs/>
                <w:color w:val="auto"/>
                <w:sz w:val="21"/>
                <w:szCs w:val="21"/>
                <w:highlight w:val="none"/>
                <w:lang w:val="en-US" w:eastAsia="zh-CN"/>
              </w:rPr>
              <w:t>但不限于：</w:t>
            </w:r>
            <w:r>
              <w:rPr>
                <w:rFonts w:hint="eastAsia" w:ascii="宋体" w:hAnsi="宋体" w:eastAsia="宋体" w:cs="宋体"/>
                <w:b w:val="0"/>
                <w:bCs/>
                <w:color w:val="auto"/>
                <w:sz w:val="21"/>
                <w:szCs w:val="21"/>
                <w:highlight w:val="none"/>
                <w:lang w:eastAsia="zh-CN"/>
              </w:rPr>
              <w:t>新建埋地电缆管、电缆井，改造原低压出线柜、铺设电缆、安装配电箱，地面开挖、修复</w:t>
            </w:r>
            <w:r>
              <w:rPr>
                <w:rFonts w:hint="eastAsia" w:ascii="宋体" w:hAnsi="宋体" w:eastAsia="宋体" w:cs="宋体"/>
                <w:b w:val="0"/>
                <w:bCs/>
                <w:color w:val="auto"/>
                <w:sz w:val="21"/>
                <w:szCs w:val="21"/>
                <w:highlight w:val="none"/>
                <w:lang w:val="en-US" w:eastAsia="zh-CN"/>
              </w:rPr>
              <w:t>等，最终以实际工程量清单和图纸为准。</w:t>
            </w:r>
          </w:p>
        </w:tc>
      </w:tr>
      <w:tr>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ind w:firstLine="0" w:firstLineChars="0"/>
              <w:jc w:val="left"/>
              <w:rPr>
                <w:rFonts w:hint="default" w:ascii="宋体" w:hAnsi="宋体" w:eastAsia="宋体" w:cs="宋体"/>
                <w:color w:val="auto"/>
                <w:szCs w:val="21"/>
                <w:highlight w:val="none"/>
                <w:lang w:val="en-US" w:eastAsia="zh-CN"/>
              </w:rPr>
            </w:pPr>
            <w:r>
              <w:rPr>
                <w:rFonts w:hint="eastAsia" w:ascii="宋体" w:hAnsi="宋体" w:eastAsia="宋体" w:cs="宋体"/>
                <w:b w:val="0"/>
                <w:bCs/>
                <w:color w:val="auto"/>
                <w:sz w:val="21"/>
                <w:szCs w:val="21"/>
                <w:highlight w:val="none"/>
                <w:lang w:val="en-US" w:eastAsia="zh-CN"/>
              </w:rPr>
              <w:t>30日历天完工并通电，开工时间以开工通知为准。</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b w:val="0"/>
                <w:bCs/>
                <w:color w:val="auto"/>
                <w:sz w:val="21"/>
                <w:szCs w:val="21"/>
                <w:highlight w:val="none"/>
              </w:rPr>
              <w:t>投标人具有投标人具有承接本工程所需的电力工程施工总承包资质三级或以上资质</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或输变电工程专业</w:t>
            </w:r>
            <w:r>
              <w:rPr>
                <w:rFonts w:hint="eastAsia" w:ascii="宋体" w:hAnsi="宋体" w:eastAsia="宋体" w:cs="宋体"/>
                <w:b w:val="0"/>
                <w:bCs/>
                <w:color w:val="auto"/>
                <w:sz w:val="21"/>
                <w:szCs w:val="21"/>
                <w:highlight w:val="none"/>
                <w:lang w:eastAsia="zh-CN"/>
              </w:rPr>
              <w:t>二</w:t>
            </w:r>
            <w:r>
              <w:rPr>
                <w:rFonts w:hint="eastAsia" w:ascii="宋体" w:hAnsi="宋体" w:eastAsia="宋体" w:cs="宋体"/>
                <w:b w:val="0"/>
                <w:bCs/>
                <w:color w:val="auto"/>
                <w:sz w:val="21"/>
                <w:szCs w:val="21"/>
                <w:highlight w:val="none"/>
              </w:rPr>
              <w:t>级或以上资质</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Cs/>
                <w:color w:val="auto"/>
                <w:sz w:val="21"/>
                <w:szCs w:val="21"/>
                <w:highlight w:val="none"/>
                <w:u w:val="none"/>
              </w:rPr>
              <w:t>并</w:t>
            </w:r>
            <w:r>
              <w:rPr>
                <w:rFonts w:hint="eastAsia" w:ascii="宋体" w:hAnsi="宋体" w:eastAsia="宋体" w:cs="宋体"/>
                <w:bCs/>
                <w:color w:val="auto"/>
                <w:sz w:val="21"/>
                <w:szCs w:val="21"/>
                <w:highlight w:val="none"/>
                <w:u w:val="none"/>
                <w:lang w:val="en-US" w:eastAsia="zh-CN"/>
              </w:rPr>
              <w:t>持</w:t>
            </w:r>
            <w:r>
              <w:rPr>
                <w:rFonts w:hint="eastAsia" w:ascii="宋体" w:hAnsi="宋体" w:eastAsia="宋体" w:cs="宋体"/>
                <w:bCs/>
                <w:color w:val="auto"/>
                <w:sz w:val="21"/>
                <w:szCs w:val="21"/>
                <w:highlight w:val="none"/>
                <w:u w:val="none"/>
              </w:rPr>
              <w:t>有建设行政主管部门颁发的安全生产许可证</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spacing w:line="360" w:lineRule="auto"/>
              <w:rPr>
                <w:rFonts w:hint="eastAsia" w:ascii="宋体" w:hAnsi="宋体" w:eastAsia="宋体" w:cs="宋体"/>
                <w:color w:val="auto"/>
                <w:highlight w:val="none"/>
              </w:rPr>
            </w:pPr>
            <w:r>
              <w:rPr>
                <w:rFonts w:ascii="宋体" w:hAnsi="宋体" w:eastAsia="宋体" w:cs="宋体"/>
                <w:color w:val="auto"/>
                <w:highlight w:val="none"/>
              </w:rPr>
              <w:t>不接受联合体投标。</w:t>
            </w:r>
          </w:p>
        </w:tc>
      </w:tr>
      <w:tr>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pPr>
              <w:pStyle w:val="14"/>
              <w:widowControl/>
              <w:spacing w:after="0" w:line="360" w:lineRule="auto"/>
              <w:ind w:firstLine="0"/>
              <w:jc w:val="center"/>
              <w:rPr>
                <w:rFonts w:hint="eastAsia" w:ascii="宋体" w:hAnsi="宋体" w:eastAsia="宋体" w:cs="宋体"/>
                <w:color w:val="auto"/>
                <w:highlight w:val="none"/>
              </w:rPr>
            </w:pP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keepNext w:val="0"/>
              <w:keepLines w:val="0"/>
              <w:pageBreakBefore w:val="0"/>
              <w:widowControl/>
              <w:numPr>
                <w:ilvl w:val="-1"/>
                <w:numId w:val="0"/>
              </w:numPr>
              <w:kinsoku/>
              <w:wordWrap/>
              <w:overflowPunct/>
              <w:bidi w:val="0"/>
              <w:spacing w:line="360" w:lineRule="auto"/>
              <w:ind w:left="0" w:right="0" w:firstLine="0" w:firstLineChars="0"/>
              <w:textAlignment w:val="auto"/>
              <w:rPr>
                <w:rFonts w:hint="eastAsia" w:ascii="宋体" w:hAnsi="宋体" w:eastAsia="宋体" w:cs="宋体"/>
                <w:b w:val="0"/>
                <w:bCs/>
                <w:color w:val="auto"/>
                <w:sz w:val="21"/>
                <w:szCs w:val="21"/>
                <w:highlight w:val="none"/>
                <w:u w:val="none"/>
              </w:rPr>
            </w:pPr>
            <w:r>
              <w:rPr>
                <w:rFonts w:hint="eastAsia" w:ascii="宋体" w:hAnsi="宋体" w:eastAsia="宋体" w:cs="宋体"/>
                <w:b w:val="0"/>
                <w:bCs/>
                <w:color w:val="auto"/>
                <w:sz w:val="21"/>
                <w:szCs w:val="21"/>
                <w:highlight w:val="none"/>
                <w:u w:val="none"/>
                <w:lang w:val="en-US" w:eastAsia="zh-CN"/>
              </w:rPr>
              <w:t>1、</w:t>
            </w:r>
            <w:r>
              <w:rPr>
                <w:rFonts w:hint="eastAsia" w:ascii="宋体" w:hAnsi="宋体" w:eastAsia="宋体" w:cs="宋体"/>
                <w:b w:val="0"/>
                <w:bCs/>
                <w:color w:val="auto"/>
                <w:sz w:val="21"/>
                <w:szCs w:val="21"/>
                <w:highlight w:val="none"/>
                <w:u w:val="none"/>
              </w:rPr>
              <w:t>投标人拟担任本工程项目负责人的人员为：</w:t>
            </w:r>
            <w:r>
              <w:rPr>
                <w:rFonts w:hint="eastAsia" w:ascii="宋体" w:hAnsi="宋体" w:eastAsia="宋体" w:cs="宋体"/>
                <w:bCs/>
                <w:color w:val="auto"/>
                <w:sz w:val="21"/>
                <w:szCs w:val="21"/>
                <w:highlight w:val="none"/>
                <w:u w:val="none"/>
              </w:rPr>
              <w:t>机电工程专业二级（或以上）注册建造师</w:t>
            </w:r>
            <w:r>
              <w:rPr>
                <w:rFonts w:hint="eastAsia" w:ascii="宋体" w:hAnsi="宋体" w:eastAsia="宋体" w:cs="宋体"/>
                <w:b w:val="0"/>
                <w:bCs/>
                <w:color w:val="auto"/>
                <w:sz w:val="21"/>
                <w:szCs w:val="21"/>
                <w:highlight w:val="none"/>
                <w:u w:val="none"/>
              </w:rPr>
              <w:t>。</w:t>
            </w:r>
          </w:p>
          <w:p>
            <w:pPr>
              <w:widowControl/>
              <w:spacing w:line="360" w:lineRule="auto"/>
              <w:ind w:firstLine="0" w:firstLineChars="0"/>
              <w:rPr>
                <w:rFonts w:hint="eastAsia" w:ascii="宋体" w:hAnsi="宋体" w:eastAsia="宋体" w:cs="宋体"/>
                <w:color w:val="auto"/>
                <w:szCs w:val="21"/>
                <w:highlight w:val="none"/>
              </w:rPr>
            </w:pPr>
            <w:r>
              <w:rPr>
                <w:rFonts w:hint="eastAsia" w:ascii="宋体" w:hAnsi="宋体" w:eastAsia="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专职安全员须具有安全生产考核合格证（C证）或能够提供广东省建筑施工企业管理人员安全生产考核信息系统安全生产管理人员证书信息的网页截图</w:t>
            </w:r>
            <w:r>
              <w:rPr>
                <w:rFonts w:hint="eastAsia" w:ascii="宋体" w:hAnsi="宋体" w:eastAsia="宋体" w:cs="宋体"/>
                <w:b w:val="0"/>
                <w:bCs/>
                <w:color w:val="auto"/>
                <w:sz w:val="21"/>
                <w:szCs w:val="21"/>
                <w:highlight w:val="none"/>
                <w:lang w:eastAsia="zh-CN"/>
              </w:rPr>
              <w:t>。</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Autospacing="0"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Autospacing="0" w:after="0" w:line="360" w:lineRule="auto"/>
              <w:ind w:left="-59" w:leftChars="-28"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由投标人自行考察。</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r>
      <w:tr>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100" w:beforeAutospacing="0" w:after="0" w:line="360" w:lineRule="auto"/>
              <w:ind w:left="-59" w:leftChars="-28" w:right="-44" w:rightChars="-21" w:firstLine="0"/>
              <w:jc w:val="center"/>
              <w:rPr>
                <w:rFonts w:hint="eastAsia" w:ascii="宋体" w:hAnsi="宋体" w:eastAsia="宋体" w:cs="宋体"/>
                <w:color w:val="auto"/>
                <w:highlight w:val="none"/>
              </w:rPr>
            </w:pPr>
            <w:r>
              <w:rPr>
                <w:rFonts w:hint="eastAsia" w:ascii="宋体" w:hAnsi="宋体" w:eastAsia="宋体" w:cs="宋体"/>
                <w:color w:val="auto"/>
                <w:highlight w:val="none"/>
              </w:rPr>
              <w:t>招标控制价及报价方式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keepNext w:val="0"/>
              <w:keepLines w:val="0"/>
              <w:pageBreakBefore w:val="0"/>
              <w:widowControl/>
              <w:kinsoku/>
              <w:wordWrap/>
              <w:overflowPunct/>
              <w:bidi w:val="0"/>
              <w:spacing w:line="360" w:lineRule="auto"/>
              <w:ind w:left="0" w:right="0" w:firstLine="420" w:firstLineChars="200"/>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招标控制价为</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990153</w:t>
            </w:r>
            <w:r>
              <w:rPr>
                <w:rFonts w:hint="eastAsia" w:ascii="宋体" w:hAnsi="宋体" w:eastAsia="宋体" w:cs="宋体"/>
                <w:b w:val="0"/>
                <w:bCs/>
                <w:color w:val="auto"/>
                <w:sz w:val="21"/>
                <w:szCs w:val="21"/>
                <w:highlight w:val="none"/>
                <w:lang w:val="en-US" w:eastAsia="zh-CN"/>
              </w:rPr>
              <w:t>.31</w:t>
            </w:r>
            <w:r>
              <w:rPr>
                <w:rFonts w:hint="eastAsia" w:ascii="宋体" w:hAnsi="宋体" w:eastAsia="宋体" w:cs="宋体"/>
                <w:b w:val="0"/>
                <w:bCs/>
                <w:color w:val="auto"/>
                <w:sz w:val="21"/>
                <w:szCs w:val="21"/>
                <w:highlight w:val="none"/>
              </w:rPr>
              <w:t>元</w:t>
            </w:r>
            <w:r>
              <w:rPr>
                <w:rFonts w:hint="eastAsia" w:ascii="宋体" w:hAnsi="宋体" w:eastAsia="宋体" w:cs="宋体"/>
                <w:b w:val="0"/>
                <w:bCs/>
                <w:color w:val="auto"/>
                <w:sz w:val="21"/>
                <w:szCs w:val="21"/>
                <w:highlight w:val="none"/>
                <w:lang w:eastAsia="zh-CN"/>
              </w:rPr>
              <w:t>，其中：绿色施工安全防护措施费</w:t>
            </w:r>
            <w:r>
              <w:rPr>
                <w:rFonts w:hint="eastAsia" w:ascii="宋体" w:hAnsi="宋体" w:eastAsia="宋体" w:cs="宋体"/>
                <w:b w:val="0"/>
                <w:bCs/>
                <w:color w:val="auto"/>
                <w:sz w:val="21"/>
                <w:szCs w:val="21"/>
                <w:highlight w:val="none"/>
                <w:lang w:val="en-US" w:eastAsia="zh-CN"/>
              </w:rPr>
              <w:t>为¥</w:t>
            </w:r>
            <w:r>
              <w:rPr>
                <w:rFonts w:hint="eastAsia" w:ascii="宋体" w:hAnsi="宋体" w:eastAsia="宋体" w:cs="宋体"/>
                <w:b w:val="0"/>
                <w:bCs/>
                <w:color w:val="auto"/>
                <w:sz w:val="21"/>
                <w:szCs w:val="21"/>
                <w:highlight w:val="none"/>
                <w:lang w:val="en-US" w:eastAsia="zh-CN"/>
              </w:rPr>
              <w:t>22963.39</w:t>
            </w:r>
            <w:r>
              <w:rPr>
                <w:rFonts w:hint="eastAsia" w:ascii="宋体" w:hAnsi="宋体" w:eastAsia="宋体" w:cs="宋体"/>
                <w:b w:val="0"/>
                <w:bCs/>
                <w:color w:val="auto"/>
                <w:sz w:val="21"/>
                <w:szCs w:val="21"/>
                <w:highlight w:val="none"/>
              </w:rPr>
              <w:t>元</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lang w:val="en-US" w:eastAsia="zh-CN"/>
              </w:rPr>
              <w:t>固定值</w:t>
            </w:r>
            <w:r>
              <w:rPr>
                <w:rFonts w:hint="eastAsia" w:ascii="宋体" w:hAnsi="宋体" w:eastAsia="宋体" w:cs="宋体"/>
                <w:b w:val="0"/>
                <w:bCs/>
                <w:color w:val="auto"/>
                <w:sz w:val="21"/>
                <w:szCs w:val="21"/>
                <w:highlight w:val="none"/>
                <w:lang w:eastAsia="zh-CN"/>
              </w:rPr>
              <w:t>）</w:t>
            </w:r>
            <w:r>
              <w:rPr>
                <w:rFonts w:hint="eastAsia" w:hAnsi="宋体" w:cs="宋体"/>
                <w:b w:val="0"/>
                <w:bCs/>
                <w:color w:val="auto"/>
                <w:sz w:val="21"/>
                <w:szCs w:val="21"/>
                <w:highlight w:val="none"/>
                <w:lang w:eastAsia="zh-CN"/>
              </w:rPr>
              <w:t>。</w:t>
            </w:r>
          </w:p>
          <w:p>
            <w:pPr>
              <w:pStyle w:val="2"/>
              <w:widowControl/>
              <w:spacing w:line="360" w:lineRule="auto"/>
              <w:ind w:firstLine="420" w:firstLineChars="200"/>
              <w:rPr>
                <w:rFonts w:hint="eastAsia" w:ascii="宋体" w:hAnsi="宋体" w:eastAsia="宋体" w:cs="宋体"/>
                <w:color w:val="auto"/>
                <w:highlight w:val="none"/>
              </w:rPr>
            </w:pPr>
            <w:r>
              <w:rPr>
                <w:rFonts w:ascii="宋体" w:hAnsi="宋体" w:eastAsia="宋体" w:cs="宋体"/>
                <w:color w:val="auto"/>
                <w:highlight w:val="none"/>
              </w:rPr>
              <w:t>投标单位自行报价，投标报价不能超过招标控制价，否则按废标处理）。（小数点后保留二位小数，第三位小数四舍五入）</w:t>
            </w: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spacing w:val="-4"/>
                <w:highlight w:val="none"/>
              </w:rPr>
            </w:pPr>
            <w:r>
              <w:rPr>
                <w:rFonts w:hint="eastAsia" w:ascii="宋体" w:hAnsi="宋体" w:eastAsia="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1"/>
                <w:numId w:val="0"/>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1、金额：人民币壹万元。</w:t>
            </w:r>
          </w:p>
          <w:p>
            <w:pPr>
              <w:numPr>
                <w:ilvl w:val="-1"/>
                <w:numId w:val="0"/>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2、缴纳方式：银行转账。</w:t>
            </w:r>
          </w:p>
          <w:p>
            <w:pPr>
              <w:numPr>
                <w:ilvl w:val="-1"/>
                <w:numId w:val="0"/>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账户名称：广州南沙建设维护管理有限公司</w:t>
            </w:r>
          </w:p>
          <w:p>
            <w:pPr>
              <w:numPr>
                <w:ilvl w:val="-1"/>
                <w:numId w:val="0"/>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 xml:space="preserve">开户银行：中国工商银行广东自由贸易试验区南沙分行 </w:t>
            </w:r>
          </w:p>
          <w:p>
            <w:pPr>
              <w:numPr>
                <w:ilvl w:val="-1"/>
                <w:numId w:val="0"/>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账号：3602056909200030855</w:t>
            </w:r>
          </w:p>
          <w:p>
            <w:pPr>
              <w:numPr>
                <w:ilvl w:val="0"/>
                <w:numId w:val="0"/>
              </w:numPr>
              <w:adjustRightInd w:val="0"/>
              <w:snapToGrid w:val="0"/>
              <w:spacing w:line="360" w:lineRule="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缴纳时间：投标单位须在</w:t>
            </w:r>
            <w:r>
              <w:rPr>
                <w:rFonts w:hint="eastAsia" w:ascii="宋体" w:hAnsi="宋体" w:eastAsia="宋体" w:cs="宋体"/>
                <w:color w:val="auto"/>
                <w:szCs w:val="21"/>
                <w:highlight w:val="none"/>
                <w:lang w:eastAsia="zh-CN"/>
              </w:rPr>
              <w:t>2024</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val="en-US" w:eastAsia="zh-CN"/>
              </w:rPr>
              <w:t>一</w:t>
            </w:r>
            <w:r>
              <w:rPr>
                <w:rFonts w:hint="eastAsia" w:ascii="宋体" w:hAnsi="宋体" w:eastAsia="宋体" w:cs="宋体"/>
                <w:color w:val="auto"/>
                <w:szCs w:val="21"/>
                <w:highlight w:val="none"/>
              </w:rPr>
              <w:t>）17时00分前以投标人转出【汇款时</w:t>
            </w:r>
            <w:r>
              <w:rPr>
                <w:rFonts w:hint="eastAsia" w:ascii="宋体" w:hAnsi="宋体" w:eastAsia="宋体" w:cs="宋体"/>
                <w:color w:val="auto"/>
                <w:szCs w:val="21"/>
                <w:highlight w:val="none"/>
                <w:lang w:eastAsia="zh-CN"/>
              </w:rPr>
              <w:t>注明</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天后宫新建低压线路工程施工</w:t>
            </w:r>
            <w:r>
              <w:rPr>
                <w:rFonts w:hint="eastAsia" w:ascii="宋体" w:hAnsi="宋体" w:eastAsia="宋体" w:cs="宋体"/>
                <w:color w:val="auto"/>
                <w:szCs w:val="21"/>
                <w:highlight w:val="none"/>
              </w:rPr>
              <w:t>投标保证金】</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100" w:beforeAutospacing="0" w:after="0" w:line="360" w:lineRule="auto"/>
              <w:ind w:left="-46" w:leftChars="-22"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100" w:beforeAutospacing="0" w:after="0" w:line="360" w:lineRule="auto"/>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w:t>
            </w:r>
          </w:p>
          <w:p>
            <w:pPr>
              <w:pStyle w:val="14"/>
              <w:widowControl/>
              <w:spacing w:before="100" w:beforeAutospacing="0" w:after="0" w:line="360" w:lineRule="auto"/>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提交地点及</w:t>
            </w:r>
          </w:p>
          <w:p>
            <w:pPr>
              <w:pStyle w:val="14"/>
              <w:widowControl/>
              <w:spacing w:before="100" w:beforeAutospacing="0" w:after="0" w:line="360" w:lineRule="auto"/>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收件人：李工，66806279</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提交地点：</w:t>
            </w:r>
            <w:r>
              <w:rPr>
                <w:rFonts w:hint="eastAsia" w:ascii="宋体" w:hAnsi="宋体" w:eastAsia="宋体" w:cs="宋体"/>
                <w:b w:val="0"/>
                <w:bCs/>
                <w:color w:val="auto"/>
                <w:sz w:val="21"/>
                <w:szCs w:val="21"/>
                <w:highlight w:val="none"/>
              </w:rPr>
              <w:t>广州</w:t>
            </w:r>
            <w:r>
              <w:rPr>
                <w:rFonts w:hint="eastAsia" w:ascii="宋体" w:hAnsi="宋体" w:eastAsia="宋体" w:cs="宋体"/>
                <w:b w:val="0"/>
                <w:bCs/>
                <w:color w:val="auto"/>
                <w:sz w:val="21"/>
                <w:szCs w:val="21"/>
                <w:highlight w:val="none"/>
                <w:lang w:eastAsia="zh-CN"/>
              </w:rPr>
              <w:t>市</w:t>
            </w:r>
            <w:r>
              <w:rPr>
                <w:rFonts w:hint="eastAsia" w:ascii="宋体" w:hAnsi="宋体" w:eastAsia="宋体" w:cs="宋体"/>
                <w:b w:val="0"/>
                <w:bCs/>
                <w:color w:val="auto"/>
                <w:sz w:val="21"/>
                <w:szCs w:val="21"/>
                <w:highlight w:val="none"/>
              </w:rPr>
              <w:t>南沙区</w:t>
            </w:r>
            <w:r>
              <w:rPr>
                <w:rFonts w:hint="eastAsia" w:ascii="宋体" w:hAnsi="宋体" w:eastAsia="宋体" w:cs="宋体"/>
                <w:b w:val="0"/>
                <w:bCs/>
                <w:color w:val="auto"/>
                <w:sz w:val="21"/>
                <w:szCs w:val="21"/>
                <w:highlight w:val="none"/>
                <w:lang w:eastAsia="zh-CN"/>
              </w:rPr>
              <w:t>环市大道中富汇街</w:t>
            </w:r>
            <w:r>
              <w:rPr>
                <w:rFonts w:hint="eastAsia" w:ascii="宋体" w:hAnsi="宋体" w:eastAsia="宋体" w:cs="宋体"/>
                <w:b w:val="0"/>
                <w:bCs/>
                <w:color w:val="auto"/>
                <w:sz w:val="21"/>
                <w:szCs w:val="21"/>
                <w:highlight w:val="none"/>
                <w:lang w:val="en-US" w:eastAsia="zh-CN"/>
              </w:rPr>
              <w:t>3号楼7楼会议</w:t>
            </w:r>
            <w:r>
              <w:rPr>
                <w:rFonts w:hint="eastAsia" w:ascii="宋体" w:hAnsi="宋体" w:eastAsia="宋体" w:cs="宋体"/>
                <w:b w:val="0"/>
                <w:bCs/>
                <w:color w:val="auto"/>
                <w:sz w:val="21"/>
                <w:szCs w:val="21"/>
                <w:highlight w:val="none"/>
              </w:rPr>
              <w:t>室</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投标时间：</w:t>
            </w:r>
            <w:r>
              <w:rPr>
                <w:rFonts w:hint="eastAsia" w:ascii="宋体" w:hAnsi="宋体" w:eastAsia="宋体" w:cs="宋体"/>
                <w:color w:val="auto"/>
                <w:szCs w:val="21"/>
                <w:highlight w:val="none"/>
                <w:lang w:eastAsia="zh-CN"/>
              </w:rPr>
              <w:t>2024</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val="en-US" w:eastAsia="zh-CN"/>
              </w:rPr>
              <w:t>二</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09</w:t>
            </w:r>
            <w:r>
              <w:rPr>
                <w:rFonts w:hint="eastAsia" w:ascii="宋体" w:hAnsi="宋体" w:eastAsia="宋体" w:cs="宋体"/>
                <w:color w:val="auto"/>
                <w:szCs w:val="21"/>
                <w:highlight w:val="none"/>
              </w:rPr>
              <w:t>时00分至</w:t>
            </w:r>
            <w:r>
              <w:rPr>
                <w:rFonts w:hint="eastAsia" w:ascii="宋体" w:hAnsi="宋体" w:eastAsia="宋体" w:cs="宋体"/>
                <w:color w:val="auto"/>
                <w:szCs w:val="21"/>
                <w:highlight w:val="none"/>
                <w:lang w:eastAsia="zh-CN"/>
              </w:rPr>
              <w:t>2024</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val="en-US" w:eastAsia="zh-CN"/>
              </w:rPr>
              <w:t>二</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09</w:t>
            </w:r>
            <w:r>
              <w:rPr>
                <w:rFonts w:hint="eastAsia" w:ascii="宋体" w:hAnsi="宋体" w:eastAsia="宋体" w:cs="宋体"/>
                <w:color w:val="auto"/>
                <w:szCs w:val="21"/>
                <w:highlight w:val="none"/>
              </w:rPr>
              <w:t>时30分前。</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开标时间：</w:t>
            </w:r>
            <w:r>
              <w:rPr>
                <w:rFonts w:hint="eastAsia" w:ascii="宋体" w:hAnsi="宋体" w:eastAsia="宋体" w:cs="宋体"/>
                <w:color w:val="auto"/>
                <w:szCs w:val="21"/>
                <w:highlight w:val="none"/>
                <w:lang w:eastAsia="zh-CN"/>
              </w:rPr>
              <w:t>2024</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val="en-US" w:eastAsia="zh-CN"/>
              </w:rPr>
              <w:t>二</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09</w:t>
            </w:r>
            <w:r>
              <w:rPr>
                <w:rFonts w:hint="eastAsia" w:ascii="宋体" w:hAnsi="宋体" w:eastAsia="宋体" w:cs="宋体"/>
                <w:color w:val="auto"/>
                <w:szCs w:val="21"/>
                <w:highlight w:val="none"/>
              </w:rPr>
              <w:t>时30分</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地点：</w:t>
            </w:r>
            <w:r>
              <w:rPr>
                <w:rFonts w:hint="eastAsia" w:ascii="宋体" w:hAnsi="宋体" w:eastAsia="宋体" w:cs="宋体"/>
                <w:b w:val="0"/>
                <w:bCs/>
                <w:color w:val="auto"/>
                <w:sz w:val="21"/>
                <w:szCs w:val="21"/>
                <w:highlight w:val="none"/>
              </w:rPr>
              <w:t>广州</w:t>
            </w:r>
            <w:r>
              <w:rPr>
                <w:rFonts w:hint="eastAsia" w:ascii="宋体" w:hAnsi="宋体" w:eastAsia="宋体" w:cs="宋体"/>
                <w:b w:val="0"/>
                <w:bCs/>
                <w:color w:val="auto"/>
                <w:sz w:val="21"/>
                <w:szCs w:val="21"/>
                <w:highlight w:val="none"/>
                <w:lang w:eastAsia="zh-CN"/>
              </w:rPr>
              <w:t>市</w:t>
            </w:r>
            <w:r>
              <w:rPr>
                <w:rFonts w:hint="eastAsia" w:ascii="宋体" w:hAnsi="宋体" w:eastAsia="宋体" w:cs="宋体"/>
                <w:b w:val="0"/>
                <w:bCs/>
                <w:color w:val="auto"/>
                <w:sz w:val="21"/>
                <w:szCs w:val="21"/>
                <w:highlight w:val="none"/>
              </w:rPr>
              <w:t>南沙区</w:t>
            </w:r>
            <w:r>
              <w:rPr>
                <w:rFonts w:hint="eastAsia" w:ascii="宋体" w:hAnsi="宋体" w:eastAsia="宋体" w:cs="宋体"/>
                <w:b w:val="0"/>
                <w:bCs/>
                <w:color w:val="auto"/>
                <w:sz w:val="21"/>
                <w:szCs w:val="21"/>
                <w:highlight w:val="none"/>
                <w:lang w:eastAsia="zh-CN"/>
              </w:rPr>
              <w:t>环市大道中富汇街</w:t>
            </w:r>
            <w:r>
              <w:rPr>
                <w:rFonts w:hint="eastAsia" w:ascii="宋体" w:hAnsi="宋体" w:eastAsia="宋体" w:cs="宋体"/>
                <w:b w:val="0"/>
                <w:bCs/>
                <w:color w:val="auto"/>
                <w:sz w:val="21"/>
                <w:szCs w:val="21"/>
                <w:highlight w:val="none"/>
                <w:lang w:val="en-US" w:eastAsia="zh-CN"/>
              </w:rPr>
              <w:t>3号楼7楼会议</w:t>
            </w:r>
            <w:r>
              <w:rPr>
                <w:rFonts w:hint="eastAsia" w:ascii="宋体" w:hAnsi="宋体" w:eastAsia="宋体" w:cs="宋体"/>
                <w:b w:val="0"/>
                <w:bCs/>
                <w:color w:val="auto"/>
                <w:sz w:val="21"/>
                <w:szCs w:val="21"/>
                <w:highlight w:val="none"/>
              </w:rPr>
              <w:t>室</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21</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综合评分法</w:t>
            </w:r>
            <w:r>
              <w:rPr>
                <w:rFonts w:hint="eastAsia" w:ascii="宋体" w:hAnsi="宋体" w:eastAsia="宋体" w:cs="宋体"/>
                <w:color w:val="auto"/>
                <w:szCs w:val="21"/>
                <w:highlight w:val="none"/>
                <w:lang w:eastAsia="zh-CN"/>
              </w:rPr>
              <w:t>，总得分</w:t>
            </w:r>
            <w:r>
              <w:rPr>
                <w:rFonts w:hint="eastAsia" w:ascii="宋体" w:hAnsi="宋体" w:eastAsia="宋体" w:cs="宋体"/>
                <w:color w:val="auto"/>
                <w:szCs w:val="21"/>
                <w:highlight w:val="none"/>
                <w:lang w:val="en-US" w:eastAsia="zh-CN"/>
              </w:rPr>
              <w:t>=（商务部分得分+技术部分得分）（满分100分）×权重20%+经济部分得分（满分100分）×权重80%</w:t>
            </w:r>
          </w:p>
        </w:tc>
      </w:tr>
    </w:tbl>
    <w:p>
      <w:pPr>
        <w:jc w:val="center"/>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pPr>
        <w:jc w:val="left"/>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jc w:val="center"/>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lang w:eastAsia="zh-CN"/>
        </w:rPr>
        <w:t>广州南沙旅游发展有限公司</w:t>
      </w:r>
      <w:r>
        <w:rPr>
          <w:rFonts w:hint="eastAsia" w:ascii="宋体" w:hAnsi="宋体" w:eastAsia="宋体" w:cs="宋体"/>
          <w:color w:val="auto"/>
          <w:sz w:val="24"/>
          <w:highlight w:val="none"/>
          <w:u w:val="single"/>
        </w:rPr>
        <w:t>、广州南沙建设维护管理有限公司。</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“建设管理单位”指</w:t>
      </w:r>
      <w:r>
        <w:rPr>
          <w:rFonts w:hint="eastAsia" w:ascii="宋体" w:hAnsi="宋体" w:eastAsia="宋体" w:cs="宋体"/>
          <w:color w:val="auto"/>
          <w:sz w:val="24"/>
          <w:highlight w:val="none"/>
          <w:u w:val="single"/>
        </w:rPr>
        <w:t xml:space="preserve"> 广州南沙建设维护管理有限公司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“招标文件”指由招标代理发出的本文件（包括全部章节、附件）及澄清补充文件。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pPr>
        <w:pStyle w:val="14"/>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1.9 “书面函件”指打字或印刷的函件，包括电传、电报和传真。</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 招标说明</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sz w:val="24"/>
          <w:highlight w:val="none"/>
        </w:rPr>
        <w:t>项目</w:t>
      </w:r>
      <w:r>
        <w:rPr>
          <w:rFonts w:hint="eastAsia" w:ascii="宋体" w:hAnsi="宋体" w:eastAsia="宋体" w:cs="宋体"/>
          <w:color w:val="auto"/>
          <w:sz w:val="24"/>
          <w:highlight w:val="none"/>
        </w:rPr>
        <w:t>概况：</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2.2.4项目总投资：见投标须知前附表第4项。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2.2.5质量目标：见投标须知前附表第5项。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2.3.3投标要求：见投标须知前附表第10项。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14"/>
        <w:widowControl/>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4）服务合同</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6）附件</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rPr>
        <w:t>1</w:t>
      </w:r>
      <w:r>
        <w:rPr>
          <w:rFonts w:hint="eastAsia" w:ascii="宋体" w:hAnsi="宋体" w:cs="宋体"/>
          <w:color w:val="auto"/>
          <w:sz w:val="24"/>
          <w:szCs w:val="24"/>
          <w:highlight w:val="none"/>
        </w:rPr>
        <w:t>日前，招标人可对招标文件进行必要的澄清或修改。</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14"/>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三、投标文件的编制</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11.6项目负责人证书复印件。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11.7人员到位承诺书（按招标文件第3章格式填写）。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11.8投标人综合概况（按招标文件第3章格式填写）。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11.9参与本项目的人员一览表及证明文件（按招标文件第3章格式填写）。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11.10项目负责人相关经验及业绩（按招标文件第3章格式填写）。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11.11报价表（含报价清单）。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11.12</w:t>
      </w:r>
      <w:r>
        <w:rPr>
          <w:rFonts w:hAnsi="宋体" w:cs="宋体"/>
          <w:color w:val="auto"/>
          <w:sz w:val="24"/>
          <w:highlight w:val="none"/>
        </w:rPr>
        <w:t>投标申请人声明</w:t>
      </w:r>
      <w:r>
        <w:rPr>
          <w:rFonts w:hint="eastAsia" w:ascii="宋体" w:hAnsi="宋体" w:eastAsia="宋体" w:cs="宋体"/>
          <w:color w:val="auto"/>
          <w:sz w:val="24"/>
          <w:highlight w:val="none"/>
        </w:rPr>
        <w:t>。</w:t>
      </w:r>
    </w:p>
    <w:p>
      <w:pPr>
        <w:pStyle w:val="2"/>
        <w:ind w:firstLine="480" w:firstLineChars="200"/>
        <w:rPr>
          <w:rFonts w:hint="default" w:hAnsi="宋体" w:cs="宋体"/>
          <w:color w:val="auto"/>
          <w:sz w:val="24"/>
          <w:highlight w:val="none"/>
        </w:rPr>
      </w:pPr>
      <w:r>
        <w:rPr>
          <w:rFonts w:hAnsi="宋体" w:cs="宋体"/>
          <w:color w:val="auto"/>
          <w:sz w:val="24"/>
          <w:highlight w:val="none"/>
        </w:rPr>
        <w:t>11.13 投标文件电子版（刻录光盘或提供U盘，需为公司盖章版本</w:t>
      </w:r>
      <w:r>
        <w:rPr>
          <w:rFonts w:hint="eastAsia" w:hAnsi="宋体" w:cs="宋体"/>
          <w:color w:val="auto"/>
          <w:sz w:val="24"/>
          <w:highlight w:val="none"/>
          <w:lang w:eastAsia="zh-CN"/>
        </w:rPr>
        <w:t>；</w:t>
      </w:r>
      <w:r>
        <w:rPr>
          <w:rFonts w:hint="eastAsia" w:ascii="宋体" w:hAnsi="宋体" w:eastAsia="宋体" w:cs="宋体"/>
          <w:color w:val="auto"/>
          <w:sz w:val="24"/>
          <w:highlight w:val="none"/>
        </w:rPr>
        <w:t>含报价清单</w:t>
      </w:r>
      <w:r>
        <w:rPr>
          <w:rFonts w:hint="eastAsia" w:ascii="宋体" w:hAnsi="宋体" w:eastAsia="宋体" w:cs="宋体"/>
          <w:color w:val="auto"/>
          <w:sz w:val="24"/>
          <w:highlight w:val="none"/>
          <w:lang w:eastAsia="zh-CN"/>
        </w:rPr>
        <w:t>软件版</w:t>
      </w:r>
      <w:r>
        <w:rPr>
          <w:rFonts w:hAnsi="宋体" w:cs="宋体"/>
          <w:color w:val="auto"/>
          <w:sz w:val="24"/>
          <w:highlight w:val="none"/>
        </w:rPr>
        <w:t>）。</w:t>
      </w:r>
    </w:p>
    <w:p>
      <w:pPr>
        <w:pStyle w:val="2"/>
        <w:ind w:firstLine="480" w:firstLineChars="200"/>
        <w:rPr>
          <w:rFonts w:hint="default" w:hAnsi="宋体" w:cs="宋体"/>
          <w:color w:val="auto"/>
          <w:sz w:val="24"/>
          <w:highlight w:val="none"/>
        </w:rPr>
      </w:pPr>
      <w:r>
        <w:rPr>
          <w:rFonts w:hAnsi="宋体" w:cs="宋体"/>
          <w:color w:val="auto"/>
          <w:sz w:val="24"/>
          <w:highlight w:val="none"/>
        </w:rPr>
        <w:t>11.14</w:t>
      </w:r>
      <w:r>
        <w:rPr>
          <w:rFonts w:hint="eastAsia" w:ascii="宋体" w:hAnsi="宋体" w:eastAsia="宋体" w:cs="宋体"/>
          <w:color w:val="auto"/>
          <w:sz w:val="24"/>
          <w:highlight w:val="none"/>
        </w:rPr>
        <w:t>技术标文件（独立成册）</w:t>
      </w:r>
      <w:r>
        <w:rPr>
          <w:rFonts w:hAnsi="宋体" w:cs="宋体"/>
          <w:color w:val="auto"/>
          <w:sz w:val="24"/>
          <w:highlight w:val="none"/>
        </w:rPr>
        <w:t>。</w:t>
      </w:r>
    </w:p>
    <w:p>
      <w:pPr>
        <w:pStyle w:val="2"/>
        <w:ind w:firstLine="480" w:firstLineChars="200"/>
        <w:rPr>
          <w:rFonts w:hint="eastAsia" w:hAnsi="宋体" w:eastAsia="宋体" w:cs="宋体"/>
          <w:color w:val="auto"/>
          <w:sz w:val="24"/>
          <w:highlight w:val="none"/>
          <w:lang w:val="en-US" w:eastAsia="zh-CN"/>
        </w:rPr>
      </w:pPr>
      <w:r>
        <w:rPr>
          <w:rFonts w:hAnsi="宋体" w:cs="宋体"/>
          <w:color w:val="auto"/>
          <w:sz w:val="24"/>
          <w:highlight w:val="none"/>
        </w:rPr>
        <w:t>11.15施工组织方案</w:t>
      </w:r>
      <w:r>
        <w:rPr>
          <w:rFonts w:hint="eastAsia" w:hAnsi="宋体" w:cs="宋体"/>
          <w:color w:val="auto"/>
          <w:sz w:val="24"/>
          <w:highlight w:val="none"/>
          <w:lang w:eastAsia="zh-CN"/>
        </w:rPr>
        <w:t>。</w:t>
      </w:r>
    </w:p>
    <w:p>
      <w:pPr>
        <w:pStyle w:val="2"/>
        <w:ind w:firstLine="480" w:firstLineChars="200"/>
        <w:rPr>
          <w:rFonts w:hint="default" w:hAnsi="宋体" w:cs="宋体"/>
          <w:color w:val="auto"/>
          <w:sz w:val="24"/>
          <w:highlight w:val="none"/>
        </w:rPr>
      </w:pPr>
      <w:r>
        <w:rPr>
          <w:rFonts w:hAnsi="宋体" w:cs="宋体"/>
          <w:color w:val="auto"/>
          <w:sz w:val="24"/>
          <w:highlight w:val="none"/>
        </w:rPr>
        <w:t>11.16投标人认为需要提供的其他文件。</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13.3投标报价方式：投标单位自行报价，投标报价不能超过招标控制价，否则按废标处理。（小数点后保留二位小数，第三位小数四舍五入）</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本项目要求递交投标保证金，详见投标须知前附表要求。</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编号、投标人、投标时间，右上角打上正本（或副本）。使用书式装订，装订时书订不外露；不能使用塑料面或塑料胶条装订。</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四、投标文件的提交</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投标文件的包封要求：商务标正本（1本）、副本（4本）一起包封；技术标正本（1本）、副本（4本）一起包封。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           </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项目</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前不得开封</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14"/>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五、开标</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质量目标；f.项目负责人等主要内容。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24.7招标人将上述符合要求的投标文件，送至评标小组进行评审的。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六、评标</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在投标文件的评审和比较、中标候选人推荐以及授予合同的过程中，投标人向招标人和评标小组施加影响的任何行为，都将会导致其投标被拒绝。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中标人确定后，招标人不对未中标人就评标过程以及未能中标原因作出任何解释。未中标人不得向评标小组组成人员或其他有关人员索问评标过程的情况和材料。</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评标小组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如果投标文件实质上不响应招标文件的各项要求，评标小组将予以拒绝，并且不允许投标人通过修改或撤销其不符合要求的差异或保留，使之成为具有响应性的投标。</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27.1 评标小组将按照本须知第26条规定，仅对在实质上响应招标文件要求的投标文件进行评审和比较。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在评审过程中，评标小组可以以书面形式要求投标人就投标文件中含义不明确的内容进行书面说明并提供相关材料。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27.3 评标小组依据投标须知前附表第20项规定的评标标准和方法，详见本招标文件《评标办法》，对投标文件进行评审和比较，向招标人提出书面评标报告，并推荐经评审综合得分由高至低排序的前一～三名为第一、第二和第三中标候选人。招标人根据评标小组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28．评标小组依据有关法律、法规和招标文件的规定对投标文件进行评审，经评定的有效投标人不足三名时，招标人应当依法重新组织招标。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七、合同的授予</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招标人不承诺将合同授予报价最低的投标人。招标人在发出中标通知书前，有权依据评标小组的评标报告拒绝不合格的投标。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一年内拒绝其对招标人其他招标项目的投标文件。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pPr>
        <w:pStyle w:val="14"/>
        <w:widowControl/>
        <w:numPr>
          <w:ilvl w:val="0"/>
          <w:numId w:val="2"/>
        </w:numPr>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合同生效</w:t>
      </w:r>
    </w:p>
    <w:p>
      <w:pPr>
        <w:pStyle w:val="14"/>
        <w:widowControl/>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cs="宋体"/>
          <w:color w:val="auto"/>
          <w:sz w:val="24"/>
          <w:highlight w:val="none"/>
        </w:rPr>
        <w:t>33.1在合同双方全权代表在合同协议书上签字，并分别加盖双方单位的公章，合同正式生效。</w:t>
      </w:r>
      <w:bookmarkStart w:id="4" w:name="_Toc1632"/>
      <w:bookmarkStart w:id="5" w:name="_Toc27492"/>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pPr>
        <w:rPr>
          <w:color w:val="auto"/>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第2章 项目需求书</w:t>
      </w:r>
      <w:bookmarkEnd w:id="4"/>
    </w:p>
    <w:p>
      <w:pPr>
        <w:rPr>
          <w:rFonts w:ascii="宋体" w:hAnsi="宋体" w:eastAsia="宋体" w:cs="宋体"/>
          <w:b/>
          <w:color w:val="auto"/>
          <w:sz w:val="30"/>
          <w:szCs w:val="30"/>
          <w:highlight w:val="none"/>
        </w:rPr>
      </w:pPr>
    </w:p>
    <w:p>
      <w:pPr>
        <w:numPr>
          <w:ilvl w:val="0"/>
          <w:numId w:val="3"/>
        </w:numPr>
        <w:jc w:val="left"/>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项目概况</w:t>
      </w:r>
    </w:p>
    <w:p>
      <w:pPr>
        <w:ind w:firstLine="614" w:firstLineChars="192"/>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b w:val="0"/>
          <w:bCs/>
          <w:color w:val="auto"/>
          <w:sz w:val="32"/>
          <w:szCs w:val="32"/>
          <w:highlight w:val="none"/>
          <w:lang w:eastAsia="zh-CN"/>
        </w:rPr>
        <w:t>为统筹利用天后宫景区用电，推进景区内部电网提升改造，拟从天后宫1号箱变，新做埋地电缆管并铺设电缆至餐吧和在建餐厅等区域。</w:t>
      </w:r>
      <w:r>
        <w:rPr>
          <w:rFonts w:hint="eastAsia" w:ascii="仿宋_GB2312" w:hAnsi="仿宋_GB2312" w:eastAsia="仿宋_GB2312" w:cs="仿宋_GB2312"/>
          <w:b w:val="0"/>
          <w:bCs/>
          <w:color w:val="auto"/>
          <w:sz w:val="32"/>
          <w:szCs w:val="32"/>
          <w:highlight w:val="none"/>
          <w:lang w:eastAsia="zh-CN"/>
        </w:rPr>
        <w:t>总投资约</w:t>
      </w:r>
      <w:r>
        <w:rPr>
          <w:rFonts w:hint="eastAsia" w:ascii="仿宋_GB2312" w:hAnsi="仿宋_GB2312" w:eastAsia="仿宋_GB2312" w:cs="仿宋_GB2312"/>
          <w:b w:val="0"/>
          <w:bCs/>
          <w:color w:val="auto"/>
          <w:sz w:val="32"/>
          <w:szCs w:val="32"/>
          <w:highlight w:val="none"/>
          <w:lang w:val="en-US" w:eastAsia="zh-CN"/>
        </w:rPr>
        <w:t>137</w:t>
      </w:r>
      <w:r>
        <w:rPr>
          <w:rFonts w:hint="eastAsia" w:ascii="仿宋_GB2312" w:hAnsi="仿宋_GB2312" w:eastAsia="仿宋_GB2312" w:cs="仿宋_GB2312"/>
          <w:b w:val="0"/>
          <w:bCs/>
          <w:color w:val="auto"/>
          <w:sz w:val="32"/>
          <w:szCs w:val="32"/>
          <w:highlight w:val="none"/>
          <w:lang w:val="en-US" w:eastAsia="zh-CN"/>
        </w:rPr>
        <w:t>万元。</w:t>
      </w:r>
    </w:p>
    <w:p>
      <w:pPr>
        <w:ind w:firstLine="643" w:firstLineChars="200"/>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二、招标范围</w:t>
      </w:r>
    </w:p>
    <w:p>
      <w:pPr>
        <w:pStyle w:val="23"/>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b w:val="0"/>
          <w:bCs/>
          <w:color w:val="auto"/>
          <w:sz w:val="32"/>
          <w:szCs w:val="32"/>
          <w:highlight w:val="none"/>
          <w:lang w:eastAsia="zh-CN"/>
        </w:rPr>
        <w:t>项目建设内容包括</w:t>
      </w:r>
      <w:r>
        <w:rPr>
          <w:rFonts w:hint="eastAsia" w:ascii="仿宋_GB2312" w:hAnsi="仿宋_GB2312" w:eastAsia="仿宋_GB2312" w:cs="仿宋_GB2312"/>
          <w:b w:val="0"/>
          <w:bCs/>
          <w:color w:val="auto"/>
          <w:sz w:val="32"/>
          <w:szCs w:val="32"/>
          <w:highlight w:val="none"/>
          <w:lang w:val="en-US" w:eastAsia="zh-CN"/>
        </w:rPr>
        <w:t>但不限于：</w:t>
      </w:r>
      <w:r>
        <w:rPr>
          <w:rFonts w:hint="eastAsia" w:ascii="仿宋_GB2312" w:hAnsi="仿宋_GB2312" w:eastAsia="仿宋_GB2312" w:cs="仿宋_GB2312"/>
          <w:b w:val="0"/>
          <w:bCs/>
          <w:color w:val="auto"/>
          <w:sz w:val="32"/>
          <w:szCs w:val="32"/>
          <w:highlight w:val="none"/>
          <w:lang w:eastAsia="zh-CN"/>
        </w:rPr>
        <w:t>新建埋地电缆管、电缆井，改造原低压出线柜、铺设电缆、安装配电箱，地面开挖、修复</w:t>
      </w:r>
      <w:r>
        <w:rPr>
          <w:rFonts w:hint="eastAsia" w:ascii="仿宋_GB2312" w:hAnsi="仿宋_GB2312" w:eastAsia="仿宋_GB2312" w:cs="仿宋_GB2312"/>
          <w:b w:val="0"/>
          <w:bCs/>
          <w:color w:val="auto"/>
          <w:sz w:val="32"/>
          <w:szCs w:val="32"/>
          <w:highlight w:val="none"/>
          <w:lang w:val="en-US" w:eastAsia="zh-CN"/>
        </w:rPr>
        <w:t>等，最终以实际工程量清单和图纸为准</w:t>
      </w:r>
      <w:r>
        <w:rPr>
          <w:rFonts w:hint="eastAsia" w:ascii="仿宋_GB2312" w:hAnsi="仿宋_GB2312" w:eastAsia="仿宋_GB2312" w:cs="仿宋_GB2312"/>
          <w:color w:val="auto"/>
          <w:sz w:val="32"/>
          <w:szCs w:val="32"/>
          <w:highlight w:val="none"/>
        </w:rPr>
        <w:t>。</w:t>
      </w:r>
    </w:p>
    <w:p>
      <w:pPr>
        <w:pStyle w:val="23"/>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投标人需按招标文件、图纸规范等要求进行施工，如设计图纸有调整时，必须服从要求调整</w:t>
      </w:r>
      <w:r>
        <w:rPr>
          <w:rFonts w:hint="eastAsia" w:ascii="仿宋_GB2312" w:hAnsi="仿宋_GB2312" w:eastAsia="仿宋_GB2312" w:cs="仿宋_GB2312"/>
          <w:color w:val="auto"/>
          <w:sz w:val="32"/>
          <w:szCs w:val="32"/>
          <w:highlight w:val="none"/>
        </w:rPr>
        <w:t>。</w:t>
      </w:r>
    </w:p>
    <w:p>
      <w:pPr>
        <w:ind w:firstLine="480" w:firstLineChars="200"/>
        <w:rPr>
          <w:rFonts w:asciiTheme="minorEastAsia" w:hAnsiTheme="minorEastAsia" w:cstheme="minorEastAsia"/>
          <w:color w:val="auto"/>
          <w:kern w:val="0"/>
          <w:sz w:val="24"/>
          <w:highlight w:val="none"/>
        </w:rPr>
      </w:pPr>
    </w:p>
    <w:p>
      <w:pP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第3章  投标格式文件</w:t>
      </w:r>
      <w:bookmarkEnd w:id="5"/>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广州南沙旅游发展有限公司</w:t>
      </w:r>
      <w:r>
        <w:rPr>
          <w:rFonts w:hint="eastAsia" w:ascii="宋体" w:hAnsi="宋体" w:eastAsia="宋体" w:cs="Times New Roman"/>
          <w:color w:val="auto"/>
          <w:spacing w:val="20"/>
          <w:sz w:val="24"/>
          <w:highlight w:val="none"/>
          <w:u w:val="single"/>
        </w:rPr>
        <w:t>、广州南沙建设维护管理有限公司：</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lang w:eastAsia="zh-CN"/>
        </w:rPr>
        <w:t>天后宫新建低压线路工程施工</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color w:val="auto"/>
          <w:spacing w:val="20"/>
          <w:sz w:val="24"/>
          <w:highlight w:val="none"/>
          <w:u w:val="single"/>
          <w:lang w:eastAsia="zh-CN"/>
        </w:rPr>
        <w:t>天后宫新建低压线路工程施工</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90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4、在正式签订服务协议书之前，本投标书连同贵方的中标通知书应成为约束贵、我双方的合同文件。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广州南沙旅游发展有限公司</w:t>
      </w:r>
      <w:r>
        <w:rPr>
          <w:rFonts w:hint="eastAsia" w:ascii="宋体" w:hAnsi="宋体" w:eastAsia="宋体" w:cs="Times New Roman"/>
          <w:color w:val="auto"/>
          <w:spacing w:val="20"/>
          <w:sz w:val="24"/>
          <w:highlight w:val="none"/>
          <w:u w:val="single"/>
        </w:rPr>
        <w:t>、广州南沙建设维护管理有限公司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如果我方投标文件中存在计算或表达错误的，我方理解并接受评标小组按照招标文件规定的原则进行修正，这种修正对我方具有约束力，且不需要我方确认。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27"/>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6" w:name="_Toc216145749"/>
      <w:bookmarkEnd w:id="6"/>
      <w:bookmarkStart w:id="7" w:name="_Toc223342668"/>
      <w:bookmarkEnd w:id="7"/>
      <w:r>
        <w:rPr>
          <w:rFonts w:hint="eastAsia" w:ascii="宋体" w:hAnsi="宋体" w:eastAsia="宋体" w:cs="黑体"/>
          <w:color w:val="auto"/>
          <w:sz w:val="28"/>
          <w:szCs w:val="28"/>
          <w:highlight w:val="none"/>
        </w:rPr>
        <w:t>格式三：</w:t>
      </w:r>
    </w:p>
    <w:p>
      <w:pPr>
        <w:pStyle w:val="29"/>
        <w:widowControl/>
        <w:ind w:firstLine="0" w:firstLineChars="0"/>
        <w:jc w:val="center"/>
        <w:outlineLvl w:val="2"/>
        <w:rPr>
          <w:color w:val="auto"/>
          <w:kern w:val="44"/>
          <w:highlight w:val="none"/>
        </w:rPr>
      </w:pPr>
      <w:bookmarkStart w:id="8" w:name="_Toc172416501"/>
      <w:bookmarkEnd w:id="8"/>
      <w:r>
        <w:rPr>
          <w:rFonts w:hint="eastAsia" w:ascii="宋体" w:hAnsi="宋体" w:cs="宋体"/>
          <w:b/>
          <w:color w:val="auto"/>
          <w:sz w:val="30"/>
          <w:szCs w:val="30"/>
          <w:highlight w:val="none"/>
        </w:rPr>
        <w:t>法定代表人证明书</w:t>
      </w:r>
    </w:p>
    <w:p>
      <w:pPr>
        <w:pStyle w:val="29"/>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9"/>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pPr>
        <w:pStyle w:val="29"/>
        <w:widowControl/>
        <w:ind w:firstLine="618"/>
        <w:rPr>
          <w:b/>
          <w:color w:val="auto"/>
          <w:sz w:val="30"/>
          <w:szCs w:val="30"/>
          <w:highlight w:val="none"/>
        </w:rPr>
      </w:pPr>
      <w:r>
        <w:rPr>
          <w:b/>
          <w:color w:val="auto"/>
          <w:sz w:val="30"/>
          <w:szCs w:val="30"/>
          <w:highlight w:val="none"/>
        </w:rPr>
        <w:t xml:space="preserve"> </w:t>
      </w:r>
    </w:p>
    <w:p>
      <w:pPr>
        <w:pStyle w:val="29"/>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9"/>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9"/>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pPr>
        <w:pStyle w:val="27"/>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9" w:name="_Toc216145759"/>
      <w:bookmarkEnd w:id="9"/>
      <w:bookmarkStart w:id="10"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27"/>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0"/>
      <w:r>
        <w:rPr>
          <w:rFonts w:hint="eastAsia" w:ascii="宋体" w:hAnsi="宋体" w:eastAsia="宋体" w:cs="宋体"/>
          <w:color w:val="auto"/>
          <w:sz w:val="28"/>
          <w:szCs w:val="28"/>
          <w:highlight w:val="none"/>
        </w:rPr>
        <w:t xml:space="preserve"> </w:t>
      </w:r>
    </w:p>
    <w:p>
      <w:pPr>
        <w:pStyle w:val="29"/>
        <w:widowControl/>
        <w:ind w:firstLine="0" w:firstLineChars="0"/>
        <w:jc w:val="center"/>
        <w:rPr>
          <w:b/>
          <w:color w:val="auto"/>
          <w:sz w:val="28"/>
          <w:szCs w:val="28"/>
          <w:highlight w:val="none"/>
        </w:rPr>
      </w:pPr>
      <w:r>
        <w:rPr>
          <w:b/>
          <w:color w:val="auto"/>
          <w:sz w:val="28"/>
          <w:szCs w:val="28"/>
          <w:highlight w:val="none"/>
        </w:rPr>
        <w:t xml:space="preserve"> </w:t>
      </w:r>
    </w:p>
    <w:p>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广州南沙旅游发展有限公司</w:t>
      </w:r>
      <w:r>
        <w:rPr>
          <w:rFonts w:hint="eastAsia" w:ascii="宋体" w:hAnsi="宋体" w:eastAsia="宋体" w:cs="宋体"/>
          <w:color w:val="auto"/>
          <w:sz w:val="24"/>
          <w:highlight w:val="none"/>
          <w:u w:val="single"/>
        </w:rPr>
        <w:t>、广州南沙建设维护管理有限公司</w:t>
      </w:r>
    </w:p>
    <w:p>
      <w:pPr>
        <w:spacing w:line="560" w:lineRule="exact"/>
        <w:jc w:val="left"/>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highlight w:val="none"/>
          <w:u w:val="single"/>
          <w:lang w:eastAsia="zh-CN"/>
        </w:rPr>
        <w:t>天后宫新建低压线路工程施工</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我方如果中标，承诺实际人员均按投标文件人员名单配备。</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1" w:name="_Toc41822703"/>
      <w:bookmarkEnd w:id="11"/>
      <w:bookmarkStart w:id="12" w:name="_Toc196130013"/>
      <w:bookmarkEnd w:id="12"/>
      <w:bookmarkStart w:id="13" w:name="_Toc196130110"/>
      <w:bookmarkEnd w:id="13"/>
      <w:bookmarkStart w:id="14" w:name="_Toc199647675"/>
      <w:bookmarkEnd w:id="14"/>
      <w:bookmarkStart w:id="15" w:name="_Toc196037097"/>
      <w:bookmarkEnd w:id="15"/>
      <w:bookmarkStart w:id="16" w:name="_Toc197235848"/>
      <w:bookmarkEnd w:id="16"/>
      <w:bookmarkStart w:id="17" w:name="_Toc326909213"/>
      <w:bookmarkEnd w:id="17"/>
      <w:bookmarkStart w:id="18" w:name="_Toc415833503"/>
      <w:bookmarkEnd w:id="18"/>
      <w:bookmarkStart w:id="19" w:name="_Toc415728297"/>
      <w:bookmarkEnd w:id="19"/>
      <w:bookmarkStart w:id="20" w:name="_Toc196036941"/>
      <w:bookmarkEnd w:id="20"/>
      <w:bookmarkStart w:id="21" w:name="_Toc459403394"/>
      <w:bookmarkEnd w:id="21"/>
      <w:bookmarkStart w:id="22" w:name="_Toc462911098"/>
      <w:r>
        <w:rPr>
          <w:rFonts w:hint="eastAsia" w:ascii="宋体" w:hAnsi="宋体" w:eastAsia="宋体" w:cs="黑体"/>
          <w:b/>
          <w:color w:val="auto"/>
          <w:spacing w:val="4"/>
          <w:kern w:val="0"/>
          <w:sz w:val="28"/>
          <w:szCs w:val="28"/>
          <w:highlight w:val="none"/>
        </w:rPr>
        <w:t>格式五</w:t>
      </w:r>
      <w:bookmarkEnd w:id="22"/>
      <w:r>
        <w:rPr>
          <w:rFonts w:hint="eastAsia" w:ascii="宋体" w:hAnsi="宋体" w:eastAsia="宋体" w:cs="宋体"/>
          <w:color w:val="auto"/>
          <w:sz w:val="28"/>
          <w:szCs w:val="28"/>
          <w:highlight w:val="none"/>
        </w:rPr>
        <w:t>：</w:t>
      </w:r>
    </w:p>
    <w:p>
      <w:pPr>
        <w:spacing w:line="360" w:lineRule="auto"/>
        <w:jc w:val="center"/>
        <w:outlineLvl w:val="2"/>
        <w:rPr>
          <w:rFonts w:ascii="仿宋" w:hAnsi="仿宋" w:eastAsia="仿宋" w:cs="仿宋"/>
          <w:b/>
          <w:bCs/>
          <w:color w:val="auto"/>
          <w:sz w:val="36"/>
          <w:szCs w:val="36"/>
          <w:highlight w:val="none"/>
        </w:rPr>
      </w:pPr>
      <w:bookmarkStart w:id="23" w:name="_Toc41822704"/>
      <w:bookmarkEnd w:id="23"/>
      <w:r>
        <w:rPr>
          <w:rFonts w:hint="eastAsia" w:ascii="仿宋" w:hAnsi="仿宋" w:eastAsia="仿宋" w:cs="仿宋"/>
          <w:b/>
          <w:bCs/>
          <w:color w:val="auto"/>
          <w:sz w:val="36"/>
          <w:szCs w:val="36"/>
          <w:highlight w:val="none"/>
        </w:rPr>
        <w:t>投标人综合概况</w:t>
      </w:r>
    </w:p>
    <w:tbl>
      <w:tblPr>
        <w:tblStyle w:val="17"/>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ISO9000认证号、范围</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投标单位完成本项目所独有的有利条件及相关的专业特长：</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24" w:name="_Toc197235849"/>
      <w:bookmarkEnd w:id="24"/>
      <w:bookmarkStart w:id="25" w:name="_Toc196037098"/>
      <w:bookmarkEnd w:id="25"/>
      <w:bookmarkStart w:id="26" w:name="_Toc196130111"/>
      <w:bookmarkEnd w:id="26"/>
      <w:bookmarkStart w:id="27" w:name="_Toc415728298"/>
      <w:bookmarkEnd w:id="27"/>
      <w:bookmarkStart w:id="28" w:name="_Toc326909214"/>
      <w:bookmarkEnd w:id="28"/>
      <w:bookmarkStart w:id="29" w:name="_Toc199647676"/>
      <w:bookmarkEnd w:id="29"/>
      <w:bookmarkStart w:id="30" w:name="_Toc459403395"/>
      <w:bookmarkEnd w:id="30"/>
      <w:bookmarkStart w:id="31" w:name="_Toc196036942"/>
      <w:bookmarkEnd w:id="31"/>
      <w:bookmarkStart w:id="32" w:name="_Toc415833504"/>
      <w:bookmarkEnd w:id="32"/>
      <w:bookmarkStart w:id="33" w:name="_Toc196130014"/>
      <w:bookmarkEnd w:id="33"/>
      <w:bookmarkStart w:id="34" w:name="_Toc462911099"/>
    </w:p>
    <w:bookmarkEnd w:id="34"/>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格式六</w:t>
      </w:r>
      <w:r>
        <w:rPr>
          <w:rFonts w:hint="eastAsia" w:ascii="仿宋" w:hAnsi="仿宋" w:eastAsia="仿宋" w:cs="宋体"/>
          <w:color w:val="auto"/>
          <w:sz w:val="28"/>
          <w:szCs w:val="28"/>
          <w:highlight w:val="none"/>
        </w:rPr>
        <w:t>：</w:t>
      </w:r>
    </w:p>
    <w:p>
      <w:pPr>
        <w:adjustRightInd w:val="0"/>
        <w:snapToGrid w:val="0"/>
        <w:spacing w:before="85"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7"/>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注：1、“拟承担工作”栏，应注明主要人员（须注明项目负责人、各专业负责人）等。</w:t>
      </w:r>
    </w:p>
    <w:p>
      <w:pPr>
        <w:adjustRightInd w:val="0"/>
        <w:snapToGrid w:val="0"/>
        <w:spacing w:before="85"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2、人员应附上个人注册执业资格证、职称证等文件（复印件，加盖单位公章）。</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格式七</w:t>
      </w:r>
      <w:r>
        <w:rPr>
          <w:rFonts w:hint="eastAsia" w:ascii="仿宋" w:hAnsi="仿宋" w:eastAsia="仿宋" w:cs="宋体"/>
          <w:color w:val="auto"/>
          <w:sz w:val="28"/>
          <w:szCs w:val="28"/>
          <w:highlight w:val="none"/>
        </w:rPr>
        <w:t>：</w:t>
      </w:r>
    </w:p>
    <w:p>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pPr>
        <w:adjustRightInd w:val="0"/>
        <w:snapToGrid w:val="0"/>
        <w:spacing w:before="85"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拟在本项目任职</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p>
        </w:tc>
        <w:tc>
          <w:tcPr>
            <w:tcW w:w="3420" w:type="dxa"/>
            <w:gridSpan w:val="4"/>
            <w:vAlign w:val="center"/>
          </w:tcPr>
          <w:p>
            <w:pPr>
              <w:spacing w:line="460" w:lineRule="exact"/>
              <w:jc w:val="left"/>
              <w:rPr>
                <w:rFonts w:ascii="宋体" w:hAnsi="宋体" w:eastAsia="宋体" w:cs="宋体"/>
                <w:color w:val="auto"/>
                <w:szCs w:val="21"/>
                <w:highlight w:val="none"/>
              </w:rPr>
            </w:pPr>
          </w:p>
        </w:tc>
        <w:tc>
          <w:tcPr>
            <w:tcW w:w="1261" w:type="dxa"/>
            <w:vAlign w:val="center"/>
          </w:tcPr>
          <w:p>
            <w:pPr>
              <w:spacing w:line="460" w:lineRule="exact"/>
              <w:jc w:val="left"/>
              <w:rPr>
                <w:rFonts w:ascii="宋体" w:hAnsi="宋体" w:eastAsia="宋体" w:cs="宋体"/>
                <w:color w:val="auto"/>
                <w:szCs w:val="21"/>
                <w:highlight w:val="none"/>
              </w:rPr>
            </w:pPr>
          </w:p>
        </w:tc>
        <w:tc>
          <w:tcPr>
            <w:tcW w:w="2296" w:type="dxa"/>
            <w:gridSpan w:val="2"/>
            <w:vAlign w:val="center"/>
          </w:tcPr>
          <w:p>
            <w:pPr>
              <w:spacing w:line="460" w:lineRule="exact"/>
              <w:jc w:val="left"/>
              <w:rPr>
                <w:rFonts w:ascii="宋体" w:hAnsi="宋体" w:eastAsia="宋体" w:cs="宋体"/>
                <w:color w:val="auto"/>
                <w:szCs w:val="21"/>
                <w:highlight w:val="none"/>
              </w:rPr>
            </w:pPr>
          </w:p>
        </w:tc>
      </w:tr>
    </w:tbl>
    <w:p>
      <w:pPr>
        <w:rPr>
          <w:rFonts w:ascii="仿宋" w:hAnsi="仿宋" w:eastAsia="仿宋" w:cs="仿宋"/>
          <w:color w:val="auto"/>
          <w:szCs w:val="21"/>
          <w:highlight w:val="none"/>
        </w:rPr>
      </w:pPr>
    </w:p>
    <w:p>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2、项目负责人必须附执业证书及资格证书、身份证、职称证书及业绩等证明材料（复印件，加盖单位公章）。</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3、业绩证明资料须提供：合同；相关证明资料中必须能反映出评标所需指标、人员姓名和岗位等，否则相应子项不予计分。</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9"/>
        <w:widowControl/>
        <w:ind w:firstLine="0" w:firstLineChars="0"/>
        <w:rPr>
          <w:color w:val="auto"/>
          <w:spacing w:val="18"/>
          <w:highlight w:val="none"/>
        </w:rPr>
      </w:pPr>
      <w:r>
        <w:rPr>
          <w:color w:val="auto"/>
          <w:spacing w:val="18"/>
          <w:highlight w:val="none"/>
        </w:rPr>
        <w:t xml:space="preserve"> </w:t>
      </w:r>
    </w:p>
    <w:p>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格式八：</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rPr>
        <w:t>投标</w:t>
      </w: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7"/>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spacing w:line="360" w:lineRule="auto"/>
              <w:jc w:val="center"/>
              <w:rPr>
                <w:rFonts w:hint="eastAsia" w:ascii="宋体" w:hAnsi="宋体" w:cs="宋体" w:eastAsiaTheme="minorEastAsia"/>
                <w:bCs/>
                <w:color w:val="auto"/>
                <w:szCs w:val="21"/>
                <w:highlight w:val="none"/>
                <w:lang w:val="zh-CN" w:eastAsia="zh-CN"/>
              </w:rPr>
            </w:pPr>
            <w:r>
              <w:rPr>
                <w:rFonts w:hint="eastAsia" w:ascii="宋体" w:hAnsi="宋体" w:cs="宋体"/>
                <w:bCs/>
                <w:color w:val="auto"/>
                <w:szCs w:val="21"/>
                <w:highlight w:val="none"/>
                <w:lang w:eastAsia="zh-CN"/>
              </w:rPr>
              <w:t>天后宫新建低压线路工程施工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restart"/>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pPr>
              <w:autoSpaceDE w:val="0"/>
              <w:autoSpaceDN w:val="0"/>
              <w:adjustRightInd w:val="0"/>
              <w:snapToGrid w:val="0"/>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lang w:val="zh-CN"/>
              </w:rPr>
              <w:t>（人民币）</w:t>
            </w:r>
          </w:p>
        </w:tc>
        <w:tc>
          <w:tcPr>
            <w:tcW w:w="6699" w:type="dxa"/>
            <w:vAlign w:val="center"/>
          </w:tcPr>
          <w:p>
            <w:pPr>
              <w:autoSpaceDE w:val="0"/>
              <w:autoSpaceDN w:val="0"/>
              <w:adjustRightInd w:val="0"/>
              <w:snapToGrid w:val="0"/>
              <w:spacing w:line="360" w:lineRule="auto"/>
              <w:jc w:val="left"/>
              <w:rPr>
                <w:rFonts w:ascii="宋体" w:hAnsi="宋体" w:cs="宋体"/>
                <w:bCs/>
                <w:color w:val="auto"/>
                <w:szCs w:val="21"/>
                <w:highlight w:val="none"/>
              </w:rPr>
            </w:pPr>
            <w:r>
              <w:rPr>
                <w:rFonts w:hint="eastAsia" w:ascii="宋体" w:hAnsi="宋体" w:cs="宋体"/>
                <w:bCs/>
                <w:color w:val="auto"/>
                <w:szCs w:val="21"/>
                <w:highlight w:val="none"/>
              </w:rPr>
              <w:t>小写：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ascii="宋体" w:hAnsi="宋体" w:cs="宋体"/>
                <w:bCs/>
                <w:color w:val="auto"/>
                <w:szCs w:val="21"/>
                <w:highlight w:val="none"/>
              </w:rPr>
            </w:pPr>
            <w:r>
              <w:rPr>
                <w:rFonts w:hint="eastAsia" w:ascii="宋体" w:hAnsi="宋体" w:cs="宋体"/>
                <w:bCs/>
                <w:color w:val="auto"/>
                <w:szCs w:val="21"/>
                <w:highlight w:val="none"/>
              </w:rPr>
              <w:t>大写：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color w:val="auto"/>
                <w:highlight w:val="none"/>
              </w:rPr>
            </w:pPr>
            <w:r>
              <w:rPr>
                <w:rFonts w:hint="eastAsia"/>
                <w:color w:val="auto"/>
                <w:highlight w:val="none"/>
              </w:rPr>
              <w:t>下浮率：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rPr>
            </w:pPr>
          </w:p>
        </w:tc>
        <w:tc>
          <w:tcPr>
            <w:tcW w:w="6699" w:type="dxa"/>
            <w:vAlign w:val="center"/>
          </w:tcPr>
          <w:p>
            <w:pPr>
              <w:autoSpaceDE w:val="0"/>
              <w:autoSpaceDN w:val="0"/>
              <w:adjustRightInd w:val="0"/>
              <w:snapToGrid w:val="0"/>
              <w:spacing w:line="360" w:lineRule="auto"/>
              <w:jc w:val="left"/>
              <w:rPr>
                <w:rFonts w:hint="eastAsia" w:ascii="宋体" w:hAnsi="宋体" w:cs="宋体" w:eastAsiaTheme="minorEastAsia"/>
                <w:bCs/>
                <w:color w:val="auto"/>
                <w:szCs w:val="21"/>
                <w:highlight w:val="none"/>
              </w:rPr>
            </w:pPr>
            <w:r>
              <w:rPr>
                <w:rFonts w:hint="eastAsia" w:ascii="宋体" w:hAnsi="宋体" w:cs="宋体"/>
                <w:bCs/>
                <w:color w:val="auto"/>
                <w:szCs w:val="21"/>
                <w:highlight w:val="none"/>
              </w:rPr>
              <w:t>其中：</w:t>
            </w:r>
            <w:r>
              <w:rPr>
                <w:rFonts w:hint="eastAsia" w:ascii="宋体" w:hAnsi="宋体" w:cs="宋体"/>
                <w:b w:val="0"/>
                <w:bCs/>
                <w:color w:val="auto"/>
                <w:sz w:val="21"/>
                <w:szCs w:val="21"/>
                <w:highlight w:val="none"/>
                <w:lang w:eastAsia="zh-CN"/>
              </w:rPr>
              <w:t>绿色施工安全防护措施费</w:t>
            </w:r>
            <w:r>
              <w:rPr>
                <w:rFonts w:hint="eastAsia" w:ascii="宋体" w:hAnsi="宋体" w:cs="宋体"/>
                <w:bCs/>
                <w:color w:val="auto"/>
                <w:szCs w:val="21"/>
                <w:highlight w:val="none"/>
              </w:rPr>
              <w:t>为</w:t>
            </w:r>
            <w:r>
              <w:rPr>
                <w:rFonts w:hint="eastAsia" w:ascii="宋体" w:hAnsi="宋体" w:eastAsia="宋体" w:cs="宋体"/>
                <w:b w:val="0"/>
                <w:bCs/>
                <w:color w:val="auto"/>
                <w:sz w:val="21"/>
                <w:szCs w:val="21"/>
                <w:highlight w:val="none"/>
                <w:lang w:val="en-US" w:eastAsia="zh-CN"/>
              </w:rPr>
              <w:t>22963.39</w:t>
            </w:r>
            <w:r>
              <w:rPr>
                <w:rFonts w:hint="eastAsia" w:ascii="宋体" w:hAnsi="宋体" w:cs="宋体"/>
                <w:bCs/>
                <w:color w:val="auto"/>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bl>
    <w:p>
      <w:pPr>
        <w:pStyle w:val="2"/>
        <w:spacing w:line="360" w:lineRule="auto"/>
        <w:ind w:firstLine="210" w:firstLineChars="100"/>
        <w:rPr>
          <w:rFonts w:hint="default" w:hAnsi="宋体" w:cs="宋体"/>
          <w:bCs/>
          <w:color w:val="auto"/>
          <w:highlight w:val="none"/>
        </w:rPr>
      </w:pPr>
      <w:r>
        <w:rPr>
          <w:rFonts w:hAnsi="宋体" w:cs="宋体"/>
          <w:bCs/>
          <w:color w:val="auto"/>
          <w:highlight w:val="none"/>
        </w:rPr>
        <w:t>注：（1）投标总报价的大写金额和小写金额不一致的，以大写金额为准，投标报价精确到小数点后两位。</w:t>
      </w:r>
    </w:p>
    <w:p>
      <w:pPr>
        <w:pStyle w:val="2"/>
        <w:widowControl/>
        <w:spacing w:line="360" w:lineRule="auto"/>
        <w:ind w:firstLine="210" w:firstLineChars="100"/>
        <w:rPr>
          <w:rFonts w:hint="default" w:hAnsi="宋体" w:cs="宋体"/>
          <w:bCs/>
          <w:color w:val="auto"/>
          <w:highlight w:val="none"/>
        </w:rPr>
      </w:pPr>
      <w:r>
        <w:rPr>
          <w:rFonts w:hAnsi="宋体" w:cs="宋体"/>
          <w:bCs/>
          <w:color w:val="auto"/>
          <w:highlight w:val="none"/>
        </w:rPr>
        <w:t>（2）投标单位自行报价，投标总报价不能超过招标控制价，否则按废标处理。小数点后保留二位小数，第三位小数四舍五入。</w:t>
      </w:r>
    </w:p>
    <w:p>
      <w:pPr>
        <w:spacing w:line="360" w:lineRule="auto"/>
        <w:rPr>
          <w:rFonts w:hAnsi="宋体"/>
          <w:b/>
          <w:color w:val="auto"/>
          <w:highlight w:val="none"/>
        </w:rPr>
      </w:pPr>
      <w:r>
        <w:rPr>
          <w:rFonts w:hAnsi="宋体"/>
          <w:b/>
          <w:color w:val="auto"/>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52"/>
          <w:szCs w:val="52"/>
          <w:highlight w:val="none"/>
        </w:rPr>
      </w:pPr>
      <w:r>
        <w:rPr>
          <w:rFonts w:hint="eastAsia" w:eastAsia="黑体"/>
          <w:color w:val="auto"/>
          <w:sz w:val="52"/>
          <w:szCs w:val="52"/>
          <w:highlight w:val="none"/>
        </w:rPr>
        <w:t>技术文件</w:t>
      </w:r>
    </w:p>
    <w:p>
      <w:pPr>
        <w:autoSpaceDE w:val="0"/>
        <w:autoSpaceDN w:val="0"/>
        <w:adjustRightInd w:val="0"/>
        <w:spacing w:line="480" w:lineRule="auto"/>
        <w:rPr>
          <w:rFonts w:eastAsia="黑体"/>
          <w:color w:val="auto"/>
          <w:sz w:val="28"/>
          <w:szCs w:val="28"/>
          <w:highlight w:val="none"/>
        </w:rPr>
      </w:pPr>
    </w:p>
    <w:p>
      <w:pPr>
        <w:spacing w:line="480" w:lineRule="auto"/>
        <w:rPr>
          <w:color w:val="auto"/>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pStyle w:val="2"/>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35" w:name="_Toc374128477"/>
      <w:bookmarkEnd w:id="35"/>
      <w:bookmarkStart w:id="36" w:name="_Toc30913"/>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评标办法</w:t>
      </w:r>
      <w:bookmarkEnd w:id="36"/>
    </w:p>
    <w:p>
      <w:pPr>
        <w:spacing w:after="120"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1.1本项目采取邀请招标选择单位，为保证招标“公开、公平、公正”，根据国家有关工程建设招标投标的法律、法规和方针、政策，制定本评标细则，实行评标的规范化、标准化、科学化。</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本评标办法仅适用本次招标。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2.1《中华人民共和国民法典》；</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2.3《中华人民共和国招标投标法实施条例》；</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2.4七部委第12号令《评标小组和评标方法暂行规定》；</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广州市公共资源交易中心备案；情节严重，构成犯罪的，由司法机关依法追究其刑事责任。</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招标人依法组建评标小组。</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2"/>
        <w:widowControl/>
        <w:spacing w:line="360" w:lineRule="auto"/>
        <w:ind w:firstLine="562" w:firstLineChars="200"/>
        <w:rPr>
          <w:rFonts w:hint="default" w:ascii="仿宋" w:hAnsi="仿宋" w:eastAsia="仿宋" w:cs="仿宋"/>
          <w:b/>
          <w:color w:val="auto"/>
          <w:sz w:val="28"/>
          <w:szCs w:val="28"/>
          <w:highlight w:val="none"/>
        </w:rPr>
      </w:pPr>
      <w:r>
        <w:rPr>
          <w:rFonts w:ascii="仿宋" w:hAnsi="仿宋" w:eastAsia="仿宋" w:cs="仿宋"/>
          <w:b/>
          <w:color w:val="auto"/>
          <w:sz w:val="28"/>
          <w:szCs w:val="28"/>
          <w:highlight w:val="none"/>
        </w:rPr>
        <w:t>5.1  评标小组</w:t>
      </w:r>
    </w:p>
    <w:p>
      <w:pPr>
        <w:pStyle w:val="2"/>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5.1.1  评标小组由招标人依法组建的5名专家组成。</w:t>
      </w:r>
    </w:p>
    <w:p>
      <w:pPr>
        <w:pStyle w:val="2"/>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5.1.2  评标小组推举产生1名评标组长，主持评审工作，评标组长与其他成员有同等表决权。</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5.2.1  评标小组根据招标文件规定的评标标准和方法，对投标文件进行评审和比较，招标文件中没有规定的标准和方法不得作为评标的依据。</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在符合招标文件规定的前提下，评标小组主要对投标文件进行评议。</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评标小组负责裁决。裁决前，评标小组应认真阅读招标文件的规定。投标文件中全部符合附件1《符合性审查表》中任一种情形的，为有效标书，否则其投标文件将被否决。若本项目通过符合性审查的投标人不足3名时，应重新招标。</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评标小组成员应当对投标文件发表专业、客观、公正的意见，意见不一致的应作进一步核实和讨论。评标小组成员对任何一个投标文件的质疑，应当在讨论或现场讲解时提出，表决结果公布后才提出的质疑，不可作为改变表决结果的依据。</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如果少数投标人超越招标文件要求提交了模型、演示动画、特殊规格展示图纸或发生其他特殊情况，评标小组对超越招标文件要求的内容不进行评审，只评审该投标文件符合要求的内容。</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rPr>
        <w:t>综合评分法评标</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360" w:lineRule="auto"/>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评标小组专家首先按附件1《符合性审查表》对各投标文件进行评审，只有通过符合性审查的投标文件方可进入下一阶段的评审。如果有符合性审查不通过提议，则评标小组成员共同表决，按照少数服从多数的原则决定是否通过符合性审查。</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（2）评标小组专家计算各投标人的综合得分。</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评标小组编写、签署评标报告，向招标人推荐综合得分最高的前三名中标候选方案（中标候选人）并标明排列顺序，评标报告由评标小组全体成员签名，对评标结论持有异议的评标小组成员可以书面方式阐述其不同意见和理由。</w:t>
      </w:r>
    </w:p>
    <w:p>
      <w:pPr>
        <w:spacing w:line="360" w:lineRule="auto"/>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招标人在评标小组推荐的候选方案中确定中标方案。但是，招标人认为评标小组推荐的候选方案不能最大限度满足招标文件规定的要求的，依法重新招标。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360" w:lineRule="auto"/>
        <w:ind w:left="956" w:leftChars="266" w:hanging="397" w:hangingChars="1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□（1）招标人委托评标小组直接确定中标人；</w:t>
      </w:r>
    </w:p>
    <w:p>
      <w:pPr>
        <w:spacing w:line="360" w:lineRule="auto"/>
        <w:ind w:firstLine="562" w:firstLineChars="200"/>
        <w:jc w:val="left"/>
        <w:rPr>
          <w:rFonts w:ascii="仿宋" w:hAnsi="仿宋" w:eastAsia="仿宋" w:cs="仿宋"/>
          <w:color w:val="auto"/>
          <w:sz w:val="28"/>
          <w:szCs w:val="28"/>
          <w:highlight w:val="none"/>
        </w:rPr>
      </w:pPr>
      <w:r>
        <w:rPr>
          <w:rFonts w:hint="eastAsia" w:ascii="仿宋" w:hAnsi="仿宋" w:eastAsia="仿宋" w:cs="仿宋"/>
          <w:b/>
          <w:color w:val="auto"/>
          <w:kern w:val="0"/>
          <w:sz w:val="28"/>
          <w:szCs w:val="28"/>
          <w:highlight w:val="none"/>
        </w:rPr>
        <w:t>√</w:t>
      </w:r>
      <w:r>
        <w:rPr>
          <w:rFonts w:hint="eastAsia" w:ascii="仿宋" w:hAnsi="仿宋" w:eastAsia="仿宋" w:cs="仿宋"/>
          <w:bCs/>
          <w:color w:val="auto"/>
          <w:kern w:val="0"/>
          <w:sz w:val="28"/>
          <w:szCs w:val="28"/>
          <w:highlight w:val="none"/>
        </w:rPr>
        <w:t>（2）</w:t>
      </w:r>
      <w:r>
        <w:rPr>
          <w:rFonts w:hint="eastAsia" w:ascii="仿宋" w:hAnsi="仿宋" w:eastAsia="仿宋" w:cs="仿宋"/>
          <w:color w:val="auto"/>
          <w:sz w:val="28"/>
          <w:szCs w:val="28"/>
          <w:highlight w:val="none"/>
        </w:rPr>
        <w:t>确定评标小组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也可以重新招标。以此类推，如所有中标候选人均出现前款所列的情形，为招标失败，招标人依法重新招标。</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2"/>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2"/>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2"/>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a、投标人名称；b、标书密封情况；c、法定代表人证明及授权委托；d、项目负责人名称；e、投标报价等主要内容以及开标记录表中的其他必要内容，并予以记录，记录提交评标小组评审。</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招标人将上述符合要求的投标文件，送至评标小组进行评审。</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7.1.1 第一步：进行投标文件符合性审查；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评标小组依据有关法律、法规和招标文件的规定对投标文件进行评审，若本项目经评审有效的投标人不足3名时，本次招标失败，招标人应当依法重新组织招标。</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7.1.2 第二步：专家对综合评分表进行打分；</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7.1.3 第三步：评标小组完成评标报告，向招标人推荐中标候选人。</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根据附件1“符合性审查表”进行评审。投标文件全部列于附件1《符合性审查表》中情形的，为通过符合性审查。否则其投标文件将被否决。如评标小组成员的评审意见不一致时，以评标小组过半数成员的意见作为评标小组对该情形的认定结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评标小组对所有投标作否决处理的，招标人应当重新招标。</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7.5.2若出现得分相同的单位，按报价低者排前的原则，若报价亦一致的，由评标小组采用记名投票方式，确定其排序。</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7.6.1  招标人依据评标报告审定本项目的中标人。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7.6.2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pPr>
        <w:numPr>
          <w:ilvl w:val="255"/>
          <w:numId w:val="0"/>
        </w:numPr>
        <w:snapToGrid w:val="0"/>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7.7.1 若中标人在实际工作中服务质量存在问题，未能表现出符合要求的水平，经招标人研究确定，可解除与中标人的合同关系，并按照中标候选人顺序依次选取新的中标人，或重新招标。</w:t>
      </w:r>
    </w:p>
    <w:p>
      <w:pPr>
        <w:numPr>
          <w:ilvl w:val="255"/>
          <w:numId w:val="0"/>
        </w:numPr>
        <w:snapToGrid w:val="0"/>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7.7.2当中标人以正式的书面函件形式申请放弃中标资格时，招标人可取消其中标人资格，解除与中标人的合同关系，并按照中标候选人顺序依次选取新的中标人，或重新招标。</w:t>
      </w:r>
    </w:p>
    <w:p>
      <w:pPr>
        <w:jc w:val="left"/>
        <w:rPr>
          <w:rFonts w:ascii="黑体" w:hAnsi="宋体" w:cs="黑体"/>
          <w:b/>
          <w:color w:val="auto"/>
          <w:kern w:val="44"/>
          <w:sz w:val="44"/>
          <w:szCs w:val="44"/>
          <w:highlight w:val="none"/>
        </w:rPr>
      </w:pPr>
      <w:bookmarkStart w:id="37" w:name="_Toc26593"/>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第5章 附件</w:t>
      </w:r>
      <w:bookmarkEnd w:id="37"/>
    </w:p>
    <w:p>
      <w:pPr>
        <w:pStyle w:val="26"/>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26"/>
        <w:widowControl/>
        <w:ind w:firstLine="562"/>
        <w:rPr>
          <w:rFonts w:hint="default" w:ascii="仿宋" w:hAnsi="仿宋" w:eastAsia="仿宋" w:cs="仿宋"/>
          <w:b/>
          <w:color w:val="auto"/>
          <w:sz w:val="28"/>
          <w:szCs w:val="28"/>
          <w:highlight w:val="none"/>
          <w:u w:val="single"/>
        </w:rPr>
      </w:pPr>
      <w:bookmarkStart w:id="38" w:name="OLE_LINK3"/>
      <w:bookmarkEnd w:id="38"/>
      <w:r>
        <w:rPr>
          <w:rFonts w:ascii="仿宋" w:hAnsi="仿宋" w:eastAsia="仿宋" w:cs="仿宋"/>
          <w:b/>
          <w:color w:val="auto"/>
          <w:sz w:val="28"/>
          <w:szCs w:val="28"/>
          <w:highlight w:val="none"/>
          <w:u w:val="single"/>
        </w:rPr>
        <w:t>附件2 综合评分表</w:t>
      </w:r>
    </w:p>
    <w:p>
      <w:pPr>
        <w:pStyle w:val="26"/>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附件3 投标申请人声明</w:t>
      </w:r>
    </w:p>
    <w:p>
      <w:pPr>
        <w:pStyle w:val="26"/>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附件4 图纸（另附）</w:t>
      </w:r>
    </w:p>
    <w:p>
      <w:pPr>
        <w:pStyle w:val="26"/>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附件5 工程量清单（另附）</w:t>
      </w: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39" w:name="_Toc12170"/>
      <w:r>
        <w:rPr>
          <w:rFonts w:hint="eastAsia" w:ascii="仿宋" w:hAnsi="仿宋" w:eastAsia="仿宋" w:cs="仿宋"/>
          <w:color w:val="auto"/>
          <w:sz w:val="28"/>
          <w:szCs w:val="28"/>
          <w:highlight w:val="none"/>
        </w:rPr>
        <w:t>附件1：符合性审查表</w:t>
      </w:r>
      <w:bookmarkEnd w:id="39"/>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7"/>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120" w:beforeLines="50" w:after="120" w:afterLines="50" w:line="240" w:lineRule="exact"/>
              <w:ind w:left="105" w:leftChars="50" w:right="105" w:rightChars="50"/>
              <w:jc w:val="center"/>
              <w:rPr>
                <w:rFonts w:ascii="仿宋" w:hAnsi="仿宋" w:eastAsia="仿宋" w:cs="仿宋"/>
                <w:b/>
                <w:color w:val="auto"/>
                <w:highlight w:val="none"/>
              </w:rPr>
            </w:pPr>
          </w:p>
          <w:p>
            <w:pPr>
              <w:spacing w:before="120" w:beforeLines="50" w:after="12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项目负责人资质符合要求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投标报价不超过招标控制价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cols w:space="425" w:num="1"/>
          <w:docGrid w:linePitch="312" w:charSpace="0"/>
        </w:sectPr>
      </w:pPr>
      <w:bookmarkStart w:id="40" w:name="_Toc18783"/>
    </w:p>
    <w:bookmarkEnd w:id="40"/>
    <w:p>
      <w:pPr>
        <w:snapToGrid w:val="0"/>
        <w:ind w:left="74"/>
        <w:outlineLvl w:val="0"/>
        <w:rPr>
          <w:rFonts w:hint="eastAsia" w:ascii="仿宋" w:hAnsi="仿宋" w:eastAsia="仿宋" w:cs="仿宋"/>
          <w:color w:val="auto"/>
          <w:sz w:val="24"/>
          <w:highlight w:val="none"/>
        </w:rPr>
      </w:pPr>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p>
    <w:tbl>
      <w:tblPr>
        <w:tblStyle w:val="18"/>
        <w:tblW w:w="12556" w:type="dxa"/>
        <w:tblInd w:w="1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9"/>
        <w:gridCol w:w="1984"/>
        <w:gridCol w:w="529"/>
        <w:gridCol w:w="8075"/>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0" w:type="auto"/>
            <w:vAlign w:val="center"/>
          </w:tcPr>
          <w:p>
            <w:pPr>
              <w:spacing w:line="360" w:lineRule="exact"/>
              <w:jc w:val="center"/>
              <w:rPr>
                <w:rFonts w:ascii="宋体" w:hAnsi="宋体"/>
                <w:b/>
                <w:color w:val="auto"/>
                <w:sz w:val="28"/>
                <w:szCs w:val="28"/>
                <w:highlight w:val="none"/>
                <w:vertAlign w:val="baseline"/>
              </w:rPr>
            </w:pPr>
            <w:r>
              <w:rPr>
                <w:rFonts w:hint="eastAsia"/>
                <w:color w:val="auto"/>
                <w:szCs w:val="21"/>
                <w:highlight w:val="none"/>
              </w:rPr>
              <w:t>评分项目</w:t>
            </w:r>
          </w:p>
        </w:tc>
        <w:tc>
          <w:tcPr>
            <w:tcW w:w="0" w:type="auto"/>
            <w:vAlign w:val="center"/>
          </w:tcPr>
          <w:p>
            <w:pPr>
              <w:spacing w:line="360" w:lineRule="exact"/>
              <w:jc w:val="center"/>
              <w:rPr>
                <w:rFonts w:ascii="宋体" w:hAnsi="宋体"/>
                <w:b/>
                <w:color w:val="auto"/>
                <w:sz w:val="28"/>
                <w:szCs w:val="28"/>
                <w:highlight w:val="none"/>
                <w:vertAlign w:val="baseline"/>
              </w:rPr>
            </w:pPr>
            <w:r>
              <w:rPr>
                <w:rFonts w:hint="eastAsia"/>
                <w:color w:val="auto"/>
                <w:szCs w:val="21"/>
                <w:highlight w:val="none"/>
              </w:rPr>
              <w:t>评分内容</w:t>
            </w:r>
          </w:p>
        </w:tc>
        <w:tc>
          <w:tcPr>
            <w:tcW w:w="0" w:type="auto"/>
            <w:vAlign w:val="center"/>
          </w:tcPr>
          <w:p>
            <w:pPr>
              <w:spacing w:line="360" w:lineRule="exact"/>
              <w:jc w:val="center"/>
              <w:rPr>
                <w:rFonts w:ascii="宋体" w:hAnsi="宋体"/>
                <w:b/>
                <w:color w:val="auto"/>
                <w:sz w:val="28"/>
                <w:szCs w:val="28"/>
                <w:highlight w:val="none"/>
                <w:vertAlign w:val="baseline"/>
              </w:rPr>
            </w:pPr>
            <w:r>
              <w:rPr>
                <w:rFonts w:hint="eastAsia"/>
                <w:color w:val="auto"/>
                <w:szCs w:val="21"/>
                <w:highlight w:val="none"/>
              </w:rPr>
              <w:t>分值</w:t>
            </w:r>
          </w:p>
        </w:tc>
        <w:tc>
          <w:tcPr>
            <w:tcW w:w="8075" w:type="dxa"/>
            <w:vAlign w:val="center"/>
          </w:tcPr>
          <w:p>
            <w:pPr>
              <w:spacing w:line="360" w:lineRule="exact"/>
              <w:jc w:val="center"/>
              <w:rPr>
                <w:rFonts w:ascii="宋体" w:hAnsi="宋体"/>
                <w:b/>
                <w:color w:val="auto"/>
                <w:sz w:val="28"/>
                <w:szCs w:val="28"/>
                <w:highlight w:val="none"/>
                <w:vertAlign w:val="baseline"/>
              </w:rPr>
            </w:pPr>
            <w:r>
              <w:rPr>
                <w:rFonts w:hint="eastAsia"/>
                <w:color w:val="auto"/>
                <w:szCs w:val="21"/>
                <w:highlight w:val="none"/>
              </w:rPr>
              <w:t>评审标准</w:t>
            </w:r>
          </w:p>
        </w:tc>
        <w:tc>
          <w:tcPr>
            <w:tcW w:w="689" w:type="dxa"/>
            <w:vAlign w:val="center"/>
          </w:tcPr>
          <w:p>
            <w:pPr>
              <w:spacing w:line="360" w:lineRule="exact"/>
              <w:jc w:val="center"/>
              <w:rPr>
                <w:rFonts w:hint="eastAsia" w:eastAsia="宋体"/>
                <w:color w:val="auto"/>
                <w:szCs w:val="21"/>
                <w:highlight w:val="none"/>
                <w:lang w:val="en-US" w:eastAsia="zh-CN"/>
              </w:rPr>
            </w:pPr>
            <w:r>
              <w:rPr>
                <w:rFonts w:hint="eastAsia"/>
                <w:color w:val="auto"/>
                <w:szCs w:val="21"/>
                <w:highlight w:val="none"/>
                <w:lang w:val="en-US" w:eastAsia="zh-CN"/>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trPr>
        <w:tc>
          <w:tcPr>
            <w:tcW w:w="0" w:type="auto"/>
            <w:vMerge w:val="restart"/>
            <w:vAlign w:val="center"/>
          </w:tcPr>
          <w:p>
            <w:pPr>
              <w:spacing w:line="360" w:lineRule="exact"/>
              <w:jc w:val="center"/>
              <w:rPr>
                <w:rFonts w:hint="eastAsia" w:ascii="宋体" w:hAnsi="宋体" w:cs="宋体"/>
                <w:b w:val="0"/>
                <w:color w:val="auto"/>
                <w:sz w:val="21"/>
                <w:szCs w:val="21"/>
                <w:highlight w:val="none"/>
                <w:vertAlign w:val="baseline"/>
                <w:lang w:eastAsia="zh-CN"/>
              </w:rPr>
            </w:pPr>
            <w:r>
              <w:rPr>
                <w:rFonts w:hint="eastAsia" w:ascii="宋体" w:hAnsi="宋体" w:cs="宋体"/>
                <w:b w:val="0"/>
                <w:color w:val="auto"/>
                <w:sz w:val="21"/>
                <w:szCs w:val="21"/>
                <w:highlight w:val="none"/>
                <w:vertAlign w:val="baseline"/>
                <w:lang w:eastAsia="zh-CN"/>
              </w:rPr>
              <w:t>商务部分</w:t>
            </w:r>
          </w:p>
          <w:p>
            <w:pPr>
              <w:spacing w:line="360" w:lineRule="exact"/>
              <w:jc w:val="center"/>
              <w:rPr>
                <w:rFonts w:hint="eastAsia" w:ascii="Calibri" w:hAnsi="Calibri"/>
                <w:b w:val="0"/>
                <w:color w:val="auto"/>
                <w:sz w:val="21"/>
                <w:szCs w:val="21"/>
                <w:highlight w:val="none"/>
                <w:vertAlign w:val="baseline"/>
              </w:rPr>
            </w:pPr>
            <w:r>
              <w:rPr>
                <w:rFonts w:hint="eastAsia" w:ascii="宋体" w:hAnsi="宋体" w:cs="宋体"/>
                <w:b w:val="0"/>
                <w:color w:val="auto"/>
                <w:sz w:val="21"/>
                <w:szCs w:val="21"/>
                <w:highlight w:val="none"/>
                <w:vertAlign w:val="baseline"/>
              </w:rPr>
              <w:t>（</w:t>
            </w:r>
            <w:r>
              <w:rPr>
                <w:rFonts w:hint="eastAsia" w:ascii="宋体" w:hAnsi="宋体" w:cs="宋体"/>
                <w:b w:val="0"/>
                <w:color w:val="auto"/>
                <w:sz w:val="21"/>
                <w:szCs w:val="21"/>
                <w:highlight w:val="none"/>
                <w:vertAlign w:val="baseline"/>
                <w:lang w:val="en-US" w:eastAsia="zh-CN"/>
              </w:rPr>
              <w:t>50</w:t>
            </w:r>
            <w:r>
              <w:rPr>
                <w:rFonts w:hint="eastAsia" w:ascii="宋体" w:hAnsi="宋体" w:cs="宋体"/>
                <w:b w:val="0"/>
                <w:color w:val="auto"/>
                <w:sz w:val="21"/>
                <w:szCs w:val="21"/>
                <w:highlight w:val="none"/>
                <w:vertAlign w:val="baseline"/>
              </w:rPr>
              <w:t>分）</w:t>
            </w:r>
          </w:p>
        </w:tc>
        <w:tc>
          <w:tcPr>
            <w:tcW w:w="0" w:type="auto"/>
            <w:vAlign w:val="center"/>
          </w:tcPr>
          <w:p>
            <w:pPr>
              <w:spacing w:line="360" w:lineRule="exact"/>
              <w:jc w:val="center"/>
              <w:rPr>
                <w:rFonts w:hint="eastAsia" w:ascii="Calibri" w:hAnsi="Calibri"/>
                <w:b w:val="0"/>
                <w:color w:val="auto"/>
                <w:sz w:val="21"/>
                <w:szCs w:val="21"/>
                <w:highlight w:val="none"/>
                <w:vertAlign w:val="baseline"/>
              </w:rPr>
            </w:pPr>
            <w:r>
              <w:rPr>
                <w:rFonts w:hint="eastAsia"/>
                <w:b w:val="0"/>
                <w:color w:val="auto"/>
                <w:sz w:val="21"/>
                <w:szCs w:val="21"/>
                <w:highlight w:val="none"/>
                <w:vertAlign w:val="baseline"/>
                <w:lang w:val="en-US" w:eastAsia="zh-CN"/>
              </w:rPr>
              <w:t>认证体系</w:t>
            </w:r>
          </w:p>
        </w:tc>
        <w:tc>
          <w:tcPr>
            <w:tcW w:w="0" w:type="auto"/>
            <w:vAlign w:val="center"/>
          </w:tcPr>
          <w:p>
            <w:pPr>
              <w:spacing w:line="360" w:lineRule="exact"/>
              <w:jc w:val="center"/>
              <w:rPr>
                <w:rFonts w:hint="eastAsia" w:ascii="宋体" w:hAnsi="宋体" w:cs="宋体"/>
                <w:b w:val="0"/>
                <w:color w:val="auto"/>
                <w:sz w:val="21"/>
                <w:szCs w:val="21"/>
                <w:highlight w:val="none"/>
                <w:vertAlign w:val="baseline"/>
              </w:rPr>
            </w:pPr>
            <w:r>
              <w:rPr>
                <w:rFonts w:hint="eastAsia" w:ascii="宋体" w:hAnsi="宋体" w:eastAsia="宋体" w:cs="宋体"/>
                <w:b w:val="0"/>
                <w:color w:val="auto"/>
                <w:sz w:val="21"/>
                <w:szCs w:val="21"/>
                <w:highlight w:val="none"/>
                <w:vertAlign w:val="baseline"/>
                <w:lang w:val="en-US" w:eastAsia="zh-CN"/>
              </w:rPr>
              <w:t>6</w:t>
            </w:r>
          </w:p>
        </w:tc>
        <w:tc>
          <w:tcPr>
            <w:tcW w:w="8075" w:type="dxa"/>
            <w:vAlign w:val="center"/>
          </w:tcPr>
          <w:p>
            <w:pPr>
              <w:pStyle w:val="45"/>
              <w:wordWrap w:val="0"/>
              <w:topLinePunct/>
              <w:adjustRightInd w:val="0"/>
              <w:spacing w:line="360" w:lineRule="exact"/>
              <w:rPr>
                <w:rFonts w:hint="eastAsia" w:ascii="宋体" w:hAnsi="宋体" w:eastAsia="宋体" w:cs="宋体"/>
                <w:b w:val="0"/>
                <w:bCs w:val="0"/>
                <w:color w:val="auto"/>
                <w:kern w:val="0"/>
                <w:szCs w:val="21"/>
                <w:highlight w:val="none"/>
              </w:rPr>
            </w:pPr>
            <w:r>
              <w:rPr>
                <w:rFonts w:hint="eastAsia" w:ascii="宋体" w:hAnsi="宋体" w:eastAsia="宋体" w:cs="宋体"/>
                <w:color w:val="auto"/>
                <w:kern w:val="0"/>
                <w:szCs w:val="21"/>
                <w:highlight w:val="none"/>
              </w:rPr>
              <w:t>投标人具有有效的质量管理体系认证证书、环境管理体系认证证书、职业健康安全管理体系认证证书，每</w:t>
            </w:r>
            <w:r>
              <w:rPr>
                <w:rFonts w:hint="eastAsia" w:ascii="宋体" w:hAnsi="宋体" w:cs="宋体"/>
                <w:color w:val="auto"/>
                <w:kern w:val="0"/>
                <w:szCs w:val="21"/>
                <w:highlight w:val="none"/>
                <w:lang w:val="en-US" w:eastAsia="zh-CN"/>
              </w:rPr>
              <w:t>提供</w:t>
            </w:r>
            <w:r>
              <w:rPr>
                <w:rFonts w:hint="eastAsia" w:ascii="宋体" w:hAnsi="宋体" w:eastAsia="宋体" w:cs="宋体"/>
                <w:color w:val="auto"/>
                <w:kern w:val="0"/>
                <w:szCs w:val="21"/>
                <w:highlight w:val="none"/>
              </w:rPr>
              <w:t>一</w:t>
            </w:r>
            <w:r>
              <w:rPr>
                <w:rFonts w:hint="eastAsia" w:ascii="宋体" w:hAnsi="宋体" w:eastAsia="宋体" w:cs="宋体"/>
                <w:b w:val="0"/>
                <w:bCs w:val="0"/>
                <w:color w:val="auto"/>
                <w:kern w:val="0"/>
                <w:szCs w:val="21"/>
                <w:highlight w:val="none"/>
              </w:rPr>
              <w:t>个证书</w:t>
            </w:r>
            <w:r>
              <w:rPr>
                <w:rFonts w:hint="eastAsia" w:ascii="宋体" w:hAnsi="宋体" w:eastAsia="宋体" w:cs="宋体"/>
                <w:b w:val="0"/>
                <w:bCs w:val="0"/>
                <w:color w:val="auto"/>
                <w:kern w:val="0"/>
                <w:szCs w:val="21"/>
                <w:highlight w:val="none"/>
                <w:shd w:val="clear"/>
                <w:lang w:val="en-US" w:eastAsia="zh-CN"/>
              </w:rPr>
              <w:t>得</w:t>
            </w:r>
            <w:r>
              <w:rPr>
                <w:rFonts w:hint="eastAsia" w:ascii="宋体" w:hAnsi="宋体" w:cs="宋体"/>
                <w:b w:val="0"/>
                <w:bCs w:val="0"/>
                <w:color w:val="auto"/>
                <w:kern w:val="0"/>
                <w:szCs w:val="21"/>
                <w:highlight w:val="none"/>
                <w:shd w:val="clear"/>
                <w:lang w:val="en-US" w:eastAsia="zh-CN"/>
              </w:rPr>
              <w:t>2</w:t>
            </w:r>
            <w:r>
              <w:rPr>
                <w:rFonts w:hint="eastAsia" w:ascii="宋体" w:hAnsi="宋体" w:eastAsia="宋体" w:cs="宋体"/>
                <w:b w:val="0"/>
                <w:bCs w:val="0"/>
                <w:color w:val="auto"/>
                <w:kern w:val="0"/>
                <w:szCs w:val="21"/>
                <w:highlight w:val="none"/>
                <w:shd w:val="clear"/>
              </w:rPr>
              <w:t>分</w:t>
            </w:r>
            <w:r>
              <w:rPr>
                <w:rFonts w:hint="eastAsia" w:ascii="宋体" w:hAnsi="宋体" w:eastAsia="宋体" w:cs="宋体"/>
                <w:b w:val="0"/>
                <w:bCs w:val="0"/>
                <w:color w:val="auto"/>
                <w:kern w:val="0"/>
                <w:szCs w:val="21"/>
                <w:highlight w:val="none"/>
              </w:rPr>
              <w:t>。本项最高</w:t>
            </w:r>
            <w:r>
              <w:rPr>
                <w:rFonts w:hint="eastAsia" w:ascii="宋体" w:hAnsi="宋体" w:eastAsia="宋体" w:cs="宋体"/>
                <w:b w:val="0"/>
                <w:bCs w:val="0"/>
                <w:color w:val="auto"/>
                <w:kern w:val="0"/>
                <w:szCs w:val="21"/>
                <w:highlight w:val="none"/>
                <w:shd w:val="clear"/>
              </w:rPr>
              <w:t>得</w:t>
            </w:r>
            <w:r>
              <w:rPr>
                <w:rFonts w:hint="eastAsia" w:ascii="宋体" w:hAnsi="宋体" w:cs="宋体"/>
                <w:b w:val="0"/>
                <w:bCs w:val="0"/>
                <w:color w:val="auto"/>
                <w:kern w:val="0"/>
                <w:szCs w:val="21"/>
                <w:highlight w:val="none"/>
                <w:shd w:val="clear"/>
                <w:lang w:val="en-US" w:eastAsia="zh-CN"/>
              </w:rPr>
              <w:t>6</w:t>
            </w:r>
            <w:r>
              <w:rPr>
                <w:rFonts w:hint="eastAsia" w:ascii="宋体" w:hAnsi="宋体" w:eastAsia="宋体" w:cs="宋体"/>
                <w:b w:val="0"/>
                <w:bCs w:val="0"/>
                <w:color w:val="auto"/>
                <w:kern w:val="0"/>
                <w:szCs w:val="21"/>
                <w:highlight w:val="none"/>
                <w:shd w:val="clear"/>
              </w:rPr>
              <w:t>分</w:t>
            </w:r>
            <w:r>
              <w:rPr>
                <w:rFonts w:hint="eastAsia" w:ascii="宋体" w:hAnsi="宋体" w:eastAsia="宋体" w:cs="宋体"/>
                <w:b w:val="0"/>
                <w:bCs w:val="0"/>
                <w:color w:val="auto"/>
                <w:kern w:val="0"/>
                <w:szCs w:val="21"/>
                <w:highlight w:val="none"/>
              </w:rPr>
              <w:t>。</w:t>
            </w:r>
          </w:p>
          <w:p>
            <w:pPr>
              <w:pStyle w:val="45"/>
              <w:wordWrap w:val="0"/>
              <w:topLinePunct/>
              <w:autoSpaceDE w:val="0"/>
              <w:autoSpaceDN w:val="0"/>
              <w:adjustRightInd w:val="0"/>
              <w:rPr>
                <w:rFonts w:hint="eastAsia" w:ascii="宋体" w:hAnsi="宋体" w:cs="宋体"/>
                <w:b w:val="0"/>
                <w:color w:val="auto"/>
                <w:kern w:val="0"/>
                <w:sz w:val="21"/>
                <w:szCs w:val="21"/>
                <w:highlight w:val="none"/>
                <w:vertAlign w:val="baseline"/>
              </w:rPr>
            </w:pPr>
            <w:r>
              <w:rPr>
                <w:rFonts w:hint="eastAsia" w:ascii="宋体" w:hAnsi="宋体" w:eastAsia="宋体" w:cs="宋体"/>
                <w:b w:val="0"/>
                <w:bCs w:val="0"/>
                <w:color w:val="auto"/>
                <w:kern w:val="0"/>
                <w:szCs w:val="21"/>
                <w:highlight w:val="none"/>
              </w:rPr>
              <w:t>注：</w:t>
            </w:r>
            <w:r>
              <w:rPr>
                <w:rFonts w:hint="eastAsia" w:ascii="宋体" w:hAnsi="宋体" w:eastAsia="宋体" w:cs="宋体"/>
                <w:b w:val="0"/>
                <w:bCs w:val="0"/>
                <w:color w:val="auto"/>
                <w:kern w:val="0"/>
                <w:sz w:val="21"/>
                <w:szCs w:val="21"/>
                <w:highlight w:val="none"/>
              </w:rPr>
              <w:t>（须提供</w:t>
            </w:r>
            <w:r>
              <w:rPr>
                <w:rFonts w:hint="eastAsia" w:ascii="宋体" w:hAnsi="宋体" w:eastAsia="宋体" w:cs="宋体"/>
                <w:b w:val="0"/>
                <w:bCs w:val="0"/>
                <w:color w:val="auto"/>
                <w:kern w:val="0"/>
                <w:sz w:val="21"/>
                <w:szCs w:val="21"/>
                <w:highlight w:val="none"/>
                <w:lang w:val="en-US" w:eastAsia="zh-CN"/>
              </w:rPr>
              <w:t>以上有效期内的</w:t>
            </w:r>
            <w:r>
              <w:rPr>
                <w:rFonts w:hint="eastAsia" w:ascii="宋体" w:hAnsi="宋体" w:eastAsia="宋体" w:cs="宋体"/>
                <w:b w:val="0"/>
                <w:bCs w:val="0"/>
                <w:color w:val="auto"/>
                <w:kern w:val="0"/>
                <w:sz w:val="21"/>
                <w:szCs w:val="21"/>
                <w:highlight w:val="none"/>
              </w:rPr>
              <w:t>证书复印件以及在全国认证认可信息公共服务平台上http://cx.cnca.cn查询结果的截图，证书状态必须为“有效”</w:t>
            </w:r>
            <w:r>
              <w:rPr>
                <w:rFonts w:hint="eastAsia" w:ascii="宋体" w:hAnsi="宋体" w:eastAsia="宋体" w:cs="宋体"/>
                <w:b w:val="0"/>
                <w:bCs w:val="0"/>
                <w:color w:val="auto"/>
                <w:kern w:val="0"/>
                <w:sz w:val="21"/>
                <w:szCs w:val="21"/>
                <w:highlight w:val="none"/>
                <w:lang w:eastAsia="zh-CN"/>
              </w:rPr>
              <w:t>，</w:t>
            </w:r>
            <w:r>
              <w:rPr>
                <w:rFonts w:hint="eastAsia" w:ascii="宋体" w:hAnsi="宋体" w:eastAsia="宋体" w:cs="宋体"/>
                <w:b w:val="0"/>
                <w:bCs w:val="0"/>
                <w:color w:val="auto"/>
                <w:kern w:val="0"/>
                <w:sz w:val="21"/>
                <w:szCs w:val="21"/>
                <w:highlight w:val="none"/>
                <w:lang w:val="en-US" w:eastAsia="zh-CN"/>
              </w:rPr>
              <w:t>否则不得分。</w:t>
            </w:r>
            <w:r>
              <w:rPr>
                <w:rFonts w:hint="eastAsia" w:ascii="宋体" w:hAnsi="宋体" w:eastAsia="宋体" w:cs="宋体"/>
                <w:b w:val="0"/>
                <w:bCs w:val="0"/>
                <w:color w:val="auto"/>
                <w:kern w:val="0"/>
                <w:sz w:val="21"/>
                <w:szCs w:val="21"/>
                <w:highlight w:val="none"/>
              </w:rPr>
              <w:t>）</w:t>
            </w:r>
          </w:p>
        </w:tc>
        <w:tc>
          <w:tcPr>
            <w:tcW w:w="689" w:type="dxa"/>
            <w:vAlign w:val="center"/>
          </w:tcPr>
          <w:p>
            <w:pPr>
              <w:pStyle w:val="45"/>
              <w:wordWrap w:val="0"/>
              <w:topLinePunct/>
              <w:autoSpaceDE w:val="0"/>
              <w:autoSpaceDN w:val="0"/>
              <w:adjustRightInd w:val="0"/>
              <w:rPr>
                <w:rFonts w:hint="eastAsia" w:ascii="宋体" w:hAnsi="宋体" w:eastAsia="宋体" w:cs="宋体"/>
                <w:b w:val="0"/>
                <w:bCs w:val="0"/>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0" w:type="auto"/>
            <w:vMerge w:val="continue"/>
            <w:vAlign w:val="center"/>
          </w:tcPr>
          <w:p>
            <w:pPr>
              <w:spacing w:line="360" w:lineRule="exact"/>
              <w:jc w:val="center"/>
              <w:rPr>
                <w:rFonts w:hint="eastAsia" w:ascii="Calibri" w:hAnsi="Calibri"/>
                <w:b w:val="0"/>
                <w:color w:val="auto"/>
                <w:sz w:val="21"/>
                <w:szCs w:val="21"/>
                <w:highlight w:val="none"/>
                <w:vertAlign w:val="baseline"/>
              </w:rPr>
            </w:pPr>
          </w:p>
        </w:tc>
        <w:tc>
          <w:tcPr>
            <w:tcW w:w="0" w:type="auto"/>
            <w:vAlign w:val="center"/>
          </w:tcPr>
          <w:p>
            <w:pPr>
              <w:spacing w:line="360" w:lineRule="exact"/>
              <w:jc w:val="center"/>
              <w:rPr>
                <w:rFonts w:hint="eastAsia" w:ascii="Calibri" w:hAnsi="Calibri"/>
                <w:b w:val="0"/>
                <w:color w:val="auto"/>
                <w:sz w:val="21"/>
                <w:szCs w:val="21"/>
                <w:highlight w:val="none"/>
                <w:vertAlign w:val="baseline"/>
              </w:rPr>
            </w:pPr>
            <w:r>
              <w:rPr>
                <w:rFonts w:hint="eastAsia" w:ascii="Calibri" w:hAnsi="Calibri"/>
                <w:b w:val="0"/>
                <w:color w:val="auto"/>
                <w:sz w:val="21"/>
                <w:szCs w:val="21"/>
                <w:highlight w:val="none"/>
                <w:vertAlign w:val="baseline"/>
              </w:rPr>
              <w:t>企业业绩</w:t>
            </w:r>
          </w:p>
        </w:tc>
        <w:tc>
          <w:tcPr>
            <w:tcW w:w="0" w:type="auto"/>
            <w:vAlign w:val="center"/>
          </w:tcPr>
          <w:p>
            <w:pPr>
              <w:spacing w:line="360" w:lineRule="exact"/>
              <w:jc w:val="center"/>
              <w:rPr>
                <w:rFonts w:hint="default" w:ascii="宋体" w:hAnsi="宋体" w:cs="宋体"/>
                <w:b w:val="0"/>
                <w:color w:val="auto"/>
                <w:sz w:val="21"/>
                <w:szCs w:val="21"/>
                <w:highlight w:val="none"/>
                <w:vertAlign w:val="baseline"/>
                <w:lang w:val="en-US"/>
              </w:rPr>
            </w:pPr>
            <w:r>
              <w:rPr>
                <w:rFonts w:hint="eastAsia" w:ascii="宋体" w:hAnsi="宋体" w:cs="宋体"/>
                <w:color w:val="auto"/>
                <w:sz w:val="21"/>
                <w:szCs w:val="21"/>
                <w:highlight w:val="none"/>
                <w:lang w:val="en-US" w:eastAsia="zh-CN"/>
              </w:rPr>
              <w:t>20</w:t>
            </w:r>
          </w:p>
        </w:tc>
        <w:tc>
          <w:tcPr>
            <w:tcW w:w="8075" w:type="dxa"/>
            <w:vAlign w:val="center"/>
          </w:tcPr>
          <w:p>
            <w:pPr>
              <w:pStyle w:val="45"/>
              <w:numPr>
                <w:ilvl w:val="0"/>
                <w:numId w:val="5"/>
              </w:numPr>
              <w:wordWrap w:val="0"/>
              <w:topLinePunct/>
              <w:autoSpaceDE w:val="0"/>
              <w:autoSpaceDN w:val="0"/>
              <w:adjustRightInd w:val="0"/>
              <w:spacing w:line="36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投标人</w:t>
            </w:r>
            <w:r>
              <w:rPr>
                <w:rFonts w:hint="eastAsia" w:ascii="宋体" w:hAnsi="宋体" w:cs="宋体"/>
                <w:color w:val="auto"/>
                <w:kern w:val="0"/>
                <w:szCs w:val="21"/>
                <w:highlight w:val="none"/>
                <w:lang w:eastAsia="zh-CN"/>
              </w:rPr>
              <w:t>提供</w:t>
            </w:r>
            <w:r>
              <w:rPr>
                <w:rFonts w:hint="eastAsia" w:ascii="宋体" w:hAnsi="宋体" w:cs="宋体"/>
                <w:color w:val="auto"/>
                <w:kern w:val="0"/>
                <w:szCs w:val="21"/>
                <w:highlight w:val="none"/>
              </w:rPr>
              <w:t>201</w:t>
            </w:r>
            <w:r>
              <w:rPr>
                <w:rFonts w:hint="eastAsia" w:ascii="宋体" w:hAnsi="宋体" w:cs="宋体"/>
                <w:color w:val="auto"/>
                <w:kern w:val="0"/>
                <w:szCs w:val="21"/>
                <w:highlight w:val="none"/>
                <w:lang w:val="en-US" w:eastAsia="zh-CN"/>
              </w:rPr>
              <w:t>9</w:t>
            </w:r>
            <w:r>
              <w:rPr>
                <w:rFonts w:hint="eastAsia" w:ascii="宋体" w:hAnsi="宋体" w:cs="宋体"/>
                <w:color w:val="auto"/>
                <w:kern w:val="0"/>
                <w:szCs w:val="21"/>
                <w:highlight w:val="none"/>
              </w:rPr>
              <w:t>年1月1日以来承接的</w:t>
            </w:r>
            <w:r>
              <w:rPr>
                <w:rFonts w:hint="eastAsia" w:ascii="宋体" w:hAnsi="宋体" w:cs="宋体"/>
                <w:color w:val="auto"/>
                <w:kern w:val="0"/>
                <w:szCs w:val="21"/>
                <w:highlight w:val="none"/>
                <w:lang w:val="en-US" w:eastAsia="zh-CN"/>
              </w:rPr>
              <w:t>60</w:t>
            </w:r>
            <w:r>
              <w:rPr>
                <w:rFonts w:hint="eastAsia" w:ascii="宋体" w:hAnsi="宋体" w:cs="宋体"/>
                <w:color w:val="auto"/>
                <w:kern w:val="0"/>
                <w:szCs w:val="21"/>
                <w:highlight w:val="none"/>
                <w:lang w:val="en-US" w:eastAsia="zh-CN"/>
              </w:rPr>
              <w:t>万元或以上电力建筑</w:t>
            </w:r>
            <w:r>
              <w:rPr>
                <w:rFonts w:hint="eastAsia" w:ascii="宋体" w:hAnsi="宋体" w:cs="宋体"/>
                <w:color w:val="auto"/>
                <w:kern w:val="0"/>
                <w:szCs w:val="21"/>
                <w:highlight w:val="none"/>
              </w:rPr>
              <w:t>工程</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或电气工程专业</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类项目业绩，每提供一项得</w:t>
            </w:r>
            <w:r>
              <w:rPr>
                <w:rFonts w:hint="eastAsia" w:ascii="宋体" w:hAnsi="宋体" w:cs="宋体"/>
                <w:color w:val="auto"/>
                <w:kern w:val="0"/>
                <w:szCs w:val="21"/>
                <w:highlight w:val="none"/>
                <w:lang w:val="en-US" w:eastAsia="zh-CN"/>
              </w:rPr>
              <w:t>4</w:t>
            </w:r>
            <w:r>
              <w:rPr>
                <w:rFonts w:hint="eastAsia" w:ascii="宋体" w:hAnsi="宋体" w:cs="宋体"/>
                <w:color w:val="auto"/>
                <w:kern w:val="0"/>
                <w:szCs w:val="21"/>
                <w:highlight w:val="none"/>
              </w:rPr>
              <w:t>分，最高得</w:t>
            </w:r>
            <w:r>
              <w:rPr>
                <w:rFonts w:hint="eastAsia" w:ascii="宋体" w:hAnsi="宋体" w:cs="宋体"/>
                <w:color w:val="auto"/>
                <w:kern w:val="0"/>
                <w:szCs w:val="21"/>
                <w:highlight w:val="none"/>
                <w:lang w:val="en-US" w:eastAsia="zh-CN"/>
              </w:rPr>
              <w:t>12</w:t>
            </w:r>
            <w:r>
              <w:rPr>
                <w:rFonts w:hint="eastAsia" w:ascii="宋体" w:hAnsi="宋体" w:cs="宋体"/>
                <w:color w:val="auto"/>
                <w:kern w:val="0"/>
                <w:szCs w:val="21"/>
                <w:highlight w:val="none"/>
              </w:rPr>
              <w:t>分。</w:t>
            </w:r>
          </w:p>
          <w:p>
            <w:pPr>
              <w:pStyle w:val="45"/>
              <w:numPr>
                <w:ilvl w:val="0"/>
                <w:numId w:val="5"/>
              </w:numPr>
              <w:wordWrap w:val="0"/>
              <w:topLinePunct/>
              <w:autoSpaceDE w:val="0"/>
              <w:autoSpaceDN w:val="0"/>
              <w:adjustRightInd w:val="0"/>
              <w:spacing w:line="360" w:lineRule="exact"/>
              <w:jc w:val="left"/>
              <w:rPr>
                <w:rFonts w:hint="eastAsia" w:ascii="Calibri" w:hAnsi="Calibri" w:eastAsia="宋体" w:cs="Times New Roman"/>
                <w:b w:val="0"/>
                <w:color w:val="auto"/>
                <w:sz w:val="21"/>
                <w:szCs w:val="21"/>
                <w:highlight w:val="none"/>
                <w:vertAlign w:val="baseline"/>
                <w:lang w:eastAsia="zh-CN"/>
              </w:rPr>
            </w:pPr>
            <w:r>
              <w:rPr>
                <w:rFonts w:hint="eastAsia" w:ascii="宋体" w:hAnsi="宋体" w:cs="宋体"/>
                <w:color w:val="auto"/>
                <w:kern w:val="0"/>
                <w:szCs w:val="21"/>
                <w:highlight w:val="none"/>
                <w:lang w:eastAsia="zh-CN"/>
              </w:rPr>
              <w:t>提供与</w:t>
            </w:r>
            <w:r>
              <w:rPr>
                <w:rFonts w:hint="default" w:ascii="宋体" w:hAnsi="宋体" w:cs="宋体"/>
                <w:color w:val="auto"/>
                <w:kern w:val="0"/>
                <w:szCs w:val="21"/>
                <w:highlight w:val="none"/>
                <w:lang w:val="en-US"/>
              </w:rPr>
              <w:t>4A级</w:t>
            </w:r>
            <w:r>
              <w:rPr>
                <w:rFonts w:hint="eastAsia" w:ascii="宋体" w:hAnsi="宋体" w:cs="宋体"/>
                <w:color w:val="auto"/>
                <w:kern w:val="0"/>
                <w:szCs w:val="21"/>
                <w:highlight w:val="none"/>
                <w:lang w:val="en-US" w:eastAsia="zh-CN"/>
              </w:rPr>
              <w:t>（或以上）</w:t>
            </w:r>
            <w:r>
              <w:rPr>
                <w:rFonts w:hint="default" w:ascii="宋体" w:hAnsi="宋体" w:cs="宋体"/>
                <w:color w:val="auto"/>
                <w:kern w:val="0"/>
                <w:szCs w:val="21"/>
                <w:highlight w:val="none"/>
                <w:lang w:val="en-US"/>
              </w:rPr>
              <w:t>风景区</w:t>
            </w:r>
            <w:r>
              <w:rPr>
                <w:rFonts w:hint="eastAsia" w:ascii="宋体" w:hAnsi="宋体" w:cs="宋体"/>
                <w:color w:val="auto"/>
                <w:kern w:val="0"/>
                <w:szCs w:val="21"/>
                <w:highlight w:val="none"/>
                <w:lang w:val="en-US" w:eastAsia="zh-CN"/>
              </w:rPr>
              <w:t>合作的相关业绩，</w:t>
            </w:r>
            <w:r>
              <w:rPr>
                <w:rFonts w:hint="eastAsia" w:ascii="宋体" w:hAnsi="宋体" w:cs="宋体"/>
                <w:color w:val="auto"/>
                <w:kern w:val="0"/>
                <w:szCs w:val="21"/>
                <w:highlight w:val="none"/>
              </w:rPr>
              <w:t>每提供一项得</w:t>
            </w:r>
            <w:r>
              <w:rPr>
                <w:rFonts w:hint="eastAsia" w:ascii="宋体" w:hAnsi="宋体" w:cs="宋体"/>
                <w:color w:val="auto"/>
                <w:kern w:val="0"/>
                <w:szCs w:val="21"/>
                <w:highlight w:val="none"/>
                <w:lang w:val="en-US" w:eastAsia="zh-CN"/>
              </w:rPr>
              <w:t>4</w:t>
            </w:r>
            <w:r>
              <w:rPr>
                <w:rFonts w:hint="eastAsia" w:ascii="宋体" w:hAnsi="宋体" w:cs="宋体"/>
                <w:color w:val="auto"/>
                <w:kern w:val="0"/>
                <w:szCs w:val="21"/>
                <w:highlight w:val="none"/>
              </w:rPr>
              <w:t>分</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最高得</w:t>
            </w:r>
            <w:r>
              <w:rPr>
                <w:rFonts w:hint="eastAsia" w:ascii="宋体" w:hAnsi="宋体" w:cs="宋体"/>
                <w:color w:val="auto"/>
                <w:kern w:val="0"/>
                <w:szCs w:val="21"/>
                <w:highlight w:val="none"/>
                <w:lang w:val="en-US" w:eastAsia="zh-CN"/>
              </w:rPr>
              <w:t>8</w:t>
            </w:r>
            <w:r>
              <w:rPr>
                <w:rFonts w:hint="eastAsia" w:ascii="宋体" w:hAnsi="宋体" w:cs="宋体"/>
                <w:color w:val="auto"/>
                <w:kern w:val="0"/>
                <w:szCs w:val="21"/>
                <w:highlight w:val="none"/>
              </w:rPr>
              <w:t>分。</w:t>
            </w:r>
          </w:p>
          <w:p>
            <w:pPr>
              <w:pStyle w:val="45"/>
              <w:numPr>
                <w:ilvl w:val="-1"/>
                <w:numId w:val="0"/>
              </w:numPr>
              <w:wordWrap w:val="0"/>
              <w:topLinePunct/>
              <w:autoSpaceDE w:val="0"/>
              <w:autoSpaceDN w:val="0"/>
              <w:adjustRightInd w:val="0"/>
              <w:spacing w:line="360" w:lineRule="exact"/>
              <w:jc w:val="left"/>
              <w:rPr>
                <w:rFonts w:hint="eastAsia" w:ascii="Calibri" w:hAnsi="Calibri" w:eastAsia="宋体" w:cs="Times New Roman"/>
                <w:b w:val="0"/>
                <w:color w:val="auto"/>
                <w:sz w:val="21"/>
                <w:szCs w:val="21"/>
                <w:highlight w:val="none"/>
                <w:vertAlign w:val="baseline"/>
                <w:lang w:eastAsia="zh-CN"/>
              </w:rPr>
            </w:pPr>
            <w:r>
              <w:rPr>
                <w:rFonts w:hint="eastAsia" w:ascii="宋体" w:hAnsi="宋体" w:cs="宋体"/>
                <w:color w:val="auto"/>
                <w:kern w:val="0"/>
                <w:szCs w:val="21"/>
                <w:highlight w:val="none"/>
                <w:lang w:val="en-US" w:eastAsia="zh-CN"/>
              </w:rPr>
              <w:t>注：业绩</w:t>
            </w:r>
            <w:r>
              <w:rPr>
                <w:rFonts w:hint="eastAsia" w:ascii="宋体" w:hAnsi="宋体" w:cs="宋体"/>
                <w:color w:val="auto"/>
                <w:kern w:val="0"/>
                <w:szCs w:val="21"/>
                <w:highlight w:val="none"/>
              </w:rPr>
              <w:t>以合同签订时间为准，</w:t>
            </w:r>
            <w:r>
              <w:rPr>
                <w:rFonts w:hint="eastAsia" w:ascii="宋体" w:hAnsi="宋体" w:cs="宋体"/>
                <w:color w:val="auto"/>
                <w:kern w:val="0"/>
                <w:szCs w:val="21"/>
                <w:highlight w:val="none"/>
                <w:lang w:eastAsia="zh-CN"/>
              </w:rPr>
              <w:t>需</w:t>
            </w:r>
            <w:r>
              <w:rPr>
                <w:rFonts w:hint="eastAsia" w:ascii="宋体" w:hAnsi="宋体" w:cs="宋体"/>
                <w:color w:val="auto"/>
                <w:kern w:val="0"/>
                <w:szCs w:val="21"/>
                <w:highlight w:val="none"/>
              </w:rPr>
              <w:t>提供合同</w:t>
            </w:r>
            <w:r>
              <w:rPr>
                <w:rFonts w:hint="eastAsia" w:ascii="宋体" w:hAnsi="宋体" w:cs="宋体"/>
                <w:color w:val="auto"/>
                <w:kern w:val="0"/>
                <w:szCs w:val="21"/>
                <w:highlight w:val="none"/>
                <w:lang w:val="en-US" w:eastAsia="zh-CN"/>
              </w:rPr>
              <w:t>关键页</w:t>
            </w:r>
            <w:r>
              <w:rPr>
                <w:rFonts w:hint="eastAsia" w:ascii="宋体" w:hAnsi="宋体" w:cs="宋体"/>
                <w:color w:val="auto"/>
                <w:kern w:val="0"/>
                <w:szCs w:val="21"/>
                <w:highlight w:val="none"/>
              </w:rPr>
              <w:t>复印件加盖投标人公章</w:t>
            </w:r>
            <w:r>
              <w:rPr>
                <w:rFonts w:hint="eastAsia" w:ascii="宋体" w:hAnsi="宋体" w:cs="宋体"/>
                <w:color w:val="auto"/>
                <w:kern w:val="0"/>
                <w:szCs w:val="21"/>
                <w:highlight w:val="none"/>
                <w:lang w:eastAsia="zh-CN"/>
              </w:rPr>
              <w:t>，</w:t>
            </w:r>
            <w:r>
              <w:rPr>
                <w:rFonts w:hint="eastAsia" w:ascii="宋体" w:hAnsi="宋体" w:eastAsia="宋体" w:cs="宋体"/>
                <w:color w:val="auto"/>
                <w:kern w:val="0"/>
                <w:szCs w:val="21"/>
                <w:highlight w:val="none"/>
              </w:rPr>
              <w:t>不提供、提供不全的不得分</w:t>
            </w:r>
            <w:r>
              <w:rPr>
                <w:rFonts w:hint="eastAsia" w:ascii="宋体" w:hAnsi="宋体" w:cs="宋体"/>
                <w:color w:val="auto"/>
                <w:kern w:val="0"/>
                <w:szCs w:val="21"/>
                <w:highlight w:val="none"/>
                <w:lang w:eastAsia="zh-CN"/>
              </w:rPr>
              <w:t>。</w:t>
            </w:r>
          </w:p>
        </w:tc>
        <w:tc>
          <w:tcPr>
            <w:tcW w:w="689" w:type="dxa"/>
            <w:vAlign w:val="center"/>
          </w:tcPr>
          <w:p>
            <w:pPr>
              <w:pStyle w:val="45"/>
              <w:wordWrap w:val="0"/>
              <w:topLinePunct/>
              <w:autoSpaceDE w:val="0"/>
              <w:autoSpaceDN w:val="0"/>
              <w:adjustRightInd w:val="0"/>
              <w:spacing w:line="360" w:lineRule="exact"/>
              <w:jc w:val="left"/>
              <w:rPr>
                <w:rFonts w:hint="eastAsia"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trPr>
        <w:tc>
          <w:tcPr>
            <w:tcW w:w="0" w:type="auto"/>
            <w:vMerge w:val="continue"/>
            <w:vAlign w:val="center"/>
          </w:tcPr>
          <w:p>
            <w:pPr>
              <w:spacing w:line="360" w:lineRule="exact"/>
              <w:jc w:val="center"/>
              <w:rPr>
                <w:rFonts w:hint="eastAsia" w:ascii="Calibri" w:hAnsi="Calibri"/>
                <w:b w:val="0"/>
                <w:color w:val="auto"/>
                <w:sz w:val="21"/>
                <w:szCs w:val="21"/>
                <w:highlight w:val="none"/>
                <w:vertAlign w:val="baseline"/>
              </w:rPr>
            </w:pPr>
          </w:p>
        </w:tc>
        <w:tc>
          <w:tcPr>
            <w:tcW w:w="0" w:type="auto"/>
            <w:vAlign w:val="center"/>
          </w:tcPr>
          <w:p>
            <w:pPr>
              <w:spacing w:line="360" w:lineRule="exact"/>
              <w:jc w:val="center"/>
              <w:rPr>
                <w:rFonts w:hint="eastAsia" w:ascii="Calibri" w:hAnsi="Calibri"/>
                <w:b w:val="0"/>
                <w:color w:val="auto"/>
                <w:sz w:val="21"/>
                <w:szCs w:val="21"/>
                <w:highlight w:val="none"/>
                <w:vertAlign w:val="baseline"/>
              </w:rPr>
            </w:pPr>
            <w:r>
              <w:rPr>
                <w:rFonts w:hint="eastAsia" w:ascii="Calibri" w:hAnsi="Calibri" w:cs="Times New Roman"/>
                <w:b w:val="0"/>
                <w:color w:val="auto"/>
                <w:sz w:val="21"/>
                <w:szCs w:val="21"/>
                <w:highlight w:val="none"/>
                <w:vertAlign w:val="baseline"/>
              </w:rPr>
              <w:t>财务情况</w:t>
            </w:r>
          </w:p>
        </w:tc>
        <w:tc>
          <w:tcPr>
            <w:tcW w:w="0" w:type="auto"/>
            <w:vAlign w:val="center"/>
          </w:tcPr>
          <w:p>
            <w:pPr>
              <w:spacing w:line="360" w:lineRule="exact"/>
              <w:jc w:val="center"/>
              <w:rPr>
                <w:rFonts w:hint="default" w:ascii="宋体" w:hAnsi="宋体" w:cs="宋体"/>
                <w:b w:val="0"/>
                <w:color w:val="auto"/>
                <w:sz w:val="21"/>
                <w:szCs w:val="21"/>
                <w:highlight w:val="none"/>
                <w:vertAlign w:val="baseline"/>
                <w:lang w:val="en-US"/>
              </w:rPr>
            </w:pPr>
            <w:r>
              <w:rPr>
                <w:rFonts w:hint="eastAsia" w:ascii="宋体" w:hAnsi="宋体" w:cs="宋体"/>
                <w:color w:val="auto"/>
                <w:szCs w:val="21"/>
                <w:highlight w:val="none"/>
                <w:lang w:val="en-US" w:eastAsia="zh-CN"/>
              </w:rPr>
              <w:t>10</w:t>
            </w:r>
          </w:p>
        </w:tc>
        <w:tc>
          <w:tcPr>
            <w:tcW w:w="8075" w:type="dxa"/>
            <w:vAlign w:val="center"/>
          </w:tcPr>
          <w:p>
            <w:pPr>
              <w:spacing w:line="360" w:lineRule="exact"/>
              <w:jc w:val="left"/>
              <w:rPr>
                <w:rFonts w:hint="eastAsia" w:ascii="Calibri" w:hAnsi="Calibri"/>
                <w:b w:val="0"/>
                <w:color w:val="auto"/>
                <w:sz w:val="21"/>
                <w:szCs w:val="21"/>
                <w:highlight w:val="none"/>
                <w:vertAlign w:val="baseline"/>
              </w:rPr>
            </w:pPr>
            <w:r>
              <w:rPr>
                <w:rFonts w:ascii="宋体" w:hAnsi="宋体" w:cs="宋体"/>
                <w:color w:val="auto"/>
                <w:highlight w:val="none"/>
              </w:rPr>
              <w:t>投标人近三年（20</w:t>
            </w:r>
            <w:r>
              <w:rPr>
                <w:rFonts w:hint="eastAsia" w:ascii="宋体" w:hAnsi="宋体" w:cs="宋体"/>
                <w:color w:val="auto"/>
                <w:highlight w:val="none"/>
                <w:lang w:val="en-US" w:eastAsia="zh-CN"/>
              </w:rPr>
              <w:t>21</w:t>
            </w:r>
            <w:r>
              <w:rPr>
                <w:rFonts w:ascii="宋体" w:hAnsi="宋体" w:cs="宋体"/>
                <w:color w:val="auto"/>
                <w:highlight w:val="none"/>
              </w:rPr>
              <w:t>、20</w:t>
            </w:r>
            <w:r>
              <w:rPr>
                <w:rFonts w:hint="eastAsia" w:ascii="宋体" w:hAnsi="宋体" w:cs="宋体"/>
                <w:color w:val="auto"/>
                <w:highlight w:val="none"/>
                <w:lang w:val="en-US" w:eastAsia="zh-CN"/>
              </w:rPr>
              <w:t>22</w:t>
            </w:r>
            <w:r>
              <w:rPr>
                <w:rFonts w:ascii="宋体" w:hAnsi="宋体" w:cs="宋体"/>
                <w:color w:val="auto"/>
                <w:highlight w:val="none"/>
              </w:rPr>
              <w:t>、</w:t>
            </w:r>
            <w:r>
              <w:rPr>
                <w:rFonts w:hint="eastAsia" w:ascii="宋体" w:hAnsi="宋体" w:cs="宋体"/>
                <w:color w:val="auto"/>
                <w:highlight w:val="none"/>
                <w:lang w:val="en-US" w:eastAsia="zh-CN"/>
              </w:rPr>
              <w:t>2023</w:t>
            </w:r>
            <w:r>
              <w:rPr>
                <w:rFonts w:ascii="宋体" w:hAnsi="宋体" w:cs="宋体"/>
                <w:color w:val="auto"/>
                <w:highlight w:val="none"/>
              </w:rPr>
              <w:t>年）的财务情况，①其中3年均盈利的，得</w:t>
            </w:r>
            <w:r>
              <w:rPr>
                <w:rFonts w:hint="eastAsia" w:ascii="宋体" w:hAnsi="宋体" w:cs="宋体"/>
                <w:color w:val="auto"/>
                <w:highlight w:val="none"/>
                <w:lang w:val="en-US" w:eastAsia="zh-CN"/>
              </w:rPr>
              <w:t>10</w:t>
            </w:r>
            <w:r>
              <w:rPr>
                <w:rFonts w:ascii="宋体" w:hAnsi="宋体" w:cs="宋体"/>
                <w:color w:val="auto"/>
                <w:highlight w:val="none"/>
              </w:rPr>
              <w:t>分；②其他情况不得分。本项最高得</w:t>
            </w:r>
            <w:r>
              <w:rPr>
                <w:rFonts w:hint="eastAsia" w:ascii="宋体" w:hAnsi="宋体" w:cs="宋体"/>
                <w:color w:val="auto"/>
                <w:highlight w:val="none"/>
                <w:lang w:val="en-US" w:eastAsia="zh-CN"/>
              </w:rPr>
              <w:t>10</w:t>
            </w:r>
            <w:r>
              <w:rPr>
                <w:rFonts w:ascii="宋体" w:hAnsi="宋体" w:cs="宋体"/>
                <w:color w:val="auto"/>
                <w:highlight w:val="none"/>
              </w:rPr>
              <w:t>分。</w:t>
            </w:r>
            <w:r>
              <w:rPr>
                <w:rFonts w:hint="eastAsia" w:ascii="宋体" w:hAnsi="宋体" w:cs="宋体"/>
                <w:color w:val="auto"/>
                <w:highlight w:val="none"/>
              </w:rPr>
              <w:t>注：</w:t>
            </w:r>
            <w:r>
              <w:rPr>
                <w:rFonts w:ascii="宋体" w:hAnsi="宋体" w:cs="宋体"/>
                <w:color w:val="auto"/>
                <w:highlight w:val="none"/>
              </w:rPr>
              <w:t>以投标人提供会计师事务所审计的财务报表复印件统计的数据作为评审依据。</w:t>
            </w:r>
          </w:p>
        </w:tc>
        <w:tc>
          <w:tcPr>
            <w:tcW w:w="689" w:type="dxa"/>
            <w:vAlign w:val="center"/>
          </w:tcPr>
          <w:p>
            <w:pPr>
              <w:spacing w:line="360" w:lineRule="exact"/>
              <w:jc w:val="left"/>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trPr>
        <w:tc>
          <w:tcPr>
            <w:tcW w:w="0" w:type="auto"/>
            <w:vMerge w:val="continue"/>
            <w:vAlign w:val="center"/>
          </w:tcPr>
          <w:p>
            <w:pPr>
              <w:spacing w:line="360" w:lineRule="exact"/>
              <w:jc w:val="center"/>
              <w:rPr>
                <w:rFonts w:hint="eastAsia" w:ascii="Calibri" w:hAnsi="Calibri"/>
                <w:b w:val="0"/>
                <w:color w:val="auto"/>
                <w:sz w:val="21"/>
                <w:szCs w:val="21"/>
                <w:highlight w:val="none"/>
                <w:vertAlign w:val="baseline"/>
              </w:rPr>
            </w:pPr>
          </w:p>
        </w:tc>
        <w:tc>
          <w:tcPr>
            <w:tcW w:w="0" w:type="auto"/>
            <w:vAlign w:val="center"/>
          </w:tcPr>
          <w:p>
            <w:pPr>
              <w:spacing w:line="360" w:lineRule="exact"/>
              <w:jc w:val="center"/>
              <w:rPr>
                <w:rFonts w:hint="eastAsia" w:ascii="Calibri" w:hAnsi="Calibri"/>
                <w:b w:val="0"/>
                <w:color w:val="auto"/>
                <w:sz w:val="21"/>
                <w:szCs w:val="21"/>
                <w:highlight w:val="none"/>
                <w:vertAlign w:val="baseline"/>
              </w:rPr>
            </w:pPr>
            <w:r>
              <w:rPr>
                <w:rFonts w:hint="eastAsia" w:ascii="Calibri" w:hAnsi="Calibri" w:cs="Times New Roman"/>
                <w:b w:val="0"/>
                <w:color w:val="auto"/>
                <w:sz w:val="21"/>
                <w:szCs w:val="21"/>
                <w:highlight w:val="none"/>
                <w:vertAlign w:val="baseline"/>
              </w:rPr>
              <w:t>拟投入项目管理机构及人员情况</w:t>
            </w:r>
          </w:p>
        </w:tc>
        <w:tc>
          <w:tcPr>
            <w:tcW w:w="0" w:type="auto"/>
            <w:vAlign w:val="center"/>
          </w:tcPr>
          <w:p>
            <w:pPr>
              <w:spacing w:line="360" w:lineRule="exact"/>
              <w:jc w:val="center"/>
              <w:rPr>
                <w:rFonts w:hint="default" w:ascii="宋体" w:hAnsi="宋体" w:cs="宋体"/>
                <w:b w:val="0"/>
                <w:color w:val="auto"/>
                <w:sz w:val="21"/>
                <w:szCs w:val="21"/>
                <w:highlight w:val="none"/>
                <w:vertAlign w:val="baseline"/>
                <w:lang w:val="en-US"/>
              </w:rPr>
            </w:pPr>
            <w:r>
              <w:rPr>
                <w:rFonts w:hint="eastAsia" w:ascii="宋体" w:hAnsi="宋体" w:eastAsia="宋体" w:cs="宋体"/>
                <w:color w:val="auto"/>
                <w:sz w:val="21"/>
                <w:szCs w:val="21"/>
                <w:highlight w:val="none"/>
                <w:lang w:val="en-US" w:eastAsia="zh-CN"/>
              </w:rPr>
              <w:t>14</w:t>
            </w:r>
          </w:p>
        </w:tc>
        <w:tc>
          <w:tcPr>
            <w:tcW w:w="8075" w:type="dxa"/>
            <w:vAlign w:val="center"/>
          </w:tcPr>
          <w:p>
            <w:pPr>
              <w:jc w:val="left"/>
              <w:rPr>
                <w:rFonts w:hint="eastAsia" w:ascii="宋体" w:hAnsi="宋体" w:cs="宋体" w:eastAsiaTheme="minorEastAsia"/>
                <w:color w:val="auto"/>
                <w:szCs w:val="21"/>
                <w:highlight w:val="none"/>
                <w:lang w:val="en-US" w:eastAsia="zh-CN"/>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）项目</w:t>
            </w:r>
            <w:r>
              <w:rPr>
                <w:rFonts w:hint="eastAsia" w:ascii="宋体" w:hAnsi="宋体" w:cs="宋体"/>
                <w:color w:val="auto"/>
                <w:szCs w:val="21"/>
                <w:highlight w:val="none"/>
              </w:rPr>
              <w:t>负责人：具有工程类中级或以上工程师职称证书的，得</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分；</w:t>
            </w:r>
            <w:r>
              <w:rPr>
                <w:rFonts w:hint="eastAsia" w:ascii="宋体" w:hAnsi="宋体" w:cs="宋体"/>
                <w:color w:val="auto"/>
                <w:szCs w:val="21"/>
                <w:highlight w:val="none"/>
                <w:lang w:eastAsia="zh-CN"/>
              </w:rPr>
              <w:t>若同时具备</w:t>
            </w:r>
            <w:r>
              <w:rPr>
                <w:rFonts w:hint="eastAsia" w:ascii="宋体" w:hAnsi="宋体" w:cs="宋体" w:eastAsiaTheme="minorEastAsia"/>
                <w:color w:val="auto"/>
                <w:sz w:val="21"/>
                <w:szCs w:val="21"/>
                <w:highlight w:val="none"/>
              </w:rPr>
              <w:t>安全</w:t>
            </w:r>
            <w:r>
              <w:rPr>
                <w:rFonts w:hint="eastAsia" w:ascii="宋体" w:hAnsi="宋体" w:cs="宋体" w:eastAsiaTheme="minorEastAsia"/>
                <w:color w:val="auto"/>
                <w:sz w:val="21"/>
                <w:szCs w:val="21"/>
                <w:highlight w:val="none"/>
                <w:lang w:val="en-US" w:eastAsia="zh-CN"/>
              </w:rPr>
              <w:t>生产</w:t>
            </w:r>
            <w:r>
              <w:rPr>
                <w:rFonts w:hint="eastAsia" w:ascii="宋体" w:hAnsi="宋体" w:cs="宋体" w:eastAsiaTheme="minorEastAsia"/>
                <w:color w:val="auto"/>
                <w:sz w:val="21"/>
                <w:szCs w:val="21"/>
                <w:highlight w:val="none"/>
              </w:rPr>
              <w:t>考核合格证（B类）或建筑施工企业项目负责人安全生产考核合格证书</w:t>
            </w:r>
            <w:r>
              <w:rPr>
                <w:rFonts w:hint="eastAsia" w:ascii="宋体" w:hAnsi="宋体" w:cs="宋体"/>
                <w:color w:val="auto"/>
                <w:szCs w:val="21"/>
                <w:highlight w:val="none"/>
                <w:lang w:eastAsia="zh-CN"/>
              </w:rPr>
              <w:t>，</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分</w:t>
            </w:r>
            <w:r>
              <w:rPr>
                <w:rFonts w:hint="eastAsia" w:ascii="宋体" w:hAnsi="宋体" w:cs="宋体"/>
                <w:color w:val="auto"/>
                <w:szCs w:val="21"/>
                <w:highlight w:val="none"/>
                <w:lang w:eastAsia="zh-CN"/>
              </w:rPr>
              <w:t>。</w:t>
            </w:r>
            <w:r>
              <w:rPr>
                <w:rFonts w:hint="eastAsia" w:ascii="宋体" w:hAnsi="宋体" w:cs="宋体"/>
                <w:color w:val="auto"/>
                <w:szCs w:val="21"/>
                <w:highlight w:val="none"/>
                <w:lang w:eastAsia="zh-CN"/>
              </w:rPr>
              <w:t>本项最多得</w:t>
            </w:r>
            <w:r>
              <w:rPr>
                <w:rFonts w:hint="eastAsia" w:ascii="宋体" w:hAnsi="宋体" w:cs="宋体"/>
                <w:color w:val="auto"/>
                <w:szCs w:val="21"/>
                <w:highlight w:val="none"/>
                <w:lang w:val="en-US" w:eastAsia="zh-CN"/>
              </w:rPr>
              <w:t>7分。</w:t>
            </w:r>
          </w:p>
          <w:p>
            <w:pPr>
              <w:spacing w:line="240" w:lineRule="auto"/>
              <w:jc w:val="left"/>
              <w:rPr>
                <w:rFonts w:hint="eastAsia" w:ascii="宋体" w:hAnsi="宋体" w:cs="宋体"/>
                <w:color w:val="auto"/>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w:t>
            </w:r>
            <w:r>
              <w:rPr>
                <w:rFonts w:hint="eastAsia" w:ascii="宋体" w:hAnsi="宋体" w:cs="宋体"/>
                <w:color w:val="auto"/>
                <w:szCs w:val="21"/>
                <w:highlight w:val="none"/>
              </w:rPr>
              <w:t>技术负责人：具有工程类</w:t>
            </w:r>
            <w:r>
              <w:rPr>
                <w:rFonts w:hint="eastAsia" w:ascii="宋体" w:hAnsi="宋体" w:cs="宋体"/>
                <w:color w:val="auto"/>
                <w:szCs w:val="21"/>
                <w:highlight w:val="none"/>
                <w:lang w:eastAsia="zh-CN"/>
              </w:rPr>
              <w:t>高级</w:t>
            </w:r>
            <w:r>
              <w:rPr>
                <w:rFonts w:hint="eastAsia" w:ascii="宋体" w:hAnsi="宋体" w:cs="宋体"/>
                <w:color w:val="auto"/>
                <w:szCs w:val="21"/>
                <w:highlight w:val="none"/>
              </w:rPr>
              <w:t>工程师职称证书的，得</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分</w:t>
            </w:r>
            <w:r>
              <w:rPr>
                <w:rFonts w:hint="eastAsia" w:ascii="宋体" w:hAnsi="宋体" w:cs="宋体"/>
                <w:color w:val="auto"/>
                <w:szCs w:val="21"/>
                <w:highlight w:val="none"/>
                <w:lang w:eastAsia="zh-CN"/>
              </w:rPr>
              <w:t>，</w:t>
            </w:r>
            <w:r>
              <w:rPr>
                <w:rFonts w:hint="eastAsia" w:ascii="宋体" w:hAnsi="宋体" w:cs="宋体"/>
                <w:color w:val="auto"/>
                <w:highlight w:val="none"/>
                <w:lang w:eastAsia="zh-CN"/>
              </w:rPr>
              <w:t>若同时具备安全生产</w:t>
            </w:r>
            <w:r>
              <w:rPr>
                <w:rFonts w:hint="default"/>
                <w:color w:val="auto"/>
                <w:highlight w:val="none"/>
                <w:lang w:val="en-US" w:eastAsia="zh-CN"/>
              </w:rPr>
              <w:t>考核建筑施工企业主要</w:t>
            </w:r>
            <w:r>
              <w:rPr>
                <w:rFonts w:hint="eastAsia" w:ascii="宋体" w:hAnsi="宋体" w:cs="宋体"/>
                <w:color w:val="auto"/>
                <w:highlight w:val="none"/>
                <w:lang w:eastAsia="zh-CN"/>
              </w:rPr>
              <w:t>负责人资格，</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分</w:t>
            </w:r>
            <w:r>
              <w:rPr>
                <w:rFonts w:hint="eastAsia" w:ascii="宋体" w:hAnsi="宋体" w:cs="宋体"/>
                <w:color w:val="auto"/>
                <w:highlight w:val="none"/>
              </w:rPr>
              <w:t>。</w:t>
            </w:r>
            <w:r>
              <w:rPr>
                <w:rFonts w:hint="eastAsia" w:ascii="宋体" w:hAnsi="宋体" w:cs="宋体"/>
                <w:color w:val="auto"/>
                <w:szCs w:val="21"/>
                <w:highlight w:val="none"/>
                <w:lang w:eastAsia="zh-CN"/>
              </w:rPr>
              <w:t>本项最多得</w:t>
            </w:r>
            <w:r>
              <w:rPr>
                <w:rFonts w:hint="eastAsia" w:ascii="宋体" w:hAnsi="宋体" w:cs="宋体"/>
                <w:color w:val="auto"/>
                <w:szCs w:val="21"/>
                <w:highlight w:val="none"/>
                <w:lang w:val="en-US" w:eastAsia="zh-CN"/>
              </w:rPr>
              <w:t>7分。</w:t>
            </w:r>
          </w:p>
          <w:p>
            <w:pPr>
              <w:spacing w:line="240" w:lineRule="auto"/>
              <w:jc w:val="left"/>
              <w:rPr>
                <w:rFonts w:hint="eastAsia" w:ascii="Calibri" w:hAnsi="Calibri"/>
                <w:b w:val="0"/>
                <w:color w:val="auto"/>
                <w:sz w:val="21"/>
                <w:szCs w:val="21"/>
                <w:highlight w:val="none"/>
                <w:vertAlign w:val="baseline"/>
              </w:rPr>
            </w:pPr>
            <w:r>
              <w:rPr>
                <w:rFonts w:hint="eastAsia" w:ascii="宋体" w:hAnsi="宋体" w:cs="宋体"/>
                <w:color w:val="auto"/>
                <w:highlight w:val="none"/>
              </w:rPr>
              <w:t>注：</w:t>
            </w:r>
            <w:r>
              <w:rPr>
                <w:rFonts w:hint="eastAsia" w:ascii="宋体" w:hAnsi="宋体" w:eastAsia="宋体" w:cs="宋体"/>
                <w:b w:val="0"/>
                <w:bCs w:val="0"/>
                <w:color w:val="auto"/>
                <w:sz w:val="21"/>
                <w:szCs w:val="21"/>
                <w:highlight w:val="none"/>
              </w:rPr>
              <w:t>须提供</w:t>
            </w:r>
            <w:r>
              <w:rPr>
                <w:rFonts w:hint="eastAsia" w:ascii="宋体" w:hAnsi="宋体" w:eastAsia="宋体" w:cs="宋体"/>
                <w:b w:val="0"/>
                <w:bCs w:val="0"/>
                <w:color w:val="auto"/>
                <w:sz w:val="21"/>
                <w:szCs w:val="21"/>
                <w:highlight w:val="none"/>
                <w:lang w:val="en-US" w:eastAsia="zh-CN"/>
              </w:rPr>
              <w:t>人员相关</w:t>
            </w:r>
            <w:r>
              <w:rPr>
                <w:rFonts w:hint="eastAsia" w:ascii="宋体" w:hAnsi="宋体" w:eastAsia="宋体" w:cs="宋体"/>
                <w:b w:val="0"/>
                <w:bCs w:val="0"/>
                <w:color w:val="auto"/>
                <w:kern w:val="2"/>
                <w:sz w:val="21"/>
                <w:szCs w:val="21"/>
                <w:highlight w:val="none"/>
              </w:rPr>
              <w:t>证书、 身份证复印件</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及投标人为其购买至投标截止日期近</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个月有效的社会保险证明文件</w:t>
            </w:r>
            <w:r>
              <w:rPr>
                <w:rFonts w:hint="eastAsia" w:ascii="宋体" w:hAnsi="宋体" w:eastAsia="宋体" w:cs="宋体"/>
                <w:b w:val="0"/>
                <w:bCs w:val="0"/>
                <w:color w:val="auto"/>
                <w:sz w:val="21"/>
                <w:szCs w:val="21"/>
                <w:highlight w:val="none"/>
                <w:lang w:val="en-US" w:eastAsia="zh-CN"/>
              </w:rPr>
              <w:t>复印</w:t>
            </w:r>
            <w:r>
              <w:rPr>
                <w:rFonts w:hint="eastAsia" w:ascii="宋体" w:hAnsi="宋体" w:eastAsia="宋体" w:cs="宋体"/>
                <w:b w:val="0"/>
                <w:bCs w:val="0"/>
                <w:color w:val="auto"/>
                <w:sz w:val="21"/>
                <w:szCs w:val="21"/>
                <w:highlight w:val="none"/>
              </w:rPr>
              <w:t>件，</w:t>
            </w:r>
            <w:r>
              <w:rPr>
                <w:rFonts w:hint="eastAsia" w:ascii="宋体" w:hAnsi="宋体" w:eastAsia="宋体" w:cs="宋体"/>
                <w:b w:val="0"/>
                <w:bCs w:val="0"/>
                <w:color w:val="auto"/>
                <w:kern w:val="2"/>
                <w:sz w:val="21"/>
                <w:szCs w:val="21"/>
                <w:highlight w:val="none"/>
                <w:lang w:eastAsia="zh-CN"/>
              </w:rPr>
              <w:t>以上所有文件加盖公章，</w:t>
            </w:r>
            <w:r>
              <w:rPr>
                <w:rFonts w:hint="eastAsia" w:ascii="宋体" w:hAnsi="宋体" w:eastAsia="宋体" w:cs="宋体"/>
                <w:b w:val="0"/>
                <w:bCs w:val="0"/>
                <w:color w:val="auto"/>
                <w:sz w:val="21"/>
                <w:szCs w:val="21"/>
                <w:highlight w:val="none"/>
                <w:lang w:val="en-US" w:eastAsia="zh-CN"/>
              </w:rPr>
              <w:t>不提供</w:t>
            </w:r>
            <w:r>
              <w:rPr>
                <w:rFonts w:hint="eastAsia" w:ascii="宋体" w:hAnsi="宋体" w:eastAsia="宋体" w:cs="宋体"/>
                <w:b w:val="0"/>
                <w:bCs w:val="0"/>
                <w:color w:val="auto"/>
                <w:sz w:val="21"/>
                <w:szCs w:val="21"/>
                <w:highlight w:val="none"/>
              </w:rPr>
              <w:t>不得分。</w:t>
            </w:r>
          </w:p>
        </w:tc>
        <w:tc>
          <w:tcPr>
            <w:tcW w:w="689" w:type="dxa"/>
            <w:vAlign w:val="center"/>
          </w:tcPr>
          <w:p>
            <w:pPr>
              <w:spacing w:line="240" w:lineRule="auto"/>
              <w:jc w:val="left"/>
              <w:rPr>
                <w:rFonts w:hint="eastAsia" w:ascii="宋体" w:hAnsi="宋体" w:cs="宋体"/>
                <w:color w:val="auto"/>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0" w:type="auto"/>
            <w:vMerge w:val="restart"/>
            <w:vAlign w:val="center"/>
          </w:tcPr>
          <w:p>
            <w:pPr>
              <w:spacing w:line="360" w:lineRule="exact"/>
              <w:jc w:val="center"/>
              <w:rPr>
                <w:rFonts w:hint="eastAsia"/>
                <w:color w:val="auto"/>
                <w:highlight w:val="none"/>
                <w:lang w:eastAsia="zh-CN"/>
              </w:rPr>
            </w:pPr>
            <w:r>
              <w:rPr>
                <w:rFonts w:hint="eastAsia"/>
                <w:color w:val="auto"/>
                <w:highlight w:val="none"/>
                <w:lang w:eastAsia="zh-CN"/>
              </w:rPr>
              <w:t>技术部分</w:t>
            </w:r>
          </w:p>
          <w:p>
            <w:pPr>
              <w:spacing w:line="360" w:lineRule="exact"/>
              <w:jc w:val="center"/>
              <w:rPr>
                <w:rFonts w:hint="eastAsia"/>
                <w:color w:val="auto"/>
                <w:highlight w:val="none"/>
              </w:rPr>
            </w:pPr>
            <w:r>
              <w:rPr>
                <w:rFonts w:hint="eastAsia"/>
                <w:color w:val="auto"/>
                <w:highlight w:val="none"/>
              </w:rPr>
              <w:t>（</w:t>
            </w:r>
            <w:r>
              <w:rPr>
                <w:rFonts w:hint="eastAsia"/>
                <w:color w:val="auto"/>
                <w:highlight w:val="none"/>
                <w:lang w:val="en-US" w:eastAsia="zh-CN"/>
              </w:rPr>
              <w:t>50</w:t>
            </w:r>
            <w:r>
              <w:rPr>
                <w:rFonts w:hint="eastAsia"/>
                <w:color w:val="auto"/>
                <w:highlight w:val="none"/>
              </w:rPr>
              <w:t>分）</w:t>
            </w:r>
          </w:p>
          <w:p>
            <w:pPr>
              <w:pStyle w:val="23"/>
              <w:rPr>
                <w:rFonts w:hint="eastAsia"/>
                <w:color w:val="auto"/>
                <w:highlight w:val="none"/>
              </w:rPr>
            </w:pPr>
          </w:p>
        </w:tc>
        <w:tc>
          <w:tcPr>
            <w:tcW w:w="1724" w:type="dxa"/>
            <w:vAlign w:val="center"/>
          </w:tcPr>
          <w:p>
            <w:pPr>
              <w:autoSpaceDE w:val="0"/>
              <w:autoSpaceDN w:val="0"/>
              <w:adjustRightInd w:val="0"/>
              <w:snapToGrid w:val="0"/>
              <w:rPr>
                <w:rFonts w:hint="eastAsia" w:ascii="Calibri" w:hAnsi="Calibri" w:eastAsia="宋体" w:cs="Times New Roman"/>
                <w:b w:val="0"/>
                <w:color w:val="auto"/>
                <w:sz w:val="21"/>
                <w:szCs w:val="21"/>
                <w:highlight w:val="none"/>
                <w:vertAlign w:val="baseline"/>
                <w:lang w:eastAsia="zh-CN"/>
              </w:rPr>
            </w:pPr>
            <w:r>
              <w:rPr>
                <w:rFonts w:hint="eastAsia" w:ascii="宋体" w:hAnsi="宋体" w:eastAsia="宋体" w:cs="宋体"/>
                <w:color w:val="auto"/>
                <w:spacing w:val="-5"/>
                <w:szCs w:val="21"/>
                <w:highlight w:val="none"/>
              </w:rPr>
              <w:t>项目实施方案</w:t>
            </w:r>
          </w:p>
        </w:tc>
        <w:tc>
          <w:tcPr>
            <w:tcW w:w="529" w:type="dxa"/>
            <w:vAlign w:val="center"/>
          </w:tcPr>
          <w:p>
            <w:pPr>
              <w:autoSpaceDE w:val="0"/>
              <w:autoSpaceDN w:val="0"/>
              <w:adjustRightInd w:val="0"/>
              <w:snapToGrid w:val="0"/>
              <w:rPr>
                <w:rFonts w:hint="default" w:ascii="宋体" w:hAnsi="宋体" w:eastAsia="宋体" w:cs="宋体"/>
                <w:color w:val="auto"/>
                <w:sz w:val="21"/>
                <w:szCs w:val="21"/>
                <w:highlight w:val="none"/>
                <w:lang w:val="en-US" w:eastAsia="zh-CN"/>
              </w:rPr>
            </w:pPr>
            <w:r>
              <w:rPr>
                <w:rFonts w:hint="eastAsia" w:ascii="宋体" w:hAnsi="宋体" w:eastAsia="宋体" w:cs="宋体"/>
                <w:color w:val="auto"/>
                <w:spacing w:val="-5"/>
                <w:szCs w:val="21"/>
                <w:highlight w:val="none"/>
                <w:lang w:val="en-US" w:eastAsia="zh-CN"/>
              </w:rPr>
              <w:t>10</w:t>
            </w:r>
          </w:p>
        </w:tc>
        <w:tc>
          <w:tcPr>
            <w:tcW w:w="8075" w:type="dxa"/>
            <w:vAlign w:val="center"/>
          </w:tcPr>
          <w:p>
            <w:pPr>
              <w:jc w:val="left"/>
              <w:rPr>
                <w:rFonts w:ascii="宋体" w:hAnsi="宋体" w:eastAsia="宋体" w:cs="宋体"/>
                <w:color w:val="auto"/>
                <w:szCs w:val="21"/>
                <w:highlight w:val="none"/>
              </w:rPr>
            </w:pPr>
            <w:r>
              <w:rPr>
                <w:rFonts w:hint="eastAsia" w:ascii="宋体" w:hAnsi="宋体" w:eastAsia="宋体" w:cs="宋体"/>
                <w:color w:val="auto"/>
                <w:szCs w:val="21"/>
                <w:highlight w:val="none"/>
              </w:rPr>
              <w:t>综合评价投标人实施方案（包括但不限于现场作业管理方案及措施、安全生产管理方案及措施、现场文明施工方案及措施、工期保证方案及措施、方案及承诺、施工现场的清运方案及措施、现场工作人员操作规范实施方案等）、投入本项目机械设备情况：</w:t>
            </w:r>
          </w:p>
          <w:p>
            <w:pPr>
              <w:jc w:val="left"/>
              <w:rPr>
                <w:rFonts w:ascii="宋体" w:hAnsi="宋体" w:eastAsia="宋体" w:cs="宋体"/>
                <w:color w:val="auto"/>
                <w:szCs w:val="21"/>
                <w:highlight w:val="none"/>
              </w:rPr>
            </w:pPr>
            <w:r>
              <w:rPr>
                <w:rFonts w:hint="eastAsia" w:ascii="宋体" w:hAnsi="宋体" w:eastAsia="宋体" w:cs="宋体"/>
                <w:color w:val="auto"/>
                <w:szCs w:val="21"/>
                <w:highlight w:val="none"/>
              </w:rPr>
              <w:t>1.优：方案内容齐全，措施有效可行、具有针对性，承诺详细具体，能满足本项目需求，得</w:t>
            </w:r>
            <w:r>
              <w:rPr>
                <w:rFonts w:hint="eastAsia" w:ascii="宋体" w:hAnsi="宋体" w:eastAsia="宋体" w:cs="宋体"/>
                <w:color w:val="auto"/>
                <w:szCs w:val="21"/>
                <w:highlight w:val="none"/>
                <w:lang w:val="en-US" w:eastAsia="zh-CN"/>
              </w:rPr>
              <w:t>8-10</w:t>
            </w:r>
            <w:r>
              <w:rPr>
                <w:rFonts w:hint="eastAsia" w:ascii="宋体" w:hAnsi="宋体" w:eastAsia="宋体" w:cs="宋体"/>
                <w:color w:val="auto"/>
                <w:szCs w:val="21"/>
                <w:highlight w:val="none"/>
              </w:rPr>
              <w:t>分；</w:t>
            </w:r>
          </w:p>
          <w:p>
            <w:pPr>
              <w:jc w:val="left"/>
              <w:rPr>
                <w:rFonts w:ascii="宋体" w:hAnsi="宋体" w:eastAsia="宋体" w:cs="宋体"/>
                <w:color w:val="auto"/>
                <w:szCs w:val="21"/>
                <w:highlight w:val="none"/>
              </w:rPr>
            </w:pPr>
            <w:r>
              <w:rPr>
                <w:rFonts w:hint="eastAsia" w:ascii="宋体" w:hAnsi="宋体" w:eastAsia="宋体" w:cs="宋体"/>
                <w:color w:val="auto"/>
                <w:szCs w:val="21"/>
                <w:highlight w:val="none"/>
              </w:rPr>
              <w:t>2.良：方案内容较齐全，措施较有效可行、具有针对性，承诺较详细具体，基本满足本项目需求，得</w:t>
            </w:r>
            <w:r>
              <w:rPr>
                <w:rFonts w:hint="eastAsia" w:ascii="宋体" w:hAnsi="宋体" w:eastAsia="宋体" w:cs="宋体"/>
                <w:color w:val="auto"/>
                <w:szCs w:val="21"/>
                <w:highlight w:val="none"/>
                <w:lang w:val="en-US" w:eastAsia="zh-CN"/>
              </w:rPr>
              <w:t>6-7</w:t>
            </w:r>
            <w:r>
              <w:rPr>
                <w:rFonts w:hint="eastAsia" w:ascii="宋体" w:hAnsi="宋体" w:eastAsia="宋体" w:cs="宋体"/>
                <w:color w:val="auto"/>
                <w:szCs w:val="21"/>
                <w:highlight w:val="none"/>
              </w:rPr>
              <w:t>分；</w:t>
            </w:r>
          </w:p>
          <w:p>
            <w:pPr>
              <w:jc w:val="left"/>
              <w:rPr>
                <w:rFonts w:ascii="宋体" w:hAnsi="宋体" w:eastAsia="宋体" w:cs="宋体"/>
                <w:color w:val="auto"/>
                <w:szCs w:val="21"/>
                <w:highlight w:val="none"/>
              </w:rPr>
            </w:pPr>
            <w:r>
              <w:rPr>
                <w:rFonts w:hint="eastAsia" w:ascii="宋体" w:hAnsi="宋体" w:eastAsia="宋体" w:cs="宋体"/>
                <w:color w:val="auto"/>
                <w:szCs w:val="21"/>
                <w:highlight w:val="none"/>
              </w:rPr>
              <w:t>3.差：方案内容有缺漏，措施较有效可行、针对性一般，承诺较详细，较能满足本项目需求，得</w:t>
            </w:r>
            <w:r>
              <w:rPr>
                <w:rFonts w:hint="eastAsia" w:ascii="宋体" w:hAnsi="宋体" w:eastAsia="宋体" w:cs="宋体"/>
                <w:color w:val="auto"/>
                <w:spacing w:val="-5"/>
                <w:szCs w:val="21"/>
                <w:highlight w:val="none"/>
              </w:rPr>
              <w:t>0-</w:t>
            </w: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zCs w:val="21"/>
                <w:highlight w:val="none"/>
              </w:rPr>
              <w:t>分；</w:t>
            </w:r>
          </w:p>
          <w:p>
            <w:pPr>
              <w:autoSpaceDE w:val="0"/>
              <w:autoSpaceDN w:val="0"/>
              <w:adjustRightInd w:val="0"/>
              <w:snapToGrid w:val="0"/>
              <w:rPr>
                <w:rFonts w:hint="eastAsia" w:ascii="宋体" w:hAnsi="宋体" w:eastAsia="宋体" w:cs="宋体"/>
                <w:color w:val="auto"/>
                <w:highlight w:val="none"/>
                <w:lang w:eastAsia="zh-CN"/>
              </w:rPr>
            </w:pPr>
            <w:r>
              <w:rPr>
                <w:rFonts w:hint="eastAsia" w:ascii="宋体" w:hAnsi="宋体" w:eastAsia="宋体" w:cs="宋体"/>
                <w:color w:val="auto"/>
                <w:szCs w:val="21"/>
                <w:highlight w:val="none"/>
              </w:rPr>
              <w:t>不提供方案不得分。</w:t>
            </w:r>
          </w:p>
        </w:tc>
        <w:tc>
          <w:tcPr>
            <w:tcW w:w="689" w:type="dxa"/>
            <w:vAlign w:val="center"/>
          </w:tcPr>
          <w:p>
            <w:pPr>
              <w:spacing w:line="360" w:lineRule="exact"/>
              <w:jc w:val="left"/>
              <w:rPr>
                <w:rFonts w:hint="eastAsia"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0" w:type="auto"/>
            <w:vMerge w:val="continue"/>
            <w:vAlign w:val="center"/>
          </w:tcPr>
          <w:p>
            <w:pPr>
              <w:spacing w:line="360" w:lineRule="exact"/>
              <w:jc w:val="left"/>
              <w:rPr>
                <w:rFonts w:hint="eastAsia" w:ascii="宋体" w:hAnsi="宋体" w:cs="宋体"/>
                <w:b w:val="0"/>
                <w:color w:val="auto"/>
                <w:sz w:val="21"/>
                <w:szCs w:val="21"/>
                <w:highlight w:val="none"/>
                <w:vertAlign w:val="baseline"/>
              </w:rPr>
            </w:pPr>
          </w:p>
        </w:tc>
        <w:tc>
          <w:tcPr>
            <w:tcW w:w="1724" w:type="dxa"/>
            <w:vAlign w:val="center"/>
          </w:tcPr>
          <w:p>
            <w:pPr>
              <w:autoSpaceDE w:val="0"/>
              <w:autoSpaceDN w:val="0"/>
              <w:adjustRightInd w:val="0"/>
              <w:snapToGrid w:val="0"/>
              <w:rPr>
                <w:rFonts w:hint="eastAsia" w:ascii="宋体" w:hAnsi="宋体" w:eastAsia="宋体" w:cs="宋体"/>
                <w:b w:val="0"/>
                <w:color w:val="auto"/>
                <w:sz w:val="21"/>
                <w:szCs w:val="21"/>
                <w:highlight w:val="none"/>
                <w:vertAlign w:val="baseline"/>
                <w:lang w:eastAsia="zh-CN"/>
              </w:rPr>
            </w:pPr>
            <w:r>
              <w:rPr>
                <w:rFonts w:hint="eastAsia" w:ascii="宋体" w:hAnsi="宋体" w:eastAsia="宋体" w:cs="宋体"/>
                <w:color w:val="auto"/>
                <w:spacing w:val="-5"/>
                <w:szCs w:val="21"/>
                <w:highlight w:val="none"/>
              </w:rPr>
              <w:t>对项目的理解程度、重点难点分析情况</w:t>
            </w:r>
          </w:p>
        </w:tc>
        <w:tc>
          <w:tcPr>
            <w:tcW w:w="529" w:type="dxa"/>
            <w:vAlign w:val="center"/>
          </w:tcPr>
          <w:p>
            <w:pPr>
              <w:autoSpaceDE w:val="0"/>
              <w:autoSpaceDN w:val="0"/>
              <w:adjustRightInd w:val="0"/>
              <w:snapToGrid w:val="0"/>
              <w:rPr>
                <w:rFonts w:hint="default" w:ascii="宋体" w:hAnsi="宋体" w:cs="宋体"/>
                <w:b w:val="0"/>
                <w:color w:val="auto"/>
                <w:sz w:val="21"/>
                <w:szCs w:val="21"/>
                <w:highlight w:val="none"/>
                <w:vertAlign w:val="baseline"/>
              </w:rPr>
            </w:pPr>
            <w:r>
              <w:rPr>
                <w:rFonts w:hint="eastAsia" w:ascii="宋体" w:hAnsi="宋体" w:eastAsia="宋体" w:cs="宋体"/>
                <w:color w:val="auto"/>
                <w:spacing w:val="-5"/>
                <w:szCs w:val="21"/>
                <w:highlight w:val="none"/>
                <w:lang w:val="en-US" w:eastAsia="zh-CN"/>
              </w:rPr>
              <w:t>10</w:t>
            </w:r>
          </w:p>
        </w:tc>
        <w:tc>
          <w:tcPr>
            <w:tcW w:w="8075" w:type="dxa"/>
            <w:vAlign w:val="center"/>
          </w:tcPr>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1、优：对项目的理解程度、特点、实施难点、易损多发维修点清楚，有针对性，得</w:t>
            </w:r>
            <w:r>
              <w:rPr>
                <w:rFonts w:hint="eastAsia" w:ascii="宋体" w:hAnsi="宋体" w:eastAsia="宋体" w:cs="宋体"/>
                <w:color w:val="auto"/>
                <w:szCs w:val="21"/>
                <w:highlight w:val="none"/>
                <w:lang w:val="en-US" w:eastAsia="zh-CN"/>
              </w:rPr>
              <w:t>8-10</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2、中：对项目的理解程度、特点、实施难点、易损多发维修点较清楚，较有针对性，得</w:t>
            </w:r>
            <w:r>
              <w:rPr>
                <w:rFonts w:hint="eastAsia" w:ascii="宋体" w:hAnsi="宋体" w:eastAsia="宋体" w:cs="宋体"/>
                <w:color w:val="auto"/>
                <w:szCs w:val="21"/>
                <w:highlight w:val="none"/>
                <w:lang w:val="en-US" w:eastAsia="zh-CN"/>
              </w:rPr>
              <w:t>6-7</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3、差：对项目的理解程度、特点、实施难点、易损多发维修点了解一般，针对性一般，得0-</w:t>
            </w: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hint="eastAsia" w:ascii="宋体" w:hAnsi="宋体" w:cs="宋体"/>
                <w:b w:val="0"/>
                <w:color w:val="auto"/>
                <w:sz w:val="21"/>
                <w:szCs w:val="21"/>
                <w:highlight w:val="none"/>
                <w:vertAlign w:val="baseline"/>
              </w:rPr>
            </w:pPr>
            <w:r>
              <w:rPr>
                <w:rFonts w:hint="eastAsia" w:ascii="宋体" w:hAnsi="宋体" w:eastAsia="宋体" w:cs="宋体"/>
                <w:color w:val="auto"/>
                <w:spacing w:val="-5"/>
                <w:szCs w:val="21"/>
                <w:highlight w:val="none"/>
              </w:rPr>
              <w:t>无提供方案则不得分。</w:t>
            </w:r>
          </w:p>
        </w:tc>
        <w:tc>
          <w:tcPr>
            <w:tcW w:w="689" w:type="dxa"/>
            <w:vAlign w:val="center"/>
          </w:tcPr>
          <w:p>
            <w:pPr>
              <w:spacing w:line="240" w:lineRule="auto"/>
              <w:jc w:val="left"/>
              <w:rPr>
                <w:rFonts w:hint="default"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0" w:type="auto"/>
            <w:vMerge w:val="continue"/>
            <w:vAlign w:val="center"/>
          </w:tcPr>
          <w:p>
            <w:pPr>
              <w:spacing w:line="240" w:lineRule="auto"/>
              <w:jc w:val="left"/>
              <w:rPr>
                <w:rFonts w:hint="eastAsia" w:ascii="宋体" w:hAnsi="宋体" w:cs="宋体"/>
                <w:b w:val="0"/>
                <w:color w:val="auto"/>
                <w:sz w:val="21"/>
                <w:szCs w:val="21"/>
                <w:highlight w:val="none"/>
                <w:vertAlign w:val="baseline"/>
              </w:rPr>
            </w:pPr>
          </w:p>
        </w:tc>
        <w:tc>
          <w:tcPr>
            <w:tcW w:w="1724" w:type="dxa"/>
            <w:vAlign w:val="center"/>
          </w:tcPr>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安全生产管理</w:t>
            </w:r>
          </w:p>
          <w:p>
            <w:pPr>
              <w:autoSpaceDE w:val="0"/>
              <w:autoSpaceDN w:val="0"/>
              <w:adjustRightInd w:val="0"/>
              <w:snapToGrid w:val="0"/>
              <w:rPr>
                <w:rFonts w:hint="eastAsia" w:ascii="宋体" w:hAnsi="宋体" w:cs="宋体"/>
                <w:color w:val="auto"/>
                <w:szCs w:val="21"/>
                <w:highlight w:val="none"/>
              </w:rPr>
            </w:pPr>
          </w:p>
        </w:tc>
        <w:tc>
          <w:tcPr>
            <w:tcW w:w="529" w:type="dxa"/>
            <w:vAlign w:val="center"/>
          </w:tcPr>
          <w:p>
            <w:pPr>
              <w:autoSpaceDE w:val="0"/>
              <w:autoSpaceDN w:val="0"/>
              <w:adjustRightInd w:val="0"/>
              <w:snapToGrid w:val="0"/>
              <w:rPr>
                <w:rFonts w:hint="default" w:ascii="宋体" w:hAnsi="宋体" w:eastAsia="宋体" w:cs="宋体"/>
                <w:b w:val="0"/>
                <w:color w:val="auto"/>
                <w:sz w:val="21"/>
                <w:szCs w:val="21"/>
                <w:highlight w:val="none"/>
                <w:vertAlign w:val="baseline"/>
                <w:lang w:val="en-US" w:eastAsia="zh-CN"/>
              </w:rPr>
            </w:pPr>
            <w:r>
              <w:rPr>
                <w:rFonts w:hint="eastAsia" w:ascii="宋体" w:hAnsi="宋体" w:eastAsia="宋体" w:cs="宋体"/>
                <w:color w:val="auto"/>
                <w:spacing w:val="-5"/>
                <w:szCs w:val="21"/>
                <w:highlight w:val="none"/>
                <w:lang w:val="en-US" w:eastAsia="zh-CN"/>
              </w:rPr>
              <w:t>10</w:t>
            </w:r>
          </w:p>
        </w:tc>
        <w:tc>
          <w:tcPr>
            <w:tcW w:w="8075" w:type="dxa"/>
            <w:vAlign w:val="center"/>
          </w:tcPr>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1、优：对项目安全生产工作提出具体管理方案，安全防护制度健全，可行性高，能有效保障本服务项目的安全实施，得</w:t>
            </w:r>
            <w:r>
              <w:rPr>
                <w:rFonts w:hint="eastAsia" w:ascii="宋体" w:hAnsi="宋体" w:eastAsia="宋体" w:cs="宋体"/>
                <w:color w:val="auto"/>
                <w:szCs w:val="21"/>
                <w:highlight w:val="none"/>
                <w:lang w:val="en-US" w:eastAsia="zh-CN"/>
              </w:rPr>
              <w:t>8-10</w:t>
            </w:r>
            <w:r>
              <w:rPr>
                <w:rFonts w:hint="eastAsia" w:ascii="宋体" w:hAnsi="宋体" w:eastAsia="宋体" w:cs="宋体"/>
                <w:color w:val="auto"/>
                <w:spacing w:val="-5"/>
                <w:szCs w:val="21"/>
                <w:highlight w:val="none"/>
              </w:rPr>
              <w:t>分。</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2、中：对项目安全生产工作提出具体管理方案，安全防护制度可行性较高，基本保障本服务项目的安全实施，得</w:t>
            </w:r>
            <w:r>
              <w:rPr>
                <w:rFonts w:hint="eastAsia" w:ascii="宋体" w:hAnsi="宋体" w:eastAsia="宋体" w:cs="宋体"/>
                <w:color w:val="auto"/>
                <w:szCs w:val="21"/>
                <w:highlight w:val="none"/>
                <w:lang w:val="en-US" w:eastAsia="zh-CN"/>
              </w:rPr>
              <w:t>6-7</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3、差：对项目安全生产工作提出具体管理方案， 安全防护制度可行性较低，得0-</w:t>
            </w: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5"/>
                <w:szCs w:val="21"/>
                <w:highlight w:val="none"/>
              </w:rPr>
              <w:t xml:space="preserve">无提供方案则不得分。 </w:t>
            </w:r>
          </w:p>
        </w:tc>
        <w:tc>
          <w:tcPr>
            <w:tcW w:w="689" w:type="dxa"/>
            <w:vAlign w:val="center"/>
          </w:tcPr>
          <w:p>
            <w:pPr>
              <w:spacing w:line="240" w:lineRule="auto"/>
              <w:jc w:val="left"/>
              <w:rPr>
                <w:rFonts w:hint="eastAsia" w:ascii="宋体" w:hAnsi="宋体" w:eastAsia="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0" w:type="auto"/>
            <w:vMerge w:val="continue"/>
            <w:vAlign w:val="center"/>
          </w:tcPr>
          <w:p>
            <w:pPr>
              <w:spacing w:line="240" w:lineRule="auto"/>
              <w:jc w:val="left"/>
              <w:rPr>
                <w:rFonts w:hint="eastAsia" w:ascii="宋体" w:hAnsi="宋体" w:cs="宋体"/>
                <w:b w:val="0"/>
                <w:color w:val="auto"/>
                <w:sz w:val="21"/>
                <w:szCs w:val="21"/>
                <w:highlight w:val="none"/>
                <w:vertAlign w:val="baseline"/>
              </w:rPr>
            </w:pPr>
          </w:p>
        </w:tc>
        <w:tc>
          <w:tcPr>
            <w:tcW w:w="1724" w:type="dxa"/>
            <w:vAlign w:val="center"/>
          </w:tcPr>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质量保障措施</w:t>
            </w:r>
          </w:p>
          <w:p>
            <w:pPr>
              <w:autoSpaceDE w:val="0"/>
              <w:autoSpaceDN w:val="0"/>
              <w:adjustRightInd w:val="0"/>
              <w:snapToGrid w:val="0"/>
              <w:rPr>
                <w:rFonts w:hint="eastAsia" w:ascii="宋体" w:hAnsi="宋体" w:cs="宋体"/>
                <w:color w:val="auto"/>
                <w:szCs w:val="21"/>
                <w:highlight w:val="none"/>
              </w:rPr>
            </w:pPr>
          </w:p>
        </w:tc>
        <w:tc>
          <w:tcPr>
            <w:tcW w:w="529" w:type="dxa"/>
            <w:vAlign w:val="center"/>
          </w:tcPr>
          <w:p>
            <w:pPr>
              <w:autoSpaceDE w:val="0"/>
              <w:autoSpaceDN w:val="0"/>
              <w:adjustRightInd w:val="0"/>
              <w:snapToGrid w:val="0"/>
              <w:rPr>
                <w:rFonts w:hint="eastAsia" w:ascii="宋体" w:hAnsi="宋体" w:cs="宋体"/>
                <w:b w:val="0"/>
                <w:color w:val="auto"/>
                <w:sz w:val="21"/>
                <w:szCs w:val="21"/>
                <w:highlight w:val="none"/>
                <w:vertAlign w:val="baseline"/>
                <w:lang w:val="en-US" w:eastAsia="zh-CN"/>
              </w:rPr>
            </w:pPr>
            <w:r>
              <w:rPr>
                <w:rFonts w:hint="eastAsia" w:ascii="宋体" w:hAnsi="宋体" w:eastAsia="宋体" w:cs="宋体"/>
                <w:color w:val="auto"/>
                <w:spacing w:val="-5"/>
                <w:szCs w:val="21"/>
                <w:highlight w:val="none"/>
                <w:lang w:val="en-US" w:eastAsia="zh-CN"/>
              </w:rPr>
              <w:t>10</w:t>
            </w:r>
          </w:p>
        </w:tc>
        <w:tc>
          <w:tcPr>
            <w:tcW w:w="8075" w:type="dxa"/>
            <w:vAlign w:val="center"/>
          </w:tcPr>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1、优：项目质量措施保证目标明确、方案详细，可行性强，有明确的质量承诺， 表述清晰、完整、合理，得</w:t>
            </w:r>
            <w:r>
              <w:rPr>
                <w:rFonts w:hint="eastAsia" w:ascii="宋体" w:hAnsi="宋体" w:eastAsia="宋体" w:cs="宋体"/>
                <w:color w:val="auto"/>
                <w:szCs w:val="21"/>
                <w:highlight w:val="none"/>
                <w:lang w:val="en-US" w:eastAsia="zh-CN"/>
              </w:rPr>
              <w:t>8-10</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2、中：项目质量措施保证目标较明确、方案较 详细、可行较强，有较明确的质量承诺，表述较清晰、较完整、较合理， 得</w:t>
            </w:r>
            <w:r>
              <w:rPr>
                <w:rFonts w:hint="eastAsia" w:ascii="宋体" w:hAnsi="宋体" w:eastAsia="宋体" w:cs="宋体"/>
                <w:color w:val="auto"/>
                <w:szCs w:val="21"/>
                <w:highlight w:val="none"/>
                <w:lang w:val="en-US" w:eastAsia="zh-CN"/>
              </w:rPr>
              <w:t>6-7</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3、差：项目质量措施保证目标不明确、方案简单、可行性较低，质量承诺表述不够清晰、不够合理，得0-</w:t>
            </w: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hint="default" w:ascii="宋体" w:hAnsi="宋体" w:cs="宋体"/>
                <w:color w:val="auto"/>
                <w:szCs w:val="21"/>
                <w:highlight w:val="none"/>
              </w:rPr>
            </w:pPr>
            <w:r>
              <w:rPr>
                <w:rFonts w:hint="eastAsia" w:ascii="宋体" w:hAnsi="宋体" w:eastAsia="宋体" w:cs="宋体"/>
                <w:color w:val="auto"/>
                <w:spacing w:val="-5"/>
                <w:szCs w:val="21"/>
                <w:highlight w:val="none"/>
              </w:rPr>
              <w:t>无提供方案则不得分。</w:t>
            </w:r>
          </w:p>
        </w:tc>
        <w:tc>
          <w:tcPr>
            <w:tcW w:w="689" w:type="dxa"/>
            <w:vAlign w:val="center"/>
          </w:tcPr>
          <w:p>
            <w:pPr>
              <w:spacing w:line="240" w:lineRule="auto"/>
              <w:jc w:val="left"/>
              <w:rPr>
                <w:rFonts w:hint="eastAsia" w:ascii="宋体" w:hAnsi="宋体" w:eastAsia="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0" w:type="auto"/>
            <w:vMerge w:val="continue"/>
            <w:vAlign w:val="center"/>
          </w:tcPr>
          <w:p>
            <w:pPr>
              <w:spacing w:line="240" w:lineRule="auto"/>
              <w:jc w:val="left"/>
              <w:rPr>
                <w:rFonts w:hint="eastAsia" w:ascii="宋体" w:hAnsi="宋体" w:cs="宋体"/>
                <w:b w:val="0"/>
                <w:color w:val="auto"/>
                <w:sz w:val="21"/>
                <w:szCs w:val="21"/>
                <w:highlight w:val="none"/>
                <w:vertAlign w:val="baseline"/>
              </w:rPr>
            </w:pPr>
          </w:p>
        </w:tc>
        <w:tc>
          <w:tcPr>
            <w:tcW w:w="0" w:type="auto"/>
            <w:vAlign w:val="center"/>
          </w:tcPr>
          <w:p>
            <w:pPr>
              <w:spacing w:line="240" w:lineRule="auto"/>
              <w:jc w:val="center"/>
              <w:rPr>
                <w:rFonts w:hint="default" w:eastAsia="宋体"/>
                <w:color w:val="auto"/>
                <w:szCs w:val="21"/>
                <w:highlight w:val="none"/>
                <w:lang w:val="en-US" w:eastAsia="zh-CN"/>
              </w:rPr>
            </w:pPr>
            <w:r>
              <w:rPr>
                <w:rFonts w:hint="eastAsia"/>
                <w:color w:val="auto"/>
                <w:szCs w:val="21"/>
                <w:highlight w:val="none"/>
                <w:lang w:val="en-US" w:eastAsia="zh-CN"/>
              </w:rPr>
              <w:t>项目工期</w:t>
            </w:r>
          </w:p>
        </w:tc>
        <w:tc>
          <w:tcPr>
            <w:tcW w:w="0" w:type="auto"/>
            <w:vAlign w:val="center"/>
          </w:tcPr>
          <w:p>
            <w:pPr>
              <w:spacing w:line="360" w:lineRule="exact"/>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10</w:t>
            </w:r>
          </w:p>
        </w:tc>
        <w:tc>
          <w:tcPr>
            <w:tcW w:w="8075" w:type="dxa"/>
            <w:vAlign w:val="center"/>
          </w:tcPr>
          <w:p>
            <w:pPr>
              <w:spacing w:line="240" w:lineRule="auto"/>
              <w:jc w:val="left"/>
              <w:rPr>
                <w:rFonts w:hint="default" w:ascii="宋体" w:hAnsi="宋体" w:eastAsia="宋体" w:cs="宋体"/>
                <w:color w:val="auto"/>
                <w:kern w:val="2"/>
                <w:szCs w:val="21"/>
                <w:highlight w:val="none"/>
                <w:lang w:val="en-US" w:eastAsia="zh-CN"/>
              </w:rPr>
            </w:pPr>
            <w:r>
              <w:rPr>
                <w:rFonts w:hint="eastAsia" w:ascii="宋体" w:hAnsi="宋体" w:cs="宋体"/>
                <w:color w:val="auto"/>
                <w:kern w:val="2"/>
                <w:szCs w:val="21"/>
                <w:highlight w:val="none"/>
                <w:lang w:val="en-US" w:eastAsia="zh-CN"/>
              </w:rPr>
              <w:t>本项目工期为30日历天</w:t>
            </w:r>
            <w:r>
              <w:rPr>
                <w:rFonts w:hint="eastAsia" w:ascii="宋体" w:hAnsi="宋体" w:eastAsia="宋体" w:cs="宋体"/>
                <w:b w:val="0"/>
                <w:bCs/>
                <w:color w:val="auto"/>
                <w:sz w:val="21"/>
                <w:szCs w:val="21"/>
                <w:highlight w:val="none"/>
                <w:lang w:val="en-US" w:eastAsia="zh-CN"/>
              </w:rPr>
              <w:t>完工并通电</w:t>
            </w:r>
            <w:r>
              <w:rPr>
                <w:rFonts w:hint="eastAsia" w:ascii="宋体" w:hAnsi="宋体" w:cs="宋体"/>
                <w:color w:val="auto"/>
                <w:kern w:val="2"/>
                <w:szCs w:val="21"/>
                <w:highlight w:val="none"/>
                <w:lang w:val="en-US" w:eastAsia="zh-CN"/>
              </w:rPr>
              <w:t>。投标人承诺项目工期提前的，每提前一天加</w:t>
            </w:r>
            <w:r>
              <w:rPr>
                <w:rFonts w:hint="eastAsia" w:ascii="宋体" w:hAnsi="宋体" w:cs="宋体"/>
                <w:color w:val="auto"/>
                <w:kern w:val="2"/>
                <w:szCs w:val="21"/>
                <w:highlight w:val="none"/>
                <w:lang w:val="en-US" w:eastAsia="zh-CN"/>
              </w:rPr>
              <w:t>2</w:t>
            </w:r>
            <w:r>
              <w:rPr>
                <w:rFonts w:hint="eastAsia" w:ascii="宋体" w:hAnsi="宋体" w:cs="宋体"/>
                <w:color w:val="auto"/>
                <w:kern w:val="2"/>
                <w:szCs w:val="21"/>
                <w:highlight w:val="none"/>
                <w:lang w:val="en-US" w:eastAsia="zh-CN"/>
              </w:rPr>
              <w:t>分，以此累加，</w:t>
            </w:r>
            <w:r>
              <w:rPr>
                <w:rFonts w:hint="eastAsia" w:ascii="宋体" w:hAnsi="宋体" w:cs="宋体"/>
                <w:color w:val="auto"/>
                <w:szCs w:val="21"/>
                <w:highlight w:val="none"/>
                <w:lang w:eastAsia="zh-CN"/>
              </w:rPr>
              <w:t>最多得</w:t>
            </w:r>
            <w:r>
              <w:rPr>
                <w:rFonts w:hint="eastAsia" w:ascii="宋体" w:hAnsi="宋体" w:cs="宋体"/>
                <w:color w:val="auto"/>
                <w:szCs w:val="21"/>
                <w:highlight w:val="none"/>
                <w:lang w:val="en-US" w:eastAsia="zh-CN"/>
              </w:rPr>
              <w:t>10分</w:t>
            </w:r>
            <w:r>
              <w:rPr>
                <w:rFonts w:hint="default" w:ascii="宋体" w:hAnsi="宋体" w:cs="宋体"/>
                <w:color w:val="auto"/>
                <w:szCs w:val="21"/>
                <w:highlight w:val="none"/>
              </w:rPr>
              <w:t>。</w:t>
            </w:r>
            <w:r>
              <w:rPr>
                <w:rFonts w:hint="eastAsia" w:ascii="宋体" w:hAnsi="宋体" w:eastAsia="宋体" w:cs="宋体"/>
                <w:color w:val="auto"/>
                <w:szCs w:val="21"/>
                <w:highlight w:val="none"/>
                <w:lang w:val="en-US" w:eastAsia="zh-CN"/>
              </w:rPr>
              <w:t>需提供</w:t>
            </w:r>
            <w:r>
              <w:rPr>
                <w:rFonts w:hint="eastAsia" w:ascii="宋体" w:hAnsi="宋体" w:cs="宋体"/>
                <w:color w:val="auto"/>
                <w:szCs w:val="21"/>
                <w:highlight w:val="none"/>
                <w:lang w:val="en-US" w:eastAsia="zh-CN"/>
              </w:rPr>
              <w:t>项目工期承诺函，否则</w:t>
            </w:r>
            <w:r>
              <w:rPr>
                <w:rFonts w:hint="eastAsia" w:ascii="宋体" w:hAnsi="宋体" w:eastAsia="宋体" w:cs="宋体"/>
                <w:color w:val="auto"/>
                <w:szCs w:val="21"/>
                <w:highlight w:val="none"/>
                <w:lang w:val="en-US" w:eastAsia="zh-CN"/>
              </w:rPr>
              <w:t>不得分</w:t>
            </w:r>
            <w:r>
              <w:rPr>
                <w:rFonts w:hint="eastAsia" w:ascii="宋体" w:hAnsi="宋体" w:cs="宋体"/>
                <w:color w:val="auto"/>
                <w:sz w:val="18"/>
                <w:szCs w:val="18"/>
                <w:highlight w:val="none"/>
                <w:lang w:val="en-US" w:eastAsia="zh-CN"/>
              </w:rPr>
              <w:t>。</w:t>
            </w:r>
          </w:p>
        </w:tc>
        <w:tc>
          <w:tcPr>
            <w:tcW w:w="689" w:type="dxa"/>
            <w:vAlign w:val="center"/>
          </w:tcPr>
          <w:p>
            <w:pPr>
              <w:spacing w:line="240" w:lineRule="auto"/>
              <w:jc w:val="left"/>
              <w:rPr>
                <w:rFonts w:hint="eastAsia" w:ascii="宋体" w:hAnsi="宋体" w:eastAsia="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3263" w:type="dxa"/>
            <w:gridSpan w:val="2"/>
            <w:vAlign w:val="center"/>
          </w:tcPr>
          <w:p>
            <w:pPr>
              <w:jc w:val="center"/>
              <w:rPr>
                <w:rFonts w:hint="eastAsia"/>
                <w:color w:val="auto"/>
                <w:szCs w:val="21"/>
                <w:highlight w:val="none"/>
                <w:lang w:val="en-US" w:eastAsia="zh-CN"/>
              </w:rPr>
            </w:pPr>
            <w:r>
              <w:rPr>
                <w:rFonts w:hint="eastAsia" w:ascii="宋体" w:hAnsi="宋体" w:eastAsia="宋体" w:cs="宋体"/>
                <w:color w:val="auto"/>
                <w:szCs w:val="21"/>
                <w:highlight w:val="none"/>
              </w:rPr>
              <w:t>合计</w:t>
            </w:r>
          </w:p>
        </w:tc>
        <w:tc>
          <w:tcPr>
            <w:tcW w:w="529" w:type="dxa"/>
            <w:vAlign w:val="center"/>
          </w:tcPr>
          <w:p>
            <w:pPr>
              <w:spacing w:line="220" w:lineRule="exact"/>
              <w:ind w:left="-2" w:leftChars="-1"/>
              <w:jc w:val="center"/>
              <w:rPr>
                <w:rFonts w:hint="eastAsia"/>
                <w:color w:val="auto"/>
                <w:szCs w:val="21"/>
                <w:highlight w:val="none"/>
                <w:lang w:val="en-US" w:eastAsia="zh-CN"/>
              </w:rPr>
            </w:pPr>
            <w:r>
              <w:rPr>
                <w:rFonts w:hint="eastAsia" w:ascii="宋体" w:hAnsi="宋体" w:eastAsia="宋体" w:cs="宋体"/>
                <w:color w:val="auto"/>
                <w:szCs w:val="21"/>
                <w:highlight w:val="none"/>
              </w:rPr>
              <w:t>100</w:t>
            </w:r>
          </w:p>
        </w:tc>
        <w:tc>
          <w:tcPr>
            <w:tcW w:w="8075" w:type="dxa"/>
            <w:vAlign w:val="center"/>
          </w:tcPr>
          <w:p>
            <w:pPr>
              <w:spacing w:line="220" w:lineRule="exact"/>
              <w:ind w:left="-2" w:leftChars="-1"/>
              <w:rPr>
                <w:rFonts w:hint="eastAsia" w:ascii="宋体" w:hAnsi="宋体" w:cs="宋体"/>
                <w:color w:val="auto"/>
                <w:kern w:val="2"/>
                <w:szCs w:val="21"/>
                <w:highlight w:val="none"/>
                <w:lang w:val="en-US" w:eastAsia="zh-CN"/>
              </w:rPr>
            </w:pPr>
          </w:p>
        </w:tc>
        <w:tc>
          <w:tcPr>
            <w:tcW w:w="689" w:type="dxa"/>
            <w:vAlign w:val="center"/>
          </w:tcPr>
          <w:p>
            <w:pPr>
              <w:spacing w:line="240" w:lineRule="auto"/>
              <w:jc w:val="left"/>
              <w:rPr>
                <w:rFonts w:hint="eastAsia" w:ascii="宋体" w:hAnsi="宋体" w:eastAsia="宋体" w:cs="宋体"/>
                <w:color w:val="auto"/>
                <w:kern w:val="2"/>
                <w:szCs w:val="21"/>
                <w:highlight w:val="none"/>
              </w:rPr>
            </w:pPr>
          </w:p>
        </w:tc>
      </w:tr>
    </w:tbl>
    <w:p>
      <w:pPr>
        <w:snapToGrid/>
        <w:spacing w:line="320" w:lineRule="exact"/>
        <w:ind w:firstLine="420" w:firstLineChars="200"/>
        <w:jc w:val="left"/>
        <w:rPr>
          <w:rFonts w:ascii="宋体" w:hAnsi="宋体" w:cs="宋体"/>
          <w:color w:val="auto"/>
          <w:szCs w:val="18"/>
          <w:highlight w:val="none"/>
        </w:rPr>
      </w:pPr>
      <w:r>
        <w:rPr>
          <w:rFonts w:hint="eastAsia" w:ascii="宋体" w:hAnsi="宋体" w:cs="宋体"/>
          <w:color w:val="auto"/>
          <w:szCs w:val="21"/>
          <w:highlight w:val="none"/>
        </w:rPr>
        <w:t>说明：</w:t>
      </w: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p>
    <w:p>
      <w:pPr>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br w:type="page"/>
      </w:r>
    </w:p>
    <w:p>
      <w:pPr>
        <w:pStyle w:val="25"/>
        <w:rPr>
          <w:rFonts w:hint="default" w:ascii="宋体" w:hAnsi="宋体" w:cs="宋体"/>
          <w:color w:val="auto"/>
          <w:szCs w:val="21"/>
          <w:highlight w:val="none"/>
          <w:lang w:val="en-US" w:eastAsia="zh-CN"/>
        </w:rPr>
      </w:pPr>
      <w:r>
        <w:rPr>
          <w:rFonts w:hint="eastAsia" w:ascii="宋体" w:hAnsi="宋体" w:cs="宋体"/>
          <w:color w:val="auto"/>
          <w:szCs w:val="21"/>
          <w:highlight w:val="none"/>
          <w:lang w:eastAsia="zh-CN"/>
        </w:rPr>
        <w:t>附件</w:t>
      </w:r>
      <w:r>
        <w:rPr>
          <w:rFonts w:hint="eastAsia" w:ascii="宋体" w:hAnsi="宋体" w:cs="宋体"/>
          <w:color w:val="auto"/>
          <w:szCs w:val="21"/>
          <w:highlight w:val="none"/>
          <w:lang w:val="en-US" w:eastAsia="zh-CN"/>
        </w:rPr>
        <w:t>3：经济部分评分表</w:t>
      </w:r>
    </w:p>
    <w:tbl>
      <w:tblPr>
        <w:tblStyle w:val="17"/>
        <w:tblW w:w="1288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60"/>
        <w:gridCol w:w="1562"/>
        <w:gridCol w:w="1770"/>
        <w:gridCol w:w="1440"/>
        <w:gridCol w:w="5115"/>
        <w:gridCol w:w="1110"/>
        <w:gridCol w:w="12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序号</w:t>
            </w:r>
          </w:p>
        </w:tc>
        <w:tc>
          <w:tcPr>
            <w:tcW w:w="15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投标人名称</w:t>
            </w:r>
          </w:p>
        </w:tc>
        <w:tc>
          <w:tcPr>
            <w:tcW w:w="1770"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报价（元）</w:t>
            </w:r>
          </w:p>
        </w:tc>
        <w:tc>
          <w:tcPr>
            <w:tcW w:w="1440"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评标基准价（元）</w:t>
            </w:r>
          </w:p>
        </w:tc>
        <w:tc>
          <w:tcPr>
            <w:tcW w:w="5115" w:type="dxa"/>
            <w:vMerge w:val="restart"/>
            <w:tcBorders>
              <w:top w:val="single" w:color="000000" w:sz="4" w:space="0"/>
              <w:left w:val="single" w:color="000000" w:sz="4" w:space="0"/>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评分内容</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基准分</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77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nil"/>
              <w:right w:val="nil"/>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Calibri" w:hAnsi="Calibri" w:eastAsia="宋体" w:cs="Calibri"/>
                <w:i w:val="0"/>
                <w:iCs w:val="0"/>
                <w:color w:val="auto"/>
                <w:sz w:val="24"/>
                <w:szCs w:val="24"/>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1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若经过符合性审查，（1）入围投标单位为3至5家的，则经济标报价部分以入围投标单位的有效总报价的算术平均值作为基准价；（2）入围投标单位为6家或以上的，则去掉一家最高报价、一家最低报价后，经济标报价部分以剩余入围投标单位有效报价的算术平均值作为基准价。</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投标报价等于基准价为满分100分，高于基准价的1%扣1分，低于基准价的1%扣0.5分，以此类推。最低得分0分。得分保留两位小数。计算公式如下：</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1、报价等于基准价的，得分=100。</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2、报价高于基准价的，得分=100-[（报价-基准价）/基准价]×100×1</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3、报价低于基准价的，得分=100-[（基准价-报价）/基准价]×100×0.5</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100</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r>
    </w:tbl>
    <w:p>
      <w:pPr>
        <w:pStyle w:val="2"/>
        <w:rPr>
          <w:rFonts w:hint="eastAsia"/>
          <w:color w:val="auto"/>
          <w:highlight w:val="none"/>
        </w:rPr>
        <w:sectPr>
          <w:pgSz w:w="15840" w:h="12240" w:orient="landscape"/>
          <w:pgMar w:top="1797" w:right="1440" w:bottom="1797" w:left="1440" w:header="720" w:footer="720" w:gutter="0"/>
          <w:cols w:space="425" w:num="1"/>
          <w:docGrid w:linePitch="312" w:charSpace="0"/>
        </w:sectPr>
      </w:pP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附件3：</w:t>
      </w:r>
    </w:p>
    <w:p>
      <w:pPr>
        <w:adjustRightInd w:val="0"/>
        <w:snapToGrid w:val="0"/>
        <w:spacing w:line="360" w:lineRule="auto"/>
        <w:jc w:val="center"/>
        <w:outlineLvl w:val="0"/>
        <w:rPr>
          <w:rFonts w:ascii="宋体" w:hAnsi="宋体" w:cs="宋体"/>
          <w:b/>
          <w:color w:val="auto"/>
          <w:sz w:val="28"/>
          <w:szCs w:val="28"/>
          <w:highlight w:val="none"/>
        </w:rPr>
      </w:pPr>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p>
    <w:p>
      <w:pPr>
        <w:pStyle w:val="40"/>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lang w:eastAsia="zh-CN"/>
        </w:rPr>
        <w:t>广州南沙旅游发展有限公司</w:t>
      </w:r>
      <w:r>
        <w:rPr>
          <w:rFonts w:hint="eastAsia" w:ascii="宋体" w:hAnsi="宋体" w:eastAsia="宋体"/>
          <w:color w:val="auto"/>
          <w:sz w:val="24"/>
          <w:szCs w:val="24"/>
          <w:highlight w:val="none"/>
          <w:u w:val="single"/>
        </w:rPr>
        <w:t xml:space="preserve">、广州南沙建设维护管理有限公司 </w:t>
      </w:r>
    </w:p>
    <w:p>
      <w:pPr>
        <w:pStyle w:val="40"/>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u w:val="single"/>
        </w:rPr>
        <w:t xml:space="preserve"> </w:t>
      </w:r>
      <w:r>
        <w:rPr>
          <w:rFonts w:hint="eastAsia" w:ascii="宋体" w:hAnsi="宋体" w:eastAsia="宋体"/>
          <w:color w:val="auto"/>
          <w:spacing w:val="20"/>
          <w:sz w:val="24"/>
          <w:szCs w:val="24"/>
          <w:highlight w:val="none"/>
          <w:u w:val="single"/>
          <w:lang w:eastAsia="zh-CN"/>
        </w:rPr>
        <w:t>天后宫新建低压线路工程施工</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投标工作，做出郑重声明：</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pPr>
        <w:pStyle w:val="40"/>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rPr>
        <w:t>，本公司保证上述单位不参加本次投标</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41"/>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40"/>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40"/>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2"/>
        <w:rPr>
          <w:rFonts w:hint="default"/>
          <w:color w:val="auto"/>
          <w:highlight w:val="none"/>
        </w:rPr>
      </w:pPr>
    </w:p>
    <w:bookmarkEnd w:id="41"/>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40</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00000002"/>
    <w:multiLevelType w:val="multilevel"/>
    <w:tmpl w:val="00000002"/>
    <w:lvl w:ilvl="0" w:tentative="0">
      <w:start w:val="1"/>
      <w:numFmt w:val="decimal"/>
      <w:pStyle w:val="15"/>
      <w:suff w:val="nothing"/>
      <w:lvlText w:val="%1."/>
      <w:lvlJc w:val="left"/>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3628B52"/>
    <w:multiLevelType w:val="singleLevel"/>
    <w:tmpl w:val="03628B52"/>
    <w:lvl w:ilvl="0" w:tentative="0">
      <w:start w:val="1"/>
      <w:numFmt w:val="decimal"/>
      <w:suff w:val="nothing"/>
      <w:lvlText w:val="%1、"/>
      <w:lvlJc w:val="left"/>
    </w:lvl>
  </w:abstractNum>
  <w:abstractNum w:abstractNumId="3">
    <w:nsid w:val="71BD1A65"/>
    <w:multiLevelType w:val="singleLevel"/>
    <w:tmpl w:val="71BD1A65"/>
    <w:lvl w:ilvl="0" w:tentative="0">
      <w:start w:val="1"/>
      <w:numFmt w:val="chineseCounting"/>
      <w:suff w:val="nothing"/>
      <w:lvlText w:val="%1、"/>
      <w:lvlJc w:val="left"/>
      <w:rPr>
        <w:rFonts w:hint="eastAsia"/>
      </w:rPr>
    </w:lvl>
  </w:abstractNum>
  <w:abstractNum w:abstractNumId="4">
    <w:nsid w:val="7A7B36A8"/>
    <w:multiLevelType w:val="singleLevel"/>
    <w:tmpl w:val="7A7B36A8"/>
    <w:lvl w:ilvl="0" w:tentative="0">
      <w:start w:val="33"/>
      <w:numFmt w:val="decimal"/>
      <w:suff w:val="nothing"/>
      <w:lvlText w:val="%1．"/>
      <w:lvlJc w:val="left"/>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trackRevisions w:val="1"/>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JjMjg4NjNjMGQ5OWQxMjU2NzFkNWEwMzQxMDU5MzIifQ=="/>
  </w:docVars>
  <w:rsids>
    <w:rsidRoot w:val="3B6D4312"/>
    <w:rsid w:val="0002289A"/>
    <w:rsid w:val="0002557B"/>
    <w:rsid w:val="0005254F"/>
    <w:rsid w:val="000744F3"/>
    <w:rsid w:val="00085D0C"/>
    <w:rsid w:val="000B7B0A"/>
    <w:rsid w:val="000E0EC3"/>
    <w:rsid w:val="000F63F4"/>
    <w:rsid w:val="00103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40578E"/>
    <w:rsid w:val="00407F49"/>
    <w:rsid w:val="00456C93"/>
    <w:rsid w:val="00464100"/>
    <w:rsid w:val="0048290C"/>
    <w:rsid w:val="004B2C05"/>
    <w:rsid w:val="004D6177"/>
    <w:rsid w:val="00524AD0"/>
    <w:rsid w:val="005269C8"/>
    <w:rsid w:val="00553FDF"/>
    <w:rsid w:val="00571117"/>
    <w:rsid w:val="005A19E6"/>
    <w:rsid w:val="005C4427"/>
    <w:rsid w:val="00641255"/>
    <w:rsid w:val="00646FE0"/>
    <w:rsid w:val="0065458C"/>
    <w:rsid w:val="0065720F"/>
    <w:rsid w:val="00697CBD"/>
    <w:rsid w:val="006A18B1"/>
    <w:rsid w:val="006D6F3B"/>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1F3E"/>
    <w:rsid w:val="00D95E37"/>
    <w:rsid w:val="00DD64C1"/>
    <w:rsid w:val="00DD686E"/>
    <w:rsid w:val="00DF620B"/>
    <w:rsid w:val="00E14E87"/>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E200EE"/>
    <w:rsid w:val="025A13E2"/>
    <w:rsid w:val="027C3F9C"/>
    <w:rsid w:val="02E9680F"/>
    <w:rsid w:val="02F7533D"/>
    <w:rsid w:val="030457ED"/>
    <w:rsid w:val="03562994"/>
    <w:rsid w:val="03CB6D70"/>
    <w:rsid w:val="04177352"/>
    <w:rsid w:val="04364A4F"/>
    <w:rsid w:val="04376975"/>
    <w:rsid w:val="04435BE0"/>
    <w:rsid w:val="044C08C6"/>
    <w:rsid w:val="04982B21"/>
    <w:rsid w:val="04E40895"/>
    <w:rsid w:val="051B7598"/>
    <w:rsid w:val="052E78DA"/>
    <w:rsid w:val="059A4101"/>
    <w:rsid w:val="079A3CDA"/>
    <w:rsid w:val="07AD77EA"/>
    <w:rsid w:val="07F66A4C"/>
    <w:rsid w:val="08393BA7"/>
    <w:rsid w:val="083B43B1"/>
    <w:rsid w:val="08757A2C"/>
    <w:rsid w:val="08A9464F"/>
    <w:rsid w:val="08D505E6"/>
    <w:rsid w:val="08E03A6C"/>
    <w:rsid w:val="09062DA7"/>
    <w:rsid w:val="091F7224"/>
    <w:rsid w:val="09577D3C"/>
    <w:rsid w:val="0967478B"/>
    <w:rsid w:val="09A667E8"/>
    <w:rsid w:val="0A31358E"/>
    <w:rsid w:val="0A621C44"/>
    <w:rsid w:val="0B372B92"/>
    <w:rsid w:val="0BFF40FB"/>
    <w:rsid w:val="0C855B7E"/>
    <w:rsid w:val="0C87037B"/>
    <w:rsid w:val="0CF74903"/>
    <w:rsid w:val="0E1A5AD0"/>
    <w:rsid w:val="0E1B10A8"/>
    <w:rsid w:val="0E80564C"/>
    <w:rsid w:val="0E87496A"/>
    <w:rsid w:val="0E8C2C83"/>
    <w:rsid w:val="0EA03B8A"/>
    <w:rsid w:val="0EAC0C18"/>
    <w:rsid w:val="0EB25F9A"/>
    <w:rsid w:val="0EB83A78"/>
    <w:rsid w:val="0ED8481A"/>
    <w:rsid w:val="0F263AB3"/>
    <w:rsid w:val="0F8D0176"/>
    <w:rsid w:val="0FD73768"/>
    <w:rsid w:val="10A4638E"/>
    <w:rsid w:val="10AB649B"/>
    <w:rsid w:val="10AC4C3F"/>
    <w:rsid w:val="10D83B3D"/>
    <w:rsid w:val="11135DC8"/>
    <w:rsid w:val="11D31BC3"/>
    <w:rsid w:val="11F528ED"/>
    <w:rsid w:val="1265210E"/>
    <w:rsid w:val="12D70506"/>
    <w:rsid w:val="12E86716"/>
    <w:rsid w:val="13082AF4"/>
    <w:rsid w:val="130F5872"/>
    <w:rsid w:val="134A310C"/>
    <w:rsid w:val="13E640E2"/>
    <w:rsid w:val="13E744B7"/>
    <w:rsid w:val="14082F52"/>
    <w:rsid w:val="14085DAD"/>
    <w:rsid w:val="14233C6D"/>
    <w:rsid w:val="1435274A"/>
    <w:rsid w:val="14452035"/>
    <w:rsid w:val="1448567A"/>
    <w:rsid w:val="145B3800"/>
    <w:rsid w:val="14725C9B"/>
    <w:rsid w:val="15B036FB"/>
    <w:rsid w:val="16007AF5"/>
    <w:rsid w:val="16E55626"/>
    <w:rsid w:val="173D0A89"/>
    <w:rsid w:val="17463991"/>
    <w:rsid w:val="179E3273"/>
    <w:rsid w:val="17E64D32"/>
    <w:rsid w:val="17E977C8"/>
    <w:rsid w:val="182C4B8E"/>
    <w:rsid w:val="1873680D"/>
    <w:rsid w:val="18E67433"/>
    <w:rsid w:val="18F12637"/>
    <w:rsid w:val="19095239"/>
    <w:rsid w:val="19A846E9"/>
    <w:rsid w:val="19BE3F0C"/>
    <w:rsid w:val="19C37774"/>
    <w:rsid w:val="1A5A3C35"/>
    <w:rsid w:val="1A6525DA"/>
    <w:rsid w:val="1AB46DAB"/>
    <w:rsid w:val="1B6C2995"/>
    <w:rsid w:val="1BB630ED"/>
    <w:rsid w:val="1BC44893"/>
    <w:rsid w:val="1BE136FF"/>
    <w:rsid w:val="1C05708F"/>
    <w:rsid w:val="1C307374"/>
    <w:rsid w:val="1C9203A6"/>
    <w:rsid w:val="1D6E44CC"/>
    <w:rsid w:val="1D7F1C04"/>
    <w:rsid w:val="1E032835"/>
    <w:rsid w:val="1E562810"/>
    <w:rsid w:val="1EB63404"/>
    <w:rsid w:val="1EBD45C4"/>
    <w:rsid w:val="1F1C5732"/>
    <w:rsid w:val="1F234F3D"/>
    <w:rsid w:val="1F584BD1"/>
    <w:rsid w:val="1F7A6193"/>
    <w:rsid w:val="200E0A62"/>
    <w:rsid w:val="205D447F"/>
    <w:rsid w:val="206E043A"/>
    <w:rsid w:val="20AD4C4C"/>
    <w:rsid w:val="20E35285"/>
    <w:rsid w:val="20F27029"/>
    <w:rsid w:val="21424D60"/>
    <w:rsid w:val="215321ED"/>
    <w:rsid w:val="215D5254"/>
    <w:rsid w:val="224A02E7"/>
    <w:rsid w:val="227411DF"/>
    <w:rsid w:val="22934188"/>
    <w:rsid w:val="22BB36DF"/>
    <w:rsid w:val="23EE6B47"/>
    <w:rsid w:val="24856237"/>
    <w:rsid w:val="24DD793C"/>
    <w:rsid w:val="25053D8A"/>
    <w:rsid w:val="25687B33"/>
    <w:rsid w:val="25791876"/>
    <w:rsid w:val="26236584"/>
    <w:rsid w:val="26826F29"/>
    <w:rsid w:val="26B94C66"/>
    <w:rsid w:val="26EC20B9"/>
    <w:rsid w:val="26EC46E5"/>
    <w:rsid w:val="26FF6942"/>
    <w:rsid w:val="272101A5"/>
    <w:rsid w:val="272B74FA"/>
    <w:rsid w:val="2751149E"/>
    <w:rsid w:val="2837076A"/>
    <w:rsid w:val="2865301D"/>
    <w:rsid w:val="28C86C87"/>
    <w:rsid w:val="29051210"/>
    <w:rsid w:val="29175127"/>
    <w:rsid w:val="296119D7"/>
    <w:rsid w:val="2A446D64"/>
    <w:rsid w:val="2A97100B"/>
    <w:rsid w:val="2AFF2542"/>
    <w:rsid w:val="2B401296"/>
    <w:rsid w:val="2B5D2502"/>
    <w:rsid w:val="2B7B3A0B"/>
    <w:rsid w:val="2BAE6875"/>
    <w:rsid w:val="2BEC17AE"/>
    <w:rsid w:val="2C0B6D4E"/>
    <w:rsid w:val="2C1B0D4A"/>
    <w:rsid w:val="2C5357E2"/>
    <w:rsid w:val="2C842E83"/>
    <w:rsid w:val="2CD5279B"/>
    <w:rsid w:val="2D0635AD"/>
    <w:rsid w:val="2D691CC1"/>
    <w:rsid w:val="2D907150"/>
    <w:rsid w:val="2DD717BA"/>
    <w:rsid w:val="2DDB1EBF"/>
    <w:rsid w:val="2DE71DA9"/>
    <w:rsid w:val="2DF963B5"/>
    <w:rsid w:val="2E6C5CB5"/>
    <w:rsid w:val="2EA615C5"/>
    <w:rsid w:val="2EC40C57"/>
    <w:rsid w:val="2EE433BF"/>
    <w:rsid w:val="2EED69CE"/>
    <w:rsid w:val="2F740E9D"/>
    <w:rsid w:val="2F777046"/>
    <w:rsid w:val="2F9B6BBA"/>
    <w:rsid w:val="2FE96F27"/>
    <w:rsid w:val="2FEA73B1"/>
    <w:rsid w:val="30136E93"/>
    <w:rsid w:val="30334755"/>
    <w:rsid w:val="30EC6390"/>
    <w:rsid w:val="311233CC"/>
    <w:rsid w:val="3152520E"/>
    <w:rsid w:val="31B57180"/>
    <w:rsid w:val="326630DC"/>
    <w:rsid w:val="33062754"/>
    <w:rsid w:val="33113670"/>
    <w:rsid w:val="3392223A"/>
    <w:rsid w:val="3411535B"/>
    <w:rsid w:val="34935BA4"/>
    <w:rsid w:val="34A264CA"/>
    <w:rsid w:val="34FA131A"/>
    <w:rsid w:val="35830B03"/>
    <w:rsid w:val="360F448A"/>
    <w:rsid w:val="3700775A"/>
    <w:rsid w:val="37A26BD4"/>
    <w:rsid w:val="37A33759"/>
    <w:rsid w:val="37AE7FE3"/>
    <w:rsid w:val="37B20151"/>
    <w:rsid w:val="37F52A06"/>
    <w:rsid w:val="383813C8"/>
    <w:rsid w:val="38417D8A"/>
    <w:rsid w:val="38EE7F12"/>
    <w:rsid w:val="390B4D39"/>
    <w:rsid w:val="39131727"/>
    <w:rsid w:val="392A6A70"/>
    <w:rsid w:val="39731517"/>
    <w:rsid w:val="39F52602"/>
    <w:rsid w:val="39FC703A"/>
    <w:rsid w:val="3A1F234D"/>
    <w:rsid w:val="3AB74334"/>
    <w:rsid w:val="3AC802EF"/>
    <w:rsid w:val="3B183024"/>
    <w:rsid w:val="3B514788"/>
    <w:rsid w:val="3B6D4312"/>
    <w:rsid w:val="3BB718A6"/>
    <w:rsid w:val="3BBA1D8E"/>
    <w:rsid w:val="3BC04127"/>
    <w:rsid w:val="3C88543E"/>
    <w:rsid w:val="3CB7521C"/>
    <w:rsid w:val="3CBC20D5"/>
    <w:rsid w:val="3CE76215"/>
    <w:rsid w:val="3CFF0303"/>
    <w:rsid w:val="3D242CB8"/>
    <w:rsid w:val="3D7619F9"/>
    <w:rsid w:val="3D957982"/>
    <w:rsid w:val="3D96007A"/>
    <w:rsid w:val="3D965718"/>
    <w:rsid w:val="3DF62488"/>
    <w:rsid w:val="3DF7194C"/>
    <w:rsid w:val="3E817133"/>
    <w:rsid w:val="3EDC25BB"/>
    <w:rsid w:val="3EF30213"/>
    <w:rsid w:val="3F4915A0"/>
    <w:rsid w:val="3F5F332B"/>
    <w:rsid w:val="3F641BC2"/>
    <w:rsid w:val="3F8502F8"/>
    <w:rsid w:val="3FBE56FE"/>
    <w:rsid w:val="3FD704B2"/>
    <w:rsid w:val="402B37FA"/>
    <w:rsid w:val="403B7AF1"/>
    <w:rsid w:val="405854B3"/>
    <w:rsid w:val="408D1DBF"/>
    <w:rsid w:val="409313F9"/>
    <w:rsid w:val="40B7508E"/>
    <w:rsid w:val="40CA2819"/>
    <w:rsid w:val="41A25D3E"/>
    <w:rsid w:val="41EC3A6C"/>
    <w:rsid w:val="42A2655E"/>
    <w:rsid w:val="43120161"/>
    <w:rsid w:val="43420D2F"/>
    <w:rsid w:val="436C5E0D"/>
    <w:rsid w:val="437259B2"/>
    <w:rsid w:val="43952229"/>
    <w:rsid w:val="43F36E83"/>
    <w:rsid w:val="44631084"/>
    <w:rsid w:val="446A549B"/>
    <w:rsid w:val="44755126"/>
    <w:rsid w:val="44800368"/>
    <w:rsid w:val="44E26451"/>
    <w:rsid w:val="44E811C0"/>
    <w:rsid w:val="457C68A6"/>
    <w:rsid w:val="45E74C1B"/>
    <w:rsid w:val="46871AD6"/>
    <w:rsid w:val="47025D0E"/>
    <w:rsid w:val="4735560E"/>
    <w:rsid w:val="47413F22"/>
    <w:rsid w:val="477359B5"/>
    <w:rsid w:val="4792678F"/>
    <w:rsid w:val="47E03B89"/>
    <w:rsid w:val="47E250E6"/>
    <w:rsid w:val="481D5A38"/>
    <w:rsid w:val="482B34F2"/>
    <w:rsid w:val="487975A7"/>
    <w:rsid w:val="48E17BF2"/>
    <w:rsid w:val="48E72086"/>
    <w:rsid w:val="49732ED5"/>
    <w:rsid w:val="499C01CA"/>
    <w:rsid w:val="49EF5898"/>
    <w:rsid w:val="4A1079FD"/>
    <w:rsid w:val="4A1D620C"/>
    <w:rsid w:val="4A2D4613"/>
    <w:rsid w:val="4A761B16"/>
    <w:rsid w:val="4AED722D"/>
    <w:rsid w:val="4B3D40BA"/>
    <w:rsid w:val="4BC136D0"/>
    <w:rsid w:val="4BF328A0"/>
    <w:rsid w:val="4C255A6B"/>
    <w:rsid w:val="4C2E17B4"/>
    <w:rsid w:val="4C372CAF"/>
    <w:rsid w:val="4C81677F"/>
    <w:rsid w:val="4D195C1E"/>
    <w:rsid w:val="4D904DD7"/>
    <w:rsid w:val="4D9C287D"/>
    <w:rsid w:val="4DC04FA6"/>
    <w:rsid w:val="4DC53F66"/>
    <w:rsid w:val="4E2A0E48"/>
    <w:rsid w:val="4F477F24"/>
    <w:rsid w:val="4FC91A1A"/>
    <w:rsid w:val="5049448C"/>
    <w:rsid w:val="508B10C7"/>
    <w:rsid w:val="50DB6247"/>
    <w:rsid w:val="51531E87"/>
    <w:rsid w:val="51552F81"/>
    <w:rsid w:val="51AB2104"/>
    <w:rsid w:val="525A7F6F"/>
    <w:rsid w:val="52760C06"/>
    <w:rsid w:val="52A35200"/>
    <w:rsid w:val="52C2143B"/>
    <w:rsid w:val="530E35F9"/>
    <w:rsid w:val="531A11E6"/>
    <w:rsid w:val="53427976"/>
    <w:rsid w:val="53A07C03"/>
    <w:rsid w:val="53A63423"/>
    <w:rsid w:val="53B638D1"/>
    <w:rsid w:val="54386D63"/>
    <w:rsid w:val="54A36172"/>
    <w:rsid w:val="54BC0EE8"/>
    <w:rsid w:val="55592415"/>
    <w:rsid w:val="55D122F6"/>
    <w:rsid w:val="55D41C4B"/>
    <w:rsid w:val="56391F84"/>
    <w:rsid w:val="5702252D"/>
    <w:rsid w:val="572444C0"/>
    <w:rsid w:val="576D49E8"/>
    <w:rsid w:val="578F5987"/>
    <w:rsid w:val="57B957CF"/>
    <w:rsid w:val="57DA583E"/>
    <w:rsid w:val="594F1692"/>
    <w:rsid w:val="59566C52"/>
    <w:rsid w:val="597674DD"/>
    <w:rsid w:val="5A416E84"/>
    <w:rsid w:val="5AAF5CCA"/>
    <w:rsid w:val="5B6E68B8"/>
    <w:rsid w:val="5B6F6839"/>
    <w:rsid w:val="5B8D6C19"/>
    <w:rsid w:val="5BAA698D"/>
    <w:rsid w:val="5BC65072"/>
    <w:rsid w:val="5BCE61FA"/>
    <w:rsid w:val="5C7852D7"/>
    <w:rsid w:val="5C9B134E"/>
    <w:rsid w:val="5CF77B24"/>
    <w:rsid w:val="5D5E6B65"/>
    <w:rsid w:val="5D633297"/>
    <w:rsid w:val="5D8B36D2"/>
    <w:rsid w:val="5DAA1580"/>
    <w:rsid w:val="5DF14932"/>
    <w:rsid w:val="5DFF04E8"/>
    <w:rsid w:val="5E1A6FB5"/>
    <w:rsid w:val="5E7A3CE2"/>
    <w:rsid w:val="5E960581"/>
    <w:rsid w:val="5F355496"/>
    <w:rsid w:val="5F8349F8"/>
    <w:rsid w:val="5F865CD7"/>
    <w:rsid w:val="5F925D77"/>
    <w:rsid w:val="5FDC4484"/>
    <w:rsid w:val="60BA0556"/>
    <w:rsid w:val="60F61E20"/>
    <w:rsid w:val="618B1EF3"/>
    <w:rsid w:val="61A7533B"/>
    <w:rsid w:val="61FC4B9F"/>
    <w:rsid w:val="621244D5"/>
    <w:rsid w:val="62B2296D"/>
    <w:rsid w:val="62B247EF"/>
    <w:rsid w:val="635E4552"/>
    <w:rsid w:val="636147EE"/>
    <w:rsid w:val="63DB6B9E"/>
    <w:rsid w:val="642D7291"/>
    <w:rsid w:val="65652A5B"/>
    <w:rsid w:val="65B441A4"/>
    <w:rsid w:val="65C03100"/>
    <w:rsid w:val="65D8147F"/>
    <w:rsid w:val="66373494"/>
    <w:rsid w:val="663E17E3"/>
    <w:rsid w:val="66591B82"/>
    <w:rsid w:val="66593A91"/>
    <w:rsid w:val="675B4115"/>
    <w:rsid w:val="67D46774"/>
    <w:rsid w:val="68550B65"/>
    <w:rsid w:val="68572B2F"/>
    <w:rsid w:val="6898637C"/>
    <w:rsid w:val="68AD09A1"/>
    <w:rsid w:val="68B16D7B"/>
    <w:rsid w:val="68BA7003"/>
    <w:rsid w:val="68C531A9"/>
    <w:rsid w:val="6917406C"/>
    <w:rsid w:val="691C25EA"/>
    <w:rsid w:val="698555C7"/>
    <w:rsid w:val="6B601D2D"/>
    <w:rsid w:val="6BF6265F"/>
    <w:rsid w:val="6C281E78"/>
    <w:rsid w:val="6C307E68"/>
    <w:rsid w:val="6C3A341E"/>
    <w:rsid w:val="6C920572"/>
    <w:rsid w:val="6DB227E4"/>
    <w:rsid w:val="6DBE1759"/>
    <w:rsid w:val="6DC31ECB"/>
    <w:rsid w:val="6E307289"/>
    <w:rsid w:val="6E656845"/>
    <w:rsid w:val="6F2A4AF9"/>
    <w:rsid w:val="6F2B6AC3"/>
    <w:rsid w:val="6F471F5D"/>
    <w:rsid w:val="6F563B40"/>
    <w:rsid w:val="6F891280"/>
    <w:rsid w:val="6F8E74DB"/>
    <w:rsid w:val="6F977CB5"/>
    <w:rsid w:val="70727FF1"/>
    <w:rsid w:val="70836CF8"/>
    <w:rsid w:val="70CF07C8"/>
    <w:rsid w:val="710F157A"/>
    <w:rsid w:val="71137471"/>
    <w:rsid w:val="71840FD7"/>
    <w:rsid w:val="718C3480"/>
    <w:rsid w:val="71CC7A42"/>
    <w:rsid w:val="721D56A4"/>
    <w:rsid w:val="7261248D"/>
    <w:rsid w:val="72837847"/>
    <w:rsid w:val="72987FCC"/>
    <w:rsid w:val="72BF7C4E"/>
    <w:rsid w:val="72F3401B"/>
    <w:rsid w:val="731416B4"/>
    <w:rsid w:val="736C262E"/>
    <w:rsid w:val="73712518"/>
    <w:rsid w:val="73873F96"/>
    <w:rsid w:val="738A0204"/>
    <w:rsid w:val="738E7AB2"/>
    <w:rsid w:val="73AA787E"/>
    <w:rsid w:val="73EF0074"/>
    <w:rsid w:val="74624F7D"/>
    <w:rsid w:val="74B72A06"/>
    <w:rsid w:val="7546516B"/>
    <w:rsid w:val="75AF555B"/>
    <w:rsid w:val="763204BA"/>
    <w:rsid w:val="767D2F83"/>
    <w:rsid w:val="76F3488A"/>
    <w:rsid w:val="77281C38"/>
    <w:rsid w:val="7741229E"/>
    <w:rsid w:val="781828A1"/>
    <w:rsid w:val="781C3DC0"/>
    <w:rsid w:val="784A356A"/>
    <w:rsid w:val="78780B98"/>
    <w:rsid w:val="788E06C1"/>
    <w:rsid w:val="78D76423"/>
    <w:rsid w:val="78D86E43"/>
    <w:rsid w:val="79566D81"/>
    <w:rsid w:val="79B066BE"/>
    <w:rsid w:val="79B10E72"/>
    <w:rsid w:val="79E02BD8"/>
    <w:rsid w:val="7A2B55F9"/>
    <w:rsid w:val="7A3458D0"/>
    <w:rsid w:val="7A4B048B"/>
    <w:rsid w:val="7A7C35B8"/>
    <w:rsid w:val="7A96669D"/>
    <w:rsid w:val="7AC70013"/>
    <w:rsid w:val="7B2368A0"/>
    <w:rsid w:val="7B672810"/>
    <w:rsid w:val="7B681B66"/>
    <w:rsid w:val="7C561F60"/>
    <w:rsid w:val="7C6B2EC5"/>
    <w:rsid w:val="7C831CEC"/>
    <w:rsid w:val="7CDB7433"/>
    <w:rsid w:val="7D21370D"/>
    <w:rsid w:val="7D3E11F9"/>
    <w:rsid w:val="7D6E2861"/>
    <w:rsid w:val="7DDF7DDD"/>
    <w:rsid w:val="7E300909"/>
    <w:rsid w:val="7E3A59BF"/>
    <w:rsid w:val="7EC84C80"/>
    <w:rsid w:val="7EF55FF4"/>
    <w:rsid w:val="7F0627ED"/>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autoRedefine/>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4">
    <w:name w:val="heading 2"/>
    <w:basedOn w:val="1"/>
    <w:next w:val="1"/>
    <w:autoRedefine/>
    <w:semiHidden/>
    <w:unhideWhenUsed/>
    <w:qFormat/>
    <w:uiPriority w:val="0"/>
    <w:pPr>
      <w:keepNext/>
      <w:keepLines/>
      <w:spacing w:line="413" w:lineRule="auto"/>
      <w:outlineLvl w:val="1"/>
    </w:pPr>
    <w:rPr>
      <w:rFonts w:ascii="Arial" w:hAnsi="Arial" w:eastAsia="黑体"/>
      <w:b/>
      <w:sz w:val="32"/>
    </w:rPr>
  </w:style>
  <w:style w:type="character" w:default="1" w:styleId="19">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2">
    <w:name w:val="Plain Text"/>
    <w:basedOn w:val="1"/>
    <w:next w:val="1"/>
    <w:link w:val="37"/>
    <w:autoRedefine/>
    <w:qFormat/>
    <w:uiPriority w:val="0"/>
    <w:rPr>
      <w:rFonts w:hint="eastAsia" w:ascii="宋体" w:hAnsi="Courier New" w:eastAsia="宋体" w:cs="Times New Roman"/>
      <w:szCs w:val="21"/>
    </w:rPr>
  </w:style>
  <w:style w:type="paragraph" w:styleId="5">
    <w:name w:val="Note Heading"/>
    <w:basedOn w:val="1"/>
    <w:next w:val="1"/>
    <w:autoRedefine/>
    <w:qFormat/>
    <w:uiPriority w:val="0"/>
    <w:pPr>
      <w:snapToGrid w:val="0"/>
      <w:spacing w:before="120" w:after="120" w:line="320" w:lineRule="exact"/>
      <w:ind w:firstLine="413" w:firstLineChars="200"/>
    </w:pPr>
    <w:rPr>
      <w:rFonts w:ascii="宋体" w:hAnsi="宋体"/>
      <w:b/>
      <w:color w:val="000000"/>
    </w:rPr>
  </w:style>
  <w:style w:type="paragraph" w:styleId="6">
    <w:name w:val="Normal Indent"/>
    <w:basedOn w:val="1"/>
    <w:next w:val="1"/>
    <w:autoRedefine/>
    <w:qFormat/>
    <w:uiPriority w:val="0"/>
    <w:pPr>
      <w:ind w:firstLine="420"/>
    </w:pPr>
    <w:rPr>
      <w:rFonts w:ascii="Times New Roman" w:hAnsi="Times New Roman" w:eastAsia="宋体" w:cs="Times New Roman"/>
      <w:szCs w:val="20"/>
    </w:rPr>
  </w:style>
  <w:style w:type="paragraph" w:styleId="7">
    <w:name w:val="annotation text"/>
    <w:basedOn w:val="1"/>
    <w:autoRedefine/>
    <w:semiHidden/>
    <w:unhideWhenUsed/>
    <w:qFormat/>
    <w:uiPriority w:val="0"/>
    <w:pPr>
      <w:jc w:val="left"/>
    </w:pPr>
  </w:style>
  <w:style w:type="paragraph" w:styleId="8">
    <w:name w:val="Body Text"/>
    <w:basedOn w:val="1"/>
    <w:autoRedefine/>
    <w:qFormat/>
    <w:uiPriority w:val="0"/>
  </w:style>
  <w:style w:type="paragraph" w:styleId="9">
    <w:name w:val="Body Text Indent"/>
    <w:basedOn w:val="1"/>
    <w:autoRedefine/>
    <w:qFormat/>
    <w:uiPriority w:val="0"/>
    <w:pPr>
      <w:spacing w:after="120" w:afterLines="0" w:afterAutospacing="0"/>
      <w:ind w:left="420" w:leftChars="200"/>
    </w:pPr>
  </w:style>
  <w:style w:type="paragraph" w:styleId="10">
    <w:name w:val="Balloon Text"/>
    <w:basedOn w:val="1"/>
    <w:link w:val="35"/>
    <w:autoRedefine/>
    <w:qFormat/>
    <w:uiPriority w:val="0"/>
    <w:rPr>
      <w:sz w:val="18"/>
      <w:szCs w:val="18"/>
    </w:rPr>
  </w:style>
  <w:style w:type="paragraph" w:styleId="11">
    <w:name w:val="footer"/>
    <w:basedOn w:val="1"/>
    <w:link w:val="34"/>
    <w:autoRedefine/>
    <w:qFormat/>
    <w:uiPriority w:val="0"/>
    <w:pPr>
      <w:tabs>
        <w:tab w:val="center" w:pos="4153"/>
        <w:tab w:val="right" w:pos="8306"/>
      </w:tabs>
      <w:snapToGrid w:val="0"/>
      <w:jc w:val="left"/>
    </w:pPr>
    <w:rPr>
      <w:sz w:val="18"/>
      <w:szCs w:val="18"/>
    </w:rPr>
  </w:style>
  <w:style w:type="paragraph" w:styleId="12">
    <w:name w:val="header"/>
    <w:basedOn w:val="1"/>
    <w:link w:val="33"/>
    <w:autoRedefine/>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autoRedefine/>
    <w:qFormat/>
    <w:uiPriority w:val="0"/>
    <w:rPr>
      <w:rFonts w:ascii="Times New Roman" w:hAnsi="Times New Roman" w:eastAsia="宋体" w:cs="Times New Roman"/>
      <w:szCs w:val="21"/>
    </w:rPr>
  </w:style>
  <w:style w:type="paragraph" w:styleId="14">
    <w:name w:val="Body Text First Indent"/>
    <w:basedOn w:val="8"/>
    <w:link w:val="38"/>
    <w:autoRedefine/>
    <w:qFormat/>
    <w:uiPriority w:val="0"/>
    <w:pPr>
      <w:spacing w:beforeAutospacing="1" w:after="120"/>
      <w:ind w:firstLine="420"/>
    </w:pPr>
    <w:rPr>
      <w:rFonts w:ascii="Times New Roman" w:hAnsi="Times New Roman" w:eastAsia="宋体" w:cs="Times New Roman"/>
      <w:szCs w:val="21"/>
    </w:rPr>
  </w:style>
  <w:style w:type="paragraph" w:styleId="15">
    <w:name w:val="Body Text First Indent 2"/>
    <w:basedOn w:val="9"/>
    <w:next w:val="16"/>
    <w:autoRedefine/>
    <w:qFormat/>
    <w:uiPriority w:val="0"/>
    <w:pPr>
      <w:numPr>
        <w:ilvl w:val="0"/>
        <w:numId w:val="1"/>
      </w:numPr>
      <w:ind w:firstLine="420"/>
    </w:pPr>
  </w:style>
  <w:style w:type="paragraph" w:customStyle="1" w:styleId="16">
    <w:name w:val="样式 正文首行缩进 2 + Arial"/>
    <w:basedOn w:val="1"/>
    <w:next w:val="1"/>
    <w:autoRedefine/>
    <w:qFormat/>
    <w:uiPriority w:val="0"/>
    <w:pPr>
      <w:spacing w:before="100" w:beforeAutospacing="1" w:after="120" w:line="320" w:lineRule="atLeast"/>
      <w:ind w:firstLine="200" w:firstLineChars="200"/>
    </w:pPr>
    <w:rPr>
      <w:rFonts w:ascii="Arial" w:hAnsi="Arial" w:cs="Arial"/>
    </w:rPr>
  </w:style>
  <w:style w:type="table" w:styleId="18">
    <w:name w:val="Table Grid"/>
    <w:basedOn w:val="17"/>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autoRedefine/>
    <w:qFormat/>
    <w:uiPriority w:val="0"/>
  </w:style>
  <w:style w:type="character" w:styleId="21">
    <w:name w:val="FollowedHyperlink"/>
    <w:basedOn w:val="19"/>
    <w:autoRedefine/>
    <w:qFormat/>
    <w:uiPriority w:val="0"/>
    <w:rPr>
      <w:color w:val="0000FF"/>
      <w:u w:val="single"/>
    </w:rPr>
  </w:style>
  <w:style w:type="character" w:styleId="22">
    <w:name w:val="Hyperlink"/>
    <w:basedOn w:val="19"/>
    <w:autoRedefine/>
    <w:qFormat/>
    <w:uiPriority w:val="0"/>
    <w:rPr>
      <w:color w:val="0000FF"/>
      <w:u w:val="single"/>
    </w:rPr>
  </w:style>
  <w:style w:type="paragraph" w:customStyle="1" w:styleId="23">
    <w:name w:val="样式 小四 行距: 1.5 倍行距"/>
    <w:basedOn w:val="1"/>
    <w:autoRedefine/>
    <w:qFormat/>
    <w:uiPriority w:val="0"/>
    <w:pPr>
      <w:ind w:firstLine="480"/>
    </w:pPr>
    <w:rPr>
      <w:rFonts w:cs="宋体"/>
    </w:rPr>
  </w:style>
  <w:style w:type="paragraph" w:customStyle="1" w:styleId="24">
    <w:name w:val="表格文字"/>
    <w:basedOn w:val="1"/>
    <w:autoRedefine/>
    <w:qFormat/>
    <w:uiPriority w:val="0"/>
    <w:pPr>
      <w:spacing w:before="25" w:after="25"/>
      <w:jc w:val="left"/>
    </w:pPr>
    <w:rPr>
      <w:bCs/>
      <w:spacing w:val="10"/>
      <w:kern w:val="0"/>
      <w:sz w:val="24"/>
    </w:rPr>
  </w:style>
  <w:style w:type="paragraph" w:customStyle="1" w:styleId="25">
    <w:name w:val="_Style 3"/>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26">
    <w:name w:val="正文文本缩进 21"/>
    <w:basedOn w:val="1"/>
    <w:autoRedefine/>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7">
    <w:name w:val="章节二"/>
    <w:basedOn w:val="1"/>
    <w:next w:val="1"/>
    <w:autoRedefine/>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8">
    <w:name w:val="列出段落1"/>
    <w:basedOn w:val="1"/>
    <w:autoRedefine/>
    <w:qFormat/>
    <w:uiPriority w:val="0"/>
    <w:pPr>
      <w:ind w:firstLine="420" w:firstLineChars="200"/>
    </w:pPr>
    <w:rPr>
      <w:rFonts w:ascii="Calibri" w:hAnsi="Calibri" w:eastAsia="宋体" w:cs="Times New Roman"/>
      <w:szCs w:val="21"/>
    </w:rPr>
  </w:style>
  <w:style w:type="paragraph" w:customStyle="1" w:styleId="29">
    <w:name w:val="文一"/>
    <w:basedOn w:val="1"/>
    <w:autoRedefine/>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30">
    <w:name w:val="10"/>
    <w:basedOn w:val="19"/>
    <w:autoRedefine/>
    <w:qFormat/>
    <w:uiPriority w:val="0"/>
    <w:rPr>
      <w:rFonts w:hint="default" w:ascii="Times New Roman" w:hAnsi="Times New Roman" w:cs="Times New Roman"/>
    </w:rPr>
  </w:style>
  <w:style w:type="character" w:customStyle="1" w:styleId="31">
    <w:name w:val="15"/>
    <w:basedOn w:val="19"/>
    <w:autoRedefine/>
    <w:qFormat/>
    <w:uiPriority w:val="0"/>
    <w:rPr>
      <w:rFonts w:hint="default" w:ascii="Times New Roman" w:hAnsi="Times New Roman" w:cs="Times New Roman"/>
    </w:rPr>
  </w:style>
  <w:style w:type="character" w:customStyle="1" w:styleId="32">
    <w:name w:val="16"/>
    <w:basedOn w:val="19"/>
    <w:autoRedefine/>
    <w:qFormat/>
    <w:uiPriority w:val="0"/>
    <w:rPr>
      <w:rFonts w:hint="default" w:ascii="Times New Roman" w:hAnsi="Times New Roman" w:cs="Times New Roman"/>
      <w:color w:val="0000FF"/>
      <w:u w:val="single"/>
    </w:rPr>
  </w:style>
  <w:style w:type="character" w:customStyle="1" w:styleId="33">
    <w:name w:val="页眉 Char"/>
    <w:basedOn w:val="19"/>
    <w:link w:val="12"/>
    <w:autoRedefine/>
    <w:qFormat/>
    <w:uiPriority w:val="0"/>
    <w:rPr>
      <w:rFonts w:asciiTheme="minorHAnsi" w:hAnsiTheme="minorHAnsi" w:eastAsiaTheme="minorEastAsia" w:cstheme="minorBidi"/>
      <w:kern w:val="2"/>
      <w:sz w:val="18"/>
      <w:szCs w:val="18"/>
    </w:rPr>
  </w:style>
  <w:style w:type="character" w:customStyle="1" w:styleId="34">
    <w:name w:val="页脚 Char"/>
    <w:basedOn w:val="19"/>
    <w:link w:val="11"/>
    <w:autoRedefine/>
    <w:qFormat/>
    <w:uiPriority w:val="0"/>
    <w:rPr>
      <w:rFonts w:asciiTheme="minorHAnsi" w:hAnsiTheme="minorHAnsi" w:eastAsiaTheme="minorEastAsia" w:cstheme="minorBidi"/>
      <w:kern w:val="2"/>
      <w:sz w:val="18"/>
      <w:szCs w:val="18"/>
    </w:rPr>
  </w:style>
  <w:style w:type="character" w:customStyle="1" w:styleId="35">
    <w:name w:val="批注框文本 Char"/>
    <w:basedOn w:val="19"/>
    <w:link w:val="10"/>
    <w:autoRedefine/>
    <w:qFormat/>
    <w:uiPriority w:val="0"/>
    <w:rPr>
      <w:rFonts w:asciiTheme="minorHAnsi" w:hAnsiTheme="minorHAnsi" w:eastAsiaTheme="minorEastAsia" w:cstheme="minorBidi"/>
      <w:kern w:val="2"/>
      <w:sz w:val="18"/>
      <w:szCs w:val="18"/>
    </w:rPr>
  </w:style>
  <w:style w:type="paragraph" w:customStyle="1" w:styleId="36">
    <w:name w:val="WPSOffice手动目录 1"/>
    <w:autoRedefine/>
    <w:qFormat/>
    <w:uiPriority w:val="0"/>
    <w:rPr>
      <w:rFonts w:ascii="Times New Roman" w:hAnsi="Times New Roman" w:eastAsia="宋体" w:cs="Times New Roman"/>
      <w:lang w:val="en-US" w:eastAsia="zh-CN" w:bidi="ar-SA"/>
    </w:rPr>
  </w:style>
  <w:style w:type="character" w:customStyle="1" w:styleId="37">
    <w:name w:val="纯文本 Char"/>
    <w:link w:val="2"/>
    <w:autoRedefine/>
    <w:qFormat/>
    <w:uiPriority w:val="0"/>
    <w:rPr>
      <w:rFonts w:ascii="宋体" w:hAnsi="Courier New"/>
      <w:kern w:val="2"/>
      <w:sz w:val="21"/>
      <w:szCs w:val="21"/>
    </w:rPr>
  </w:style>
  <w:style w:type="character" w:customStyle="1" w:styleId="38">
    <w:name w:val="正文首行缩进 Char"/>
    <w:basedOn w:val="19"/>
    <w:link w:val="14"/>
    <w:autoRedefine/>
    <w:qFormat/>
    <w:uiPriority w:val="0"/>
    <w:rPr>
      <w:kern w:val="2"/>
      <w:sz w:val="21"/>
      <w:szCs w:val="21"/>
    </w:rPr>
  </w:style>
  <w:style w:type="paragraph" w:styleId="39">
    <w:name w:val="List Paragraph"/>
    <w:basedOn w:val="1"/>
    <w:autoRedefine/>
    <w:unhideWhenUsed/>
    <w:qFormat/>
    <w:uiPriority w:val="99"/>
    <w:pPr>
      <w:ind w:firstLine="420" w:firstLineChars="200"/>
    </w:pPr>
  </w:style>
  <w:style w:type="paragraph" w:customStyle="1" w:styleId="40">
    <w:name w:val="公文正文"/>
    <w:autoRedefine/>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41">
    <w:name w:val="发文落款"/>
    <w:basedOn w:val="40"/>
    <w:autoRedefine/>
    <w:qFormat/>
    <w:uiPriority w:val="0"/>
    <w:pPr>
      <w:ind w:left="4094" w:right="607" w:firstLine="0"/>
      <w:jc w:val="center"/>
    </w:pPr>
  </w:style>
  <w:style w:type="character" w:customStyle="1" w:styleId="42">
    <w:name w:val="c Char1"/>
    <w:link w:val="43"/>
    <w:autoRedefine/>
    <w:qFormat/>
    <w:uiPriority w:val="0"/>
    <w:rPr>
      <w:rFonts w:eastAsia="仿宋_GB2312" w:cs="宋体"/>
      <w:sz w:val="28"/>
    </w:rPr>
  </w:style>
  <w:style w:type="paragraph" w:customStyle="1" w:styleId="43">
    <w:name w:val="c"/>
    <w:basedOn w:val="1"/>
    <w:link w:val="42"/>
    <w:autoRedefine/>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 w:type="paragraph" w:customStyle="1" w:styleId="44">
    <w:name w:val="正文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45">
    <w:name w:val="正文 New New New New New New New"/>
    <w:autoRedefine/>
    <w:qFormat/>
    <w:uiPriority w:val="0"/>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427DD8-2C91-4F08-A38B-BE48ACCCE22F}">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40</Pages>
  <Words>15502</Words>
  <Characters>16328</Characters>
  <Lines>138</Lines>
  <Paragraphs>38</Paragraphs>
  <TotalTime>3</TotalTime>
  <ScaleCrop>false</ScaleCrop>
  <LinksUpToDate>false</LinksUpToDate>
  <CharactersWithSpaces>17316</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2022-02-28T02:04:00Z</dcterms:created>
  <dc:creator>李晓晨</dc:creator>
  <cp:lastModifiedBy>Lenovo</cp:lastModifiedBy>
  <cp:lastPrinted>2020-07-23T07:52:00Z</cp:lastPrinted>
  <dcterms:modified xsi:type="dcterms:W3CDTF">2024-05-29T08:28:59Z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EFFA6352CC104B47AD420D92335CD508_13</vt:lpwstr>
  </property>
</Properties>
</file>