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spacing w:line="360" w:lineRule="auto"/>
        <w:jc w:val="center"/>
        <w:rPr>
          <w:rFonts w:hint="eastAsia" w:ascii="宋体" w:hAnsi="宋体" w:eastAsia="黑体" w:cs="Times New Roman"/>
          <w:color w:val="auto"/>
          <w:sz w:val="48"/>
          <w:szCs w:val="48"/>
          <w:highlight w:val="none"/>
        </w:rPr>
      </w:pPr>
    </w:p>
    <w:p>
      <w:pPr>
        <w:spacing w:line="360" w:lineRule="auto"/>
        <w:jc w:val="center"/>
        <w:rPr>
          <w:rFonts w:hint="eastAsia" w:ascii="宋体" w:hAnsi="宋体" w:eastAsia="黑体" w:cs="Times New Roman"/>
          <w:color w:val="auto"/>
          <w:sz w:val="48"/>
          <w:szCs w:val="48"/>
          <w:highlight w:val="none"/>
          <w:lang w:val="en-US" w:eastAsia="zh-CN"/>
        </w:rPr>
      </w:pPr>
      <w:r>
        <w:rPr>
          <w:rFonts w:hint="eastAsia" w:ascii="宋体" w:hAnsi="宋体" w:eastAsia="黑体" w:cs="Times New Roman"/>
          <w:color w:val="auto"/>
          <w:sz w:val="48"/>
          <w:szCs w:val="48"/>
          <w:highlight w:val="none"/>
          <w:lang w:val="en-US" w:eastAsia="zh-CN"/>
        </w:rPr>
        <w:t>海湾小区N地块项目（领航科技大楼）</w:t>
      </w:r>
    </w:p>
    <w:p>
      <w:pPr>
        <w:spacing w:line="360" w:lineRule="auto"/>
        <w:jc w:val="center"/>
        <w:rPr>
          <w:rFonts w:hint="eastAsia" w:ascii="宋体" w:hAnsi="宋体" w:eastAsia="黑体" w:cs="Times New Roman"/>
          <w:color w:val="auto"/>
          <w:sz w:val="48"/>
          <w:szCs w:val="48"/>
          <w:highlight w:val="none"/>
          <w:lang w:val="en-US" w:eastAsia="zh-CN"/>
        </w:rPr>
      </w:pPr>
      <w:r>
        <w:rPr>
          <w:rFonts w:hint="eastAsia" w:ascii="宋体" w:hAnsi="宋体" w:eastAsia="黑体" w:cs="Times New Roman"/>
          <w:color w:val="auto"/>
          <w:sz w:val="48"/>
          <w:szCs w:val="48"/>
          <w:highlight w:val="none"/>
          <w:lang w:val="en-US" w:eastAsia="zh-CN"/>
        </w:rPr>
        <w:t>营销前期服务(第二次)</w:t>
      </w:r>
    </w:p>
    <w:p>
      <w:pPr>
        <w:spacing w:line="360" w:lineRule="auto"/>
        <w:jc w:val="center"/>
        <w:rPr>
          <w:rFonts w:hint="eastAsia" w:ascii="宋体" w:hAnsi="宋体" w:eastAsia="黑体" w:cs="Times New Roman"/>
          <w:color w:val="auto"/>
          <w:sz w:val="48"/>
          <w:szCs w:val="48"/>
          <w:highlight w:val="none"/>
        </w:rPr>
      </w:pPr>
      <w:r>
        <w:rPr>
          <w:rFonts w:hint="eastAsia" w:ascii="宋体" w:hAnsi="宋体" w:eastAsia="黑体" w:cs="Times New Roman"/>
          <w:color w:val="auto"/>
          <w:sz w:val="48"/>
          <w:szCs w:val="48"/>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0" w:firstLineChars="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招标人：广州南沙经济技术开发区港宏房地产开发有限公司</w:t>
      </w:r>
    </w:p>
    <w:p>
      <w:pPr>
        <w:spacing w:line="520" w:lineRule="exact"/>
        <w:ind w:right="-101" w:rightChars="-48" w:firstLine="643" w:firstLineChars="200"/>
        <w:jc w:val="left"/>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lang w:eastAsia="zh-CN"/>
        </w:rPr>
        <w:t>年</w:t>
      </w:r>
      <w:r>
        <w:rPr>
          <w:rFonts w:hint="eastAsia" w:ascii="宋体" w:hAnsi="宋体" w:eastAsia="宋体" w:cs="宋体"/>
          <w:b/>
          <w:color w:val="auto"/>
          <w:sz w:val="32"/>
          <w:szCs w:val="32"/>
          <w:highlight w:val="none"/>
          <w:lang w:val="en-US" w:eastAsia="zh-CN"/>
        </w:rPr>
        <w:t>5</w:t>
      </w:r>
      <w:r>
        <w:rPr>
          <w:rFonts w:hint="eastAsia" w:ascii="宋体" w:hAnsi="宋体" w:eastAsia="宋体" w:cs="宋体"/>
          <w:b/>
          <w:color w:val="auto"/>
          <w:sz w:val="32"/>
          <w:szCs w:val="32"/>
          <w:highlight w:val="none"/>
          <w:lang w:eastAsia="zh-CN"/>
        </w:rPr>
        <w:t>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0" w:name="_Toc29976"/>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14</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26</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_Toc14580 \h </w:instrText>
          </w:r>
          <w:r>
            <w:rPr>
              <w:color w:val="auto"/>
              <w:sz w:val="32"/>
              <w:szCs w:val="32"/>
              <w:highlight w:val="none"/>
            </w:rPr>
            <w:fldChar w:fldCharType="separate"/>
          </w:r>
          <w:r>
            <w:rPr>
              <w:color w:val="auto"/>
              <w:sz w:val="32"/>
              <w:szCs w:val="32"/>
              <w:highlight w:val="none"/>
            </w:rPr>
            <w:t>34</w:t>
          </w:r>
          <w:r>
            <w:rPr>
              <w:color w:val="auto"/>
              <w:sz w:val="32"/>
              <w:szCs w:val="32"/>
              <w:highlight w:val="none"/>
            </w:rPr>
            <w:fldChar w:fldCharType="end"/>
          </w:r>
          <w:r>
            <w:rPr>
              <w:color w:val="auto"/>
              <w:sz w:val="32"/>
              <w:szCs w:val="32"/>
              <w:highlight w:val="none"/>
            </w:rPr>
            <w:fldChar w:fldCharType="end"/>
          </w:r>
        </w:p>
        <w:p>
          <w:pPr>
            <w:pStyle w:val="13"/>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pPr>
        <w:pStyle w:val="2"/>
        <w:widowControl/>
        <w:spacing w:after="0" w:line="360" w:lineRule="auto"/>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1" w:name="_Toc374128472"/>
      <w:bookmarkStart w:id="2" w:name="_Toc17710"/>
      <w:r>
        <w:rPr>
          <w:rFonts w:hint="eastAsia" w:ascii="黑体" w:hAnsi="宋体" w:cs="黑体"/>
          <w:b/>
          <w:color w:val="auto"/>
          <w:kern w:val="44"/>
          <w:sz w:val="44"/>
          <w:szCs w:val="44"/>
          <w:highlight w:val="none"/>
        </w:rPr>
        <w:t>第1章 投标须知及前附表</w:t>
      </w:r>
      <w:bookmarkEnd w:id="1"/>
      <w:bookmarkEnd w:id="2"/>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5"/>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jc w:val="center"/>
              <w:rPr>
                <w:rFonts w:hint="eastAsia"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海湾小区N地块项目（领航科技大楼）</w:t>
            </w:r>
            <w:r>
              <w:rPr>
                <w:rFonts w:hint="eastAsia" w:ascii="宋体" w:hAnsi="宋体" w:eastAsia="宋体" w:cs="宋体"/>
                <w:color w:val="auto"/>
                <w:highlight w:val="none"/>
                <w:lang w:val="en-US" w:eastAsia="zh-CN"/>
              </w:rPr>
              <w:t>营销前期服务(第二次)</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lang w:val="en-US" w:eastAsia="zh-CN"/>
              </w:rPr>
              <w:t>项目</w:t>
            </w:r>
            <w:r>
              <w:rPr>
                <w:rFonts w:hint="eastAsia" w:ascii="宋体" w:hAnsi="宋体" w:cs="宋体"/>
                <w:color w:val="auto"/>
                <w:highlight w:val="none"/>
              </w:rPr>
              <w:t>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广州市南沙区南沙街道进港大道与港前大道交汇处</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lang w:val="en-US" w:eastAsia="zh-CN"/>
              </w:rPr>
              <w:t>项目情况</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项目用地面积10820平方米，总建筑面积 24564.34平方米，其中1号楼为14层办公楼，建筑高度59.55m，建筑面积11831.89㎡</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2、3、4号楼为4层商业别墅，建筑高度20.55m</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建筑面积分别是1230.29㎡、1232.09㎡、1100.89㎡</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机动车位130个（地下120个，地上10个）。</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项目</w:t>
            </w:r>
            <w:r>
              <w:rPr>
                <w:rFonts w:hint="eastAsia" w:ascii="宋体" w:hAnsi="宋体" w:cs="宋体"/>
                <w:color w:val="auto"/>
                <w:highlight w:val="none"/>
                <w:lang w:val="en-US" w:eastAsia="zh-CN"/>
              </w:rPr>
              <w:t>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cs="宋体"/>
                <w:color w:val="auto"/>
                <w:highlight w:val="none"/>
              </w:rPr>
            </w:pPr>
            <w:r>
              <w:rPr>
                <w:rFonts w:hint="eastAsia" w:ascii="宋体" w:hAnsi="宋体" w:cs="宋体"/>
                <w:color w:val="auto"/>
                <w:highlight w:val="none"/>
              </w:rPr>
              <w:t>约</w:t>
            </w:r>
            <w:r>
              <w:rPr>
                <w:rFonts w:hint="eastAsia" w:ascii="宋体" w:hAnsi="宋体" w:cs="宋体"/>
                <w:color w:val="auto"/>
                <w:highlight w:val="none"/>
                <w:lang w:val="en-US" w:eastAsia="zh-CN"/>
              </w:rPr>
              <w:t>23000</w:t>
            </w:r>
            <w:r>
              <w:rPr>
                <w:rFonts w:hint="eastAsia" w:ascii="宋体" w:hAnsi="宋体" w:cs="宋体"/>
                <w:color w:val="auto"/>
                <w:highlight w:val="none"/>
              </w:rPr>
              <w:t>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符合</w:t>
            </w:r>
            <w:r>
              <w:rPr>
                <w:rFonts w:hint="eastAsia" w:ascii="宋体" w:hAnsi="宋体" w:eastAsia="宋体" w:cs="宋体"/>
                <w:color w:val="auto"/>
                <w:szCs w:val="21"/>
                <w:highlight w:val="none"/>
              </w:rPr>
              <w:t>国家及地方有关法规和规章</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招标</w:t>
            </w:r>
            <w:r>
              <w:rPr>
                <w:rFonts w:hint="eastAsia" w:ascii="宋体" w:hAnsi="宋体" w:cs="宋体"/>
                <w:color w:val="auto"/>
                <w:highlight w:val="none"/>
                <w:lang w:val="en-US" w:eastAsia="zh-CN"/>
              </w:rPr>
              <w:t>内容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根据项目实际情况，完善项目营销前期工作，具体如下：</w:t>
            </w:r>
          </w:p>
          <w:p>
            <w:pPr>
              <w:spacing w:line="36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1、编制项目全周期营销报告（包括但不限于市场分析、项目营销定位、客户定位、销售、出租策略等）；</w:t>
            </w:r>
          </w:p>
          <w:p>
            <w:pPr>
              <w:spacing w:line="36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2、编制</w:t>
            </w:r>
            <w:r>
              <w:rPr>
                <w:rFonts w:hint="eastAsia" w:ascii="宋体" w:hAnsi="宋体" w:eastAsia="宋体" w:cs="宋体"/>
                <w:i w:val="0"/>
                <w:iCs w:val="0"/>
                <w:color w:val="auto"/>
                <w:kern w:val="2"/>
                <w:sz w:val="21"/>
                <w:szCs w:val="21"/>
                <w:highlight w:val="none"/>
                <w:u w:val="none"/>
                <w:lang w:val="en-US" w:eastAsia="zh-CN" w:bidi="ar"/>
              </w:rPr>
              <w:t>项目全周期营销费用计划；</w:t>
            </w:r>
          </w:p>
          <w:p>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3、对项目</w:t>
            </w:r>
            <w:r>
              <w:rPr>
                <w:rFonts w:hint="eastAsia" w:ascii="宋体" w:hAnsi="宋体" w:eastAsia="宋体" w:cs="宋体"/>
                <w:i w:val="0"/>
                <w:iCs w:val="0"/>
                <w:color w:val="auto"/>
                <w:kern w:val="2"/>
                <w:sz w:val="21"/>
                <w:szCs w:val="21"/>
                <w:highlight w:val="none"/>
                <w:u w:val="none"/>
                <w:lang w:val="en-US" w:eastAsia="zh-CN" w:bidi="ar"/>
              </w:rPr>
              <w:t>业态规划提出建议；</w:t>
            </w:r>
          </w:p>
          <w:p>
            <w:pPr>
              <w:spacing w:line="36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4、编制项目销售</w:t>
            </w:r>
            <w:r>
              <w:rPr>
                <w:rFonts w:hint="eastAsia" w:ascii="宋体" w:hAnsi="宋体" w:eastAsia="宋体" w:cs="宋体"/>
                <w:i w:val="0"/>
                <w:iCs w:val="0"/>
                <w:color w:val="auto"/>
                <w:kern w:val="2"/>
                <w:sz w:val="21"/>
                <w:szCs w:val="21"/>
                <w:highlight w:val="none"/>
                <w:u w:val="none"/>
                <w:lang w:val="en-US" w:eastAsia="zh-CN" w:bidi="ar"/>
              </w:rPr>
              <w:t>定价、出租价格建议报告</w:t>
            </w:r>
            <w:r>
              <w:rPr>
                <w:rFonts w:hint="eastAsia" w:ascii="宋体" w:hAnsi="宋体" w:eastAsia="宋体" w:cs="宋体"/>
                <w:color w:val="auto"/>
                <w:sz w:val="21"/>
                <w:szCs w:val="21"/>
                <w:highlight w:val="none"/>
                <w:lang w:val="en-US" w:eastAsia="zh-CN"/>
              </w:rPr>
              <w:t>；</w:t>
            </w:r>
          </w:p>
          <w:p>
            <w:pPr>
              <w:spacing w:line="36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5、对</w:t>
            </w:r>
            <w:r>
              <w:rPr>
                <w:rFonts w:hint="eastAsia" w:ascii="宋体" w:hAnsi="宋体" w:eastAsia="宋体" w:cs="宋体"/>
                <w:i w:val="0"/>
                <w:iCs w:val="0"/>
                <w:color w:val="auto"/>
                <w:kern w:val="2"/>
                <w:sz w:val="21"/>
                <w:szCs w:val="21"/>
                <w:highlight w:val="none"/>
                <w:u w:val="none"/>
                <w:lang w:val="en-US" w:eastAsia="zh-CN" w:bidi="ar"/>
              </w:rPr>
              <w:t>项目价值点提炼；</w:t>
            </w:r>
          </w:p>
          <w:p>
            <w:pPr>
              <w:spacing w:line="36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6、编制</w:t>
            </w:r>
            <w:r>
              <w:rPr>
                <w:rFonts w:hint="eastAsia" w:ascii="宋体" w:hAnsi="宋体" w:eastAsia="宋体" w:cs="宋体"/>
                <w:i w:val="0"/>
                <w:iCs w:val="0"/>
                <w:color w:val="auto"/>
                <w:kern w:val="2"/>
                <w:sz w:val="21"/>
                <w:szCs w:val="21"/>
                <w:highlight w:val="none"/>
                <w:u w:val="none"/>
                <w:lang w:val="en-US" w:eastAsia="zh-CN" w:bidi="ar"/>
              </w:rPr>
              <w:t>项目推介报告；</w:t>
            </w:r>
          </w:p>
          <w:p>
            <w:pPr>
              <w:spacing w:line="360" w:lineRule="auto"/>
              <w:ind w:firstLine="0" w:firstLineChars="0"/>
              <w:rPr>
                <w:rFonts w:hint="eastAsia" w:ascii="宋体" w:hAnsi="宋体" w:eastAsia="宋体" w:cs="宋体"/>
                <w:i w:val="0"/>
                <w:iCs w:val="0"/>
                <w:color w:val="auto"/>
                <w:kern w:val="2"/>
                <w:sz w:val="21"/>
                <w:szCs w:val="21"/>
                <w:highlight w:val="none"/>
                <w:u w:val="none"/>
                <w:lang w:val="en-US" w:eastAsia="zh-CN" w:bidi="ar"/>
              </w:rPr>
            </w:pPr>
            <w:r>
              <w:rPr>
                <w:rFonts w:hint="eastAsia" w:ascii="宋体" w:hAnsi="宋体" w:eastAsia="宋体" w:cs="宋体"/>
                <w:color w:val="auto"/>
                <w:sz w:val="21"/>
                <w:szCs w:val="21"/>
                <w:highlight w:val="none"/>
                <w:lang w:val="en-US" w:eastAsia="zh-CN"/>
              </w:rPr>
              <w:t>7、整理</w:t>
            </w:r>
            <w:r>
              <w:rPr>
                <w:rFonts w:hint="eastAsia" w:ascii="宋体" w:hAnsi="宋体" w:eastAsia="宋体" w:cs="宋体"/>
                <w:i w:val="0"/>
                <w:iCs w:val="0"/>
                <w:color w:val="auto"/>
                <w:kern w:val="2"/>
                <w:sz w:val="21"/>
                <w:szCs w:val="21"/>
                <w:highlight w:val="none"/>
                <w:u w:val="none"/>
                <w:lang w:val="en-US" w:eastAsia="zh-CN" w:bidi="ar"/>
              </w:rPr>
              <w:t>百问百答、项目销售说辞；</w:t>
            </w:r>
          </w:p>
          <w:p>
            <w:pPr>
              <w:spacing w:line="360" w:lineRule="auto"/>
              <w:ind w:firstLine="0" w:firstLineChars="0"/>
              <w:rPr>
                <w:rFonts w:hint="eastAsia" w:ascii="宋体" w:hAnsi="宋体" w:eastAsia="宋体" w:cs="宋体"/>
                <w:i w:val="0"/>
                <w:iCs w:val="0"/>
                <w:color w:val="auto"/>
                <w:kern w:val="2"/>
                <w:sz w:val="21"/>
                <w:szCs w:val="21"/>
                <w:highlight w:val="none"/>
                <w:u w:val="none"/>
                <w:lang w:val="en-US" w:eastAsia="zh-CN" w:bidi="ar"/>
              </w:rPr>
            </w:pPr>
            <w:r>
              <w:rPr>
                <w:rFonts w:hint="eastAsia" w:ascii="宋体" w:hAnsi="宋体" w:eastAsia="宋体" w:cs="宋体"/>
                <w:i w:val="0"/>
                <w:iCs w:val="0"/>
                <w:color w:val="auto"/>
                <w:kern w:val="2"/>
                <w:sz w:val="21"/>
                <w:szCs w:val="21"/>
                <w:highlight w:val="none"/>
                <w:u w:val="none"/>
                <w:lang w:val="en-US" w:eastAsia="zh-CN" w:bidi="ar"/>
              </w:rPr>
              <w:t>8、对项目人员组织销售培训；</w:t>
            </w:r>
          </w:p>
          <w:p>
            <w:pPr>
              <w:spacing w:line="360" w:lineRule="auto"/>
              <w:ind w:firstLine="0" w:firstLineChars="0"/>
              <w:rPr>
                <w:rFonts w:hint="eastAsia" w:ascii="宋体" w:hAnsi="宋体" w:eastAsia="宋体" w:cs="宋体"/>
                <w:i w:val="0"/>
                <w:iCs w:val="0"/>
                <w:color w:val="auto"/>
                <w:kern w:val="2"/>
                <w:sz w:val="21"/>
                <w:szCs w:val="21"/>
                <w:highlight w:val="none"/>
                <w:u w:val="none"/>
                <w:lang w:val="en-US" w:eastAsia="zh-CN" w:bidi="ar"/>
              </w:rPr>
            </w:pPr>
            <w:r>
              <w:rPr>
                <w:rFonts w:hint="eastAsia" w:ascii="宋体" w:hAnsi="宋体" w:eastAsia="宋体" w:cs="宋体"/>
                <w:i w:val="0"/>
                <w:iCs w:val="0"/>
                <w:color w:val="auto"/>
                <w:kern w:val="2"/>
                <w:sz w:val="21"/>
                <w:szCs w:val="21"/>
                <w:highlight w:val="none"/>
                <w:u w:val="none"/>
                <w:lang w:val="en-US" w:eastAsia="zh-CN" w:bidi="ar"/>
              </w:rPr>
              <w:t>9、对宣传资料的设计、制作提出意见；</w:t>
            </w:r>
          </w:p>
          <w:p>
            <w:pPr>
              <w:spacing w:line="360" w:lineRule="auto"/>
              <w:ind w:firstLine="0" w:firstLineChars="0"/>
              <w:rPr>
                <w:rFonts w:hint="eastAsia" w:ascii="宋体" w:hAnsi="宋体" w:eastAsia="宋体" w:cs="宋体"/>
                <w:i w:val="0"/>
                <w:iCs w:val="0"/>
                <w:color w:val="auto"/>
                <w:kern w:val="2"/>
                <w:sz w:val="21"/>
                <w:szCs w:val="21"/>
                <w:highlight w:val="none"/>
                <w:u w:val="none"/>
                <w:lang w:val="en-US" w:eastAsia="zh-CN" w:bidi="ar"/>
              </w:rPr>
            </w:pPr>
            <w:r>
              <w:rPr>
                <w:rFonts w:hint="eastAsia" w:ascii="宋体" w:hAnsi="宋体" w:eastAsia="宋体" w:cs="宋体"/>
                <w:i w:val="0"/>
                <w:iCs w:val="0"/>
                <w:color w:val="auto"/>
                <w:kern w:val="2"/>
                <w:sz w:val="21"/>
                <w:szCs w:val="21"/>
                <w:highlight w:val="none"/>
                <w:u w:val="none"/>
                <w:lang w:val="en-US" w:eastAsia="zh-CN" w:bidi="ar"/>
              </w:rPr>
              <w:t>10、协助整理拟写销售合同、认购协议书等；</w:t>
            </w:r>
          </w:p>
          <w:p>
            <w:pPr>
              <w:widowControl/>
              <w:spacing w:after="0" w:line="360" w:lineRule="auto"/>
              <w:ind w:firstLine="0" w:firstLineChars="0"/>
              <w:rPr>
                <w:rFonts w:hint="eastAsia" w:ascii="宋体" w:hAnsi="宋体" w:eastAsia="宋体" w:cs="宋体"/>
                <w:color w:val="auto"/>
                <w:szCs w:val="21"/>
                <w:highlight w:val="none"/>
              </w:rPr>
            </w:pPr>
            <w:r>
              <w:rPr>
                <w:rFonts w:hint="eastAsia" w:ascii="宋体" w:hAnsi="宋体" w:eastAsia="宋体" w:cs="宋体"/>
                <w:i w:val="0"/>
                <w:iCs w:val="0"/>
                <w:color w:val="auto"/>
                <w:kern w:val="2"/>
                <w:sz w:val="21"/>
                <w:szCs w:val="21"/>
                <w:highlight w:val="none"/>
                <w:u w:val="none"/>
                <w:lang w:val="en-US" w:eastAsia="zh-CN" w:bidi="ar"/>
              </w:rPr>
              <w:t>11、协助完成销售前期其他工作。</w:t>
            </w:r>
          </w:p>
        </w:tc>
      </w:tr>
      <w:tr>
        <w:tblPrEx>
          <w:tblCellMar>
            <w:top w:w="0" w:type="dxa"/>
            <w:left w:w="108" w:type="dxa"/>
            <w:bottom w:w="0" w:type="dxa"/>
            <w:right w:w="108" w:type="dxa"/>
          </w:tblCellMar>
        </w:tblPrEx>
        <w:trPr>
          <w:trHeight w:val="42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spacing w:line="360" w:lineRule="auto"/>
              <w:ind w:firstLine="0" w:firstLineChars="0"/>
              <w:rPr>
                <w:rFonts w:hint="eastAsia" w:ascii="宋体" w:hAnsi="宋体" w:eastAsia="宋体" w:cs="宋体"/>
                <w:color w:val="auto"/>
                <w:sz w:val="21"/>
                <w:szCs w:val="21"/>
                <w:highlight w:val="none"/>
                <w:u w:val="none"/>
                <w:lang w:val="en-US" w:eastAsia="zh-CN" w:bidi="ar"/>
              </w:rPr>
            </w:pPr>
            <w:r>
              <w:rPr>
                <w:rFonts w:hint="eastAsia" w:ascii="宋体" w:hAnsi="宋体" w:eastAsia="宋体" w:cs="宋体"/>
                <w:color w:val="auto"/>
                <w:sz w:val="21"/>
                <w:szCs w:val="21"/>
                <w:highlight w:val="none"/>
                <w:u w:val="none"/>
                <w:lang w:val="en-US" w:eastAsia="zh-CN" w:bidi="ar"/>
              </w:rPr>
              <w:t>此次专项服务期限原则上受托方自签署本项目合作协议起5个月内完成委托方所委托的服务内容，具体如下：</w:t>
            </w:r>
          </w:p>
          <w:p>
            <w:pPr>
              <w:widowControl/>
              <w:numPr>
                <w:ilvl w:val="0"/>
                <w:numId w:val="0"/>
              </w:numPr>
              <w:spacing w:line="360" w:lineRule="auto"/>
              <w:ind w:firstLine="0" w:firstLineChars="0"/>
              <w:rPr>
                <w:rFonts w:hint="eastAsia" w:ascii="宋体" w:hAnsi="宋体" w:eastAsia="宋体" w:cs="宋体"/>
                <w:color w:val="auto"/>
                <w:sz w:val="21"/>
                <w:szCs w:val="21"/>
                <w:highlight w:val="none"/>
                <w:u w:val="none"/>
                <w:lang w:val="en-US" w:eastAsia="zh-CN" w:bidi="ar"/>
              </w:rPr>
            </w:pPr>
            <w:r>
              <w:rPr>
                <w:rFonts w:hint="eastAsia" w:ascii="宋体" w:hAnsi="宋体" w:eastAsia="宋体" w:cs="宋体"/>
                <w:color w:val="auto"/>
                <w:sz w:val="21"/>
                <w:szCs w:val="21"/>
                <w:highlight w:val="none"/>
                <w:u w:val="none"/>
                <w:lang w:val="en-US" w:eastAsia="zh-CN" w:bidi="ar"/>
              </w:rPr>
              <w:t>1、30天内完成项目全周期营销报告、项目全周期营销费用计划、提出项目业态规划建议、</w:t>
            </w:r>
            <w:r>
              <w:rPr>
                <w:rFonts w:hint="eastAsia" w:ascii="宋体" w:hAnsi="宋体" w:eastAsia="宋体" w:cs="宋体"/>
                <w:color w:val="auto"/>
                <w:kern w:val="2"/>
                <w:sz w:val="21"/>
                <w:szCs w:val="21"/>
                <w:highlight w:val="none"/>
                <w:u w:val="none"/>
                <w:lang w:val="en-US" w:eastAsia="zh-CN" w:bidi="ar"/>
              </w:rPr>
              <w:t>项目销售定价建议报告</w:t>
            </w:r>
            <w:r>
              <w:rPr>
                <w:rFonts w:hint="eastAsia" w:ascii="宋体" w:hAnsi="宋体" w:eastAsia="宋体" w:cs="宋体"/>
                <w:color w:val="auto"/>
                <w:sz w:val="21"/>
                <w:szCs w:val="21"/>
                <w:highlight w:val="none"/>
                <w:u w:val="none"/>
                <w:lang w:val="en-US" w:eastAsia="zh-CN" w:bidi="ar"/>
              </w:rPr>
              <w:t>；</w:t>
            </w:r>
          </w:p>
          <w:p>
            <w:pPr>
              <w:widowControl/>
              <w:numPr>
                <w:ilvl w:val="0"/>
                <w:numId w:val="0"/>
              </w:numPr>
              <w:spacing w:line="360" w:lineRule="auto"/>
              <w:ind w:firstLine="0" w:firstLineChars="0"/>
              <w:rPr>
                <w:rFonts w:hint="eastAsia" w:ascii="宋体" w:hAnsi="宋体" w:eastAsia="宋体" w:cs="宋体"/>
                <w:color w:val="auto"/>
                <w:sz w:val="21"/>
                <w:szCs w:val="21"/>
                <w:highlight w:val="none"/>
                <w:u w:val="none"/>
                <w:lang w:val="en-US" w:eastAsia="zh-CN" w:bidi="ar"/>
              </w:rPr>
            </w:pPr>
            <w:r>
              <w:rPr>
                <w:rFonts w:hint="eastAsia" w:ascii="宋体" w:hAnsi="宋体" w:eastAsia="宋体" w:cs="宋体"/>
                <w:color w:val="auto"/>
                <w:sz w:val="21"/>
                <w:szCs w:val="21"/>
                <w:highlight w:val="none"/>
                <w:u w:val="none"/>
                <w:lang w:val="en-US" w:eastAsia="zh-CN" w:bidi="ar"/>
              </w:rPr>
              <w:t>2、45天内完成项目价值点提炼、项目百问百答及销售说辞；</w:t>
            </w:r>
          </w:p>
          <w:p>
            <w:pPr>
              <w:widowControl/>
              <w:numPr>
                <w:ilvl w:val="0"/>
                <w:numId w:val="0"/>
              </w:numPr>
              <w:spacing w:line="360" w:lineRule="auto"/>
              <w:ind w:firstLine="0" w:firstLineChars="0"/>
              <w:jc w:val="both"/>
              <w:rPr>
                <w:rFonts w:hint="eastAsia" w:ascii="宋体" w:hAnsi="宋体" w:eastAsia="宋体" w:cs="宋体"/>
                <w:color w:val="auto"/>
                <w:sz w:val="21"/>
                <w:szCs w:val="21"/>
                <w:highlight w:val="none"/>
                <w:u w:val="none"/>
                <w:lang w:val="en-US" w:eastAsia="zh-CN" w:bidi="ar"/>
              </w:rPr>
            </w:pPr>
            <w:r>
              <w:rPr>
                <w:rFonts w:hint="eastAsia" w:ascii="宋体" w:hAnsi="宋体" w:eastAsia="宋体" w:cs="宋体"/>
                <w:color w:val="auto"/>
                <w:sz w:val="21"/>
                <w:szCs w:val="21"/>
                <w:highlight w:val="none"/>
                <w:u w:val="none"/>
                <w:lang w:val="en-US" w:eastAsia="zh-CN" w:bidi="ar"/>
              </w:rPr>
              <w:t>3、50天内完成项目推介报告及销售培训；</w:t>
            </w:r>
          </w:p>
          <w:p>
            <w:pPr>
              <w:widowControl/>
              <w:numPr>
                <w:ilvl w:val="0"/>
                <w:numId w:val="0"/>
              </w:numPr>
              <w:spacing w:line="360" w:lineRule="auto"/>
              <w:ind w:firstLine="0"/>
              <w:rPr>
                <w:rFonts w:hint="eastAsia" w:ascii="宋体" w:hAnsi="宋体" w:eastAsia="宋体" w:cs="宋体"/>
                <w:color w:val="auto"/>
                <w:szCs w:val="21"/>
                <w:highlight w:val="none"/>
                <w:u w:val="none"/>
                <w:lang w:val="en-US" w:eastAsia="zh-CN" w:bidi="ar"/>
              </w:rPr>
            </w:pPr>
            <w:r>
              <w:rPr>
                <w:rFonts w:hint="eastAsia" w:ascii="宋体" w:hAnsi="宋体" w:eastAsia="宋体" w:cs="宋体"/>
                <w:color w:val="auto"/>
                <w:sz w:val="21"/>
                <w:szCs w:val="21"/>
                <w:highlight w:val="none"/>
                <w:u w:val="none"/>
                <w:lang w:val="en-US" w:eastAsia="zh-CN" w:bidi="ar"/>
              </w:rPr>
              <w:t>4、</w:t>
            </w:r>
            <w:r>
              <w:rPr>
                <w:rFonts w:hint="eastAsia" w:ascii="宋体" w:hAnsi="宋体" w:eastAsia="宋体" w:cs="宋体"/>
                <w:b w:val="0"/>
                <w:bCs w:val="0"/>
                <w:color w:val="auto"/>
                <w:kern w:val="2"/>
                <w:sz w:val="21"/>
                <w:szCs w:val="21"/>
                <w:highlight w:val="none"/>
                <w:u w:val="none"/>
                <w:lang w:val="en-US" w:eastAsia="zh-CN" w:bidi="ar"/>
              </w:rPr>
              <w:t>5个月内根据项目工作开展情况完善项目涉及所有营销前期相关工作，</w:t>
            </w:r>
            <w:r>
              <w:rPr>
                <w:rFonts w:hint="eastAsia" w:ascii="宋体" w:hAnsi="宋体" w:eastAsia="宋体" w:cs="宋体"/>
                <w:b w:val="0"/>
                <w:bCs w:val="0"/>
                <w:color w:val="auto"/>
                <w:spacing w:val="0"/>
                <w:kern w:val="2"/>
                <w:sz w:val="21"/>
                <w:szCs w:val="21"/>
                <w:highlight w:val="none"/>
                <w:u w:val="none"/>
                <w:lang w:val="en-US" w:eastAsia="zh-CN" w:bidi="ar"/>
              </w:rPr>
              <w:t>每月10日前需提交上月工作完成报告。</w:t>
            </w:r>
          </w:p>
          <w:p>
            <w:pPr>
              <w:widowControl/>
              <w:numPr>
                <w:ilvl w:val="0"/>
                <w:numId w:val="0"/>
              </w:num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u w:val="none"/>
                <w:lang w:val="en-US" w:eastAsia="zh-CN" w:bidi="ar"/>
              </w:rPr>
              <w:t>有特殊情况的，经双方沟通确认后可进行一定展期。</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cs="宋体"/>
                <w:color w:val="auto"/>
                <w:highlight w:val="none"/>
              </w:rPr>
            </w:pPr>
            <w:r>
              <w:rPr>
                <w:rFonts w:hint="eastAsia" w:ascii="宋体" w:hAnsi="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after="0" w:line="360" w:lineRule="auto"/>
              <w:ind w:firstLine="0"/>
              <w:rPr>
                <w:rFonts w:hint="default" w:ascii="宋体" w:hAnsi="宋体" w:eastAsia="宋体" w:cs="宋体"/>
                <w:color w:val="auto"/>
                <w:szCs w:val="21"/>
                <w:highlight w:val="none"/>
              </w:rPr>
            </w:pPr>
            <w:r>
              <w:rPr>
                <w:rFonts w:hint="default" w:ascii="宋体" w:hAnsi="宋体" w:eastAsia="宋体" w:cs="宋体"/>
                <w:color w:val="auto"/>
                <w:szCs w:val="21"/>
                <w:highlight w:val="none"/>
              </w:rPr>
              <w:t>投标人必须同时具备以下资格条件：</w:t>
            </w:r>
          </w:p>
          <w:p>
            <w:pPr>
              <w:widowControl/>
              <w:spacing w:after="0" w:line="360" w:lineRule="auto"/>
              <w:ind w:firstLine="0"/>
              <w:rPr>
                <w:rFonts w:hint="default" w:ascii="宋体" w:hAnsi="宋体" w:eastAsia="宋体" w:cs="宋体"/>
                <w:color w:val="auto"/>
                <w:szCs w:val="21"/>
                <w:highlight w:val="none"/>
              </w:rPr>
            </w:pPr>
            <w:r>
              <w:rPr>
                <w:rFonts w:hint="default" w:ascii="宋体" w:hAnsi="宋体" w:eastAsia="宋体" w:cs="宋体"/>
                <w:color w:val="auto"/>
                <w:szCs w:val="21"/>
                <w:highlight w:val="none"/>
                <w:lang w:val="en-US" w:eastAsia="zh-CN"/>
              </w:rPr>
              <w:t>1、</w:t>
            </w:r>
            <w:r>
              <w:rPr>
                <w:rFonts w:hint="default" w:ascii="宋体" w:hAnsi="宋体" w:eastAsia="宋体" w:cs="宋体"/>
                <w:color w:val="auto"/>
                <w:szCs w:val="21"/>
                <w:highlight w:val="none"/>
              </w:rPr>
              <w:t>在中华人民共和国境内注册，具有独立承担民事责任能力并具有法人资格（应提供有效的营业执照副本、组织机构代码证副本、税务登记证副本复印件或三证合一新证副本复印件）；</w:t>
            </w:r>
          </w:p>
          <w:p>
            <w:pPr>
              <w:widowControl/>
              <w:spacing w:after="0" w:line="360" w:lineRule="auto"/>
              <w:ind w:firstLine="0"/>
              <w:rPr>
                <w:rFonts w:hint="default" w:ascii="宋体" w:hAnsi="宋体" w:eastAsia="宋体" w:cs="宋体"/>
                <w:color w:val="auto"/>
                <w:szCs w:val="21"/>
                <w:highlight w:val="none"/>
              </w:rPr>
            </w:pPr>
            <w:r>
              <w:rPr>
                <w:rFonts w:hint="default" w:ascii="宋体" w:hAnsi="宋体" w:eastAsia="宋体" w:cs="宋体"/>
                <w:color w:val="auto"/>
                <w:szCs w:val="21"/>
                <w:highlight w:val="none"/>
                <w:lang w:val="en-US" w:eastAsia="zh-CN"/>
              </w:rPr>
              <w:t>2、</w:t>
            </w:r>
            <w:r>
              <w:rPr>
                <w:rFonts w:hint="default" w:ascii="宋体" w:hAnsi="宋体" w:eastAsia="宋体" w:cs="宋体"/>
                <w:color w:val="auto"/>
                <w:szCs w:val="21"/>
                <w:highlight w:val="none"/>
              </w:rPr>
              <w:t>在广州市具有4年以上的房地产产业服务经验；</w:t>
            </w:r>
          </w:p>
          <w:p>
            <w:pPr>
              <w:widowControl/>
              <w:spacing w:after="0" w:line="360" w:lineRule="auto"/>
              <w:ind w:firstLine="0"/>
              <w:rPr>
                <w:rFonts w:hint="default" w:ascii="宋体" w:hAnsi="宋体" w:eastAsia="宋体" w:cs="宋体"/>
                <w:color w:val="auto"/>
                <w:szCs w:val="21"/>
                <w:highlight w:val="none"/>
              </w:rPr>
            </w:pPr>
            <w:r>
              <w:rPr>
                <w:rFonts w:hint="default" w:ascii="宋体" w:hAnsi="宋体" w:eastAsia="宋体" w:cs="宋体"/>
                <w:color w:val="auto"/>
                <w:szCs w:val="21"/>
                <w:highlight w:val="none"/>
                <w:lang w:val="en-US" w:eastAsia="zh-CN"/>
              </w:rPr>
              <w:t>3、</w:t>
            </w:r>
            <w:r>
              <w:rPr>
                <w:rFonts w:hint="default" w:ascii="宋体" w:hAnsi="宋体" w:eastAsia="宋体" w:cs="宋体"/>
                <w:color w:val="auto"/>
                <w:szCs w:val="21"/>
                <w:highlight w:val="none"/>
              </w:rPr>
              <w:t>在广州市有代理</w:t>
            </w:r>
            <w:r>
              <w:rPr>
                <w:rFonts w:hint="eastAsia" w:ascii="宋体" w:hAnsi="宋体" w:eastAsia="宋体" w:cs="宋体"/>
                <w:color w:val="auto"/>
                <w:szCs w:val="21"/>
                <w:highlight w:val="none"/>
                <w:lang w:val="en-US" w:eastAsia="zh-CN"/>
              </w:rPr>
              <w:t>1.6万㎡（含1.6万㎡）以上商办</w:t>
            </w:r>
            <w:r>
              <w:rPr>
                <w:rFonts w:hint="default" w:ascii="宋体" w:hAnsi="宋体" w:eastAsia="宋体" w:cs="宋体"/>
                <w:color w:val="auto"/>
                <w:szCs w:val="21"/>
                <w:highlight w:val="none"/>
              </w:rPr>
              <w:t>项目业绩；</w:t>
            </w:r>
          </w:p>
          <w:p>
            <w:pPr>
              <w:widowControl/>
              <w:spacing w:after="0" w:line="360" w:lineRule="auto"/>
              <w:ind w:firstLine="0"/>
              <w:rPr>
                <w:rFonts w:hint="default" w:ascii="宋体" w:hAnsi="宋体" w:eastAsia="宋体" w:cs="宋体"/>
                <w:color w:val="auto"/>
                <w:szCs w:val="21"/>
                <w:highlight w:val="none"/>
              </w:rPr>
            </w:pPr>
            <w:r>
              <w:rPr>
                <w:rFonts w:hint="default" w:ascii="宋体" w:hAnsi="宋体" w:eastAsia="宋体" w:cs="宋体"/>
                <w:color w:val="auto"/>
                <w:szCs w:val="21"/>
                <w:highlight w:val="none"/>
                <w:lang w:eastAsia="zh-CN"/>
              </w:rPr>
              <w:t>4、</w:t>
            </w:r>
            <w:r>
              <w:rPr>
                <w:rFonts w:hint="default" w:ascii="宋体" w:hAnsi="宋体" w:eastAsia="宋体" w:cs="宋体"/>
                <w:color w:val="auto"/>
                <w:szCs w:val="21"/>
                <w:highlight w:val="none"/>
              </w:rPr>
              <w:t>有依法缴纳税收和社会保障资金的良好记录（提供20</w:t>
            </w:r>
            <w:r>
              <w:rPr>
                <w:rFonts w:hint="default" w:ascii="宋体" w:hAnsi="宋体" w:eastAsia="宋体" w:cs="宋体"/>
                <w:color w:val="auto"/>
                <w:szCs w:val="21"/>
                <w:highlight w:val="none"/>
                <w:lang w:val="en-US" w:eastAsia="zh-CN"/>
              </w:rPr>
              <w:t>22</w:t>
            </w:r>
            <w:r>
              <w:rPr>
                <w:rFonts w:hint="default" w:ascii="宋体" w:hAnsi="宋体" w:eastAsia="宋体" w:cs="宋体"/>
                <w:color w:val="auto"/>
                <w:szCs w:val="21"/>
                <w:highlight w:val="none"/>
              </w:rPr>
              <w:t>年到20</w:t>
            </w:r>
            <w:r>
              <w:rPr>
                <w:rFonts w:hint="default" w:ascii="宋体" w:hAnsi="宋体" w:eastAsia="宋体" w:cs="宋体"/>
                <w:color w:val="auto"/>
                <w:szCs w:val="21"/>
                <w:highlight w:val="none"/>
                <w:lang w:val="en-US" w:eastAsia="zh-CN"/>
              </w:rPr>
              <w:t>23</w:t>
            </w:r>
            <w:r>
              <w:rPr>
                <w:rFonts w:hint="default" w:ascii="宋体" w:hAnsi="宋体" w:eastAsia="宋体" w:cs="宋体"/>
                <w:color w:val="auto"/>
                <w:szCs w:val="21"/>
                <w:highlight w:val="none"/>
              </w:rPr>
              <w:t>年任意6个月社保和纳税缴纳证明材料）；</w:t>
            </w:r>
          </w:p>
          <w:p>
            <w:pPr>
              <w:widowControl/>
              <w:spacing w:after="0" w:line="360" w:lineRule="auto"/>
              <w:ind w:firstLine="0"/>
              <w:rPr>
                <w:rFonts w:hint="eastAsia" w:ascii="宋体" w:hAnsi="宋体" w:cs="宋体"/>
                <w:color w:val="auto"/>
                <w:highlight w:val="none"/>
              </w:rPr>
            </w:pPr>
            <w:r>
              <w:rPr>
                <w:rFonts w:hint="default" w:ascii="宋体" w:hAnsi="宋体" w:eastAsia="宋体" w:cs="宋体"/>
                <w:color w:val="auto"/>
                <w:szCs w:val="21"/>
                <w:highlight w:val="none"/>
                <w:lang w:eastAsia="zh-CN"/>
              </w:rPr>
              <w:t>5、</w:t>
            </w:r>
            <w:r>
              <w:rPr>
                <w:rFonts w:hint="default" w:ascii="宋体" w:hAnsi="宋体" w:eastAsia="宋体" w:cs="宋体"/>
                <w:color w:val="auto"/>
                <w:szCs w:val="21"/>
                <w:highlight w:val="none"/>
              </w:rPr>
              <w:t>投标人参加招投标活动近三年内（20</w:t>
            </w:r>
            <w:r>
              <w:rPr>
                <w:rFonts w:hint="default" w:ascii="宋体" w:hAnsi="宋体" w:eastAsia="宋体" w:cs="宋体"/>
                <w:color w:val="auto"/>
                <w:szCs w:val="21"/>
                <w:highlight w:val="none"/>
                <w:lang w:val="en-US" w:eastAsia="zh-CN"/>
              </w:rPr>
              <w:t>21</w:t>
            </w:r>
            <w:r>
              <w:rPr>
                <w:rFonts w:hint="default" w:ascii="宋体" w:hAnsi="宋体" w:eastAsia="宋体" w:cs="宋体"/>
                <w:color w:val="auto"/>
                <w:szCs w:val="21"/>
                <w:highlight w:val="none"/>
              </w:rPr>
              <w:t>年到20</w:t>
            </w:r>
            <w:r>
              <w:rPr>
                <w:rFonts w:hint="default" w:ascii="宋体" w:hAnsi="宋体" w:eastAsia="宋体" w:cs="宋体"/>
                <w:color w:val="auto"/>
                <w:szCs w:val="21"/>
                <w:highlight w:val="none"/>
                <w:lang w:val="en-US" w:eastAsia="zh-CN"/>
              </w:rPr>
              <w:t>23</w:t>
            </w:r>
            <w:r>
              <w:rPr>
                <w:rFonts w:hint="default" w:ascii="宋体" w:hAnsi="宋体" w:eastAsia="宋体" w:cs="宋体"/>
                <w:color w:val="auto"/>
                <w:szCs w:val="21"/>
                <w:highlight w:val="none"/>
              </w:rPr>
              <w:t>年）在经营活动中没有重大违法记录（提供承诺函）。</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lang w:val="en-US" w:eastAsia="zh-CN"/>
              </w:rPr>
              <w:t>团队</w:t>
            </w:r>
            <w:r>
              <w:rPr>
                <w:rFonts w:hint="eastAsia" w:ascii="宋体" w:hAnsi="宋体" w:cs="宋体"/>
                <w:color w:val="auto"/>
                <w:highlight w:val="none"/>
              </w:rPr>
              <w:t>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contextualSpacing w:val="0"/>
              <w:rPr>
                <w:rFonts w:hint="default" w:ascii="宋体" w:hAnsi="宋体" w:eastAsia="宋体" w:cs="宋体"/>
                <w:color w:val="auto"/>
                <w:szCs w:val="21"/>
                <w:highlight w:val="none"/>
                <w:lang w:eastAsia="zh-CN"/>
              </w:rPr>
            </w:pPr>
            <w:r>
              <w:rPr>
                <w:rFonts w:hint="default" w:ascii="宋体" w:hAnsi="宋体" w:eastAsia="宋体" w:cs="宋体"/>
                <w:color w:val="auto"/>
                <w:szCs w:val="21"/>
                <w:highlight w:val="none"/>
                <w:lang w:val="en-US" w:eastAsia="zh-CN"/>
              </w:rPr>
              <w:t>项目负责人：本科或以上学历、</w:t>
            </w:r>
            <w:r>
              <w:rPr>
                <w:rFonts w:hint="default"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0</w:t>
            </w:r>
            <w:r>
              <w:rPr>
                <w:rFonts w:hint="default" w:ascii="宋体" w:hAnsi="宋体" w:eastAsia="宋体" w:cs="宋体"/>
                <w:color w:val="auto"/>
                <w:szCs w:val="21"/>
                <w:highlight w:val="none"/>
              </w:rPr>
              <w:t>年以上</w:t>
            </w:r>
            <w:r>
              <w:rPr>
                <w:rFonts w:hint="default" w:ascii="宋体" w:hAnsi="宋体" w:eastAsia="宋体" w:cs="宋体"/>
                <w:color w:val="auto"/>
                <w:szCs w:val="21"/>
                <w:highlight w:val="none"/>
                <w:lang w:val="en-US" w:eastAsia="zh-CN"/>
              </w:rPr>
              <w:t>工作经验</w:t>
            </w:r>
            <w:r>
              <w:rPr>
                <w:rFonts w:hint="default" w:ascii="宋体" w:hAnsi="宋体" w:eastAsia="宋体" w:cs="宋体"/>
                <w:color w:val="auto"/>
                <w:szCs w:val="21"/>
                <w:highlight w:val="none"/>
                <w:lang w:eastAsia="zh-CN"/>
              </w:rPr>
              <w:t>；</w:t>
            </w:r>
          </w:p>
          <w:p>
            <w:pPr>
              <w:widowControl/>
              <w:spacing w:line="360" w:lineRule="auto"/>
              <w:contextualSpacing w:val="0"/>
              <w:rPr>
                <w:rFonts w:hint="default" w:ascii="宋体" w:hAnsi="宋体" w:eastAsia="宋体" w:cs="宋体"/>
                <w:color w:val="auto"/>
                <w:szCs w:val="21"/>
                <w:highlight w:val="none"/>
              </w:rPr>
            </w:pPr>
            <w:r>
              <w:rPr>
                <w:rFonts w:hint="default" w:ascii="宋体" w:hAnsi="宋体" w:eastAsia="宋体" w:cs="宋体"/>
                <w:color w:val="auto"/>
                <w:szCs w:val="21"/>
                <w:highlight w:val="none"/>
                <w:lang w:val="en-US" w:eastAsia="zh-CN"/>
              </w:rPr>
              <w:t>其他团队人员：</w:t>
            </w:r>
            <w:r>
              <w:rPr>
                <w:rFonts w:hint="default" w:ascii="宋体" w:hAnsi="宋体" w:eastAsia="宋体" w:cs="宋体"/>
                <w:color w:val="auto"/>
                <w:szCs w:val="21"/>
                <w:highlight w:val="none"/>
              </w:rPr>
              <w:t>至少</w:t>
            </w:r>
            <w:r>
              <w:rPr>
                <w:rFonts w:hint="default" w:ascii="宋体" w:hAnsi="宋体" w:eastAsia="宋体" w:cs="宋体"/>
                <w:color w:val="auto"/>
                <w:szCs w:val="21"/>
                <w:highlight w:val="none"/>
                <w:lang w:val="en-US" w:eastAsia="zh-CN"/>
              </w:rPr>
              <w:t>5</w:t>
            </w:r>
            <w:r>
              <w:rPr>
                <w:rFonts w:hint="default" w:ascii="宋体" w:hAnsi="宋体" w:eastAsia="宋体" w:cs="宋体"/>
                <w:color w:val="auto"/>
                <w:szCs w:val="21"/>
                <w:highlight w:val="none"/>
              </w:rPr>
              <w:t>名</w:t>
            </w:r>
            <w:r>
              <w:rPr>
                <w:rFonts w:hint="eastAsia" w:ascii="宋体" w:hAnsi="宋体" w:eastAsia="宋体" w:cs="宋体"/>
                <w:color w:val="auto"/>
                <w:szCs w:val="21"/>
                <w:highlight w:val="none"/>
                <w:lang w:val="en-US" w:eastAsia="zh-CN"/>
              </w:rPr>
              <w:t>3</w:t>
            </w:r>
            <w:r>
              <w:rPr>
                <w:rFonts w:hint="default" w:ascii="宋体" w:hAnsi="宋体" w:eastAsia="宋体" w:cs="宋体"/>
                <w:color w:val="auto"/>
                <w:szCs w:val="21"/>
                <w:highlight w:val="none"/>
                <w:lang w:val="en-US" w:eastAsia="zh-CN"/>
              </w:rPr>
              <w:t>年以上工作经验</w:t>
            </w:r>
            <w:r>
              <w:rPr>
                <w:rFonts w:hint="default" w:ascii="宋体" w:hAnsi="宋体" w:eastAsia="宋体" w:cs="宋体"/>
                <w:color w:val="auto"/>
                <w:szCs w:val="21"/>
                <w:highlight w:val="none"/>
              </w:rPr>
              <w:t>。</w:t>
            </w:r>
          </w:p>
          <w:p>
            <w:pPr>
              <w:widowControl/>
              <w:spacing w:after="0" w:line="360" w:lineRule="auto"/>
              <w:ind w:firstLine="0"/>
              <w:rPr>
                <w:rFonts w:hint="default" w:eastAsia="宋体"/>
                <w:color w:val="auto"/>
                <w:highlight w:val="none"/>
                <w:lang w:val="en-US" w:eastAsia="zh-CN"/>
              </w:rPr>
            </w:pPr>
            <w:r>
              <w:rPr>
                <w:rFonts w:hint="default" w:ascii="宋体" w:hAnsi="宋体" w:eastAsia="宋体" w:cs="宋体"/>
                <w:color w:val="auto"/>
                <w:szCs w:val="21"/>
                <w:highlight w:val="none"/>
                <w:lang w:val="en-US" w:eastAsia="zh-CN"/>
              </w:rPr>
              <w:t>备注：提供毕业证</w:t>
            </w:r>
            <w:r>
              <w:rPr>
                <w:rFonts w:hint="eastAsia" w:ascii="宋体" w:hAnsi="宋体" w:eastAsia="宋体" w:cs="宋体"/>
                <w:color w:val="auto"/>
                <w:szCs w:val="21"/>
                <w:highlight w:val="none"/>
                <w:lang w:val="en-US" w:eastAsia="zh-CN"/>
              </w:rPr>
              <w:t>复印件，工作经验以毕业证时间起计。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line="360" w:lineRule="auto"/>
              <w:ind w:left="-59" w:leftChars="-28" w:right="-59" w:rightChars="-28" w:firstLine="0"/>
              <w:jc w:val="center"/>
              <w:rPr>
                <w:rFonts w:hint="eastAsia"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cs="宋体"/>
                <w:color w:val="auto"/>
                <w:highlight w:val="none"/>
              </w:rPr>
            </w:pPr>
            <w:r>
              <w:rPr>
                <w:rFonts w:hint="eastAsia" w:ascii="宋体" w:hAnsi="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360" w:lineRule="auto"/>
              <w:ind w:left="-59" w:leftChars="-28" w:right="-44" w:rightChars="-21" w:firstLine="0"/>
              <w:jc w:val="center"/>
              <w:rPr>
                <w:rFonts w:hint="eastAsia" w:ascii="宋体" w:hAnsi="宋体" w:cs="宋体"/>
                <w:color w:val="auto"/>
                <w:highlight w:val="none"/>
              </w:rPr>
            </w:pPr>
            <w:r>
              <w:rPr>
                <w:rFonts w:hint="eastAsia" w:ascii="宋体" w:hAnsi="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6"/>
              <w:ind w:firstLine="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本次服务招标最高投</w:t>
            </w:r>
            <w:r>
              <w:rPr>
                <w:rFonts w:hint="eastAsia" w:ascii="宋体" w:hAnsi="宋体" w:eastAsia="宋体" w:cs="宋体"/>
                <w:color w:val="auto"/>
                <w:kern w:val="2"/>
                <w:sz w:val="21"/>
                <w:szCs w:val="21"/>
                <w:highlight w:val="none"/>
              </w:rPr>
              <w:t>标限价为</w:t>
            </w:r>
            <w:r>
              <w:rPr>
                <w:rFonts w:hint="eastAsia" w:ascii="宋体" w:hAnsi="宋体" w:eastAsia="宋体" w:cs="宋体"/>
                <w:color w:val="auto"/>
                <w:kern w:val="2"/>
                <w:sz w:val="21"/>
                <w:szCs w:val="21"/>
                <w:highlight w:val="none"/>
                <w:lang w:val="en-US" w:eastAsia="zh-CN"/>
              </w:rPr>
              <w:t>300000.00</w:t>
            </w:r>
            <w:r>
              <w:rPr>
                <w:rFonts w:hint="eastAsia" w:ascii="宋体" w:hAnsi="宋体" w:eastAsia="宋体" w:cs="宋体"/>
                <w:color w:val="auto"/>
                <w:kern w:val="2"/>
                <w:sz w:val="21"/>
                <w:szCs w:val="21"/>
                <w:highlight w:val="none"/>
              </w:rPr>
              <w:t>元</w:t>
            </w:r>
            <w:r>
              <w:rPr>
                <w:rFonts w:hint="eastAsia" w:ascii="宋体" w:hAnsi="宋体" w:eastAsia="宋体" w:cs="宋体"/>
                <w:color w:val="auto"/>
                <w:kern w:val="2"/>
                <w:sz w:val="21"/>
                <w:szCs w:val="21"/>
                <w:highlight w:val="none"/>
                <w:lang w:eastAsia="zh-CN"/>
              </w:rPr>
              <w:t>。</w:t>
            </w:r>
          </w:p>
          <w:p>
            <w:pPr>
              <w:pStyle w:val="6"/>
              <w:widowControl/>
              <w:spacing w:before="0" w:line="360" w:lineRule="auto"/>
              <w:ind w:right="0" w:rightChars="0" w:firstLine="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服务</w:t>
            </w:r>
            <w:r>
              <w:rPr>
                <w:rFonts w:hint="eastAsia" w:ascii="宋体" w:hAnsi="宋体" w:eastAsia="宋体" w:cs="宋体"/>
                <w:color w:val="auto"/>
                <w:kern w:val="2"/>
                <w:sz w:val="21"/>
                <w:szCs w:val="21"/>
                <w:highlight w:val="none"/>
              </w:rPr>
              <w:t>费包含完成该项目的成本、利润、税金、图纸资料文印费、</w:t>
            </w:r>
            <w:r>
              <w:rPr>
                <w:rFonts w:hint="eastAsia" w:ascii="宋体" w:hAnsi="宋体" w:eastAsia="宋体" w:cs="宋体"/>
                <w:color w:val="auto"/>
                <w:kern w:val="2"/>
                <w:sz w:val="21"/>
                <w:szCs w:val="21"/>
                <w:highlight w:val="none"/>
                <w:lang w:val="en-US" w:eastAsia="zh-CN"/>
              </w:rPr>
              <w:t>分包费</w:t>
            </w:r>
            <w:r>
              <w:rPr>
                <w:rFonts w:hint="eastAsia" w:ascii="宋体" w:hAnsi="宋体" w:eastAsia="宋体" w:cs="宋体"/>
                <w:color w:val="auto"/>
                <w:kern w:val="2"/>
                <w:sz w:val="21"/>
                <w:szCs w:val="21"/>
                <w:highlight w:val="none"/>
              </w:rPr>
              <w:t>、专家评审费等一切费用，投标人应考虑上述情况进行投标下浮率的报价。</w:t>
            </w:r>
            <w:r>
              <w:rPr>
                <w:rFonts w:hint="eastAsia" w:ascii="宋体" w:hAnsi="宋体" w:eastAsia="宋体" w:cs="宋体"/>
                <w:color w:val="auto"/>
                <w:kern w:val="2"/>
                <w:sz w:val="21"/>
                <w:szCs w:val="21"/>
                <w:highlight w:val="none"/>
                <w:lang w:val="en-US" w:eastAsia="zh-CN"/>
              </w:rPr>
              <w:t>投标报价超过最高投标限价的为废标。</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cs="宋体"/>
                <w:color w:val="auto"/>
                <w:highlight w:val="none"/>
              </w:rPr>
            </w:pPr>
            <w:r>
              <w:rPr>
                <w:rFonts w:hint="eastAsia" w:ascii="宋体" w:hAnsi="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beforeAutospacing="0" w:after="0" w:line="360" w:lineRule="auto"/>
              <w:ind w:firstLine="0"/>
              <w:rPr>
                <w:rFonts w:hint="eastAsia" w:ascii="宋体" w:hAnsi="宋体" w:cs="宋体"/>
                <w:color w:val="auto"/>
                <w:highlight w:val="none"/>
              </w:rPr>
            </w:pPr>
            <w:r>
              <w:rPr>
                <w:rFonts w:hint="eastAsia" w:ascii="宋体" w:hAnsi="宋体" w:eastAsia="宋体" w:cs="宋体"/>
                <w:color w:val="auto"/>
                <w:szCs w:val="21"/>
                <w:highlight w:val="none"/>
                <w:lang w:val="en-US" w:eastAsia="zh-CN"/>
              </w:rPr>
              <w:t>无</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360" w:lineRule="auto"/>
              <w:ind w:left="-46" w:leftChars="-22" w:right="-59" w:rightChars="-28"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cs="宋体"/>
                <w:color w:val="auto"/>
                <w:highlight w:val="none"/>
              </w:rPr>
            </w:pPr>
            <w:r>
              <w:rPr>
                <w:rFonts w:hint="eastAsia" w:ascii="宋体" w:hAnsi="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360" w:lineRule="auto"/>
              <w:ind w:left="-19" w:leftChars="-9" w:right="-17" w:rightChars="-8" w:firstLine="0"/>
              <w:jc w:val="center"/>
              <w:rPr>
                <w:rFonts w:hint="eastAsia" w:ascii="宋体" w:hAnsi="宋体" w:cs="宋体"/>
                <w:color w:val="auto"/>
                <w:highlight w:val="none"/>
              </w:rPr>
            </w:pPr>
            <w:r>
              <w:rPr>
                <w:rFonts w:hint="eastAsia" w:ascii="宋体" w:hAnsi="宋体" w:cs="宋体"/>
                <w:color w:val="auto"/>
                <w:highlight w:val="none"/>
              </w:rPr>
              <w:t>投标文件</w:t>
            </w:r>
          </w:p>
          <w:p>
            <w:pPr>
              <w:pStyle w:val="2"/>
              <w:widowControl/>
              <w:spacing w:before="100" w:beforeAutospacing="0" w:after="0" w:line="360" w:lineRule="auto"/>
              <w:ind w:left="-19" w:leftChars="-9" w:right="-17" w:rightChars="-8" w:firstLine="0"/>
              <w:jc w:val="center"/>
              <w:rPr>
                <w:rFonts w:hint="eastAsia" w:ascii="宋体" w:hAnsi="宋体" w:cs="宋体"/>
                <w:color w:val="auto"/>
                <w:highlight w:val="none"/>
              </w:rPr>
            </w:pPr>
            <w:r>
              <w:rPr>
                <w:rFonts w:hint="eastAsia" w:ascii="宋体" w:hAnsi="宋体" w:cs="宋体"/>
                <w:color w:val="auto"/>
                <w:highlight w:val="none"/>
              </w:rPr>
              <w:t>提交地点及</w:t>
            </w:r>
          </w:p>
          <w:p>
            <w:pPr>
              <w:pStyle w:val="2"/>
              <w:widowControl/>
              <w:spacing w:before="100" w:beforeAutospacing="0" w:after="0" w:line="360" w:lineRule="auto"/>
              <w:ind w:left="-19" w:leftChars="-9" w:right="-17" w:rightChars="-8" w:firstLine="0"/>
              <w:jc w:val="center"/>
              <w:rPr>
                <w:rFonts w:hint="eastAsia"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提交地点：广州市南沙区环市大道中富汇街3号楼7楼会议室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Cs w:val="21"/>
                <w:highlight w:val="none"/>
                <w:lang w:eastAsia="zh-CN"/>
              </w:rPr>
              <w:t>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分至</w:t>
            </w:r>
            <w:r>
              <w:rPr>
                <w:rFonts w:hint="eastAsia" w:ascii="宋体" w:hAnsi="宋体" w:eastAsia="宋体" w:cs="宋体"/>
                <w:color w:val="auto"/>
                <w:szCs w:val="21"/>
                <w:highlight w:val="none"/>
                <w:lang w:eastAsia="zh-CN"/>
              </w:rPr>
              <w:t>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rPr>
              <w:t>前</w:t>
            </w:r>
          </w:p>
          <w:p>
            <w:pPr>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年</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30分</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地点：广州市南沙区环市大道中富汇街3号楼7楼会议室</w:t>
            </w:r>
          </w:p>
          <w:p>
            <w:pPr>
              <w:spacing w:line="360" w:lineRule="auto"/>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widowControl/>
              <w:spacing w:after="0" w:line="360" w:lineRule="auto"/>
              <w:ind w:firstLine="0"/>
              <w:jc w:val="center"/>
              <w:rPr>
                <w:rFonts w:hint="eastAsia"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=（商务部分得分+技术部分得分）（满分100分）×权重70%+经济部分得分（满分100分）×权重30%</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“招标人”（即委托人）指广州南沙经济技术开发区港宏房地产开发有限公司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pStyle w:val="6"/>
        <w:ind w:firstLine="480" w:firstLineChars="200"/>
        <w:rPr>
          <w:rFonts w:eastAsia="宋体"/>
          <w:color w:val="auto"/>
          <w:highlight w:val="none"/>
        </w:rPr>
      </w:pPr>
      <w:r>
        <w:rPr>
          <w:rFonts w:ascii="宋体" w:hAnsi="宋体" w:eastAsia="宋体" w:cs="宋体"/>
          <w:color w:val="auto"/>
          <w:sz w:val="24"/>
          <w:highlight w:val="none"/>
        </w:rPr>
        <w:t xml:space="preserve">1.7 </w:t>
      </w:r>
      <w:r>
        <w:rPr>
          <w:rFonts w:hint="eastAsia" w:ascii="宋体" w:hAnsi="宋体" w:eastAsia="宋体" w:cs="宋体"/>
          <w:color w:val="auto"/>
          <w:sz w:val="24"/>
          <w:highlight w:val="none"/>
        </w:rPr>
        <w:t>“方案设计人”指</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 “投标文件”指投标人根据本招标文件向招标人提交的全部文件。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1.10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w:t>
      </w:r>
      <w:r>
        <w:rPr>
          <w:rFonts w:hint="eastAsia" w:ascii="宋体" w:hAnsi="宋体" w:eastAsia="宋体" w:cs="宋体"/>
          <w:color w:val="auto"/>
          <w:sz w:val="24"/>
          <w:highlight w:val="none"/>
          <w:lang w:val="en-US" w:eastAsia="zh-CN"/>
        </w:rPr>
        <w:t>地产代理单位</w:t>
      </w:r>
      <w:r>
        <w:rPr>
          <w:rFonts w:hint="eastAsia" w:ascii="宋体" w:hAnsi="宋体" w:eastAsia="宋体" w:cs="宋体"/>
          <w:color w:val="auto"/>
          <w:sz w:val="24"/>
          <w:highlight w:val="none"/>
        </w:rPr>
        <w:t>承担</w:t>
      </w:r>
      <w:r>
        <w:rPr>
          <w:rFonts w:hint="eastAsia" w:ascii="宋体" w:hAnsi="宋体" w:eastAsia="宋体" w:cs="宋体"/>
          <w:color w:val="auto"/>
          <w:sz w:val="24"/>
          <w:highlight w:val="none"/>
          <w:lang w:val="en-US" w:eastAsia="zh-CN"/>
        </w:rPr>
        <w:t>营销前期</w:t>
      </w:r>
      <w:r>
        <w:rPr>
          <w:rFonts w:hint="eastAsia" w:ascii="宋体" w:hAnsi="宋体" w:eastAsia="宋体" w:cs="宋体"/>
          <w:color w:val="auto"/>
          <w:sz w:val="24"/>
          <w:highlight w:val="none"/>
        </w:rPr>
        <w:t>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招标范围及服务期</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服务</w:t>
      </w:r>
      <w:r>
        <w:rPr>
          <w:rFonts w:hint="eastAsia" w:ascii="宋体" w:hAnsi="宋体" w:eastAsia="宋体" w:cs="宋体"/>
          <w:color w:val="auto"/>
          <w:sz w:val="24"/>
          <w:highlight w:val="none"/>
          <w:lang w:eastAsia="zh-CN"/>
        </w:rPr>
        <w:t>任务期限</w:t>
      </w:r>
      <w:r>
        <w:rPr>
          <w:rFonts w:hint="eastAsia" w:ascii="宋体" w:hAnsi="宋体" w:eastAsia="宋体" w:cs="宋体"/>
          <w:color w:val="auto"/>
          <w:sz w:val="24"/>
          <w:highlight w:val="none"/>
        </w:rPr>
        <w:t>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w:t>
      </w:r>
      <w:r>
        <w:rPr>
          <w:rFonts w:hint="eastAsia" w:ascii="宋体" w:hAnsi="宋体" w:eastAsia="宋体" w:cs="宋体"/>
          <w:color w:val="auto"/>
          <w:sz w:val="24"/>
          <w:highlight w:val="none"/>
          <w:lang w:eastAsia="zh-CN"/>
        </w:rPr>
        <w:t>证书</w:t>
      </w:r>
      <w:r>
        <w:rPr>
          <w:rFonts w:hint="eastAsia" w:ascii="宋体" w:hAnsi="宋体" w:eastAsia="宋体" w:cs="宋体"/>
          <w:color w:val="auto"/>
          <w:sz w:val="24"/>
          <w:highlight w:val="none"/>
        </w:rPr>
        <w:t>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11.9企业自201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年1月1日至今企业承担的</w:t>
      </w:r>
      <w:r>
        <w:rPr>
          <w:rFonts w:hint="eastAsia" w:ascii="宋体" w:hAnsi="宋体" w:eastAsia="宋体" w:cs="宋体"/>
          <w:color w:val="auto"/>
          <w:sz w:val="24"/>
          <w:highlight w:val="none"/>
          <w:lang w:val="en-US" w:eastAsia="zh-CN"/>
        </w:rPr>
        <w:t>商办</w:t>
      </w:r>
      <w:r>
        <w:rPr>
          <w:rFonts w:hint="eastAsia" w:ascii="宋体" w:hAnsi="宋体" w:eastAsia="宋体" w:cs="宋体"/>
          <w:color w:val="auto"/>
          <w:sz w:val="24"/>
          <w:highlight w:val="none"/>
        </w:rPr>
        <w:t>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11.11项目负责人</w:t>
      </w:r>
      <w:r>
        <w:rPr>
          <w:rFonts w:hint="eastAsia" w:ascii="宋体" w:hAnsi="宋体" w:eastAsia="宋体" w:cs="宋体"/>
          <w:color w:val="auto"/>
          <w:sz w:val="24"/>
          <w:highlight w:val="none"/>
          <w:lang w:eastAsia="zh-CN"/>
        </w:rPr>
        <w:t>简介</w:t>
      </w:r>
      <w:r>
        <w:rPr>
          <w:rFonts w:hint="eastAsia" w:ascii="宋体" w:hAnsi="宋体" w:eastAsia="宋体" w:cs="宋体"/>
          <w:color w:val="auto"/>
          <w:sz w:val="24"/>
          <w:highlight w:val="none"/>
        </w:rPr>
        <w:t>（按招标文件第2章格式填写）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11.12报价表</w:t>
      </w:r>
    </w:p>
    <w:p>
      <w:pPr>
        <w:pStyle w:val="9"/>
        <w:ind w:firstLine="480" w:firstLineChars="200"/>
        <w:rPr>
          <w:rFonts w:hAnsi="宋体" w:cs="宋体"/>
          <w:color w:val="auto"/>
          <w:sz w:val="24"/>
          <w:highlight w:val="none"/>
        </w:rPr>
      </w:pPr>
      <w:r>
        <w:rPr>
          <w:rFonts w:hAnsi="宋体" w:cs="宋体"/>
          <w:color w:val="auto"/>
          <w:sz w:val="24"/>
          <w:highlight w:val="none"/>
        </w:rPr>
        <w:t xml:space="preserve">11.13 </w:t>
      </w:r>
      <w:r>
        <w:rPr>
          <w:rFonts w:hint="eastAsia" w:hAnsi="宋体" w:cs="宋体"/>
          <w:color w:val="auto"/>
          <w:sz w:val="24"/>
          <w:highlight w:val="none"/>
          <w:lang w:eastAsia="zh-CN"/>
        </w:rPr>
        <w:t>技术标文件（独立成册）</w:t>
      </w:r>
    </w:p>
    <w:p>
      <w:pPr>
        <w:pStyle w:val="9"/>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投标文件电子版（刻录光盘或提供U盘）</w:t>
      </w:r>
    </w:p>
    <w:p>
      <w:pPr>
        <w:pStyle w:val="9"/>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 xml:space="preserve"> 投标人认为需要提交的其他资料</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13.3投标报价方式：投标单位自行报价（总投标价不得超过最高投标限价，否则按废标处理）。（小数点后保留二位小数，第三位小数四舍五入）</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无</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w:t>
      </w:r>
      <w:r>
        <w:rPr>
          <w:rFonts w:hint="eastAsia" w:ascii="宋体" w:hAnsi="宋体" w:eastAsia="宋体" w:cs="宋体"/>
          <w:color w:val="auto"/>
          <w:sz w:val="24"/>
          <w:highlight w:val="none"/>
          <w:lang w:eastAsia="zh-CN"/>
        </w:rPr>
        <w:t>、技术标</w:t>
      </w:r>
      <w:r>
        <w:rPr>
          <w:rFonts w:hint="eastAsia" w:ascii="宋体" w:hAnsi="宋体" w:eastAsia="宋体" w:cs="宋体"/>
          <w:color w:val="auto"/>
          <w:sz w:val="24"/>
          <w:highlight w:val="none"/>
        </w:rPr>
        <w:t>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w:t>
      </w:r>
      <w:r>
        <w:rPr>
          <w:rFonts w:hint="eastAsia" w:ascii="宋体" w:hAnsi="宋体" w:eastAsia="宋体" w:cs="宋体"/>
          <w:color w:val="auto"/>
          <w:sz w:val="24"/>
          <w:highlight w:val="none"/>
          <w:lang w:val="en-US" w:eastAsia="zh-CN"/>
        </w:rPr>
        <w:t>营销前期服务</w:t>
      </w:r>
      <w:r>
        <w:rPr>
          <w:rFonts w:hint="eastAsia" w:ascii="宋体" w:hAnsi="宋体" w:eastAsia="宋体" w:cs="宋体"/>
          <w:color w:val="auto"/>
          <w:sz w:val="24"/>
          <w:highlight w:val="none"/>
        </w:rPr>
        <w:t>合同将授予按本须知第27.3款所确定的中标人。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w:t>
      </w:r>
      <w:r>
        <w:rPr>
          <w:rFonts w:hint="eastAsia" w:ascii="宋体" w:hAnsi="宋体" w:eastAsia="宋体" w:cs="宋体"/>
          <w:color w:val="auto"/>
          <w:sz w:val="24"/>
          <w:highlight w:val="none"/>
          <w:lang w:val="en-US" w:eastAsia="zh-CN"/>
        </w:rPr>
        <w:t>15</w:t>
      </w:r>
      <w:r>
        <w:rPr>
          <w:rFonts w:hint="eastAsia" w:ascii="宋体" w:hAnsi="宋体" w:eastAsia="宋体" w:cs="宋体"/>
          <w:color w:val="auto"/>
          <w:sz w:val="24"/>
          <w:highlight w:val="none"/>
        </w:rPr>
        <w:t>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32.3中标人在投标过程使用的投标人名称、银行名称和账号至项目完成竣工结算不得变更，否则，招标人有权停止设计服务款项的拨付及至解除合同，由此造成的一切责任由中标人承担。</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4"/>
        <w:widowControl/>
        <w:spacing w:before="0" w:after="0" w:line="360" w:lineRule="auto"/>
        <w:jc w:val="center"/>
        <w:rPr>
          <w:rFonts w:ascii="黑体" w:hAnsi="宋体" w:cs="黑体"/>
          <w:b/>
          <w:color w:val="auto"/>
          <w:kern w:val="44"/>
          <w:sz w:val="44"/>
          <w:szCs w:val="44"/>
          <w:highlight w:val="none"/>
        </w:rPr>
      </w:pPr>
      <w:bookmarkStart w:id="3" w:name="_Toc374128473"/>
      <w:bookmarkEnd w:id="3"/>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4" w:name="_Toc32057"/>
      <w:r>
        <w:rPr>
          <w:rFonts w:hint="eastAsia" w:ascii="黑体" w:hAnsi="宋体" w:cs="黑体"/>
          <w:b/>
          <w:color w:val="auto"/>
          <w:kern w:val="44"/>
          <w:sz w:val="44"/>
          <w:szCs w:val="44"/>
          <w:highlight w:val="none"/>
        </w:rPr>
        <w:t>第2章  投标格式文件</w:t>
      </w:r>
      <w:bookmarkEnd w:id="4"/>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rPr>
        <w:t>广州南沙经济技术开发区港宏房地产开发有限公司：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lang w:eastAsia="zh-CN"/>
        </w:rPr>
        <w:t>海湾小区N地块项目（领航科技大楼）</w:t>
      </w:r>
      <w:r>
        <w:rPr>
          <w:rFonts w:hint="eastAsia" w:ascii="宋体" w:hAnsi="宋体" w:eastAsia="宋体" w:cs="Times New Roman"/>
          <w:color w:val="auto"/>
          <w:spacing w:val="20"/>
          <w:sz w:val="24"/>
          <w:highlight w:val="none"/>
          <w:lang w:val="en-US" w:eastAsia="zh-CN"/>
        </w:rPr>
        <w:t>营销前期服务</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1、我方经分析研究了贵方提供的招标文件中的项目介绍、投标人须知、合同条件以及本次招标答疑或澄清文件后，我公司愿意以投标报价表中承诺报价，完成贵方设计任务，并提供增值税专业发票税率为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%，并按合同条件的要求，承担并完成设计服务任务。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4、在正式签订设计服务合同之前，本投标书连同贵方的中标通知书应成为约束贵、我双方的合同文件。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rPr>
        <w:t>广州南沙经济技术开发区港宏房地产开发有限公司：</w:t>
      </w:r>
    </w:p>
    <w:p>
      <w:pPr>
        <w:snapToGrid w:val="0"/>
        <w:spacing w:line="480" w:lineRule="auto"/>
        <w:ind w:firstLine="0" w:firstLineChars="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hint="eastAsia"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240" w:lineRule="auto"/>
        <w:rPr>
          <w:rFonts w:hint="eastAsia"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br w:type="page"/>
      </w:r>
    </w:p>
    <w:p>
      <w:pPr>
        <w:pStyle w:val="21"/>
        <w:widowControl/>
        <w:spacing w:before="142"/>
        <w:jc w:val="both"/>
        <w:rPr>
          <w:rFonts w:ascii="宋体" w:hAnsi="宋体" w:eastAsia="宋体" w:cs="宋体"/>
          <w:color w:val="auto"/>
          <w:sz w:val="28"/>
          <w:szCs w:val="28"/>
          <w:highlight w:val="none"/>
        </w:rPr>
      </w:pPr>
      <w:bookmarkStart w:id="5" w:name="_Toc223342668"/>
      <w:bookmarkEnd w:id="5"/>
      <w:bookmarkStart w:id="6" w:name="_Toc216145749"/>
      <w:bookmarkEnd w:id="6"/>
      <w:r>
        <w:rPr>
          <w:rFonts w:hint="eastAsia" w:ascii="宋体" w:hAnsi="宋体" w:eastAsia="宋体" w:cs="黑体"/>
          <w:color w:val="auto"/>
          <w:sz w:val="28"/>
          <w:szCs w:val="28"/>
          <w:highlight w:val="none"/>
        </w:rPr>
        <w:t>格式三：</w:t>
      </w:r>
    </w:p>
    <w:p>
      <w:pPr>
        <w:pStyle w:val="23"/>
        <w:widowControl/>
        <w:ind w:firstLine="0" w:firstLineChars="0"/>
        <w:jc w:val="center"/>
        <w:outlineLvl w:val="2"/>
        <w:rPr>
          <w:color w:val="auto"/>
          <w:kern w:val="44"/>
          <w:highlight w:val="none"/>
        </w:rPr>
      </w:pPr>
      <w:bookmarkStart w:id="7" w:name="_Toc172416501"/>
      <w:bookmarkEnd w:id="7"/>
      <w:r>
        <w:rPr>
          <w:rFonts w:hint="eastAsia" w:ascii="宋体" w:hAnsi="宋体" w:cs="宋体"/>
          <w:b/>
          <w:color w:val="auto"/>
          <w:sz w:val="30"/>
          <w:szCs w:val="30"/>
          <w:highlight w:val="none"/>
        </w:rPr>
        <w:t>法定代表人证明书</w:t>
      </w:r>
    </w:p>
    <w:p>
      <w:pPr>
        <w:pStyle w:val="23"/>
        <w:widowControl/>
        <w:ind w:firstLine="496"/>
        <w:jc w:val="right"/>
        <w:rPr>
          <w:b/>
          <w:color w:val="auto"/>
          <w:highlight w:val="none"/>
        </w:rPr>
      </w:pPr>
      <w:r>
        <w:rPr>
          <w:color w:val="auto"/>
          <w:highlight w:val="none"/>
        </w:rPr>
        <w:t xml:space="preserve">                                      </w:t>
      </w:r>
    </w:p>
    <w:p>
      <w:pPr>
        <w:pStyle w:val="23"/>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3"/>
        <w:widowControl/>
        <w:ind w:firstLine="618"/>
        <w:rPr>
          <w:b/>
          <w:color w:val="auto"/>
          <w:sz w:val="30"/>
          <w:szCs w:val="30"/>
          <w:highlight w:val="none"/>
        </w:rPr>
      </w:pPr>
      <w:r>
        <w:rPr>
          <w:b/>
          <w:color w:val="auto"/>
          <w:sz w:val="30"/>
          <w:szCs w:val="30"/>
          <w:highlight w:val="none"/>
        </w:rPr>
        <w:t xml:space="preserve"> </w:t>
      </w:r>
    </w:p>
    <w:p>
      <w:pPr>
        <w:pStyle w:val="23"/>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3"/>
        <w:widowControl/>
        <w:ind w:firstLine="496"/>
        <w:jc w:val="right"/>
        <w:rPr>
          <w:color w:val="auto"/>
          <w:highlight w:val="none"/>
        </w:rPr>
      </w:pPr>
      <w:r>
        <w:rPr>
          <w:color w:val="auto"/>
          <w:highlight w:val="none"/>
        </w:rPr>
        <w:t xml:space="preserve">         </w:t>
      </w:r>
    </w:p>
    <w:p>
      <w:pPr>
        <w:pStyle w:val="23"/>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1"/>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8" w:name="_Toc216145759"/>
      <w:bookmarkEnd w:id="8"/>
      <w:bookmarkStart w:id="9"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1"/>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9"/>
      <w:r>
        <w:rPr>
          <w:rFonts w:hint="eastAsia" w:ascii="宋体" w:hAnsi="宋体" w:eastAsia="宋体" w:cs="宋体"/>
          <w:color w:val="auto"/>
          <w:sz w:val="28"/>
          <w:szCs w:val="28"/>
          <w:highlight w:val="none"/>
        </w:rPr>
        <w:t xml:space="preserve"> </w:t>
      </w:r>
    </w:p>
    <w:p>
      <w:pPr>
        <w:pStyle w:val="23"/>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Times New Roman"/>
          <w:color w:val="auto"/>
          <w:spacing w:val="20"/>
          <w:sz w:val="24"/>
          <w:highlight w:val="none"/>
          <w:u w:val="single"/>
        </w:rPr>
        <w:t>广州南沙经济技术开发区港宏房地产开发有限公司：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lang w:eastAsia="zh-CN"/>
        </w:rPr>
        <w:t>海湾小区N地块项目（领航科技大楼）</w:t>
      </w:r>
      <w:r>
        <w:rPr>
          <w:rFonts w:hint="eastAsia" w:ascii="宋体" w:hAnsi="宋体" w:eastAsia="宋体" w:cs="Times New Roman"/>
          <w:color w:val="auto"/>
          <w:spacing w:val="20"/>
          <w:sz w:val="24"/>
          <w:highlight w:val="none"/>
          <w:u w:val="single"/>
          <w:lang w:val="en-US" w:eastAsia="zh-CN"/>
        </w:rPr>
        <w:t>营销前期服务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hint="eastAsia" w:ascii="宋体" w:hAnsi="宋体" w:eastAsia="宋体" w:cs="宋体"/>
          <w:color w:val="auto"/>
          <w:kern w:val="2"/>
          <w:sz w:val="24"/>
          <w:szCs w:val="24"/>
          <w:highlight w:val="none"/>
          <w:shd w:val="clear" w:color="auto" w:fill="auto"/>
          <w:lang w:bidi="ar"/>
        </w:rPr>
      </w:pPr>
      <w:r>
        <w:rPr>
          <w:rFonts w:hint="eastAsia" w:ascii="宋体" w:hAnsi="宋体" w:eastAsia="宋体" w:cs="宋体"/>
          <w:color w:val="auto"/>
          <w:sz w:val="24"/>
          <w:highlight w:val="none"/>
        </w:rPr>
        <w:t>我方如果中标，承诺服务人员的配备不得低于招标人要求：</w:t>
      </w:r>
      <w:r>
        <w:rPr>
          <w:rFonts w:hint="eastAsia" w:ascii="宋体" w:hAnsi="宋体" w:eastAsia="宋体" w:cs="宋体"/>
          <w:color w:val="auto"/>
          <w:kern w:val="2"/>
          <w:sz w:val="24"/>
          <w:szCs w:val="24"/>
          <w:highlight w:val="none"/>
          <w:shd w:val="clear" w:color="auto" w:fill="auto"/>
          <w:lang w:bidi="ar"/>
        </w:rPr>
        <w:t>项目负责人：本科或以上学历、1</w:t>
      </w:r>
      <w:r>
        <w:rPr>
          <w:rFonts w:hint="eastAsia" w:ascii="宋体" w:hAnsi="宋体" w:eastAsia="宋体" w:cs="宋体"/>
          <w:color w:val="auto"/>
          <w:kern w:val="2"/>
          <w:sz w:val="24"/>
          <w:szCs w:val="24"/>
          <w:highlight w:val="none"/>
          <w:shd w:val="clear" w:color="auto" w:fill="auto"/>
          <w:lang w:val="en-US" w:eastAsia="zh-CN" w:bidi="ar"/>
        </w:rPr>
        <w:t>0</w:t>
      </w:r>
      <w:r>
        <w:rPr>
          <w:rFonts w:hint="eastAsia" w:ascii="宋体" w:hAnsi="宋体" w:eastAsia="宋体" w:cs="宋体"/>
          <w:color w:val="auto"/>
          <w:kern w:val="2"/>
          <w:sz w:val="24"/>
          <w:szCs w:val="24"/>
          <w:highlight w:val="none"/>
          <w:shd w:val="clear" w:color="auto" w:fill="auto"/>
          <w:lang w:bidi="ar"/>
        </w:rPr>
        <w:t>年以上工作经验；其他团队人员：至少5名</w:t>
      </w:r>
      <w:r>
        <w:rPr>
          <w:rFonts w:hint="eastAsia" w:ascii="宋体" w:hAnsi="宋体" w:eastAsia="宋体" w:cs="宋体"/>
          <w:color w:val="auto"/>
          <w:kern w:val="2"/>
          <w:sz w:val="24"/>
          <w:szCs w:val="24"/>
          <w:highlight w:val="none"/>
          <w:shd w:val="clear" w:color="auto" w:fill="auto"/>
          <w:lang w:val="en-US" w:eastAsia="zh-CN" w:bidi="ar"/>
        </w:rPr>
        <w:t>3</w:t>
      </w:r>
      <w:r>
        <w:rPr>
          <w:rFonts w:hint="eastAsia" w:ascii="宋体" w:hAnsi="宋体" w:eastAsia="宋体" w:cs="宋体"/>
          <w:color w:val="auto"/>
          <w:kern w:val="2"/>
          <w:sz w:val="24"/>
          <w:szCs w:val="24"/>
          <w:highlight w:val="none"/>
          <w:shd w:val="clear" w:color="auto" w:fill="auto"/>
          <w:lang w:bidi="ar"/>
        </w:rPr>
        <w:t>年以上工作经验。</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0" w:name="_Toc196036941"/>
      <w:bookmarkEnd w:id="10"/>
      <w:bookmarkStart w:id="11" w:name="_Toc459403394"/>
      <w:bookmarkEnd w:id="11"/>
      <w:bookmarkStart w:id="12" w:name="_Toc415833503"/>
      <w:bookmarkEnd w:id="12"/>
      <w:bookmarkStart w:id="13" w:name="_Toc415728297"/>
      <w:bookmarkEnd w:id="13"/>
      <w:bookmarkStart w:id="14" w:name="_Toc199647675"/>
      <w:bookmarkEnd w:id="14"/>
      <w:bookmarkStart w:id="15" w:name="_Toc196130110"/>
      <w:bookmarkEnd w:id="15"/>
      <w:bookmarkStart w:id="16" w:name="_Toc326909213"/>
      <w:bookmarkEnd w:id="16"/>
      <w:bookmarkStart w:id="17" w:name="_Toc196037097"/>
      <w:bookmarkEnd w:id="17"/>
      <w:bookmarkStart w:id="18" w:name="_Toc41822703"/>
      <w:bookmarkEnd w:id="18"/>
      <w:bookmarkStart w:id="19" w:name="_Toc196130013"/>
      <w:bookmarkEnd w:id="19"/>
      <w:bookmarkStart w:id="20" w:name="_Toc197235848"/>
      <w:bookmarkEnd w:id="20"/>
      <w:bookmarkStart w:id="21" w:name="_Toc462911098"/>
      <w:r>
        <w:rPr>
          <w:rFonts w:hint="eastAsia" w:ascii="宋体" w:hAnsi="宋体" w:eastAsia="宋体" w:cs="黑体"/>
          <w:b/>
          <w:color w:val="auto"/>
          <w:spacing w:val="4"/>
          <w:kern w:val="0"/>
          <w:sz w:val="28"/>
          <w:szCs w:val="28"/>
          <w:highlight w:val="none"/>
        </w:rPr>
        <w:t>格式五</w:t>
      </w:r>
      <w:bookmarkEnd w:id="21"/>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2" w:name="_Toc41822704"/>
      <w:bookmarkEnd w:id="22"/>
      <w:r>
        <w:rPr>
          <w:rFonts w:hint="eastAsia" w:ascii="仿宋" w:hAnsi="仿宋" w:eastAsia="仿宋" w:cs="仿宋"/>
          <w:b/>
          <w:bCs/>
          <w:color w:val="auto"/>
          <w:sz w:val="36"/>
          <w:szCs w:val="36"/>
          <w:highlight w:val="none"/>
        </w:rPr>
        <w:t>投标人综合概况</w:t>
      </w:r>
    </w:p>
    <w:tbl>
      <w:tblPr>
        <w:tblStyle w:val="15"/>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3" w:name="_Toc196037098"/>
      <w:bookmarkEnd w:id="23"/>
      <w:bookmarkStart w:id="24" w:name="_Toc197235849"/>
      <w:bookmarkEnd w:id="24"/>
      <w:bookmarkStart w:id="25" w:name="_Toc196130111"/>
      <w:bookmarkEnd w:id="25"/>
      <w:bookmarkStart w:id="26" w:name="_Toc415833504"/>
      <w:bookmarkEnd w:id="26"/>
      <w:bookmarkStart w:id="27" w:name="_Toc415728298"/>
      <w:bookmarkEnd w:id="27"/>
      <w:bookmarkStart w:id="28" w:name="_Toc196036942"/>
      <w:bookmarkEnd w:id="28"/>
      <w:bookmarkStart w:id="29" w:name="_Toc459403395"/>
      <w:bookmarkEnd w:id="29"/>
      <w:bookmarkStart w:id="30" w:name="_Toc326909214"/>
      <w:bookmarkEnd w:id="30"/>
      <w:bookmarkStart w:id="31" w:name="_Toc199647676"/>
      <w:bookmarkEnd w:id="31"/>
      <w:bookmarkStart w:id="32" w:name="_Toc196130014"/>
      <w:bookmarkEnd w:id="32"/>
      <w:bookmarkStart w:id="33" w:name="_Toc462911099"/>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outlineLvl w:val="9"/>
        <w:rPr>
          <w:rFonts w:hint="eastAsia" w:ascii="宋体" w:hAnsi="宋体" w:eastAsia="宋体" w:cs="黑体"/>
          <w:b/>
          <w:color w:val="auto"/>
          <w:spacing w:val="4"/>
          <w:kern w:val="0"/>
          <w:sz w:val="28"/>
          <w:szCs w:val="28"/>
          <w:highlight w:val="none"/>
        </w:rPr>
      </w:pPr>
      <w:r>
        <w:rPr>
          <w:rFonts w:hint="eastAsia" w:ascii="宋体" w:hAnsi="宋体" w:eastAsia="宋体" w:cs="黑体"/>
          <w:b/>
          <w:color w:val="auto"/>
          <w:spacing w:val="4"/>
          <w:kern w:val="0"/>
          <w:sz w:val="28"/>
          <w:szCs w:val="28"/>
          <w:highlight w:val="none"/>
        </w:rPr>
        <w:br w:type="page"/>
      </w:r>
    </w:p>
    <w:p>
      <w:pPr>
        <w:outlineLvl w:val="9"/>
        <w:rPr>
          <w:rFonts w:hint="eastAsia" w:ascii="宋体" w:hAnsi="宋体" w:eastAsia="宋体" w:cs="黑体"/>
          <w:b/>
          <w:color w:val="auto"/>
          <w:spacing w:val="4"/>
          <w:kern w:val="0"/>
          <w:sz w:val="28"/>
          <w:szCs w:val="28"/>
          <w:highlight w:val="none"/>
          <w:lang w:val="en-US" w:eastAsia="zh-CN"/>
        </w:rPr>
      </w:pPr>
      <w:r>
        <w:rPr>
          <w:rFonts w:hint="eastAsia" w:ascii="宋体" w:hAnsi="宋体" w:eastAsia="宋体" w:cs="黑体"/>
          <w:b/>
          <w:color w:val="auto"/>
          <w:spacing w:val="4"/>
          <w:kern w:val="0"/>
          <w:sz w:val="28"/>
          <w:szCs w:val="28"/>
          <w:highlight w:val="none"/>
          <w:lang w:val="en-US" w:eastAsia="zh-CN"/>
        </w:rPr>
        <w:t>格式六</w:t>
      </w:r>
    </w:p>
    <w:p>
      <w:pPr>
        <w:spacing w:before="0" w:beforeLines="-2147483648" w:line="240" w:lineRule="auto"/>
        <w:ind w:firstLine="480" w:firstLineChars="200"/>
        <w:jc w:val="left"/>
        <w:outlineLvl w:val="9"/>
        <w:rPr>
          <w:rFonts w:hint="eastAsia" w:ascii="仿宋" w:hAnsi="仿宋" w:eastAsia="仿宋" w:cs="仿宋"/>
          <w:color w:val="auto"/>
          <w:kern w:val="24"/>
          <w:sz w:val="24"/>
          <w:highlight w:val="none"/>
        </w:rPr>
      </w:pPr>
      <w:r>
        <w:rPr>
          <w:rFonts w:hint="eastAsia" w:ascii="仿宋" w:hAnsi="仿宋" w:eastAsia="仿宋" w:cs="仿宋"/>
          <w:color w:val="auto"/>
          <w:kern w:val="24"/>
          <w:sz w:val="24"/>
          <w:highlight w:val="none"/>
        </w:rPr>
        <w:t>20</w:t>
      </w:r>
      <w:r>
        <w:rPr>
          <w:rFonts w:hint="eastAsia" w:ascii="仿宋" w:hAnsi="仿宋" w:eastAsia="仿宋" w:cs="仿宋"/>
          <w:color w:val="auto"/>
          <w:kern w:val="24"/>
          <w:sz w:val="24"/>
          <w:highlight w:val="none"/>
          <w:lang w:val="en-US" w:eastAsia="zh-CN"/>
        </w:rPr>
        <w:t>21</w:t>
      </w:r>
      <w:r>
        <w:rPr>
          <w:rFonts w:hint="eastAsia" w:ascii="仿宋" w:hAnsi="仿宋" w:eastAsia="仿宋" w:cs="仿宋"/>
          <w:color w:val="auto"/>
          <w:kern w:val="24"/>
          <w:sz w:val="24"/>
          <w:highlight w:val="none"/>
        </w:rPr>
        <w:t>年1月1日至今市级及以上相关部门或行业内指标协会颁发奖项</w:t>
      </w:r>
    </w:p>
    <w:p>
      <w:pPr>
        <w:spacing w:before="0" w:beforeLines="-2147483648" w:line="240" w:lineRule="auto"/>
        <w:ind w:firstLine="723" w:firstLineChars="200"/>
        <w:jc w:val="center"/>
        <w:outlineLvl w:val="9"/>
        <w:rPr>
          <w:rFonts w:ascii="仿宋" w:hAnsi="仿宋" w:eastAsia="仿宋" w:cs="仿宋"/>
          <w:color w:val="auto"/>
          <w:kern w:val="24"/>
          <w:sz w:val="28"/>
          <w:szCs w:val="28"/>
          <w:highlight w:val="none"/>
        </w:rPr>
      </w:pPr>
      <w:r>
        <w:rPr>
          <w:rFonts w:hint="eastAsia" w:ascii="仿宋" w:hAnsi="仿宋" w:eastAsia="仿宋" w:cs="仿宋"/>
          <w:b/>
          <w:bCs/>
          <w:color w:val="auto"/>
          <w:kern w:val="24"/>
          <w:sz w:val="36"/>
          <w:szCs w:val="36"/>
          <w:highlight w:val="none"/>
          <w:lang w:val="en-US" w:eastAsia="zh-CN"/>
        </w:rPr>
        <w:t>奖项</w:t>
      </w:r>
      <w:r>
        <w:rPr>
          <w:rFonts w:hint="eastAsia" w:ascii="仿宋" w:hAnsi="仿宋" w:eastAsia="仿宋" w:cs="仿宋"/>
          <w:b/>
          <w:bCs/>
          <w:color w:val="auto"/>
          <w:kern w:val="24"/>
          <w:sz w:val="36"/>
          <w:szCs w:val="36"/>
          <w:highlight w:val="none"/>
        </w:rPr>
        <w:t>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458"/>
        <w:gridCol w:w="2269"/>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序号</w:t>
            </w:r>
          </w:p>
        </w:tc>
        <w:tc>
          <w:tcPr>
            <w:tcW w:w="2458" w:type="dxa"/>
            <w:noWrap w:val="0"/>
            <w:vAlign w:val="center"/>
          </w:tcPr>
          <w:p>
            <w:pPr>
              <w:pStyle w:val="8"/>
              <w:adjustRightInd w:val="0"/>
              <w:snapToGrid w:val="0"/>
              <w:spacing w:line="300" w:lineRule="auto"/>
              <w:ind w:firstLine="0" w:firstLineChars="0"/>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奖项名称</w:t>
            </w:r>
          </w:p>
        </w:tc>
        <w:tc>
          <w:tcPr>
            <w:tcW w:w="2269"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lang w:val="en-US" w:eastAsia="zh-CN"/>
              </w:rPr>
              <w:t>颁发机构</w:t>
            </w:r>
          </w:p>
        </w:tc>
        <w:tc>
          <w:tcPr>
            <w:tcW w:w="2243"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lang w:val="en-US" w:eastAsia="zh-CN"/>
              </w:rPr>
              <w:t>颁发时间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b/>
                <w:bCs/>
                <w:color w:val="auto"/>
                <w:sz w:val="21"/>
                <w:szCs w:val="21"/>
                <w:highlight w:val="none"/>
              </w:rPr>
            </w:pPr>
          </w:p>
        </w:tc>
        <w:tc>
          <w:tcPr>
            <w:tcW w:w="245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69"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43"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45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69" w:type="dxa"/>
            <w:noWrap w:val="0"/>
            <w:vAlign w:val="top"/>
          </w:tcPr>
          <w:p>
            <w:pPr>
              <w:pStyle w:val="14"/>
              <w:kinsoku w:val="0"/>
              <w:overflowPunct w:val="0"/>
              <w:jc w:val="both"/>
              <w:textAlignment w:val="baseline"/>
              <w:rPr>
                <w:rFonts w:ascii="Arial" w:hAnsi="Arial" w:cs="Arial"/>
                <w:color w:val="auto"/>
                <w:sz w:val="21"/>
                <w:szCs w:val="21"/>
                <w:highlight w:val="none"/>
              </w:rPr>
            </w:pPr>
          </w:p>
        </w:tc>
        <w:tc>
          <w:tcPr>
            <w:tcW w:w="2243"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45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69"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43"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45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69"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43"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45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69"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43"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45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69"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43"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45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69"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43"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45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69"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43"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458" w:type="dxa"/>
            <w:noWrap w:val="0"/>
            <w:vAlign w:val="top"/>
          </w:tcPr>
          <w:p>
            <w:pPr>
              <w:pStyle w:val="14"/>
              <w:rPr>
                <w:rFonts w:ascii="Arial" w:hAnsi="Arial" w:cs="Arial"/>
                <w:color w:val="auto"/>
                <w:sz w:val="21"/>
                <w:szCs w:val="21"/>
                <w:highlight w:val="none"/>
              </w:rPr>
            </w:pPr>
          </w:p>
        </w:tc>
        <w:tc>
          <w:tcPr>
            <w:tcW w:w="2269" w:type="dxa"/>
            <w:noWrap w:val="0"/>
            <w:vAlign w:val="top"/>
          </w:tcPr>
          <w:p>
            <w:pPr>
              <w:pStyle w:val="14"/>
              <w:rPr>
                <w:rFonts w:ascii="Arial" w:hAnsi="Arial" w:cs="Arial"/>
                <w:color w:val="auto"/>
                <w:sz w:val="21"/>
                <w:szCs w:val="21"/>
                <w:highlight w:val="none"/>
              </w:rPr>
            </w:pPr>
          </w:p>
        </w:tc>
        <w:tc>
          <w:tcPr>
            <w:tcW w:w="2243"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888"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45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2269" w:type="dxa"/>
            <w:noWrap w:val="0"/>
            <w:vAlign w:val="top"/>
          </w:tcPr>
          <w:p>
            <w:pPr>
              <w:pStyle w:val="14"/>
              <w:kinsoku w:val="0"/>
              <w:overflowPunct w:val="0"/>
              <w:jc w:val="both"/>
              <w:textAlignment w:val="baseline"/>
              <w:rPr>
                <w:rFonts w:ascii="Arial" w:hAnsi="Arial" w:cs="Arial"/>
                <w:color w:val="auto"/>
                <w:sz w:val="21"/>
                <w:szCs w:val="21"/>
                <w:highlight w:val="none"/>
              </w:rPr>
            </w:pPr>
          </w:p>
        </w:tc>
        <w:tc>
          <w:tcPr>
            <w:tcW w:w="2243"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bl>
    <w:p>
      <w:pPr>
        <w:spacing w:line="360" w:lineRule="auto"/>
        <w:ind w:firstLine="359" w:firstLineChars="171"/>
        <w:jc w:val="left"/>
        <w:rPr>
          <w:rFonts w:ascii="仿宋" w:hAnsi="仿宋" w:eastAsia="仿宋" w:cs="仿宋"/>
          <w:color w:val="auto"/>
          <w:highlight w:val="none"/>
        </w:rPr>
      </w:pPr>
      <w:r>
        <w:rPr>
          <w:rFonts w:hint="eastAsia" w:ascii="仿宋" w:hAnsi="仿宋" w:eastAsia="仿宋" w:cs="仿宋"/>
          <w:color w:val="auto"/>
          <w:szCs w:val="21"/>
          <w:highlight w:val="none"/>
        </w:rPr>
        <w:t>注：投标人提供的市级及以上相关部门或行业内指标协会颁发奖项证明资料附于该表后面。</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outlineLvl w:val="9"/>
        <w:rPr>
          <w:rFonts w:hint="eastAsia" w:ascii="宋体" w:hAnsi="宋体" w:eastAsia="宋体" w:cs="黑体"/>
          <w:b/>
          <w:color w:val="auto"/>
          <w:spacing w:val="4"/>
          <w:kern w:val="0"/>
          <w:sz w:val="28"/>
          <w:szCs w:val="28"/>
          <w:highlight w:val="none"/>
        </w:rPr>
      </w:pPr>
    </w:p>
    <w:p>
      <w:pPr>
        <w:outlineLvl w:val="9"/>
        <w:rPr>
          <w:rFonts w:hint="eastAsia" w:ascii="宋体" w:hAnsi="宋体" w:eastAsia="宋体" w:cs="黑体"/>
          <w:b/>
          <w:color w:val="auto"/>
          <w:spacing w:val="4"/>
          <w:kern w:val="0"/>
          <w:sz w:val="28"/>
          <w:szCs w:val="28"/>
          <w:highlight w:val="none"/>
        </w:rPr>
      </w:pPr>
    </w:p>
    <w:p>
      <w:pPr>
        <w:outlineLvl w:val="9"/>
        <w:rPr>
          <w:rFonts w:hint="eastAsia" w:ascii="宋体" w:hAnsi="宋体" w:eastAsia="宋体" w:cs="黑体"/>
          <w:b/>
          <w:color w:val="auto"/>
          <w:spacing w:val="4"/>
          <w:kern w:val="0"/>
          <w:sz w:val="28"/>
          <w:szCs w:val="28"/>
          <w:highlight w:val="none"/>
        </w:rPr>
      </w:pPr>
    </w:p>
    <w:p>
      <w:pPr>
        <w:outlineLvl w:val="9"/>
        <w:rPr>
          <w:rFonts w:hint="eastAsia" w:ascii="宋体" w:hAnsi="宋体" w:eastAsia="宋体" w:cs="黑体"/>
          <w:b/>
          <w:color w:val="auto"/>
          <w:spacing w:val="4"/>
          <w:kern w:val="0"/>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bookmarkEnd w:id="33"/>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w:t>
      </w:r>
      <w:r>
        <w:rPr>
          <w:rFonts w:hint="eastAsia" w:ascii="仿宋" w:hAnsi="仿宋" w:eastAsia="仿宋" w:cs="仿宋"/>
          <w:color w:val="auto"/>
          <w:kern w:val="24"/>
          <w:sz w:val="24"/>
          <w:highlight w:val="none"/>
          <w:lang w:val="en-US" w:eastAsia="zh-CN"/>
        </w:rPr>
        <w:t>21</w:t>
      </w:r>
      <w:r>
        <w:rPr>
          <w:rFonts w:hint="eastAsia" w:ascii="仿宋" w:hAnsi="仿宋" w:eastAsia="仿宋" w:cs="仿宋"/>
          <w:color w:val="auto"/>
          <w:kern w:val="24"/>
          <w:sz w:val="24"/>
          <w:highlight w:val="none"/>
        </w:rPr>
        <w:t>年1月1日至今企业承担的</w:t>
      </w:r>
      <w:r>
        <w:rPr>
          <w:rFonts w:hint="eastAsia" w:ascii="仿宋" w:hAnsi="仿宋" w:eastAsia="仿宋" w:cs="仿宋"/>
          <w:color w:val="auto"/>
          <w:kern w:val="24"/>
          <w:sz w:val="24"/>
          <w:highlight w:val="none"/>
          <w:lang w:val="en-US" w:eastAsia="zh-CN"/>
        </w:rPr>
        <w:t>商办</w:t>
      </w:r>
      <w:r>
        <w:rPr>
          <w:rFonts w:hint="eastAsia" w:ascii="仿宋" w:hAnsi="仿宋" w:eastAsia="仿宋" w:cs="仿宋"/>
          <w:color w:val="auto"/>
          <w:kern w:val="24"/>
          <w:sz w:val="24"/>
          <w:highlight w:val="none"/>
        </w:rPr>
        <w:t>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4" w:name="_Toc41822705"/>
      <w:bookmarkEnd w:id="34"/>
      <w:bookmarkStart w:id="35" w:name="_Toc196130015"/>
      <w:bookmarkEnd w:id="35"/>
      <w:bookmarkStart w:id="36" w:name="_Toc196037099"/>
      <w:bookmarkEnd w:id="36"/>
      <w:bookmarkStart w:id="37" w:name="_Toc196036943"/>
      <w:bookmarkEnd w:id="37"/>
      <w:bookmarkStart w:id="38" w:name="_Toc199647677"/>
      <w:bookmarkEnd w:id="38"/>
      <w:bookmarkStart w:id="39" w:name="_Toc197235850"/>
      <w:bookmarkEnd w:id="39"/>
      <w:bookmarkStart w:id="40" w:name="_Toc196130112"/>
      <w:bookmarkEnd w:id="40"/>
      <w:bookmarkStart w:id="41" w:name="_Toc326909215"/>
      <w:r>
        <w:rPr>
          <w:rFonts w:hint="eastAsia" w:ascii="仿宋" w:hAnsi="仿宋" w:eastAsia="仿宋" w:cs="仿宋"/>
          <w:b/>
          <w:bCs/>
          <w:color w:val="auto"/>
          <w:kern w:val="24"/>
          <w:sz w:val="36"/>
          <w:szCs w:val="36"/>
          <w:highlight w:val="none"/>
        </w:rPr>
        <w:t>业绩一览表</w:t>
      </w:r>
      <w:bookmarkEnd w:id="41"/>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9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002"/>
        <w:gridCol w:w="1848"/>
        <w:gridCol w:w="1827"/>
        <w:gridCol w:w="1365"/>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序号</w:t>
            </w:r>
          </w:p>
        </w:tc>
        <w:tc>
          <w:tcPr>
            <w:tcW w:w="2002"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项目名称</w:t>
            </w:r>
          </w:p>
        </w:tc>
        <w:tc>
          <w:tcPr>
            <w:tcW w:w="1848"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项目介绍</w:t>
            </w:r>
          </w:p>
        </w:tc>
        <w:tc>
          <w:tcPr>
            <w:tcW w:w="1827"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合同签订时间</w:t>
            </w:r>
          </w:p>
        </w:tc>
        <w:tc>
          <w:tcPr>
            <w:tcW w:w="1365" w:type="dxa"/>
            <w:noWrap w:val="0"/>
            <w:vAlign w:val="center"/>
          </w:tcPr>
          <w:p>
            <w:pPr>
              <w:pStyle w:val="8"/>
              <w:adjustRightInd w:val="0"/>
              <w:snapToGrid w:val="0"/>
              <w:spacing w:line="300" w:lineRule="auto"/>
              <w:ind w:firstLine="0" w:firstLineChars="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委托单位</w:t>
            </w:r>
          </w:p>
        </w:tc>
        <w:tc>
          <w:tcPr>
            <w:tcW w:w="1685" w:type="dxa"/>
            <w:noWrap w:val="0"/>
            <w:vAlign w:val="center"/>
          </w:tcPr>
          <w:p>
            <w:pPr>
              <w:pStyle w:val="8"/>
              <w:adjustRightInd w:val="0"/>
              <w:snapToGrid w:val="0"/>
              <w:spacing w:line="300" w:lineRule="auto"/>
              <w:ind w:firstLine="0" w:firstLineChars="0"/>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color w:val="auto"/>
                <w:szCs w:val="24"/>
                <w:highlight w:val="none"/>
                <w:lang w:val="en-US" w:eastAsia="zh-CN"/>
              </w:rPr>
              <w:t>项目建设面积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b/>
                <w:bCs/>
                <w:color w:val="auto"/>
                <w:sz w:val="21"/>
                <w:szCs w:val="21"/>
                <w:highlight w:val="none"/>
              </w:rPr>
            </w:pPr>
          </w:p>
        </w:tc>
        <w:tc>
          <w:tcPr>
            <w:tcW w:w="2002"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4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27"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365" w:type="dxa"/>
            <w:noWrap w:val="0"/>
            <w:vAlign w:val="center"/>
          </w:tcPr>
          <w:p>
            <w:pPr>
              <w:pStyle w:val="8"/>
              <w:adjustRightInd w:val="0"/>
              <w:snapToGrid w:val="0"/>
              <w:spacing w:line="300" w:lineRule="auto"/>
              <w:ind w:firstLine="0" w:firstLineChars="0"/>
              <w:jc w:val="center"/>
              <w:rPr>
                <w:rFonts w:hint="eastAsia" w:hAnsi="宋体"/>
                <w:b/>
                <w:bCs/>
                <w:color w:val="auto"/>
                <w:sz w:val="21"/>
                <w:szCs w:val="21"/>
                <w:highlight w:val="none"/>
              </w:rPr>
            </w:pPr>
          </w:p>
        </w:tc>
        <w:tc>
          <w:tcPr>
            <w:tcW w:w="1685" w:type="dxa"/>
            <w:noWrap w:val="0"/>
            <w:vAlign w:val="center"/>
          </w:tcPr>
          <w:p>
            <w:pPr>
              <w:pStyle w:val="8"/>
              <w:adjustRightInd w:val="0"/>
              <w:snapToGrid w:val="0"/>
              <w:spacing w:line="300" w:lineRule="auto"/>
              <w:ind w:firstLine="0" w:firstLineChars="0"/>
              <w:jc w:val="center"/>
              <w:rPr>
                <w:rFonts w:hint="eastAsia" w:hAnsi="宋体"/>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002"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48" w:type="dxa"/>
            <w:noWrap w:val="0"/>
            <w:vAlign w:val="top"/>
          </w:tcPr>
          <w:p>
            <w:pPr>
              <w:pStyle w:val="14"/>
              <w:kinsoku w:val="0"/>
              <w:overflowPunct w:val="0"/>
              <w:jc w:val="both"/>
              <w:textAlignment w:val="baseline"/>
              <w:rPr>
                <w:rFonts w:ascii="Arial" w:hAnsi="Arial" w:cs="Arial"/>
                <w:color w:val="auto"/>
                <w:sz w:val="21"/>
                <w:szCs w:val="21"/>
                <w:highlight w:val="none"/>
              </w:rPr>
            </w:pPr>
          </w:p>
        </w:tc>
        <w:tc>
          <w:tcPr>
            <w:tcW w:w="1827"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36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68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002"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4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27"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36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68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002"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4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27"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36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68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002"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4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27"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36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68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002"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4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27"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36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68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002"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4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27"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36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68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002"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48"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27"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36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68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002" w:type="dxa"/>
            <w:noWrap w:val="0"/>
            <w:vAlign w:val="top"/>
          </w:tcPr>
          <w:p>
            <w:pPr>
              <w:pStyle w:val="14"/>
              <w:rPr>
                <w:rFonts w:ascii="Arial" w:hAnsi="Arial" w:cs="Arial"/>
                <w:color w:val="auto"/>
                <w:sz w:val="21"/>
                <w:szCs w:val="21"/>
                <w:highlight w:val="none"/>
              </w:rPr>
            </w:pPr>
          </w:p>
        </w:tc>
        <w:tc>
          <w:tcPr>
            <w:tcW w:w="1848" w:type="dxa"/>
            <w:noWrap w:val="0"/>
            <w:vAlign w:val="top"/>
          </w:tcPr>
          <w:p>
            <w:pPr>
              <w:pStyle w:val="14"/>
              <w:rPr>
                <w:rFonts w:ascii="Arial" w:hAnsi="Arial" w:cs="Arial"/>
                <w:color w:val="auto"/>
                <w:sz w:val="21"/>
                <w:szCs w:val="21"/>
                <w:highlight w:val="none"/>
              </w:rPr>
            </w:pPr>
          </w:p>
        </w:tc>
        <w:tc>
          <w:tcPr>
            <w:tcW w:w="1827"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36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68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4"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2002" w:type="dxa"/>
            <w:noWrap w:val="0"/>
            <w:vAlign w:val="top"/>
          </w:tcPr>
          <w:p>
            <w:pPr>
              <w:pStyle w:val="14"/>
              <w:kinsoku w:val="0"/>
              <w:overflowPunct w:val="0"/>
              <w:spacing w:line="216" w:lineRule="auto"/>
              <w:jc w:val="both"/>
              <w:textAlignment w:val="baseline"/>
              <w:rPr>
                <w:rFonts w:ascii="Arial" w:hAnsi="Arial" w:cs="Arial"/>
                <w:color w:val="auto"/>
                <w:sz w:val="21"/>
                <w:szCs w:val="21"/>
                <w:highlight w:val="none"/>
              </w:rPr>
            </w:pPr>
          </w:p>
        </w:tc>
        <w:tc>
          <w:tcPr>
            <w:tcW w:w="1848" w:type="dxa"/>
            <w:noWrap w:val="0"/>
            <w:vAlign w:val="top"/>
          </w:tcPr>
          <w:p>
            <w:pPr>
              <w:pStyle w:val="14"/>
              <w:kinsoku w:val="0"/>
              <w:overflowPunct w:val="0"/>
              <w:jc w:val="both"/>
              <w:textAlignment w:val="baseline"/>
              <w:rPr>
                <w:rFonts w:ascii="Arial" w:hAnsi="Arial" w:cs="Arial"/>
                <w:color w:val="auto"/>
                <w:sz w:val="21"/>
                <w:szCs w:val="21"/>
                <w:highlight w:val="none"/>
              </w:rPr>
            </w:pPr>
          </w:p>
        </w:tc>
        <w:tc>
          <w:tcPr>
            <w:tcW w:w="1827"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36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c>
          <w:tcPr>
            <w:tcW w:w="1685" w:type="dxa"/>
            <w:noWrap w:val="0"/>
            <w:vAlign w:val="center"/>
          </w:tcPr>
          <w:p>
            <w:pPr>
              <w:pStyle w:val="8"/>
              <w:adjustRightInd w:val="0"/>
              <w:snapToGrid w:val="0"/>
              <w:spacing w:line="300" w:lineRule="auto"/>
              <w:ind w:firstLine="0" w:firstLineChars="0"/>
              <w:jc w:val="center"/>
              <w:rPr>
                <w:rFonts w:hint="eastAsia" w:hAnsi="宋体"/>
                <w:color w:val="auto"/>
                <w:sz w:val="21"/>
                <w:szCs w:val="21"/>
                <w:highlight w:val="none"/>
              </w:rPr>
            </w:pPr>
          </w:p>
        </w:tc>
      </w:tr>
    </w:tbl>
    <w:p>
      <w:pPr>
        <w:spacing w:line="360" w:lineRule="auto"/>
        <w:ind w:firstLine="359" w:firstLineChars="171"/>
        <w:jc w:val="left"/>
        <w:rPr>
          <w:rFonts w:ascii="仿宋" w:hAnsi="仿宋" w:eastAsia="仿宋" w:cs="仿宋"/>
          <w:color w:val="auto"/>
          <w:highlight w:val="none"/>
        </w:rPr>
      </w:pPr>
      <w:r>
        <w:rPr>
          <w:rFonts w:hint="eastAsia" w:ascii="仿宋" w:hAnsi="仿宋" w:eastAsia="仿宋" w:cs="仿宋"/>
          <w:color w:val="auto"/>
          <w:szCs w:val="21"/>
          <w:highlight w:val="none"/>
        </w:rPr>
        <w:t>注：1、投标人提供的</w:t>
      </w:r>
      <w:r>
        <w:rPr>
          <w:rFonts w:hint="eastAsia" w:ascii="仿宋" w:hAnsi="仿宋" w:eastAsia="仿宋" w:cs="仿宋"/>
          <w:color w:val="auto"/>
          <w:szCs w:val="21"/>
          <w:highlight w:val="none"/>
          <w:lang w:val="en-US" w:eastAsia="zh-CN"/>
        </w:rPr>
        <w:t>商办</w:t>
      </w:r>
      <w:r>
        <w:rPr>
          <w:rFonts w:hint="eastAsia" w:ascii="仿宋" w:hAnsi="仿宋" w:eastAsia="仿宋" w:cs="仿宋"/>
          <w:color w:val="auto"/>
          <w:szCs w:val="21"/>
          <w:highlight w:val="none"/>
        </w:rPr>
        <w:t>项目</w:t>
      </w:r>
      <w:r>
        <w:rPr>
          <w:rFonts w:hint="eastAsia" w:ascii="仿宋" w:hAnsi="仿宋" w:eastAsia="仿宋" w:cs="仿宋"/>
          <w:color w:val="auto"/>
          <w:szCs w:val="21"/>
          <w:highlight w:val="none"/>
          <w:lang w:val="en-US" w:eastAsia="zh-CN"/>
        </w:rPr>
        <w:t>且建筑面积1.6万㎡（含1.6万㎡）以上</w:t>
      </w:r>
      <w:r>
        <w:rPr>
          <w:rFonts w:hint="eastAsia" w:ascii="仿宋" w:hAnsi="仿宋" w:eastAsia="仿宋" w:cs="仿宋"/>
          <w:color w:val="auto"/>
          <w:szCs w:val="21"/>
          <w:highlight w:val="none"/>
        </w:rPr>
        <w:t>业绩证明资料附于该表后面。业绩证明资料须提供：（1）合同；相关证明资料必须能反映出评标所需指标，否则相应子项不予计分；时间以合同文件签订时间为准。</w:t>
      </w:r>
    </w:p>
    <w:p>
      <w:pPr>
        <w:spacing w:line="360" w:lineRule="auto"/>
        <w:ind w:firstLine="779" w:firstLineChars="371"/>
        <w:jc w:val="left"/>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927" w:type="dxa"/>
        <w:jc w:val="center"/>
        <w:tblLayout w:type="fixed"/>
        <w:tblCellMar>
          <w:top w:w="0" w:type="dxa"/>
          <w:left w:w="108" w:type="dxa"/>
          <w:bottom w:w="0" w:type="dxa"/>
          <w:right w:w="108" w:type="dxa"/>
        </w:tblCellMar>
      </w:tblPr>
      <w:tblGrid>
        <w:gridCol w:w="710"/>
        <w:gridCol w:w="907"/>
        <w:gridCol w:w="907"/>
        <w:gridCol w:w="979"/>
        <w:gridCol w:w="1158"/>
        <w:gridCol w:w="1341"/>
        <w:gridCol w:w="1440"/>
        <w:gridCol w:w="1485"/>
      </w:tblGrid>
      <w:tr>
        <w:tblPrEx>
          <w:tblCellMar>
            <w:top w:w="0" w:type="dxa"/>
            <w:left w:w="108" w:type="dxa"/>
            <w:bottom w:w="0" w:type="dxa"/>
            <w:right w:w="108" w:type="dxa"/>
          </w:tblCellMar>
        </w:tblPrEx>
        <w:trPr>
          <w:trHeight w:val="2066"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Cs w:val="21"/>
                <w:highlight w:val="none"/>
              </w:rPr>
              <w:t>拟承担工作</w:t>
            </w: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79"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158" w:type="dxa"/>
            <w:tcBorders>
              <w:top w:val="single" w:color="000000" w:sz="6" w:space="0"/>
              <w:left w:val="nil"/>
              <w:bottom w:val="single" w:color="000000" w:sz="6"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341"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40"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85" w:type="dxa"/>
            <w:tcBorders>
              <w:top w:val="single" w:color="000000" w:sz="6" w:space="0"/>
              <w:left w:val="nil"/>
              <w:bottom w:val="single" w:color="000000" w:sz="6"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19" w:hRule="atLeast"/>
          <w:jc w:val="center"/>
        </w:trPr>
        <w:tc>
          <w:tcPr>
            <w:tcW w:w="710" w:type="dxa"/>
            <w:tcBorders>
              <w:top w:val="single" w:color="000000" w:sz="6" w:space="0"/>
              <w:left w:val="single" w:color="000000" w:sz="6" w:space="0"/>
              <w:bottom w:val="single" w:color="auto" w:sz="4"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auto" w:sz="4"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07" w:type="dxa"/>
            <w:tcBorders>
              <w:top w:val="single" w:color="000000" w:sz="6" w:space="0"/>
              <w:left w:val="nil"/>
              <w:bottom w:val="single" w:color="auto" w:sz="4"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979" w:type="dxa"/>
            <w:tcBorders>
              <w:top w:val="single" w:color="000000" w:sz="6" w:space="0"/>
              <w:left w:val="nil"/>
              <w:bottom w:val="single" w:color="auto" w:sz="4"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158" w:type="dxa"/>
            <w:tcBorders>
              <w:top w:val="single" w:color="000000" w:sz="6" w:space="0"/>
              <w:left w:val="nil"/>
              <w:bottom w:val="single" w:color="auto" w:sz="4" w:space="0"/>
              <w:right w:val="single" w:color="000000" w:sz="6" w:space="0"/>
            </w:tcBorders>
            <w:noWrap w:val="0"/>
            <w:vAlign w:val="center"/>
          </w:tcPr>
          <w:p>
            <w:pPr>
              <w:snapToGrid w:val="0"/>
              <w:spacing w:line="360" w:lineRule="auto"/>
              <w:jc w:val="center"/>
              <w:rPr>
                <w:rFonts w:ascii="仿宋" w:hAnsi="仿宋" w:eastAsia="仿宋" w:cs="仿宋"/>
                <w:color w:val="auto"/>
                <w:sz w:val="24"/>
                <w:highlight w:val="none"/>
              </w:rPr>
            </w:pPr>
          </w:p>
        </w:tc>
        <w:tc>
          <w:tcPr>
            <w:tcW w:w="1341" w:type="dxa"/>
            <w:tcBorders>
              <w:top w:val="single" w:color="000000" w:sz="6" w:space="0"/>
              <w:left w:val="nil"/>
              <w:bottom w:val="single" w:color="auto" w:sz="4"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40" w:type="dxa"/>
            <w:tcBorders>
              <w:top w:val="single" w:color="000000" w:sz="6" w:space="0"/>
              <w:left w:val="nil"/>
              <w:bottom w:val="single" w:color="auto" w:sz="4"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c>
          <w:tcPr>
            <w:tcW w:w="1485" w:type="dxa"/>
            <w:tcBorders>
              <w:top w:val="single" w:color="000000" w:sz="6" w:space="0"/>
              <w:left w:val="nil"/>
              <w:bottom w:val="single" w:color="auto" w:sz="4" w:space="0"/>
              <w:right w:val="single" w:color="000000" w:sz="6" w:space="0"/>
            </w:tcBorders>
            <w:noWrap w:val="0"/>
            <w:vAlign w:val="center"/>
          </w:tcPr>
          <w:p>
            <w:pPr>
              <w:snapToGrid w:val="0"/>
              <w:spacing w:line="360" w:lineRule="auto"/>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注：1、“拟承担工作”栏，应注明项目负责人及其他人在此项目承担的工作职责，后附个人简介、参与项目经验</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spacing w:line="360" w:lineRule="auto"/>
        <w:jc w:val="center"/>
        <w:outlineLvl w:val="2"/>
        <w:rPr>
          <w:rFonts w:hint="eastAsia" w:ascii="仿宋" w:hAnsi="仿宋" w:eastAsia="仿宋" w:cs="宋体"/>
          <w:b/>
          <w:color w:val="auto"/>
          <w:sz w:val="36"/>
          <w:szCs w:val="36"/>
          <w:highlight w:val="none"/>
          <w:lang w:eastAsia="zh-CN"/>
        </w:rPr>
      </w:pPr>
      <w:r>
        <w:rPr>
          <w:rFonts w:hint="eastAsia" w:ascii="仿宋" w:hAnsi="仿宋" w:eastAsia="仿宋" w:cs="宋体"/>
          <w:b/>
          <w:color w:val="auto"/>
          <w:sz w:val="36"/>
          <w:szCs w:val="36"/>
          <w:highlight w:val="none"/>
        </w:rPr>
        <w:t>项目负责人</w:t>
      </w:r>
      <w:r>
        <w:rPr>
          <w:rFonts w:hint="eastAsia" w:ascii="仿宋" w:hAnsi="仿宋" w:eastAsia="仿宋" w:cs="宋体"/>
          <w:b/>
          <w:color w:val="auto"/>
          <w:sz w:val="36"/>
          <w:szCs w:val="36"/>
          <w:highlight w:val="none"/>
          <w:lang w:eastAsia="zh-CN"/>
        </w:rPr>
        <w:t>简介</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2、须附执业证书及资格证书（如有）、身份证、职称证书等证明材料（复印件，加盖单位公章）。</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3"/>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十</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5"/>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2711" w:type="dxa"/>
            <w:vMerge w:val="restart"/>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投标报价（元）</w:t>
            </w:r>
          </w:p>
        </w:tc>
        <w:tc>
          <w:tcPr>
            <w:tcW w:w="6699" w:type="dxa"/>
            <w:vAlign w:val="center"/>
          </w:tcPr>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vMerge w:val="continue"/>
            <w:vAlign w:val="center"/>
          </w:tcPr>
          <w:p>
            <w:pPr>
              <w:autoSpaceDE w:val="0"/>
              <w:autoSpaceDN w:val="0"/>
              <w:adjustRightInd w:val="0"/>
              <w:snapToGrid w:val="0"/>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lang w:val="zh-CN"/>
              </w:rPr>
              <w:t>投标下浮率（</w:t>
            </w:r>
            <w:r>
              <w:rPr>
                <w:rFonts w:ascii="宋体" w:hAnsi="宋体" w:cs="宋体"/>
                <w:bCs/>
                <w:color w:val="auto"/>
                <w:szCs w:val="21"/>
                <w:highlight w:val="none"/>
              </w:rPr>
              <w:t>%</w:t>
            </w:r>
            <w:r>
              <w:rPr>
                <w:rFonts w:hint="eastAsia" w:ascii="宋体" w:hAnsi="宋体" w:cs="宋体"/>
                <w:bCs/>
                <w:color w:val="auto"/>
                <w:szCs w:val="21"/>
                <w:highlight w:val="none"/>
                <w:lang w:val="zh-CN"/>
              </w:rPr>
              <w:t>）</w:t>
            </w:r>
          </w:p>
        </w:tc>
        <w:tc>
          <w:tcPr>
            <w:tcW w:w="6699" w:type="dxa"/>
            <w:vAlign w:val="center"/>
          </w:tcPr>
          <w:p>
            <w:pPr>
              <w:autoSpaceDE w:val="0"/>
              <w:autoSpaceDN w:val="0"/>
              <w:adjustRightInd w:val="0"/>
              <w:snapToGrid w:val="0"/>
              <w:jc w:val="left"/>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bl>
    <w:p>
      <w:pPr>
        <w:pStyle w:val="9"/>
        <w:spacing w:line="360" w:lineRule="auto"/>
        <w:ind w:firstLine="210" w:firstLineChars="100"/>
        <w:rPr>
          <w:rFonts w:hint="default" w:hAnsi="宋体" w:cs="宋体"/>
          <w:bCs/>
          <w:color w:val="auto"/>
          <w:highlight w:val="none"/>
        </w:rPr>
      </w:pPr>
      <w:r>
        <w:rPr>
          <w:rFonts w:hAnsi="宋体" w:cs="宋体"/>
          <w:bCs/>
          <w:color w:val="auto"/>
          <w:highlight w:val="none"/>
        </w:rPr>
        <w:t>注：</w:t>
      </w:r>
    </w:p>
    <w:p>
      <w:pPr>
        <w:pStyle w:val="9"/>
        <w:spacing w:line="360" w:lineRule="auto"/>
        <w:rPr>
          <w:rFonts w:hint="default" w:hAnsi="宋体" w:cs="宋体"/>
          <w:bCs/>
          <w:color w:val="auto"/>
          <w:highlight w:val="none"/>
        </w:rPr>
      </w:pPr>
      <w:r>
        <w:rPr>
          <w:rFonts w:hAnsi="宋体" w:cs="宋体"/>
          <w:bCs/>
          <w:color w:val="auto"/>
          <w:highlight w:val="none"/>
        </w:rPr>
        <w:t>（1）投标报价的大写金额和小写金额不一致的，以大写金额为准，投标报价精确到小数点后两位。</w:t>
      </w:r>
    </w:p>
    <w:p>
      <w:pPr>
        <w:spacing w:line="360" w:lineRule="auto"/>
        <w:rPr>
          <w:rFonts w:hint="eastAsia" w:ascii="宋体" w:hAnsi="宋体" w:cs="宋体"/>
          <w:bCs/>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color w:val="auto"/>
          <w:szCs w:val="21"/>
          <w:highlight w:val="none"/>
        </w:rPr>
        <w:t>投标报价不得超过最高投标限价</w:t>
      </w:r>
      <w:r>
        <w:rPr>
          <w:rFonts w:hint="eastAsia" w:ascii="宋体" w:hAnsi="宋体" w:cs="宋体"/>
          <w:bCs/>
          <w:color w:val="auto"/>
          <w:szCs w:val="21"/>
          <w:highlight w:val="none"/>
        </w:rPr>
        <w:t>，否则按废标处理。</w:t>
      </w:r>
    </w:p>
    <w:p>
      <w:pPr>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lang w:eastAsia="zh-CN"/>
        </w:rPr>
        <w:t>（</w:t>
      </w:r>
      <w:r>
        <w:rPr>
          <w:rFonts w:hint="eastAsia" w:ascii="宋体" w:hAnsi="宋体" w:eastAsia="宋体" w:cs="宋体"/>
          <w:bCs/>
          <w:color w:val="auto"/>
          <w:szCs w:val="21"/>
          <w:highlight w:val="none"/>
          <w:lang w:val="en-US" w:eastAsia="zh-CN"/>
        </w:rPr>
        <w:t>3</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 w:val="21"/>
          <w:szCs w:val="21"/>
          <w:highlight w:val="none"/>
          <w:lang w:val="en-US" w:eastAsia="zh-CN"/>
        </w:rPr>
        <w:t>投标下浮率=（1-投标报价/</w:t>
      </w:r>
      <w:r>
        <w:rPr>
          <w:rFonts w:hint="eastAsia" w:ascii="宋体" w:hAnsi="宋体" w:eastAsia="宋体" w:cs="宋体"/>
          <w:bCs/>
          <w:color w:val="auto"/>
          <w:sz w:val="21"/>
          <w:szCs w:val="21"/>
          <w:highlight w:val="none"/>
          <w:lang w:eastAsia="zh-CN"/>
        </w:rPr>
        <w:t>最高投标限价</w:t>
      </w:r>
      <w:r>
        <w:rPr>
          <w:rFonts w:hint="eastAsia" w:ascii="宋体" w:hAnsi="宋体" w:eastAsia="宋体" w:cs="宋体"/>
          <w:bCs/>
          <w:color w:val="auto"/>
          <w:sz w:val="21"/>
          <w:szCs w:val="21"/>
          <w:highlight w:val="none"/>
          <w:lang w:val="en-US" w:eastAsia="zh-CN"/>
        </w:rPr>
        <w:t>）*100%。</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w:t>
      </w:r>
      <w:r>
        <w:rPr>
          <w:rFonts w:hint="eastAsia" w:ascii="宋体" w:hAnsi="宋体"/>
          <w:b/>
          <w:color w:val="auto"/>
          <w:sz w:val="24"/>
          <w:highlight w:val="none"/>
          <w:lang w:val="en-US" w:eastAsia="zh-CN"/>
        </w:rPr>
        <w:t>2</w:t>
      </w:r>
      <w:r>
        <w:rPr>
          <w:rFonts w:hint="eastAsia" w:ascii="宋体" w:hAnsi="宋体"/>
          <w:b/>
          <w:color w:val="auto"/>
          <w:sz w:val="24"/>
          <w:highlight w:val="none"/>
        </w:rPr>
        <w:t>：</w:t>
      </w:r>
    </w:p>
    <w:p>
      <w:pPr>
        <w:pStyle w:val="9"/>
        <w:rPr>
          <w:rFonts w:hint="default"/>
          <w:color w:val="auto"/>
          <w:highlight w:val="none"/>
        </w:rPr>
      </w:pPr>
    </w:p>
    <w:p>
      <w:pPr>
        <w:jc w:val="left"/>
        <w:rPr>
          <w:b/>
          <w:color w:val="auto"/>
          <w:sz w:val="24"/>
          <w:highlight w:val="none"/>
        </w:rPr>
      </w:pPr>
      <w:r>
        <w:rPr>
          <w:rFonts w:hint="eastAsia" w:ascii="宋体" w:hAnsi="宋体" w:eastAsia="宋体" w:cs="宋体"/>
          <w:color w:val="auto"/>
          <w:sz w:val="24"/>
          <w:highlight w:val="none"/>
        </w:rPr>
        <w:t xml:space="preserve"> </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lang w:eastAsia="zh-CN"/>
        </w:rPr>
        <w:t>技术</w:t>
      </w:r>
      <w:r>
        <w:rPr>
          <w:rFonts w:hint="eastAsia" w:eastAsia="黑体"/>
          <w:color w:val="auto"/>
          <w:sz w:val="52"/>
          <w:szCs w:val="52"/>
          <w:highlight w:val="none"/>
        </w:rPr>
        <w:t>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spacing w:line="240" w:lineRule="auto"/>
        <w:rPr>
          <w:rFonts w:hint="eastAsia" w:ascii="宋体" w:hAnsi="宋体" w:eastAsia="宋体" w:cs="宋体"/>
          <w:color w:val="auto"/>
          <w:sz w:val="24"/>
          <w:highlight w:val="none"/>
        </w:rPr>
      </w:pPr>
      <w:r>
        <w:rPr>
          <w:b/>
          <w:color w:val="auto"/>
          <w:sz w:val="24"/>
          <w:highlight w:val="none"/>
        </w:rPr>
        <w:br w:type="page"/>
      </w:r>
    </w:p>
    <w:p>
      <w:pPr>
        <w:pStyle w:val="6"/>
        <w:rPr>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42" w:name="_Toc374128477"/>
      <w:bookmarkEnd w:id="42"/>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43" w:name="_Toc1265"/>
      <w:r>
        <w:rPr>
          <w:rFonts w:hint="eastAsia" w:ascii="黑体" w:hAnsi="宋体" w:cs="黑体"/>
          <w:b/>
          <w:color w:val="auto"/>
          <w:kern w:val="44"/>
          <w:sz w:val="44"/>
          <w:szCs w:val="44"/>
          <w:highlight w:val="none"/>
        </w:rPr>
        <w:t>第3章 评标办法</w:t>
      </w:r>
      <w:bookmarkEnd w:id="43"/>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eastAsia="zh-CN"/>
        </w:rPr>
        <w:t>方式</w:t>
      </w:r>
      <w:r>
        <w:rPr>
          <w:rFonts w:hint="eastAsia" w:ascii="仿宋" w:hAnsi="仿宋" w:eastAsia="仿宋" w:cs="仿宋"/>
          <w:color w:val="auto"/>
          <w:sz w:val="28"/>
          <w:szCs w:val="28"/>
          <w:highlight w:val="none"/>
        </w:rPr>
        <w:t>选择单位，为保证招标“公开、公平、公正”，根据国家有关工程建设招标投标的法律、法规和方针、政策，制定本评标细则，实行评标的规范化、标准化、科学化。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9"/>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9"/>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0"/>
          <w:numId w:val="2"/>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若中标人在实际工作中服务质量存在问题，未能表现出符合要求的设计水平，经招标人研究确定，可解除与中标人的合同关系，并按照中标候选人顺序依次选取新的中标人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w:t>
      </w:r>
      <w:r>
        <w:rPr>
          <w:rFonts w:hint="eastAsia" w:ascii="仿宋" w:hAnsi="仿宋" w:eastAsia="仿宋" w:cs="仿宋"/>
          <w:color w:val="auto"/>
          <w:sz w:val="28"/>
          <w:szCs w:val="28"/>
          <w:highlight w:val="none"/>
          <w:lang w:val="en-US" w:eastAsia="zh-CN"/>
        </w:rPr>
        <w:t>重新招标</w:t>
      </w:r>
      <w:r>
        <w:rPr>
          <w:rFonts w:hint="eastAsia" w:ascii="仿宋" w:hAnsi="仿宋" w:eastAsia="仿宋" w:cs="仿宋"/>
          <w:color w:val="auto"/>
          <w:sz w:val="28"/>
          <w:szCs w:val="28"/>
          <w:highlight w:val="none"/>
        </w:rPr>
        <w:t>。</w:t>
      </w:r>
    </w:p>
    <w:p>
      <w:pPr>
        <w:numPr>
          <w:ilvl w:val="0"/>
          <w:numId w:val="2"/>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w:t>
      </w:r>
      <w:r>
        <w:rPr>
          <w:rFonts w:hint="eastAsia" w:ascii="仿宋" w:hAnsi="仿宋" w:eastAsia="仿宋" w:cs="仿宋"/>
          <w:color w:val="auto"/>
          <w:sz w:val="28"/>
          <w:szCs w:val="28"/>
          <w:highlight w:val="none"/>
          <w:lang w:val="en-US" w:eastAsia="zh-CN"/>
        </w:rPr>
        <w:t>重新招标</w:t>
      </w:r>
      <w:r>
        <w:rPr>
          <w:rFonts w:hint="eastAsia" w:ascii="仿宋" w:hAnsi="仿宋" w:eastAsia="仿宋" w:cs="仿宋"/>
          <w:color w:val="auto"/>
          <w:sz w:val="28"/>
          <w:szCs w:val="28"/>
          <w:highlight w:val="none"/>
        </w:rPr>
        <w:t>。</w:t>
      </w:r>
    </w:p>
    <w:p>
      <w:pPr>
        <w:pStyle w:val="9"/>
        <w:rPr>
          <w:rFonts w:hint="default" w:ascii="仿宋" w:hAnsi="仿宋" w:eastAsia="仿宋" w:cs="仿宋"/>
          <w:color w:val="auto"/>
          <w:sz w:val="28"/>
          <w:szCs w:val="28"/>
          <w:highlight w:val="none"/>
        </w:rPr>
      </w:pPr>
    </w:p>
    <w:p>
      <w:pPr>
        <w:pStyle w:val="9"/>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20"/>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0"/>
        <w:widowControl/>
        <w:ind w:firstLine="562"/>
        <w:rPr>
          <w:rFonts w:hint="default" w:ascii="仿宋" w:hAnsi="仿宋" w:eastAsia="仿宋" w:cs="仿宋"/>
          <w:b/>
          <w:color w:val="auto"/>
          <w:sz w:val="28"/>
          <w:szCs w:val="28"/>
          <w:highlight w:val="none"/>
          <w:u w:val="single"/>
        </w:rPr>
      </w:pPr>
      <w:bookmarkStart w:id="44" w:name="OLE_LINK3"/>
      <w:bookmarkEnd w:id="44"/>
      <w:r>
        <w:rPr>
          <w:rFonts w:ascii="仿宋" w:hAnsi="仿宋" w:eastAsia="仿宋" w:cs="仿宋"/>
          <w:b/>
          <w:color w:val="auto"/>
          <w:sz w:val="28"/>
          <w:szCs w:val="28"/>
          <w:highlight w:val="none"/>
          <w:u w:val="single"/>
        </w:rPr>
        <w:t>附件2 综合评分表</w:t>
      </w:r>
    </w:p>
    <w:p>
      <w:pPr>
        <w:pStyle w:val="20"/>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5" w:name="_Toc14580"/>
      <w:r>
        <w:rPr>
          <w:rFonts w:hint="eastAsia" w:ascii="仿宋" w:hAnsi="仿宋" w:eastAsia="仿宋" w:cs="仿宋"/>
          <w:color w:val="auto"/>
          <w:sz w:val="28"/>
          <w:szCs w:val="28"/>
          <w:highlight w:val="none"/>
        </w:rPr>
        <w:t>附件1：符合性审查表</w:t>
      </w:r>
      <w:bookmarkEnd w:id="45"/>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5"/>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w:t>
            </w:r>
            <w:r>
              <w:rPr>
                <w:rFonts w:hint="eastAsia" w:ascii="仿宋" w:hAnsi="仿宋" w:eastAsia="仿宋" w:cs="仿宋"/>
                <w:color w:val="auto"/>
                <w:szCs w:val="21"/>
                <w:highlight w:val="none"/>
                <w:lang w:val="en-US" w:eastAsia="zh-CN"/>
              </w:rPr>
              <w:t>团队</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default" w:ascii="仿宋" w:hAnsi="仿宋" w:eastAsia="仿宋" w:cs="仿宋"/>
                <w:color w:val="auto"/>
                <w:highlight w:val="none"/>
                <w:lang w:val="en-US" w:eastAsia="zh-CN"/>
              </w:rPr>
            </w:pPr>
            <w:r>
              <w:rPr>
                <w:rFonts w:hint="eastAsia" w:ascii="仿宋" w:hAnsi="仿宋" w:eastAsia="仿宋" w:cs="仿宋"/>
                <w:color w:val="auto"/>
                <w:sz w:val="21"/>
                <w:szCs w:val="21"/>
                <w:highlight w:val="none"/>
                <w:lang w:val="en-US" w:eastAsia="zh-CN"/>
              </w:rPr>
              <w:t>投标报价不超过最高投标限价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pPr>
        <w:snapToGrid w:val="0"/>
        <w:ind w:left="74"/>
        <w:outlineLvl w:val="0"/>
        <w:rPr>
          <w:rFonts w:ascii="仿宋" w:hAnsi="仿宋" w:eastAsia="仿宋" w:cs="仿宋"/>
          <w:color w:val="auto"/>
          <w:sz w:val="24"/>
          <w:highlight w:val="none"/>
        </w:rPr>
      </w:pPr>
      <w:bookmarkStart w:id="46"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6"/>
    </w:p>
    <w:tbl>
      <w:tblPr>
        <w:tblStyle w:val="15"/>
        <w:tblW w:w="13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1717"/>
        <w:gridCol w:w="1051"/>
        <w:gridCol w:w="8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1862"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评审内容</w:t>
            </w:r>
          </w:p>
        </w:tc>
        <w:tc>
          <w:tcPr>
            <w:tcW w:w="1717"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评分因素</w:t>
            </w:r>
          </w:p>
        </w:tc>
        <w:tc>
          <w:tcPr>
            <w:tcW w:w="1051"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c>
          <w:tcPr>
            <w:tcW w:w="8849"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4" w:hRule="atLeast"/>
          <w:jc w:val="center"/>
        </w:trPr>
        <w:tc>
          <w:tcPr>
            <w:tcW w:w="1862" w:type="dxa"/>
            <w:vMerge w:val="restart"/>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tc>
        <w:tc>
          <w:tcPr>
            <w:tcW w:w="1717" w:type="dxa"/>
            <w:vAlign w:val="center"/>
          </w:tcPr>
          <w:p>
            <w:pPr>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企业信用</w:t>
            </w:r>
          </w:p>
        </w:tc>
        <w:tc>
          <w:tcPr>
            <w:tcW w:w="1051" w:type="dxa"/>
            <w:vAlign w:val="center"/>
          </w:tcPr>
          <w:p>
            <w:pPr>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p>
        </w:tc>
        <w:tc>
          <w:tcPr>
            <w:tcW w:w="8849" w:type="dxa"/>
            <w:vAlign w:val="center"/>
          </w:tcPr>
          <w:p>
            <w:pPr>
              <w:numPr>
                <w:ilvl w:val="-1"/>
                <w:numId w:val="0"/>
              </w:numPr>
              <w:autoSpaceDE w:val="0"/>
              <w:autoSpaceDN w:val="0"/>
              <w:spacing w:line="264" w:lineRule="auto"/>
              <w:ind w:right="-65" w:rightChars="-31"/>
              <w:rPr>
                <w:rFonts w:hint="eastAsia" w:ascii="宋体" w:hAnsi="宋体" w:eastAsia="宋体" w:cs="宋体"/>
                <w:i w:val="0"/>
                <w:iCs w:val="0"/>
                <w:color w:val="auto"/>
                <w:kern w:val="2"/>
                <w:sz w:val="21"/>
                <w:szCs w:val="21"/>
                <w:highlight w:val="none"/>
                <w:u w:val="none"/>
                <w:lang w:val="en-US" w:eastAsia="zh-CN" w:bidi="ar"/>
              </w:rPr>
            </w:pPr>
            <w:r>
              <w:rPr>
                <w:rFonts w:hint="eastAsia" w:ascii="宋体" w:hAnsi="宋体" w:eastAsia="宋体" w:cs="宋体"/>
                <w:color w:val="auto"/>
                <w:szCs w:val="21"/>
                <w:highlight w:val="none"/>
              </w:rPr>
              <w:t>至投标截止日前，</w:t>
            </w:r>
            <w:r>
              <w:rPr>
                <w:rFonts w:hint="eastAsia" w:ascii="宋体" w:hAnsi="宋体" w:eastAsia="宋体" w:cs="宋体"/>
                <w:i w:val="0"/>
                <w:iCs w:val="0"/>
                <w:color w:val="auto"/>
                <w:kern w:val="2"/>
                <w:sz w:val="21"/>
                <w:szCs w:val="21"/>
                <w:highlight w:val="none"/>
                <w:u w:val="none"/>
                <w:lang w:val="en-US" w:eastAsia="zh-CN" w:bidi="ar"/>
              </w:rPr>
              <w:t>投标人被评为“纳税信用A级纳税人”称号的次数：每获得1次得3分，最多得6分，没有的不得分。</w:t>
            </w:r>
          </w:p>
          <w:p>
            <w:pPr>
              <w:numPr>
                <w:ilvl w:val="-1"/>
                <w:numId w:val="0"/>
              </w:numPr>
              <w:autoSpaceDE w:val="0"/>
              <w:autoSpaceDN w:val="0"/>
              <w:spacing w:line="264" w:lineRule="auto"/>
              <w:ind w:right="-65" w:rightChars="-31"/>
              <w:rPr>
                <w:rFonts w:hint="default"/>
                <w:color w:val="auto"/>
                <w:highlight w:val="none"/>
                <w:lang w:val="en-US" w:eastAsia="zh-CN"/>
              </w:rPr>
            </w:pPr>
            <w:r>
              <w:rPr>
                <w:rFonts w:hint="eastAsia" w:ascii="宋体" w:hAnsi="宋体" w:eastAsia="宋体" w:cs="宋体"/>
                <w:i w:val="0"/>
                <w:iCs w:val="0"/>
                <w:color w:val="auto"/>
                <w:kern w:val="2"/>
                <w:sz w:val="21"/>
                <w:szCs w:val="21"/>
                <w:highlight w:val="none"/>
                <w:u w:val="none"/>
                <w:lang w:val="en-US" w:eastAsia="zh-CN" w:bidi="ar"/>
              </w:rPr>
              <w:t>注：A级纳税人以国家税务总局或下属各省（市）级税务部门颁发的“纳税信用A级”证书，或以国家税务总局或下属各省（市）级税务部门网站的查询结果为准，纳税人登记只计算投标人自身（不计算投标人的分公司和子公司）。投标人须提供证书扫描件或在上述网站的查询结果网页打印页（截图）（不符合条件或无提交上述证明文件的不计分）。时间以税务部门网站公布的获奖年度（评价年度）或证书评价年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7" w:hRule="atLeast"/>
          <w:jc w:val="center"/>
        </w:trPr>
        <w:tc>
          <w:tcPr>
            <w:tcW w:w="1862" w:type="dxa"/>
            <w:vMerge w:val="continue"/>
            <w:vAlign w:val="center"/>
          </w:tcPr>
          <w:p>
            <w:pPr>
              <w:jc w:val="center"/>
              <w:rPr>
                <w:rFonts w:hint="eastAsia" w:ascii="宋体" w:hAnsi="宋体" w:eastAsia="宋体" w:cs="宋体"/>
                <w:color w:val="auto"/>
                <w:szCs w:val="21"/>
                <w:highlight w:val="none"/>
              </w:rPr>
            </w:pPr>
          </w:p>
        </w:tc>
        <w:tc>
          <w:tcPr>
            <w:tcW w:w="1717" w:type="dxa"/>
            <w:vAlign w:val="center"/>
          </w:tcPr>
          <w:p>
            <w:pPr>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综合实力</w:t>
            </w:r>
          </w:p>
        </w:tc>
        <w:tc>
          <w:tcPr>
            <w:tcW w:w="1051" w:type="dxa"/>
            <w:vAlign w:val="center"/>
          </w:tcPr>
          <w:p>
            <w:pPr>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w:t>
            </w:r>
          </w:p>
        </w:tc>
        <w:tc>
          <w:tcPr>
            <w:tcW w:w="8849" w:type="dxa"/>
            <w:vAlign w:val="center"/>
          </w:tcPr>
          <w:p>
            <w:pPr>
              <w:numPr>
                <w:ilvl w:val="0"/>
                <w:numId w:val="0"/>
              </w:numPr>
              <w:autoSpaceDE w:val="0"/>
              <w:autoSpaceDN w:val="0"/>
              <w:spacing w:line="264" w:lineRule="auto"/>
              <w:ind w:right="-65" w:rightChars="-31"/>
              <w:jc w:val="left"/>
              <w:rPr>
                <w:rFonts w:hint="eastAsia" w:ascii="宋体" w:hAnsi="宋体" w:eastAsia="宋体" w:cs="宋体"/>
                <w:color w:val="auto"/>
                <w:szCs w:val="21"/>
                <w:highlight w:val="none"/>
                <w:lang w:val="en-US" w:eastAsia="zh-CN"/>
              </w:rPr>
            </w:pPr>
            <w:r>
              <w:rPr>
                <w:rFonts w:hint="eastAsia" w:ascii="宋体" w:hAnsi="宋体" w:eastAsia="宋体" w:cs="宋体"/>
                <w:bCs w:val="0"/>
                <w:color w:val="auto"/>
                <w:szCs w:val="21"/>
                <w:highlight w:val="none"/>
                <w:u w:val="none"/>
                <w:lang w:bidi="ar"/>
              </w:rPr>
              <w:t>有202</w:t>
            </w:r>
            <w:r>
              <w:rPr>
                <w:rFonts w:hint="eastAsia" w:ascii="宋体" w:hAnsi="宋体" w:eastAsia="宋体" w:cs="宋体"/>
                <w:bCs w:val="0"/>
                <w:color w:val="auto"/>
                <w:szCs w:val="21"/>
                <w:highlight w:val="none"/>
                <w:u w:val="none"/>
                <w:lang w:val="en-US" w:eastAsia="zh-CN" w:bidi="ar"/>
              </w:rPr>
              <w:t>1</w:t>
            </w:r>
            <w:r>
              <w:rPr>
                <w:rFonts w:hint="eastAsia" w:ascii="宋体" w:hAnsi="宋体" w:eastAsia="宋体" w:cs="宋体"/>
                <w:bCs w:val="0"/>
                <w:color w:val="auto"/>
                <w:szCs w:val="21"/>
                <w:highlight w:val="none"/>
                <w:u w:val="none"/>
                <w:lang w:bidi="ar"/>
              </w:rPr>
              <w:t>年</w:t>
            </w:r>
            <w:r>
              <w:rPr>
                <w:rFonts w:hint="eastAsia" w:ascii="宋体" w:hAnsi="宋体" w:eastAsia="宋体" w:cs="宋体"/>
                <w:bCs w:val="0"/>
                <w:color w:val="auto"/>
                <w:szCs w:val="21"/>
                <w:highlight w:val="none"/>
                <w:u w:val="none"/>
                <w:lang w:val="en-US" w:eastAsia="zh-CN" w:bidi="ar"/>
              </w:rPr>
              <w:t>1月1日</w:t>
            </w:r>
            <w:r>
              <w:rPr>
                <w:rFonts w:hint="eastAsia" w:ascii="宋体" w:hAnsi="宋体" w:eastAsia="宋体" w:cs="宋体"/>
                <w:bCs w:val="0"/>
                <w:color w:val="auto"/>
                <w:szCs w:val="21"/>
                <w:highlight w:val="none"/>
                <w:u w:val="none"/>
                <w:lang w:bidi="ar"/>
              </w:rPr>
              <w:t>至投标截止时间内</w:t>
            </w:r>
            <w:r>
              <w:rPr>
                <w:rFonts w:hint="eastAsia" w:ascii="宋体" w:hAnsi="宋体" w:eastAsia="宋体" w:cs="宋体"/>
                <w:bCs w:val="0"/>
                <w:color w:val="auto"/>
                <w:szCs w:val="21"/>
                <w:highlight w:val="none"/>
                <w:u w:val="none"/>
                <w:lang w:val="en-US" w:eastAsia="zh-CN" w:bidi="ar"/>
              </w:rPr>
              <w:t>地级</w:t>
            </w:r>
            <w:r>
              <w:rPr>
                <w:rFonts w:hint="eastAsia" w:ascii="宋体" w:hAnsi="宋体" w:eastAsia="宋体" w:cs="宋体"/>
                <w:bCs w:val="0"/>
                <w:color w:val="auto"/>
                <w:szCs w:val="21"/>
                <w:highlight w:val="none"/>
                <w:u w:val="none"/>
                <w:lang w:bidi="ar"/>
              </w:rPr>
              <w:t>市及以上相关部门或行业内指标协会颁发奖项（提供相关奖项证书原件扫描件并加盖公章），</w:t>
            </w:r>
            <w:r>
              <w:rPr>
                <w:rFonts w:hint="eastAsia" w:ascii="宋体" w:hAnsi="宋体" w:eastAsia="宋体" w:cs="宋体"/>
                <w:bCs w:val="0"/>
                <w:color w:val="auto"/>
                <w:szCs w:val="21"/>
                <w:highlight w:val="none"/>
                <w:u w:val="none"/>
                <w:lang w:val="en-US" w:eastAsia="zh-CN" w:bidi="ar"/>
              </w:rPr>
              <w:t>每提供1项得分3，最高得9分。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1862" w:type="dxa"/>
            <w:vMerge w:val="continue"/>
            <w:vAlign w:val="center"/>
          </w:tcPr>
          <w:p>
            <w:pPr>
              <w:jc w:val="center"/>
              <w:rPr>
                <w:rFonts w:hint="eastAsia" w:ascii="宋体" w:hAnsi="宋体" w:eastAsia="宋体" w:cs="宋体"/>
                <w:color w:val="auto"/>
                <w:szCs w:val="21"/>
                <w:highlight w:val="none"/>
              </w:rPr>
            </w:pPr>
          </w:p>
        </w:tc>
        <w:tc>
          <w:tcPr>
            <w:tcW w:w="1717" w:type="dxa"/>
            <w:vAlign w:val="center"/>
          </w:tcPr>
          <w:p>
            <w:pPr>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企业业绩</w:t>
            </w:r>
          </w:p>
        </w:tc>
        <w:tc>
          <w:tcPr>
            <w:tcW w:w="1051" w:type="dxa"/>
            <w:vAlign w:val="center"/>
          </w:tcPr>
          <w:p>
            <w:pPr>
              <w:numPr>
                <w:ilvl w:val="0"/>
                <w:numId w:val="0"/>
              </w:numPr>
              <w:autoSpaceDE w:val="0"/>
              <w:autoSpaceDN w:val="0"/>
              <w:spacing w:line="264" w:lineRule="auto"/>
              <w:ind w:right="-65" w:rightChars="-31"/>
              <w:jc w:val="center"/>
              <w:rPr>
                <w:rFonts w:hint="default" w:ascii="宋体" w:hAnsi="宋体" w:eastAsia="宋体" w:cs="宋体"/>
                <w:color w:val="auto"/>
                <w:szCs w:val="21"/>
                <w:highlight w:val="none"/>
                <w:u w:val="none"/>
                <w:lang w:val="en-US" w:eastAsia="zh-CN" w:bidi="ar"/>
              </w:rPr>
            </w:pPr>
            <w:r>
              <w:rPr>
                <w:rFonts w:hint="eastAsia" w:ascii="宋体" w:hAnsi="宋体" w:eastAsia="宋体" w:cs="宋体"/>
                <w:color w:val="auto"/>
                <w:szCs w:val="21"/>
                <w:highlight w:val="none"/>
                <w:u w:val="none"/>
                <w:lang w:val="en-US" w:eastAsia="zh-CN" w:bidi="ar"/>
              </w:rPr>
              <w:t>15</w:t>
            </w:r>
          </w:p>
        </w:tc>
        <w:tc>
          <w:tcPr>
            <w:tcW w:w="8849" w:type="dxa"/>
            <w:vAlign w:val="center"/>
          </w:tcPr>
          <w:p>
            <w:pPr>
              <w:numPr>
                <w:ilvl w:val="0"/>
                <w:numId w:val="0"/>
              </w:numPr>
              <w:autoSpaceDE w:val="0"/>
              <w:autoSpaceDN w:val="0"/>
              <w:spacing w:line="264" w:lineRule="auto"/>
              <w:ind w:right="-65" w:rightChars="-31"/>
              <w:jc w:val="left"/>
              <w:rPr>
                <w:rFonts w:hint="eastAsia" w:ascii="宋体" w:hAnsi="宋体" w:eastAsia="宋体" w:cs="宋体"/>
                <w:bCs w:val="0"/>
                <w:color w:val="auto"/>
                <w:szCs w:val="21"/>
                <w:highlight w:val="none"/>
                <w:u w:val="none"/>
                <w:lang w:eastAsia="zh-CN" w:bidi="ar"/>
              </w:rPr>
            </w:pPr>
            <w:r>
              <w:rPr>
                <w:rFonts w:hint="eastAsia" w:ascii="宋体" w:hAnsi="宋体" w:eastAsia="宋体" w:cs="宋体"/>
                <w:color w:val="auto"/>
                <w:sz w:val="21"/>
                <w:szCs w:val="21"/>
                <w:highlight w:val="none"/>
                <w:u w:val="none"/>
                <w:lang w:bidi="ar"/>
              </w:rPr>
              <w:t>近3年（20</w:t>
            </w:r>
            <w:r>
              <w:rPr>
                <w:rFonts w:hint="eastAsia" w:ascii="宋体" w:hAnsi="宋体" w:eastAsia="宋体" w:cs="宋体"/>
                <w:color w:val="auto"/>
                <w:sz w:val="21"/>
                <w:szCs w:val="21"/>
                <w:highlight w:val="none"/>
                <w:u w:val="none"/>
                <w:lang w:val="en-US" w:eastAsia="zh-CN" w:bidi="ar"/>
              </w:rPr>
              <w:t>21</w:t>
            </w:r>
            <w:r>
              <w:rPr>
                <w:rFonts w:hint="eastAsia" w:ascii="宋体" w:hAnsi="宋体" w:eastAsia="宋体" w:cs="宋体"/>
                <w:color w:val="auto"/>
                <w:sz w:val="21"/>
                <w:szCs w:val="21"/>
                <w:highlight w:val="none"/>
                <w:u w:val="none"/>
                <w:lang w:bidi="ar"/>
              </w:rPr>
              <w:t>年1月1日至今）有承接过广州市范围</w:t>
            </w:r>
            <w:r>
              <w:rPr>
                <w:rFonts w:hint="eastAsia" w:ascii="宋体" w:hAnsi="宋体" w:eastAsia="宋体" w:cs="宋体"/>
                <w:color w:val="auto"/>
                <w:sz w:val="21"/>
                <w:szCs w:val="21"/>
                <w:highlight w:val="none"/>
                <w:u w:val="none"/>
                <w:lang w:val="en-US" w:eastAsia="zh-CN" w:bidi="ar"/>
              </w:rPr>
              <w:t>建设面积</w:t>
            </w:r>
            <w:r>
              <w:rPr>
                <w:rFonts w:hint="eastAsia" w:ascii="仿宋" w:hAnsi="仿宋" w:eastAsia="仿宋" w:cs="仿宋"/>
                <w:color w:val="auto"/>
                <w:szCs w:val="21"/>
                <w:highlight w:val="none"/>
                <w:lang w:val="en-US" w:eastAsia="zh-CN"/>
              </w:rPr>
              <w:t>1.6万㎡（含1.6万㎡）</w:t>
            </w:r>
            <w:r>
              <w:rPr>
                <w:rFonts w:hint="eastAsia" w:ascii="宋体" w:hAnsi="宋体" w:eastAsia="宋体" w:cs="宋体"/>
                <w:color w:val="auto"/>
                <w:sz w:val="21"/>
                <w:szCs w:val="21"/>
                <w:highlight w:val="none"/>
                <w:u w:val="none"/>
                <w:lang w:val="en-US" w:eastAsia="zh-CN" w:bidi="ar"/>
              </w:rPr>
              <w:t>以上的商办项目营销代理或营销前期顾问</w:t>
            </w:r>
            <w:r>
              <w:rPr>
                <w:rFonts w:hint="eastAsia" w:ascii="宋体" w:hAnsi="宋体" w:eastAsia="宋体" w:cs="宋体"/>
                <w:color w:val="auto"/>
                <w:sz w:val="21"/>
                <w:szCs w:val="21"/>
                <w:highlight w:val="none"/>
                <w:u w:val="none"/>
                <w:lang w:bidi="ar"/>
              </w:rPr>
              <w:t>业绩（以合同</w:t>
            </w:r>
            <w:r>
              <w:rPr>
                <w:rFonts w:hint="eastAsia" w:ascii="宋体" w:hAnsi="宋体" w:eastAsia="宋体" w:cs="宋体"/>
                <w:color w:val="auto"/>
                <w:sz w:val="21"/>
                <w:szCs w:val="21"/>
                <w:highlight w:val="none"/>
                <w:u w:val="none"/>
                <w:lang w:bidi="ar"/>
              </w:rPr>
              <w:t>首末页</w:t>
            </w:r>
            <w:bookmarkStart w:id="47" w:name="_GoBack"/>
            <w:bookmarkEnd w:id="47"/>
            <w:r>
              <w:rPr>
                <w:rFonts w:hint="eastAsia" w:ascii="宋体" w:hAnsi="宋体" w:eastAsia="宋体" w:cs="宋体"/>
                <w:color w:val="auto"/>
                <w:sz w:val="21"/>
                <w:szCs w:val="21"/>
                <w:highlight w:val="none"/>
                <w:u w:val="none"/>
                <w:lang w:bidi="ar"/>
              </w:rPr>
              <w:t>复印件为准)，每1个</w:t>
            </w:r>
            <w:r>
              <w:rPr>
                <w:rFonts w:hint="eastAsia" w:ascii="宋体" w:hAnsi="宋体" w:eastAsia="宋体" w:cs="宋体"/>
                <w:color w:val="auto"/>
                <w:sz w:val="21"/>
                <w:szCs w:val="21"/>
                <w:highlight w:val="none"/>
                <w:u w:val="none"/>
                <w:lang w:val="en-US" w:eastAsia="zh-CN" w:bidi="ar"/>
              </w:rPr>
              <w:t>项目</w:t>
            </w:r>
            <w:r>
              <w:rPr>
                <w:rFonts w:hint="eastAsia" w:ascii="宋体" w:hAnsi="宋体" w:eastAsia="宋体" w:cs="宋体"/>
                <w:color w:val="auto"/>
                <w:sz w:val="21"/>
                <w:szCs w:val="21"/>
                <w:highlight w:val="none"/>
                <w:u w:val="none"/>
                <w:lang w:bidi="ar"/>
              </w:rPr>
              <w:t>得</w:t>
            </w:r>
            <w:r>
              <w:rPr>
                <w:rFonts w:hint="eastAsia" w:ascii="宋体" w:hAnsi="宋体" w:eastAsia="宋体" w:cs="宋体"/>
                <w:color w:val="auto"/>
                <w:sz w:val="21"/>
                <w:szCs w:val="21"/>
                <w:highlight w:val="none"/>
                <w:u w:val="none"/>
                <w:lang w:val="en-US" w:eastAsia="zh-CN" w:bidi="ar"/>
              </w:rPr>
              <w:t>3</w:t>
            </w:r>
            <w:r>
              <w:rPr>
                <w:rFonts w:hint="eastAsia" w:ascii="宋体" w:hAnsi="宋体" w:eastAsia="宋体" w:cs="宋体"/>
                <w:color w:val="auto"/>
                <w:sz w:val="21"/>
                <w:szCs w:val="21"/>
                <w:highlight w:val="none"/>
                <w:u w:val="none"/>
                <w:lang w:bidi="ar"/>
              </w:rPr>
              <w:t>分，最高</w:t>
            </w:r>
            <w:r>
              <w:rPr>
                <w:rFonts w:hint="eastAsia" w:ascii="宋体" w:hAnsi="宋体" w:eastAsia="宋体" w:cs="宋体"/>
                <w:color w:val="auto"/>
                <w:sz w:val="21"/>
                <w:szCs w:val="21"/>
                <w:highlight w:val="none"/>
                <w:u w:val="none"/>
                <w:lang w:val="en-US" w:eastAsia="zh-CN" w:bidi="ar"/>
              </w:rPr>
              <w:t>15</w:t>
            </w:r>
            <w:r>
              <w:rPr>
                <w:rFonts w:hint="eastAsia" w:ascii="宋体" w:hAnsi="宋体" w:eastAsia="宋体" w:cs="宋体"/>
                <w:color w:val="auto"/>
                <w:sz w:val="21"/>
                <w:szCs w:val="21"/>
                <w:highlight w:val="none"/>
                <w:u w:val="none"/>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1" w:hRule="atLeast"/>
          <w:jc w:val="center"/>
        </w:trPr>
        <w:tc>
          <w:tcPr>
            <w:tcW w:w="1862" w:type="dxa"/>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技术部分（</w:t>
            </w:r>
            <w:r>
              <w:rPr>
                <w:rFonts w:hint="eastAsia" w:ascii="宋体" w:hAnsi="宋体" w:eastAsia="宋体" w:cs="宋体"/>
                <w:color w:val="auto"/>
                <w:szCs w:val="21"/>
                <w:highlight w:val="none"/>
                <w:lang w:val="en-US" w:eastAsia="zh-CN"/>
              </w:rPr>
              <w:t>40分</w:t>
            </w:r>
            <w:r>
              <w:rPr>
                <w:rFonts w:hint="eastAsia" w:ascii="宋体" w:hAnsi="宋体" w:eastAsia="宋体" w:cs="宋体"/>
                <w:color w:val="auto"/>
                <w:szCs w:val="21"/>
                <w:highlight w:val="none"/>
                <w:lang w:eastAsia="zh-CN"/>
              </w:rPr>
              <w:t>）</w:t>
            </w:r>
          </w:p>
        </w:tc>
        <w:tc>
          <w:tcPr>
            <w:tcW w:w="1717" w:type="dxa"/>
            <w:vAlign w:val="center"/>
          </w:tcPr>
          <w:p>
            <w:pPr>
              <w:spacing w:line="320" w:lineRule="exact"/>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营销前期</w:t>
            </w:r>
            <w:r>
              <w:rPr>
                <w:rFonts w:hint="eastAsia" w:ascii="宋体" w:hAnsi="宋体" w:eastAsia="宋体" w:cs="宋体"/>
                <w:color w:val="auto"/>
                <w:sz w:val="21"/>
                <w:szCs w:val="21"/>
                <w:highlight w:val="none"/>
              </w:rPr>
              <w:t>服务</w:t>
            </w:r>
            <w:r>
              <w:rPr>
                <w:rFonts w:hint="eastAsia" w:ascii="宋体" w:hAnsi="宋体" w:eastAsia="宋体" w:cs="宋体"/>
                <w:color w:val="auto"/>
                <w:sz w:val="21"/>
                <w:szCs w:val="21"/>
                <w:highlight w:val="none"/>
                <w:lang w:val="en-US" w:eastAsia="zh-CN"/>
              </w:rPr>
              <w:t>工作</w:t>
            </w:r>
            <w:r>
              <w:rPr>
                <w:rFonts w:hint="eastAsia" w:ascii="宋体" w:hAnsi="宋体" w:eastAsia="宋体" w:cs="宋体"/>
                <w:color w:val="auto"/>
                <w:sz w:val="21"/>
                <w:szCs w:val="21"/>
                <w:highlight w:val="none"/>
              </w:rPr>
              <w:t>方案</w:t>
            </w:r>
          </w:p>
        </w:tc>
        <w:tc>
          <w:tcPr>
            <w:tcW w:w="1051" w:type="dxa"/>
            <w:vAlign w:val="center"/>
          </w:tcPr>
          <w:p>
            <w:pPr>
              <w:spacing w:line="40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Cs w:val="21"/>
                <w:highlight w:val="none"/>
                <w:lang w:val="en-US" w:eastAsia="zh-CN"/>
              </w:rPr>
              <w:t>40</w:t>
            </w:r>
          </w:p>
        </w:tc>
        <w:tc>
          <w:tcPr>
            <w:tcW w:w="8849" w:type="dxa"/>
            <w:vAlign w:val="center"/>
          </w:tcPr>
          <w:p>
            <w:pPr>
              <w:spacing w:line="240" w:lineRule="auto"/>
              <w:rPr>
                <w:rFonts w:hint="default"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营销前期</w:t>
            </w:r>
            <w:r>
              <w:rPr>
                <w:rFonts w:hint="eastAsia" w:ascii="宋体" w:hAnsi="宋体" w:eastAsia="宋体" w:cs="宋体"/>
                <w:color w:val="auto"/>
                <w:sz w:val="21"/>
                <w:szCs w:val="21"/>
                <w:highlight w:val="none"/>
              </w:rPr>
              <w:t>服务</w:t>
            </w:r>
            <w:r>
              <w:rPr>
                <w:rFonts w:hint="eastAsia" w:ascii="宋体" w:hAnsi="宋体" w:eastAsia="宋体" w:cs="宋体"/>
                <w:color w:val="auto"/>
                <w:szCs w:val="21"/>
                <w:highlight w:val="none"/>
                <w:lang w:val="en-US" w:eastAsia="zh-CN"/>
              </w:rPr>
              <w:t>方案须包括项目重难点分析，计划安排、工作保障机制及配合等。</w:t>
            </w:r>
          </w:p>
          <w:p>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优</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lang w:val="en-US" w:eastAsia="zh-CN"/>
              </w:rPr>
              <w:t>营销前期</w:t>
            </w:r>
            <w:r>
              <w:rPr>
                <w:rFonts w:hint="eastAsia" w:ascii="宋体" w:hAnsi="宋体" w:eastAsia="宋体" w:cs="宋体"/>
                <w:color w:val="auto"/>
                <w:szCs w:val="21"/>
                <w:highlight w:val="none"/>
                <w:lang w:eastAsia="zh-CN"/>
              </w:rPr>
              <w:t>服务</w:t>
            </w:r>
            <w:r>
              <w:rPr>
                <w:rFonts w:hint="eastAsia" w:ascii="宋体" w:hAnsi="宋体" w:eastAsia="宋体" w:cs="宋体"/>
                <w:color w:val="auto"/>
                <w:szCs w:val="21"/>
                <w:highlight w:val="none"/>
                <w:lang w:val="en-US" w:eastAsia="zh-CN"/>
              </w:rPr>
              <w:t>方案</w:t>
            </w:r>
            <w:r>
              <w:rPr>
                <w:rFonts w:hint="eastAsia" w:ascii="宋体" w:hAnsi="宋体" w:eastAsia="宋体" w:cs="宋体"/>
                <w:color w:val="auto"/>
                <w:szCs w:val="21"/>
                <w:highlight w:val="none"/>
              </w:rPr>
              <w:t>措施齐全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计划安排合理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保障机制到位，</w:t>
            </w:r>
            <w:r>
              <w:rPr>
                <w:rFonts w:hint="eastAsia" w:ascii="宋体" w:hAnsi="宋体" w:eastAsia="宋体" w:cs="宋体"/>
                <w:color w:val="auto"/>
                <w:szCs w:val="21"/>
                <w:highlight w:val="none"/>
              </w:rPr>
              <w:t>目标明确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能充分全面地做好总体统筹、指导、协调、管理工作并提出了有针对性的保障措施，</w:t>
            </w:r>
            <w:r>
              <w:rPr>
                <w:rFonts w:hint="eastAsia" w:ascii="宋体" w:hAnsi="宋体" w:eastAsia="宋体" w:cs="宋体"/>
                <w:color w:val="auto"/>
                <w:szCs w:val="21"/>
                <w:highlight w:val="none"/>
                <w:lang w:val="en-US" w:eastAsia="zh-CN"/>
              </w:rPr>
              <w:t>项目团队</w:t>
            </w:r>
            <w:r>
              <w:rPr>
                <w:rFonts w:hint="eastAsia" w:ascii="宋体" w:hAnsi="宋体" w:eastAsia="宋体" w:cs="宋体"/>
                <w:color w:val="auto"/>
                <w:szCs w:val="21"/>
                <w:highlight w:val="none"/>
              </w:rPr>
              <w:t>房地产项目营销资历和经验丰富；团队组建合理、职责分工明确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32-40</w:t>
            </w:r>
            <w:r>
              <w:rPr>
                <w:rFonts w:hint="eastAsia" w:ascii="宋体" w:hAnsi="宋体" w:eastAsia="宋体" w:cs="宋体"/>
                <w:color w:val="auto"/>
                <w:szCs w:val="21"/>
                <w:highlight w:val="none"/>
              </w:rPr>
              <w:t>分；</w:t>
            </w:r>
          </w:p>
          <w:p>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w:t>
            </w:r>
            <w:r>
              <w:rPr>
                <w:rFonts w:hint="eastAsia" w:ascii="宋体" w:hAnsi="宋体" w:eastAsia="宋体" w:cs="宋体"/>
                <w:color w:val="auto"/>
                <w:sz w:val="21"/>
                <w:szCs w:val="21"/>
                <w:highlight w:val="none"/>
                <w:lang w:val="en-US" w:eastAsia="zh-CN"/>
              </w:rPr>
              <w:t>营销前期</w:t>
            </w:r>
            <w:r>
              <w:rPr>
                <w:rFonts w:hint="eastAsia" w:ascii="宋体" w:hAnsi="宋体" w:eastAsia="宋体" w:cs="宋体"/>
                <w:color w:val="auto"/>
                <w:sz w:val="21"/>
                <w:szCs w:val="21"/>
                <w:highlight w:val="none"/>
              </w:rPr>
              <w:t>服务</w:t>
            </w:r>
            <w:r>
              <w:rPr>
                <w:rFonts w:hint="eastAsia" w:ascii="宋体" w:hAnsi="宋体" w:eastAsia="宋体" w:cs="宋体"/>
                <w:color w:val="auto"/>
                <w:szCs w:val="21"/>
                <w:highlight w:val="none"/>
                <w:lang w:val="en-US" w:eastAsia="zh-CN"/>
              </w:rPr>
              <w:t>方案</w:t>
            </w:r>
            <w:r>
              <w:rPr>
                <w:rFonts w:hint="eastAsia" w:ascii="宋体" w:hAnsi="宋体" w:eastAsia="宋体" w:cs="宋体"/>
                <w:color w:val="auto"/>
                <w:szCs w:val="21"/>
                <w:highlight w:val="none"/>
              </w:rPr>
              <w:t>措施基本齐全、</w:t>
            </w:r>
            <w:r>
              <w:rPr>
                <w:rFonts w:hint="eastAsia" w:ascii="宋体" w:hAnsi="宋体" w:eastAsia="宋体" w:cs="宋体"/>
                <w:color w:val="auto"/>
                <w:szCs w:val="21"/>
                <w:highlight w:val="none"/>
                <w:lang w:val="en-US" w:eastAsia="zh-CN"/>
              </w:rPr>
              <w:t>计划安排基本合理，</w:t>
            </w:r>
            <w:r>
              <w:rPr>
                <w:rFonts w:hint="eastAsia" w:ascii="宋体" w:hAnsi="宋体" w:eastAsia="宋体" w:cs="宋体"/>
                <w:color w:val="auto"/>
                <w:szCs w:val="21"/>
                <w:highlight w:val="none"/>
              </w:rPr>
              <w:t>保障</w:t>
            </w:r>
            <w:r>
              <w:rPr>
                <w:rFonts w:hint="eastAsia" w:ascii="宋体" w:hAnsi="宋体" w:eastAsia="宋体" w:cs="宋体"/>
                <w:color w:val="auto"/>
                <w:szCs w:val="21"/>
                <w:highlight w:val="none"/>
                <w:lang w:val="en-US" w:eastAsia="zh-CN"/>
              </w:rPr>
              <w:t>机制</w:t>
            </w:r>
            <w:r>
              <w:rPr>
                <w:rFonts w:hint="eastAsia" w:ascii="宋体" w:hAnsi="宋体" w:eastAsia="宋体" w:cs="宋体"/>
                <w:color w:val="auto"/>
                <w:szCs w:val="21"/>
                <w:highlight w:val="none"/>
              </w:rPr>
              <w:t>基本到位、目标基本明确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能较好地做好总体统筹、指导、协调、管理工作并提出了相应保障措施</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项目团队</w:t>
            </w:r>
            <w:r>
              <w:rPr>
                <w:rFonts w:hint="eastAsia" w:ascii="宋体" w:hAnsi="宋体" w:eastAsia="宋体" w:cs="宋体"/>
                <w:color w:val="auto"/>
                <w:szCs w:val="21"/>
                <w:highlight w:val="none"/>
              </w:rPr>
              <w:t>房地产项目营销资历和经验较为丰富；团队组建较合理、职责分工较明确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24-31</w:t>
            </w:r>
            <w:r>
              <w:rPr>
                <w:rFonts w:hint="eastAsia" w:ascii="宋体" w:hAnsi="宋体" w:eastAsia="宋体" w:cs="宋体"/>
                <w:color w:val="auto"/>
                <w:szCs w:val="21"/>
                <w:highlight w:val="none"/>
              </w:rPr>
              <w:t>分；</w:t>
            </w:r>
          </w:p>
          <w:p>
            <w:pPr>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（差）</w:t>
            </w:r>
            <w:r>
              <w:rPr>
                <w:rFonts w:hint="eastAsia" w:ascii="宋体" w:hAnsi="宋体" w:eastAsia="宋体" w:cs="宋体"/>
                <w:color w:val="auto"/>
                <w:sz w:val="21"/>
                <w:szCs w:val="21"/>
                <w:highlight w:val="none"/>
                <w:lang w:val="en-US" w:eastAsia="zh-CN"/>
              </w:rPr>
              <w:t>营销前期</w:t>
            </w:r>
            <w:r>
              <w:rPr>
                <w:rFonts w:hint="eastAsia" w:ascii="宋体" w:hAnsi="宋体" w:eastAsia="宋体" w:cs="宋体"/>
                <w:color w:val="auto"/>
                <w:sz w:val="21"/>
                <w:szCs w:val="21"/>
                <w:highlight w:val="none"/>
              </w:rPr>
              <w:t>服务</w:t>
            </w:r>
            <w:r>
              <w:rPr>
                <w:rFonts w:hint="eastAsia" w:ascii="宋体" w:hAnsi="宋体" w:eastAsia="宋体" w:cs="宋体"/>
                <w:color w:val="auto"/>
                <w:szCs w:val="21"/>
                <w:highlight w:val="none"/>
                <w:lang w:val="en-US" w:eastAsia="zh-CN"/>
              </w:rPr>
              <w:t>方案</w:t>
            </w:r>
            <w:r>
              <w:rPr>
                <w:rFonts w:hint="eastAsia" w:ascii="宋体" w:hAnsi="宋体" w:eastAsia="宋体" w:cs="宋体"/>
                <w:color w:val="auto"/>
                <w:szCs w:val="21"/>
                <w:highlight w:val="none"/>
              </w:rPr>
              <w:t>措施不齐全、体系不完整、保障方法不到位、目标不明确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不能完全做好总体统筹、指导、协调、管理工作，相应保障措施不到位</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项目团队</w:t>
            </w:r>
            <w:r>
              <w:rPr>
                <w:rFonts w:hint="eastAsia" w:ascii="宋体" w:hAnsi="宋体" w:eastAsia="宋体" w:cs="宋体"/>
                <w:color w:val="auto"/>
                <w:szCs w:val="21"/>
                <w:highlight w:val="none"/>
              </w:rPr>
              <w:t>房地产项目营销资历和经验相对较薄弱或无法满足招标文件关于服务团队的基本需求，团队组建合理性欠缺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0-23</w:t>
            </w:r>
            <w:r>
              <w:rPr>
                <w:rFonts w:hint="eastAsia" w:ascii="宋体" w:hAnsi="宋体" w:eastAsia="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1862" w:type="dxa"/>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tc>
        <w:tc>
          <w:tcPr>
            <w:tcW w:w="1717" w:type="dxa"/>
            <w:vAlign w:val="center"/>
          </w:tcPr>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rPr>
              <w:t>报价</w:t>
            </w:r>
          </w:p>
        </w:tc>
        <w:tc>
          <w:tcPr>
            <w:tcW w:w="1051" w:type="dxa"/>
            <w:vAlign w:val="center"/>
          </w:tcPr>
          <w:p>
            <w:pPr>
              <w:spacing w:line="400" w:lineRule="exact"/>
              <w:jc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30</w:t>
            </w:r>
          </w:p>
        </w:tc>
        <w:tc>
          <w:tcPr>
            <w:tcW w:w="8849" w:type="dxa"/>
            <w:vAlign w:val="center"/>
          </w:tcPr>
          <w:p>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通过《符合性审查表》的所有投标人报价的平均值为评标基准价。</w:t>
            </w:r>
          </w:p>
          <w:p>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投标报价等于基准价为满分100分，高于基准价的1%扣1分，低于基准价的1%扣0.5分，以此类推。最低得分0分。得分保留两位小数。计算公式如下：</w:t>
            </w:r>
          </w:p>
          <w:p>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1、报价等于基准价的，得分=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w:t>
            </w:r>
          </w:p>
          <w:p>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2、报价高于基准价的，得分=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-[（报价-基准价）/基准价]×100×1</w:t>
            </w:r>
          </w:p>
          <w:p>
            <w:pPr>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3、报价低于基准价的，得分=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-[（基准价-报价）/基准价]×100×0.5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79" w:type="dxa"/>
            <w:gridSpan w:val="2"/>
            <w:vAlign w:val="center"/>
          </w:tcPr>
          <w:p>
            <w:pPr>
              <w:spacing w:line="320" w:lineRule="exact"/>
              <w:jc w:val="center"/>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合计</w:t>
            </w:r>
          </w:p>
        </w:tc>
        <w:tc>
          <w:tcPr>
            <w:tcW w:w="1051" w:type="dxa"/>
            <w:vAlign w:val="center"/>
          </w:tcPr>
          <w:p>
            <w:pPr>
              <w:spacing w:line="400" w:lineRule="exact"/>
              <w:jc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100</w:t>
            </w:r>
          </w:p>
        </w:tc>
        <w:tc>
          <w:tcPr>
            <w:tcW w:w="8849" w:type="dxa"/>
            <w:vAlign w:val="center"/>
          </w:tcPr>
          <w:p>
            <w:pPr>
              <w:spacing w:line="240" w:lineRule="auto"/>
              <w:rPr>
                <w:rFonts w:hint="eastAsia" w:ascii="宋体" w:hAnsi="宋体" w:eastAsia="宋体" w:cs="宋体"/>
                <w:color w:val="auto"/>
                <w:szCs w:val="21"/>
                <w:highlight w:val="none"/>
              </w:rPr>
            </w:pPr>
          </w:p>
        </w:tc>
      </w:tr>
    </w:tbl>
    <w:p>
      <w:pPr>
        <w:snapToGrid w:val="0"/>
        <w:ind w:left="74"/>
        <w:rPr>
          <w:rFonts w:ascii="仿宋" w:hAnsi="仿宋" w:eastAsia="仿宋" w:cs="宋体"/>
          <w:color w:val="auto"/>
          <w:sz w:val="24"/>
          <w:highlight w:val="none"/>
        </w:rPr>
      </w:pP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w:t>
      </w:r>
      <w:r>
        <w:rPr>
          <w:rFonts w:ascii="宋体" w:hAnsi="宋体" w:cs="宋体"/>
          <w:color w:val="auto"/>
          <w:szCs w:val="18"/>
          <w:highlight w:val="none"/>
        </w:rPr>
        <w:t>所提供的投入人员必须为投标单位人员，以提供投标人为其购买的</w:t>
      </w:r>
      <w:r>
        <w:rPr>
          <w:rFonts w:hint="eastAsia" w:ascii="宋体" w:hAnsi="宋体" w:cs="宋体"/>
          <w:color w:val="auto"/>
          <w:szCs w:val="18"/>
          <w:highlight w:val="none"/>
        </w:rPr>
        <w:t>投标截止日前一个月（</w:t>
      </w:r>
      <w:r>
        <w:rPr>
          <w:rFonts w:hint="eastAsia" w:ascii="宋体" w:hAnsi="宋体" w:cs="宋体"/>
          <w:color w:val="auto"/>
          <w:szCs w:val="18"/>
          <w:highlight w:val="none"/>
          <w:lang w:eastAsia="zh-CN"/>
        </w:rPr>
        <w:t>202</w:t>
      </w:r>
      <w:r>
        <w:rPr>
          <w:rFonts w:hint="eastAsia" w:ascii="宋体" w:hAnsi="宋体" w:cs="宋体"/>
          <w:color w:val="auto"/>
          <w:szCs w:val="18"/>
          <w:highlight w:val="none"/>
          <w:lang w:val="en-US" w:eastAsia="zh-CN"/>
        </w:rPr>
        <w:t>4</w:t>
      </w:r>
      <w:r>
        <w:rPr>
          <w:rFonts w:hint="eastAsia" w:ascii="宋体" w:hAnsi="宋体" w:cs="宋体"/>
          <w:color w:val="auto"/>
          <w:szCs w:val="18"/>
          <w:highlight w:val="none"/>
        </w:rPr>
        <w:t>年</w:t>
      </w:r>
      <w:r>
        <w:rPr>
          <w:rFonts w:hint="default" w:ascii="宋体" w:hAnsi="宋体" w:cs="宋体"/>
          <w:color w:val="auto"/>
          <w:szCs w:val="18"/>
          <w:highlight w:val="none"/>
          <w:lang w:val="en-US" w:eastAsia="zh-CN"/>
        </w:rPr>
        <w:t>4</w:t>
      </w:r>
      <w:r>
        <w:rPr>
          <w:rFonts w:hint="eastAsia" w:ascii="宋体" w:hAnsi="宋体" w:cs="宋体"/>
          <w:color w:val="auto"/>
          <w:szCs w:val="18"/>
          <w:highlight w:val="none"/>
        </w:rPr>
        <w:t>月）的</w:t>
      </w:r>
      <w:r>
        <w:rPr>
          <w:rFonts w:ascii="宋体" w:hAnsi="宋体" w:cs="宋体"/>
          <w:color w:val="auto"/>
          <w:szCs w:val="18"/>
          <w:highlight w:val="none"/>
        </w:rPr>
        <w:t>社保证明为准。</w:t>
      </w:r>
      <w:r>
        <w:rPr>
          <w:rFonts w:hint="eastAsia" w:ascii="宋体" w:hAnsi="宋体" w:cs="宋体"/>
          <w:color w:val="auto"/>
          <w:szCs w:val="18"/>
          <w:highlight w:val="none"/>
        </w:rPr>
        <w:t>项目负责人、各专业负责人注册关系必须在本单位，以上注册及职称均需提供相应证明材料。</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val="0"/>
        <w:spacing w:line="360" w:lineRule="auto"/>
        <w:jc w:val="left"/>
        <w:rPr>
          <w:rFonts w:hint="eastAsia" w:ascii="宋体" w:hAnsi="宋体"/>
          <w:color w:val="auto"/>
          <w:sz w:val="24"/>
          <w:highlight w:val="none"/>
          <w:lang w:val="en-US" w:eastAsia="zh-CN"/>
        </w:rPr>
        <w:sectPr>
          <w:pgSz w:w="16838" w:h="11906" w:orient="landscape"/>
          <w:pgMar w:top="1800" w:right="1440" w:bottom="1800" w:left="1440" w:header="851" w:footer="992" w:gutter="0"/>
          <w:cols w:space="720" w:num="1"/>
          <w:docGrid w:type="lines" w:linePitch="312" w:charSpace="0"/>
        </w:sectPr>
      </w:pPr>
    </w:p>
    <w:p>
      <w:pPr>
        <w:snapToGrid w:val="0"/>
        <w:spacing w:line="360" w:lineRule="auto"/>
        <w:jc w:val="left"/>
        <w:rPr>
          <w:rFonts w:hint="eastAsia" w:ascii="宋体" w:hAnsi="宋体" w:eastAsiaTheme="minorEastAsia"/>
          <w:color w:val="auto"/>
          <w:sz w:val="24"/>
          <w:highlight w:val="none"/>
          <w:lang w:val="en-US" w:eastAsia="zh-CN"/>
        </w:rPr>
      </w:pPr>
      <w:r>
        <w:rPr>
          <w:rFonts w:hint="eastAsia" w:ascii="宋体" w:hAnsi="宋体"/>
          <w:color w:val="auto"/>
          <w:sz w:val="24"/>
          <w:highlight w:val="none"/>
          <w:lang w:val="en-US" w:eastAsia="zh-CN"/>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4"/>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：广州南沙经济技术开发区港宏房地产开发有限公司 </w:t>
      </w:r>
    </w:p>
    <w:p>
      <w:pPr>
        <w:pStyle w:val="34"/>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lang w:eastAsia="zh-CN"/>
        </w:rPr>
        <w:t>海湾小区N地块项目（领航科技大楼）</w:t>
      </w:r>
      <w:r>
        <w:rPr>
          <w:rFonts w:hint="eastAsia" w:ascii="宋体" w:hAnsi="宋体" w:eastAsia="宋体"/>
          <w:color w:val="auto"/>
          <w:sz w:val="24"/>
          <w:szCs w:val="24"/>
          <w:highlight w:val="none"/>
          <w:u w:val="single"/>
          <w:lang w:val="en-US" w:eastAsia="zh-CN"/>
        </w:rPr>
        <w:t>营销前期服务</w:t>
      </w:r>
      <w:r>
        <w:rPr>
          <w:rFonts w:hint="eastAsia" w:ascii="宋体" w:hAnsi="宋体" w:eastAsia="宋体"/>
          <w:color w:val="auto"/>
          <w:sz w:val="24"/>
          <w:szCs w:val="24"/>
          <w:highlight w:val="none"/>
        </w:rPr>
        <w:t>投标工作，做出郑重声明：</w:t>
      </w:r>
    </w:p>
    <w:p>
      <w:pPr>
        <w:pStyle w:val="34"/>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4"/>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4"/>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4"/>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四、本公司及其有隶属关系的机构没有参加本项目的招标文件编写、监理工作；本公司与承担本招标项目监理业务的单位没有隶属关系或其他利害关系。</w:t>
      </w:r>
    </w:p>
    <w:p>
      <w:pPr>
        <w:pStyle w:val="34"/>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本公司保证上述单位不参加本次投标。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4"/>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4"/>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5"/>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4"/>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4"/>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34"/>
        <w:snapToGrid w:val="0"/>
        <w:ind w:firstLine="4080" w:firstLineChars="1700"/>
        <w:jc w:val="right"/>
        <w:rPr>
          <w:color w:val="auto"/>
          <w:sz w:val="24"/>
          <w:szCs w:val="24"/>
          <w:highlight w:val="none"/>
        </w:rPr>
      </w:pPr>
    </w:p>
    <w:p>
      <w:pPr>
        <w:snapToGrid w:val="0"/>
        <w:spacing w:line="360" w:lineRule="auto"/>
        <w:jc w:val="left"/>
        <w:rPr>
          <w:rFonts w:ascii="宋体" w:hAnsi="宋体"/>
          <w:color w:val="auto"/>
          <w:sz w:val="24"/>
          <w:highlight w:val="none"/>
        </w:rPr>
      </w:pPr>
    </w:p>
    <w:p>
      <w:pPr>
        <w:pStyle w:val="9"/>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61B5240C"/>
    <w:multiLevelType w:val="singleLevel"/>
    <w:tmpl w:val="61B5240C"/>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6F6986"/>
    <w:rsid w:val="02F0049E"/>
    <w:rsid w:val="02F7533D"/>
    <w:rsid w:val="03562994"/>
    <w:rsid w:val="035A0EDE"/>
    <w:rsid w:val="037D56E7"/>
    <w:rsid w:val="03CB6D70"/>
    <w:rsid w:val="03D5206B"/>
    <w:rsid w:val="04364A4F"/>
    <w:rsid w:val="043A0F20"/>
    <w:rsid w:val="04583827"/>
    <w:rsid w:val="046715E5"/>
    <w:rsid w:val="04754D24"/>
    <w:rsid w:val="04A60B94"/>
    <w:rsid w:val="04C3261A"/>
    <w:rsid w:val="04E40895"/>
    <w:rsid w:val="050B0AD1"/>
    <w:rsid w:val="051B7598"/>
    <w:rsid w:val="05577B55"/>
    <w:rsid w:val="06EA58D8"/>
    <w:rsid w:val="07527FAE"/>
    <w:rsid w:val="08022FE8"/>
    <w:rsid w:val="080F2686"/>
    <w:rsid w:val="083B43B1"/>
    <w:rsid w:val="08757A2C"/>
    <w:rsid w:val="08A86F0A"/>
    <w:rsid w:val="08BE0C1E"/>
    <w:rsid w:val="09A60DC8"/>
    <w:rsid w:val="09A667E8"/>
    <w:rsid w:val="09C053E7"/>
    <w:rsid w:val="0B093D1A"/>
    <w:rsid w:val="0B372B92"/>
    <w:rsid w:val="0B3B76F5"/>
    <w:rsid w:val="0B6E5C7D"/>
    <w:rsid w:val="0C855B7E"/>
    <w:rsid w:val="0C87037B"/>
    <w:rsid w:val="0C996F37"/>
    <w:rsid w:val="0CEF0CD8"/>
    <w:rsid w:val="0CFC11DA"/>
    <w:rsid w:val="0D4F2C69"/>
    <w:rsid w:val="0E1B10A8"/>
    <w:rsid w:val="0E2F4617"/>
    <w:rsid w:val="0E80564C"/>
    <w:rsid w:val="0EA03B8A"/>
    <w:rsid w:val="0EAC0C18"/>
    <w:rsid w:val="0EB25F9A"/>
    <w:rsid w:val="0F0E1360"/>
    <w:rsid w:val="0F8D0176"/>
    <w:rsid w:val="115626A3"/>
    <w:rsid w:val="1219391F"/>
    <w:rsid w:val="12E86716"/>
    <w:rsid w:val="134B3906"/>
    <w:rsid w:val="14082F52"/>
    <w:rsid w:val="14085DAD"/>
    <w:rsid w:val="14233C6D"/>
    <w:rsid w:val="14452035"/>
    <w:rsid w:val="145B3800"/>
    <w:rsid w:val="147E4E1C"/>
    <w:rsid w:val="151B5533"/>
    <w:rsid w:val="16007AF5"/>
    <w:rsid w:val="163A203A"/>
    <w:rsid w:val="17BF20B0"/>
    <w:rsid w:val="17E977C8"/>
    <w:rsid w:val="1873680D"/>
    <w:rsid w:val="18AF3306"/>
    <w:rsid w:val="18F12637"/>
    <w:rsid w:val="1922150A"/>
    <w:rsid w:val="19880595"/>
    <w:rsid w:val="1AB46DAB"/>
    <w:rsid w:val="1B6C2995"/>
    <w:rsid w:val="1BC44893"/>
    <w:rsid w:val="1BC65F54"/>
    <w:rsid w:val="1BDF2274"/>
    <w:rsid w:val="1C05708F"/>
    <w:rsid w:val="1C307374"/>
    <w:rsid w:val="1C9203A6"/>
    <w:rsid w:val="1CE408E8"/>
    <w:rsid w:val="1D36611C"/>
    <w:rsid w:val="1E6758E9"/>
    <w:rsid w:val="1E8832A2"/>
    <w:rsid w:val="1F1C5732"/>
    <w:rsid w:val="1FC2316E"/>
    <w:rsid w:val="1FF32F87"/>
    <w:rsid w:val="20336A96"/>
    <w:rsid w:val="21424D60"/>
    <w:rsid w:val="220D3E3F"/>
    <w:rsid w:val="224A02E7"/>
    <w:rsid w:val="227411DF"/>
    <w:rsid w:val="22803312"/>
    <w:rsid w:val="233214C5"/>
    <w:rsid w:val="238E7B64"/>
    <w:rsid w:val="23BB374C"/>
    <w:rsid w:val="24856237"/>
    <w:rsid w:val="24FE116D"/>
    <w:rsid w:val="25053D8A"/>
    <w:rsid w:val="25791876"/>
    <w:rsid w:val="26B94C66"/>
    <w:rsid w:val="26FF6942"/>
    <w:rsid w:val="272B74FA"/>
    <w:rsid w:val="2865301D"/>
    <w:rsid w:val="28732366"/>
    <w:rsid w:val="28C86C87"/>
    <w:rsid w:val="28FB65E3"/>
    <w:rsid w:val="29524733"/>
    <w:rsid w:val="296119D7"/>
    <w:rsid w:val="297D19A3"/>
    <w:rsid w:val="2A97100B"/>
    <w:rsid w:val="2B401296"/>
    <w:rsid w:val="2B9F277C"/>
    <w:rsid w:val="2D0635AD"/>
    <w:rsid w:val="2D0E0BB5"/>
    <w:rsid w:val="2DB41456"/>
    <w:rsid w:val="2DBF5104"/>
    <w:rsid w:val="2DCC5B6B"/>
    <w:rsid w:val="2DDB1EBF"/>
    <w:rsid w:val="2DF963B5"/>
    <w:rsid w:val="2E6961DD"/>
    <w:rsid w:val="2EA67F31"/>
    <w:rsid w:val="2EC40C57"/>
    <w:rsid w:val="2EE433BF"/>
    <w:rsid w:val="30334755"/>
    <w:rsid w:val="308710A4"/>
    <w:rsid w:val="309A6C96"/>
    <w:rsid w:val="30AF29A9"/>
    <w:rsid w:val="311233CC"/>
    <w:rsid w:val="312F5C5A"/>
    <w:rsid w:val="332E1E50"/>
    <w:rsid w:val="34245110"/>
    <w:rsid w:val="34375C94"/>
    <w:rsid w:val="34935BA4"/>
    <w:rsid w:val="34A264CA"/>
    <w:rsid w:val="36BA638E"/>
    <w:rsid w:val="36F76710"/>
    <w:rsid w:val="3703456E"/>
    <w:rsid w:val="37A26BD4"/>
    <w:rsid w:val="37CD6397"/>
    <w:rsid w:val="386E2C1B"/>
    <w:rsid w:val="390A1085"/>
    <w:rsid w:val="39FC703A"/>
    <w:rsid w:val="3A4968CA"/>
    <w:rsid w:val="3B352BB2"/>
    <w:rsid w:val="3B57188A"/>
    <w:rsid w:val="3B6D4312"/>
    <w:rsid w:val="3B7D5E2D"/>
    <w:rsid w:val="3BB466CB"/>
    <w:rsid w:val="3BB9179A"/>
    <w:rsid w:val="3C536A33"/>
    <w:rsid w:val="3CB7521C"/>
    <w:rsid w:val="3CE76215"/>
    <w:rsid w:val="3CFF0303"/>
    <w:rsid w:val="3D7619F9"/>
    <w:rsid w:val="3D96007A"/>
    <w:rsid w:val="3E512B11"/>
    <w:rsid w:val="3E9F1660"/>
    <w:rsid w:val="3F5F332B"/>
    <w:rsid w:val="3F8502F8"/>
    <w:rsid w:val="3FD704B2"/>
    <w:rsid w:val="3FE0447A"/>
    <w:rsid w:val="405854B3"/>
    <w:rsid w:val="409313F9"/>
    <w:rsid w:val="40CA2819"/>
    <w:rsid w:val="40CC6241"/>
    <w:rsid w:val="40DE71F5"/>
    <w:rsid w:val="40F706D6"/>
    <w:rsid w:val="418C72E5"/>
    <w:rsid w:val="41EC3A6C"/>
    <w:rsid w:val="42A2655E"/>
    <w:rsid w:val="42A62A31"/>
    <w:rsid w:val="42E71D47"/>
    <w:rsid w:val="436C5E0D"/>
    <w:rsid w:val="440F6ACF"/>
    <w:rsid w:val="44631084"/>
    <w:rsid w:val="446A549B"/>
    <w:rsid w:val="44800368"/>
    <w:rsid w:val="44820A63"/>
    <w:rsid w:val="454809AA"/>
    <w:rsid w:val="4588524B"/>
    <w:rsid w:val="45996A3C"/>
    <w:rsid w:val="45C40D74"/>
    <w:rsid w:val="46871AD6"/>
    <w:rsid w:val="46AE0CE1"/>
    <w:rsid w:val="46E31443"/>
    <w:rsid w:val="4735560E"/>
    <w:rsid w:val="47413F22"/>
    <w:rsid w:val="47D55FFA"/>
    <w:rsid w:val="481D5A38"/>
    <w:rsid w:val="48616D0C"/>
    <w:rsid w:val="487975A7"/>
    <w:rsid w:val="48E72086"/>
    <w:rsid w:val="494D5092"/>
    <w:rsid w:val="49732ED5"/>
    <w:rsid w:val="4A1079FD"/>
    <w:rsid w:val="4A1D620C"/>
    <w:rsid w:val="4AE21D6F"/>
    <w:rsid w:val="4AED3DAF"/>
    <w:rsid w:val="4AEE0F2F"/>
    <w:rsid w:val="4BC136D0"/>
    <w:rsid w:val="4C0D46FC"/>
    <w:rsid w:val="4C2E17B4"/>
    <w:rsid w:val="4D904DD7"/>
    <w:rsid w:val="4D9C287D"/>
    <w:rsid w:val="4DC53F66"/>
    <w:rsid w:val="4E4F4497"/>
    <w:rsid w:val="4EAF177A"/>
    <w:rsid w:val="4F081A62"/>
    <w:rsid w:val="50442D2F"/>
    <w:rsid w:val="50932EAD"/>
    <w:rsid w:val="51552F81"/>
    <w:rsid w:val="5174053C"/>
    <w:rsid w:val="51AB2104"/>
    <w:rsid w:val="525C5CD6"/>
    <w:rsid w:val="52840C61"/>
    <w:rsid w:val="52F81602"/>
    <w:rsid w:val="53427976"/>
    <w:rsid w:val="53A1707D"/>
    <w:rsid w:val="53A63423"/>
    <w:rsid w:val="53CE29C2"/>
    <w:rsid w:val="54386D63"/>
    <w:rsid w:val="54A36172"/>
    <w:rsid w:val="54B0714A"/>
    <w:rsid w:val="54B65745"/>
    <w:rsid w:val="54BC0EE8"/>
    <w:rsid w:val="55D41C4B"/>
    <w:rsid w:val="562E1696"/>
    <w:rsid w:val="57D3195D"/>
    <w:rsid w:val="5832708E"/>
    <w:rsid w:val="58AD13BD"/>
    <w:rsid w:val="592E518F"/>
    <w:rsid w:val="593F3A1A"/>
    <w:rsid w:val="594F1692"/>
    <w:rsid w:val="59566C52"/>
    <w:rsid w:val="59DC6E16"/>
    <w:rsid w:val="5AAF5CCA"/>
    <w:rsid w:val="5AD32383"/>
    <w:rsid w:val="5AD75A27"/>
    <w:rsid w:val="5B6E68B8"/>
    <w:rsid w:val="5B8D6C19"/>
    <w:rsid w:val="5BCE61FA"/>
    <w:rsid w:val="5C3E1EC4"/>
    <w:rsid w:val="5C9B134E"/>
    <w:rsid w:val="5CE91666"/>
    <w:rsid w:val="5D580334"/>
    <w:rsid w:val="5DAA1580"/>
    <w:rsid w:val="5E1A6FB5"/>
    <w:rsid w:val="5E3329AB"/>
    <w:rsid w:val="5E582369"/>
    <w:rsid w:val="5E7A3CE2"/>
    <w:rsid w:val="5F355496"/>
    <w:rsid w:val="5F857532"/>
    <w:rsid w:val="60083F26"/>
    <w:rsid w:val="60F065CF"/>
    <w:rsid w:val="613C2115"/>
    <w:rsid w:val="61A7533B"/>
    <w:rsid w:val="62B2296D"/>
    <w:rsid w:val="62C266BA"/>
    <w:rsid w:val="636147EE"/>
    <w:rsid w:val="63677EFB"/>
    <w:rsid w:val="63DB6B9E"/>
    <w:rsid w:val="63F47577"/>
    <w:rsid w:val="65B441A4"/>
    <w:rsid w:val="65E46075"/>
    <w:rsid w:val="65EE5940"/>
    <w:rsid w:val="662A14E4"/>
    <w:rsid w:val="66373494"/>
    <w:rsid w:val="66591B82"/>
    <w:rsid w:val="66790C75"/>
    <w:rsid w:val="67110541"/>
    <w:rsid w:val="674F15EA"/>
    <w:rsid w:val="67A63985"/>
    <w:rsid w:val="686731DA"/>
    <w:rsid w:val="6898637C"/>
    <w:rsid w:val="689D3E18"/>
    <w:rsid w:val="68B16D7B"/>
    <w:rsid w:val="68BA7003"/>
    <w:rsid w:val="68C057C9"/>
    <w:rsid w:val="69C243A3"/>
    <w:rsid w:val="69D41720"/>
    <w:rsid w:val="6A364F93"/>
    <w:rsid w:val="6BE11926"/>
    <w:rsid w:val="6C0E542F"/>
    <w:rsid w:val="6C450EF0"/>
    <w:rsid w:val="6C920572"/>
    <w:rsid w:val="6D7E6398"/>
    <w:rsid w:val="6D827B87"/>
    <w:rsid w:val="6DC31ECB"/>
    <w:rsid w:val="6E656845"/>
    <w:rsid w:val="6EA64B45"/>
    <w:rsid w:val="6F471F5D"/>
    <w:rsid w:val="70D42DED"/>
    <w:rsid w:val="70F57389"/>
    <w:rsid w:val="710F157A"/>
    <w:rsid w:val="718C3480"/>
    <w:rsid w:val="726F354B"/>
    <w:rsid w:val="72B9765A"/>
    <w:rsid w:val="72F3401B"/>
    <w:rsid w:val="731416B4"/>
    <w:rsid w:val="73712518"/>
    <w:rsid w:val="738E7AB2"/>
    <w:rsid w:val="73A54F01"/>
    <w:rsid w:val="73DF2037"/>
    <w:rsid w:val="73F47C56"/>
    <w:rsid w:val="74624F7D"/>
    <w:rsid w:val="7546516B"/>
    <w:rsid w:val="758F20BE"/>
    <w:rsid w:val="75AF555B"/>
    <w:rsid w:val="76432944"/>
    <w:rsid w:val="76E97048"/>
    <w:rsid w:val="76F3488A"/>
    <w:rsid w:val="77281C38"/>
    <w:rsid w:val="781828A1"/>
    <w:rsid w:val="78383D9F"/>
    <w:rsid w:val="783962E2"/>
    <w:rsid w:val="78780B98"/>
    <w:rsid w:val="788E06C1"/>
    <w:rsid w:val="78D76423"/>
    <w:rsid w:val="795919CE"/>
    <w:rsid w:val="79E02BD8"/>
    <w:rsid w:val="7A3458D0"/>
    <w:rsid w:val="7A4B048B"/>
    <w:rsid w:val="7A635363"/>
    <w:rsid w:val="7A96669D"/>
    <w:rsid w:val="7AB67B89"/>
    <w:rsid w:val="7B4F6DFC"/>
    <w:rsid w:val="7B667A30"/>
    <w:rsid w:val="7B672810"/>
    <w:rsid w:val="7B681B66"/>
    <w:rsid w:val="7BA67BFD"/>
    <w:rsid w:val="7C6B2EC5"/>
    <w:rsid w:val="7E300909"/>
    <w:rsid w:val="7EC40345"/>
    <w:rsid w:val="7EC84C80"/>
    <w:rsid w:val="7ED83F50"/>
    <w:rsid w:val="7EF55FF4"/>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autoRedefine/>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autoRedefine/>
    <w:semiHidden/>
    <w:unhideWhenUsed/>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link w:val="32"/>
    <w:autoRedefine/>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autoRedefine/>
    <w:qFormat/>
    <w:uiPriority w:val="0"/>
  </w:style>
  <w:style w:type="paragraph" w:styleId="6">
    <w:name w:val="Normal Indent"/>
    <w:basedOn w:val="1"/>
    <w:autoRedefine/>
    <w:qFormat/>
    <w:uiPriority w:val="0"/>
    <w:pPr>
      <w:adjustRightInd w:val="0"/>
      <w:spacing w:line="480" w:lineRule="atLeast"/>
      <w:ind w:firstLine="600"/>
      <w:textAlignment w:val="baseline"/>
    </w:pPr>
    <w:rPr>
      <w:rFonts w:eastAsia="仿宋_GB2312"/>
      <w:kern w:val="0"/>
      <w:sz w:val="30"/>
      <w:szCs w:val="20"/>
    </w:rPr>
  </w:style>
  <w:style w:type="paragraph" w:styleId="7">
    <w:name w:val="annotation text"/>
    <w:basedOn w:val="1"/>
    <w:autoRedefine/>
    <w:semiHidden/>
    <w:unhideWhenUsed/>
    <w:qFormat/>
    <w:uiPriority w:val="0"/>
    <w:pPr>
      <w:jc w:val="left"/>
    </w:pPr>
  </w:style>
  <w:style w:type="paragraph" w:styleId="8">
    <w:name w:val="Body Text Indent"/>
    <w:basedOn w:val="1"/>
    <w:autoRedefine/>
    <w:qFormat/>
    <w:uiPriority w:val="0"/>
    <w:pPr>
      <w:spacing w:line="360" w:lineRule="auto"/>
      <w:ind w:firstLine="480" w:firstLineChars="200"/>
    </w:pPr>
    <w:rPr>
      <w:sz w:val="24"/>
    </w:rPr>
  </w:style>
  <w:style w:type="paragraph" w:styleId="9">
    <w:name w:val="Plain Text"/>
    <w:basedOn w:val="1"/>
    <w:link w:val="31"/>
    <w:autoRedefine/>
    <w:qFormat/>
    <w:uiPriority w:val="0"/>
    <w:rPr>
      <w:rFonts w:hint="eastAsia" w:ascii="宋体" w:hAnsi="Courier New" w:eastAsia="宋体" w:cs="Times New Roman"/>
      <w:szCs w:val="21"/>
    </w:rPr>
  </w:style>
  <w:style w:type="paragraph" w:styleId="10">
    <w:name w:val="Balloon Text"/>
    <w:basedOn w:val="1"/>
    <w:link w:val="29"/>
    <w:autoRedefine/>
    <w:qFormat/>
    <w:uiPriority w:val="0"/>
    <w:rPr>
      <w:sz w:val="18"/>
      <w:szCs w:val="18"/>
    </w:rPr>
  </w:style>
  <w:style w:type="paragraph" w:styleId="11">
    <w:name w:val="footer"/>
    <w:basedOn w:val="1"/>
    <w:link w:val="28"/>
    <w:autoRedefine/>
    <w:qFormat/>
    <w:uiPriority w:val="0"/>
    <w:pPr>
      <w:tabs>
        <w:tab w:val="center" w:pos="4153"/>
        <w:tab w:val="right" w:pos="8306"/>
      </w:tabs>
      <w:snapToGrid w:val="0"/>
      <w:jc w:val="left"/>
    </w:pPr>
    <w:rPr>
      <w:sz w:val="18"/>
      <w:szCs w:val="18"/>
    </w:rPr>
  </w:style>
  <w:style w:type="paragraph" w:styleId="12">
    <w:name w:val="header"/>
    <w:basedOn w:val="1"/>
    <w:link w:val="27"/>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uiPriority w:val="0"/>
    <w:rPr>
      <w:rFonts w:ascii="Times New Roman" w:hAnsi="Times New Roman" w:eastAsia="宋体" w:cs="Times New Roman"/>
      <w:szCs w:val="21"/>
    </w:rPr>
  </w:style>
  <w:style w:type="paragraph" w:styleId="14">
    <w:name w:val="Normal (Web)"/>
    <w:basedOn w:val="1"/>
    <w:autoRedefine/>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微软雅黑" w:hAnsi="微软雅黑" w:eastAsia="微软雅黑" w:cs="微软雅黑"/>
      <w:kern w:val="0"/>
      <w:sz w:val="24"/>
      <w:lang w:val="en-US" w:eastAsia="zh-CN" w:bidi="ar"/>
    </w:rPr>
  </w:style>
  <w:style w:type="character" w:styleId="17">
    <w:name w:val="page number"/>
    <w:basedOn w:val="16"/>
    <w:autoRedefine/>
    <w:qFormat/>
    <w:uiPriority w:val="0"/>
  </w:style>
  <w:style w:type="character" w:styleId="18">
    <w:name w:val="FollowedHyperlink"/>
    <w:basedOn w:val="16"/>
    <w:autoRedefine/>
    <w:qFormat/>
    <w:uiPriority w:val="0"/>
    <w:rPr>
      <w:color w:val="0000FF"/>
      <w:u w:val="single"/>
    </w:rPr>
  </w:style>
  <w:style w:type="character" w:styleId="19">
    <w:name w:val="Hyperlink"/>
    <w:basedOn w:val="16"/>
    <w:autoRedefine/>
    <w:qFormat/>
    <w:uiPriority w:val="0"/>
    <w:rPr>
      <w:color w:val="0000FF"/>
      <w:u w:val="single"/>
    </w:rPr>
  </w:style>
  <w:style w:type="paragraph" w:customStyle="1" w:styleId="20">
    <w:name w:val="正文文本缩进 21"/>
    <w:basedOn w:val="1"/>
    <w:autoRedefine/>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1">
    <w:name w:val="章节二"/>
    <w:basedOn w:val="1"/>
    <w:next w:val="1"/>
    <w:autoRedefine/>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2">
    <w:name w:val="列出段落1"/>
    <w:basedOn w:val="1"/>
    <w:autoRedefine/>
    <w:qFormat/>
    <w:uiPriority w:val="0"/>
    <w:pPr>
      <w:ind w:firstLine="420" w:firstLineChars="200"/>
    </w:pPr>
    <w:rPr>
      <w:rFonts w:ascii="Calibri" w:hAnsi="Calibri" w:eastAsia="宋体" w:cs="Times New Roman"/>
      <w:szCs w:val="21"/>
    </w:rPr>
  </w:style>
  <w:style w:type="paragraph" w:customStyle="1" w:styleId="23">
    <w:name w:val="文一"/>
    <w:basedOn w:val="1"/>
    <w:autoRedefine/>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4">
    <w:name w:val="10"/>
    <w:basedOn w:val="16"/>
    <w:autoRedefine/>
    <w:qFormat/>
    <w:uiPriority w:val="0"/>
    <w:rPr>
      <w:rFonts w:hint="default" w:ascii="Times New Roman" w:hAnsi="Times New Roman" w:cs="Times New Roman"/>
    </w:rPr>
  </w:style>
  <w:style w:type="character" w:customStyle="1" w:styleId="25">
    <w:name w:val="15"/>
    <w:basedOn w:val="16"/>
    <w:autoRedefine/>
    <w:qFormat/>
    <w:uiPriority w:val="0"/>
    <w:rPr>
      <w:rFonts w:hint="default" w:ascii="Times New Roman" w:hAnsi="Times New Roman" w:cs="Times New Roman"/>
    </w:rPr>
  </w:style>
  <w:style w:type="character" w:customStyle="1" w:styleId="26">
    <w:name w:val="16"/>
    <w:basedOn w:val="16"/>
    <w:autoRedefine/>
    <w:qFormat/>
    <w:uiPriority w:val="0"/>
    <w:rPr>
      <w:rFonts w:hint="default" w:ascii="Times New Roman" w:hAnsi="Times New Roman" w:cs="Times New Roman"/>
      <w:color w:val="0000FF"/>
      <w:u w:val="single"/>
    </w:rPr>
  </w:style>
  <w:style w:type="character" w:customStyle="1" w:styleId="27">
    <w:name w:val="页眉 Char"/>
    <w:basedOn w:val="16"/>
    <w:link w:val="12"/>
    <w:autoRedefine/>
    <w:qFormat/>
    <w:uiPriority w:val="0"/>
    <w:rPr>
      <w:rFonts w:asciiTheme="minorHAnsi" w:hAnsiTheme="minorHAnsi" w:eastAsiaTheme="minorEastAsia" w:cstheme="minorBidi"/>
      <w:kern w:val="2"/>
      <w:sz w:val="18"/>
      <w:szCs w:val="18"/>
    </w:rPr>
  </w:style>
  <w:style w:type="character" w:customStyle="1" w:styleId="28">
    <w:name w:val="页脚 Char"/>
    <w:basedOn w:val="16"/>
    <w:link w:val="11"/>
    <w:autoRedefine/>
    <w:qFormat/>
    <w:uiPriority w:val="0"/>
    <w:rPr>
      <w:rFonts w:asciiTheme="minorHAnsi" w:hAnsiTheme="minorHAnsi" w:eastAsiaTheme="minorEastAsia" w:cstheme="minorBidi"/>
      <w:kern w:val="2"/>
      <w:sz w:val="18"/>
      <w:szCs w:val="18"/>
    </w:rPr>
  </w:style>
  <w:style w:type="character" w:customStyle="1" w:styleId="29">
    <w:name w:val="批注框文本 Char"/>
    <w:basedOn w:val="16"/>
    <w:link w:val="10"/>
    <w:autoRedefine/>
    <w:qFormat/>
    <w:uiPriority w:val="0"/>
    <w:rPr>
      <w:rFonts w:asciiTheme="minorHAnsi" w:hAnsiTheme="minorHAnsi" w:eastAsiaTheme="minorEastAsia" w:cstheme="minorBidi"/>
      <w:kern w:val="2"/>
      <w:sz w:val="18"/>
      <w:szCs w:val="18"/>
    </w:rPr>
  </w:style>
  <w:style w:type="paragraph" w:customStyle="1" w:styleId="30">
    <w:name w:val="WPSOffice手动目录 1"/>
    <w:autoRedefine/>
    <w:qFormat/>
    <w:uiPriority w:val="0"/>
    <w:rPr>
      <w:rFonts w:ascii="Times New Roman" w:hAnsi="Times New Roman" w:eastAsia="宋体" w:cs="Times New Roman"/>
      <w:lang w:val="en-US" w:eastAsia="zh-CN" w:bidi="ar-SA"/>
    </w:rPr>
  </w:style>
  <w:style w:type="character" w:customStyle="1" w:styleId="31">
    <w:name w:val="纯文本 Char"/>
    <w:link w:val="9"/>
    <w:autoRedefine/>
    <w:qFormat/>
    <w:uiPriority w:val="0"/>
    <w:rPr>
      <w:rFonts w:ascii="宋体" w:hAnsi="Courier New"/>
      <w:kern w:val="2"/>
      <w:sz w:val="21"/>
      <w:szCs w:val="21"/>
    </w:rPr>
  </w:style>
  <w:style w:type="character" w:customStyle="1" w:styleId="32">
    <w:name w:val="正文首行缩进 Char"/>
    <w:basedOn w:val="16"/>
    <w:link w:val="2"/>
    <w:autoRedefine/>
    <w:qFormat/>
    <w:uiPriority w:val="0"/>
    <w:rPr>
      <w:kern w:val="2"/>
      <w:sz w:val="21"/>
      <w:szCs w:val="21"/>
    </w:rPr>
  </w:style>
  <w:style w:type="paragraph" w:styleId="33">
    <w:name w:val="List Paragraph"/>
    <w:basedOn w:val="1"/>
    <w:autoRedefine/>
    <w:unhideWhenUsed/>
    <w:qFormat/>
    <w:uiPriority w:val="99"/>
    <w:pPr>
      <w:ind w:firstLine="420" w:firstLineChars="200"/>
    </w:pPr>
  </w:style>
  <w:style w:type="paragraph" w:customStyle="1" w:styleId="34">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5">
    <w:name w:val="发文落款"/>
    <w:basedOn w:val="34"/>
    <w:autoRedefine/>
    <w:qFormat/>
    <w:uiPriority w:val="0"/>
    <w:pPr>
      <w:ind w:left="4094" w:right="607" w:firstLine="0"/>
      <w:jc w:val="center"/>
    </w:pPr>
  </w:style>
  <w:style w:type="paragraph" w:customStyle="1" w:styleId="36">
    <w:name w:val="样式 小四 行距: 1.5 倍行距"/>
    <w:basedOn w:val="1"/>
    <w:autoRedefine/>
    <w:qFormat/>
    <w:uiPriority w:val="0"/>
    <w:pPr>
      <w:ind w:firstLine="480"/>
    </w:pPr>
    <w:rPr>
      <w:rFonts w:cs="宋体"/>
    </w:rPr>
  </w:style>
  <w:style w:type="paragraph" w:customStyle="1" w:styleId="37">
    <w:name w:val="_Style 3"/>
    <w:autoRedefine/>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41</Pages>
  <Words>14891</Words>
  <Characters>15694</Characters>
  <Lines>139</Lines>
  <Paragraphs>39</Paragraphs>
  <TotalTime>0</TotalTime>
  <ScaleCrop>false</ScaleCrop>
  <LinksUpToDate>false</LinksUpToDate>
  <CharactersWithSpaces>16575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2024-05-30T02:31:05Z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934BA1EF11A44D7AA1028288170594F8_13</vt:lpwstr>
  </property>
</Properties>
</file>