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41" w:name="_GoBack"/>
    </w:p>
    <w:p>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天后宫新建低压线路工程施工（第二次）</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hint="eastAsia" w:ascii="宋体" w:hAnsi="宋体" w:eastAsia="宋体" w:cs="宋体"/>
          <w:color w:val="auto"/>
          <w:sz w:val="32"/>
          <w:szCs w:val="32"/>
          <w:highlight w:val="none"/>
          <w:lang w:val="en-US" w:eastAsia="zh-CN"/>
        </w:rPr>
      </w:pP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6</w:t>
      </w:r>
      <w:r>
        <w:rPr>
          <w:rFonts w:hint="eastAsia" w:ascii="宋体" w:hAnsi="宋体" w:eastAsia="宋体" w:cs="宋体"/>
          <w:b/>
          <w:color w:val="auto"/>
          <w:sz w:val="32"/>
          <w:szCs w:val="32"/>
          <w:highlight w:val="none"/>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天后宫新建低压线路工程施工（第二次）</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广东省广州市南沙区</w:t>
            </w:r>
            <w:r>
              <w:rPr>
                <w:rFonts w:hint="eastAsia" w:ascii="宋体" w:hAnsi="宋体" w:eastAsia="宋体" w:cs="宋体"/>
                <w:color w:val="auto"/>
                <w:szCs w:val="21"/>
                <w:highlight w:val="none"/>
                <w:lang w:eastAsia="zh-CN"/>
              </w:rPr>
              <w:t>天后宫景区内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lang w:eastAsia="zh-CN"/>
              </w:rPr>
              <w:t>为统筹利用天后宫景区用电，推进景区内部电网提升改造，拟从天后宫1号箱变，新做埋地电缆管并铺设电缆至餐吧和在建餐厅等区域</w:t>
            </w:r>
            <w:r>
              <w:rPr>
                <w:rFonts w:hint="eastAsia" w:ascii="宋体" w:hAnsi="宋体" w:eastAsia="宋体" w:cs="宋体"/>
                <w:bCs/>
                <w:color w:val="auto"/>
                <w:kern w:val="0"/>
                <w:sz w:val="21"/>
                <w:szCs w:val="21"/>
                <w:highlight w:val="none"/>
                <w:u w:val="none"/>
                <w:lang w:val="en-US"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工程投资</w:t>
            </w:r>
            <w:r>
              <w:rPr>
                <w:rFonts w:hint="eastAsia" w:ascii="宋体" w:hAnsi="宋体" w:eastAsia="宋体" w:cs="宋体"/>
                <w:color w:val="auto"/>
                <w:highlight w:val="none"/>
              </w:rPr>
              <w:t>约</w:t>
            </w:r>
            <w:r>
              <w:rPr>
                <w:rFonts w:hint="eastAsia" w:ascii="宋体" w:hAnsi="宋体" w:cs="宋体"/>
                <w:color w:val="auto"/>
                <w:highlight w:val="none"/>
                <w:lang w:val="en-US" w:eastAsia="zh-CN"/>
              </w:rPr>
              <w:t>137</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3"/>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项目建设内容包括</w:t>
            </w:r>
            <w:r>
              <w:rPr>
                <w:rFonts w:hint="eastAsia" w:ascii="宋体" w:hAnsi="宋体" w:eastAsia="宋体" w:cs="宋体"/>
                <w:b w:val="0"/>
                <w:bCs/>
                <w:color w:val="auto"/>
                <w:sz w:val="21"/>
                <w:szCs w:val="21"/>
                <w:highlight w:val="none"/>
                <w:lang w:val="en-US" w:eastAsia="zh-CN"/>
              </w:rPr>
              <w:t>但不限于：</w:t>
            </w:r>
            <w:r>
              <w:rPr>
                <w:rFonts w:hint="eastAsia" w:ascii="宋体" w:hAnsi="宋体" w:eastAsia="宋体" w:cs="宋体"/>
                <w:b w:val="0"/>
                <w:bCs/>
                <w:color w:val="auto"/>
                <w:sz w:val="21"/>
                <w:szCs w:val="21"/>
                <w:highlight w:val="none"/>
                <w:lang w:eastAsia="zh-CN"/>
              </w:rPr>
              <w:t>新建埋地电缆管、电缆井，改造原低压出线柜、铺设电缆、安装配电箱，地面开挖、修复</w:t>
            </w:r>
            <w:r>
              <w:rPr>
                <w:rFonts w:hint="eastAsia" w:ascii="宋体" w:hAnsi="宋体" w:eastAsia="宋体" w:cs="宋体"/>
                <w:b w:val="0"/>
                <w:bCs/>
                <w:color w:val="auto"/>
                <w:sz w:val="21"/>
                <w:szCs w:val="21"/>
                <w:highlight w:val="none"/>
                <w:lang w:val="en-US" w:eastAsia="zh-CN"/>
              </w:rPr>
              <w:t>等，最终以实际工程量清单和图纸为准。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default"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30日历天完工并通电，开工时间以开工通知为准。</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投标人具有投标人具有承接本工程所需的电力工程施工总承包资质三级或以上资质</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或输变电工程专业</w:t>
            </w:r>
            <w:r>
              <w:rPr>
                <w:rFonts w:hint="eastAsia" w:ascii="宋体" w:hAnsi="宋体" w:eastAsia="宋体" w:cs="宋体"/>
                <w:b w:val="0"/>
                <w:bCs/>
                <w:color w:val="auto"/>
                <w:sz w:val="21"/>
                <w:szCs w:val="21"/>
                <w:highlight w:val="none"/>
                <w:lang w:eastAsia="zh-CN"/>
              </w:rPr>
              <w:t>二</w:t>
            </w:r>
            <w:r>
              <w:rPr>
                <w:rFonts w:hint="eastAsia" w:ascii="宋体" w:hAnsi="宋体" w:eastAsia="宋体" w:cs="宋体"/>
                <w:b w:val="0"/>
                <w:bCs/>
                <w:color w:val="auto"/>
                <w:sz w:val="21"/>
                <w:szCs w:val="21"/>
                <w:highlight w:val="none"/>
              </w:rPr>
              <w:t>级或以上资质</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sz w:val="21"/>
                <w:szCs w:val="21"/>
                <w:highlight w:val="none"/>
                <w:u w:val="none"/>
              </w:rPr>
              <w:t>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w:t>
            </w:r>
            <w:r>
              <w:rPr>
                <w:rFonts w:hint="eastAsia" w:ascii="宋体" w:hAnsi="宋体" w:eastAsia="宋体" w:cs="宋体"/>
                <w:b w:val="0"/>
                <w:bCs/>
                <w:color w:val="auto"/>
                <w:sz w:val="21"/>
                <w:szCs w:val="21"/>
                <w:highlight w:val="none"/>
                <w:u w:val="none"/>
              </w:rPr>
              <w:t>。</w:t>
            </w:r>
          </w:p>
          <w:p>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990153</w:t>
            </w:r>
            <w:r>
              <w:rPr>
                <w:rFonts w:hint="eastAsia" w:ascii="宋体" w:hAnsi="宋体" w:eastAsia="宋体" w:cs="宋体"/>
                <w:b w:val="0"/>
                <w:bCs/>
                <w:color w:val="auto"/>
                <w:sz w:val="21"/>
                <w:szCs w:val="21"/>
                <w:highlight w:val="none"/>
                <w:lang w:val="en-US" w:eastAsia="zh-CN"/>
              </w:rPr>
              <w:t>.31</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，其中：绿色施工安全防护措施费</w:t>
            </w:r>
            <w:r>
              <w:rPr>
                <w:rFonts w:hint="eastAsia" w:ascii="宋体" w:hAnsi="宋体" w:eastAsia="宋体" w:cs="宋体"/>
                <w:b w:val="0"/>
                <w:bCs/>
                <w:color w:val="auto"/>
                <w:sz w:val="21"/>
                <w:szCs w:val="21"/>
                <w:highlight w:val="none"/>
                <w:lang w:val="en-US" w:eastAsia="zh-CN"/>
              </w:rPr>
              <w:t>为¥22963.39</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固定值</w:t>
            </w:r>
            <w:r>
              <w:rPr>
                <w:rFonts w:hint="eastAsia" w:ascii="宋体" w:hAnsi="宋体" w:eastAsia="宋体" w:cs="宋体"/>
                <w:b w:val="0"/>
                <w:bCs/>
                <w:color w:val="auto"/>
                <w:sz w:val="21"/>
                <w:szCs w:val="21"/>
                <w:highlight w:val="none"/>
                <w:lang w:eastAsia="zh-CN"/>
              </w:rPr>
              <w:t>）</w:t>
            </w:r>
            <w:r>
              <w:rPr>
                <w:rFonts w:hint="eastAsia" w:hAnsi="宋体" w:cs="宋体"/>
                <w:b w:val="0"/>
                <w:bCs/>
                <w:color w:val="auto"/>
                <w:sz w:val="21"/>
                <w:szCs w:val="21"/>
                <w:highlight w:val="none"/>
                <w:lang w:eastAsia="zh-CN"/>
              </w:rPr>
              <w:t>。</w:t>
            </w:r>
          </w:p>
          <w:p>
            <w:pPr>
              <w:pStyle w:val="2"/>
              <w:widowControl/>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账户名称：广州南沙建设维护管理有限公司</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开户银行：中国工商银行广东自由贸易试验区南沙分行 </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账号：3602056909200030855</w:t>
            </w:r>
          </w:p>
          <w:p>
            <w:pPr>
              <w:numPr>
                <w:ilvl w:val="0"/>
                <w:numId w:val="0"/>
              </w:numPr>
              <w:adjustRightInd w:val="0"/>
              <w:snapToGrid w:val="0"/>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）17时00分前以投标人转出【汇款时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天后宫新建低压线路工程施工（第二次）</w:t>
            </w:r>
            <w:r>
              <w:rPr>
                <w:rFonts w:hint="eastAsia" w:ascii="宋体" w:hAnsi="宋体" w:eastAsia="宋体" w:cs="宋体"/>
                <w:color w:val="auto"/>
                <w:szCs w:val="21"/>
                <w:highlight w:val="none"/>
              </w:rPr>
              <w:t>投标保证金】</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3号楼7楼会议</w:t>
            </w:r>
            <w:r>
              <w:rPr>
                <w:rFonts w:hint="eastAsia" w:ascii="宋体" w:hAnsi="宋体" w:eastAsia="宋体" w:cs="宋体"/>
                <w:b w:val="0"/>
                <w:bCs/>
                <w:color w:val="auto"/>
                <w:sz w:val="21"/>
                <w:szCs w:val="21"/>
                <w:highlight w:val="none"/>
              </w:rPr>
              <w:t>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时00分至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时30分前。</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五</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3号楼7楼会议</w:t>
            </w:r>
            <w:r>
              <w:rPr>
                <w:rFonts w:hint="eastAsia" w:ascii="宋体" w:hAnsi="宋体" w:eastAsia="宋体" w:cs="宋体"/>
                <w:b w:val="0"/>
                <w:bCs/>
                <w:color w:val="auto"/>
                <w:sz w:val="21"/>
                <w:szCs w:val="21"/>
                <w:highlight w:val="none"/>
              </w:rPr>
              <w:t>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pPr>
        <w:pStyle w:val="2"/>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pPr>
        <w:pStyle w:val="2"/>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4"/>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为统筹利用天后宫景区用电，推进景区内部电网提升改造，拟从天后宫1号箱变，新做埋地电缆管并铺设电缆至餐吧和在建餐厅等区域。总投资约</w:t>
      </w:r>
      <w:r>
        <w:rPr>
          <w:rFonts w:hint="eastAsia" w:ascii="仿宋_GB2312" w:hAnsi="仿宋_GB2312" w:eastAsia="仿宋_GB2312" w:cs="仿宋_GB2312"/>
          <w:b w:val="0"/>
          <w:bCs/>
          <w:color w:val="auto"/>
          <w:sz w:val="32"/>
          <w:szCs w:val="32"/>
          <w:highlight w:val="none"/>
          <w:lang w:val="en-US" w:eastAsia="zh-CN"/>
        </w:rPr>
        <w:t>137万元。</w:t>
      </w:r>
    </w:p>
    <w:p>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23"/>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项目建设内容包括</w:t>
      </w:r>
      <w:r>
        <w:rPr>
          <w:rFonts w:hint="eastAsia" w:ascii="仿宋_GB2312" w:hAnsi="仿宋_GB2312" w:eastAsia="仿宋_GB2312" w:cs="仿宋_GB2312"/>
          <w:b w:val="0"/>
          <w:bCs/>
          <w:color w:val="auto"/>
          <w:sz w:val="32"/>
          <w:szCs w:val="32"/>
          <w:highlight w:val="none"/>
          <w:lang w:val="en-US" w:eastAsia="zh-CN"/>
        </w:rPr>
        <w:t>但不限于：</w:t>
      </w:r>
      <w:r>
        <w:rPr>
          <w:rFonts w:hint="eastAsia" w:ascii="仿宋_GB2312" w:hAnsi="仿宋_GB2312" w:eastAsia="仿宋_GB2312" w:cs="仿宋_GB2312"/>
          <w:b w:val="0"/>
          <w:bCs/>
          <w:color w:val="auto"/>
          <w:sz w:val="32"/>
          <w:szCs w:val="32"/>
          <w:highlight w:val="none"/>
          <w:lang w:eastAsia="zh-CN"/>
        </w:rPr>
        <w:t>新建埋地电缆管、电缆井，改造原低压出线柜、铺设电缆、安装配电箱，地面开挖、修复</w:t>
      </w:r>
      <w:r>
        <w:rPr>
          <w:rFonts w:hint="eastAsia" w:ascii="仿宋_GB2312" w:hAnsi="仿宋_GB2312" w:eastAsia="仿宋_GB2312" w:cs="仿宋_GB2312"/>
          <w:b w:val="0"/>
          <w:bCs/>
          <w:color w:val="auto"/>
          <w:sz w:val="32"/>
          <w:szCs w:val="32"/>
          <w:highlight w:val="none"/>
          <w:lang w:val="en-US" w:eastAsia="zh-CN"/>
        </w:rPr>
        <w:t>等，最终以实际工程量清单和图纸为准</w:t>
      </w:r>
      <w:r>
        <w:rPr>
          <w:rFonts w:hint="eastAsia" w:ascii="仿宋_GB2312" w:hAnsi="仿宋_GB2312" w:eastAsia="仿宋_GB2312" w:cs="仿宋_GB2312"/>
          <w:color w:val="auto"/>
          <w:sz w:val="32"/>
          <w:szCs w:val="32"/>
          <w:highlight w:val="none"/>
        </w:rPr>
        <w:t>。</w:t>
      </w:r>
    </w:p>
    <w:p>
      <w:pPr>
        <w:pStyle w:val="23"/>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天后宫新建低压线路工程施工（第二次）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天后宫新建低压线路工程施工（第二次）</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9"/>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天后宫新建低压线路工程施工（第二次）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326909213"/>
      <w:bookmarkEnd w:id="11"/>
      <w:bookmarkStart w:id="12" w:name="_Toc197235848"/>
      <w:bookmarkEnd w:id="12"/>
      <w:bookmarkStart w:id="13" w:name="_Toc196037097"/>
      <w:bookmarkEnd w:id="13"/>
      <w:bookmarkStart w:id="14" w:name="_Toc199647675"/>
      <w:bookmarkEnd w:id="14"/>
      <w:bookmarkStart w:id="15" w:name="_Toc459403394"/>
      <w:bookmarkEnd w:id="15"/>
      <w:bookmarkStart w:id="16" w:name="_Toc196130110"/>
      <w:bookmarkEnd w:id="16"/>
      <w:bookmarkStart w:id="17" w:name="_Toc196036941"/>
      <w:bookmarkEnd w:id="17"/>
      <w:bookmarkStart w:id="18" w:name="_Toc196130013"/>
      <w:bookmarkEnd w:id="18"/>
      <w:bookmarkStart w:id="19" w:name="_Toc415728297"/>
      <w:bookmarkEnd w:id="19"/>
      <w:bookmarkStart w:id="20" w:name="_Toc41822703"/>
      <w:bookmarkEnd w:id="20"/>
      <w:bookmarkStart w:id="21" w:name="_Toc41583350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014"/>
      <w:bookmarkEnd w:id="24"/>
      <w:bookmarkStart w:id="25" w:name="_Toc415833504"/>
      <w:bookmarkEnd w:id="25"/>
      <w:bookmarkStart w:id="26" w:name="_Toc415728298"/>
      <w:bookmarkEnd w:id="26"/>
      <w:bookmarkStart w:id="27" w:name="_Toc199647676"/>
      <w:bookmarkEnd w:id="27"/>
      <w:bookmarkStart w:id="28" w:name="_Toc459403395"/>
      <w:bookmarkEnd w:id="28"/>
      <w:bookmarkStart w:id="29" w:name="_Toc196037098"/>
      <w:bookmarkEnd w:id="29"/>
      <w:bookmarkStart w:id="30" w:name="_Toc196130111"/>
      <w:bookmarkEnd w:id="30"/>
      <w:bookmarkStart w:id="31" w:name="_Toc326909214"/>
      <w:bookmarkEnd w:id="31"/>
      <w:bookmarkStart w:id="32" w:name="_Toc196036942"/>
      <w:bookmarkEnd w:id="32"/>
      <w:bookmarkStart w:id="33" w:name="_Toc197235849"/>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天后宫新建低压线路工程施工（第二次）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w:t>
            </w:r>
            <w:r>
              <w:rPr>
                <w:rFonts w:hint="eastAsia" w:ascii="宋体" w:hAnsi="宋体" w:eastAsia="宋体" w:cs="宋体"/>
                <w:b w:val="0"/>
                <w:bCs/>
                <w:color w:val="auto"/>
                <w:sz w:val="21"/>
                <w:szCs w:val="21"/>
                <w:highlight w:val="none"/>
                <w:lang w:val="en-US" w:eastAsia="zh-CN"/>
              </w:rPr>
              <w:t>22963.39</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6"/>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图纸（另附）</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8"/>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984"/>
        <w:gridCol w:w="529"/>
        <w:gridCol w:w="807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评分项目</w:t>
            </w:r>
          </w:p>
        </w:tc>
        <w:tc>
          <w:tcPr>
            <w:tcW w:w="0" w:type="auto"/>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评分内容</w:t>
            </w:r>
          </w:p>
        </w:tc>
        <w:tc>
          <w:tcPr>
            <w:tcW w:w="0" w:type="auto"/>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分值</w:t>
            </w:r>
          </w:p>
        </w:tc>
        <w:tc>
          <w:tcPr>
            <w:tcW w:w="8075" w:type="dxa"/>
            <w:vAlign w:val="center"/>
          </w:tcPr>
          <w:p>
            <w:pPr>
              <w:spacing w:line="360" w:lineRule="exact"/>
              <w:jc w:val="center"/>
              <w:rPr>
                <w:rFonts w:ascii="宋体" w:hAnsi="宋体"/>
                <w:b/>
                <w:color w:val="auto"/>
                <w:sz w:val="28"/>
                <w:szCs w:val="28"/>
                <w:highlight w:val="none"/>
                <w:vertAlign w:val="baseline"/>
              </w:rPr>
            </w:pPr>
            <w:r>
              <w:rPr>
                <w:rFonts w:hint="eastAsia"/>
                <w:color w:val="auto"/>
                <w:szCs w:val="21"/>
                <w:highlight w:val="none"/>
              </w:rPr>
              <w:t>评审标准</w:t>
            </w:r>
          </w:p>
        </w:tc>
        <w:tc>
          <w:tcPr>
            <w:tcW w:w="689" w:type="dxa"/>
            <w:vAlign w:val="center"/>
          </w:tcPr>
          <w:p>
            <w:pPr>
              <w:spacing w:line="360" w:lineRule="exact"/>
              <w:jc w:val="center"/>
              <w:rPr>
                <w:rFonts w:hint="eastAsia" w:eastAsia="宋体"/>
                <w:color w:val="auto"/>
                <w:szCs w:val="21"/>
                <w:highlight w:val="none"/>
                <w:lang w:val="en-US" w:eastAsia="zh-CN"/>
              </w:rPr>
            </w:pPr>
            <w:r>
              <w:rPr>
                <w:rFonts w:hint="eastAsia"/>
                <w:color w:val="auto"/>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5" w:hRule="atLeast"/>
        </w:trPr>
        <w:tc>
          <w:tcPr>
            <w:tcW w:w="0" w:type="auto"/>
            <w:vMerge w:val="restart"/>
            <w:vAlign w:val="center"/>
          </w:tcPr>
          <w:p>
            <w:pPr>
              <w:spacing w:line="360" w:lineRule="exact"/>
              <w:jc w:val="center"/>
              <w:rPr>
                <w:rFonts w:hint="eastAsia" w:ascii="宋体" w:hAnsi="宋体" w:cs="宋体"/>
                <w:b w:val="0"/>
                <w:color w:val="auto"/>
                <w:sz w:val="21"/>
                <w:szCs w:val="21"/>
                <w:highlight w:val="none"/>
                <w:vertAlign w:val="baseline"/>
                <w:lang w:eastAsia="zh-CN"/>
              </w:rPr>
            </w:pPr>
            <w:r>
              <w:rPr>
                <w:rFonts w:hint="eastAsia" w:ascii="宋体" w:hAnsi="宋体" w:cs="宋体"/>
                <w:b w:val="0"/>
                <w:color w:val="auto"/>
                <w:sz w:val="21"/>
                <w:szCs w:val="21"/>
                <w:highlight w:val="none"/>
                <w:vertAlign w:val="baseline"/>
                <w:lang w:eastAsia="zh-CN"/>
              </w:rPr>
              <w:t>商务部分</w:t>
            </w:r>
          </w:p>
          <w:p>
            <w:pPr>
              <w:spacing w:line="360" w:lineRule="exact"/>
              <w:jc w:val="center"/>
              <w:rPr>
                <w:rFonts w:hint="eastAsia" w:ascii="Calibri" w:hAnsi="Calibri"/>
                <w:b w:val="0"/>
                <w:color w:val="auto"/>
                <w:sz w:val="21"/>
                <w:szCs w:val="21"/>
                <w:highlight w:val="none"/>
                <w:vertAlign w:val="baseline"/>
              </w:rPr>
            </w:pPr>
            <w:r>
              <w:rPr>
                <w:rFonts w:hint="eastAsia" w:ascii="宋体" w:hAnsi="宋体" w:cs="宋体"/>
                <w:b w:val="0"/>
                <w:color w:val="auto"/>
                <w:sz w:val="21"/>
                <w:szCs w:val="21"/>
                <w:highlight w:val="none"/>
                <w:vertAlign w:val="baseline"/>
              </w:rPr>
              <w:t>（</w:t>
            </w:r>
            <w:r>
              <w:rPr>
                <w:rFonts w:hint="eastAsia" w:ascii="宋体" w:hAnsi="宋体" w:cs="宋体"/>
                <w:b w:val="0"/>
                <w:color w:val="auto"/>
                <w:sz w:val="21"/>
                <w:szCs w:val="21"/>
                <w:highlight w:val="none"/>
                <w:vertAlign w:val="baseline"/>
                <w:lang w:val="en-US" w:eastAsia="zh-CN"/>
              </w:rPr>
              <w:t>50</w:t>
            </w:r>
            <w:r>
              <w:rPr>
                <w:rFonts w:hint="eastAsia" w:ascii="宋体" w:hAnsi="宋体" w:cs="宋体"/>
                <w:b w:val="0"/>
                <w:color w:val="auto"/>
                <w:sz w:val="21"/>
                <w:szCs w:val="21"/>
                <w:highlight w:val="none"/>
                <w:vertAlign w:val="baseline"/>
              </w:rPr>
              <w:t>分）</w:t>
            </w: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b w:val="0"/>
                <w:color w:val="auto"/>
                <w:sz w:val="21"/>
                <w:szCs w:val="21"/>
                <w:highlight w:val="none"/>
                <w:vertAlign w:val="baseline"/>
                <w:lang w:val="en-US" w:eastAsia="zh-CN"/>
              </w:rPr>
              <w:t>认证体系</w:t>
            </w:r>
          </w:p>
        </w:tc>
        <w:tc>
          <w:tcPr>
            <w:tcW w:w="0" w:type="auto"/>
            <w:vAlign w:val="center"/>
          </w:tcPr>
          <w:p>
            <w:pPr>
              <w:spacing w:line="360" w:lineRule="exact"/>
              <w:jc w:val="center"/>
              <w:rPr>
                <w:rFonts w:hint="eastAsia" w:ascii="宋体" w:hAnsi="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lang w:val="en-US" w:eastAsia="zh-CN"/>
              </w:rPr>
              <w:t>6</w:t>
            </w:r>
          </w:p>
        </w:tc>
        <w:tc>
          <w:tcPr>
            <w:tcW w:w="8075" w:type="dxa"/>
            <w:vAlign w:val="center"/>
          </w:tcPr>
          <w:p>
            <w:pPr>
              <w:pStyle w:val="45"/>
              <w:wordWrap w:val="0"/>
              <w:topLinePunct/>
              <w:adjustRightInd w:val="0"/>
              <w:spacing w:line="360" w:lineRule="exact"/>
              <w:rPr>
                <w:rFonts w:hint="eastAsia" w:ascii="宋体" w:hAnsi="宋体" w:eastAsia="宋体" w:cs="宋体"/>
                <w:b w:val="0"/>
                <w:bCs w:val="0"/>
                <w:color w:val="auto"/>
                <w:kern w:val="0"/>
                <w:szCs w:val="21"/>
                <w:highlight w:val="none"/>
              </w:rPr>
            </w:pPr>
            <w:r>
              <w:rPr>
                <w:rFonts w:hint="eastAsia" w:ascii="宋体" w:hAnsi="宋体" w:eastAsia="宋体" w:cs="宋体"/>
                <w:color w:val="auto"/>
                <w:kern w:val="0"/>
                <w:szCs w:val="21"/>
                <w:highlight w:val="none"/>
              </w:rPr>
              <w:t>投标人具有有效的质量管理体系认证证书、环境管理体系认证证书、职业健康安全管理体系认证证书，每</w:t>
            </w:r>
            <w:r>
              <w:rPr>
                <w:rFonts w:hint="eastAsia" w:ascii="宋体" w:hAnsi="宋体" w:cs="宋体"/>
                <w:color w:val="auto"/>
                <w:kern w:val="0"/>
                <w:szCs w:val="21"/>
                <w:highlight w:val="none"/>
                <w:lang w:val="en-US" w:eastAsia="zh-CN"/>
              </w:rPr>
              <w:t>提供</w:t>
            </w:r>
            <w:r>
              <w:rPr>
                <w:rFonts w:hint="eastAsia" w:ascii="宋体" w:hAnsi="宋体" w:eastAsia="宋体" w:cs="宋体"/>
                <w:color w:val="auto"/>
                <w:kern w:val="0"/>
                <w:szCs w:val="21"/>
                <w:highlight w:val="none"/>
              </w:rPr>
              <w:t>一</w:t>
            </w:r>
            <w:r>
              <w:rPr>
                <w:rFonts w:hint="eastAsia" w:ascii="宋体" w:hAnsi="宋体" w:eastAsia="宋体" w:cs="宋体"/>
                <w:b w:val="0"/>
                <w:bCs w:val="0"/>
                <w:color w:val="auto"/>
                <w:kern w:val="0"/>
                <w:szCs w:val="21"/>
                <w:highlight w:val="none"/>
              </w:rPr>
              <w:t>个证书</w:t>
            </w:r>
            <w:r>
              <w:rPr>
                <w:rFonts w:hint="eastAsia" w:ascii="宋体" w:hAnsi="宋体" w:eastAsia="宋体" w:cs="宋体"/>
                <w:b w:val="0"/>
                <w:bCs w:val="0"/>
                <w:color w:val="auto"/>
                <w:kern w:val="0"/>
                <w:szCs w:val="21"/>
                <w:highlight w:val="none"/>
                <w:shd w:val="clear"/>
                <w:lang w:val="en-US" w:eastAsia="zh-CN"/>
              </w:rPr>
              <w:t>得</w:t>
            </w:r>
            <w:r>
              <w:rPr>
                <w:rFonts w:hint="eastAsia" w:ascii="宋体" w:hAnsi="宋体" w:cs="宋体"/>
                <w:b w:val="0"/>
                <w:bCs w:val="0"/>
                <w:color w:val="auto"/>
                <w:kern w:val="0"/>
                <w:szCs w:val="21"/>
                <w:highlight w:val="none"/>
                <w:shd w:val="clear"/>
                <w:lang w:val="en-US" w:eastAsia="zh-CN"/>
              </w:rPr>
              <w:t>2</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。本项最高</w:t>
            </w:r>
            <w:r>
              <w:rPr>
                <w:rFonts w:hint="eastAsia" w:ascii="宋体" w:hAnsi="宋体" w:eastAsia="宋体" w:cs="宋体"/>
                <w:b w:val="0"/>
                <w:bCs w:val="0"/>
                <w:color w:val="auto"/>
                <w:kern w:val="0"/>
                <w:szCs w:val="21"/>
                <w:highlight w:val="none"/>
                <w:shd w:val="clear"/>
              </w:rPr>
              <w:t>得</w:t>
            </w:r>
            <w:r>
              <w:rPr>
                <w:rFonts w:hint="eastAsia" w:ascii="宋体" w:hAnsi="宋体" w:cs="宋体"/>
                <w:b w:val="0"/>
                <w:bCs w:val="0"/>
                <w:color w:val="auto"/>
                <w:kern w:val="0"/>
                <w:szCs w:val="21"/>
                <w:highlight w:val="none"/>
                <w:shd w:val="clear"/>
                <w:lang w:val="en-US" w:eastAsia="zh-CN"/>
              </w:rPr>
              <w:t>6</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w:t>
            </w:r>
          </w:p>
          <w:p>
            <w:pPr>
              <w:pStyle w:val="45"/>
              <w:wordWrap w:val="0"/>
              <w:topLinePunct/>
              <w:autoSpaceDE w:val="0"/>
              <w:autoSpaceDN w:val="0"/>
              <w:adjustRightInd w:val="0"/>
              <w:rPr>
                <w:rFonts w:hint="eastAsia" w:ascii="宋体" w:hAnsi="宋体" w:cs="宋体"/>
                <w:b w:val="0"/>
                <w:color w:val="auto"/>
                <w:kern w:val="0"/>
                <w:sz w:val="21"/>
                <w:szCs w:val="21"/>
                <w:highlight w:val="none"/>
                <w:vertAlign w:val="baseline"/>
              </w:rPr>
            </w:pPr>
            <w:r>
              <w:rPr>
                <w:rFonts w:hint="eastAsia" w:ascii="宋体" w:hAnsi="宋体" w:eastAsia="宋体" w:cs="宋体"/>
                <w:b w:val="0"/>
                <w:bCs w:val="0"/>
                <w:color w:val="auto"/>
                <w:kern w:val="0"/>
                <w:szCs w:val="21"/>
                <w:highlight w:val="none"/>
              </w:rPr>
              <w:t>注：</w:t>
            </w:r>
            <w:r>
              <w:rPr>
                <w:rFonts w:hint="eastAsia" w:ascii="宋体" w:hAnsi="宋体" w:eastAsia="宋体" w:cs="宋体"/>
                <w:b w:val="0"/>
                <w:bCs w:val="0"/>
                <w:color w:val="auto"/>
                <w:kern w:val="0"/>
                <w:sz w:val="21"/>
                <w:szCs w:val="21"/>
                <w:highlight w:val="none"/>
              </w:rPr>
              <w:t>（须提供</w:t>
            </w:r>
            <w:r>
              <w:rPr>
                <w:rFonts w:hint="eastAsia" w:ascii="宋体" w:hAnsi="宋体" w:eastAsia="宋体" w:cs="宋体"/>
                <w:b w:val="0"/>
                <w:bCs w:val="0"/>
                <w:color w:val="auto"/>
                <w:kern w:val="0"/>
                <w:sz w:val="21"/>
                <w:szCs w:val="21"/>
                <w:highlight w:val="none"/>
                <w:lang w:val="en-US" w:eastAsia="zh-CN"/>
              </w:rPr>
              <w:t>以上有效期内的</w:t>
            </w:r>
            <w:r>
              <w:rPr>
                <w:rFonts w:hint="eastAsia" w:ascii="宋体" w:hAnsi="宋体" w:eastAsia="宋体" w:cs="宋体"/>
                <w:b w:val="0"/>
                <w:bCs w:val="0"/>
                <w:color w:val="auto"/>
                <w:kern w:val="0"/>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否则不得分。</w:t>
            </w:r>
            <w:r>
              <w:rPr>
                <w:rFonts w:hint="eastAsia" w:ascii="宋体" w:hAnsi="宋体" w:eastAsia="宋体" w:cs="宋体"/>
                <w:b w:val="0"/>
                <w:bCs w:val="0"/>
                <w:color w:val="auto"/>
                <w:kern w:val="0"/>
                <w:sz w:val="21"/>
                <w:szCs w:val="21"/>
                <w:highlight w:val="none"/>
              </w:rPr>
              <w:t>）</w:t>
            </w:r>
          </w:p>
        </w:tc>
        <w:tc>
          <w:tcPr>
            <w:tcW w:w="689" w:type="dxa"/>
            <w:vAlign w:val="center"/>
          </w:tcPr>
          <w:p>
            <w:pPr>
              <w:pStyle w:val="45"/>
              <w:wordWrap w:val="0"/>
              <w:topLinePunct/>
              <w:autoSpaceDE w:val="0"/>
              <w:autoSpaceDN w:val="0"/>
              <w:adjustRightInd w:val="0"/>
              <w:rPr>
                <w:rFonts w:hint="eastAsia" w:ascii="宋体" w:hAnsi="宋体" w:eastAsia="宋体" w:cs="宋体"/>
                <w:b w:val="0"/>
                <w:bCs w:val="0"/>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0" w:type="auto"/>
            <w:vMerge w:val="continue"/>
            <w:vAlign w:val="center"/>
          </w:tcPr>
          <w:p>
            <w:pPr>
              <w:spacing w:line="360" w:lineRule="exact"/>
              <w:jc w:val="center"/>
              <w:rPr>
                <w:rFonts w:hint="eastAsia" w:ascii="Calibri" w:hAnsi="Calibri"/>
                <w:b w:val="0"/>
                <w:color w:val="auto"/>
                <w:sz w:val="21"/>
                <w:szCs w:val="21"/>
                <w:highlight w:val="none"/>
                <w:vertAlign w:val="baseline"/>
              </w:rPr>
            </w:pP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ascii="Calibri" w:hAnsi="Calibri"/>
                <w:b w:val="0"/>
                <w:color w:val="auto"/>
                <w:sz w:val="21"/>
                <w:szCs w:val="21"/>
                <w:highlight w:val="none"/>
                <w:vertAlign w:val="baseline"/>
              </w:rPr>
              <w:t>企业业绩</w:t>
            </w:r>
          </w:p>
        </w:tc>
        <w:tc>
          <w:tcPr>
            <w:tcW w:w="0" w:type="auto"/>
            <w:vAlign w:val="center"/>
          </w:tcPr>
          <w:p>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 w:val="21"/>
                <w:szCs w:val="21"/>
                <w:highlight w:val="none"/>
                <w:lang w:val="en-US" w:eastAsia="zh-CN"/>
              </w:rPr>
              <w:t>20</w:t>
            </w:r>
          </w:p>
        </w:tc>
        <w:tc>
          <w:tcPr>
            <w:tcW w:w="8075" w:type="dxa"/>
            <w:vAlign w:val="center"/>
          </w:tcPr>
          <w:p>
            <w:pPr>
              <w:pStyle w:val="45"/>
              <w:numPr>
                <w:ilvl w:val="0"/>
                <w:numId w:val="5"/>
              </w:numPr>
              <w:wordWrap w:val="0"/>
              <w:topLinePunct/>
              <w:autoSpaceDE w:val="0"/>
              <w:autoSpaceDN w:val="0"/>
              <w:adjustRightInd w:val="0"/>
              <w:spacing w:line="36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zh-CN"/>
              </w:rPr>
              <w:t>提供</w:t>
            </w:r>
            <w:r>
              <w:rPr>
                <w:rFonts w:hint="eastAsia" w:ascii="宋体" w:hAnsi="宋体" w:cs="宋体"/>
                <w:color w:val="auto"/>
                <w:kern w:val="0"/>
                <w:szCs w:val="21"/>
                <w:highlight w:val="none"/>
              </w:rPr>
              <w:t>201</w:t>
            </w: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年1月1日以来承接的</w:t>
            </w:r>
            <w:r>
              <w:rPr>
                <w:rFonts w:hint="eastAsia" w:ascii="宋体" w:hAnsi="宋体" w:cs="宋体"/>
                <w:color w:val="auto"/>
                <w:kern w:val="0"/>
                <w:szCs w:val="21"/>
                <w:highlight w:val="none"/>
                <w:lang w:val="en-US" w:eastAsia="zh-CN"/>
              </w:rPr>
              <w:t>60万元或以上电力建筑</w:t>
            </w:r>
            <w:r>
              <w:rPr>
                <w:rFonts w:hint="eastAsia" w:ascii="宋体" w:hAnsi="宋体" w:cs="宋体"/>
                <w:color w:val="auto"/>
                <w:kern w:val="0"/>
                <w:szCs w:val="21"/>
                <w:highlight w:val="none"/>
              </w:rPr>
              <w:t>工程</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或电气工程专业</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类项目业绩，每提供一项得</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分，最高得</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rPr>
              <w:t>分。</w:t>
            </w:r>
          </w:p>
          <w:p>
            <w:pPr>
              <w:pStyle w:val="45"/>
              <w:numPr>
                <w:ilvl w:val="0"/>
                <w:numId w:val="5"/>
              </w:numPr>
              <w:wordWrap w:val="0"/>
              <w:topLinePunct/>
              <w:autoSpaceDE w:val="0"/>
              <w:autoSpaceDN w:val="0"/>
              <w:adjustRightInd w:val="0"/>
              <w:spacing w:line="360" w:lineRule="exact"/>
              <w:jc w:val="left"/>
              <w:rPr>
                <w:rFonts w:hint="eastAsia" w:ascii="Calibri" w:hAnsi="Calibri" w:eastAsia="宋体" w:cs="Times New Roman"/>
                <w:b w:val="0"/>
                <w:color w:val="auto"/>
                <w:sz w:val="21"/>
                <w:szCs w:val="21"/>
                <w:highlight w:val="none"/>
                <w:vertAlign w:val="baseline"/>
                <w:lang w:eastAsia="zh-CN"/>
              </w:rPr>
            </w:pPr>
            <w:r>
              <w:rPr>
                <w:rFonts w:hint="eastAsia" w:ascii="宋体" w:hAnsi="宋体" w:cs="宋体"/>
                <w:color w:val="auto"/>
                <w:kern w:val="0"/>
                <w:szCs w:val="21"/>
                <w:highlight w:val="none"/>
                <w:lang w:eastAsia="zh-CN"/>
              </w:rPr>
              <w:t>提供与</w:t>
            </w:r>
            <w:r>
              <w:rPr>
                <w:rFonts w:hint="default" w:ascii="宋体" w:hAnsi="宋体" w:cs="宋体"/>
                <w:color w:val="auto"/>
                <w:kern w:val="0"/>
                <w:szCs w:val="21"/>
                <w:highlight w:val="none"/>
                <w:lang w:val="en-US"/>
              </w:rPr>
              <w:t>4A级</w:t>
            </w:r>
            <w:r>
              <w:rPr>
                <w:rFonts w:hint="eastAsia" w:ascii="宋体" w:hAnsi="宋体" w:cs="宋体"/>
                <w:color w:val="auto"/>
                <w:kern w:val="0"/>
                <w:szCs w:val="21"/>
                <w:highlight w:val="none"/>
                <w:lang w:val="en-US" w:eastAsia="zh-CN"/>
              </w:rPr>
              <w:t>（或以上）</w:t>
            </w:r>
            <w:r>
              <w:rPr>
                <w:rFonts w:hint="default" w:ascii="宋体" w:hAnsi="宋体" w:cs="宋体"/>
                <w:color w:val="auto"/>
                <w:kern w:val="0"/>
                <w:szCs w:val="21"/>
                <w:highlight w:val="none"/>
                <w:lang w:val="en-US"/>
              </w:rPr>
              <w:t>风景区</w:t>
            </w:r>
            <w:r>
              <w:rPr>
                <w:rFonts w:hint="eastAsia" w:ascii="宋体" w:hAnsi="宋体" w:cs="宋体"/>
                <w:color w:val="auto"/>
                <w:kern w:val="0"/>
                <w:szCs w:val="21"/>
                <w:highlight w:val="none"/>
                <w:lang w:val="en-US" w:eastAsia="zh-CN"/>
              </w:rPr>
              <w:t>合作的相关业绩，</w:t>
            </w:r>
            <w:r>
              <w:rPr>
                <w:rFonts w:hint="eastAsia" w:ascii="宋体" w:hAnsi="宋体" w:cs="宋体"/>
                <w:color w:val="auto"/>
                <w:kern w:val="0"/>
                <w:szCs w:val="21"/>
                <w:highlight w:val="none"/>
              </w:rPr>
              <w:t>每提供一项得</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最高得</w:t>
            </w: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分。</w:t>
            </w:r>
          </w:p>
          <w:p>
            <w:pPr>
              <w:pStyle w:val="45"/>
              <w:numPr>
                <w:ilvl w:val="-1"/>
                <w:numId w:val="0"/>
              </w:numPr>
              <w:wordWrap w:val="0"/>
              <w:topLinePunct/>
              <w:autoSpaceDE w:val="0"/>
              <w:autoSpaceDN w:val="0"/>
              <w:adjustRightInd w:val="0"/>
              <w:spacing w:line="360" w:lineRule="exact"/>
              <w:jc w:val="left"/>
              <w:rPr>
                <w:rFonts w:hint="eastAsia" w:ascii="Calibri" w:hAnsi="Calibri" w:eastAsia="宋体" w:cs="Times New Roman"/>
                <w:b w:val="0"/>
                <w:color w:val="auto"/>
                <w:sz w:val="21"/>
                <w:szCs w:val="21"/>
                <w:highlight w:val="none"/>
                <w:vertAlign w:val="baseline"/>
                <w:lang w:eastAsia="zh-CN"/>
              </w:rPr>
            </w:pPr>
            <w:r>
              <w:rPr>
                <w:rFonts w:hint="eastAsia" w:ascii="宋体" w:hAnsi="宋体" w:cs="宋体"/>
                <w:color w:val="auto"/>
                <w:kern w:val="0"/>
                <w:szCs w:val="21"/>
                <w:highlight w:val="none"/>
                <w:lang w:val="en-US" w:eastAsia="zh-CN"/>
              </w:rPr>
              <w:t>注：业绩</w:t>
            </w:r>
            <w:r>
              <w:rPr>
                <w:rFonts w:hint="eastAsia" w:ascii="宋体" w:hAnsi="宋体" w:cs="宋体"/>
                <w:color w:val="auto"/>
                <w:kern w:val="0"/>
                <w:szCs w:val="21"/>
                <w:highlight w:val="none"/>
              </w:rPr>
              <w:t>以合同签订时间为准，</w:t>
            </w:r>
            <w:r>
              <w:rPr>
                <w:rFonts w:hint="eastAsia" w:ascii="宋体" w:hAnsi="宋体" w:cs="宋体"/>
                <w:color w:val="auto"/>
                <w:kern w:val="0"/>
                <w:szCs w:val="21"/>
                <w:highlight w:val="none"/>
                <w:lang w:eastAsia="zh-CN"/>
              </w:rPr>
              <w:t>需</w:t>
            </w:r>
            <w:r>
              <w:rPr>
                <w:rFonts w:hint="eastAsia" w:ascii="宋体" w:hAnsi="宋体" w:cs="宋体"/>
                <w:color w:val="auto"/>
                <w:kern w:val="0"/>
                <w:szCs w:val="21"/>
                <w:highlight w:val="none"/>
              </w:rPr>
              <w:t>提供合同</w:t>
            </w:r>
            <w:r>
              <w:rPr>
                <w:rFonts w:hint="eastAsia" w:ascii="宋体" w:hAnsi="宋体" w:cs="宋体"/>
                <w:color w:val="auto"/>
                <w:kern w:val="0"/>
                <w:szCs w:val="21"/>
                <w:highlight w:val="none"/>
                <w:lang w:val="en-US" w:eastAsia="zh-CN"/>
              </w:rPr>
              <w:t>关键页</w:t>
            </w:r>
            <w:r>
              <w:rPr>
                <w:rFonts w:hint="eastAsia" w:ascii="宋体" w:hAnsi="宋体" w:cs="宋体"/>
                <w:color w:val="auto"/>
                <w:kern w:val="0"/>
                <w:szCs w:val="21"/>
                <w:highlight w:val="none"/>
              </w:rPr>
              <w:t>复印件加盖投标人公章</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不提供、提供不全的不得分</w:t>
            </w:r>
            <w:r>
              <w:rPr>
                <w:rFonts w:hint="eastAsia" w:ascii="宋体" w:hAnsi="宋体" w:cs="宋体"/>
                <w:color w:val="auto"/>
                <w:kern w:val="0"/>
                <w:szCs w:val="21"/>
                <w:highlight w:val="none"/>
                <w:lang w:eastAsia="zh-CN"/>
              </w:rPr>
              <w:t>。</w:t>
            </w:r>
          </w:p>
        </w:tc>
        <w:tc>
          <w:tcPr>
            <w:tcW w:w="689" w:type="dxa"/>
            <w:vAlign w:val="center"/>
          </w:tcPr>
          <w:p>
            <w:pPr>
              <w:pStyle w:val="45"/>
              <w:wordWrap w:val="0"/>
              <w:topLinePunct/>
              <w:autoSpaceDE w:val="0"/>
              <w:autoSpaceDN w:val="0"/>
              <w:adjustRightInd w:val="0"/>
              <w:spacing w:line="360" w:lineRule="exact"/>
              <w:jc w:val="left"/>
              <w:rPr>
                <w:rFonts w:hint="eastAsia"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pPr>
              <w:spacing w:line="360" w:lineRule="exact"/>
              <w:jc w:val="center"/>
              <w:rPr>
                <w:rFonts w:hint="eastAsia" w:ascii="Calibri" w:hAnsi="Calibri"/>
                <w:b w:val="0"/>
                <w:color w:val="auto"/>
                <w:sz w:val="21"/>
                <w:szCs w:val="21"/>
                <w:highlight w:val="none"/>
                <w:vertAlign w:val="baseline"/>
              </w:rPr>
            </w:pP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ascii="Calibri" w:hAnsi="Calibri" w:cs="Times New Roman"/>
                <w:b w:val="0"/>
                <w:color w:val="auto"/>
                <w:sz w:val="21"/>
                <w:szCs w:val="21"/>
                <w:highlight w:val="none"/>
                <w:vertAlign w:val="baseline"/>
              </w:rPr>
              <w:t>财务情况</w:t>
            </w:r>
          </w:p>
        </w:tc>
        <w:tc>
          <w:tcPr>
            <w:tcW w:w="0" w:type="auto"/>
            <w:vAlign w:val="center"/>
          </w:tcPr>
          <w:p>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cs="宋体"/>
                <w:color w:val="auto"/>
                <w:szCs w:val="21"/>
                <w:highlight w:val="none"/>
                <w:lang w:val="en-US" w:eastAsia="zh-CN"/>
              </w:rPr>
              <w:t>10</w:t>
            </w:r>
          </w:p>
        </w:tc>
        <w:tc>
          <w:tcPr>
            <w:tcW w:w="8075" w:type="dxa"/>
            <w:vAlign w:val="center"/>
          </w:tcPr>
          <w:p>
            <w:pPr>
              <w:spacing w:line="360" w:lineRule="exact"/>
              <w:jc w:val="left"/>
              <w:rPr>
                <w:rFonts w:hint="eastAsia" w:ascii="Calibri" w:hAnsi="Calibri"/>
                <w:b w:val="0"/>
                <w:color w:val="auto"/>
                <w:sz w:val="21"/>
                <w:szCs w:val="21"/>
                <w:highlight w:val="none"/>
                <w:vertAlign w:val="baseline"/>
              </w:rPr>
            </w:pPr>
            <w:r>
              <w:rPr>
                <w:rFonts w:ascii="宋体" w:hAnsi="宋体" w:cs="宋体"/>
                <w:color w:val="auto"/>
                <w:highlight w:val="none"/>
              </w:rPr>
              <w:t>投标人近三年（20</w:t>
            </w:r>
            <w:r>
              <w:rPr>
                <w:rFonts w:hint="eastAsia" w:ascii="宋体" w:hAnsi="宋体" w:cs="宋体"/>
                <w:color w:val="auto"/>
                <w:highlight w:val="none"/>
                <w:lang w:val="en-US" w:eastAsia="zh-CN"/>
              </w:rPr>
              <w:t>21</w:t>
            </w:r>
            <w:r>
              <w:rPr>
                <w:rFonts w:ascii="宋体" w:hAnsi="宋体" w:cs="宋体"/>
                <w:color w:val="auto"/>
                <w:highlight w:val="none"/>
              </w:rPr>
              <w:t>、20</w:t>
            </w:r>
            <w:r>
              <w:rPr>
                <w:rFonts w:hint="eastAsia" w:ascii="宋体" w:hAnsi="宋体" w:cs="宋体"/>
                <w:color w:val="auto"/>
                <w:highlight w:val="none"/>
                <w:lang w:val="en-US" w:eastAsia="zh-CN"/>
              </w:rPr>
              <w:t>22</w:t>
            </w:r>
            <w:r>
              <w:rPr>
                <w:rFonts w:ascii="宋体" w:hAnsi="宋体" w:cs="宋体"/>
                <w:color w:val="auto"/>
                <w:highlight w:val="none"/>
              </w:rPr>
              <w:t>、</w:t>
            </w:r>
            <w:r>
              <w:rPr>
                <w:rFonts w:hint="eastAsia" w:ascii="宋体" w:hAnsi="宋体" w:cs="宋体"/>
                <w:color w:val="auto"/>
                <w:highlight w:val="none"/>
                <w:lang w:val="en-US" w:eastAsia="zh-CN"/>
              </w:rPr>
              <w:t>2023</w:t>
            </w:r>
            <w:r>
              <w:rPr>
                <w:rFonts w:ascii="宋体" w:hAnsi="宋体" w:cs="宋体"/>
                <w:color w:val="auto"/>
                <w:highlight w:val="none"/>
              </w:rPr>
              <w:t>年）的财务情况，①其中3年均盈利的，得</w:t>
            </w:r>
            <w:r>
              <w:rPr>
                <w:rFonts w:hint="eastAsia" w:ascii="宋体" w:hAnsi="宋体" w:cs="宋体"/>
                <w:color w:val="auto"/>
                <w:highlight w:val="none"/>
                <w:lang w:val="en-US" w:eastAsia="zh-CN"/>
              </w:rPr>
              <w:t>10</w:t>
            </w:r>
            <w:r>
              <w:rPr>
                <w:rFonts w:ascii="宋体" w:hAnsi="宋体" w:cs="宋体"/>
                <w:color w:val="auto"/>
                <w:highlight w:val="none"/>
              </w:rPr>
              <w:t>分；②其他情况不得分。本项最高得</w:t>
            </w:r>
            <w:r>
              <w:rPr>
                <w:rFonts w:hint="eastAsia" w:ascii="宋体" w:hAnsi="宋体" w:cs="宋体"/>
                <w:color w:val="auto"/>
                <w:highlight w:val="none"/>
                <w:lang w:val="en-US" w:eastAsia="zh-CN"/>
              </w:rPr>
              <w:t>10</w:t>
            </w:r>
            <w:r>
              <w:rPr>
                <w:rFonts w:ascii="宋体" w:hAnsi="宋体" w:cs="宋体"/>
                <w:color w:val="auto"/>
                <w:highlight w:val="none"/>
              </w:rPr>
              <w:t>分。</w:t>
            </w:r>
            <w:r>
              <w:rPr>
                <w:rFonts w:hint="eastAsia" w:ascii="宋体" w:hAnsi="宋体" w:cs="宋体"/>
                <w:color w:val="auto"/>
                <w:highlight w:val="none"/>
              </w:rPr>
              <w:t>注：</w:t>
            </w:r>
            <w:r>
              <w:rPr>
                <w:rFonts w:ascii="宋体" w:hAnsi="宋体" w:cs="宋体"/>
                <w:color w:val="auto"/>
                <w:highlight w:val="none"/>
              </w:rPr>
              <w:t>以投标人提供会计师事务所审计的财务报表复印件统计的数据作为评审依据。</w:t>
            </w:r>
          </w:p>
        </w:tc>
        <w:tc>
          <w:tcPr>
            <w:tcW w:w="689" w:type="dxa"/>
            <w:vAlign w:val="center"/>
          </w:tcPr>
          <w:p>
            <w:pPr>
              <w:spacing w:line="360" w:lineRule="exact"/>
              <w:jc w:val="left"/>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0" w:type="auto"/>
            <w:vMerge w:val="continue"/>
            <w:vAlign w:val="center"/>
          </w:tcPr>
          <w:p>
            <w:pPr>
              <w:spacing w:line="360" w:lineRule="exact"/>
              <w:jc w:val="center"/>
              <w:rPr>
                <w:rFonts w:hint="eastAsia" w:ascii="Calibri" w:hAnsi="Calibri"/>
                <w:b w:val="0"/>
                <w:color w:val="auto"/>
                <w:sz w:val="21"/>
                <w:szCs w:val="21"/>
                <w:highlight w:val="none"/>
                <w:vertAlign w:val="baseline"/>
              </w:rPr>
            </w:pPr>
          </w:p>
        </w:tc>
        <w:tc>
          <w:tcPr>
            <w:tcW w:w="0" w:type="auto"/>
            <w:vAlign w:val="center"/>
          </w:tcPr>
          <w:p>
            <w:pPr>
              <w:spacing w:line="360" w:lineRule="exact"/>
              <w:jc w:val="center"/>
              <w:rPr>
                <w:rFonts w:hint="eastAsia" w:ascii="Calibri" w:hAnsi="Calibri"/>
                <w:b w:val="0"/>
                <w:color w:val="auto"/>
                <w:sz w:val="21"/>
                <w:szCs w:val="21"/>
                <w:highlight w:val="none"/>
                <w:vertAlign w:val="baseline"/>
              </w:rPr>
            </w:pPr>
            <w:r>
              <w:rPr>
                <w:rFonts w:hint="eastAsia" w:ascii="Calibri" w:hAnsi="Calibri" w:cs="Times New Roman"/>
                <w:b w:val="0"/>
                <w:color w:val="auto"/>
                <w:sz w:val="21"/>
                <w:szCs w:val="21"/>
                <w:highlight w:val="none"/>
                <w:vertAlign w:val="baseline"/>
              </w:rPr>
              <w:t>拟投入项目管理机构及人员情况</w:t>
            </w:r>
          </w:p>
        </w:tc>
        <w:tc>
          <w:tcPr>
            <w:tcW w:w="0" w:type="auto"/>
            <w:vAlign w:val="center"/>
          </w:tcPr>
          <w:p>
            <w:pPr>
              <w:spacing w:line="360" w:lineRule="exact"/>
              <w:jc w:val="center"/>
              <w:rPr>
                <w:rFonts w:hint="default" w:ascii="宋体" w:hAnsi="宋体" w:cs="宋体"/>
                <w:b w:val="0"/>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14</w:t>
            </w:r>
          </w:p>
        </w:tc>
        <w:tc>
          <w:tcPr>
            <w:tcW w:w="8075" w:type="dxa"/>
            <w:vAlign w:val="center"/>
          </w:tcPr>
          <w:p>
            <w:pPr>
              <w:jc w:val="left"/>
              <w:rPr>
                <w:rFonts w:hint="eastAsia" w:ascii="宋体" w:hAnsi="宋体" w:cs="宋体" w:eastAsiaTheme="minorEastAsia"/>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）项目</w:t>
            </w:r>
            <w:r>
              <w:rPr>
                <w:rFonts w:hint="eastAsia" w:ascii="宋体" w:hAnsi="宋体" w:cs="宋体"/>
                <w:color w:val="auto"/>
                <w:szCs w:val="21"/>
                <w:highlight w:val="none"/>
              </w:rPr>
              <w:t>负责人：具有工程类中级或以上工程师职称证书的，得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eastAsia="zh-CN"/>
              </w:rPr>
              <w:t>若同时具备</w:t>
            </w:r>
            <w:r>
              <w:rPr>
                <w:rFonts w:hint="eastAsia" w:ascii="宋体" w:hAnsi="宋体" w:cs="宋体" w:eastAsiaTheme="minorEastAsia"/>
                <w:color w:val="auto"/>
                <w:sz w:val="21"/>
                <w:szCs w:val="21"/>
                <w:highlight w:val="none"/>
              </w:rPr>
              <w:t>安全</w:t>
            </w:r>
            <w:r>
              <w:rPr>
                <w:rFonts w:hint="eastAsia" w:ascii="宋体" w:hAnsi="宋体" w:cs="宋体" w:eastAsiaTheme="minorEastAsia"/>
                <w:color w:val="auto"/>
                <w:sz w:val="21"/>
                <w:szCs w:val="21"/>
                <w:highlight w:val="none"/>
                <w:lang w:val="en-US" w:eastAsia="zh-CN"/>
              </w:rPr>
              <w:t>生产</w:t>
            </w:r>
            <w:r>
              <w:rPr>
                <w:rFonts w:hint="eastAsia" w:ascii="宋体" w:hAnsi="宋体" w:cs="宋体" w:eastAsiaTheme="minorEastAsia"/>
                <w:color w:val="auto"/>
                <w:sz w:val="21"/>
                <w:szCs w:val="21"/>
                <w:highlight w:val="none"/>
              </w:rPr>
              <w:t>考核合格证（B类）或建筑施工企业项目负责人安全生产考核合格证书</w:t>
            </w:r>
            <w:r>
              <w:rPr>
                <w:rFonts w:hint="eastAsia" w:ascii="宋体" w:hAnsi="宋体" w:cs="宋体"/>
                <w:color w:val="auto"/>
                <w:szCs w:val="21"/>
                <w:highlight w:val="none"/>
                <w:lang w:eastAsia="zh-CN"/>
              </w:rPr>
              <w:t>，</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szCs w:val="21"/>
                <w:highlight w:val="none"/>
                <w:lang w:eastAsia="zh-CN"/>
              </w:rPr>
              <w:t>。本项最多得</w:t>
            </w:r>
            <w:r>
              <w:rPr>
                <w:rFonts w:hint="eastAsia" w:ascii="宋体" w:hAnsi="宋体" w:cs="宋体"/>
                <w:color w:val="auto"/>
                <w:szCs w:val="21"/>
                <w:highlight w:val="none"/>
                <w:lang w:val="en-US" w:eastAsia="zh-CN"/>
              </w:rPr>
              <w:t>7分。</w:t>
            </w:r>
          </w:p>
          <w:p>
            <w:pPr>
              <w:spacing w:line="240" w:lineRule="auto"/>
              <w:jc w:val="left"/>
              <w:rPr>
                <w:rFonts w:hint="eastAsia" w:ascii="宋体" w:hAnsi="宋体" w:cs="宋体"/>
                <w:color w:val="auto"/>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技术负责人：具有工程类</w:t>
            </w:r>
            <w:r>
              <w:rPr>
                <w:rFonts w:hint="eastAsia" w:ascii="宋体" w:hAnsi="宋体" w:cs="宋体"/>
                <w:color w:val="auto"/>
                <w:szCs w:val="21"/>
                <w:highlight w:val="none"/>
                <w:lang w:eastAsia="zh-CN"/>
              </w:rPr>
              <w:t>高级</w:t>
            </w:r>
            <w:r>
              <w:rPr>
                <w:rFonts w:hint="eastAsia" w:ascii="宋体" w:hAnsi="宋体" w:cs="宋体"/>
                <w:color w:val="auto"/>
                <w:szCs w:val="21"/>
                <w:highlight w:val="none"/>
              </w:rPr>
              <w:t>工程师职称证书的，得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r>
              <w:rPr>
                <w:rFonts w:hint="eastAsia" w:ascii="宋体" w:hAnsi="宋体" w:cs="宋体"/>
                <w:color w:val="auto"/>
                <w:highlight w:val="none"/>
                <w:lang w:eastAsia="zh-CN"/>
              </w:rPr>
              <w:t>若同时具备安全生产</w:t>
            </w:r>
            <w:r>
              <w:rPr>
                <w:rFonts w:hint="default"/>
                <w:color w:val="auto"/>
                <w:highlight w:val="none"/>
                <w:lang w:val="en-US" w:eastAsia="zh-CN"/>
              </w:rPr>
              <w:t>考核建筑施工企业主要</w:t>
            </w:r>
            <w:r>
              <w:rPr>
                <w:rFonts w:hint="eastAsia" w:ascii="宋体" w:hAnsi="宋体" w:cs="宋体"/>
                <w:color w:val="auto"/>
                <w:highlight w:val="none"/>
                <w:lang w:eastAsia="zh-CN"/>
              </w:rPr>
              <w:t>负责人资格，</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r>
              <w:rPr>
                <w:rFonts w:hint="eastAsia" w:ascii="宋体" w:hAnsi="宋体" w:cs="宋体"/>
                <w:color w:val="auto"/>
                <w:highlight w:val="none"/>
              </w:rPr>
              <w:t>。</w:t>
            </w:r>
            <w:r>
              <w:rPr>
                <w:rFonts w:hint="eastAsia" w:ascii="宋体" w:hAnsi="宋体" w:cs="宋体"/>
                <w:color w:val="auto"/>
                <w:szCs w:val="21"/>
                <w:highlight w:val="none"/>
                <w:lang w:eastAsia="zh-CN"/>
              </w:rPr>
              <w:t>本项最多得</w:t>
            </w:r>
            <w:r>
              <w:rPr>
                <w:rFonts w:hint="eastAsia" w:ascii="宋体" w:hAnsi="宋体" w:cs="宋体"/>
                <w:color w:val="auto"/>
                <w:szCs w:val="21"/>
                <w:highlight w:val="none"/>
                <w:lang w:val="en-US" w:eastAsia="zh-CN"/>
              </w:rPr>
              <w:t>7分。</w:t>
            </w:r>
          </w:p>
          <w:p>
            <w:pPr>
              <w:spacing w:line="240" w:lineRule="auto"/>
              <w:jc w:val="left"/>
              <w:rPr>
                <w:rFonts w:hint="eastAsia" w:ascii="Calibri" w:hAnsi="Calibri"/>
                <w:b w:val="0"/>
                <w:color w:val="auto"/>
                <w:sz w:val="21"/>
                <w:szCs w:val="21"/>
                <w:highlight w:val="none"/>
                <w:vertAlign w:val="baseline"/>
              </w:rPr>
            </w:pPr>
            <w:r>
              <w:rPr>
                <w:rFonts w:hint="eastAsia" w:ascii="宋体" w:hAnsi="宋体" w:cs="宋体"/>
                <w:color w:val="auto"/>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个月有效的社会保险证明文件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89" w:type="dxa"/>
            <w:vAlign w:val="center"/>
          </w:tcPr>
          <w:p>
            <w:pPr>
              <w:spacing w:line="240" w:lineRule="auto"/>
              <w:jc w:val="left"/>
              <w:rPr>
                <w:rFonts w:hint="eastAsia" w:ascii="宋体" w:hAnsi="宋体" w:cs="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restart"/>
            <w:vAlign w:val="center"/>
          </w:tcPr>
          <w:p>
            <w:pPr>
              <w:spacing w:line="360" w:lineRule="exact"/>
              <w:jc w:val="center"/>
              <w:rPr>
                <w:rFonts w:hint="eastAsia"/>
                <w:color w:val="auto"/>
                <w:highlight w:val="none"/>
                <w:lang w:eastAsia="zh-CN"/>
              </w:rPr>
            </w:pPr>
            <w:r>
              <w:rPr>
                <w:rFonts w:hint="eastAsia"/>
                <w:color w:val="auto"/>
                <w:highlight w:val="none"/>
                <w:lang w:eastAsia="zh-CN"/>
              </w:rPr>
              <w:t>技术部分</w:t>
            </w:r>
          </w:p>
          <w:p>
            <w:pPr>
              <w:spacing w:line="360" w:lineRule="exact"/>
              <w:jc w:val="center"/>
              <w:rPr>
                <w:rFonts w:hint="eastAsia"/>
                <w:color w:val="auto"/>
                <w:highlight w:val="none"/>
              </w:rPr>
            </w:pPr>
            <w:r>
              <w:rPr>
                <w:rFonts w:hint="eastAsia"/>
                <w:color w:val="auto"/>
                <w:highlight w:val="none"/>
              </w:rPr>
              <w:t>（</w:t>
            </w:r>
            <w:r>
              <w:rPr>
                <w:rFonts w:hint="eastAsia"/>
                <w:color w:val="auto"/>
                <w:highlight w:val="none"/>
                <w:lang w:val="en-US" w:eastAsia="zh-CN"/>
              </w:rPr>
              <w:t>50</w:t>
            </w:r>
            <w:r>
              <w:rPr>
                <w:rFonts w:hint="eastAsia"/>
                <w:color w:val="auto"/>
                <w:highlight w:val="none"/>
              </w:rPr>
              <w:t>分）</w:t>
            </w:r>
          </w:p>
          <w:p>
            <w:pPr>
              <w:pStyle w:val="23"/>
              <w:rPr>
                <w:rFonts w:hint="eastAsia"/>
                <w:color w:val="auto"/>
                <w:highlight w:val="none"/>
              </w:rPr>
            </w:pPr>
          </w:p>
        </w:tc>
        <w:tc>
          <w:tcPr>
            <w:tcW w:w="1724" w:type="dxa"/>
            <w:vAlign w:val="center"/>
          </w:tcPr>
          <w:p>
            <w:pPr>
              <w:autoSpaceDE w:val="0"/>
              <w:autoSpaceDN w:val="0"/>
              <w:adjustRightInd w:val="0"/>
              <w:snapToGrid w:val="0"/>
              <w:rPr>
                <w:rFonts w:hint="eastAsia" w:ascii="Calibri" w:hAnsi="Calibri" w:eastAsia="宋体" w:cs="Times New Roman"/>
                <w:b w:val="0"/>
                <w:color w:val="auto"/>
                <w:sz w:val="21"/>
                <w:szCs w:val="21"/>
                <w:highlight w:val="none"/>
                <w:vertAlign w:val="baseline"/>
                <w:lang w:eastAsia="zh-CN"/>
              </w:rPr>
            </w:pPr>
            <w:r>
              <w:rPr>
                <w:rFonts w:hint="eastAsia" w:ascii="宋体" w:hAnsi="宋体" w:eastAsia="宋体" w:cs="宋体"/>
                <w:color w:val="auto"/>
                <w:spacing w:val="-5"/>
                <w:szCs w:val="21"/>
                <w:highlight w:val="none"/>
              </w:rPr>
              <w:t>项目实施方案</w:t>
            </w:r>
          </w:p>
        </w:tc>
        <w:tc>
          <w:tcPr>
            <w:tcW w:w="529" w:type="dxa"/>
            <w:vAlign w:val="center"/>
          </w:tcPr>
          <w:p>
            <w:pPr>
              <w:autoSpaceDE w:val="0"/>
              <w:autoSpaceDN w:val="0"/>
              <w:adjustRightInd w:val="0"/>
              <w:snapToGrid w:val="0"/>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投入本项目机械设备情况：</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pPr>
              <w:autoSpaceDE w:val="0"/>
              <w:autoSpaceDN w:val="0"/>
              <w:adjustRightInd w:val="0"/>
              <w:snapToGrid w:val="0"/>
              <w:rPr>
                <w:rFonts w:hint="eastAsia" w:ascii="宋体" w:hAnsi="宋体" w:eastAsia="宋体" w:cs="宋体"/>
                <w:color w:val="auto"/>
                <w:highlight w:val="none"/>
                <w:lang w:eastAsia="zh-CN"/>
              </w:rPr>
            </w:pPr>
            <w:r>
              <w:rPr>
                <w:rFonts w:hint="eastAsia" w:ascii="宋体" w:hAnsi="宋体" w:eastAsia="宋体" w:cs="宋体"/>
                <w:color w:val="auto"/>
                <w:szCs w:val="21"/>
                <w:highlight w:val="none"/>
              </w:rPr>
              <w:t>不提供方案不得分。</w:t>
            </w:r>
          </w:p>
        </w:tc>
        <w:tc>
          <w:tcPr>
            <w:tcW w:w="689" w:type="dxa"/>
            <w:vAlign w:val="center"/>
          </w:tcPr>
          <w:p>
            <w:pPr>
              <w:spacing w:line="360" w:lineRule="exact"/>
              <w:jc w:val="left"/>
              <w:rPr>
                <w:rFonts w:hint="eastAsia"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vMerge w:val="continue"/>
            <w:vAlign w:val="center"/>
          </w:tcPr>
          <w:p>
            <w:pPr>
              <w:spacing w:line="360" w:lineRule="exact"/>
              <w:jc w:val="left"/>
              <w:rPr>
                <w:rFonts w:hint="eastAsia" w:ascii="宋体" w:hAnsi="宋体" w:cs="宋体"/>
                <w:b w:val="0"/>
                <w:color w:val="auto"/>
                <w:sz w:val="21"/>
                <w:szCs w:val="21"/>
                <w:highlight w:val="none"/>
                <w:vertAlign w:val="baseline"/>
              </w:rPr>
            </w:pPr>
          </w:p>
        </w:tc>
        <w:tc>
          <w:tcPr>
            <w:tcW w:w="1724" w:type="dxa"/>
            <w:vAlign w:val="center"/>
          </w:tcPr>
          <w:p>
            <w:pPr>
              <w:autoSpaceDE w:val="0"/>
              <w:autoSpaceDN w:val="0"/>
              <w:adjustRightInd w:val="0"/>
              <w:snapToGrid w:val="0"/>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rPr>
              <w:t>对项目的理解程度、重点难点分析情况</w:t>
            </w:r>
          </w:p>
        </w:tc>
        <w:tc>
          <w:tcPr>
            <w:tcW w:w="529" w:type="dxa"/>
            <w:vAlign w:val="center"/>
          </w:tcPr>
          <w:p>
            <w:pPr>
              <w:autoSpaceDE w:val="0"/>
              <w:autoSpaceDN w:val="0"/>
              <w:adjustRightInd w:val="0"/>
              <w:snapToGrid w:val="0"/>
              <w:rPr>
                <w:rFonts w:hint="default"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cs="宋体"/>
                <w:b w:val="0"/>
                <w:color w:val="auto"/>
                <w:sz w:val="21"/>
                <w:szCs w:val="21"/>
                <w:highlight w:val="none"/>
                <w:vertAlign w:val="baseline"/>
              </w:rPr>
            </w:pPr>
            <w:r>
              <w:rPr>
                <w:rFonts w:hint="eastAsia" w:ascii="宋体" w:hAnsi="宋体" w:eastAsia="宋体" w:cs="宋体"/>
                <w:color w:val="auto"/>
                <w:spacing w:val="-5"/>
                <w:szCs w:val="21"/>
                <w:highlight w:val="none"/>
              </w:rPr>
              <w:t>无提供方案则不得分。</w:t>
            </w:r>
          </w:p>
        </w:tc>
        <w:tc>
          <w:tcPr>
            <w:tcW w:w="689" w:type="dxa"/>
            <w:vAlign w:val="center"/>
          </w:tcPr>
          <w:p>
            <w:pPr>
              <w:spacing w:line="240" w:lineRule="auto"/>
              <w:jc w:val="left"/>
              <w:rPr>
                <w:rFonts w:hint="default"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pPr>
              <w:spacing w:line="240" w:lineRule="auto"/>
              <w:jc w:val="left"/>
              <w:rPr>
                <w:rFonts w:hint="eastAsia" w:ascii="宋体" w:hAnsi="宋体" w:cs="宋体"/>
                <w:b w:val="0"/>
                <w:color w:val="auto"/>
                <w:sz w:val="21"/>
                <w:szCs w:val="21"/>
                <w:highlight w:val="none"/>
                <w:vertAlign w:val="baseline"/>
              </w:rPr>
            </w:pPr>
          </w:p>
        </w:tc>
        <w:tc>
          <w:tcPr>
            <w:tcW w:w="1724"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autoSpaceDE w:val="0"/>
              <w:autoSpaceDN w:val="0"/>
              <w:adjustRightInd w:val="0"/>
              <w:snapToGrid w:val="0"/>
              <w:rPr>
                <w:rFonts w:hint="eastAsia" w:ascii="宋体" w:hAnsi="宋体" w:cs="宋体"/>
                <w:color w:val="auto"/>
                <w:szCs w:val="21"/>
                <w:highlight w:val="none"/>
              </w:rPr>
            </w:pPr>
          </w:p>
        </w:tc>
        <w:tc>
          <w:tcPr>
            <w:tcW w:w="529" w:type="dxa"/>
            <w:vAlign w:val="center"/>
          </w:tcPr>
          <w:p>
            <w:pPr>
              <w:autoSpaceDE w:val="0"/>
              <w:autoSpaceDN w:val="0"/>
              <w:adjustRightInd w:val="0"/>
              <w:snapToGrid w:val="0"/>
              <w:rPr>
                <w:rFonts w:hint="default" w:ascii="宋体" w:hAnsi="宋体" w:eastAsia="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rPr>
              <w:t xml:space="preserve">无提供方案则不得分。 </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pPr>
              <w:spacing w:line="240" w:lineRule="auto"/>
              <w:jc w:val="left"/>
              <w:rPr>
                <w:rFonts w:hint="eastAsia" w:ascii="宋体" w:hAnsi="宋体" w:cs="宋体"/>
                <w:b w:val="0"/>
                <w:color w:val="auto"/>
                <w:sz w:val="21"/>
                <w:szCs w:val="21"/>
                <w:highlight w:val="none"/>
                <w:vertAlign w:val="baseline"/>
              </w:rPr>
            </w:pPr>
          </w:p>
        </w:tc>
        <w:tc>
          <w:tcPr>
            <w:tcW w:w="1724"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pPr>
              <w:autoSpaceDE w:val="0"/>
              <w:autoSpaceDN w:val="0"/>
              <w:adjustRightInd w:val="0"/>
              <w:snapToGrid w:val="0"/>
              <w:rPr>
                <w:rFonts w:hint="eastAsia" w:ascii="宋体" w:hAnsi="宋体" w:cs="宋体"/>
                <w:color w:val="auto"/>
                <w:szCs w:val="21"/>
                <w:highlight w:val="none"/>
              </w:rPr>
            </w:pPr>
          </w:p>
        </w:tc>
        <w:tc>
          <w:tcPr>
            <w:tcW w:w="529" w:type="dxa"/>
            <w:vAlign w:val="center"/>
          </w:tcPr>
          <w:p>
            <w:pPr>
              <w:autoSpaceDE w:val="0"/>
              <w:autoSpaceDN w:val="0"/>
              <w:adjustRightInd w:val="0"/>
              <w:snapToGrid w:val="0"/>
              <w:rPr>
                <w:rFonts w:hint="eastAsia" w:ascii="宋体" w:hAnsi="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hint="default" w:ascii="宋体" w:hAnsi="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pPr>
              <w:spacing w:line="240" w:lineRule="auto"/>
              <w:jc w:val="left"/>
              <w:rPr>
                <w:rFonts w:hint="eastAsia" w:ascii="宋体" w:hAnsi="宋体" w:cs="宋体"/>
                <w:b w:val="0"/>
                <w:color w:val="auto"/>
                <w:sz w:val="21"/>
                <w:szCs w:val="21"/>
                <w:highlight w:val="none"/>
                <w:vertAlign w:val="baseline"/>
              </w:rPr>
            </w:pPr>
          </w:p>
        </w:tc>
        <w:tc>
          <w:tcPr>
            <w:tcW w:w="0" w:type="auto"/>
            <w:vAlign w:val="center"/>
          </w:tcPr>
          <w:p>
            <w:pPr>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项目工期</w:t>
            </w:r>
          </w:p>
        </w:tc>
        <w:tc>
          <w:tcPr>
            <w:tcW w:w="0" w:type="auto"/>
            <w:vAlign w:val="center"/>
          </w:tcPr>
          <w:p>
            <w:pPr>
              <w:spacing w:line="360" w:lineRule="exact"/>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8075" w:type="dxa"/>
            <w:vAlign w:val="center"/>
          </w:tcPr>
          <w:p>
            <w:pPr>
              <w:spacing w:line="240" w:lineRule="auto"/>
              <w:jc w:val="left"/>
              <w:rPr>
                <w:rFonts w:hint="default"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本项目工期为30日历天</w:t>
            </w:r>
            <w:r>
              <w:rPr>
                <w:rFonts w:hint="eastAsia" w:ascii="宋体" w:hAnsi="宋体" w:eastAsia="宋体" w:cs="宋体"/>
                <w:b w:val="0"/>
                <w:bCs/>
                <w:color w:val="auto"/>
                <w:sz w:val="21"/>
                <w:szCs w:val="21"/>
                <w:highlight w:val="none"/>
                <w:lang w:val="en-US" w:eastAsia="zh-CN"/>
              </w:rPr>
              <w:t>完工并通电</w:t>
            </w:r>
            <w:r>
              <w:rPr>
                <w:rFonts w:hint="eastAsia" w:ascii="宋体" w:hAnsi="宋体" w:cs="宋体"/>
                <w:color w:val="auto"/>
                <w:kern w:val="2"/>
                <w:szCs w:val="21"/>
                <w:highlight w:val="none"/>
                <w:lang w:val="en-US" w:eastAsia="zh-CN"/>
              </w:rPr>
              <w:t>。投标人承诺项目工期提前的，每提前一天加2分，以此累加，</w:t>
            </w:r>
            <w:r>
              <w:rPr>
                <w:rFonts w:hint="eastAsia" w:ascii="宋体" w:hAnsi="宋体" w:cs="宋体"/>
                <w:color w:val="auto"/>
                <w:szCs w:val="21"/>
                <w:highlight w:val="none"/>
                <w:lang w:eastAsia="zh-CN"/>
              </w:rPr>
              <w:t>最多得</w:t>
            </w:r>
            <w:r>
              <w:rPr>
                <w:rFonts w:hint="eastAsia" w:ascii="宋体" w:hAnsi="宋体" w:cs="宋体"/>
                <w:color w:val="auto"/>
                <w:szCs w:val="21"/>
                <w:highlight w:val="none"/>
                <w:lang w:val="en-US" w:eastAsia="zh-CN"/>
              </w:rPr>
              <w:t>10分</w:t>
            </w:r>
            <w:r>
              <w:rPr>
                <w:rFonts w:hint="default" w:ascii="宋体" w:hAnsi="宋体" w:cs="宋体"/>
                <w:color w:val="auto"/>
                <w:szCs w:val="21"/>
                <w:highlight w:val="none"/>
              </w:rPr>
              <w:t>。</w:t>
            </w:r>
            <w:r>
              <w:rPr>
                <w:rFonts w:hint="eastAsia" w:ascii="宋体" w:hAnsi="宋体" w:eastAsia="宋体" w:cs="宋体"/>
                <w:color w:val="auto"/>
                <w:szCs w:val="21"/>
                <w:highlight w:val="none"/>
                <w:lang w:val="en-US" w:eastAsia="zh-CN"/>
              </w:rPr>
              <w:t>需提供</w:t>
            </w:r>
            <w:r>
              <w:rPr>
                <w:rFonts w:hint="eastAsia" w:ascii="宋体" w:hAnsi="宋体" w:cs="宋体"/>
                <w:color w:val="auto"/>
                <w:szCs w:val="21"/>
                <w:highlight w:val="none"/>
                <w:lang w:val="en-US" w:eastAsia="zh-CN"/>
              </w:rPr>
              <w:t>项目工期承诺函，否则</w:t>
            </w:r>
            <w:r>
              <w:rPr>
                <w:rFonts w:hint="eastAsia" w:ascii="宋体" w:hAnsi="宋体" w:eastAsia="宋体" w:cs="宋体"/>
                <w:color w:val="auto"/>
                <w:szCs w:val="21"/>
                <w:highlight w:val="none"/>
                <w:lang w:val="en-US" w:eastAsia="zh-CN"/>
              </w:rPr>
              <w:t>不得分</w:t>
            </w:r>
            <w:r>
              <w:rPr>
                <w:rFonts w:hint="eastAsia" w:ascii="宋体" w:hAnsi="宋体" w:cs="宋体"/>
                <w:color w:val="auto"/>
                <w:sz w:val="18"/>
                <w:szCs w:val="18"/>
                <w:highlight w:val="none"/>
                <w:lang w:val="en-US" w:eastAsia="zh-CN"/>
              </w:rPr>
              <w:t>。</w:t>
            </w: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63" w:type="dxa"/>
            <w:gridSpan w:val="2"/>
            <w:vAlign w:val="center"/>
          </w:tcPr>
          <w:p>
            <w:pPr>
              <w:jc w:val="center"/>
              <w:rPr>
                <w:rFonts w:hint="eastAsia"/>
                <w:color w:val="auto"/>
                <w:szCs w:val="21"/>
                <w:highlight w:val="none"/>
                <w:lang w:val="en-US" w:eastAsia="zh-CN"/>
              </w:rPr>
            </w:pPr>
            <w:r>
              <w:rPr>
                <w:rFonts w:hint="eastAsia" w:ascii="宋体" w:hAnsi="宋体" w:eastAsia="宋体" w:cs="宋体"/>
                <w:color w:val="auto"/>
                <w:szCs w:val="21"/>
                <w:highlight w:val="none"/>
              </w:rPr>
              <w:t>合计</w:t>
            </w:r>
          </w:p>
        </w:tc>
        <w:tc>
          <w:tcPr>
            <w:tcW w:w="529" w:type="dxa"/>
            <w:vAlign w:val="center"/>
          </w:tcPr>
          <w:p>
            <w:pPr>
              <w:spacing w:line="220" w:lineRule="exact"/>
              <w:ind w:left="-2" w:leftChars="-1"/>
              <w:jc w:val="center"/>
              <w:rPr>
                <w:rFonts w:hint="eastAsia"/>
                <w:color w:val="auto"/>
                <w:szCs w:val="21"/>
                <w:highlight w:val="none"/>
                <w:lang w:val="en-US" w:eastAsia="zh-CN"/>
              </w:rPr>
            </w:pPr>
            <w:r>
              <w:rPr>
                <w:rFonts w:hint="eastAsia" w:ascii="宋体" w:hAnsi="宋体" w:eastAsia="宋体" w:cs="宋体"/>
                <w:color w:val="auto"/>
                <w:szCs w:val="21"/>
                <w:highlight w:val="none"/>
              </w:rPr>
              <w:t>100</w:t>
            </w:r>
          </w:p>
        </w:tc>
        <w:tc>
          <w:tcPr>
            <w:tcW w:w="8075" w:type="dxa"/>
            <w:vAlign w:val="center"/>
          </w:tcPr>
          <w:p>
            <w:pPr>
              <w:spacing w:line="220" w:lineRule="exact"/>
              <w:ind w:left="-2" w:leftChars="-1"/>
              <w:rPr>
                <w:rFonts w:hint="eastAsia" w:ascii="宋体" w:hAnsi="宋体" w:cs="宋体"/>
                <w:color w:val="auto"/>
                <w:kern w:val="2"/>
                <w:szCs w:val="21"/>
                <w:highlight w:val="none"/>
                <w:lang w:val="en-US" w:eastAsia="zh-CN"/>
              </w:rPr>
            </w:pPr>
          </w:p>
        </w:tc>
        <w:tc>
          <w:tcPr>
            <w:tcW w:w="689" w:type="dxa"/>
            <w:vAlign w:val="center"/>
          </w:tcPr>
          <w:p>
            <w:pPr>
              <w:spacing w:line="240" w:lineRule="auto"/>
              <w:jc w:val="left"/>
              <w:rPr>
                <w:rFonts w:hint="eastAsia" w:ascii="宋体" w:hAnsi="宋体" w:eastAsia="宋体" w:cs="宋体"/>
                <w:color w:val="auto"/>
                <w:kern w:val="2"/>
                <w:szCs w:val="21"/>
                <w:highlight w:val="none"/>
              </w:rPr>
            </w:pPr>
          </w:p>
        </w:tc>
      </w:tr>
    </w:tbl>
    <w:p>
      <w:pPr>
        <w:snapToGrid/>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pPr>
        <w:pStyle w:val="25"/>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附件</w:t>
      </w:r>
      <w:r>
        <w:rPr>
          <w:rFonts w:hint="eastAsia" w:ascii="宋体" w:hAnsi="宋体" w:cs="宋体"/>
          <w:color w:val="auto"/>
          <w:szCs w:val="21"/>
          <w:highlight w:val="none"/>
          <w:lang w:val="en-US" w:eastAsia="zh-CN"/>
        </w:rPr>
        <w:t>3：经济部分评分表</w:t>
      </w:r>
    </w:p>
    <w:tbl>
      <w:tblPr>
        <w:tblStyle w:val="17"/>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pStyle w:val="2"/>
        <w:rPr>
          <w:rFonts w:hint="eastAsia"/>
          <w:color w:val="auto"/>
          <w:highlight w:val="none"/>
        </w:rPr>
        <w:sectPr>
          <w:pgSz w:w="15840" w:h="12240" w:orient="landscape"/>
          <w:pgMar w:top="1797" w:right="1440" w:bottom="1797" w:left="1440" w:header="720" w:footer="720" w:gutter="0"/>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天后宫新建低压线路工程施工（第二次）</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bookmarkEnd w:id="41"/>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5"/>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3628B52"/>
    <w:multiLevelType w:val="singleLevel"/>
    <w:tmpl w:val="03628B5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6F3B"/>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4177352"/>
    <w:rsid w:val="04364A4F"/>
    <w:rsid w:val="04376975"/>
    <w:rsid w:val="04435BE0"/>
    <w:rsid w:val="044C08C6"/>
    <w:rsid w:val="04982B21"/>
    <w:rsid w:val="04E40895"/>
    <w:rsid w:val="051B7598"/>
    <w:rsid w:val="052E78DA"/>
    <w:rsid w:val="059A4101"/>
    <w:rsid w:val="079A3CDA"/>
    <w:rsid w:val="07AD77EA"/>
    <w:rsid w:val="07F66A4C"/>
    <w:rsid w:val="08393BA7"/>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A5AD0"/>
    <w:rsid w:val="0E1B10A8"/>
    <w:rsid w:val="0E80564C"/>
    <w:rsid w:val="0E87496A"/>
    <w:rsid w:val="0E8C2C83"/>
    <w:rsid w:val="0EA03B8A"/>
    <w:rsid w:val="0EAC0C18"/>
    <w:rsid w:val="0EB25F9A"/>
    <w:rsid w:val="0EB83A78"/>
    <w:rsid w:val="0ED8481A"/>
    <w:rsid w:val="0F263AB3"/>
    <w:rsid w:val="0F8D0176"/>
    <w:rsid w:val="0FD73768"/>
    <w:rsid w:val="10A4638E"/>
    <w:rsid w:val="10AB649B"/>
    <w:rsid w:val="10AC4C3F"/>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6E55626"/>
    <w:rsid w:val="173D0A89"/>
    <w:rsid w:val="17463991"/>
    <w:rsid w:val="179E3273"/>
    <w:rsid w:val="17E64D32"/>
    <w:rsid w:val="17E977C8"/>
    <w:rsid w:val="182C4B8E"/>
    <w:rsid w:val="1873680D"/>
    <w:rsid w:val="18E67433"/>
    <w:rsid w:val="18F12637"/>
    <w:rsid w:val="19095239"/>
    <w:rsid w:val="19A846E9"/>
    <w:rsid w:val="19BE3F0C"/>
    <w:rsid w:val="19C37774"/>
    <w:rsid w:val="1A5A3C35"/>
    <w:rsid w:val="1A6525DA"/>
    <w:rsid w:val="1AB46DAB"/>
    <w:rsid w:val="1B6C2995"/>
    <w:rsid w:val="1BB630ED"/>
    <w:rsid w:val="1BC44893"/>
    <w:rsid w:val="1BE136FF"/>
    <w:rsid w:val="1C05708F"/>
    <w:rsid w:val="1C307374"/>
    <w:rsid w:val="1C9203A6"/>
    <w:rsid w:val="1D6E44CC"/>
    <w:rsid w:val="1D7F1C04"/>
    <w:rsid w:val="1E032835"/>
    <w:rsid w:val="1E562810"/>
    <w:rsid w:val="1EB63404"/>
    <w:rsid w:val="1EBD45C4"/>
    <w:rsid w:val="1F1C5732"/>
    <w:rsid w:val="1F234F3D"/>
    <w:rsid w:val="1F584BD1"/>
    <w:rsid w:val="1F7A6193"/>
    <w:rsid w:val="200E0A62"/>
    <w:rsid w:val="205D447F"/>
    <w:rsid w:val="206E043A"/>
    <w:rsid w:val="20AD4C4C"/>
    <w:rsid w:val="20E35285"/>
    <w:rsid w:val="20F27029"/>
    <w:rsid w:val="21424D60"/>
    <w:rsid w:val="215321ED"/>
    <w:rsid w:val="215D5254"/>
    <w:rsid w:val="224A02E7"/>
    <w:rsid w:val="227411DF"/>
    <w:rsid w:val="22934188"/>
    <w:rsid w:val="22BB36DF"/>
    <w:rsid w:val="23EE6B47"/>
    <w:rsid w:val="24856237"/>
    <w:rsid w:val="24DD793C"/>
    <w:rsid w:val="25053D8A"/>
    <w:rsid w:val="25687B33"/>
    <w:rsid w:val="25791876"/>
    <w:rsid w:val="26236584"/>
    <w:rsid w:val="26826F29"/>
    <w:rsid w:val="26B94C66"/>
    <w:rsid w:val="26EC20B9"/>
    <w:rsid w:val="26EC46E5"/>
    <w:rsid w:val="26FF6942"/>
    <w:rsid w:val="272101A5"/>
    <w:rsid w:val="272B74FA"/>
    <w:rsid w:val="2751149E"/>
    <w:rsid w:val="2837076A"/>
    <w:rsid w:val="2865301D"/>
    <w:rsid w:val="28C86C87"/>
    <w:rsid w:val="29051210"/>
    <w:rsid w:val="29175127"/>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A615C5"/>
    <w:rsid w:val="2EC40C57"/>
    <w:rsid w:val="2EE433BF"/>
    <w:rsid w:val="2EED69CE"/>
    <w:rsid w:val="2F740E9D"/>
    <w:rsid w:val="2F777046"/>
    <w:rsid w:val="2F9B6BBA"/>
    <w:rsid w:val="2FE96F27"/>
    <w:rsid w:val="2FEA73B1"/>
    <w:rsid w:val="30136E93"/>
    <w:rsid w:val="30334755"/>
    <w:rsid w:val="30EC6390"/>
    <w:rsid w:val="311233CC"/>
    <w:rsid w:val="3152520E"/>
    <w:rsid w:val="31B57180"/>
    <w:rsid w:val="326630DC"/>
    <w:rsid w:val="33062754"/>
    <w:rsid w:val="33113670"/>
    <w:rsid w:val="3392223A"/>
    <w:rsid w:val="3411535B"/>
    <w:rsid w:val="34935BA4"/>
    <w:rsid w:val="34A264CA"/>
    <w:rsid w:val="34FA131A"/>
    <w:rsid w:val="35830B03"/>
    <w:rsid w:val="360F448A"/>
    <w:rsid w:val="3700775A"/>
    <w:rsid w:val="37A26BD4"/>
    <w:rsid w:val="37A33759"/>
    <w:rsid w:val="37AE7FE3"/>
    <w:rsid w:val="37B20151"/>
    <w:rsid w:val="37F52A06"/>
    <w:rsid w:val="383813C8"/>
    <w:rsid w:val="38417D8A"/>
    <w:rsid w:val="38EE7F12"/>
    <w:rsid w:val="390B4D39"/>
    <w:rsid w:val="39131727"/>
    <w:rsid w:val="392A6A70"/>
    <w:rsid w:val="39731517"/>
    <w:rsid w:val="39F52602"/>
    <w:rsid w:val="39FC703A"/>
    <w:rsid w:val="3A1F234D"/>
    <w:rsid w:val="3AAA60BB"/>
    <w:rsid w:val="3AB74334"/>
    <w:rsid w:val="3AC802EF"/>
    <w:rsid w:val="3B183024"/>
    <w:rsid w:val="3B514788"/>
    <w:rsid w:val="3B6D4312"/>
    <w:rsid w:val="3BB718A6"/>
    <w:rsid w:val="3BBA1D8E"/>
    <w:rsid w:val="3BC04127"/>
    <w:rsid w:val="3C88543E"/>
    <w:rsid w:val="3CB7521C"/>
    <w:rsid w:val="3CBC20D5"/>
    <w:rsid w:val="3CE76215"/>
    <w:rsid w:val="3CFF0303"/>
    <w:rsid w:val="3D242CB8"/>
    <w:rsid w:val="3D7619F9"/>
    <w:rsid w:val="3D957982"/>
    <w:rsid w:val="3D96007A"/>
    <w:rsid w:val="3D965718"/>
    <w:rsid w:val="3DF62488"/>
    <w:rsid w:val="3DF7194C"/>
    <w:rsid w:val="3E817133"/>
    <w:rsid w:val="3ECE4B63"/>
    <w:rsid w:val="3EDC25BB"/>
    <w:rsid w:val="3EF30213"/>
    <w:rsid w:val="3F4915A0"/>
    <w:rsid w:val="3F5F332B"/>
    <w:rsid w:val="3F641BC2"/>
    <w:rsid w:val="3F8502F8"/>
    <w:rsid w:val="3FBE56FE"/>
    <w:rsid w:val="3FD704B2"/>
    <w:rsid w:val="402B37FA"/>
    <w:rsid w:val="403B7AF1"/>
    <w:rsid w:val="405854B3"/>
    <w:rsid w:val="408D1DBF"/>
    <w:rsid w:val="409313F9"/>
    <w:rsid w:val="40B7508E"/>
    <w:rsid w:val="40CA2819"/>
    <w:rsid w:val="41A25D3E"/>
    <w:rsid w:val="41EC3A6C"/>
    <w:rsid w:val="42A2655E"/>
    <w:rsid w:val="43120161"/>
    <w:rsid w:val="43420D2F"/>
    <w:rsid w:val="436C5E0D"/>
    <w:rsid w:val="437259B2"/>
    <w:rsid w:val="43952229"/>
    <w:rsid w:val="43F36E83"/>
    <w:rsid w:val="44631084"/>
    <w:rsid w:val="446A549B"/>
    <w:rsid w:val="44755126"/>
    <w:rsid w:val="44800368"/>
    <w:rsid w:val="44E26451"/>
    <w:rsid w:val="44E811C0"/>
    <w:rsid w:val="457C68A6"/>
    <w:rsid w:val="45E74C1B"/>
    <w:rsid w:val="46871AD6"/>
    <w:rsid w:val="47025D0E"/>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761B16"/>
    <w:rsid w:val="4AED722D"/>
    <w:rsid w:val="4B3D40BA"/>
    <w:rsid w:val="4BC136D0"/>
    <w:rsid w:val="4BF328A0"/>
    <w:rsid w:val="4C255A6B"/>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A35200"/>
    <w:rsid w:val="52C2143B"/>
    <w:rsid w:val="530611A9"/>
    <w:rsid w:val="530E35F9"/>
    <w:rsid w:val="531A11E6"/>
    <w:rsid w:val="53427976"/>
    <w:rsid w:val="53A07C03"/>
    <w:rsid w:val="53A63423"/>
    <w:rsid w:val="53B638D1"/>
    <w:rsid w:val="54386D63"/>
    <w:rsid w:val="54A36172"/>
    <w:rsid w:val="54BC0EE8"/>
    <w:rsid w:val="55592415"/>
    <w:rsid w:val="55D122F6"/>
    <w:rsid w:val="55D41C4B"/>
    <w:rsid w:val="56391F84"/>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C65072"/>
    <w:rsid w:val="5BCE61FA"/>
    <w:rsid w:val="5C7852D7"/>
    <w:rsid w:val="5C9B134E"/>
    <w:rsid w:val="5CF77B24"/>
    <w:rsid w:val="5D5E6B65"/>
    <w:rsid w:val="5D633297"/>
    <w:rsid w:val="5D8B36D2"/>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1FC4B9F"/>
    <w:rsid w:val="621244D5"/>
    <w:rsid w:val="62B2296D"/>
    <w:rsid w:val="62B247EF"/>
    <w:rsid w:val="635E4552"/>
    <w:rsid w:val="636147EE"/>
    <w:rsid w:val="63DB6B9E"/>
    <w:rsid w:val="642D7291"/>
    <w:rsid w:val="65652A5B"/>
    <w:rsid w:val="65B441A4"/>
    <w:rsid w:val="65C03100"/>
    <w:rsid w:val="65D8147F"/>
    <w:rsid w:val="66373494"/>
    <w:rsid w:val="663E17E3"/>
    <w:rsid w:val="66591B82"/>
    <w:rsid w:val="66593A91"/>
    <w:rsid w:val="675B4115"/>
    <w:rsid w:val="67D46774"/>
    <w:rsid w:val="68091DC3"/>
    <w:rsid w:val="68550B65"/>
    <w:rsid w:val="68572B2F"/>
    <w:rsid w:val="6898637C"/>
    <w:rsid w:val="68AD09A1"/>
    <w:rsid w:val="68B16D7B"/>
    <w:rsid w:val="68BA7003"/>
    <w:rsid w:val="68C531A9"/>
    <w:rsid w:val="6917406C"/>
    <w:rsid w:val="691C25EA"/>
    <w:rsid w:val="698555C7"/>
    <w:rsid w:val="6B601D2D"/>
    <w:rsid w:val="6BF6265F"/>
    <w:rsid w:val="6C281E78"/>
    <w:rsid w:val="6C307E68"/>
    <w:rsid w:val="6C3A341E"/>
    <w:rsid w:val="6C920572"/>
    <w:rsid w:val="6DB227E4"/>
    <w:rsid w:val="6DBE1759"/>
    <w:rsid w:val="6DC31ECB"/>
    <w:rsid w:val="6E307289"/>
    <w:rsid w:val="6E656845"/>
    <w:rsid w:val="6F174DC6"/>
    <w:rsid w:val="6F2A4AF9"/>
    <w:rsid w:val="6F2B6AC3"/>
    <w:rsid w:val="6F471F5D"/>
    <w:rsid w:val="6F563B40"/>
    <w:rsid w:val="6F891280"/>
    <w:rsid w:val="6F8E74DB"/>
    <w:rsid w:val="6F977CB5"/>
    <w:rsid w:val="70727FF1"/>
    <w:rsid w:val="70836CF8"/>
    <w:rsid w:val="70CF07C8"/>
    <w:rsid w:val="710F157A"/>
    <w:rsid w:val="71137471"/>
    <w:rsid w:val="71840FD7"/>
    <w:rsid w:val="718C3480"/>
    <w:rsid w:val="71CC7A42"/>
    <w:rsid w:val="721D56A4"/>
    <w:rsid w:val="7261248D"/>
    <w:rsid w:val="72837847"/>
    <w:rsid w:val="72987FCC"/>
    <w:rsid w:val="72BF7C4E"/>
    <w:rsid w:val="72F3401B"/>
    <w:rsid w:val="731416B4"/>
    <w:rsid w:val="736C262E"/>
    <w:rsid w:val="73712518"/>
    <w:rsid w:val="73873F96"/>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066BE"/>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21370D"/>
    <w:rsid w:val="7D3E11F9"/>
    <w:rsid w:val="7D6E2861"/>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1"/>
    <w:link w:val="37"/>
    <w:autoRedefine/>
    <w:qFormat/>
    <w:uiPriority w:val="0"/>
    <w:rPr>
      <w:rFonts w:hint="eastAsia" w:ascii="宋体" w:hAnsi="Courier New" w:eastAsia="宋体" w:cs="Times New Roman"/>
      <w:szCs w:val="21"/>
    </w:rPr>
  </w:style>
  <w:style w:type="paragraph" w:styleId="5">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autoRedefine/>
    <w:qFormat/>
    <w:uiPriority w:val="0"/>
    <w:pPr>
      <w:ind w:firstLine="420"/>
    </w:pPr>
    <w:rPr>
      <w:rFonts w:ascii="Times New Roman" w:hAnsi="Times New Roman" w:eastAsia="宋体" w:cs="Times New Roman"/>
      <w:szCs w:val="20"/>
    </w:rPr>
  </w:style>
  <w:style w:type="paragraph" w:styleId="7">
    <w:name w:val="annotation text"/>
    <w:basedOn w:val="1"/>
    <w:autoRedefine/>
    <w:semiHidden/>
    <w:unhideWhenUsed/>
    <w:qFormat/>
    <w:uiPriority w:val="0"/>
    <w:pPr>
      <w:jc w:val="left"/>
    </w:pPr>
  </w:style>
  <w:style w:type="paragraph" w:styleId="8">
    <w:name w:val="Body Text"/>
    <w:basedOn w:val="1"/>
    <w:autoRedefine/>
    <w:qFormat/>
    <w:uiPriority w:val="0"/>
  </w:style>
  <w:style w:type="paragraph" w:styleId="9">
    <w:name w:val="Body Text Indent"/>
    <w:basedOn w:val="1"/>
    <w:autoRedefine/>
    <w:qFormat/>
    <w:uiPriority w:val="0"/>
    <w:pPr>
      <w:spacing w:after="120" w:afterLines="0" w:afterAutospacing="0"/>
      <w:ind w:left="420" w:leftChars="200"/>
    </w:pPr>
  </w:style>
  <w:style w:type="paragraph" w:styleId="10">
    <w:name w:val="Balloon Text"/>
    <w:basedOn w:val="1"/>
    <w:link w:val="35"/>
    <w:autoRedefine/>
    <w:qFormat/>
    <w:uiPriority w:val="0"/>
    <w:rPr>
      <w:sz w:val="18"/>
      <w:szCs w:val="18"/>
    </w:rPr>
  </w:style>
  <w:style w:type="paragraph" w:styleId="11">
    <w:name w:val="footer"/>
    <w:basedOn w:val="1"/>
    <w:link w:val="34"/>
    <w:autoRedefine/>
    <w:qFormat/>
    <w:uiPriority w:val="0"/>
    <w:pPr>
      <w:tabs>
        <w:tab w:val="center" w:pos="4153"/>
        <w:tab w:val="right" w:pos="8306"/>
      </w:tabs>
      <w:snapToGrid w:val="0"/>
      <w:jc w:val="left"/>
    </w:pPr>
    <w:rPr>
      <w:sz w:val="18"/>
      <w:szCs w:val="18"/>
    </w:rPr>
  </w:style>
  <w:style w:type="paragraph" w:styleId="12">
    <w:name w:val="header"/>
    <w:basedOn w:val="1"/>
    <w:link w:val="33"/>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Body Text First Indent"/>
    <w:basedOn w:val="8"/>
    <w:link w:val="38"/>
    <w:autoRedefine/>
    <w:qFormat/>
    <w:uiPriority w:val="0"/>
    <w:pPr>
      <w:spacing w:beforeAutospacing="1" w:after="120"/>
      <w:ind w:firstLine="420"/>
    </w:pPr>
    <w:rPr>
      <w:rFonts w:ascii="Times New Roman" w:hAnsi="Times New Roman" w:eastAsia="宋体" w:cs="Times New Roman"/>
      <w:szCs w:val="21"/>
    </w:rPr>
  </w:style>
  <w:style w:type="paragraph" w:styleId="15">
    <w:name w:val="Body Text First Indent 2"/>
    <w:basedOn w:val="9"/>
    <w:next w:val="16"/>
    <w:autoRedefine/>
    <w:qFormat/>
    <w:uiPriority w:val="0"/>
    <w:pPr>
      <w:numPr>
        <w:ilvl w:val="0"/>
        <w:numId w:val="1"/>
      </w:numPr>
      <w:ind w:firstLine="420"/>
    </w:pPr>
  </w:style>
  <w:style w:type="paragraph" w:customStyle="1" w:styleId="16">
    <w:name w:val="样式 正文首行缩进 2 + Arial"/>
    <w:basedOn w:val="1"/>
    <w:next w:val="1"/>
    <w:autoRedefine/>
    <w:qFormat/>
    <w:uiPriority w:val="0"/>
    <w:pPr>
      <w:spacing w:before="100" w:beforeAutospacing="1" w:after="120" w:line="320" w:lineRule="atLeast"/>
      <w:ind w:firstLine="200" w:firstLineChars="200"/>
    </w:pPr>
    <w:rPr>
      <w:rFonts w:ascii="Arial" w:hAnsi="Arial" w:cs="Arial"/>
    </w:rPr>
  </w:style>
  <w:style w:type="table" w:styleId="18">
    <w:name w:val="Table Grid"/>
    <w:basedOn w:val="1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FollowedHyperlink"/>
    <w:basedOn w:val="19"/>
    <w:autoRedefine/>
    <w:qFormat/>
    <w:uiPriority w:val="0"/>
    <w:rPr>
      <w:color w:val="0000FF"/>
      <w:u w:val="single"/>
    </w:rPr>
  </w:style>
  <w:style w:type="character" w:styleId="22">
    <w:name w:val="Hyperlink"/>
    <w:basedOn w:val="19"/>
    <w:autoRedefine/>
    <w:qFormat/>
    <w:uiPriority w:val="0"/>
    <w:rPr>
      <w:color w:val="0000FF"/>
      <w:u w:val="single"/>
    </w:rPr>
  </w:style>
  <w:style w:type="paragraph" w:customStyle="1" w:styleId="23">
    <w:name w:val="样式 小四 行距: 1.5 倍行距"/>
    <w:basedOn w:val="1"/>
    <w:autoRedefine/>
    <w:qFormat/>
    <w:uiPriority w:val="0"/>
    <w:pPr>
      <w:ind w:firstLine="480"/>
    </w:pPr>
    <w:rPr>
      <w:rFonts w:cs="宋体"/>
    </w:rPr>
  </w:style>
  <w:style w:type="paragraph" w:customStyle="1" w:styleId="24">
    <w:name w:val="表格文字"/>
    <w:basedOn w:val="1"/>
    <w:autoRedefine/>
    <w:qFormat/>
    <w:uiPriority w:val="0"/>
    <w:pPr>
      <w:spacing w:before="25" w:after="25"/>
      <w:jc w:val="left"/>
    </w:pPr>
    <w:rPr>
      <w:bCs/>
      <w:spacing w:val="10"/>
      <w:kern w:val="0"/>
      <w:sz w:val="24"/>
    </w:rPr>
  </w:style>
  <w:style w:type="paragraph" w:customStyle="1" w:styleId="25">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autoRedefine/>
    <w:qFormat/>
    <w:uiPriority w:val="0"/>
    <w:pPr>
      <w:ind w:firstLine="420" w:firstLineChars="200"/>
    </w:pPr>
    <w:rPr>
      <w:rFonts w:ascii="Calibri" w:hAnsi="Calibri" w:eastAsia="宋体" w:cs="Times New Roman"/>
      <w:szCs w:val="21"/>
    </w:rPr>
  </w:style>
  <w:style w:type="paragraph" w:customStyle="1" w:styleId="29">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autoRedefine/>
    <w:qFormat/>
    <w:uiPriority w:val="0"/>
    <w:rPr>
      <w:rFonts w:hint="default" w:ascii="Times New Roman" w:hAnsi="Times New Roman" w:cs="Times New Roman"/>
    </w:rPr>
  </w:style>
  <w:style w:type="character" w:customStyle="1" w:styleId="31">
    <w:name w:val="15"/>
    <w:basedOn w:val="19"/>
    <w:autoRedefine/>
    <w:qFormat/>
    <w:uiPriority w:val="0"/>
    <w:rPr>
      <w:rFonts w:hint="default" w:ascii="Times New Roman" w:hAnsi="Times New Roman" w:cs="Times New Roman"/>
    </w:rPr>
  </w:style>
  <w:style w:type="character" w:customStyle="1" w:styleId="32">
    <w:name w:val="16"/>
    <w:basedOn w:val="19"/>
    <w:autoRedefine/>
    <w:qFormat/>
    <w:uiPriority w:val="0"/>
    <w:rPr>
      <w:rFonts w:hint="default" w:ascii="Times New Roman" w:hAnsi="Times New Roman" w:cs="Times New Roman"/>
      <w:color w:val="0000FF"/>
      <w:u w:val="single"/>
    </w:rPr>
  </w:style>
  <w:style w:type="character" w:customStyle="1" w:styleId="33">
    <w:name w:val="页眉 Char"/>
    <w:basedOn w:val="19"/>
    <w:link w:val="12"/>
    <w:autoRedefine/>
    <w:qFormat/>
    <w:uiPriority w:val="0"/>
    <w:rPr>
      <w:rFonts w:asciiTheme="minorHAnsi" w:hAnsiTheme="minorHAnsi" w:eastAsiaTheme="minorEastAsia" w:cstheme="minorBidi"/>
      <w:kern w:val="2"/>
      <w:sz w:val="18"/>
      <w:szCs w:val="18"/>
    </w:rPr>
  </w:style>
  <w:style w:type="character" w:customStyle="1" w:styleId="34">
    <w:name w:val="页脚 Char"/>
    <w:basedOn w:val="19"/>
    <w:link w:val="11"/>
    <w:autoRedefine/>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0"/>
    <w:autoRedefine/>
    <w:qFormat/>
    <w:uiPriority w:val="0"/>
    <w:rPr>
      <w:rFonts w:asciiTheme="minorHAnsi" w:hAnsiTheme="minorHAnsi" w:eastAsiaTheme="minorEastAsia" w:cstheme="minorBidi"/>
      <w:kern w:val="2"/>
      <w:sz w:val="18"/>
      <w:szCs w:val="18"/>
    </w:r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 w:type="character" w:customStyle="1" w:styleId="37">
    <w:name w:val="纯文本 Char"/>
    <w:link w:val="2"/>
    <w:autoRedefine/>
    <w:qFormat/>
    <w:uiPriority w:val="0"/>
    <w:rPr>
      <w:rFonts w:ascii="宋体" w:hAnsi="Courier New"/>
      <w:kern w:val="2"/>
      <w:sz w:val="21"/>
      <w:szCs w:val="21"/>
    </w:rPr>
  </w:style>
  <w:style w:type="character" w:customStyle="1" w:styleId="38">
    <w:name w:val="正文首行缩进 Char"/>
    <w:basedOn w:val="19"/>
    <w:link w:val="14"/>
    <w:autoRedefine/>
    <w:qFormat/>
    <w:uiPriority w:val="0"/>
    <w:rPr>
      <w:kern w:val="2"/>
      <w:sz w:val="21"/>
      <w:szCs w:val="21"/>
    </w:rPr>
  </w:style>
  <w:style w:type="paragraph" w:styleId="39">
    <w:name w:val="List Paragraph"/>
    <w:basedOn w:val="1"/>
    <w:autoRedefine/>
    <w:unhideWhenUsed/>
    <w:qFormat/>
    <w:uiPriority w:val="99"/>
    <w:pPr>
      <w:ind w:firstLine="420" w:firstLineChars="200"/>
    </w:pPr>
  </w:style>
  <w:style w:type="paragraph" w:customStyle="1" w:styleId="40">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autoRedefine/>
    <w:qFormat/>
    <w:uiPriority w:val="0"/>
    <w:pPr>
      <w:ind w:left="4094" w:right="607" w:firstLine="0"/>
      <w:jc w:val="center"/>
    </w:pPr>
  </w:style>
  <w:style w:type="character" w:customStyle="1" w:styleId="42">
    <w:name w:val="c Char1"/>
    <w:link w:val="43"/>
    <w:autoRedefine/>
    <w:qFormat/>
    <w:uiPriority w:val="0"/>
    <w:rPr>
      <w:rFonts w:eastAsia="仿宋_GB2312" w:cs="宋体"/>
      <w:sz w:val="28"/>
    </w:rPr>
  </w:style>
  <w:style w:type="paragraph" w:customStyle="1" w:styleId="43">
    <w:name w:val="c"/>
    <w:basedOn w:val="1"/>
    <w:link w:val="42"/>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4">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正文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15502</Words>
  <Characters>16328</Characters>
  <Lines>138</Lines>
  <Paragraphs>38</Paragraphs>
  <TotalTime>13</TotalTime>
  <ScaleCrop>false</ScaleCrop>
  <LinksUpToDate>false</LinksUpToDate>
  <CharactersWithSpaces>17316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2024-06-07T06:39:36Z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EFFA6352CC104B47AD420D92335CD508_13</vt:lpwstr>
  </property>
</Properties>
</file>