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pStyle w:val="23"/>
        <w:rPr>
          <w:color w:val="auto"/>
          <w:highlight w:val="none"/>
        </w:rPr>
      </w:pPr>
    </w:p>
    <w:p>
      <w:pPr>
        <w:pStyle w:val="23"/>
        <w:rPr>
          <w:color w:val="auto"/>
          <w:highlight w:val="none"/>
        </w:rPr>
      </w:pPr>
    </w:p>
    <w:p>
      <w:pPr>
        <w:jc w:val="center"/>
        <w:rPr>
          <w:rFonts w:ascii="宋体" w:hAnsi="宋体" w:eastAsia="宋体" w:cs="宋体"/>
          <w:color w:val="auto"/>
          <w:sz w:val="72"/>
          <w:szCs w:val="72"/>
          <w:highlight w:val="none"/>
        </w:rPr>
      </w:pPr>
      <w:r>
        <w:rPr>
          <w:rFonts w:hint="eastAsia" w:ascii="宋体" w:hAnsi="宋体" w:eastAsia="宋体" w:cs="宋体"/>
          <w:b/>
          <w:bCs w:val="0"/>
          <w:color w:val="auto"/>
          <w:sz w:val="44"/>
          <w:szCs w:val="44"/>
          <w:highlight w:val="none"/>
          <w:lang w:val="en-US" w:eastAsia="zh-CN"/>
        </w:rPr>
        <w:t>南沙天后宫电房地块提升改造--仓库提升项目</w:t>
      </w:r>
    </w:p>
    <w:p>
      <w:pPr>
        <w:rPr>
          <w:rFonts w:hint="eastAsia"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pStyle w:val="23"/>
        <w:rPr>
          <w:rFonts w:hint="eastAsia" w:ascii="宋体" w:hAnsi="宋体" w:eastAsia="宋体" w:cs="宋体"/>
          <w:color w:val="auto"/>
          <w:sz w:val="72"/>
          <w:szCs w:val="72"/>
          <w:highlight w:val="none"/>
        </w:rPr>
      </w:pPr>
    </w:p>
    <w:p>
      <w:pPr>
        <w:pStyle w:val="23"/>
        <w:rPr>
          <w:rFonts w:hint="eastAsia" w:ascii="宋体" w:hAnsi="宋体" w:eastAsia="宋体" w:cs="宋体"/>
          <w:color w:val="auto"/>
          <w:sz w:val="72"/>
          <w:szCs w:val="72"/>
          <w:highlight w:val="none"/>
        </w:rPr>
      </w:pP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广州南沙旅游发展有限公司</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bookmarkStart w:id="1" w:name="OLE_LINK4"/>
      <w:bookmarkEnd w:id="1"/>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w:t>
      </w:r>
      <w:r>
        <w:rPr>
          <w:rFonts w:hint="eastAsia" w:ascii="宋体" w:hAnsi="宋体" w:eastAsia="宋体" w:cs="宋体"/>
          <w:b/>
          <w:color w:val="auto"/>
          <w:sz w:val="32"/>
          <w:szCs w:val="32"/>
          <w:highlight w:val="none"/>
          <w:lang w:val="en-US" w:eastAsia="zh-CN"/>
        </w:rPr>
        <w:t>4</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6月</w:t>
      </w:r>
    </w:p>
    <w:p>
      <w:pPr>
        <w:rPr>
          <w:rFonts w:ascii="黑体" w:hAnsi="宋体" w:eastAsia="黑体" w:cs="黑体"/>
          <w:color w:val="auto"/>
          <w:sz w:val="36"/>
          <w:szCs w:val="36"/>
          <w:highlight w:val="none"/>
        </w:rPr>
        <w:sectPr>
          <w:pgSz w:w="11906" w:h="16840"/>
          <w:pgMar w:top="1247" w:right="1135" w:bottom="1247" w:left="1361" w:header="720" w:footer="720" w:gutter="0"/>
          <w:cols w:space="425" w:num="1"/>
          <w:docGrid w:type="lines" w:linePitch="285" w:charSpace="0"/>
        </w:sectPr>
      </w:pPr>
    </w:p>
    <w:p>
      <w:pPr>
        <w:rPr>
          <w:rFonts w:hint="eastAsia" w:ascii="宋体" w:hAnsi="宋体" w:eastAsia="宋体" w:cs="宋体"/>
          <w:color w:val="auto"/>
          <w:sz w:val="24"/>
          <w:szCs w:val="24"/>
          <w:highlight w:val="none"/>
        </w:rPr>
      </w:pPr>
    </w:p>
    <w:bookmarkEnd w:id="0"/>
    <w:sdt>
      <w:sdtPr>
        <w:rPr>
          <w:rFonts w:hint="eastAsia" w:ascii="宋体" w:hAnsi="宋体" w:eastAsia="宋体" w:cs="宋体"/>
          <w:color w:val="auto"/>
          <w:sz w:val="24"/>
          <w:highlight w:val="none"/>
        </w:rPr>
        <w:id w:val="147481204"/>
        <w:docPartObj>
          <w:docPartGallery w:val="Table of Contents"/>
          <w:docPartUnique/>
        </w:docPartObj>
      </w:sdtPr>
      <w:sdtEndPr>
        <w:rPr>
          <w:rFonts w:hint="eastAsia" w:ascii="宋体" w:hAnsi="宋体" w:eastAsia="宋体" w:cs="宋体"/>
          <w:color w:val="auto"/>
          <w:sz w:val="24"/>
          <w:highlight w:val="none"/>
        </w:rPr>
      </w:sdtEndPr>
      <w:sdtContent>
        <w:p>
          <w:pP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目 录</w:t>
          </w:r>
        </w:p>
        <w:p>
          <w:pPr>
            <w:pStyle w:val="14"/>
            <w:tabs>
              <w:tab w:val="right" w:leader="dot" w:pos="9410"/>
            </w:tabs>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"1-1"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_Toc17503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kern w:val="44"/>
              <w:sz w:val="24"/>
              <w:szCs w:val="24"/>
              <w:highlight w:val="none"/>
            </w:rPr>
            <w:t>第1章 投标须知及前附表</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_Toc17503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3</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14"/>
            <w:tabs>
              <w:tab w:val="right" w:leader="dot" w:pos="9410"/>
            </w:tabs>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_Toc28921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kern w:val="44"/>
              <w:sz w:val="24"/>
              <w:szCs w:val="24"/>
              <w:highlight w:val="none"/>
            </w:rPr>
            <w:t>第2章 项目需求书</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_Toc28921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14</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14"/>
            <w:tabs>
              <w:tab w:val="right" w:leader="dot" w:pos="9410"/>
            </w:tabs>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_Toc2908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kern w:val="44"/>
              <w:sz w:val="24"/>
              <w:szCs w:val="24"/>
              <w:highlight w:val="none"/>
            </w:rPr>
            <w:t>第3章 投标格式文件</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_Toc2908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15</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14"/>
            <w:tabs>
              <w:tab w:val="right" w:leader="dot" w:pos="9410"/>
            </w:tabs>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_Toc24523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kern w:val="44"/>
              <w:sz w:val="24"/>
              <w:szCs w:val="24"/>
              <w:highlight w:val="none"/>
            </w:rPr>
            <w:t>第4章 评标办法</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_Toc24523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27</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14"/>
            <w:tabs>
              <w:tab w:val="right" w:leader="dot" w:pos="9410"/>
            </w:tabs>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_Toc11051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lang w:val="en-US" w:eastAsia="zh-CN"/>
            </w:rPr>
            <w:t>第5章 附件</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lang w:eastAsia="zh-CN"/>
            </w:rPr>
            <w:t>3</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lang w:val="en-US" w:eastAsia="zh-CN"/>
            </w:rPr>
            <w:t>2</w:t>
          </w:r>
        </w:p>
        <w:p>
          <w:pPr>
            <w:pStyle w:val="14"/>
            <w:tabs>
              <w:tab w:val="right" w:leader="dot" w:pos="9410"/>
            </w:tabs>
            <w:rPr>
              <w:color w:val="auto"/>
              <w:sz w:val="24"/>
              <w:szCs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end"/>
          </w:r>
        </w:p>
      </w:sdtContent>
    </w:sdt>
    <w:p>
      <w:pPr>
        <w:pStyle w:val="17"/>
        <w:widowControl/>
        <w:spacing w:beforeAutospacing="0" w:after="0"/>
        <w:ind w:firstLine="0"/>
        <w:rPr>
          <w:rFonts w:hint="eastAsia" w:ascii="宋体" w:hAnsi="宋体" w:eastAsia="宋体" w:cs="宋体"/>
          <w:color w:val="auto"/>
          <w:sz w:val="24"/>
          <w:szCs w:val="24"/>
          <w:highlight w:val="none"/>
        </w:rPr>
        <w:sectPr>
          <w:pgSz w:w="11906" w:h="16840"/>
          <w:pgMar w:top="1247" w:right="1135" w:bottom="1247" w:left="1361" w:header="720" w:footer="720" w:gutter="0"/>
          <w:cols w:space="425" w:num="1"/>
          <w:docGrid w:type="lines" w:linePitch="285" w:charSpace="0"/>
        </w:sectPr>
      </w:pPr>
      <w:r>
        <w:rPr>
          <w:rFonts w:hint="eastAsia" w:ascii="宋体" w:hAnsi="宋体" w:eastAsia="宋体" w:cs="宋体"/>
          <w:color w:val="auto"/>
          <w:sz w:val="24"/>
          <w:szCs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8549"/>
      <w:bookmarkStart w:id="3" w:name="_Toc13302"/>
      <w:bookmarkStart w:id="4" w:name="_Toc17503"/>
      <w:bookmarkStart w:id="5" w:name="_Toc23838"/>
      <w:bookmarkStart w:id="6" w:name="_Toc13388"/>
      <w:bookmarkStart w:id="7" w:name="_Toc374128472"/>
      <w:bookmarkStart w:id="8" w:name="_Toc27659"/>
      <w:bookmarkStart w:id="9" w:name="_Toc9159"/>
      <w:bookmarkStart w:id="10" w:name="_Toc20698"/>
      <w:r>
        <w:rPr>
          <w:rFonts w:hint="eastAsia" w:ascii="黑体" w:hAnsi="宋体" w:cs="黑体"/>
          <w:b/>
          <w:color w:val="auto"/>
          <w:kern w:val="44"/>
          <w:sz w:val="44"/>
          <w:szCs w:val="44"/>
          <w:highlight w:val="none"/>
        </w:rPr>
        <w:t>第1章 投标须知及前附表</w:t>
      </w:r>
      <w:bookmarkEnd w:id="2"/>
      <w:bookmarkEnd w:id="3"/>
      <w:bookmarkEnd w:id="4"/>
      <w:bookmarkEnd w:id="5"/>
      <w:bookmarkEnd w:id="6"/>
      <w:bookmarkEnd w:id="7"/>
      <w:bookmarkEnd w:id="8"/>
      <w:bookmarkEnd w:id="9"/>
      <w:bookmarkEnd w:id="10"/>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8"/>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7"/>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jc w:val="both"/>
              <w:rPr>
                <w:rFonts w:hint="eastAsia" w:ascii="宋体" w:hAnsi="宋体" w:eastAsia="宋体" w:cs="宋体"/>
                <w:color w:val="auto"/>
                <w:szCs w:val="21"/>
                <w:highlight w:val="none"/>
                <w:u w:val="none"/>
                <w:lang w:eastAsia="zh-CN"/>
              </w:rPr>
            </w:pPr>
            <w:r>
              <w:rPr>
                <w:rFonts w:hint="eastAsia" w:ascii="宋体" w:hAnsi="宋体" w:eastAsia="宋体" w:cs="宋体"/>
                <w:b w:val="0"/>
                <w:bCs w:val="0"/>
                <w:color w:val="auto"/>
                <w:sz w:val="21"/>
                <w:szCs w:val="21"/>
                <w:highlight w:val="none"/>
                <w:lang w:val="en-US" w:eastAsia="zh-CN"/>
              </w:rPr>
              <w:t>南沙天后宫电房地块提升改造--仓库提升项目</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jc w:val="left"/>
              <w:rPr>
                <w:rFonts w:hint="eastAsia" w:ascii="宋体" w:hAnsi="宋体" w:eastAsia="宋体" w:cs="宋体"/>
                <w:color w:val="auto"/>
                <w:highlight w:val="none"/>
                <w:u w:val="none"/>
                <w:lang w:eastAsia="zh-CN"/>
              </w:rPr>
            </w:pPr>
            <w:r>
              <w:rPr>
                <w:rFonts w:hint="eastAsia" w:ascii="宋体" w:hAnsi="宋体" w:eastAsia="宋体" w:cs="宋体"/>
                <w:color w:val="auto"/>
                <w:kern w:val="2"/>
                <w:position w:val="0"/>
                <w:sz w:val="21"/>
                <w:szCs w:val="21"/>
                <w:highlight w:val="none"/>
              </w:rPr>
              <w:t>广州市南沙区</w:t>
            </w:r>
            <w:r>
              <w:rPr>
                <w:rFonts w:hint="eastAsia" w:ascii="宋体" w:hAnsi="宋体" w:eastAsia="宋体" w:cs="宋体"/>
                <w:color w:val="auto"/>
                <w:kern w:val="2"/>
                <w:position w:val="0"/>
                <w:sz w:val="21"/>
                <w:szCs w:val="21"/>
                <w:highlight w:val="none"/>
                <w:lang w:val="en-US" w:eastAsia="zh-CN"/>
              </w:rPr>
              <w:t>天后宫</w:t>
            </w:r>
            <w:r>
              <w:rPr>
                <w:rFonts w:hint="eastAsia" w:ascii="宋体" w:hAnsi="宋体" w:eastAsia="宋体" w:cs="宋体"/>
                <w:color w:val="auto"/>
                <w:kern w:val="2"/>
                <w:position w:val="0"/>
                <w:sz w:val="21"/>
                <w:szCs w:val="21"/>
                <w:highlight w:val="none"/>
              </w:rPr>
              <w:t>景区内</w:t>
            </w:r>
          </w:p>
        </w:tc>
      </w:tr>
      <w:tr>
        <w:tblPrEx>
          <w:tblCellMar>
            <w:top w:w="0" w:type="dxa"/>
            <w:left w:w="108" w:type="dxa"/>
            <w:bottom w:w="0" w:type="dxa"/>
            <w:right w:w="108" w:type="dxa"/>
          </w:tblCellMar>
        </w:tblPrEx>
        <w:trPr>
          <w:trHeight w:val="755"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cs="宋体"/>
                <w:color w:val="auto"/>
                <w:highlight w:val="none"/>
                <w:lang w:val="en-US" w:eastAsia="zh-CN"/>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pacing w:val="-2"/>
                <w:sz w:val="21"/>
                <w:szCs w:val="21"/>
                <w:highlight w:val="none"/>
              </w:rPr>
              <w:t>对南沙天后宫电房地块——仓库提升改造。项目包括新建钢结构二层仓库386.48平方米，首层为公司仓库及物业仓库，二层为公司仓库。</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rPr>
                <w:rFonts w:hint="eastAsia" w:ascii="宋体" w:hAnsi="宋体" w:eastAsia="宋体" w:cs="宋体"/>
                <w:color w:val="auto"/>
                <w:highlight w:val="none"/>
                <w:u w:val="none"/>
                <w:lang w:val="en-US" w:eastAsia="zh-CN"/>
              </w:rPr>
            </w:pPr>
            <w:r>
              <w:rPr>
                <w:rFonts w:hint="eastAsia" w:ascii="宋体" w:hAnsi="宋体" w:eastAsia="宋体" w:cs="宋体"/>
                <w:color w:val="auto"/>
                <w:szCs w:val="21"/>
                <w:highlight w:val="none"/>
              </w:rPr>
              <w:t>综合单价包干，工程量按实结算，</w:t>
            </w:r>
            <w:r>
              <w:rPr>
                <w:rFonts w:hint="eastAsia" w:ascii="宋体" w:hAnsi="宋体" w:eastAsia="宋体" w:cs="宋体"/>
                <w:b w:val="0"/>
                <w:bCs w:val="0"/>
                <w:color w:val="auto"/>
                <w:sz w:val="21"/>
                <w:szCs w:val="21"/>
                <w:highlight w:val="none"/>
                <w:lang w:eastAsia="zh-CN"/>
              </w:rPr>
              <w:t>绿色施工安全防护措施费</w:t>
            </w:r>
            <w:r>
              <w:rPr>
                <w:rFonts w:hint="eastAsia" w:ascii="宋体" w:hAnsi="宋体" w:eastAsia="宋体" w:cs="宋体"/>
                <w:color w:val="auto"/>
                <w:szCs w:val="21"/>
                <w:highlight w:val="none"/>
              </w:rPr>
              <w:t>固定总价包干。</w:t>
            </w:r>
          </w:p>
        </w:tc>
      </w:tr>
      <w:tr>
        <w:tblPrEx>
          <w:tblCellMar>
            <w:top w:w="0" w:type="dxa"/>
            <w:left w:w="108" w:type="dxa"/>
            <w:bottom w:w="0" w:type="dxa"/>
            <w:right w:w="108" w:type="dxa"/>
          </w:tblCellMar>
        </w:tblPrEx>
        <w:trPr>
          <w:trHeight w:val="457"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u w:val="none"/>
                <w:shd w:val="clear"/>
                <w:lang w:eastAsia="zh-CN"/>
              </w:rPr>
              <w:t>总投资约</w:t>
            </w:r>
            <w:r>
              <w:rPr>
                <w:rFonts w:hint="eastAsia" w:ascii="宋体" w:hAnsi="宋体" w:eastAsia="宋体" w:cs="宋体"/>
                <w:color w:val="auto"/>
                <w:sz w:val="21"/>
                <w:szCs w:val="21"/>
                <w:highlight w:val="none"/>
                <w:u w:val="none"/>
                <w:lang w:val="en-US" w:eastAsia="zh-CN"/>
              </w:rPr>
              <w:t>70.38</w:t>
            </w:r>
            <w:r>
              <w:rPr>
                <w:rFonts w:hint="eastAsia" w:ascii="宋体" w:hAnsi="宋体" w:eastAsia="宋体" w:cs="宋体"/>
                <w:color w:val="auto"/>
                <w:sz w:val="21"/>
                <w:szCs w:val="21"/>
                <w:highlight w:val="none"/>
                <w:u w:val="none"/>
              </w:rPr>
              <w:t>万元</w:t>
            </w:r>
            <w:r>
              <w:rPr>
                <w:rFonts w:hint="eastAsia" w:ascii="宋体" w:hAnsi="宋体" w:eastAsia="宋体" w:cs="宋体"/>
                <w:color w:val="auto"/>
                <w:sz w:val="21"/>
                <w:szCs w:val="21"/>
                <w:highlight w:val="none"/>
                <w:u w:val="none"/>
                <w:lang w:eastAsia="zh-CN"/>
              </w:rPr>
              <w:t>。</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6</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shd w:val="clear" w:color="auto" w:fill="auto"/>
                <w:lang w:bidi="ar-SA"/>
              </w:rPr>
              <w:t>符合国家验收规范，达到合格标准</w:t>
            </w:r>
            <w:r>
              <w:rPr>
                <w:rFonts w:hint="eastAsia" w:ascii="宋体" w:hAnsi="宋体" w:eastAsia="宋体" w:cs="宋体"/>
                <w:bCs w:val="0"/>
                <w:color w:val="auto"/>
                <w:kern w:val="2"/>
                <w:sz w:val="21"/>
                <w:szCs w:val="21"/>
                <w:highlight w:val="none"/>
                <w:shd w:val="clear" w:color="auto" w:fill="auto"/>
                <w:lang w:eastAsia="zh-CN" w:bidi="ar-SA"/>
              </w:rPr>
              <w:t>。</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beforeAutospacing="0" w:after="0" w:line="320" w:lineRule="exact"/>
              <w:ind w:firstLine="0"/>
              <w:rPr>
                <w:rFonts w:hint="eastAsia" w:ascii="宋体" w:hAnsi="宋体" w:eastAsia="宋体" w:cs="宋体"/>
                <w:color w:val="auto"/>
                <w:kern w:val="2"/>
                <w:sz w:val="21"/>
                <w:szCs w:val="21"/>
                <w:highlight w:val="none"/>
                <w:u w:val="none"/>
              </w:rPr>
            </w:pPr>
            <w:r>
              <w:rPr>
                <w:rFonts w:hint="eastAsia" w:ascii="宋体" w:hAnsi="宋体" w:eastAsia="宋体" w:cs="宋体"/>
                <w:color w:val="auto"/>
                <w:spacing w:val="0"/>
                <w:kern w:val="2"/>
                <w:sz w:val="21"/>
                <w:szCs w:val="21"/>
                <w:highlight w:val="none"/>
                <w:u w:val="none"/>
                <w:lang w:val="en-US" w:eastAsia="zh-CN" w:bidi="ar"/>
              </w:rPr>
              <w:t>项目内容包括新建钢结构二层仓库386.48平方米，配置室内照明、防雷、灭火器等，最终以实际工程量清单和图纸为准。投标人需按招标文件、图纸规范等要求进行施工，如设计图纸有调整时，必须服从要求调整。</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60个日历天</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81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i w:val="0"/>
                <w:iCs w:val="0"/>
                <w:caps w:val="0"/>
                <w:color w:val="auto"/>
                <w:spacing w:val="0"/>
                <w:sz w:val="21"/>
                <w:szCs w:val="21"/>
                <w:highlight w:val="none"/>
                <w:shd w:val="clear"/>
              </w:rPr>
              <w:t>投标人具有承接本项目所需的建筑工程施工总承包三级或以上资质，并持有建设行政主管部门颁发的安全生产许可证。</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default" w:ascii="宋体" w:hAnsi="宋体" w:eastAsia="宋体" w:cs="宋体"/>
                <w:color w:val="auto"/>
                <w:highlight w:val="none"/>
                <w:lang w:val="en-US" w:eastAsia="zh-CN"/>
              </w:rPr>
            </w:pPr>
            <w:r>
              <w:rPr>
                <w:rFonts w:hint="default" w:ascii="宋体" w:hAnsi="宋体" w:cs="宋体"/>
                <w:color w:val="auto"/>
                <w:highlight w:val="none"/>
                <w:lang w:val="en-US"/>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152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highlight w:val="none"/>
                <w:lang w:val="en-US"/>
              </w:rPr>
              <w:t>2.3.</w:t>
            </w:r>
            <w:r>
              <w:rPr>
                <w:rFonts w:hint="default"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val="0"/>
              <w:numPr>
                <w:ilvl w:val="0"/>
                <w:numId w:val="1"/>
              </w:numPr>
              <w:spacing w:line="360" w:lineRule="auto"/>
              <w:ind w:firstLine="0" w:firstLineChars="0"/>
              <w:rPr>
                <w:rFonts w:hint="eastAsia" w:ascii="宋体" w:hAnsi="宋体" w:eastAsia="宋体" w:cs="宋体"/>
                <w:color w:val="auto"/>
                <w:szCs w:val="21"/>
                <w:highlight w:val="none"/>
                <w:u w:val="none"/>
              </w:rPr>
            </w:pPr>
            <w:r>
              <w:rPr>
                <w:rFonts w:hint="eastAsia" w:ascii="宋体" w:hAnsi="宋体" w:eastAsia="宋体" w:cs="宋体"/>
                <w:color w:val="auto"/>
                <w:sz w:val="21"/>
                <w:szCs w:val="21"/>
                <w:highlight w:val="none"/>
                <w:u w:val="none"/>
              </w:rPr>
              <w:t>投标</w:t>
            </w:r>
            <w:r>
              <w:rPr>
                <w:rFonts w:hint="eastAsia" w:ascii="宋体" w:hAnsi="宋体" w:eastAsia="宋体" w:cs="宋体"/>
                <w:color w:val="auto"/>
                <w:sz w:val="21"/>
                <w:szCs w:val="21"/>
                <w:highlight w:val="none"/>
                <w:u w:val="none"/>
                <w:lang w:eastAsia="zh-CN"/>
              </w:rPr>
              <w:t>人</w:t>
            </w:r>
            <w:r>
              <w:rPr>
                <w:rFonts w:hint="eastAsia" w:ascii="宋体" w:hAnsi="宋体" w:eastAsia="宋体" w:cs="宋体"/>
                <w:color w:val="auto"/>
                <w:sz w:val="21"/>
                <w:szCs w:val="21"/>
                <w:highlight w:val="none"/>
                <w:u w:val="none"/>
              </w:rPr>
              <w:t>委派的项目负责人</w:t>
            </w:r>
            <w:r>
              <w:rPr>
                <w:rFonts w:hint="eastAsia" w:ascii="宋体" w:hAnsi="宋体" w:eastAsia="宋体" w:cs="宋体"/>
                <w:color w:val="auto"/>
                <w:sz w:val="21"/>
                <w:szCs w:val="21"/>
                <w:highlight w:val="none"/>
                <w:u w:val="none"/>
                <w:lang w:eastAsia="zh-CN"/>
              </w:rPr>
              <w:t>为：</w:t>
            </w:r>
            <w:r>
              <w:rPr>
                <w:rFonts w:hint="eastAsia" w:ascii="宋体" w:hAnsi="宋体" w:eastAsia="宋体" w:cs="宋体"/>
                <w:color w:val="auto"/>
                <w:sz w:val="21"/>
                <w:szCs w:val="21"/>
                <w:highlight w:val="none"/>
                <w:u w:val="none"/>
                <w:lang w:val="en-US" w:eastAsia="zh-CN"/>
              </w:rPr>
              <w:t>建筑</w:t>
            </w:r>
            <w:r>
              <w:rPr>
                <w:rFonts w:hint="eastAsia" w:ascii="宋体" w:hAnsi="宋体" w:eastAsia="宋体" w:cs="宋体"/>
                <w:color w:val="auto"/>
                <w:sz w:val="21"/>
                <w:szCs w:val="21"/>
                <w:highlight w:val="none"/>
                <w:u w:val="none"/>
              </w:rPr>
              <w:t>工程专业</w:t>
            </w:r>
            <w:r>
              <w:rPr>
                <w:rFonts w:hint="eastAsia" w:ascii="宋体" w:hAnsi="宋体" w:eastAsia="宋体" w:cs="宋体"/>
                <w:color w:val="auto"/>
                <w:sz w:val="21"/>
                <w:szCs w:val="21"/>
                <w:highlight w:val="none"/>
                <w:u w:val="none"/>
                <w:lang w:val="en-US" w:eastAsia="zh-CN"/>
              </w:rPr>
              <w:t>二</w:t>
            </w:r>
            <w:r>
              <w:rPr>
                <w:rFonts w:hint="eastAsia" w:ascii="宋体" w:hAnsi="宋体" w:eastAsia="宋体" w:cs="宋体"/>
                <w:color w:val="auto"/>
                <w:sz w:val="21"/>
                <w:szCs w:val="21"/>
                <w:highlight w:val="none"/>
                <w:u w:val="none"/>
              </w:rPr>
              <w:t>级或以上级别的注册建造师</w:t>
            </w:r>
            <w:r>
              <w:rPr>
                <w:rFonts w:hint="eastAsia" w:ascii="宋体" w:hAnsi="宋体" w:eastAsia="宋体" w:cs="宋体"/>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rPr>
              <w:t>项目负责人</w:t>
            </w:r>
            <w:r>
              <w:rPr>
                <w:rFonts w:hint="eastAsia" w:ascii="宋体" w:hAnsi="宋体" w:eastAsia="宋体" w:cs="宋体"/>
                <w:color w:val="auto"/>
                <w:sz w:val="21"/>
                <w:szCs w:val="21"/>
                <w:highlight w:val="none"/>
                <w:u w:val="none"/>
              </w:rPr>
              <w:t>持有安全培训考核合格证（B类）</w:t>
            </w:r>
            <w:r>
              <w:rPr>
                <w:rFonts w:hint="eastAsia" w:ascii="宋体" w:hAnsi="宋体" w:eastAsia="宋体" w:cs="宋体"/>
                <w:b w:val="0"/>
                <w:bCs w:val="0"/>
                <w:color w:val="auto"/>
                <w:sz w:val="21"/>
                <w:szCs w:val="21"/>
                <w:highlight w:val="none"/>
                <w:u w:val="none"/>
              </w:rPr>
              <w:t>。</w:t>
            </w:r>
          </w:p>
          <w:p>
            <w:pPr>
              <w:numPr>
                <w:ilvl w:val="-1"/>
                <w:numId w:val="0"/>
              </w:numPr>
              <w:spacing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 w:val="0"/>
                <w:bCs w:val="0"/>
                <w:color w:val="auto"/>
                <w:sz w:val="21"/>
                <w:szCs w:val="21"/>
                <w:highlight w:val="none"/>
                <w:u w:val="none"/>
                <w:lang w:val="en-US" w:eastAsia="zh-CN"/>
              </w:rPr>
              <w:t>2、</w:t>
            </w:r>
            <w:r>
              <w:rPr>
                <w:rFonts w:hint="eastAsia" w:ascii="宋体" w:hAnsi="宋体" w:eastAsia="宋体" w:cs="宋体"/>
                <w:b w:val="0"/>
                <w:bCs w:val="0"/>
                <w:color w:val="auto"/>
                <w:sz w:val="21"/>
                <w:szCs w:val="21"/>
                <w:highlight w:val="none"/>
                <w:u w:val="none"/>
              </w:rPr>
              <w:t>专职安全员须具有</w:t>
            </w:r>
            <w:r>
              <w:rPr>
                <w:rFonts w:hint="eastAsia" w:ascii="宋体" w:hAnsi="宋体" w:eastAsia="宋体" w:cs="宋体"/>
                <w:color w:val="auto"/>
                <w:sz w:val="21"/>
                <w:szCs w:val="21"/>
                <w:highlight w:val="none"/>
                <w:u w:val="none"/>
              </w:rPr>
              <w:t>安全生产考核合格证（C类）</w:t>
            </w:r>
            <w:r>
              <w:rPr>
                <w:rFonts w:hint="eastAsia" w:ascii="宋体" w:hAnsi="宋体" w:eastAsia="宋体" w:cs="宋体"/>
                <w:color w:val="auto"/>
                <w:kern w:val="2"/>
                <w:sz w:val="21"/>
                <w:szCs w:val="21"/>
                <w:highlight w:val="none"/>
                <w:u w:val="none"/>
              </w:rPr>
              <w:t>或建筑施工企业专职安全生产管理人员安全生产考核合格证书</w:t>
            </w:r>
            <w:r>
              <w:rPr>
                <w:rFonts w:hint="eastAsia" w:ascii="宋体" w:hAnsi="宋体" w:eastAsia="宋体" w:cs="宋体"/>
                <w:b w:val="0"/>
                <w:bCs w:val="0"/>
                <w:color w:val="auto"/>
                <w:sz w:val="21"/>
                <w:szCs w:val="21"/>
                <w:highlight w:val="none"/>
                <w:u w:val="none"/>
                <w:lang w:eastAsia="zh-CN"/>
              </w:rPr>
              <w:t>。</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Autospacing="0" w:after="0" w:line="440" w:lineRule="exact"/>
              <w:ind w:firstLine="0"/>
              <w:jc w:val="center"/>
              <w:rPr>
                <w:rFonts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Autospacing="0" w:after="0" w:line="440" w:lineRule="exact"/>
              <w:ind w:left="0" w:leftChars="0" w:right="0" w:rightChars="0"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48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line="440" w:lineRule="exact"/>
              <w:ind w:firstLine="210" w:firstLineChars="100"/>
              <w:jc w:val="both"/>
              <w:rPr>
                <w:rFonts w:hint="eastAsia" w:ascii="宋体" w:hAnsi="宋体" w:eastAsia="宋体" w:cs="宋体"/>
                <w:color w:val="auto"/>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line="440" w:lineRule="exact"/>
              <w:ind w:firstLine="0" w:firstLineChars="0"/>
              <w:jc w:val="center"/>
              <w:rPr>
                <w:rFonts w:hint="eastAsia" w:ascii="宋体" w:hAnsi="宋体" w:eastAsia="宋体" w:cs="宋体"/>
                <w:color w:val="auto"/>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440" w:lineRule="exact"/>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427"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0" w:beforeAutospacing="0" w:after="0" w:line="440" w:lineRule="exact"/>
              <w:ind w:left="0" w:leftChars="0" w:right="0" w:rightChars="0"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spacing w:line="440" w:lineRule="exact"/>
              <w:ind w:firstLine="0"/>
              <w:jc w:val="both"/>
              <w:rPr>
                <w:rFonts w:hint="eastAsia" w:ascii="宋体" w:hAnsi="宋体" w:eastAsia="宋体" w:cs="宋体"/>
                <w:color w:val="auto"/>
                <w:sz w:val="21"/>
                <w:szCs w:val="21"/>
                <w:highlight w:val="none"/>
                <w:u w:val="none"/>
              </w:rPr>
            </w:pP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1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eastAsia="zh-CN"/>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100" w:beforeAutospacing="0" w:after="0" w:line="440" w:lineRule="exact"/>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招标控制价及</w:t>
            </w:r>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line="360" w:lineRule="auto"/>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rPr>
              <w:t>招标控制价为</w:t>
            </w:r>
            <w:r>
              <w:rPr>
                <w:rFonts w:hint="eastAsia" w:ascii="宋体" w:hAnsi="宋体" w:eastAsia="宋体" w:cs="宋体"/>
                <w:color w:val="auto"/>
                <w:highlight w:val="none"/>
                <w:lang w:val="en-US" w:eastAsia="zh-CN"/>
              </w:rPr>
              <w:t>¥671271.31</w:t>
            </w:r>
            <w:r>
              <w:rPr>
                <w:rFonts w:hint="eastAsia" w:ascii="宋体" w:hAnsi="宋体" w:eastAsia="宋体" w:cs="宋体"/>
                <w:color w:val="auto"/>
                <w:highlight w:val="none"/>
              </w:rPr>
              <w:t>元</w:t>
            </w:r>
            <w:r>
              <w:rPr>
                <w:rFonts w:hint="eastAsia" w:ascii="宋体" w:hAnsi="宋体" w:eastAsia="宋体" w:cs="宋体"/>
                <w:color w:val="auto"/>
                <w:highlight w:val="none"/>
                <w:lang w:eastAsia="zh-CN"/>
              </w:rPr>
              <w:t>（大写：人民币</w:t>
            </w:r>
            <w:r>
              <w:rPr>
                <w:rFonts w:hint="eastAsia" w:ascii="宋体" w:hAnsi="宋体" w:eastAsia="宋体" w:cs="宋体"/>
                <w:color w:val="auto"/>
                <w:highlight w:val="none"/>
                <w:lang w:val="en-US" w:eastAsia="zh-CN"/>
              </w:rPr>
              <w:t>陆拾柒万壹仟贰佰柒拾壹元叁角壹分</w:t>
            </w:r>
            <w:r>
              <w:rPr>
                <w:rFonts w:hint="eastAsia" w:ascii="宋体" w:hAnsi="宋体" w:eastAsia="宋体" w:cs="宋体"/>
                <w:color w:val="auto"/>
                <w:highlight w:val="none"/>
                <w:lang w:eastAsia="zh-CN"/>
              </w:rPr>
              <w:t>），其中，绿色施工安全防护措施费为</w:t>
            </w:r>
            <w:r>
              <w:rPr>
                <w:rFonts w:hint="eastAsia" w:ascii="宋体" w:hAnsi="宋体" w:eastAsia="宋体" w:cs="宋体"/>
                <w:color w:val="auto"/>
                <w:highlight w:val="none"/>
                <w:lang w:val="en-US" w:eastAsia="zh-CN"/>
              </w:rPr>
              <w:t>¥20229.43元（固定值）</w:t>
            </w:r>
            <w:r>
              <w:rPr>
                <w:rFonts w:hint="eastAsia" w:ascii="宋体" w:hAnsi="宋体" w:eastAsia="宋体" w:cs="宋体"/>
                <w:color w:val="auto"/>
                <w:highlight w:val="none"/>
                <w:lang w:eastAsia="zh-CN"/>
              </w:rPr>
              <w:t>。</w:t>
            </w:r>
          </w:p>
          <w:p>
            <w:pPr>
              <w:pStyle w:val="2"/>
              <w:widowControl/>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投标单位自行报价，投标总报价不能超过招标控制价，否则按无效投标处理。（小数点后保留二位小数，第三位小数四舍五入）</w:t>
            </w:r>
          </w:p>
        </w:tc>
      </w:tr>
      <w:tr>
        <w:tblPrEx>
          <w:tblCellMar>
            <w:top w:w="0" w:type="dxa"/>
            <w:left w:w="108" w:type="dxa"/>
            <w:bottom w:w="0" w:type="dxa"/>
            <w:right w:w="108" w:type="dxa"/>
          </w:tblCellMar>
        </w:tblPrEx>
        <w:trPr>
          <w:trHeight w:val="43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1、金额：人民币</w:t>
            </w:r>
            <w:r>
              <w:rPr>
                <w:rFonts w:hint="eastAsia" w:ascii="宋体" w:hAnsi="宋体" w:eastAsia="宋体" w:cs="宋体"/>
                <w:color w:val="auto"/>
                <w:highlight w:val="none"/>
                <w:lang w:val="en-US" w:eastAsia="zh-CN"/>
              </w:rPr>
              <w:t>伍仟</w:t>
            </w:r>
            <w:r>
              <w:rPr>
                <w:rFonts w:hint="eastAsia" w:ascii="宋体" w:hAnsi="宋体" w:eastAsia="宋体" w:cs="宋体"/>
                <w:color w:val="auto"/>
                <w:highlight w:val="none"/>
              </w:rPr>
              <w:t>元。</w:t>
            </w:r>
          </w:p>
          <w:p>
            <w:pPr>
              <w:numPr>
                <w:ilvl w:val="-1"/>
                <w:numId w:val="0"/>
              </w:numPr>
              <w:adjustRightInd w:val="0"/>
              <w:snapToGrid w:val="0"/>
              <w:spacing w:line="360" w:lineRule="auto"/>
              <w:rPr>
                <w:rFonts w:hint="eastAsia" w:ascii="宋体" w:hAnsi="宋体" w:eastAsia="宋体" w:cs="宋体"/>
                <w:color w:val="auto"/>
                <w:szCs w:val="21"/>
                <w:highlight w:val="none"/>
                <w:lang w:eastAsia="zh-CN"/>
              </w:rPr>
            </w:pPr>
            <w:r>
              <w:rPr>
                <w:rFonts w:hint="eastAsia" w:ascii="宋体" w:hAnsi="宋体" w:eastAsia="宋体" w:cs="宋体"/>
                <w:color w:val="auto"/>
                <w:highlight w:val="none"/>
              </w:rPr>
              <w:t>2、</w:t>
            </w:r>
            <w:r>
              <w:rPr>
                <w:rFonts w:hint="eastAsia" w:ascii="宋体" w:hAnsi="宋体" w:eastAsia="宋体" w:cs="宋体"/>
                <w:color w:val="auto"/>
                <w:szCs w:val="21"/>
                <w:highlight w:val="none"/>
              </w:rPr>
              <w:t>缴纳方式：</w:t>
            </w:r>
            <w:r>
              <w:rPr>
                <w:rFonts w:hint="eastAsia" w:ascii="宋体" w:hAnsi="宋体" w:eastAsia="宋体" w:cs="宋体"/>
                <w:color w:val="auto"/>
                <w:szCs w:val="21"/>
                <w:highlight w:val="none"/>
                <w:lang w:eastAsia="zh-CN"/>
              </w:rPr>
              <w:t>银行转账。</w:t>
            </w:r>
          </w:p>
          <w:p>
            <w:pPr>
              <w:numPr>
                <w:ilvl w:val="-1"/>
                <w:numId w:val="0"/>
              </w:numPr>
              <w:adjustRightInd w:val="0"/>
              <w:spacing w:line="360"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账户名称：广州南沙</w:t>
            </w:r>
            <w:r>
              <w:rPr>
                <w:rFonts w:hint="eastAsia" w:ascii="宋体" w:hAnsi="宋体" w:eastAsia="宋体" w:cs="宋体"/>
                <w:color w:val="auto"/>
                <w:szCs w:val="21"/>
                <w:highlight w:val="none"/>
                <w:lang w:val="en-US" w:eastAsia="zh-CN"/>
              </w:rPr>
              <w:t>旅游发展</w:t>
            </w:r>
            <w:r>
              <w:rPr>
                <w:rFonts w:hint="eastAsia" w:ascii="宋体" w:hAnsi="宋体" w:eastAsia="宋体" w:cs="宋体"/>
                <w:color w:val="auto"/>
                <w:szCs w:val="21"/>
                <w:highlight w:val="none"/>
              </w:rPr>
              <w:t>有限公司</w:t>
            </w:r>
          </w:p>
          <w:p>
            <w:pPr>
              <w:numPr>
                <w:ilvl w:val="-1"/>
                <w:numId w:val="0"/>
              </w:numPr>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w:t>
            </w:r>
            <w:r>
              <w:rPr>
                <w:rFonts w:hint="eastAsia" w:ascii="宋体" w:hAnsi="宋体" w:eastAsia="宋体" w:cs="宋体"/>
                <w:bCs/>
                <w:color w:val="auto"/>
                <w:sz w:val="21"/>
                <w:szCs w:val="21"/>
                <w:highlight w:val="none"/>
              </w:rPr>
              <w:t>中国银行广州南沙科技园区支行</w:t>
            </w:r>
          </w:p>
          <w:p>
            <w:pPr>
              <w:numPr>
                <w:ilvl w:val="-1"/>
                <w:numId w:val="0"/>
              </w:numPr>
              <w:adjustRightInd w:val="0"/>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账号：</w:t>
            </w:r>
            <w:r>
              <w:rPr>
                <w:rFonts w:hint="eastAsia" w:ascii="宋体" w:hAnsi="宋体" w:eastAsia="宋体" w:cs="宋体"/>
                <w:bCs/>
                <w:color w:val="auto"/>
                <w:sz w:val="21"/>
                <w:szCs w:val="21"/>
                <w:highlight w:val="none"/>
              </w:rPr>
              <w:t>644457756045</w:t>
            </w:r>
          </w:p>
          <w:p>
            <w:pPr>
              <w:numPr>
                <w:ilvl w:val="0"/>
                <w:numId w:val="2"/>
              </w:numPr>
              <w:adjustRightInd w:val="0"/>
              <w:snapToGrid w:val="0"/>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缴纳时间：投标单位须在202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6月14</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lang w:eastAsia="zh-CN"/>
              </w:rPr>
              <w:t>（星期</w:t>
            </w:r>
            <w:r>
              <w:rPr>
                <w:rFonts w:hint="eastAsia" w:ascii="宋体" w:hAnsi="宋体" w:eastAsia="宋体" w:cs="宋体"/>
                <w:color w:val="auto"/>
                <w:szCs w:val="21"/>
                <w:highlight w:val="none"/>
                <w:lang w:val="en-US" w:eastAsia="zh-CN"/>
              </w:rPr>
              <w:t>五</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前</w:t>
            </w:r>
            <w:r>
              <w:rPr>
                <w:rFonts w:hint="eastAsia" w:ascii="宋体" w:hAnsi="宋体" w:eastAsia="宋体" w:cs="宋体"/>
                <w:color w:val="auto"/>
                <w:szCs w:val="21"/>
                <w:highlight w:val="none"/>
              </w:rPr>
              <w:t>以投标人转出【</w:t>
            </w:r>
            <w:r>
              <w:rPr>
                <w:rFonts w:hint="eastAsia" w:ascii="宋体" w:hAnsi="宋体" w:eastAsia="宋体" w:cs="宋体"/>
                <w:color w:val="auto"/>
                <w:szCs w:val="21"/>
                <w:highlight w:val="none"/>
              </w:rPr>
              <w:t>汇款时</w:t>
            </w:r>
            <w:r>
              <w:rPr>
                <w:rFonts w:hint="eastAsia" w:ascii="宋体" w:hAnsi="宋体" w:eastAsia="宋体" w:cs="宋体"/>
                <w:color w:val="auto"/>
                <w:szCs w:val="21"/>
                <w:highlight w:val="none"/>
                <w:lang w:eastAsia="zh-CN"/>
              </w:rPr>
              <w:t>注明</w:t>
            </w:r>
            <w:r>
              <w:rPr>
                <w:rFonts w:hint="eastAsia" w:ascii="宋体" w:hAnsi="宋体" w:eastAsia="宋体" w:cs="宋体"/>
                <w:color w:val="auto"/>
                <w:szCs w:val="21"/>
                <w:highlight w:val="none"/>
              </w:rPr>
              <w:t>：</w:t>
            </w:r>
            <w:r>
              <w:rPr>
                <w:rFonts w:hint="eastAsia" w:ascii="宋体" w:hAnsi="宋体" w:eastAsia="宋体" w:cs="宋体"/>
                <w:b w:val="0"/>
                <w:bCs w:val="0"/>
                <w:color w:val="auto"/>
                <w:sz w:val="21"/>
                <w:szCs w:val="21"/>
                <w:highlight w:val="none"/>
                <w:lang w:val="en-US" w:eastAsia="zh-CN"/>
              </w:rPr>
              <w:t>南沙天后宫电房地块提升改造--仓库提升项目</w:t>
            </w:r>
            <w:r>
              <w:rPr>
                <w:rFonts w:hint="eastAsia" w:ascii="宋体" w:hAnsi="宋体" w:eastAsia="宋体" w:cs="宋体"/>
                <w:color w:val="auto"/>
                <w:szCs w:val="21"/>
                <w:highlight w:val="none"/>
              </w:rPr>
              <w:t>投标保证金】</w:t>
            </w:r>
          </w:p>
          <w:p>
            <w:pPr>
              <w:numPr>
                <w:ilvl w:val="0"/>
                <w:numId w:val="2"/>
              </w:numPr>
              <w:adjustRightInd w:val="0"/>
              <w:snapToGrid w:val="0"/>
              <w:spacing w:line="360" w:lineRule="auto"/>
              <w:rPr>
                <w:rFonts w:hint="eastAsia"/>
                <w:color w:val="auto"/>
                <w:highlight w:val="none"/>
              </w:rPr>
            </w:pPr>
            <w:r>
              <w:rPr>
                <w:rFonts w:hint="eastAsia"/>
                <w:color w:val="auto"/>
                <w:highlight w:val="none"/>
              </w:rPr>
              <w:t>未按规定缴纳投标保证金的正式投标人将被视为自动放弃本工程的投标资格。</w:t>
            </w:r>
          </w:p>
          <w:p>
            <w:pPr>
              <w:pStyle w:val="2"/>
              <w:numPr>
                <w:ilvl w:val="-1"/>
                <w:numId w:val="0"/>
              </w:numPr>
              <w:spacing w:line="360" w:lineRule="auto"/>
              <w:rPr>
                <w:rFonts w:hint="default" w:ascii="宋体" w:hAnsi="宋体" w:eastAsia="宋体" w:cs="宋体"/>
                <w:color w:val="auto"/>
                <w:highlight w:val="none"/>
                <w:lang w:val="en-US" w:eastAsia="zh-CN"/>
              </w:rPr>
            </w:pPr>
            <w:r>
              <w:rPr>
                <w:rFonts w:hint="eastAsia" w:hAnsi="宋体" w:cs="宋体"/>
                <w:color w:val="auto"/>
                <w:szCs w:val="21"/>
                <w:highlight w:val="none"/>
                <w:lang w:val="en-US" w:eastAsia="zh-CN"/>
              </w:rPr>
              <w:t>5、</w:t>
            </w:r>
            <w:r>
              <w:rPr>
                <w:rFonts w:hint="eastAsia" w:ascii="宋体" w:hAnsi="宋体" w:eastAsia="宋体" w:cs="宋体"/>
                <w:color w:val="auto"/>
                <w:szCs w:val="21"/>
                <w:highlight w:val="none"/>
                <w:lang w:val="en-US" w:eastAsia="zh-CN"/>
              </w:rPr>
              <w:t>投标保证金在开标结束后，按招标人内部程序，原路退回投标单位缴款账户。</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0" w:beforeAutospacing="0" w:after="0" w:line="440" w:lineRule="exact"/>
              <w:ind w:left="0" w:leftChars="0" w:right="0" w:rightChars="0" w:firstLine="0"/>
              <w:jc w:val="center"/>
              <w:rPr>
                <w:rFonts w:hint="eastAsia"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44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281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pPr>
              <w:pStyle w:val="17"/>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pPr>
              <w:pStyle w:val="17"/>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收件人：林小姐，</w:t>
            </w:r>
            <w:r>
              <w:rPr>
                <w:rFonts w:hint="eastAsia" w:ascii="宋体" w:hAnsi="宋体" w:eastAsia="宋体" w:cs="宋体"/>
                <w:color w:val="auto"/>
                <w:kern w:val="2"/>
                <w:sz w:val="21"/>
                <w:szCs w:val="21"/>
                <w:highlight w:val="none"/>
                <w:u w:val="none"/>
              </w:rPr>
              <w:t>020-</w:t>
            </w:r>
            <w:r>
              <w:rPr>
                <w:rFonts w:hint="eastAsia" w:ascii="宋体" w:hAnsi="宋体" w:eastAsia="宋体" w:cs="宋体"/>
                <w:color w:val="auto"/>
                <w:kern w:val="2"/>
                <w:sz w:val="21"/>
                <w:szCs w:val="21"/>
                <w:highlight w:val="none"/>
                <w:u w:val="none"/>
                <w:lang w:val="en-US" w:eastAsia="zh-CN"/>
              </w:rPr>
              <w:t>31151828</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w:t>
            </w:r>
            <w:r>
              <w:rPr>
                <w:rFonts w:hint="eastAsia" w:ascii="宋体" w:hAnsi="宋体" w:eastAsia="宋体" w:cs="宋体"/>
                <w:color w:val="auto"/>
                <w:kern w:val="2"/>
                <w:sz w:val="21"/>
                <w:szCs w:val="21"/>
                <w:highlight w:val="none"/>
                <w:u w:val="none"/>
                <w:shd w:val="clear" w:color="auto" w:fill="auto"/>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color="auto" w:fill="auto"/>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6月17</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一</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6月17</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一</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分前</w:t>
            </w:r>
            <w:r>
              <w:rPr>
                <w:rFonts w:hint="eastAsia" w:ascii="宋体" w:hAnsi="宋体" w:eastAsia="宋体" w:cs="宋体"/>
                <w:color w:val="auto"/>
                <w:kern w:val="2"/>
                <w:sz w:val="21"/>
                <w:szCs w:val="21"/>
                <w:highlight w:val="none"/>
                <w:u w:val="none"/>
                <w:lang w:val="en-US" w:eastAsia="zh-CN" w:bidi="ar-SA"/>
              </w:rPr>
              <w:t>。</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6月17</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一</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w:t>
            </w:r>
            <w:r>
              <w:rPr>
                <w:rFonts w:hint="eastAsia" w:ascii="宋体" w:hAnsi="宋体" w:eastAsia="宋体" w:cs="宋体"/>
                <w:color w:val="auto"/>
                <w:kern w:val="2"/>
                <w:sz w:val="21"/>
                <w:szCs w:val="21"/>
                <w:highlight w:val="none"/>
                <w:u w:val="none"/>
                <w:shd w:val="clear"/>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trHeight w:val="913" w:hRule="atLeast"/>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7"/>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ascii="宋体" w:hAnsi="宋体" w:eastAsia="宋体" w:cs="宋体"/>
                <w:color w:val="auto"/>
                <w:highlight w:val="none"/>
                <w:u w:val="none"/>
              </w:rPr>
            </w:pPr>
            <w:r>
              <w:rPr>
                <w:rFonts w:hint="eastAsia" w:ascii="宋体" w:hAnsi="宋体" w:eastAsia="宋体" w:cs="宋体"/>
                <w:color w:val="auto"/>
                <w:szCs w:val="21"/>
                <w:highlight w:val="none"/>
                <w:u w:val="none"/>
              </w:rPr>
              <w:t>综合</w:t>
            </w:r>
            <w:r>
              <w:rPr>
                <w:rFonts w:hint="eastAsia" w:ascii="宋体" w:hAnsi="宋体" w:eastAsia="宋体" w:cs="宋体"/>
                <w:color w:val="auto"/>
                <w:szCs w:val="21"/>
                <w:highlight w:val="none"/>
                <w:u w:val="none"/>
                <w:lang w:val="en-US" w:eastAsia="zh-CN"/>
              </w:rPr>
              <w:t>评分</w:t>
            </w:r>
            <w:r>
              <w:rPr>
                <w:rFonts w:hint="eastAsia" w:ascii="宋体" w:hAnsi="宋体" w:eastAsia="宋体" w:cs="宋体"/>
                <w:color w:val="auto"/>
                <w:szCs w:val="21"/>
                <w:highlight w:val="none"/>
                <w:u w:val="none"/>
              </w:rPr>
              <w:t>法</w:t>
            </w:r>
            <w:r>
              <w:rPr>
                <w:rFonts w:hint="eastAsia" w:ascii="宋体" w:hAnsi="宋体" w:eastAsia="宋体" w:cs="宋体"/>
                <w:color w:val="auto"/>
                <w:szCs w:val="21"/>
                <w:highlight w:val="none"/>
                <w:lang w:eastAsia="zh-CN"/>
              </w:rPr>
              <w:t>，总得分</w:t>
            </w:r>
            <w:r>
              <w:rPr>
                <w:rFonts w:hint="eastAsia" w:ascii="宋体" w:hAnsi="宋体" w:eastAsia="宋体" w:cs="宋体"/>
                <w:color w:val="auto"/>
                <w:szCs w:val="21"/>
                <w:highlight w:val="none"/>
                <w:lang w:val="en-US" w:eastAsia="zh-CN"/>
              </w:rPr>
              <w:t>=（商务部分得分+技术部分得分）（满分100分）×权重20%+经济部分得分（满分100分）×权重80%</w:t>
            </w:r>
          </w:p>
        </w:tc>
      </w:tr>
    </w:tbl>
    <w:p>
      <w:pPr>
        <w:pStyle w:val="4"/>
        <w:rPr>
          <w:rFonts w:hint="eastAsia" w:ascii="宋体" w:hAnsi="宋体" w:eastAsia="宋体" w:cs="宋体"/>
          <w:b/>
          <w:color w:val="auto"/>
          <w:sz w:val="36"/>
          <w:szCs w:val="36"/>
          <w:highlight w:val="none"/>
        </w:rPr>
      </w:pPr>
    </w:p>
    <w:p>
      <w:pPr>
        <w:rPr>
          <w:rFonts w:hint="eastAsia" w:ascii="宋体" w:hAnsi="宋体" w:eastAsia="宋体" w:cs="宋体"/>
          <w:b/>
          <w:color w:val="auto"/>
          <w:sz w:val="36"/>
          <w:szCs w:val="36"/>
          <w:highlight w:val="none"/>
        </w:rPr>
      </w:pPr>
    </w:p>
    <w:p>
      <w:pPr>
        <w:pStyle w:val="2"/>
        <w:rPr>
          <w:rFonts w:hint="eastAsia" w:ascii="宋体" w:hAnsi="宋体" w:eastAsia="宋体" w:cs="宋体"/>
          <w:b/>
          <w:color w:val="auto"/>
          <w:sz w:val="36"/>
          <w:szCs w:val="36"/>
          <w:highlight w:val="none"/>
        </w:rPr>
      </w:pPr>
    </w:p>
    <w:p>
      <w:pPr>
        <w:rPr>
          <w:rFonts w:hint="eastAsia" w:ascii="宋体" w:hAnsi="宋体" w:eastAsia="宋体" w:cs="宋体"/>
          <w:b/>
          <w:color w:val="auto"/>
          <w:sz w:val="36"/>
          <w:szCs w:val="36"/>
          <w:highlight w:val="none"/>
        </w:rPr>
      </w:pPr>
    </w:p>
    <w:p>
      <w:pPr>
        <w:pStyle w:val="2"/>
        <w:rPr>
          <w:rFonts w:hint="eastAsia" w:ascii="宋体" w:hAnsi="宋体" w:eastAsia="宋体" w:cs="宋体"/>
          <w:b/>
          <w:color w:val="auto"/>
          <w:sz w:val="36"/>
          <w:szCs w:val="36"/>
          <w:highlight w:val="none"/>
        </w:rPr>
      </w:pPr>
    </w:p>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rPr>
        <w:t>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 “书面函件”指打字或印刷的函件，包括电传、电报和传真。</w:t>
      </w:r>
    </w:p>
    <w:p>
      <w:pPr>
        <w:spacing w:line="360" w:lineRule="auto"/>
        <w:ind w:firstLine="482" w:firstLineChars="200"/>
        <w:outlineLvl w:val="3"/>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2.2项目概况：</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建设</w:t>
      </w:r>
      <w:r>
        <w:rPr>
          <w:rFonts w:hint="eastAsia" w:ascii="宋体" w:hAnsi="宋体" w:eastAsia="宋体" w:cs="宋体"/>
          <w:color w:val="auto"/>
          <w:sz w:val="24"/>
          <w:highlight w:val="none"/>
          <w:lang w:val="en-US" w:eastAsia="zh-CN"/>
        </w:rPr>
        <w:t>规模</w:t>
      </w:r>
      <w:r>
        <w:rPr>
          <w:rFonts w:hint="eastAsia" w:ascii="宋体" w:hAnsi="宋体" w:eastAsia="宋体" w:cs="宋体"/>
          <w:color w:val="auto"/>
          <w:sz w:val="24"/>
          <w:highlight w:val="none"/>
        </w:rPr>
        <w:t>：见投标须知前附表第2项。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4承包方式</w:t>
      </w:r>
      <w:r>
        <w:rPr>
          <w:rFonts w:hint="eastAsia" w:ascii="宋体" w:hAnsi="宋体" w:eastAsia="宋体" w:cs="宋体"/>
          <w:color w:val="auto"/>
          <w:sz w:val="24"/>
          <w:highlight w:val="none"/>
        </w:rPr>
        <w:t>：见投标须知前附表第3项。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6质量</w:t>
      </w:r>
      <w:r>
        <w:rPr>
          <w:rFonts w:hint="eastAsia" w:ascii="宋体" w:hAnsi="宋体" w:eastAsia="宋体" w:cs="宋体"/>
          <w:color w:val="auto"/>
          <w:sz w:val="24"/>
          <w:highlight w:val="none"/>
        </w:rPr>
        <w:t>目标：见投标须知前附表第5项。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left="-1" w:firstLine="480" w:firstLineChars="200"/>
        <w:rPr>
          <w:color w:val="auto"/>
          <w:highlight w:val="none"/>
        </w:rPr>
      </w:pPr>
      <w:r>
        <w:rPr>
          <w:rFonts w:hint="eastAsia" w:ascii="宋体" w:hAnsi="宋体" w:eastAsia="宋体" w:cs="宋体"/>
          <w:color w:val="auto"/>
          <w:sz w:val="24"/>
          <w:highlight w:val="none"/>
          <w:lang w:val="en-US" w:eastAsia="zh-CN"/>
        </w:rPr>
        <w:t>2.3.4</w:t>
      </w:r>
      <w:r>
        <w:rPr>
          <w:rFonts w:hint="eastAsia" w:ascii="宋体" w:hAnsi="宋体" w:eastAsia="宋体" w:cs="宋体"/>
          <w:color w:val="auto"/>
          <w:sz w:val="24"/>
          <w:highlight w:val="none"/>
        </w:rPr>
        <w:t>服务人员的专业配套要求</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见投标须知前附表第</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7"/>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hint="eastAsia" w:ascii="黑体" w:hAnsi="华文楷体" w:eastAsia="黑体" w:cs="黑体"/>
          <w:color w:val="auto"/>
          <w:sz w:val="24"/>
          <w:highlight w:val="none"/>
          <w:lang w:eastAsia="zh-CN"/>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4）合同</w:t>
      </w:r>
      <w:r>
        <w:rPr>
          <w:rFonts w:hint="eastAsia" w:ascii="黑体" w:hAnsi="华文楷体" w:eastAsia="黑体" w:cs="黑体"/>
          <w:color w:val="auto"/>
          <w:sz w:val="24"/>
          <w:highlight w:val="none"/>
          <w:lang w:eastAsia="zh-CN"/>
        </w:rPr>
        <w:t>（</w:t>
      </w:r>
      <w:r>
        <w:rPr>
          <w:rFonts w:hint="eastAsia" w:ascii="黑体" w:hAnsi="华文楷体" w:eastAsia="黑体" w:cs="黑体"/>
          <w:color w:val="auto"/>
          <w:sz w:val="24"/>
          <w:highlight w:val="none"/>
          <w:lang w:val="en-US" w:eastAsia="zh-CN"/>
        </w:rPr>
        <w:t>另附</w:t>
      </w:r>
      <w:r>
        <w:rPr>
          <w:rFonts w:hint="eastAsia" w:ascii="黑体" w:hAnsi="华文楷体" w:eastAsia="黑体" w:cs="黑体"/>
          <w:color w:val="auto"/>
          <w:sz w:val="24"/>
          <w:highlight w:val="none"/>
          <w:lang w:eastAsia="zh-CN"/>
        </w:rPr>
        <w:t>）</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w:t>
      </w:r>
      <w:r>
        <w:rPr>
          <w:rFonts w:hint="eastAsia" w:ascii="宋体" w:hAnsi="宋体" w:cs="宋体"/>
          <w:color w:val="auto"/>
          <w:sz w:val="24"/>
          <w:szCs w:val="24"/>
          <w:highlight w:val="none"/>
          <w:lang w:val="en-US" w:eastAsia="zh-CN"/>
        </w:rPr>
        <w:t>招标文件</w:t>
      </w:r>
      <w:r>
        <w:rPr>
          <w:rFonts w:hint="eastAsia" w:ascii="宋体" w:hAnsi="宋体" w:cs="宋体"/>
          <w:color w:val="auto"/>
          <w:sz w:val="24"/>
          <w:szCs w:val="24"/>
          <w:highlight w:val="none"/>
        </w:rPr>
        <w:t>在广州南沙资产经营集团有限公司网站（http://www.gnao.com.cn）</w:t>
      </w:r>
      <w:r>
        <w:rPr>
          <w:rFonts w:hint="eastAsia"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rPr>
        <w:t>上公开发布，由投标人自行下载。如招标人需发布补充公告的，以最后发布的补充的招标内容为准。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8.2招标答疑会会议纪要将在提交投标文件截止时间1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8.3答疑会会议纪要为招标文件的一部分。</w:t>
      </w:r>
    </w:p>
    <w:p>
      <w:pPr>
        <w:spacing w:line="360" w:lineRule="auto"/>
        <w:ind w:firstLine="480" w:firstLineChars="200"/>
        <w:outlineLvl w:val="3"/>
        <w:rPr>
          <w:rFonts w:hint="eastAsia" w:ascii="宋体" w:hAnsi="宋体" w:cs="宋体"/>
          <w:b/>
          <w:color w:val="auto"/>
          <w:sz w:val="24"/>
          <w:highlight w:val="none"/>
        </w:rPr>
      </w:pPr>
      <w:r>
        <w:rPr>
          <w:rFonts w:hint="eastAsia" w:ascii="宋体" w:hAnsi="宋体" w:eastAsia="宋体" w:cs="宋体"/>
          <w:color w:val="auto"/>
          <w:kern w:val="2"/>
          <w:sz w:val="24"/>
          <w:szCs w:val="24"/>
          <w:highlight w:val="none"/>
          <w:lang w:val="en-US" w:eastAsia="zh-CN" w:bidi="ar-SA"/>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17"/>
        <w:widowControl/>
        <w:spacing w:beforeAutospacing="0" w:after="0"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7"/>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人员到位承诺书（按招标文件第3章格式填写）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 xml:space="preserve">7 </w:t>
      </w:r>
      <w:r>
        <w:rPr>
          <w:rFonts w:hint="eastAsia" w:ascii="宋体" w:hAnsi="宋体" w:eastAsia="宋体" w:cs="宋体"/>
          <w:color w:val="auto"/>
          <w:sz w:val="24"/>
          <w:highlight w:val="none"/>
        </w:rPr>
        <w:t>投标人综合概况（按招标文件第3章格式填写）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8</w:t>
      </w:r>
      <w:r>
        <w:rPr>
          <w:rFonts w:hint="eastAsia" w:ascii="宋体" w:hAnsi="宋体" w:eastAsia="宋体" w:cs="宋体"/>
          <w:b w:val="0"/>
          <w:bCs w:val="0"/>
          <w:color w:val="auto"/>
          <w:kern w:val="2"/>
          <w:sz w:val="24"/>
          <w:highlight w:val="none"/>
          <w:lang w:val="en-US" w:eastAsia="zh-CN" w:bidi="ar-SA"/>
        </w:rPr>
        <w:t>投标人业绩一览表</w:t>
      </w:r>
      <w:r>
        <w:rPr>
          <w:rFonts w:hint="eastAsia" w:ascii="宋体" w:hAnsi="宋体" w:eastAsia="宋体" w:cs="宋体"/>
          <w:color w:val="auto"/>
          <w:sz w:val="24"/>
          <w:highlight w:val="none"/>
        </w:rPr>
        <w:t>及证明文件（按招标文件第3章格式填写）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项目负责人相关经验及业绩（按招标文件第3章格式填写）。</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11.10</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（含报价清单）</w:t>
      </w:r>
      <w:r>
        <w:rPr>
          <w:rFonts w:hint="eastAsia" w:ascii="宋体" w:hAnsi="宋体" w:eastAsia="宋体" w:cs="宋体"/>
          <w:color w:val="auto"/>
          <w:sz w:val="24"/>
          <w:highlight w:val="none"/>
        </w:rPr>
        <w:t>。</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12</w:t>
      </w:r>
      <w:r>
        <w:rPr>
          <w:rFonts w:hint="eastAsia" w:ascii="宋体" w:hAnsi="宋体" w:eastAsia="宋体" w:cs="宋体"/>
          <w:color w:val="auto"/>
          <w:sz w:val="24"/>
          <w:highlight w:val="none"/>
        </w:rPr>
        <w:t>技术标文件（独立成册）。</w:t>
      </w:r>
    </w:p>
    <w:p>
      <w:pPr>
        <w:pStyle w:val="2"/>
        <w:ind w:firstLine="480" w:firstLineChars="200"/>
        <w:rPr>
          <w:rFonts w:hint="default"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13</w:t>
      </w:r>
      <w:r>
        <w:rPr>
          <w:rFonts w:hint="eastAsia" w:ascii="宋体" w:hAnsi="宋体" w:eastAsia="宋体" w:cs="宋体"/>
          <w:color w:val="auto"/>
          <w:sz w:val="24"/>
          <w:highlight w:val="none"/>
        </w:rPr>
        <w:t>投标文件电子版</w:t>
      </w:r>
      <w:r>
        <w:rPr>
          <w:rFonts w:ascii="宋体" w:hAnsi="宋体" w:eastAsia="宋体" w:cs="宋体"/>
          <w:color w:val="auto"/>
          <w:sz w:val="24"/>
          <w:highlight w:val="none"/>
        </w:rPr>
        <w:t>（刻录光盘或提供U盘，需为公司盖章版本</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含报价清单</w:t>
      </w:r>
      <w:r>
        <w:rPr>
          <w:rFonts w:hint="eastAsia" w:ascii="宋体" w:hAnsi="宋体" w:eastAsia="宋体" w:cs="宋体"/>
          <w:color w:val="auto"/>
          <w:sz w:val="24"/>
          <w:highlight w:val="none"/>
          <w:lang w:eastAsia="zh-CN"/>
        </w:rPr>
        <w:t>软件版</w:t>
      </w:r>
      <w:r>
        <w:rPr>
          <w:rFonts w:ascii="宋体" w:hAnsi="宋体" w:eastAsia="宋体" w:cs="宋体"/>
          <w:color w:val="auto"/>
          <w:sz w:val="24"/>
          <w:highlight w:val="none"/>
        </w:rPr>
        <w:t>）。</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11.14投标申请人声明。</w:t>
      </w:r>
    </w:p>
    <w:p>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kern w:val="2"/>
          <w:sz w:val="24"/>
          <w:szCs w:val="24"/>
          <w:highlight w:val="none"/>
          <w:lang w:val="en-US" w:eastAsia="zh-CN" w:bidi="ar-SA"/>
        </w:rPr>
        <w:t>11.15施工组织方案。</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11.16非联合体投标声明（格式自拟）。</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11.17投标人认为需要提供的其他文件。</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w:t>
      </w:r>
      <w:r>
        <w:rPr>
          <w:rFonts w:hint="eastAsia" w:ascii="宋体" w:hAnsi="宋体" w:cs="宋体"/>
          <w:color w:val="auto"/>
          <w:kern w:val="2"/>
          <w:sz w:val="24"/>
          <w:szCs w:val="24"/>
          <w:highlight w:val="none"/>
          <w:u w:val="none"/>
          <w:lang w:val="en-US" w:eastAsia="zh-CN" w:bidi="ar-SA"/>
        </w:rPr>
        <w:t>无效投标</w:t>
      </w:r>
      <w:r>
        <w:rPr>
          <w:rFonts w:hint="eastAsia" w:ascii="宋体" w:hAnsi="宋体" w:eastAsia="宋体" w:cs="宋体"/>
          <w:color w:val="auto"/>
          <w:sz w:val="24"/>
          <w:szCs w:val="24"/>
          <w:highlight w:val="none"/>
          <w:lang w:eastAsia="zh-CN"/>
        </w:rPr>
        <w:t>处</w:t>
      </w:r>
      <w:r>
        <w:rPr>
          <w:rFonts w:hint="eastAsia" w:ascii="宋体" w:hAnsi="宋体" w:cs="宋体"/>
          <w:color w:val="auto"/>
          <w:sz w:val="24"/>
          <w:szCs w:val="24"/>
          <w:highlight w:val="none"/>
          <w:lang w:eastAsia="zh-CN"/>
        </w:rPr>
        <w:t>理</w:t>
      </w:r>
      <w:r>
        <w:rPr>
          <w:rFonts w:hint="eastAsia" w:ascii="宋体" w:hAnsi="宋体" w:cs="宋体"/>
          <w:color w:val="auto"/>
          <w:sz w:val="24"/>
          <w:szCs w:val="24"/>
          <w:highlight w:val="none"/>
        </w:rPr>
        <w:t>。（小数点后保留二位小数，第三位小数四舍五入）</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到投标截止时间止，招标人收到的投标文件少于3家的，招标人将依法重新组织招标。</w:t>
      </w:r>
    </w:p>
    <w:p>
      <w:pPr>
        <w:pStyle w:val="17"/>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w:t>
      </w:r>
      <w:r>
        <w:rPr>
          <w:rFonts w:hint="eastAsia" w:ascii="宋体" w:hAnsi="宋体" w:eastAsia="宋体" w:cs="宋体"/>
          <w:color w:val="auto"/>
          <w:sz w:val="24"/>
          <w:szCs w:val="24"/>
          <w:highlight w:val="none"/>
        </w:rPr>
        <w:t>a、投标人名称；b、标书密封情况；c、有无法定代表人证明书及授权委托证明书；d、投标总报价</w:t>
      </w:r>
      <w:r>
        <w:rPr>
          <w:rFonts w:hint="eastAsia" w:ascii="宋体" w:hAnsi="宋体" w:eastAsia="宋体" w:cs="宋体"/>
          <w:color w:val="auto"/>
          <w:sz w:val="24"/>
          <w:highlight w:val="none"/>
        </w:rPr>
        <w:t>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7"/>
        <w:widowControl/>
        <w:numPr>
          <w:ilvl w:val="0"/>
          <w:numId w:val="3"/>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17"/>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11" w:name="_Toc1632"/>
      <w:bookmarkStart w:id="12"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bookmarkStart w:id="13" w:name="_Toc8457"/>
      <w:bookmarkStart w:id="14" w:name="_Toc8409"/>
      <w:bookmarkStart w:id="15" w:name="_Toc22411"/>
      <w:bookmarkStart w:id="16" w:name="_Toc7252"/>
      <w:bookmarkStart w:id="17" w:name="_Toc28921"/>
      <w:bookmarkStart w:id="18" w:name="_Toc10474"/>
      <w:bookmarkStart w:id="19" w:name="_Toc28984"/>
      <w:r>
        <w:rPr>
          <w:rFonts w:hint="eastAsia" w:ascii="方正小标宋简体" w:hAnsi="方正小标宋简体" w:eastAsia="方正小标宋简体" w:cs="方正小标宋简体"/>
          <w:b/>
          <w:color w:val="auto"/>
          <w:kern w:val="44"/>
          <w:sz w:val="36"/>
          <w:szCs w:val="36"/>
          <w:highlight w:val="none"/>
        </w:rPr>
        <w:t>第2章 项目需求书</w:t>
      </w:r>
      <w:bookmarkEnd w:id="11"/>
      <w:bookmarkEnd w:id="13"/>
      <w:bookmarkEnd w:id="14"/>
      <w:bookmarkEnd w:id="15"/>
      <w:bookmarkEnd w:id="16"/>
      <w:bookmarkEnd w:id="17"/>
      <w:bookmarkEnd w:id="18"/>
      <w:bookmarkEnd w:id="19"/>
    </w:p>
    <w:p>
      <w:pPr>
        <w:rPr>
          <w:rFonts w:ascii="宋体" w:hAnsi="宋体" w:eastAsia="宋体" w:cs="宋体"/>
          <w:b/>
          <w:color w:val="auto"/>
          <w:sz w:val="30"/>
          <w:szCs w:val="30"/>
          <w:highlight w:val="none"/>
        </w:rPr>
      </w:pPr>
    </w:p>
    <w:p>
      <w:pPr>
        <w:widowControl w:val="0"/>
        <w:spacing w:before="120" w:line="560" w:lineRule="exact"/>
        <w:jc w:val="both"/>
        <w:rPr>
          <w:rFonts w:hint="eastAsia" w:ascii="宋体" w:hAnsi="宋体" w:eastAsia="宋体" w:cs="Times New Roman"/>
          <w:b/>
          <w:color w:val="auto"/>
          <w:kern w:val="0"/>
          <w:sz w:val="28"/>
          <w:szCs w:val="20"/>
          <w:highlight w:val="none"/>
          <w:u w:val="none"/>
          <w:lang w:val="en-US" w:eastAsia="zh-CN" w:bidi="ar-SA"/>
        </w:rPr>
      </w:pPr>
      <w:r>
        <w:rPr>
          <w:rFonts w:hint="eastAsia" w:ascii="宋体" w:hAnsi="宋体" w:eastAsia="宋体" w:cs="Times New Roman"/>
          <w:b/>
          <w:color w:val="auto"/>
          <w:kern w:val="0"/>
          <w:sz w:val="28"/>
          <w:szCs w:val="20"/>
          <w:highlight w:val="none"/>
          <w:u w:val="none"/>
          <w:lang w:val="en-US" w:eastAsia="zh-CN" w:bidi="ar-SA"/>
        </w:rPr>
        <w:t>一、项目概况</w:t>
      </w:r>
    </w:p>
    <w:p>
      <w:pPr>
        <w:keepNext/>
        <w:keepLines/>
        <w:widowControl w:val="0"/>
        <w:adjustRightInd w:val="0"/>
        <w:spacing w:before="40" w:beforeLines="0" w:after="40" w:afterLines="0" w:line="560" w:lineRule="exact"/>
        <w:ind w:firstLine="560" w:firstLineChars="200"/>
        <w:jc w:val="both"/>
        <w:textAlignment w:val="baseline"/>
        <w:outlineLvl w:val="2"/>
        <w:rPr>
          <w:rFonts w:hint="eastAsia" w:ascii="宋体" w:hAnsi="宋体" w:eastAsia="宋体" w:cs="宋体"/>
          <w:b w:val="0"/>
          <w:bCs w:val="0"/>
          <w:snapToGrid/>
          <w:color w:val="auto"/>
          <w:kern w:val="2"/>
          <w:sz w:val="28"/>
          <w:szCs w:val="28"/>
          <w:highlight w:val="none"/>
          <w:u w:val="none"/>
          <w:lang w:val="en-US" w:eastAsia="zh-CN" w:bidi="ar-SA"/>
        </w:rPr>
      </w:pPr>
      <w:r>
        <w:rPr>
          <w:rFonts w:hint="eastAsia" w:ascii="宋体" w:hAnsi="宋体" w:eastAsia="宋体" w:cs="宋体"/>
          <w:b w:val="0"/>
          <w:bCs w:val="0"/>
          <w:snapToGrid/>
          <w:color w:val="auto"/>
          <w:kern w:val="2"/>
          <w:sz w:val="28"/>
          <w:szCs w:val="28"/>
          <w:highlight w:val="none"/>
          <w:u w:val="none"/>
          <w:lang w:val="en-US" w:eastAsia="zh-CN" w:bidi="ar-SA"/>
        </w:rPr>
        <w:t>对南沙天后宫电房地块——仓库提升改造。项目包括新建钢结构二层仓库386.48平方米，首层为公司仓库及物业仓库，二层为公司仓库。项目总投资约70.38万元。</w:t>
      </w:r>
    </w:p>
    <w:p>
      <w:pPr>
        <w:keepNext/>
        <w:keepLines/>
        <w:widowControl w:val="0"/>
        <w:numPr>
          <w:ilvl w:val="0"/>
          <w:numId w:val="4"/>
        </w:numPr>
        <w:adjustRightInd w:val="0"/>
        <w:spacing w:before="40" w:beforeLines="0" w:after="40" w:afterLines="0" w:line="560" w:lineRule="exact"/>
        <w:ind w:firstLine="0" w:firstLineChars="0"/>
        <w:jc w:val="both"/>
        <w:textAlignment w:val="baseline"/>
        <w:outlineLvl w:val="2"/>
        <w:rPr>
          <w:rFonts w:hint="eastAsia" w:ascii="宋体" w:hAnsi="宋体" w:eastAsia="宋体" w:cs="宋体"/>
          <w:b/>
          <w:color w:val="auto"/>
          <w:kern w:val="0"/>
          <w:sz w:val="28"/>
          <w:szCs w:val="20"/>
          <w:highlight w:val="none"/>
          <w:lang w:val="en-US" w:eastAsia="zh-CN" w:bidi="ar-SA"/>
        </w:rPr>
      </w:pPr>
      <w:r>
        <w:rPr>
          <w:rFonts w:hint="eastAsia" w:ascii="宋体" w:hAnsi="宋体" w:eastAsia="宋体" w:cs="宋体"/>
          <w:b/>
          <w:color w:val="auto"/>
          <w:kern w:val="0"/>
          <w:sz w:val="28"/>
          <w:szCs w:val="20"/>
          <w:highlight w:val="none"/>
          <w:lang w:val="en-US" w:eastAsia="zh-CN" w:bidi="ar-SA"/>
        </w:rPr>
        <w:t>招标范围</w:t>
      </w:r>
    </w:p>
    <w:p>
      <w:pPr>
        <w:keepNext/>
        <w:keepLines/>
        <w:adjustRightInd w:val="0"/>
        <w:spacing w:before="40" w:beforeLines="0" w:after="40" w:afterLines="0" w:line="560" w:lineRule="exact"/>
        <w:ind w:firstLine="560" w:firstLineChars="200"/>
        <w:textAlignment w:val="baseline"/>
        <w:outlineLvl w:val="2"/>
        <w:rPr>
          <w:rFonts w:hint="eastAsia" w:ascii="宋体" w:hAnsi="宋体" w:eastAsia="宋体" w:cs="宋体"/>
          <w:b w:val="0"/>
          <w:color w:val="auto"/>
          <w:kern w:val="2"/>
          <w:sz w:val="28"/>
          <w:szCs w:val="28"/>
          <w:highlight w:val="none"/>
          <w:u w:val="none"/>
          <w:lang w:val="en-US" w:eastAsia="zh-CN" w:bidi="ar-SA"/>
        </w:rPr>
      </w:pPr>
      <w:r>
        <w:rPr>
          <w:rFonts w:hint="eastAsia" w:ascii="宋体" w:hAnsi="宋体" w:eastAsia="宋体" w:cs="宋体"/>
          <w:b w:val="0"/>
          <w:color w:val="auto"/>
          <w:kern w:val="2"/>
          <w:sz w:val="28"/>
          <w:szCs w:val="28"/>
          <w:highlight w:val="none"/>
          <w:u w:val="none"/>
          <w:lang w:val="en-US" w:eastAsia="zh-CN" w:bidi="ar-SA"/>
        </w:rPr>
        <w:t>项目内容包括新建钢结构二层仓库386.48平方米，配置室内照明、防雷、灭火器等，最终以实际工程量清单和图纸为准。</w:t>
      </w:r>
    </w:p>
    <w:p>
      <w:pPr>
        <w:keepNext/>
        <w:keepLines/>
        <w:adjustRightInd w:val="0"/>
        <w:spacing w:before="40" w:beforeLines="0" w:after="40" w:afterLines="0" w:line="560" w:lineRule="exact"/>
        <w:ind w:firstLine="560" w:firstLineChars="200"/>
        <w:textAlignment w:val="baseline"/>
        <w:outlineLvl w:val="2"/>
        <w:rPr>
          <w:rFonts w:hint="eastAsia" w:ascii="宋体" w:hAnsi="宋体" w:eastAsia="宋体" w:cs="宋体"/>
          <w:b w:val="0"/>
          <w:color w:val="auto"/>
          <w:kern w:val="2"/>
          <w:sz w:val="28"/>
          <w:szCs w:val="28"/>
          <w:highlight w:val="none"/>
          <w:u w:val="none"/>
          <w:lang w:val="en-US" w:eastAsia="zh-CN" w:bidi="ar-SA"/>
        </w:rPr>
      </w:pPr>
      <w:r>
        <w:rPr>
          <w:rFonts w:hint="eastAsia" w:ascii="宋体" w:hAnsi="宋体" w:eastAsia="宋体" w:cs="宋体"/>
          <w:b w:val="0"/>
          <w:color w:val="auto"/>
          <w:kern w:val="2"/>
          <w:sz w:val="28"/>
          <w:szCs w:val="28"/>
          <w:highlight w:val="none"/>
          <w:u w:val="none"/>
          <w:lang w:val="en-US" w:eastAsia="zh-CN" w:bidi="ar-SA"/>
        </w:rPr>
        <w:t>投标人需按招标文件、图纸规范等要求进行施工，如设计图纸有调整时，必须服从要求调整。</w:t>
      </w:r>
    </w:p>
    <w:p>
      <w:pPr>
        <w:keepNext/>
        <w:keepLines/>
        <w:adjustRightInd w:val="0"/>
        <w:spacing w:before="40" w:beforeLines="0" w:after="40" w:afterLines="0" w:line="560" w:lineRule="exact"/>
        <w:ind w:firstLine="560" w:firstLineChars="200"/>
        <w:textAlignment w:val="baseline"/>
        <w:outlineLvl w:val="2"/>
        <w:rPr>
          <w:rFonts w:hint="eastAsia" w:ascii="宋体" w:hAnsi="宋体" w:eastAsia="宋体" w:cs="宋体"/>
          <w:b w:val="0"/>
          <w:color w:val="auto"/>
          <w:kern w:val="2"/>
          <w:sz w:val="28"/>
          <w:szCs w:val="28"/>
          <w:highlight w:val="none"/>
          <w:u w:val="none"/>
        </w:rPr>
      </w:pPr>
      <w:r>
        <w:rPr>
          <w:rFonts w:hint="eastAsia" w:ascii="宋体" w:hAnsi="宋体" w:eastAsia="宋体" w:cs="宋体"/>
          <w:b w:val="0"/>
          <w:color w:val="auto"/>
          <w:kern w:val="2"/>
          <w:sz w:val="28"/>
          <w:szCs w:val="28"/>
          <w:highlight w:val="none"/>
          <w:u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20" w:name="_Toc19076"/>
      <w:bookmarkStart w:id="21" w:name="_Toc2908"/>
      <w:bookmarkStart w:id="22" w:name="_Toc5931"/>
      <w:bookmarkStart w:id="23" w:name="_Toc27735"/>
      <w:bookmarkStart w:id="24" w:name="_Toc2266"/>
      <w:bookmarkStart w:id="25" w:name="_Toc10090"/>
      <w:bookmarkStart w:id="26" w:name="_Toc28153"/>
      <w:r>
        <w:rPr>
          <w:rFonts w:hint="eastAsia" w:ascii="黑体" w:hAnsi="宋体" w:cs="黑体"/>
          <w:b/>
          <w:color w:val="auto"/>
          <w:kern w:val="44"/>
          <w:sz w:val="44"/>
          <w:szCs w:val="44"/>
          <w:highlight w:val="none"/>
        </w:rPr>
        <w:t>第3章  投标格式文件</w:t>
      </w:r>
      <w:bookmarkEnd w:id="12"/>
      <w:bookmarkEnd w:id="20"/>
      <w:bookmarkEnd w:id="21"/>
      <w:bookmarkEnd w:id="22"/>
      <w:bookmarkEnd w:id="23"/>
      <w:bookmarkEnd w:id="24"/>
      <w:bookmarkEnd w:id="25"/>
      <w:bookmarkEnd w:id="26"/>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u w:val="singl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w:t>
      </w:r>
      <w:r>
        <w:rPr>
          <w:rFonts w:hint="eastAsia" w:ascii="宋体" w:hAnsi="宋体" w:eastAsia="宋体" w:cs="Times New Roman"/>
          <w:color w:val="auto"/>
          <w:spacing w:val="20"/>
          <w:sz w:val="24"/>
          <w:highlight w:val="none"/>
          <w:u w:val="none"/>
        </w:rPr>
        <w:t>贵方的</w:t>
      </w:r>
      <w:r>
        <w:rPr>
          <w:rFonts w:hint="eastAsia" w:ascii="宋体" w:hAnsi="宋体" w:eastAsia="宋体" w:cs="宋体"/>
          <w:b w:val="0"/>
          <w:bCs w:val="0"/>
          <w:color w:val="auto"/>
          <w:sz w:val="24"/>
          <w:szCs w:val="24"/>
          <w:highlight w:val="none"/>
          <w:u w:val="single"/>
          <w:lang w:val="en-US" w:eastAsia="zh-CN"/>
        </w:rPr>
        <w:t>南沙天后宫电房地块提升改造--仓库提升项目</w:t>
      </w:r>
      <w:r>
        <w:rPr>
          <w:rFonts w:hint="eastAsia" w:ascii="宋体" w:hAnsi="宋体" w:eastAsia="宋体" w:cs="宋体"/>
          <w:color w:val="auto"/>
          <w:spacing w:val="0"/>
          <w:sz w:val="24"/>
          <w:highlight w:val="none"/>
          <w:u w:val="single"/>
          <w:lang w:val="en-US" w:eastAsia="zh-CN"/>
        </w:rPr>
        <w:t>承包</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宋体"/>
          <w:b w:val="0"/>
          <w:bCs w:val="0"/>
          <w:color w:val="auto"/>
          <w:sz w:val="24"/>
          <w:szCs w:val="24"/>
          <w:highlight w:val="none"/>
          <w:u w:val="single"/>
          <w:lang w:val="en-US" w:eastAsia="zh-CN"/>
        </w:rPr>
        <w:t>南沙天后宫电房地块提升改造--仓库提升项目</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w:t>
      </w:r>
      <w:r>
        <w:rPr>
          <w:rFonts w:hint="eastAsia" w:ascii="宋体" w:hAnsi="宋体" w:eastAsia="宋体" w:cs="Times New Roman"/>
          <w:color w:val="auto"/>
          <w:spacing w:val="20"/>
          <w:sz w:val="24"/>
          <w:highlight w:val="none"/>
          <w:lang w:val="en-US" w:eastAsia="zh-CN"/>
        </w:rPr>
        <w:t>合同</w:t>
      </w:r>
      <w:r>
        <w:rPr>
          <w:rFonts w:hint="eastAsia" w:ascii="宋体" w:hAnsi="宋体" w:eastAsia="宋体" w:cs="Times New Roman"/>
          <w:color w:val="auto"/>
          <w:spacing w:val="20"/>
          <w:sz w:val="24"/>
          <w:highlight w:val="none"/>
        </w:rPr>
        <w:t>之前，本投标</w:t>
      </w:r>
      <w:r>
        <w:rPr>
          <w:rFonts w:hint="eastAsia" w:ascii="宋体" w:hAnsi="宋体" w:eastAsia="宋体" w:cs="Times New Roman"/>
          <w:color w:val="auto"/>
          <w:spacing w:val="20"/>
          <w:sz w:val="24"/>
          <w:highlight w:val="none"/>
          <w:lang w:val="en-US" w:eastAsia="zh-CN"/>
        </w:rPr>
        <w:t>书</w:t>
      </w:r>
      <w:r>
        <w:rPr>
          <w:rFonts w:hint="eastAsia" w:ascii="宋体" w:hAnsi="宋体" w:eastAsia="宋体" w:cs="Times New Roman"/>
          <w:color w:val="auto"/>
          <w:spacing w:val="20"/>
          <w:sz w:val="24"/>
          <w:highlight w:val="none"/>
        </w:rPr>
        <w:t>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广州南沙旅游发展有限公司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7"/>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27" w:name="_Toc223342668"/>
      <w:bookmarkEnd w:id="27"/>
      <w:bookmarkStart w:id="28" w:name="_Toc216145749"/>
      <w:bookmarkEnd w:id="28"/>
      <w:r>
        <w:rPr>
          <w:rFonts w:hint="eastAsia" w:ascii="宋体" w:hAnsi="宋体" w:eastAsia="宋体" w:cs="黑体"/>
          <w:color w:val="auto"/>
          <w:sz w:val="28"/>
          <w:szCs w:val="28"/>
          <w:highlight w:val="none"/>
        </w:rPr>
        <w:t>格式三：</w:t>
      </w:r>
    </w:p>
    <w:p>
      <w:pPr>
        <w:pStyle w:val="29"/>
        <w:widowControl/>
        <w:ind w:firstLine="0" w:firstLineChars="0"/>
        <w:jc w:val="center"/>
        <w:outlineLvl w:val="2"/>
        <w:rPr>
          <w:color w:val="auto"/>
          <w:kern w:val="44"/>
          <w:highlight w:val="none"/>
        </w:rPr>
      </w:pPr>
      <w:bookmarkStart w:id="29" w:name="_Toc172416501"/>
      <w:bookmarkEnd w:id="29"/>
      <w:r>
        <w:rPr>
          <w:rFonts w:hint="eastAsia" w:ascii="宋体" w:hAnsi="宋体" w:cs="宋体"/>
          <w:b/>
          <w:color w:val="auto"/>
          <w:sz w:val="30"/>
          <w:szCs w:val="30"/>
          <w:highlight w:val="none"/>
        </w:rPr>
        <w:t>法定代表人证明书</w:t>
      </w:r>
    </w:p>
    <w:p>
      <w:pPr>
        <w:pStyle w:val="29"/>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9"/>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r:link="rId8" cstate="print"/>
                    <a:stretch>
                      <a:fillRect/>
                    </a:stretch>
                  </pic:blipFill>
                  <pic:spPr>
                    <a:xfrm>
                      <a:off x="0" y="0"/>
                      <a:ext cx="5543550" cy="2790825"/>
                    </a:xfrm>
                    <a:prstGeom prst="rect">
                      <a:avLst/>
                    </a:prstGeom>
                    <a:noFill/>
                    <a:ln w="9525">
                      <a:noFill/>
                    </a:ln>
                  </pic:spPr>
                </pic:pic>
              </a:graphicData>
            </a:graphic>
          </wp:inline>
        </w:drawing>
      </w:r>
    </w:p>
    <w:p>
      <w:pPr>
        <w:pStyle w:val="29"/>
        <w:widowControl/>
        <w:ind w:firstLine="618"/>
        <w:rPr>
          <w:b/>
          <w:color w:val="auto"/>
          <w:sz w:val="30"/>
          <w:szCs w:val="30"/>
          <w:highlight w:val="none"/>
        </w:rPr>
      </w:pPr>
      <w:r>
        <w:rPr>
          <w:b/>
          <w:color w:val="auto"/>
          <w:sz w:val="30"/>
          <w:szCs w:val="30"/>
          <w:highlight w:val="none"/>
        </w:rPr>
        <w:t xml:space="preserve"> </w:t>
      </w:r>
    </w:p>
    <w:p>
      <w:pPr>
        <w:pStyle w:val="29"/>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9"/>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9"/>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r:link="rId10" cstate="print"/>
                    <a:stretch>
                      <a:fillRect/>
                    </a:stretch>
                  </pic:blipFill>
                  <pic:spPr>
                    <a:xfrm>
                      <a:off x="0" y="0"/>
                      <a:ext cx="5543550" cy="2838450"/>
                    </a:xfrm>
                    <a:prstGeom prst="rect">
                      <a:avLst/>
                    </a:prstGeom>
                    <a:noFill/>
                    <a:ln w="9525">
                      <a:noFill/>
                    </a:ln>
                  </pic:spPr>
                </pic:pic>
              </a:graphicData>
            </a:graphic>
          </wp:inline>
        </w:drawing>
      </w:r>
    </w:p>
    <w:p>
      <w:pPr>
        <w:pStyle w:val="27"/>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30" w:name="_Toc216145759"/>
      <w:bookmarkEnd w:id="30"/>
      <w:bookmarkStart w:id="31"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7"/>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31"/>
      <w:r>
        <w:rPr>
          <w:rFonts w:hint="eastAsia" w:ascii="宋体" w:hAnsi="宋体" w:eastAsia="宋体" w:cs="宋体"/>
          <w:color w:val="auto"/>
          <w:sz w:val="28"/>
          <w:szCs w:val="28"/>
          <w:highlight w:val="none"/>
        </w:rPr>
        <w:t xml:space="preserve"> </w:t>
      </w:r>
    </w:p>
    <w:p>
      <w:pPr>
        <w:snapToGrid w:val="0"/>
        <w:spacing w:after="120" w:line="440" w:lineRule="exact"/>
        <w:outlineLvl w:val="9"/>
        <w:rPr>
          <w:rFonts w:ascii="宋体" w:hAnsi="宋体" w:eastAsia="宋体" w:cs="宋体"/>
          <w:b/>
          <w:color w:val="auto"/>
          <w:sz w:val="28"/>
          <w:szCs w:val="28"/>
          <w:highlight w:val="none"/>
        </w:rPr>
      </w:pPr>
    </w:p>
    <w:p>
      <w:pPr>
        <w:snapToGrid w:val="0"/>
        <w:spacing w:after="120" w:line="440" w:lineRule="exact"/>
        <w:jc w:val="center"/>
        <w:outlineLvl w:val="2"/>
        <w:rPr>
          <w:rFonts w:ascii="宋体" w:hAnsi="宋体" w:eastAsia="宋体" w:cs="宋体"/>
          <w:b/>
          <w:color w:val="auto"/>
          <w:sz w:val="32"/>
          <w:szCs w:val="32"/>
          <w:highlight w:val="none"/>
        </w:rPr>
      </w:pPr>
      <w:bookmarkStart w:id="32" w:name="_Toc41822704"/>
      <w:bookmarkEnd w:id="32"/>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广州南沙旅游发展有限公司</w:t>
      </w:r>
    </w:p>
    <w:p>
      <w:pPr>
        <w:spacing w:line="560" w:lineRule="exact"/>
        <w:jc w:val="left"/>
        <w:rPr>
          <w:rFonts w:hint="default" w:ascii="宋体" w:hAnsi="宋体" w:eastAsia="宋体" w:cs="宋体"/>
          <w:color w:val="auto"/>
          <w:sz w:val="24"/>
          <w:highlight w:val="none"/>
          <w:u w:val="single"/>
          <w:lang w:val="en-US"/>
        </w:rPr>
      </w:pPr>
      <w:r>
        <w:rPr>
          <w:rFonts w:hint="eastAsia" w:ascii="宋体" w:hAnsi="宋体" w:eastAsia="宋体" w:cs="宋体"/>
          <w:color w:val="auto"/>
          <w:sz w:val="24"/>
          <w:highlight w:val="none"/>
        </w:rPr>
        <w:t>投标项目名称</w:t>
      </w:r>
      <w:r>
        <w:rPr>
          <w:rFonts w:hint="eastAsia" w:ascii="宋体" w:hAnsi="宋体" w:eastAsia="宋体" w:cs="宋体"/>
          <w:color w:val="auto"/>
          <w:sz w:val="24"/>
          <w:highlight w:val="none"/>
          <w:u w:val="none"/>
        </w:rPr>
        <w:t>：</w:t>
      </w:r>
      <w:r>
        <w:rPr>
          <w:rFonts w:hint="eastAsia" w:ascii="宋体" w:hAnsi="宋体" w:eastAsia="宋体" w:cs="宋体"/>
          <w:b w:val="0"/>
          <w:bCs w:val="0"/>
          <w:color w:val="auto"/>
          <w:sz w:val="24"/>
          <w:szCs w:val="24"/>
          <w:highlight w:val="none"/>
          <w:u w:val="single"/>
          <w:lang w:val="en-US" w:eastAsia="zh-CN"/>
        </w:rPr>
        <w:t>南沙天后宫电房地块提升改造--仓库提升项目</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pStyle w:val="27"/>
        <w:widowControl/>
        <w:spacing w:before="142" w:line="360" w:lineRule="auto"/>
        <w:jc w:val="both"/>
        <w:outlineLvl w:val="2"/>
        <w:rPr>
          <w:rFonts w:hint="eastAsia" w:ascii="宋体" w:hAnsi="宋体" w:eastAsia="宋体" w:cs="黑体"/>
          <w:b/>
          <w:bCs w:val="0"/>
          <w:color w:val="auto"/>
          <w:sz w:val="28"/>
          <w:szCs w:val="28"/>
          <w:highlight w:val="none"/>
        </w:rPr>
      </w:pPr>
      <w:r>
        <w:rPr>
          <w:rFonts w:hint="eastAsia" w:ascii="宋体" w:hAnsi="宋体" w:eastAsia="宋体" w:cs="黑体"/>
          <w:color w:val="auto"/>
          <w:sz w:val="28"/>
          <w:szCs w:val="28"/>
          <w:highlight w:val="none"/>
        </w:rPr>
        <w:t>格式</w:t>
      </w:r>
      <w:r>
        <w:rPr>
          <w:rFonts w:hint="eastAsia" w:ascii="宋体" w:hAnsi="宋体" w:eastAsia="宋体" w:cs="黑体"/>
          <w:color w:val="auto"/>
          <w:sz w:val="28"/>
          <w:szCs w:val="28"/>
          <w:highlight w:val="none"/>
          <w:lang w:val="en-US" w:eastAsia="zh-CN"/>
        </w:rPr>
        <w:t>五</w:t>
      </w:r>
      <w:r>
        <w:rPr>
          <w:rFonts w:hint="eastAsia" w:ascii="宋体" w:hAnsi="宋体" w:eastAsia="宋体" w:cs="黑体"/>
          <w:color w:val="auto"/>
          <w:sz w:val="28"/>
          <w:szCs w:val="28"/>
          <w:highlight w:val="none"/>
        </w:rPr>
        <w:t>：</w:t>
      </w: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投标人综合概况</w:t>
      </w:r>
    </w:p>
    <w:tbl>
      <w:tblPr>
        <w:tblStyle w:val="18"/>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2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33" w:name="_Toc326909214"/>
      <w:bookmarkEnd w:id="33"/>
      <w:bookmarkStart w:id="34" w:name="_Toc196130111"/>
      <w:bookmarkEnd w:id="34"/>
      <w:bookmarkStart w:id="35" w:name="_Toc459403395"/>
      <w:bookmarkEnd w:id="35"/>
      <w:bookmarkStart w:id="36" w:name="_Toc197235849"/>
      <w:bookmarkEnd w:id="36"/>
      <w:bookmarkStart w:id="37" w:name="_Toc415728298"/>
      <w:bookmarkEnd w:id="37"/>
      <w:bookmarkStart w:id="38" w:name="_Toc196130014"/>
      <w:bookmarkEnd w:id="38"/>
      <w:bookmarkStart w:id="39" w:name="_Toc196037098"/>
      <w:bookmarkEnd w:id="39"/>
      <w:bookmarkStart w:id="40" w:name="_Toc196036942"/>
      <w:bookmarkEnd w:id="40"/>
      <w:bookmarkStart w:id="41" w:name="_Toc415833504"/>
      <w:bookmarkEnd w:id="41"/>
      <w:bookmarkStart w:id="42" w:name="_Toc199647676"/>
      <w:bookmarkEnd w:id="42"/>
      <w:bookmarkStart w:id="43" w:name="_Toc462911099"/>
    </w:p>
    <w:bookmarkEnd w:id="43"/>
    <w:p>
      <w:pPr>
        <w:widowControl/>
        <w:jc w:val="left"/>
        <w:outlineLvl w:val="9"/>
        <w:rPr>
          <w:rFonts w:hint="eastAsia" w:ascii="宋体" w:hAnsi="宋体" w:eastAsia="宋体" w:cs="黑体"/>
          <w:b/>
          <w:color w:val="auto"/>
          <w:spacing w:val="4"/>
          <w:kern w:val="0"/>
          <w:sz w:val="28"/>
          <w:szCs w:val="28"/>
          <w:highlight w:val="none"/>
        </w:rPr>
      </w:pPr>
    </w:p>
    <w:p>
      <w:pPr>
        <w:widowControl/>
        <w:jc w:val="left"/>
        <w:outlineLvl w:val="9"/>
        <w:rPr>
          <w:rFonts w:hint="eastAsia" w:ascii="宋体" w:hAnsi="宋体" w:eastAsia="宋体" w:cs="黑体"/>
          <w:b/>
          <w:color w:val="auto"/>
          <w:spacing w:val="4"/>
          <w:kern w:val="0"/>
          <w:sz w:val="28"/>
          <w:szCs w:val="28"/>
          <w:highlight w:val="none"/>
        </w:rPr>
      </w:pPr>
    </w:p>
    <w:p>
      <w:pPr>
        <w:widowControl/>
        <w:jc w:val="left"/>
        <w:outlineLvl w:val="9"/>
        <w:rPr>
          <w:rFonts w:hint="eastAsia" w:ascii="宋体" w:hAnsi="宋体" w:eastAsia="宋体" w:cs="黑体"/>
          <w:b/>
          <w:color w:val="auto"/>
          <w:spacing w:val="4"/>
          <w:kern w:val="0"/>
          <w:sz w:val="28"/>
          <w:szCs w:val="28"/>
          <w:highlight w:val="none"/>
        </w:rPr>
      </w:pPr>
    </w:p>
    <w:p>
      <w:pPr>
        <w:widowControl/>
        <w:jc w:val="left"/>
        <w:outlineLvl w:val="9"/>
        <w:rPr>
          <w:rFonts w:hint="eastAsia" w:ascii="宋体" w:hAnsi="宋体" w:eastAsia="宋体" w:cs="黑体"/>
          <w:b/>
          <w:color w:val="auto"/>
          <w:spacing w:val="4"/>
          <w:kern w:val="0"/>
          <w:sz w:val="28"/>
          <w:szCs w:val="28"/>
          <w:highlight w:val="none"/>
        </w:rPr>
      </w:pP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六</w:t>
      </w:r>
      <w:r>
        <w:rPr>
          <w:rFonts w:hint="eastAsia" w:ascii="仿宋" w:hAnsi="仿宋" w:eastAsia="仿宋" w:cs="宋体"/>
          <w:color w:val="auto"/>
          <w:sz w:val="28"/>
          <w:szCs w:val="28"/>
          <w:highlight w:val="none"/>
        </w:rPr>
        <w:t>：</w:t>
      </w:r>
    </w:p>
    <w:p>
      <w:pPr>
        <w:keepNext/>
        <w:keepLines/>
        <w:widowControl w:val="0"/>
        <w:adjustRightInd w:val="0"/>
        <w:spacing w:before="62" w:beforeLines="20" w:after="62" w:afterLines="20" w:line="360" w:lineRule="auto"/>
        <w:jc w:val="both"/>
        <w:textAlignment w:val="baseline"/>
        <w:outlineLvl w:val="1"/>
        <w:rPr>
          <w:rFonts w:ascii="宋体" w:hAnsi="宋体" w:eastAsia="宋体" w:cs="Times New Roman"/>
          <w:b/>
          <w:color w:val="auto"/>
          <w:kern w:val="0"/>
          <w:sz w:val="30"/>
          <w:szCs w:val="20"/>
          <w:highlight w:val="none"/>
          <w:lang w:val="en-US" w:eastAsia="zh-CN" w:bidi="ar-SA"/>
        </w:rPr>
      </w:pPr>
    </w:p>
    <w:p>
      <w:pPr>
        <w:keepNext/>
        <w:keepLines/>
        <w:widowControl w:val="0"/>
        <w:adjustRightInd w:val="0"/>
        <w:spacing w:before="40" w:beforeLines="0" w:after="40" w:afterLines="0" w:line="360" w:lineRule="auto"/>
        <w:ind w:firstLine="3871" w:firstLineChars="1377"/>
        <w:jc w:val="both"/>
        <w:textAlignment w:val="baseline"/>
        <w:outlineLvl w:val="2"/>
        <w:rPr>
          <w:rFonts w:hint="eastAsia" w:ascii="宋体" w:hAnsi="宋体" w:eastAsia="宋体" w:cs="Times New Roman"/>
          <w:b/>
          <w:bCs/>
          <w:color w:val="auto"/>
          <w:kern w:val="2"/>
          <w:sz w:val="28"/>
          <w:szCs w:val="28"/>
          <w:highlight w:val="none"/>
          <w:lang w:val="en-US" w:eastAsia="zh-CN" w:bidi="ar-SA"/>
        </w:rPr>
      </w:pPr>
      <w:bookmarkStart w:id="44" w:name="_Toc196037099"/>
      <w:bookmarkEnd w:id="44"/>
      <w:bookmarkStart w:id="45" w:name="_Toc196130112"/>
      <w:bookmarkEnd w:id="45"/>
      <w:bookmarkStart w:id="46" w:name="_Toc197235850"/>
      <w:bookmarkEnd w:id="46"/>
      <w:bookmarkStart w:id="47" w:name="_Toc41822705"/>
      <w:bookmarkEnd w:id="47"/>
      <w:bookmarkStart w:id="48" w:name="_Toc196036943"/>
      <w:bookmarkEnd w:id="48"/>
      <w:bookmarkStart w:id="49" w:name="_Toc199647677"/>
      <w:bookmarkEnd w:id="49"/>
      <w:bookmarkStart w:id="50" w:name="_Toc196130015"/>
      <w:bookmarkEnd w:id="50"/>
      <w:r>
        <w:rPr>
          <w:rFonts w:hint="eastAsia" w:ascii="宋体" w:hAnsi="宋体" w:eastAsia="宋体" w:cs="Times New Roman"/>
          <w:b/>
          <w:bCs/>
          <w:color w:val="auto"/>
          <w:kern w:val="2"/>
          <w:sz w:val="28"/>
          <w:szCs w:val="28"/>
          <w:highlight w:val="none"/>
          <w:lang w:val="en-US" w:eastAsia="zh-CN" w:bidi="ar-SA"/>
        </w:rPr>
        <w:t>投标人业绩一览表</w:t>
      </w:r>
    </w:p>
    <w:p>
      <w:pPr>
        <w:keepNext/>
        <w:keepLines/>
        <w:widowControl w:val="0"/>
        <w:adjustRightInd w:val="0"/>
        <w:spacing w:before="40" w:beforeLines="0" w:after="40" w:afterLines="0" w:line="360" w:lineRule="auto"/>
        <w:ind w:right="-260" w:rightChars="-124" w:firstLine="0" w:firstLineChars="0"/>
        <w:jc w:val="both"/>
        <w:textAlignment w:val="baseline"/>
        <w:outlineLvl w:val="2"/>
        <w:rPr>
          <w:rFonts w:hint="eastAsia" w:ascii="宋体" w:hAnsi="宋体" w:eastAsia="宋体" w:cs="Times New Roman"/>
          <w:b/>
          <w:bCs/>
          <w:color w:val="auto"/>
          <w:kern w:val="2"/>
          <w:sz w:val="24"/>
          <w:highlight w:val="none"/>
          <w:u w:val="none"/>
          <w:lang w:val="en-US" w:eastAsia="zh-CN" w:bidi="ar-SA"/>
        </w:rPr>
      </w:pPr>
      <w:r>
        <w:rPr>
          <w:rFonts w:hint="eastAsia" w:ascii="宋体" w:hAnsi="宋体" w:eastAsia="宋体" w:cs="Times New Roman"/>
          <w:b/>
          <w:bCs/>
          <w:color w:val="auto"/>
          <w:kern w:val="2"/>
          <w:sz w:val="24"/>
          <w:highlight w:val="none"/>
          <w:u w:val="none"/>
          <w:lang w:val="en-US" w:eastAsia="zh-CN" w:bidi="ar-SA"/>
        </w:rPr>
        <w:t xml:space="preserve">项目名称：                  </w:t>
      </w:r>
    </w:p>
    <w:tbl>
      <w:tblPr>
        <w:tblStyle w:val="18"/>
        <w:tblW w:w="9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707"/>
        <w:gridCol w:w="1707"/>
        <w:gridCol w:w="1707"/>
        <w:gridCol w:w="1707"/>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1" w:type="dxa"/>
            <w:noWrap w:val="0"/>
            <w:vAlign w:val="center"/>
          </w:tcPr>
          <w:p>
            <w:pPr>
              <w:ind w:firstLine="0" w:firstLineChars="0"/>
              <w:jc w:val="left"/>
              <w:rPr>
                <w:rFonts w:hint="eastAsia" w:ascii="宋体" w:hAnsi="宋体" w:eastAsia="宋体" w:cs="Times New Roman"/>
                <w:bCs/>
                <w:color w:val="auto"/>
                <w:kern w:val="2"/>
                <w:sz w:val="24"/>
                <w:szCs w:val="20"/>
                <w:highlight w:val="none"/>
              </w:rPr>
            </w:pPr>
            <w:r>
              <w:rPr>
                <w:rFonts w:hint="eastAsia" w:ascii="宋体" w:hAnsi="宋体" w:eastAsia="宋体" w:cs="Times New Roman"/>
                <w:color w:val="auto"/>
                <w:kern w:val="0"/>
                <w:sz w:val="24"/>
                <w:szCs w:val="20"/>
                <w:highlight w:val="none"/>
              </w:rPr>
              <w:t>序号</w:t>
            </w:r>
          </w:p>
        </w:tc>
        <w:tc>
          <w:tcPr>
            <w:tcW w:w="1707" w:type="dxa"/>
            <w:noWrap w:val="0"/>
            <w:vAlign w:val="center"/>
          </w:tcPr>
          <w:p>
            <w:pPr>
              <w:ind w:firstLine="240" w:firstLineChars="100"/>
              <w:jc w:val="left"/>
              <w:rPr>
                <w:rFonts w:hint="eastAsia" w:ascii="宋体" w:hAnsi="宋体" w:eastAsia="宋体" w:cs="Times New Roman"/>
                <w:bCs/>
                <w:color w:val="auto"/>
                <w:kern w:val="2"/>
                <w:sz w:val="24"/>
                <w:szCs w:val="20"/>
                <w:highlight w:val="none"/>
              </w:rPr>
            </w:pPr>
            <w:r>
              <w:rPr>
                <w:rFonts w:hint="eastAsia" w:ascii="宋体" w:hAnsi="宋体" w:eastAsia="宋体" w:cs="Times New Roman"/>
                <w:color w:val="auto"/>
                <w:kern w:val="0"/>
                <w:sz w:val="24"/>
                <w:szCs w:val="20"/>
                <w:highlight w:val="none"/>
              </w:rPr>
              <w:t>项目名称</w:t>
            </w:r>
          </w:p>
        </w:tc>
        <w:tc>
          <w:tcPr>
            <w:tcW w:w="1707" w:type="dxa"/>
            <w:noWrap w:val="0"/>
            <w:vAlign w:val="center"/>
          </w:tcPr>
          <w:p>
            <w:pPr>
              <w:ind w:firstLine="480" w:firstLineChars="200"/>
              <w:jc w:val="left"/>
              <w:rPr>
                <w:rFonts w:hint="eastAsia" w:ascii="宋体" w:hAnsi="宋体" w:eastAsia="宋体" w:cs="Times New Roman"/>
                <w:bCs/>
                <w:color w:val="auto"/>
                <w:kern w:val="2"/>
                <w:sz w:val="24"/>
                <w:szCs w:val="20"/>
                <w:highlight w:val="none"/>
              </w:rPr>
            </w:pPr>
            <w:r>
              <w:rPr>
                <w:rFonts w:hint="eastAsia" w:ascii="宋体" w:hAnsi="宋体" w:eastAsia="宋体" w:cs="Times New Roman"/>
                <w:color w:val="auto"/>
                <w:kern w:val="0"/>
                <w:sz w:val="24"/>
                <w:szCs w:val="20"/>
                <w:highlight w:val="none"/>
              </w:rPr>
              <w:t>规模</w:t>
            </w:r>
          </w:p>
        </w:tc>
        <w:tc>
          <w:tcPr>
            <w:tcW w:w="1707" w:type="dxa"/>
            <w:noWrap w:val="0"/>
            <w:vAlign w:val="center"/>
          </w:tcPr>
          <w:p>
            <w:pPr>
              <w:ind w:left="239" w:leftChars="114" w:firstLine="0" w:firstLineChars="0"/>
              <w:jc w:val="left"/>
              <w:rPr>
                <w:rFonts w:hint="eastAsia" w:ascii="宋体" w:hAnsi="宋体" w:eastAsia="宋体" w:cs="Times New Roman"/>
                <w:bCs/>
                <w:color w:val="auto"/>
                <w:kern w:val="2"/>
                <w:sz w:val="24"/>
                <w:szCs w:val="20"/>
                <w:highlight w:val="none"/>
                <w:lang w:eastAsia="zh-CN"/>
              </w:rPr>
            </w:pPr>
            <w:r>
              <w:rPr>
                <w:rFonts w:hint="eastAsia" w:ascii="宋体" w:hAnsi="宋体" w:eastAsia="宋体" w:cs="Times New Roman"/>
                <w:color w:val="auto"/>
                <w:kern w:val="0"/>
                <w:sz w:val="24"/>
                <w:szCs w:val="20"/>
                <w:highlight w:val="none"/>
              </w:rPr>
              <w:t>合同总价</w:t>
            </w:r>
            <w:r>
              <w:rPr>
                <w:rFonts w:hint="eastAsia" w:ascii="宋体" w:hAnsi="宋体" w:eastAsia="宋体" w:cs="Times New Roman"/>
                <w:color w:val="auto"/>
                <w:kern w:val="0"/>
                <w:sz w:val="24"/>
                <w:szCs w:val="20"/>
                <w:highlight w:val="none"/>
                <w:lang w:eastAsia="zh-CN"/>
              </w:rPr>
              <w:t>（</w:t>
            </w:r>
            <w:r>
              <w:rPr>
                <w:rFonts w:hint="eastAsia" w:ascii="宋体" w:hAnsi="宋体" w:eastAsia="宋体" w:cs="Times New Roman"/>
                <w:color w:val="auto"/>
                <w:kern w:val="0"/>
                <w:sz w:val="24"/>
                <w:szCs w:val="20"/>
                <w:highlight w:val="none"/>
                <w:lang w:val="en-US" w:eastAsia="zh-CN"/>
              </w:rPr>
              <w:t>万元</w:t>
            </w:r>
            <w:r>
              <w:rPr>
                <w:rFonts w:hint="eastAsia" w:ascii="宋体" w:hAnsi="宋体" w:eastAsia="宋体" w:cs="Times New Roman"/>
                <w:color w:val="auto"/>
                <w:kern w:val="0"/>
                <w:sz w:val="24"/>
                <w:szCs w:val="20"/>
                <w:highlight w:val="none"/>
                <w:lang w:eastAsia="zh-CN"/>
              </w:rPr>
              <w:t>）</w:t>
            </w:r>
          </w:p>
        </w:tc>
        <w:tc>
          <w:tcPr>
            <w:tcW w:w="1707" w:type="dxa"/>
            <w:noWrap w:val="0"/>
            <w:vAlign w:val="center"/>
          </w:tcPr>
          <w:p>
            <w:pPr>
              <w:ind w:firstLine="240" w:firstLineChars="100"/>
              <w:jc w:val="left"/>
              <w:rPr>
                <w:rFonts w:hint="default" w:ascii="宋体" w:hAnsi="宋体" w:eastAsia="宋体" w:cs="Times New Roman"/>
                <w:bCs/>
                <w:color w:val="auto"/>
                <w:kern w:val="2"/>
                <w:sz w:val="24"/>
                <w:szCs w:val="20"/>
                <w:highlight w:val="none"/>
                <w:lang w:val="en-US"/>
              </w:rPr>
            </w:pPr>
            <w:r>
              <w:rPr>
                <w:rFonts w:hint="eastAsia" w:ascii="宋体" w:hAnsi="宋体" w:eastAsia="宋体" w:cs="Times New Roman"/>
                <w:color w:val="auto"/>
                <w:kern w:val="0"/>
                <w:sz w:val="24"/>
                <w:szCs w:val="20"/>
                <w:highlight w:val="none"/>
                <w:lang w:val="en-US" w:eastAsia="zh-CN"/>
              </w:rPr>
              <w:t>竣工日期</w:t>
            </w:r>
          </w:p>
        </w:tc>
        <w:tc>
          <w:tcPr>
            <w:tcW w:w="1708" w:type="dxa"/>
            <w:noWrap w:val="0"/>
            <w:vAlign w:val="center"/>
          </w:tcPr>
          <w:p>
            <w:pPr>
              <w:jc w:val="left"/>
              <w:rPr>
                <w:rFonts w:hint="default" w:ascii="宋体" w:hAnsi="宋体" w:eastAsia="宋体" w:cs="Times New Roman"/>
                <w:color w:val="auto"/>
                <w:kern w:val="0"/>
                <w:sz w:val="24"/>
                <w:szCs w:val="20"/>
                <w:highlight w:val="none"/>
                <w:lang w:val="en-US"/>
              </w:rPr>
            </w:pPr>
            <w:r>
              <w:rPr>
                <w:rFonts w:hint="default" w:ascii="宋体" w:hAnsi="宋体" w:eastAsia="宋体" w:cs="Times New Roman"/>
                <w:color w:val="auto"/>
                <w:kern w:val="0"/>
                <w:sz w:val="24"/>
                <w:szCs w:val="20"/>
                <w:highlight w:val="none"/>
                <w:lang w:val="en-US"/>
              </w:rPr>
              <w:t>业主单位、</w:t>
            </w:r>
          </w:p>
          <w:p>
            <w:pPr>
              <w:jc w:val="left"/>
              <w:rPr>
                <w:rFonts w:hint="default" w:ascii="宋体" w:hAnsi="宋体" w:eastAsia="宋体" w:cs="Times New Roman"/>
                <w:bCs/>
                <w:color w:val="auto"/>
                <w:kern w:val="2"/>
                <w:sz w:val="24"/>
                <w:szCs w:val="20"/>
                <w:highlight w:val="none"/>
                <w:lang w:val="en-US" w:eastAsia="zh-CN"/>
              </w:rPr>
            </w:pPr>
            <w:r>
              <w:rPr>
                <w:rFonts w:hint="default" w:ascii="宋体" w:hAnsi="宋体" w:eastAsia="宋体" w:cs="Times New Roman"/>
                <w:color w:val="auto"/>
                <w:kern w:val="0"/>
                <w:sz w:val="24"/>
                <w:szCs w:val="20"/>
                <w:highlight w:val="none"/>
                <w:lang w:val="en-US"/>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7"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7"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7"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7"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8" w:type="dxa"/>
            <w:noWrap w:val="0"/>
            <w:vAlign w:val="center"/>
          </w:tcPr>
          <w:p>
            <w:pPr>
              <w:spacing w:line="360" w:lineRule="auto"/>
              <w:jc w:val="left"/>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7"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7"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7"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7"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8" w:type="dxa"/>
            <w:noWrap w:val="0"/>
            <w:vAlign w:val="center"/>
          </w:tcPr>
          <w:p>
            <w:pPr>
              <w:spacing w:line="360" w:lineRule="auto"/>
              <w:jc w:val="left"/>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8" w:type="dxa"/>
            <w:noWrap w:val="0"/>
            <w:vAlign w:val="center"/>
          </w:tcPr>
          <w:p>
            <w:pPr>
              <w:spacing w:line="360" w:lineRule="auto"/>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8" w:type="dxa"/>
            <w:noWrap w:val="0"/>
            <w:vAlign w:val="center"/>
          </w:tcPr>
          <w:p>
            <w:pPr>
              <w:spacing w:line="360" w:lineRule="auto"/>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8" w:type="dxa"/>
            <w:noWrap w:val="0"/>
            <w:vAlign w:val="center"/>
          </w:tcPr>
          <w:p>
            <w:pPr>
              <w:spacing w:line="360" w:lineRule="auto"/>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8" w:type="dxa"/>
            <w:noWrap w:val="0"/>
            <w:vAlign w:val="center"/>
          </w:tcPr>
          <w:p>
            <w:pPr>
              <w:spacing w:line="360" w:lineRule="auto"/>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8" w:type="dxa"/>
            <w:noWrap w:val="0"/>
            <w:vAlign w:val="center"/>
          </w:tcPr>
          <w:p>
            <w:pPr>
              <w:spacing w:line="360" w:lineRule="auto"/>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widowControl w:val="0"/>
              <w:spacing w:line="360" w:lineRule="auto"/>
              <w:jc w:val="both"/>
              <w:rPr>
                <w:rFonts w:ascii="宋体" w:hAnsi="宋体" w:eastAsia="宋体" w:cs="Times New Roman"/>
                <w:color w:val="auto"/>
                <w:kern w:val="2"/>
                <w:sz w:val="24"/>
                <w:szCs w:val="20"/>
                <w:highlight w:val="none"/>
                <w:lang w:val="en-US" w:eastAsia="zh-CN" w:bidi="ar-SA"/>
              </w:rPr>
            </w:pPr>
          </w:p>
        </w:tc>
        <w:tc>
          <w:tcPr>
            <w:tcW w:w="1708" w:type="dxa"/>
            <w:noWrap w:val="0"/>
            <w:vAlign w:val="center"/>
          </w:tcPr>
          <w:p>
            <w:pPr>
              <w:spacing w:line="360" w:lineRule="auto"/>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8" w:type="dxa"/>
            <w:noWrap w:val="0"/>
            <w:vAlign w:val="center"/>
          </w:tcPr>
          <w:p>
            <w:pPr>
              <w:spacing w:line="360" w:lineRule="auto"/>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8" w:type="dxa"/>
            <w:noWrap w:val="0"/>
            <w:vAlign w:val="center"/>
          </w:tcPr>
          <w:p>
            <w:pPr>
              <w:spacing w:line="360" w:lineRule="auto"/>
              <w:rPr>
                <w:rFonts w:ascii="宋体" w:hAnsi="宋体" w:eastAsia="宋体" w:cs="Times New Roman"/>
                <w:color w:val="auto"/>
                <w:kern w:val="2"/>
                <w:sz w:val="24"/>
                <w:szCs w:val="20"/>
                <w:highlight w:val="none"/>
              </w:rPr>
            </w:pPr>
          </w:p>
        </w:tc>
      </w:tr>
    </w:tbl>
    <w:p>
      <w:pPr>
        <w:spacing w:line="360" w:lineRule="auto"/>
        <w:rPr>
          <w:rFonts w:ascii="宋体" w:hAnsi="宋体" w:eastAsia="宋体" w:cs="Times New Roman"/>
          <w:color w:val="auto"/>
          <w:kern w:val="2"/>
          <w:sz w:val="24"/>
          <w:szCs w:val="20"/>
          <w:highlight w:val="none"/>
        </w:rPr>
      </w:pPr>
    </w:p>
    <w:p>
      <w:pPr>
        <w:spacing w:line="360" w:lineRule="auto"/>
        <w:rPr>
          <w:rFonts w:ascii="宋体" w:hAnsi="宋体" w:eastAsia="宋体" w:cs="Times New Roman"/>
          <w:color w:val="auto"/>
          <w:kern w:val="2"/>
          <w:sz w:val="24"/>
          <w:szCs w:val="20"/>
          <w:highlight w:val="none"/>
        </w:rPr>
      </w:pPr>
      <w:r>
        <w:rPr>
          <w:rFonts w:hint="eastAsia" w:ascii="宋体" w:hAnsi="宋体" w:eastAsia="宋体" w:cs="Times New Roman"/>
          <w:color w:val="auto"/>
          <w:kern w:val="2"/>
          <w:sz w:val="24"/>
          <w:szCs w:val="20"/>
          <w:highlight w:val="none"/>
        </w:rPr>
        <w:t>投标人全称（盖公章）：</w:t>
      </w:r>
    </w:p>
    <w:p>
      <w:pPr>
        <w:spacing w:line="360" w:lineRule="auto"/>
        <w:rPr>
          <w:rFonts w:ascii="宋体" w:hAnsi="宋体" w:eastAsia="宋体" w:cs="Times New Roman"/>
          <w:color w:val="auto"/>
          <w:kern w:val="2"/>
          <w:sz w:val="24"/>
          <w:szCs w:val="20"/>
          <w:highlight w:val="none"/>
        </w:rPr>
      </w:pPr>
      <w:r>
        <w:rPr>
          <w:rFonts w:hint="eastAsia" w:ascii="宋体" w:hAnsi="宋体" w:eastAsia="宋体" w:cs="Times New Roman"/>
          <w:color w:val="auto"/>
          <w:kern w:val="2"/>
          <w:sz w:val="24"/>
          <w:szCs w:val="20"/>
          <w:highlight w:val="none"/>
        </w:rPr>
        <w:t>法定代表人或投标授权代表（签字或签章）：</w:t>
      </w:r>
    </w:p>
    <w:p>
      <w:pPr>
        <w:spacing w:line="360" w:lineRule="auto"/>
        <w:rPr>
          <w:rFonts w:ascii="宋体" w:hAnsi="宋体" w:eastAsia="宋体" w:cs="Times New Roman"/>
          <w:color w:val="auto"/>
          <w:kern w:val="2"/>
          <w:sz w:val="24"/>
          <w:szCs w:val="20"/>
          <w:highlight w:val="none"/>
        </w:rPr>
      </w:pPr>
      <w:r>
        <w:rPr>
          <w:rFonts w:hint="eastAsia" w:ascii="宋体" w:hAnsi="宋体" w:eastAsia="宋体" w:cs="Times New Roman"/>
          <w:color w:val="auto"/>
          <w:kern w:val="2"/>
          <w:sz w:val="24"/>
          <w:szCs w:val="20"/>
          <w:highlight w:val="none"/>
        </w:rPr>
        <w:t>日    期：     年   月   日</w:t>
      </w:r>
    </w:p>
    <w:p>
      <w:pPr>
        <w:keepNext/>
        <w:keepLines/>
        <w:widowControl w:val="0"/>
        <w:adjustRightInd w:val="0"/>
        <w:spacing w:before="40" w:after="40" w:line="360" w:lineRule="auto"/>
        <w:ind w:left="0"/>
        <w:jc w:val="both"/>
        <w:textAlignment w:val="baseline"/>
        <w:outlineLvl w:val="2"/>
        <w:rPr>
          <w:rFonts w:hint="eastAsia" w:ascii="宋体" w:hAnsi="宋体" w:eastAsia="宋体" w:cs="Times New Roman"/>
          <w:b/>
          <w:color w:val="auto"/>
          <w:kern w:val="2"/>
          <w:sz w:val="21"/>
          <w:szCs w:val="20"/>
          <w:highlight w:val="none"/>
          <w:lang w:val="en-US" w:eastAsia="zh-CN" w:bidi="ar-SA"/>
        </w:rPr>
      </w:pPr>
    </w:p>
    <w:p>
      <w:pPr>
        <w:keepNext/>
        <w:keepLines/>
        <w:widowControl w:val="0"/>
        <w:adjustRightInd w:val="0"/>
        <w:spacing w:before="40" w:after="40" w:line="360" w:lineRule="auto"/>
        <w:ind w:left="0"/>
        <w:jc w:val="both"/>
        <w:textAlignment w:val="baseline"/>
        <w:outlineLvl w:val="2"/>
        <w:rPr>
          <w:rFonts w:ascii="宋体" w:hAnsi="宋体" w:eastAsia="宋体" w:cs="Times New Roman"/>
          <w:b/>
          <w:color w:val="auto"/>
          <w:kern w:val="2"/>
          <w:sz w:val="21"/>
          <w:szCs w:val="20"/>
          <w:highlight w:val="none"/>
          <w:lang w:val="en-US" w:eastAsia="zh-CN" w:bidi="ar-SA"/>
        </w:rPr>
      </w:pPr>
      <w:r>
        <w:rPr>
          <w:rFonts w:hint="eastAsia" w:ascii="宋体" w:hAnsi="宋体" w:eastAsia="宋体" w:cs="Times New Roman"/>
          <w:b/>
          <w:color w:val="auto"/>
          <w:kern w:val="2"/>
          <w:sz w:val="21"/>
          <w:szCs w:val="20"/>
          <w:highlight w:val="none"/>
          <w:lang w:val="en-US" w:eastAsia="zh-CN" w:bidi="ar-SA"/>
        </w:rPr>
        <w:t>注：1、本格式仅供参考，投标人可根据实际情况自定。</w:t>
      </w:r>
    </w:p>
    <w:p>
      <w:pPr>
        <w:bidi w:val="0"/>
        <w:spacing w:line="360" w:lineRule="auto"/>
        <w:ind w:firstLine="422" w:firstLineChars="200"/>
        <w:rPr>
          <w:rFonts w:hint="default" w:ascii="Calibri" w:hAnsi="Calibri" w:eastAsia="宋体" w:cs="Times New Roman"/>
          <w:b/>
          <w:bCs/>
          <w:color w:val="auto"/>
          <w:kern w:val="2"/>
          <w:sz w:val="21"/>
          <w:szCs w:val="20"/>
          <w:highlight w:val="none"/>
          <w:lang w:val="en-US" w:eastAsia="zh-CN"/>
        </w:rPr>
      </w:pPr>
      <w:r>
        <w:rPr>
          <w:rFonts w:hint="eastAsia" w:ascii="Calibri" w:hAnsi="Calibri" w:eastAsia="宋体" w:cs="Times New Roman"/>
          <w:b/>
          <w:bCs/>
          <w:color w:val="auto"/>
          <w:kern w:val="2"/>
          <w:sz w:val="21"/>
          <w:szCs w:val="20"/>
          <w:highlight w:val="none"/>
        </w:rPr>
        <w:t>2、</w:t>
      </w:r>
      <w:r>
        <w:rPr>
          <w:rFonts w:hint="eastAsia" w:ascii="宋体" w:hAnsi="宋体" w:eastAsia="宋体" w:cs="Times New Roman"/>
          <w:b/>
          <w:color w:val="auto"/>
          <w:kern w:val="2"/>
          <w:sz w:val="21"/>
          <w:szCs w:val="20"/>
          <w:highlight w:val="none"/>
        </w:rPr>
        <w:t>投标人提供的同类项目业绩证明资料附于该表后面</w:t>
      </w:r>
      <w:r>
        <w:rPr>
          <w:rFonts w:hint="eastAsia" w:ascii="宋体" w:hAnsi="宋体" w:eastAsia="宋体" w:cs="Times New Roman"/>
          <w:b/>
          <w:color w:val="auto"/>
          <w:kern w:val="2"/>
          <w:sz w:val="21"/>
          <w:szCs w:val="20"/>
          <w:highlight w:val="none"/>
          <w:lang w:eastAsia="zh-CN"/>
        </w:rPr>
        <w:t>，</w:t>
      </w:r>
      <w:r>
        <w:rPr>
          <w:rFonts w:hint="eastAsia" w:ascii="Calibri" w:hAnsi="Calibri" w:eastAsia="宋体" w:cs="Times New Roman"/>
          <w:b/>
          <w:bCs/>
          <w:color w:val="auto"/>
          <w:kern w:val="2"/>
          <w:sz w:val="21"/>
          <w:szCs w:val="20"/>
          <w:highlight w:val="none"/>
        </w:rPr>
        <w:t>证明材料所需资料评见商务评分要求。</w:t>
      </w:r>
    </w:p>
    <w:p>
      <w:pPr>
        <w:outlineLvl w:val="1"/>
        <w:rPr>
          <w:rFonts w:ascii="仿宋" w:hAnsi="仿宋" w:eastAsia="宋体" w:cs="宋体"/>
          <w:color w:val="auto"/>
          <w:sz w:val="28"/>
          <w:szCs w:val="28"/>
          <w:highlight w:val="none"/>
        </w:rPr>
      </w:pPr>
      <w:r>
        <w:rPr>
          <w:rFonts w:ascii="宋体" w:hAnsi="宋体" w:eastAsia="宋体" w:cs="黑体"/>
          <w:b/>
          <w:color w:val="auto"/>
          <w:spacing w:val="4"/>
          <w:kern w:val="0"/>
          <w:sz w:val="28"/>
          <w:szCs w:val="28"/>
          <w:highlight w:val="none"/>
        </w:rPr>
        <w:br w:type="page"/>
      </w: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七</w:t>
      </w:r>
      <w:r>
        <w:rPr>
          <w:rFonts w:hint="eastAsia" w:ascii="仿宋" w:hAnsi="仿宋" w:eastAsia="仿宋" w:cs="宋体"/>
          <w:color w:val="auto"/>
          <w:sz w:val="28"/>
          <w:szCs w:val="28"/>
          <w:highlight w:val="none"/>
        </w:rPr>
        <w:t>：</w:t>
      </w:r>
    </w:p>
    <w:p>
      <w:pPr>
        <w:pStyle w:val="4"/>
        <w:rPr>
          <w:rFonts w:hint="eastAsia" w:ascii="仿宋" w:hAnsi="仿宋" w:eastAsia="仿宋" w:cs="仿宋"/>
          <w:color w:val="auto"/>
          <w:szCs w:val="21"/>
          <w:highlight w:val="none"/>
        </w:rPr>
      </w:pP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拟在本项目任职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2、项目负责人必须附执业证书及资格证书、身份证、职称证书及业绩等证明材料（复印件，加盖单位公章）。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adjustRightInd w:val="0"/>
        <w:snapToGrid w:val="0"/>
        <w:spacing w:beforeLines="30" w:line="360" w:lineRule="auto"/>
        <w:ind w:firstLine="542" w:firstLineChars="150"/>
        <w:jc w:val="center"/>
        <w:outlineLvl w:val="2"/>
        <w:rPr>
          <w:rFonts w:hint="eastAsia" w:ascii="仿宋" w:hAnsi="仿宋" w:eastAsia="仿宋" w:cs="宋体"/>
          <w:b/>
          <w:color w:val="auto"/>
          <w:sz w:val="36"/>
          <w:szCs w:val="36"/>
          <w:highlight w:val="none"/>
        </w:rPr>
      </w:pPr>
    </w:p>
    <w:p>
      <w:pPr>
        <w:adjustRightInd w:val="0"/>
        <w:snapToGrid w:val="0"/>
        <w:spacing w:beforeLines="30" w:line="360" w:lineRule="auto"/>
        <w:ind w:firstLine="542" w:firstLineChars="150"/>
        <w:jc w:val="center"/>
        <w:outlineLvl w:val="2"/>
        <w:rPr>
          <w:rFonts w:hint="eastAsia" w:ascii="仿宋" w:hAnsi="仿宋" w:eastAsia="仿宋" w:cs="宋体"/>
          <w:b/>
          <w:color w:val="auto"/>
          <w:sz w:val="36"/>
          <w:szCs w:val="36"/>
          <w:highlight w:val="none"/>
        </w:rPr>
      </w:pPr>
    </w:p>
    <w:p>
      <w:pPr>
        <w:pStyle w:val="2"/>
        <w:rPr>
          <w:rFonts w:hint="eastAsia" w:ascii="仿宋" w:hAnsi="仿宋" w:eastAsia="仿宋" w:cs="宋体"/>
          <w:b/>
          <w:color w:val="auto"/>
          <w:sz w:val="36"/>
          <w:szCs w:val="36"/>
          <w:highlight w:val="none"/>
        </w:rPr>
      </w:pPr>
    </w:p>
    <w:p>
      <w:pPr>
        <w:rPr>
          <w:rFonts w:hint="eastAsia" w:ascii="仿宋" w:hAnsi="仿宋" w:eastAsia="仿宋" w:cs="宋体"/>
          <w:b/>
          <w:color w:val="auto"/>
          <w:sz w:val="36"/>
          <w:szCs w:val="36"/>
          <w:highlight w:val="none"/>
        </w:rPr>
      </w:pPr>
    </w:p>
    <w:p>
      <w:pPr>
        <w:pStyle w:val="2"/>
        <w:rPr>
          <w:rFonts w:hint="eastAsia"/>
          <w:color w:val="auto"/>
          <w:highlight w:val="none"/>
        </w:rPr>
      </w:pPr>
    </w:p>
    <w:p>
      <w:pPr>
        <w:outlineLvl w:val="1"/>
        <w:rPr>
          <w:rFonts w:ascii="仿宋" w:hAnsi="仿宋" w:eastAsia="宋体" w:cs="仿宋"/>
          <w:color w:val="auto"/>
          <w:szCs w:val="21"/>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八</w:t>
      </w:r>
      <w:r>
        <w:rPr>
          <w:rFonts w:hint="eastAsia" w:ascii="仿宋" w:hAnsi="仿宋" w:eastAsia="仿宋" w:cs="宋体"/>
          <w:color w:val="auto"/>
          <w:sz w:val="28"/>
          <w:szCs w:val="28"/>
          <w:highlight w:val="none"/>
        </w:rPr>
        <w:t>：</w:t>
      </w:r>
    </w:p>
    <w:p>
      <w:pPr>
        <w:adjustRightInd w:val="0"/>
        <w:snapToGrid w:val="0"/>
        <w:spacing w:beforeLines="30" w:line="360" w:lineRule="auto"/>
        <w:ind w:firstLine="542" w:firstLineChars="150"/>
        <w:jc w:val="center"/>
        <w:outlineLvl w:val="2"/>
        <w:rPr>
          <w:rFonts w:hint="eastAsia" w:ascii="仿宋" w:hAnsi="仿宋" w:eastAsia="仿宋" w:cs="宋体"/>
          <w:b/>
          <w:color w:val="auto"/>
          <w:sz w:val="36"/>
          <w:szCs w:val="36"/>
          <w:highlight w:val="none"/>
        </w:rPr>
      </w:pPr>
    </w:p>
    <w:p>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8"/>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技术负责人</w:t>
      </w:r>
      <w:r>
        <w:rPr>
          <w:rFonts w:hint="eastAsia" w:ascii="仿宋" w:hAnsi="仿宋" w:eastAsia="仿宋" w:cs="仿宋"/>
          <w:color w:val="auto"/>
          <w:szCs w:val="21"/>
          <w:highlight w:val="none"/>
        </w:rPr>
        <w:t>）等。</w:t>
      </w:r>
    </w:p>
    <w:p>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hint="eastAsia" w:ascii="宋体" w:hAnsi="宋体" w:eastAsia="宋体" w:cs="黑体"/>
          <w:b/>
          <w:color w:val="auto"/>
          <w:spacing w:val="4"/>
          <w:kern w:val="0"/>
          <w:sz w:val="28"/>
          <w:szCs w:val="28"/>
          <w:highlight w:val="none"/>
        </w:rPr>
        <w:sectPr>
          <w:headerReference r:id="rId3" w:type="default"/>
          <w:footerReference r:id="rId4" w:type="default"/>
          <w:pgSz w:w="11906" w:h="16840"/>
          <w:pgMar w:top="1247" w:right="1135" w:bottom="1247" w:left="1361" w:header="720" w:footer="720" w:gutter="0"/>
          <w:pgNumType w:fmt="decimal"/>
          <w:cols w:space="425" w:num="1"/>
          <w:docGrid w:linePitch="285" w:charSpace="0"/>
        </w:sectPr>
      </w:pPr>
    </w:p>
    <w:p>
      <w:pPr>
        <w:outlineLvl w:val="1"/>
        <w:rPr>
          <w:rFonts w:ascii="仿宋" w:hAnsi="仿宋" w:eastAsia="宋体" w:cs="仿宋"/>
          <w:color w:val="auto"/>
          <w:szCs w:val="21"/>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九</w:t>
      </w:r>
      <w:r>
        <w:rPr>
          <w:rFonts w:hint="eastAsia" w:ascii="仿宋" w:hAnsi="仿宋" w:eastAsia="仿宋" w:cs="宋体"/>
          <w:color w:val="auto"/>
          <w:sz w:val="28"/>
          <w:szCs w:val="28"/>
          <w:highlight w:val="none"/>
        </w:rPr>
        <w:t>：</w:t>
      </w:r>
    </w:p>
    <w:p>
      <w:pPr>
        <w:spacing w:line="360" w:lineRule="auto"/>
        <w:outlineLvl w:val="1"/>
        <w:rPr>
          <w:rFonts w:ascii="仿宋" w:hAnsi="仿宋" w:eastAsia="仿宋" w:cs="宋体"/>
          <w:color w:val="auto"/>
          <w:sz w:val="28"/>
          <w:szCs w:val="28"/>
          <w:highlight w:val="none"/>
        </w:rPr>
      </w:pPr>
      <w:r>
        <w:rPr>
          <w:color w:val="auto"/>
          <w:spacing w:val="18"/>
          <w:highlight w:val="none"/>
        </w:rPr>
        <w:t xml:space="preserve"> </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8"/>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ind w:firstLine="0" w:firstLineChars="0"/>
              <w:jc w:val="left"/>
              <w:rPr>
                <w:rFonts w:hint="eastAsia" w:ascii="宋体" w:hAnsi="宋体" w:cs="宋体"/>
                <w:bCs/>
                <w:color w:val="auto"/>
                <w:szCs w:val="21"/>
                <w:highlight w:val="none"/>
                <w:u w:val="none"/>
                <w:lang w:val="en-US"/>
              </w:rPr>
            </w:pPr>
            <w:r>
              <w:rPr>
                <w:rFonts w:hint="eastAsia" w:ascii="宋体" w:hAnsi="宋体" w:cs="宋体" w:eastAsiaTheme="minorEastAsia"/>
                <w:b w:val="0"/>
                <w:bCs/>
                <w:color w:val="auto"/>
                <w:sz w:val="21"/>
                <w:szCs w:val="21"/>
                <w:highlight w:val="none"/>
                <w:u w:val="none"/>
                <w:lang w:val="en-US" w:eastAsia="zh-CN"/>
              </w:rPr>
              <w:t>南沙天后宫电房地块提升改造--仓库提升项目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restart"/>
            <w:vAlign w:val="center"/>
          </w:tcPr>
          <w:p>
            <w:pPr>
              <w:autoSpaceDE w:val="0"/>
              <w:autoSpaceDN w:val="0"/>
              <w:adjustRightInd w:val="0"/>
              <w:snapToGrid w:val="0"/>
              <w:spacing w:line="360" w:lineRule="auto"/>
              <w:ind w:firstLine="630" w:firstLineChars="300"/>
              <w:jc w:val="both"/>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eastAsia" w:ascii="宋体" w:hAnsi="宋体" w:cs="宋体"/>
                <w:bCs/>
                <w:color w:val="auto"/>
                <w:szCs w:val="21"/>
                <w:highlight w:val="none"/>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其中：</w:t>
            </w:r>
            <w:r>
              <w:rPr>
                <w:rFonts w:hint="eastAsia" w:ascii="宋体" w:hAnsi="宋体" w:cs="宋体"/>
                <w:bCs/>
                <w:color w:val="auto"/>
                <w:sz w:val="21"/>
                <w:szCs w:val="21"/>
                <w:highlight w:val="none"/>
                <w:u w:val="none"/>
                <w:lang w:val="en-US" w:eastAsia="zh-CN"/>
              </w:rPr>
              <w:t>绿色施工安全防护措施费</w:t>
            </w:r>
            <w:r>
              <w:rPr>
                <w:rFonts w:hint="eastAsia" w:ascii="宋体" w:hAnsi="宋体" w:cs="宋体" w:eastAsiaTheme="minorEastAsia"/>
                <w:bCs/>
                <w:color w:val="auto"/>
                <w:sz w:val="21"/>
                <w:szCs w:val="21"/>
                <w:highlight w:val="none"/>
                <w:u w:val="none"/>
                <w:lang w:val="en-US" w:eastAsia="zh-CN"/>
              </w:rPr>
              <w:t xml:space="preserve">为             </w:t>
            </w:r>
            <w:r>
              <w:rPr>
                <w:rFonts w:hint="eastAsia" w:ascii="宋体" w:hAnsi="宋体" w:cs="宋体"/>
                <w:bCs/>
                <w:color w:val="auto"/>
                <w:sz w:val="21"/>
                <w:szCs w:val="21"/>
                <w:highlight w:val="none"/>
                <w:u w:val="none"/>
                <w:lang w:val="en-US" w:eastAsia="zh-CN"/>
              </w:rPr>
              <w:t xml:space="preserve"> </w:t>
            </w:r>
            <w:r>
              <w:rPr>
                <w:rFonts w:hint="eastAsia" w:ascii="宋体" w:hAnsi="宋体" w:cs="宋体" w:eastAsiaTheme="minorEastAsia"/>
                <w:bCs/>
                <w:color w:val="auto"/>
                <w:sz w:val="21"/>
                <w:szCs w:val="21"/>
                <w:highlight w:val="none"/>
                <w:u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jc w:val="center"/>
              <w:rPr>
                <w:rFonts w:hint="eastAsia" w:ascii="宋体" w:hAnsi="宋体" w:cs="宋体"/>
                <w:bCs/>
                <w:color w:val="auto"/>
                <w:szCs w:val="21"/>
                <w:highlight w:val="none"/>
                <w:lang w:val="zh-CN"/>
              </w:rPr>
            </w:pPr>
            <w:r>
              <w:rPr>
                <w:rFonts w:hint="eastAsia" w:ascii="宋体" w:hAnsi="宋体" w:cs="宋体"/>
                <w:color w:val="auto"/>
                <w:sz w:val="21"/>
                <w:szCs w:val="21"/>
                <w:highlight w:val="none"/>
                <w:lang w:val="zh-CN"/>
              </w:rPr>
              <w:t>投标总工期</w:t>
            </w:r>
          </w:p>
        </w:tc>
        <w:tc>
          <w:tcPr>
            <w:tcW w:w="6699" w:type="dxa"/>
            <w:vAlign w:val="top"/>
          </w:tcPr>
          <w:p>
            <w:pPr>
              <w:autoSpaceDE w:val="0"/>
              <w:autoSpaceDN w:val="0"/>
              <w:adjustRightInd w:val="0"/>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2"/>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2"/>
        <w:widowControl/>
        <w:spacing w:line="360" w:lineRule="auto"/>
        <w:ind w:firstLine="630" w:firstLineChars="300"/>
        <w:rPr>
          <w:rFonts w:hint="default" w:ascii="宋体" w:hAnsi="宋体" w:eastAsia="宋体" w:cs="宋体"/>
          <w:bCs/>
          <w:color w:val="auto"/>
          <w:highlight w:val="none"/>
        </w:rPr>
      </w:pPr>
      <w:r>
        <w:rPr>
          <w:rFonts w:hint="eastAsia" w:hAnsi="宋体" w:cs="宋体"/>
          <w:bCs/>
          <w:color w:val="auto"/>
          <w:highlight w:val="none"/>
          <w:lang w:eastAsia="zh-CN"/>
        </w:rPr>
        <w:t>（</w:t>
      </w:r>
      <w:r>
        <w:rPr>
          <w:rFonts w:hint="eastAsia" w:hAnsi="宋体" w:cs="宋体"/>
          <w:bCs/>
          <w:color w:val="auto"/>
          <w:highlight w:val="none"/>
          <w:lang w:val="en-US" w:eastAsia="zh-CN"/>
        </w:rPr>
        <w:t>2</w:t>
      </w:r>
      <w:r>
        <w:rPr>
          <w:rFonts w:hint="eastAsia" w:hAnsi="宋体" w:cs="宋体"/>
          <w:bCs/>
          <w:color w:val="auto"/>
          <w:highlight w:val="none"/>
          <w:lang w:eastAsia="zh-CN"/>
        </w:rPr>
        <w:t>）</w:t>
      </w:r>
      <w:r>
        <w:rPr>
          <w:rFonts w:hint="eastAsia" w:ascii="宋体" w:hAnsi="宋体" w:eastAsia="宋体" w:cs="宋体"/>
          <w:bCs/>
          <w:color w:val="auto"/>
          <w:kern w:val="2"/>
          <w:sz w:val="21"/>
          <w:szCs w:val="21"/>
          <w:highlight w:val="none"/>
          <w:u w:val="none"/>
          <w:lang w:val="en-US" w:eastAsia="zh-CN" w:bidi="ar-SA"/>
        </w:rPr>
        <w:t>投标单位自行报价，投标总报价不能超过招标控制价，否则按</w:t>
      </w:r>
      <w:r>
        <w:rPr>
          <w:rFonts w:hint="eastAsia" w:hAnsi="宋体" w:cs="宋体"/>
          <w:bCs/>
          <w:color w:val="auto"/>
          <w:kern w:val="2"/>
          <w:sz w:val="21"/>
          <w:szCs w:val="21"/>
          <w:highlight w:val="none"/>
          <w:u w:val="none"/>
          <w:lang w:val="en-US" w:eastAsia="zh-CN" w:bidi="ar-SA"/>
        </w:rPr>
        <w:t>无效投标</w:t>
      </w:r>
      <w:r>
        <w:rPr>
          <w:rFonts w:hint="eastAsia" w:ascii="宋体" w:hAnsi="宋体" w:eastAsia="宋体" w:cs="宋体"/>
          <w:bCs/>
          <w:color w:val="auto"/>
          <w:kern w:val="2"/>
          <w:sz w:val="21"/>
          <w:szCs w:val="21"/>
          <w:highlight w:val="none"/>
          <w:u w:val="none"/>
          <w:lang w:val="en-US" w:eastAsia="zh-CN" w:bidi="ar-SA"/>
        </w:rPr>
        <w:t>处理。（小数点后保留二位小数，第三位小数四舍五入）</w:t>
      </w:r>
    </w:p>
    <w:p>
      <w:pPr>
        <w:pStyle w:val="2"/>
        <w:spacing w:line="360" w:lineRule="auto"/>
        <w:ind w:firstLine="630" w:firstLineChars="300"/>
        <w:rPr>
          <w:rFonts w:hint="eastAsia" w:ascii="宋体" w:hAnsi="宋体" w:eastAsia="宋体" w:cs="宋体"/>
          <w:color w:val="auto"/>
          <w:sz w:val="21"/>
          <w:szCs w:val="21"/>
          <w:highlight w:val="none"/>
        </w:rPr>
      </w:pP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2"/>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51" w:name="_Toc374128477"/>
      <w:bookmarkEnd w:id="51"/>
      <w:bookmarkStart w:id="52"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53" w:name="_Toc4893"/>
      <w:bookmarkStart w:id="54" w:name="_Toc8367"/>
      <w:bookmarkStart w:id="55" w:name="_Toc24523"/>
      <w:bookmarkStart w:id="56" w:name="_Toc17859"/>
      <w:bookmarkStart w:id="57" w:name="_Toc25010"/>
      <w:bookmarkStart w:id="58" w:name="_Toc23233"/>
      <w:bookmarkStart w:id="59" w:name="_Toc26234"/>
      <w:r>
        <w:rPr>
          <w:rFonts w:hint="eastAsia" w:ascii="黑体" w:hAnsi="宋体" w:cs="黑体"/>
          <w:b/>
          <w:color w:val="auto"/>
          <w:kern w:val="44"/>
          <w:sz w:val="44"/>
          <w:szCs w:val="44"/>
          <w:highlight w:val="none"/>
        </w:rPr>
        <w:t>第4章 评标办法</w:t>
      </w:r>
      <w:bookmarkEnd w:id="52"/>
      <w:bookmarkEnd w:id="53"/>
      <w:bookmarkEnd w:id="54"/>
      <w:bookmarkEnd w:id="55"/>
      <w:bookmarkEnd w:id="56"/>
      <w:bookmarkEnd w:id="57"/>
      <w:bookmarkEnd w:id="58"/>
      <w:bookmarkEnd w:id="59"/>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pgNumType w:fmt="decimal"/>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w:t>
      </w:r>
      <w:r>
        <w:rPr>
          <w:rFonts w:hint="eastAsia" w:ascii="仿宋" w:hAnsi="仿宋" w:eastAsia="仿宋" w:cs="仿宋"/>
          <w:color w:val="auto"/>
          <w:sz w:val="28"/>
          <w:szCs w:val="28"/>
          <w:highlight w:val="none"/>
          <w:lang w:val="en-US" w:eastAsia="zh-CN"/>
        </w:rPr>
        <w:t>方式</w:t>
      </w:r>
      <w:r>
        <w:rPr>
          <w:rFonts w:hint="eastAsia" w:ascii="仿宋" w:hAnsi="仿宋" w:eastAsia="仿宋" w:cs="仿宋"/>
          <w:color w:val="auto"/>
          <w:sz w:val="28"/>
          <w:szCs w:val="28"/>
          <w:highlight w:val="none"/>
        </w:rPr>
        <w:t>，为保证招标“公开、公平、公正”，根据国家有关工程建设招标投标的法律、法规和方针、政策，制定本评标细则，实行评标的规范化、标准化、科学化。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 xml:space="preserve">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5"/>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5"/>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5"/>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5"/>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5"/>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5"/>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2"/>
        <w:widowControl/>
        <w:spacing w:line="500" w:lineRule="exact"/>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2"/>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2"/>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w:t>
      </w:r>
      <w:r>
        <w:rPr>
          <w:rFonts w:hint="eastAsia" w:ascii="仿宋" w:hAnsi="仿宋" w:eastAsia="仿宋" w:cs="仿宋"/>
          <w:b/>
          <w:color w:val="auto"/>
          <w:sz w:val="28"/>
          <w:szCs w:val="28"/>
          <w:highlight w:val="none"/>
          <w:u w:val="single"/>
          <w:lang w:val="en-US" w:eastAsia="zh-CN"/>
        </w:rPr>
        <w:t>分</w:t>
      </w:r>
      <w:r>
        <w:rPr>
          <w:rFonts w:hint="eastAsia" w:ascii="仿宋" w:hAnsi="仿宋" w:eastAsia="仿宋" w:cs="仿宋"/>
          <w:b/>
          <w:color w:val="auto"/>
          <w:sz w:val="28"/>
          <w:szCs w:val="28"/>
          <w:highlight w:val="none"/>
          <w:u w:val="single"/>
        </w:rPr>
        <w:t>法</w:t>
      </w:r>
      <w:r>
        <w:rPr>
          <w:rFonts w:hint="eastAsia" w:ascii="仿宋" w:hAnsi="仿宋" w:eastAsia="仿宋" w:cs="仿宋"/>
          <w:b/>
          <w:color w:val="auto"/>
          <w:sz w:val="28"/>
          <w:szCs w:val="28"/>
          <w:highlight w:val="none"/>
          <w:u w:val="none"/>
        </w:rPr>
        <w:t>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500" w:lineRule="exact"/>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以此类推，如所有中标候选人均出现前款所列的情形，为招标失败，招标人依法重新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a、投标人名称；b、标书密封情况；c、法定代表人证明及授权委托；d、投标报价等主要内容，并予以记录，记录提交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7.5.2如果有两个或两个以上的投标人总得分评分相同，则服务报价得分较高的投标人排名优先；如果总得分、服务报价得分均相同的投标文件，则由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p>
    <w:p>
      <w:pPr>
        <w:pStyle w:val="2"/>
        <w:rPr>
          <w:rFonts w:hint="default" w:ascii="仿宋" w:hAnsi="仿宋" w:eastAsia="仿宋" w:cs="仿宋"/>
          <w:color w:val="auto"/>
          <w:sz w:val="28"/>
          <w:szCs w:val="28"/>
          <w:highlight w:val="none"/>
        </w:rPr>
      </w:pPr>
    </w:p>
    <w:p>
      <w:pPr>
        <w:pStyle w:val="2"/>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hint="eastAsia" w:ascii="黑体" w:hAnsi="宋体" w:cs="黑体"/>
          <w:b/>
          <w:color w:val="auto"/>
          <w:kern w:val="44"/>
          <w:sz w:val="44"/>
          <w:szCs w:val="44"/>
          <w:highlight w:val="none"/>
        </w:rPr>
      </w:pPr>
      <w:bookmarkStart w:id="60" w:name="_Toc26593"/>
      <w:r>
        <w:rPr>
          <w:rFonts w:hint="eastAsia" w:ascii="黑体" w:hAnsi="宋体" w:cs="黑体"/>
          <w:b/>
          <w:color w:val="auto"/>
          <w:kern w:val="44"/>
          <w:sz w:val="44"/>
          <w:szCs w:val="44"/>
          <w:highlight w:val="none"/>
        </w:rPr>
        <w:br w:type="page"/>
      </w:r>
    </w:p>
    <w:p>
      <w:pPr>
        <w:numPr>
          <w:ilvl w:val="0"/>
          <w:numId w:val="6"/>
        </w:numPr>
        <w:snapToGrid w:val="0"/>
        <w:spacing w:line="360" w:lineRule="auto"/>
        <w:ind w:firstLine="663" w:firstLineChars="150"/>
        <w:jc w:val="center"/>
        <w:rPr>
          <w:rFonts w:hint="eastAsia" w:ascii="黑体" w:hAnsi="宋体" w:cs="黑体"/>
          <w:b/>
          <w:color w:val="auto"/>
          <w:kern w:val="44"/>
          <w:sz w:val="44"/>
          <w:szCs w:val="44"/>
          <w:highlight w:val="none"/>
        </w:rPr>
      </w:pPr>
      <w:r>
        <w:rPr>
          <w:rFonts w:hint="eastAsia" w:ascii="黑体" w:hAnsi="宋体" w:cs="黑体"/>
          <w:b/>
          <w:color w:val="auto"/>
          <w:kern w:val="44"/>
          <w:sz w:val="44"/>
          <w:szCs w:val="44"/>
          <w:highlight w:val="none"/>
        </w:rPr>
        <w:t>附件</w:t>
      </w:r>
      <w:bookmarkEnd w:id="60"/>
    </w:p>
    <w:p>
      <w:pPr>
        <w:widowControl/>
        <w:spacing w:line="360" w:lineRule="auto"/>
        <w:ind w:firstLine="562" w:firstLineChars="200"/>
        <w:jc w:val="both"/>
        <w:rPr>
          <w:rFonts w:hint="default" w:ascii="仿宋" w:hAnsi="仿宋" w:eastAsia="仿宋" w:cs="仿宋"/>
          <w:b/>
          <w:color w:val="auto"/>
          <w:kern w:val="0"/>
          <w:sz w:val="28"/>
          <w:szCs w:val="28"/>
          <w:highlight w:val="none"/>
          <w:u w:val="single"/>
          <w:lang w:val="en-US" w:eastAsia="zh-CN" w:bidi="ar-SA"/>
        </w:rPr>
      </w:pPr>
      <w:r>
        <w:rPr>
          <w:rFonts w:hint="eastAsia" w:ascii="仿宋" w:hAnsi="仿宋" w:eastAsia="仿宋" w:cs="仿宋"/>
          <w:b/>
          <w:color w:val="auto"/>
          <w:kern w:val="0"/>
          <w:sz w:val="28"/>
          <w:szCs w:val="28"/>
          <w:highlight w:val="none"/>
          <w:u w:val="single"/>
          <w:lang w:val="en-US" w:eastAsia="zh-CN" w:bidi="ar-SA"/>
        </w:rPr>
        <w:t>附件1 符合性审查表</w:t>
      </w:r>
    </w:p>
    <w:p>
      <w:pPr>
        <w:widowControl/>
        <w:spacing w:line="360" w:lineRule="auto"/>
        <w:ind w:firstLine="562" w:firstLineChars="200"/>
        <w:jc w:val="both"/>
        <w:rPr>
          <w:rFonts w:hint="default" w:ascii="仿宋" w:hAnsi="仿宋" w:eastAsia="仿宋" w:cs="仿宋"/>
          <w:b/>
          <w:color w:val="auto"/>
          <w:kern w:val="0"/>
          <w:sz w:val="28"/>
          <w:szCs w:val="28"/>
          <w:highlight w:val="none"/>
          <w:u w:val="single"/>
          <w:lang w:val="en-US" w:eastAsia="zh-CN" w:bidi="ar-SA"/>
        </w:rPr>
      </w:pPr>
      <w:bookmarkStart w:id="61" w:name="OLE_LINK3"/>
      <w:bookmarkEnd w:id="61"/>
      <w:r>
        <w:rPr>
          <w:rFonts w:hint="eastAsia" w:ascii="仿宋" w:hAnsi="仿宋" w:eastAsia="仿宋" w:cs="仿宋"/>
          <w:b/>
          <w:color w:val="auto"/>
          <w:kern w:val="0"/>
          <w:sz w:val="28"/>
          <w:szCs w:val="28"/>
          <w:highlight w:val="none"/>
          <w:u w:val="single"/>
          <w:lang w:val="en-US" w:eastAsia="zh-CN" w:bidi="ar-SA"/>
        </w:rPr>
        <w:t>附件2 综合评分表</w:t>
      </w:r>
    </w:p>
    <w:p>
      <w:pPr>
        <w:widowControl/>
        <w:spacing w:line="360" w:lineRule="auto"/>
        <w:ind w:firstLine="562" w:firstLineChars="200"/>
        <w:jc w:val="both"/>
        <w:rPr>
          <w:rFonts w:hint="default" w:ascii="仿宋" w:hAnsi="仿宋" w:eastAsia="仿宋" w:cs="仿宋"/>
          <w:b/>
          <w:color w:val="auto"/>
          <w:kern w:val="0"/>
          <w:sz w:val="28"/>
          <w:szCs w:val="28"/>
          <w:highlight w:val="none"/>
          <w:u w:val="single"/>
          <w:lang w:val="en-US" w:eastAsia="zh-CN" w:bidi="ar-SA"/>
        </w:rPr>
      </w:pPr>
      <w:r>
        <w:rPr>
          <w:rFonts w:hint="eastAsia" w:ascii="仿宋" w:hAnsi="仿宋" w:eastAsia="仿宋" w:cs="仿宋"/>
          <w:b/>
          <w:color w:val="auto"/>
          <w:kern w:val="0"/>
          <w:sz w:val="28"/>
          <w:szCs w:val="28"/>
          <w:highlight w:val="none"/>
          <w:u w:val="single"/>
          <w:lang w:val="en-US" w:eastAsia="zh-CN" w:bidi="ar-SA"/>
        </w:rPr>
        <w:t>附件3 投标申请人声明</w:t>
      </w:r>
    </w:p>
    <w:p>
      <w:pPr>
        <w:widowControl/>
        <w:spacing w:line="360" w:lineRule="auto"/>
        <w:ind w:firstLine="562" w:firstLineChars="200"/>
        <w:jc w:val="both"/>
        <w:rPr>
          <w:rFonts w:hint="default" w:ascii="仿宋" w:hAnsi="仿宋" w:eastAsia="仿宋" w:cs="仿宋"/>
          <w:b/>
          <w:color w:val="auto"/>
          <w:kern w:val="0"/>
          <w:sz w:val="28"/>
          <w:szCs w:val="28"/>
          <w:highlight w:val="none"/>
          <w:u w:val="single"/>
          <w:lang w:val="en-US" w:eastAsia="zh-CN" w:bidi="ar-SA"/>
        </w:rPr>
      </w:pPr>
      <w:r>
        <w:rPr>
          <w:rFonts w:hint="eastAsia" w:ascii="仿宋" w:hAnsi="仿宋" w:eastAsia="仿宋" w:cs="仿宋"/>
          <w:b/>
          <w:color w:val="auto"/>
          <w:kern w:val="0"/>
          <w:sz w:val="28"/>
          <w:szCs w:val="28"/>
          <w:highlight w:val="none"/>
          <w:u w:val="single"/>
          <w:lang w:val="en-US" w:eastAsia="zh-CN" w:bidi="ar-SA"/>
        </w:rPr>
        <w:t>附件4 图纸（另附）</w:t>
      </w:r>
    </w:p>
    <w:p>
      <w:pPr>
        <w:widowControl/>
        <w:spacing w:line="360" w:lineRule="auto"/>
        <w:ind w:firstLine="562" w:firstLineChars="200"/>
        <w:jc w:val="both"/>
        <w:rPr>
          <w:rFonts w:hint="default" w:ascii="仿宋" w:hAnsi="仿宋" w:eastAsia="仿宋" w:cs="仿宋"/>
          <w:b/>
          <w:color w:val="auto"/>
          <w:kern w:val="0"/>
          <w:sz w:val="28"/>
          <w:szCs w:val="28"/>
          <w:highlight w:val="none"/>
          <w:u w:val="single"/>
          <w:lang w:val="en-US" w:eastAsia="zh-CN" w:bidi="ar-SA"/>
        </w:rPr>
      </w:pPr>
      <w:r>
        <w:rPr>
          <w:rFonts w:hint="eastAsia" w:ascii="仿宋" w:hAnsi="仿宋" w:eastAsia="仿宋" w:cs="仿宋"/>
          <w:b/>
          <w:color w:val="auto"/>
          <w:kern w:val="0"/>
          <w:sz w:val="28"/>
          <w:szCs w:val="28"/>
          <w:highlight w:val="none"/>
          <w:u w:val="single"/>
          <w:lang w:val="en-US" w:eastAsia="zh-CN" w:bidi="ar-SA"/>
        </w:rPr>
        <w:t>附件5 工程量清单（另附）</w:t>
      </w:r>
    </w:p>
    <w:p>
      <w:pPr>
        <w:pStyle w:val="2"/>
        <w:numPr>
          <w:ilvl w:val="-1"/>
          <w:numId w:val="0"/>
        </w:numPr>
        <w:rPr>
          <w:color w:val="auto"/>
          <w:highlight w:val="none"/>
        </w:rPr>
      </w:pPr>
    </w:p>
    <w:p>
      <w:pPr>
        <w:pStyle w:val="26"/>
        <w:widowControl/>
        <w:ind w:firstLine="562"/>
        <w:rPr>
          <w:rFonts w:hint="eastAsia" w:ascii="仿宋" w:hAnsi="仿宋" w:eastAsia="仿宋" w:cs="仿宋"/>
          <w:b/>
          <w:color w:val="auto"/>
          <w:kern w:val="0"/>
          <w:sz w:val="28"/>
          <w:szCs w:val="28"/>
          <w:highlight w:val="none"/>
          <w:u w:val="single"/>
          <w:lang w:val="en-US" w:eastAsia="zh-CN"/>
        </w:rPr>
      </w:pP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62" w:name="_Toc18242"/>
      <w:bookmarkStart w:id="63" w:name="_Toc3331"/>
      <w:bookmarkStart w:id="64" w:name="_Toc6823"/>
      <w:bookmarkStart w:id="65" w:name="_Toc12170"/>
      <w:bookmarkStart w:id="66" w:name="_Toc13788"/>
      <w:bookmarkStart w:id="67" w:name="_Toc20865"/>
      <w:bookmarkStart w:id="68" w:name="_Toc11051"/>
      <w:bookmarkStart w:id="69" w:name="_Toc5919"/>
      <w:r>
        <w:rPr>
          <w:rFonts w:hint="eastAsia" w:ascii="宋体" w:hAnsi="宋体" w:eastAsia="宋体" w:cs="宋体"/>
          <w:color w:val="auto"/>
          <w:sz w:val="21"/>
          <w:szCs w:val="21"/>
          <w:highlight w:val="none"/>
        </w:rPr>
        <w:t>附件1：符合性审查表</w:t>
      </w:r>
      <w:bookmarkEnd w:id="62"/>
      <w:bookmarkEnd w:id="63"/>
      <w:bookmarkEnd w:id="64"/>
      <w:bookmarkEnd w:id="65"/>
      <w:bookmarkEnd w:id="66"/>
      <w:bookmarkEnd w:id="67"/>
      <w:bookmarkEnd w:id="68"/>
      <w:bookmarkEnd w:id="69"/>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8"/>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50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投标文件密封性</w:t>
            </w:r>
            <w:r>
              <w:rPr>
                <w:rFonts w:hint="eastAsia" w:ascii="仿宋" w:hAnsi="仿宋" w:eastAsia="仿宋" w:cs="仿宋"/>
                <w:color w:val="auto"/>
                <w:szCs w:val="21"/>
                <w:highlight w:val="none"/>
                <w:lang w:val="en-US" w:eastAsia="zh-CN"/>
              </w:rPr>
              <w:t>完</w:t>
            </w:r>
            <w:r>
              <w:rPr>
                <w:rFonts w:hint="eastAsia" w:ascii="仿宋" w:hAnsi="仿宋" w:eastAsia="仿宋" w:cs="仿宋"/>
                <w:color w:val="auto"/>
                <w:szCs w:val="21"/>
                <w:highlight w:val="none"/>
              </w:rPr>
              <w:t>好</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highlight w:val="none"/>
                <w:lang w:eastAsia="zh-CN"/>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投标文件封面有法定代表人或其委托代理人签字</w:t>
            </w:r>
            <w:r>
              <w:rPr>
                <w:rFonts w:hint="eastAsia" w:ascii="仿宋" w:hAnsi="仿宋" w:eastAsia="仿宋" w:cs="仿宋"/>
                <w:color w:val="auto"/>
                <w:szCs w:val="21"/>
                <w:highlight w:val="none"/>
                <w:lang w:val="en-US" w:eastAsia="zh-CN"/>
              </w:rPr>
              <w:t>并加盖投标单位公章</w:t>
            </w:r>
            <w:r>
              <w:rPr>
                <w:rFonts w:hint="eastAsia" w:ascii="仿宋" w:hAnsi="仿宋" w:eastAsia="仿宋" w:cs="仿宋"/>
                <w:color w:val="auto"/>
                <w:szCs w:val="21"/>
                <w:highlight w:val="none"/>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highlight w:val="none"/>
                <w:lang w:eastAsia="zh-CN"/>
              </w:rPr>
            </w:pPr>
            <w:r>
              <w:rPr>
                <w:rFonts w:hint="eastAsia" w:ascii="仿宋" w:hAnsi="仿宋" w:eastAsia="仿宋" w:cs="仿宋"/>
                <w:color w:val="auto"/>
                <w:sz w:val="21"/>
                <w:szCs w:val="21"/>
                <w:highlight w:val="none"/>
              </w:rPr>
              <w:t>符合本项目招标公告</w:t>
            </w:r>
            <w:r>
              <w:rPr>
                <w:rFonts w:hint="eastAsia" w:ascii="仿宋" w:hAnsi="仿宋" w:eastAsia="仿宋" w:cs="仿宋"/>
                <w:color w:val="auto"/>
                <w:sz w:val="21"/>
                <w:szCs w:val="21"/>
                <w:highlight w:val="none"/>
                <w:lang w:val="en-US" w:eastAsia="zh-CN"/>
              </w:rPr>
              <w:t>第七条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2"/>
                <w:sz w:val="21"/>
                <w:szCs w:val="21"/>
                <w:highlight w:val="none"/>
              </w:rPr>
              <w:t>投标人资格要求</w:t>
            </w:r>
            <w:r>
              <w:rPr>
                <w:rFonts w:hint="eastAsia" w:ascii="仿宋" w:hAnsi="仿宋" w:eastAsia="仿宋" w:cs="仿宋"/>
                <w:color w:val="auto"/>
                <w:sz w:val="21"/>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rPr>
          <w:trHeight w:val="59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cs="仿宋" w:eastAsiaTheme="minorEastAsia"/>
                <w:color w:val="auto"/>
                <w:sz w:val="21"/>
                <w:szCs w:val="21"/>
                <w:highlight w:val="none"/>
                <w:lang w:eastAsia="zh-CN"/>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50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lang w:val="en-US" w:eastAsia="zh-CN"/>
              </w:rPr>
              <w:t>无“未实质性响应招标文件”的情况</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contextualSpacing w:val="0"/>
              <w:jc w:val="center"/>
              <w:rPr>
                <w:rFonts w:ascii="仿宋" w:hAnsi="仿宋" w:eastAsia="仿宋" w:cs="仿宋"/>
                <w:color w:val="auto"/>
                <w:szCs w:val="21"/>
                <w:highlight w:val="none"/>
              </w:rPr>
            </w:pPr>
            <w:r>
              <w:rPr>
                <w:rFonts w:hint="default" w:ascii="仿宋" w:hAnsi="仿宋" w:eastAsia="仿宋" w:cs="仿宋"/>
                <w:color w:val="auto"/>
                <w:szCs w:val="21"/>
                <w:highlight w:val="none"/>
              </w:rPr>
              <w:t>结论</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51"/>
              <w:contextualSpacing w:val="0"/>
              <w:jc w:val="both"/>
              <w:rPr>
                <w:rFonts w:ascii="仿宋" w:hAnsi="仿宋" w:eastAsia="仿宋" w:cs="仿宋"/>
                <w:color w:val="auto"/>
                <w:szCs w:val="21"/>
                <w:highlight w:val="none"/>
              </w:rPr>
            </w:pPr>
            <w:r>
              <w:rPr>
                <w:rFonts w:hint="default" w:ascii="仿宋" w:hAnsi="仿宋" w:eastAsia="仿宋" w:cs="仿宋"/>
                <w:color w:val="auto"/>
                <w:szCs w:val="21"/>
                <w:highlight w:val="none"/>
              </w:rPr>
              <w:t>是否通过并进入下一阶段评审</w:t>
            </w:r>
            <w:r>
              <w:rPr>
                <w:rFonts w:hint="default" w:ascii="仿宋" w:hAnsi="仿宋" w:eastAsia="仿宋" w:cs="仿宋"/>
                <w:color w:val="auto"/>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5" w:type="default"/>
          <w:pgSz w:w="11906" w:h="16838"/>
          <w:pgMar w:top="1440" w:right="1797" w:bottom="1440" w:left="1797" w:header="720" w:footer="720" w:gutter="0"/>
          <w:pgNumType w:fmt="decimal"/>
          <w:cols w:space="0" w:num="1"/>
          <w:rtlGutter w:val="0"/>
          <w:docGrid w:linePitch="312" w:charSpace="0"/>
        </w:sectPr>
      </w:pPr>
      <w:bookmarkStart w:id="70" w:name="_Toc18783"/>
    </w:p>
    <w:bookmarkEnd w:id="70"/>
    <w:p>
      <w:pPr>
        <w:snapToGrid w:val="0"/>
        <w:ind w:left="74"/>
        <w:outlineLvl w:val="0"/>
        <w:rPr>
          <w:rFonts w:hint="eastAsia"/>
          <w:color w:val="auto"/>
          <w:highlight w:val="none"/>
        </w:rPr>
      </w:pPr>
      <w:r>
        <w:rPr>
          <w:rFonts w:hint="eastAsia" w:ascii="宋体" w:hAnsi="宋体" w:eastAsia="宋体" w:cs="宋体"/>
          <w:b w:val="0"/>
          <w:bCs/>
          <w:color w:val="auto"/>
          <w:sz w:val="21"/>
          <w:szCs w:val="21"/>
          <w:highlight w:val="none"/>
        </w:rPr>
        <w:t>附件2综合评分表（100分）</w:t>
      </w:r>
    </w:p>
    <w:tbl>
      <w:tblPr>
        <w:tblStyle w:val="18"/>
        <w:tblpPr w:leftFromText="180" w:rightFromText="180" w:vertAnchor="text" w:horzAnchor="page" w:tblpX="1840" w:tblpY="172"/>
        <w:tblOverlap w:val="never"/>
        <w:tblW w:w="127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1227"/>
        <w:gridCol w:w="887"/>
        <w:gridCol w:w="8891"/>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113" w:type="dxa"/>
            <w:shd w:val="clear" w:color="auto" w:fill="auto"/>
            <w:vAlign w:val="center"/>
          </w:tcPr>
          <w:p>
            <w:pPr>
              <w:snapToGrid w:val="0"/>
              <w:ind w:left="-2" w:leftChars="-1"/>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评审项目</w:t>
            </w:r>
          </w:p>
        </w:tc>
        <w:tc>
          <w:tcPr>
            <w:tcW w:w="1227"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887"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8891" w:type="dxa"/>
            <w:shd w:val="clear" w:color="auto" w:fill="auto"/>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677"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5" w:hRule="atLeast"/>
        </w:trPr>
        <w:tc>
          <w:tcPr>
            <w:tcW w:w="1113" w:type="dxa"/>
            <w:vMerge w:val="restart"/>
            <w:shd w:val="clear" w:color="auto" w:fill="auto"/>
            <w:vAlign w:val="center"/>
          </w:tcPr>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p>
          <w:p>
            <w:pPr>
              <w:pageBreakBefore w:val="0"/>
              <w:widowControl w:val="0"/>
              <w:kinsoku/>
              <w:wordWrap/>
              <w:overflowPunct/>
              <w:topLinePunct w:val="0"/>
              <w:autoSpaceDN/>
              <w:bidi w:val="0"/>
              <w:snapToGrid w:val="0"/>
              <w:spacing w:line="360" w:lineRule="exact"/>
              <w:ind w:left="0" w:leftChars="0"/>
              <w:jc w:val="both"/>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商务部分</w:t>
            </w:r>
          </w:p>
          <w:p>
            <w:pPr>
              <w:pageBreakBefore w:val="0"/>
              <w:widowControl w:val="0"/>
              <w:kinsoku/>
              <w:wordWrap/>
              <w:overflowPunct/>
              <w:topLinePunct w:val="0"/>
              <w:autoSpaceDN/>
              <w:bidi w:val="0"/>
              <w:snapToGrid w:val="0"/>
              <w:spacing w:before="120" w:after="120" w:line="360" w:lineRule="exact"/>
              <w:ind w:left="0" w:leftChars="0" w:firstLine="0" w:firstLineChars="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（50分）</w:t>
            </w: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color w:val="auto"/>
                <w:sz w:val="21"/>
                <w:szCs w:val="21"/>
                <w:highlight w:val="none"/>
                <w:lang w:eastAsia="zh-CN"/>
              </w:rPr>
            </w:pPr>
          </w:p>
          <w:p>
            <w:pPr>
              <w:pageBreakBefore w:val="0"/>
              <w:widowControl w:val="0"/>
              <w:kinsoku/>
              <w:wordWrap/>
              <w:overflowPunct/>
              <w:topLinePunct w:val="0"/>
              <w:autoSpaceDN/>
              <w:bidi w:val="0"/>
              <w:spacing w:line="360" w:lineRule="exact"/>
              <w:ind w:left="-2" w:leftChars="-1"/>
              <w:textAlignment w:val="auto"/>
              <w:rPr>
                <w:rFonts w:hint="eastAsia" w:ascii="Calibri" w:hAnsi="Calibri" w:eastAsia="宋体" w:cs="Times New Roman"/>
                <w:color w:val="auto"/>
                <w:sz w:val="21"/>
                <w:szCs w:val="21"/>
                <w:highlight w:val="none"/>
                <w:lang w:eastAsia="zh-CN"/>
              </w:rPr>
            </w:pP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Calibri" w:hAnsi="Calibri" w:eastAsia="宋体" w:cs="Times New Roman"/>
                <w:color w:val="auto"/>
                <w:sz w:val="21"/>
                <w:szCs w:val="21"/>
                <w:highlight w:val="none"/>
              </w:rPr>
            </w:pPr>
          </w:p>
          <w:p>
            <w:pPr>
              <w:keepNext/>
              <w:keepLines/>
              <w:widowControl w:val="0"/>
              <w:spacing w:line="413" w:lineRule="auto"/>
              <w:jc w:val="both"/>
              <w:outlineLvl w:val="1"/>
              <w:rPr>
                <w:rFonts w:hint="eastAsia" w:ascii="Arial" w:hAnsi="Arial" w:eastAsia="黑体" w:cs="Times New Roman"/>
                <w:b/>
                <w:color w:val="auto"/>
                <w:kern w:val="2"/>
                <w:sz w:val="21"/>
                <w:szCs w:val="21"/>
                <w:highlight w:val="none"/>
                <w:lang w:val="en-US" w:eastAsia="zh-CN" w:bidi="ar-SA"/>
              </w:rPr>
            </w:pPr>
          </w:p>
        </w:tc>
        <w:tc>
          <w:tcPr>
            <w:tcW w:w="1227" w:type="dxa"/>
            <w:shd w:val="clear" w:color="auto" w:fill="auto"/>
            <w:vAlign w:val="center"/>
          </w:tcPr>
          <w:p>
            <w:pPr>
              <w:pageBreakBefore w:val="0"/>
              <w:widowControl w:val="0"/>
              <w:kinsoku/>
              <w:wordWrap/>
              <w:overflowPunct/>
              <w:topLinePunct w:val="0"/>
              <w:autoSpaceDN/>
              <w:bidi w:val="0"/>
              <w:snapToGrid/>
              <w:spacing w:line="360" w:lineRule="exact"/>
              <w:ind w:left="42" w:leftChars="20" w:right="42" w:rightChars="20"/>
              <w:jc w:val="center"/>
              <w:textAlignment w:val="auto"/>
              <w:rPr>
                <w:rFonts w:hint="eastAsia" w:ascii="宋体" w:hAnsi="宋体" w:eastAsia="宋体" w:cs="宋体"/>
                <w:color w:val="auto"/>
                <w:sz w:val="21"/>
                <w:szCs w:val="21"/>
                <w:highlight w:val="none"/>
              </w:rPr>
            </w:pPr>
            <w:r>
              <w:rPr>
                <w:rFonts w:ascii="Calibri" w:hAnsi="Calibri" w:eastAsia="宋体" w:cs="Times New Roman"/>
                <w:color w:val="auto"/>
                <w:sz w:val="21"/>
                <w:szCs w:val="21"/>
                <w:highlight w:val="none"/>
              </w:rPr>
              <w:t>企业业绩</w:t>
            </w:r>
          </w:p>
        </w:tc>
        <w:tc>
          <w:tcPr>
            <w:tcW w:w="887" w:type="dxa"/>
            <w:shd w:val="clear" w:color="auto" w:fill="auto"/>
            <w:vAlign w:val="center"/>
          </w:tcPr>
          <w:p>
            <w:pPr>
              <w:pageBreakBefore w:val="0"/>
              <w:widowControl w:val="0"/>
              <w:kinsoku/>
              <w:wordWrap/>
              <w:overflowPunct/>
              <w:topLinePunct w:val="0"/>
              <w:autoSpaceDN/>
              <w:bidi w:val="0"/>
              <w:spacing w:line="360" w:lineRule="exact"/>
              <w:ind w:left="42" w:leftChars="20" w:right="42" w:rightChars="2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24</w:t>
            </w:r>
          </w:p>
        </w:tc>
        <w:tc>
          <w:tcPr>
            <w:tcW w:w="8891" w:type="dxa"/>
            <w:shd w:val="clear" w:color="auto" w:fill="auto"/>
            <w:vAlign w:val="center"/>
          </w:tcPr>
          <w:p>
            <w:pPr>
              <w:spacing w:line="360" w:lineRule="exact"/>
              <w:jc w:val="lef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投标人自2020年1月1日</w:t>
            </w:r>
            <w:r>
              <w:rPr>
                <w:rFonts w:hint="eastAsia" w:ascii="宋体" w:hAnsi="宋体" w:eastAsia="宋体" w:cs="宋体"/>
                <w:color w:val="auto"/>
                <w:sz w:val="21"/>
                <w:szCs w:val="21"/>
                <w:highlight w:val="none"/>
                <w:lang w:val="zh-TW"/>
              </w:rPr>
              <w:t>至投标截止时间独立</w:t>
            </w:r>
            <w:r>
              <w:rPr>
                <w:rFonts w:hint="eastAsia" w:ascii="宋体" w:hAnsi="宋体" w:eastAsia="宋体" w:cs="宋体"/>
                <w:color w:val="auto"/>
                <w:sz w:val="21"/>
                <w:szCs w:val="21"/>
                <w:highlight w:val="none"/>
              </w:rPr>
              <w:t>完成过质量合格的</w:t>
            </w:r>
            <w:r>
              <w:rPr>
                <w:rFonts w:hint="eastAsia" w:ascii="宋体" w:hAnsi="宋体" w:eastAsia="宋体" w:cs="宋体"/>
                <w:color w:val="auto"/>
                <w:sz w:val="21"/>
                <w:szCs w:val="21"/>
                <w:highlight w:val="none"/>
                <w:lang w:val="zh-TW"/>
              </w:rPr>
              <w:t>类似工程业绩</w:t>
            </w:r>
            <w:r>
              <w:rPr>
                <w:rFonts w:hint="eastAsia" w:ascii="宋体" w:hAnsi="宋体" w:eastAsia="宋体" w:cs="宋体"/>
                <w:color w:val="auto"/>
                <w:sz w:val="21"/>
                <w:szCs w:val="21"/>
                <w:highlight w:val="none"/>
                <w:lang w:val="zh-TW" w:eastAsia="zh-CN"/>
              </w:rPr>
              <w:t>（</w:t>
            </w:r>
            <w:r>
              <w:rPr>
                <w:rFonts w:hint="eastAsia" w:ascii="宋体" w:hAnsi="宋体" w:eastAsia="宋体" w:cs="宋体"/>
                <w:bCs/>
                <w:color w:val="auto"/>
                <w:sz w:val="21"/>
                <w:szCs w:val="21"/>
                <w:highlight w:val="none"/>
              </w:rPr>
              <w:t>类似工程业绩是指</w:t>
            </w:r>
            <w:r>
              <w:rPr>
                <w:rFonts w:hint="eastAsia" w:ascii="宋体" w:hAnsi="宋体" w:eastAsia="宋体" w:cs="宋体"/>
                <w:bCs/>
                <w:color w:val="auto"/>
                <w:sz w:val="21"/>
                <w:szCs w:val="21"/>
                <w:highlight w:val="none"/>
                <w:lang w:val="en-US" w:eastAsia="zh-CN"/>
              </w:rPr>
              <w:t>合同</w:t>
            </w:r>
            <w:r>
              <w:rPr>
                <w:rFonts w:hint="eastAsia" w:ascii="宋体" w:hAnsi="宋体" w:eastAsia="宋体" w:cs="宋体"/>
                <w:bCs/>
                <w:color w:val="auto"/>
                <w:sz w:val="21"/>
                <w:szCs w:val="21"/>
                <w:highlight w:val="none"/>
              </w:rPr>
              <w:t>金额≥</w:t>
            </w:r>
            <w:r>
              <w:rPr>
                <w:rFonts w:hint="eastAsia" w:ascii="宋体" w:hAnsi="宋体" w:eastAsia="宋体" w:cs="宋体"/>
                <w:bCs/>
                <w:color w:val="auto"/>
                <w:sz w:val="21"/>
                <w:szCs w:val="21"/>
                <w:highlight w:val="none"/>
                <w:lang w:val="en-US" w:eastAsia="zh-CN"/>
              </w:rPr>
              <w:t>40</w:t>
            </w:r>
            <w:r>
              <w:rPr>
                <w:rFonts w:hint="eastAsia" w:ascii="宋体" w:hAnsi="宋体" w:eastAsia="宋体" w:cs="宋体"/>
                <w:bCs/>
                <w:color w:val="auto"/>
                <w:sz w:val="21"/>
                <w:szCs w:val="21"/>
                <w:highlight w:val="none"/>
              </w:rPr>
              <w:t>万元的</w:t>
            </w:r>
            <w:r>
              <w:rPr>
                <w:rFonts w:hint="eastAsia" w:ascii="宋体" w:hAnsi="宋体" w:eastAsia="宋体" w:cs="宋体"/>
                <w:color w:val="auto"/>
                <w:sz w:val="21"/>
                <w:szCs w:val="21"/>
                <w:highlight w:val="none"/>
                <w:lang w:val="zh-TW"/>
              </w:rPr>
              <w:t>建筑工程施工总承包项目</w:t>
            </w:r>
            <w:r>
              <w:rPr>
                <w:rFonts w:hint="eastAsia" w:ascii="宋体" w:hAnsi="宋体" w:eastAsia="宋体" w:cs="宋体"/>
                <w:bCs/>
                <w:color w:val="auto"/>
                <w:sz w:val="21"/>
                <w:szCs w:val="21"/>
                <w:highlight w:val="none"/>
              </w:rPr>
              <w:t>业绩</w:t>
            </w:r>
            <w:r>
              <w:rPr>
                <w:rFonts w:hint="eastAsia" w:ascii="宋体" w:hAnsi="宋体" w:eastAsia="宋体" w:cs="宋体"/>
                <w:color w:val="auto"/>
                <w:sz w:val="21"/>
                <w:szCs w:val="21"/>
                <w:highlight w:val="none"/>
                <w:lang w:val="zh-TW" w:eastAsia="zh-CN"/>
              </w:rPr>
              <w:t>）</w:t>
            </w:r>
            <w:r>
              <w:rPr>
                <w:rFonts w:hint="eastAsia" w:ascii="宋体" w:hAnsi="宋体" w:eastAsia="宋体" w:cs="宋体"/>
                <w:color w:val="auto"/>
                <w:sz w:val="21"/>
                <w:szCs w:val="21"/>
                <w:highlight w:val="none"/>
              </w:rPr>
              <w:t>，每</w:t>
            </w:r>
            <w:r>
              <w:rPr>
                <w:rFonts w:hint="eastAsia" w:ascii="宋体" w:hAnsi="宋体" w:eastAsia="宋体" w:cs="宋体"/>
                <w:color w:val="auto"/>
                <w:sz w:val="21"/>
                <w:szCs w:val="21"/>
                <w:highlight w:val="none"/>
                <w:lang w:val="en-US" w:eastAsia="zh-CN"/>
              </w:rPr>
              <w:t>提供</w:t>
            </w:r>
            <w:r>
              <w:rPr>
                <w:rFonts w:hint="eastAsia" w:ascii="宋体" w:hAnsi="宋体" w:eastAsia="宋体" w:cs="宋体"/>
                <w:color w:val="auto"/>
                <w:sz w:val="21"/>
                <w:szCs w:val="21"/>
                <w:highlight w:val="none"/>
              </w:rPr>
              <w:t>一项得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分，本项最高得</w:t>
            </w:r>
            <w:r>
              <w:rPr>
                <w:rFonts w:hint="eastAsia" w:ascii="宋体" w:hAnsi="宋体" w:eastAsia="宋体" w:cs="宋体"/>
                <w:color w:val="auto"/>
                <w:sz w:val="21"/>
                <w:szCs w:val="21"/>
                <w:highlight w:val="none"/>
                <w:lang w:val="en-US" w:eastAsia="zh-CN"/>
              </w:rPr>
              <w:t>24</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注：须提供</w:t>
            </w:r>
            <w:r>
              <w:rPr>
                <w:rFonts w:hint="eastAsia" w:ascii="宋体" w:hAnsi="宋体" w:eastAsia="宋体" w:cs="宋体"/>
                <w:color w:val="auto"/>
                <w:sz w:val="21"/>
                <w:szCs w:val="21"/>
                <w:highlight w:val="none"/>
                <w:lang w:val="zh-TW"/>
              </w:rPr>
              <w:t>中标通知书或免招标的相关证明</w:t>
            </w:r>
            <w:r>
              <w:rPr>
                <w:rFonts w:hint="eastAsia" w:ascii="宋体" w:hAnsi="宋体" w:eastAsia="宋体" w:cs="宋体"/>
                <w:color w:val="auto"/>
                <w:sz w:val="21"/>
                <w:szCs w:val="21"/>
                <w:highlight w:val="none"/>
                <w:lang w:val="zh-TW" w:eastAsia="zh-CN"/>
              </w:rPr>
              <w:t>，</w:t>
            </w:r>
            <w:r>
              <w:rPr>
                <w:rFonts w:hint="eastAsia" w:ascii="宋体" w:hAnsi="宋体" w:eastAsia="宋体" w:cs="宋体"/>
                <w:color w:val="auto"/>
                <w:sz w:val="21"/>
                <w:szCs w:val="21"/>
                <w:highlight w:val="none"/>
                <w:lang w:val="zh-TW"/>
              </w:rPr>
              <w:t>施工合同</w:t>
            </w:r>
            <w:r>
              <w:rPr>
                <w:rFonts w:hint="eastAsia" w:ascii="宋体" w:hAnsi="宋体" w:eastAsia="宋体" w:cs="宋体"/>
                <w:color w:val="auto"/>
                <w:sz w:val="21"/>
                <w:szCs w:val="21"/>
                <w:highlight w:val="none"/>
                <w:lang w:val="zh-TW" w:eastAsia="zh-CN"/>
              </w:rPr>
              <w:t>，</w:t>
            </w:r>
            <w:r>
              <w:rPr>
                <w:rFonts w:hint="eastAsia" w:ascii="宋体" w:hAnsi="宋体" w:eastAsia="宋体" w:cs="宋体"/>
                <w:color w:val="auto"/>
                <w:sz w:val="21"/>
                <w:szCs w:val="21"/>
                <w:highlight w:val="none"/>
                <w:lang w:val="zh-TW"/>
              </w:rPr>
              <w:t>竣工验收报告或竣工验收证明或工程竣工验收备案表或其他竣工验收证明材料，完成时间以竣工验收文件为准</w:t>
            </w:r>
            <w:r>
              <w:rPr>
                <w:rFonts w:hint="eastAsia" w:ascii="宋体" w:hAnsi="宋体" w:eastAsia="宋体" w:cs="宋体"/>
                <w:color w:val="auto"/>
                <w:sz w:val="21"/>
                <w:szCs w:val="21"/>
                <w:highlight w:val="none"/>
                <w:lang w:val="zh-TW" w:eastAsia="zh-CN"/>
              </w:rPr>
              <w:t>。</w:t>
            </w:r>
          </w:p>
        </w:tc>
        <w:tc>
          <w:tcPr>
            <w:tcW w:w="677"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1" w:hRule="atLeast"/>
        </w:trPr>
        <w:tc>
          <w:tcPr>
            <w:tcW w:w="1113" w:type="dxa"/>
            <w:vMerge w:val="continue"/>
            <w:shd w:val="clear" w:color="auto" w:fill="auto"/>
            <w:vAlign w:val="center"/>
          </w:tcPr>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color w:val="auto"/>
                <w:sz w:val="21"/>
                <w:szCs w:val="21"/>
                <w:highlight w:val="none"/>
              </w:rPr>
            </w:pPr>
          </w:p>
        </w:tc>
        <w:tc>
          <w:tcPr>
            <w:tcW w:w="1227" w:type="dxa"/>
            <w:shd w:val="clear" w:color="auto" w:fill="auto"/>
            <w:vAlign w:val="center"/>
          </w:tcPr>
          <w:p>
            <w:pPr>
              <w:pageBreakBefore w:val="0"/>
              <w:widowControl w:val="0"/>
              <w:kinsoku/>
              <w:wordWrap/>
              <w:overflowPunct/>
              <w:topLinePunct w:val="0"/>
              <w:autoSpaceDN/>
              <w:bidi w:val="0"/>
              <w:snapToGrid/>
              <w:spacing w:line="360" w:lineRule="exact"/>
              <w:ind w:left="42" w:leftChars="20" w:right="42" w:rightChars="2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sz w:val="21"/>
                <w:szCs w:val="21"/>
                <w:highlight w:val="none"/>
              </w:rPr>
              <w:t>拟投入本项目人员的配备情况</w:t>
            </w:r>
          </w:p>
        </w:tc>
        <w:tc>
          <w:tcPr>
            <w:tcW w:w="887" w:type="dxa"/>
            <w:shd w:val="clear" w:color="auto" w:fill="auto"/>
            <w:vAlign w:val="center"/>
          </w:tcPr>
          <w:p>
            <w:pPr>
              <w:pageBreakBefore w:val="0"/>
              <w:widowControl w:val="0"/>
              <w:kinsoku/>
              <w:wordWrap/>
              <w:overflowPunct/>
              <w:topLinePunct w:val="0"/>
              <w:autoSpaceDN/>
              <w:bidi w:val="0"/>
              <w:snapToGrid/>
              <w:spacing w:line="360" w:lineRule="exact"/>
              <w:ind w:left="42" w:leftChars="20" w:right="42" w:rightChars="20" w:firstLine="0" w:firstLineChars="0"/>
              <w:jc w:val="center"/>
              <w:textAlignment w:val="auto"/>
              <w:rPr>
                <w:rFonts w:hint="default" w:ascii="宋体" w:hAnsi="宋体" w:eastAsia="宋体" w:cs="宋体"/>
                <w:b w:val="0"/>
                <w:bCs w:val="0"/>
                <w:color w:val="auto"/>
                <w:kern w:val="2"/>
                <w:position w:val="0"/>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10</w:t>
            </w:r>
          </w:p>
        </w:tc>
        <w:tc>
          <w:tcPr>
            <w:tcW w:w="8891" w:type="dxa"/>
            <w:shd w:val="clear" w:color="auto" w:fill="auto"/>
            <w:vAlign w:val="center"/>
          </w:tcPr>
          <w:p>
            <w:pPr>
              <w:spacing w:line="36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人员项目机构配置：</w:t>
            </w:r>
          </w:p>
          <w:p>
            <w:pPr>
              <w:spacing w:line="36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(1)技术负责人1名(工程类高级或以上职称，工作经验</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 xml:space="preserve">年或以上)； </w:t>
            </w:r>
            <w:r>
              <w:rPr>
                <w:rFonts w:hint="eastAsia" w:ascii="宋体" w:hAnsi="宋体" w:eastAsia="宋体" w:cs="宋体"/>
                <w:color w:val="auto"/>
                <w:sz w:val="21"/>
                <w:szCs w:val="21"/>
                <w:highlight w:val="none"/>
                <w:lang w:val="en-US" w:eastAsia="zh-CN"/>
              </w:rPr>
              <w:t xml:space="preserve"> </w:t>
            </w:r>
          </w:p>
          <w:p>
            <w:pPr>
              <w:spacing w:line="36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 xml:space="preserve"> 一级</w:t>
            </w:r>
            <w:r>
              <w:rPr>
                <w:rFonts w:hint="eastAsia" w:ascii="宋体" w:hAnsi="宋体" w:eastAsia="宋体" w:cs="宋体"/>
                <w:color w:val="auto"/>
                <w:sz w:val="21"/>
                <w:szCs w:val="21"/>
                <w:highlight w:val="none"/>
              </w:rPr>
              <w:t>造价师1名（一级注册造价工程师执业资格证</w:t>
            </w:r>
            <w:r>
              <w:rPr>
                <w:rFonts w:hint="eastAsia" w:ascii="宋体" w:hAnsi="宋体" w:eastAsia="宋体" w:cs="宋体"/>
                <w:color w:val="auto"/>
                <w:sz w:val="21"/>
                <w:szCs w:val="21"/>
                <w:highlight w:val="none"/>
                <w:lang w:eastAsia="zh-CN"/>
              </w:rPr>
              <w:t>、</w:t>
            </w:r>
            <w:r>
              <w:rPr>
                <w:rFonts w:hint="eastAsia" w:ascii="宋体" w:hAnsi="宋体" w:eastAsia="宋体" w:cs="宋体"/>
                <w:i w:val="0"/>
                <w:iCs w:val="0"/>
                <w:caps w:val="0"/>
                <w:color w:val="auto"/>
                <w:spacing w:val="0"/>
                <w:sz w:val="20"/>
                <w:szCs w:val="20"/>
                <w:highlight w:val="none"/>
                <w:shd w:val="clear" w:fill="FFFFFF"/>
              </w:rPr>
              <w:t>造价类高级工程师或以上职称</w:t>
            </w:r>
            <w:r>
              <w:rPr>
                <w:rFonts w:hint="eastAsia" w:ascii="宋体" w:hAnsi="宋体" w:eastAsia="宋体" w:cs="宋体"/>
                <w:color w:val="auto"/>
                <w:sz w:val="21"/>
                <w:szCs w:val="21"/>
                <w:highlight w:val="none"/>
              </w:rPr>
              <w:t>，工作经验</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年或以上）；</w:t>
            </w:r>
          </w:p>
          <w:p>
            <w:pPr>
              <w:spacing w:line="36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)安全专业技术人员</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名（安全工程</w:t>
            </w:r>
            <w:r>
              <w:rPr>
                <w:rFonts w:hint="eastAsia" w:ascii="宋体" w:hAnsi="宋体" w:eastAsia="宋体" w:cs="宋体"/>
                <w:color w:val="auto"/>
                <w:sz w:val="21"/>
                <w:szCs w:val="21"/>
                <w:highlight w:val="none"/>
                <w:lang w:val="en-US" w:eastAsia="zh-CN"/>
              </w:rPr>
              <w:t>高</w:t>
            </w:r>
            <w:r>
              <w:rPr>
                <w:rFonts w:hint="eastAsia" w:ascii="宋体" w:hAnsi="宋体" w:eastAsia="宋体" w:cs="宋体"/>
                <w:color w:val="auto"/>
                <w:sz w:val="21"/>
                <w:szCs w:val="21"/>
                <w:highlight w:val="none"/>
              </w:rPr>
              <w:t>级或以上职称）；</w:t>
            </w:r>
          </w:p>
          <w:p>
            <w:pPr>
              <w:spacing w:line="36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)电气专业技术人员1名（电气</w:t>
            </w:r>
            <w:r>
              <w:rPr>
                <w:rFonts w:hint="eastAsia" w:ascii="宋体" w:hAnsi="宋体" w:eastAsia="宋体" w:cs="宋体"/>
                <w:color w:val="auto"/>
                <w:sz w:val="21"/>
                <w:szCs w:val="21"/>
                <w:highlight w:val="none"/>
                <w:lang w:val="en-US" w:eastAsia="zh-CN"/>
              </w:rPr>
              <w:t>高</w:t>
            </w:r>
            <w:r>
              <w:rPr>
                <w:rFonts w:hint="eastAsia" w:ascii="宋体" w:hAnsi="宋体" w:eastAsia="宋体" w:cs="宋体"/>
                <w:color w:val="auto"/>
                <w:sz w:val="21"/>
                <w:szCs w:val="21"/>
                <w:highlight w:val="none"/>
              </w:rPr>
              <w:t>级或以上职称）；</w:t>
            </w:r>
          </w:p>
          <w:p>
            <w:pPr>
              <w:spacing w:line="36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)材料专业技术人员1名(材料工程</w:t>
            </w:r>
            <w:r>
              <w:rPr>
                <w:rFonts w:hint="eastAsia" w:ascii="宋体" w:hAnsi="宋体" w:eastAsia="宋体" w:cs="宋体"/>
                <w:color w:val="auto"/>
                <w:sz w:val="21"/>
                <w:szCs w:val="21"/>
                <w:highlight w:val="none"/>
                <w:lang w:val="en-US" w:eastAsia="zh-CN"/>
              </w:rPr>
              <w:t>高</w:t>
            </w:r>
            <w:r>
              <w:rPr>
                <w:rFonts w:hint="eastAsia" w:ascii="宋体" w:hAnsi="宋体" w:eastAsia="宋体" w:cs="宋体"/>
                <w:color w:val="auto"/>
                <w:sz w:val="21"/>
                <w:szCs w:val="21"/>
                <w:highlight w:val="none"/>
              </w:rPr>
              <w:t>级或以上职称)；</w:t>
            </w:r>
          </w:p>
          <w:p>
            <w:pPr>
              <w:spacing w:line="36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)焊接专业技术人员1名(焊接</w:t>
            </w:r>
            <w:r>
              <w:rPr>
                <w:rFonts w:hint="eastAsia" w:ascii="宋体" w:hAnsi="宋体" w:eastAsia="宋体" w:cs="宋体"/>
                <w:color w:val="auto"/>
                <w:sz w:val="21"/>
                <w:szCs w:val="21"/>
                <w:highlight w:val="none"/>
                <w:lang w:val="en-US" w:eastAsia="zh-CN"/>
              </w:rPr>
              <w:t>高</w:t>
            </w:r>
            <w:r>
              <w:rPr>
                <w:rFonts w:hint="eastAsia" w:ascii="宋体" w:hAnsi="宋体" w:eastAsia="宋体" w:cs="宋体"/>
                <w:color w:val="auto"/>
                <w:sz w:val="21"/>
                <w:szCs w:val="21"/>
                <w:highlight w:val="none"/>
              </w:rPr>
              <w:t>级或以上职称)；</w:t>
            </w:r>
          </w:p>
          <w:p>
            <w:pPr>
              <w:spacing w:line="36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工程测量</w:t>
            </w:r>
            <w:r>
              <w:rPr>
                <w:rFonts w:hint="eastAsia" w:ascii="宋体" w:hAnsi="宋体" w:eastAsia="宋体" w:cs="宋体"/>
                <w:color w:val="auto"/>
                <w:sz w:val="21"/>
                <w:szCs w:val="21"/>
                <w:highlight w:val="none"/>
              </w:rPr>
              <w:t>专业技术人员1名(</w:t>
            </w:r>
            <w:r>
              <w:rPr>
                <w:rFonts w:hint="eastAsia" w:ascii="宋体" w:hAnsi="宋体" w:eastAsia="宋体" w:cs="宋体"/>
                <w:color w:val="auto"/>
                <w:sz w:val="21"/>
                <w:szCs w:val="21"/>
                <w:highlight w:val="none"/>
                <w:lang w:val="en-US" w:eastAsia="zh-CN"/>
              </w:rPr>
              <w:t>工程测量高</w:t>
            </w:r>
            <w:r>
              <w:rPr>
                <w:rFonts w:hint="eastAsia" w:ascii="宋体" w:hAnsi="宋体" w:eastAsia="宋体" w:cs="宋体"/>
                <w:color w:val="auto"/>
                <w:sz w:val="21"/>
                <w:szCs w:val="21"/>
                <w:highlight w:val="none"/>
              </w:rPr>
              <w:t>级或以上职称)；</w:t>
            </w:r>
          </w:p>
          <w:p>
            <w:pPr>
              <w:spacing w:line="36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)安全员</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名（工程类中级或以上职称，工作经验</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年或以上）</w:t>
            </w:r>
          </w:p>
          <w:p>
            <w:pPr>
              <w:spacing w:line="36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以上人员不得兼任，全部满足得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分，同时满足以上任意三人的，得</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分；同时满足以上任意两人的，得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分，满足以上任意一人的，得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spacing w:line="360" w:lineRule="exact"/>
              <w:jc w:val="lef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w:t>
            </w:r>
            <w:r>
              <w:rPr>
                <w:rFonts w:hint="eastAsia" w:ascii="宋体" w:hAnsi="宋体" w:eastAsia="宋体" w:cs="宋体"/>
                <w:color w:val="auto"/>
                <w:sz w:val="21"/>
                <w:szCs w:val="21"/>
                <w:highlight w:val="none"/>
              </w:rPr>
              <w:t>拟投入本项目所有人员只能担任一个岗位，不得兼任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须提供</w:t>
            </w:r>
            <w:r>
              <w:rPr>
                <w:rFonts w:hint="eastAsia" w:ascii="宋体" w:hAnsi="宋体" w:eastAsia="宋体" w:cs="宋体"/>
                <w:color w:val="auto"/>
                <w:sz w:val="21"/>
                <w:szCs w:val="21"/>
                <w:highlight w:val="none"/>
                <w:lang w:val="en-US" w:eastAsia="zh-CN"/>
              </w:rPr>
              <w:t>人员相关</w:t>
            </w:r>
            <w:r>
              <w:rPr>
                <w:rFonts w:hint="eastAsia" w:ascii="宋体" w:hAnsi="宋体" w:eastAsia="宋体" w:cs="宋体"/>
                <w:color w:val="auto"/>
                <w:sz w:val="21"/>
                <w:szCs w:val="21"/>
                <w:highlight w:val="none"/>
              </w:rPr>
              <w:t>证书、 身份证复印件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毕业证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工作</w:t>
            </w:r>
            <w:r>
              <w:rPr>
                <w:rFonts w:hint="eastAsia" w:ascii="宋体" w:hAnsi="宋体" w:eastAsia="宋体" w:cs="宋体"/>
                <w:color w:val="auto"/>
                <w:sz w:val="21"/>
                <w:szCs w:val="21"/>
                <w:highlight w:val="none"/>
              </w:rPr>
              <w:t>经验以毕业证的发证时间开始计算</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及投标人为其购买至投标截止日期近</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个月（截止投标当月的上一月份）有效的社会保险证明文件</w:t>
            </w:r>
            <w:r>
              <w:rPr>
                <w:rFonts w:hint="eastAsia" w:ascii="宋体" w:hAnsi="宋体" w:eastAsia="宋体" w:cs="宋体"/>
                <w:color w:val="auto"/>
                <w:sz w:val="21"/>
                <w:szCs w:val="21"/>
                <w:highlight w:val="none"/>
                <w:lang w:val="en-US" w:eastAsia="zh-CN"/>
              </w:rPr>
              <w:t>复印</w:t>
            </w:r>
            <w:r>
              <w:rPr>
                <w:rFonts w:hint="eastAsia" w:ascii="宋体" w:hAnsi="宋体" w:eastAsia="宋体" w:cs="宋体"/>
                <w:color w:val="auto"/>
                <w:sz w:val="21"/>
                <w:szCs w:val="21"/>
                <w:highlight w:val="none"/>
              </w:rPr>
              <w:t>件，提供不齐或不提供不得分。</w:t>
            </w:r>
          </w:p>
        </w:tc>
        <w:tc>
          <w:tcPr>
            <w:tcW w:w="677"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0" w:hRule="atLeast"/>
        </w:trPr>
        <w:tc>
          <w:tcPr>
            <w:tcW w:w="1113" w:type="dxa"/>
            <w:vMerge w:val="continue"/>
            <w:shd w:val="clear" w:color="auto" w:fill="auto"/>
            <w:vAlign w:val="center"/>
          </w:tcPr>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color w:val="auto"/>
                <w:szCs w:val="21"/>
                <w:highlight w:val="none"/>
                <w:lang w:val="en-US" w:eastAsia="zh-CN"/>
              </w:rPr>
            </w:pPr>
          </w:p>
        </w:tc>
        <w:tc>
          <w:tcPr>
            <w:tcW w:w="1227" w:type="dxa"/>
            <w:shd w:val="clear" w:color="auto" w:fill="auto"/>
            <w:vAlign w:val="center"/>
          </w:tcPr>
          <w:p>
            <w:pPr>
              <w:pageBreakBefore w:val="0"/>
              <w:widowControl w:val="0"/>
              <w:kinsoku/>
              <w:wordWrap/>
              <w:overflowPunct/>
              <w:topLinePunct w:val="0"/>
              <w:autoSpaceDN/>
              <w:bidi w:val="0"/>
              <w:snapToGrid/>
              <w:spacing w:line="360" w:lineRule="exact"/>
              <w:ind w:left="42" w:leftChars="20" w:right="42" w:rightChars="2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Times New Roman"/>
                <w:color w:val="auto"/>
                <w:szCs w:val="21"/>
                <w:highlight w:val="none"/>
              </w:rPr>
              <w:t>工程奖项</w:t>
            </w:r>
          </w:p>
        </w:tc>
        <w:tc>
          <w:tcPr>
            <w:tcW w:w="887" w:type="dxa"/>
            <w:shd w:val="clear" w:color="auto" w:fill="auto"/>
            <w:vAlign w:val="center"/>
          </w:tcPr>
          <w:p>
            <w:pPr>
              <w:pageBreakBefore w:val="0"/>
              <w:widowControl w:val="0"/>
              <w:kinsoku/>
              <w:wordWrap/>
              <w:overflowPunct/>
              <w:topLinePunct w:val="0"/>
              <w:autoSpaceDN/>
              <w:bidi w:val="0"/>
              <w:snapToGrid/>
              <w:spacing w:line="360" w:lineRule="exact"/>
              <w:ind w:left="42" w:leftChars="20" w:right="42" w:rightChars="20"/>
              <w:jc w:val="center"/>
              <w:textAlignment w:val="auto"/>
              <w:rPr>
                <w:rFonts w:hint="default" w:ascii="宋体" w:hAnsi="宋体" w:eastAsia="宋体" w:cs="宋体"/>
                <w:b w:val="0"/>
                <w:bCs w:val="0"/>
                <w:color w:val="auto"/>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8891" w:type="dxa"/>
            <w:shd w:val="clear" w:color="auto" w:fill="auto"/>
            <w:vAlign w:val="center"/>
          </w:tcPr>
          <w:p>
            <w:pPr>
              <w:spacing w:line="360" w:lineRule="exact"/>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投标人自2020年1月1日至投标截止时间获得过省级或以上工程奖项，每项得</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lang w:val="zh-CN"/>
              </w:rPr>
              <w:t>分，</w:t>
            </w:r>
            <w:r>
              <w:rPr>
                <w:rFonts w:hint="eastAsia" w:ascii="宋体" w:hAnsi="宋体" w:eastAsia="宋体" w:cs="宋体"/>
                <w:color w:val="auto"/>
                <w:sz w:val="21"/>
                <w:szCs w:val="21"/>
                <w:highlight w:val="none"/>
                <w:lang w:val="en-US" w:eastAsia="zh-CN"/>
              </w:rPr>
              <w:t>最高得9分</w:t>
            </w:r>
            <w:r>
              <w:rPr>
                <w:rFonts w:hint="eastAsia" w:ascii="宋体" w:hAnsi="宋体" w:eastAsia="宋体" w:cs="宋体"/>
                <w:color w:val="auto"/>
                <w:sz w:val="21"/>
                <w:szCs w:val="21"/>
                <w:highlight w:val="none"/>
                <w:lang w:val="zh-CN"/>
              </w:rPr>
              <w:t>；获得过市级（含副省级）工程奖项，每项得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r>
              <w:rPr>
                <w:rFonts w:hint="eastAsia" w:ascii="宋体" w:hAnsi="宋体" w:eastAsia="宋体" w:cs="宋体"/>
                <w:color w:val="auto"/>
                <w:sz w:val="21"/>
                <w:szCs w:val="21"/>
                <w:highlight w:val="none"/>
                <w:lang w:val="en-US" w:eastAsia="zh-CN"/>
              </w:rPr>
              <w:t>最高得6分</w:t>
            </w:r>
            <w:r>
              <w:rPr>
                <w:rFonts w:hint="eastAsia" w:ascii="宋体" w:hAnsi="宋体" w:eastAsia="宋体" w:cs="宋体"/>
                <w:color w:val="auto"/>
                <w:sz w:val="21"/>
                <w:szCs w:val="21"/>
                <w:highlight w:val="none"/>
                <w:lang w:val="zh-CN"/>
              </w:rPr>
              <w:t>。</w:t>
            </w:r>
          </w:p>
          <w:p>
            <w:pPr>
              <w:spacing w:line="36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不符合上述条件或未提供相关证明材料的不得分，本项最高累计得9分。</w:t>
            </w:r>
          </w:p>
          <w:p>
            <w:pPr>
              <w:spacing w:line="360" w:lineRule="exact"/>
              <w:jc w:val="lef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注：工</w:t>
            </w:r>
            <w:r>
              <w:rPr>
                <w:rFonts w:hint="eastAsia" w:ascii="宋体" w:hAnsi="宋体" w:eastAsia="宋体" w:cs="宋体"/>
                <w:color w:val="auto"/>
                <w:sz w:val="21"/>
                <w:szCs w:val="21"/>
                <w:highlight w:val="none"/>
                <w:lang w:val="zh-CN"/>
              </w:rPr>
              <w:t>程获奖国家级奖项包括但不限于：中国建设工程鲁班奖、国家优质工程（金质奖）、国家优质工程（银质奖）、国家优质工程奖</w:t>
            </w:r>
            <w:bookmarkStart w:id="83" w:name="_GoBack"/>
            <w:bookmarkEnd w:id="83"/>
            <w:r>
              <w:rPr>
                <w:rFonts w:hint="eastAsia" w:ascii="宋体" w:hAnsi="宋体" w:eastAsia="宋体" w:cs="宋体"/>
                <w:color w:val="auto"/>
                <w:sz w:val="21"/>
                <w:szCs w:val="21"/>
                <w:highlight w:val="none"/>
                <w:lang w:val="zh-CN"/>
              </w:rPr>
              <w:t>、中国土木工程詹天佑奖；省级奖项包括但不限于工程质量类获奖、建筑类工程奖；市级奖项包括但不限于工程质量类获奖、建筑类工程奖。其他非房建工程项目奖项，如路桥、铁路、水利、电力、化工、冶金、QC、市政等项目奖项不参与计分，奖项只计算承建单位，不含参建单位。</w:t>
            </w:r>
            <w:r>
              <w:rPr>
                <w:rFonts w:hint="eastAsia" w:ascii="宋体" w:hAnsi="宋体" w:eastAsia="宋体" w:cs="宋体"/>
                <w:i w:val="0"/>
                <w:iCs w:val="0"/>
                <w:caps w:val="0"/>
                <w:color w:val="auto"/>
                <w:spacing w:val="0"/>
                <w:sz w:val="21"/>
                <w:szCs w:val="21"/>
                <w:highlight w:val="none"/>
                <w:shd w:val="clear" w:fill="FFFFFF"/>
              </w:rPr>
              <w:t>需提供获奖证书扫描件及获奖证书公示的网页截图。同一项目获奖按最高级别奖项只计一次得分，时间以获奖证书发证日期为准。</w:t>
            </w:r>
          </w:p>
        </w:tc>
        <w:tc>
          <w:tcPr>
            <w:tcW w:w="677"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2" w:hRule="atLeast"/>
        </w:trPr>
        <w:tc>
          <w:tcPr>
            <w:tcW w:w="1113" w:type="dxa"/>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rPr>
            </w:pPr>
          </w:p>
        </w:tc>
        <w:tc>
          <w:tcPr>
            <w:tcW w:w="1227" w:type="dxa"/>
            <w:shd w:val="clear" w:color="auto" w:fill="auto"/>
            <w:vAlign w:val="center"/>
          </w:tcPr>
          <w:p>
            <w:pPr>
              <w:pageBreakBefore w:val="0"/>
              <w:widowControl w:val="0"/>
              <w:kinsoku/>
              <w:wordWrap/>
              <w:overflowPunct/>
              <w:topLinePunct w:val="0"/>
              <w:autoSpaceDN/>
              <w:bidi w:val="0"/>
              <w:snapToGrid/>
              <w:spacing w:line="360" w:lineRule="exact"/>
              <w:ind w:left="42" w:leftChars="20" w:right="42" w:rightChars="20"/>
              <w:jc w:val="center"/>
              <w:textAlignment w:val="auto"/>
              <w:rPr>
                <w:rFonts w:hint="eastAsia" w:ascii="宋体" w:hAnsi="宋体" w:eastAsia="宋体" w:cs="宋体"/>
                <w:color w:val="auto"/>
                <w:spacing w:val="-5"/>
                <w:szCs w:val="21"/>
                <w:highlight w:val="none"/>
              </w:rPr>
            </w:pPr>
            <w:r>
              <w:rPr>
                <w:rFonts w:hint="eastAsia" w:ascii="宋体" w:hAnsi="宋体" w:eastAsia="宋体" w:cs="宋体"/>
                <w:color w:val="auto"/>
                <w:szCs w:val="21"/>
                <w:highlight w:val="none"/>
              </w:rPr>
              <w:t>第三方评价</w:t>
            </w:r>
          </w:p>
        </w:tc>
        <w:tc>
          <w:tcPr>
            <w:tcW w:w="887" w:type="dxa"/>
            <w:shd w:val="clear" w:color="auto" w:fill="auto"/>
            <w:vAlign w:val="center"/>
          </w:tcPr>
          <w:p>
            <w:pPr>
              <w:spacing w:line="360" w:lineRule="exact"/>
              <w:jc w:val="center"/>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zCs w:val="21"/>
                <w:highlight w:val="none"/>
                <w:lang w:val="en-US" w:eastAsia="zh-CN"/>
              </w:rPr>
              <w:t>7</w:t>
            </w:r>
          </w:p>
        </w:tc>
        <w:tc>
          <w:tcPr>
            <w:tcW w:w="8891" w:type="dxa"/>
            <w:shd w:val="clear" w:color="auto" w:fill="auto"/>
            <w:vAlign w:val="center"/>
          </w:tcPr>
          <w:p>
            <w:pPr>
              <w:spacing w:line="360" w:lineRule="exact"/>
              <w:jc w:val="left"/>
              <w:rPr>
                <w:rFonts w:hint="eastAsia" w:ascii="宋体" w:hAnsi="宋体" w:eastAsia="宋体" w:cs="宋体"/>
                <w:color w:val="auto"/>
                <w:sz w:val="21"/>
                <w:szCs w:val="21"/>
                <w:highlight w:val="none"/>
                <w:lang w:val="zh-TW" w:eastAsia="zh-CN"/>
              </w:rPr>
            </w:pPr>
            <w:r>
              <w:rPr>
                <w:rFonts w:hint="eastAsia" w:ascii="宋体" w:hAnsi="宋体" w:eastAsia="宋体" w:cs="宋体"/>
                <w:color w:val="auto"/>
                <w:sz w:val="21"/>
                <w:szCs w:val="21"/>
                <w:highlight w:val="none"/>
                <w:lang w:val="zh-TW" w:eastAsia="zh-CN"/>
              </w:rPr>
              <w:t>投标人具有</w:t>
            </w:r>
            <w:r>
              <w:rPr>
                <w:rFonts w:hint="eastAsia" w:ascii="宋体" w:hAnsi="宋体" w:eastAsia="宋体" w:cs="宋体"/>
                <w:color w:val="auto"/>
                <w:sz w:val="21"/>
                <w:szCs w:val="21"/>
                <w:highlight w:val="none"/>
                <w:lang w:val="en-US" w:eastAsia="zh-CN"/>
              </w:rPr>
              <w:t>有效的</w:t>
            </w:r>
            <w:r>
              <w:rPr>
                <w:rFonts w:hint="eastAsia" w:ascii="宋体" w:hAnsi="宋体" w:eastAsia="宋体" w:cs="宋体"/>
                <w:color w:val="auto"/>
                <w:sz w:val="21"/>
                <w:szCs w:val="21"/>
                <w:highlight w:val="none"/>
                <w:lang w:val="zh-TW" w:eastAsia="zh-CN"/>
              </w:rPr>
              <w:t>质量管理体系认证、职业健康安全管理体系认证、环境管理体系认证、工程绿色施工企业评价体系认证、工程施工安全标准化体系认证、工程施工现场环境与卫生控制规范认证、工程质量评价体系认证证书，</w:t>
            </w:r>
            <w:r>
              <w:rPr>
                <w:rFonts w:hint="eastAsia" w:ascii="宋体" w:hAnsi="宋体" w:eastAsia="宋体" w:cs="宋体"/>
                <w:color w:val="auto"/>
                <w:kern w:val="0"/>
                <w:sz w:val="21"/>
                <w:szCs w:val="21"/>
                <w:highlight w:val="none"/>
                <w:lang w:val="en-US" w:eastAsia="zh-CN" w:bidi="ar-SA"/>
              </w:rPr>
              <w:t>每提供一</w:t>
            </w:r>
            <w:r>
              <w:rPr>
                <w:rFonts w:hint="eastAsia" w:ascii="宋体" w:hAnsi="宋体" w:eastAsia="宋体" w:cs="宋体"/>
                <w:b w:val="0"/>
                <w:bCs w:val="0"/>
                <w:color w:val="auto"/>
                <w:kern w:val="0"/>
                <w:sz w:val="21"/>
                <w:szCs w:val="21"/>
                <w:highlight w:val="none"/>
                <w:lang w:val="en-US" w:eastAsia="zh-CN" w:bidi="ar-SA"/>
              </w:rPr>
              <w:t>个证书</w:t>
            </w:r>
            <w:r>
              <w:rPr>
                <w:rFonts w:hint="eastAsia" w:ascii="宋体" w:hAnsi="宋体" w:eastAsia="宋体" w:cs="宋体"/>
                <w:b w:val="0"/>
                <w:bCs w:val="0"/>
                <w:color w:val="auto"/>
                <w:kern w:val="0"/>
                <w:sz w:val="21"/>
                <w:szCs w:val="21"/>
                <w:highlight w:val="none"/>
                <w:shd w:val="clear"/>
                <w:lang w:val="en-US" w:eastAsia="zh-CN" w:bidi="ar-SA"/>
              </w:rPr>
              <w:t>得1分</w:t>
            </w:r>
            <w:r>
              <w:rPr>
                <w:rFonts w:hint="eastAsia" w:ascii="宋体" w:hAnsi="宋体" w:eastAsia="宋体" w:cs="宋体"/>
                <w:b w:val="0"/>
                <w:bCs w:val="0"/>
                <w:color w:val="auto"/>
                <w:kern w:val="0"/>
                <w:sz w:val="21"/>
                <w:szCs w:val="21"/>
                <w:highlight w:val="none"/>
                <w:lang w:val="en-US" w:eastAsia="zh-CN" w:bidi="ar-SA"/>
              </w:rPr>
              <w:t>，本项最高</w:t>
            </w:r>
            <w:r>
              <w:rPr>
                <w:rFonts w:hint="eastAsia" w:ascii="宋体" w:hAnsi="宋体" w:eastAsia="宋体" w:cs="宋体"/>
                <w:b w:val="0"/>
                <w:bCs w:val="0"/>
                <w:color w:val="auto"/>
                <w:kern w:val="0"/>
                <w:sz w:val="21"/>
                <w:szCs w:val="21"/>
                <w:highlight w:val="none"/>
                <w:shd w:val="clear"/>
                <w:lang w:val="en-US" w:eastAsia="zh-CN" w:bidi="ar-SA"/>
              </w:rPr>
              <w:t>得7分</w:t>
            </w:r>
            <w:r>
              <w:rPr>
                <w:rFonts w:hint="eastAsia" w:ascii="宋体" w:hAnsi="宋体" w:eastAsia="宋体" w:cs="宋体"/>
                <w:b w:val="0"/>
                <w:bCs w:val="0"/>
                <w:color w:val="auto"/>
                <w:kern w:val="0"/>
                <w:sz w:val="21"/>
                <w:szCs w:val="21"/>
                <w:highlight w:val="none"/>
                <w:lang w:val="en-US" w:eastAsia="zh-CN" w:bidi="ar-SA"/>
              </w:rPr>
              <w:t>。</w:t>
            </w:r>
          </w:p>
          <w:p>
            <w:pPr>
              <w:spacing w:line="360" w:lineRule="exact"/>
              <w:jc w:val="left"/>
              <w:rPr>
                <w:rFonts w:hint="eastAsia" w:ascii="宋体" w:hAnsi="宋体" w:eastAsia="宋体" w:cs="宋体"/>
                <w:color w:val="auto"/>
                <w:spacing w:val="-5"/>
                <w:szCs w:val="21"/>
                <w:highlight w:val="none"/>
                <w:lang w:val="en-US" w:eastAsia="zh-CN"/>
              </w:rPr>
            </w:pPr>
            <w:r>
              <w:rPr>
                <w:rFonts w:hint="eastAsia" w:ascii="宋体" w:hAnsi="宋体" w:eastAsia="宋体" w:cs="Times New Roman"/>
                <w:color w:val="auto"/>
                <w:szCs w:val="21"/>
                <w:highlight w:val="none"/>
              </w:rPr>
              <w:t>注:</w:t>
            </w:r>
            <w:r>
              <w:rPr>
                <w:rFonts w:hint="eastAsia" w:ascii="宋体" w:hAnsi="宋体" w:eastAsia="宋体" w:cs="宋体"/>
                <w:i w:val="0"/>
                <w:iCs w:val="0"/>
                <w:caps w:val="0"/>
                <w:color w:val="auto"/>
                <w:spacing w:val="0"/>
                <w:sz w:val="21"/>
                <w:szCs w:val="21"/>
                <w:highlight w:val="none"/>
                <w:u w:val="none"/>
                <w:shd w:val="clear" w:fill="FFFFFF"/>
              </w:rPr>
              <w:t>需提供体系证书</w:t>
            </w:r>
            <w:r>
              <w:rPr>
                <w:rFonts w:hint="eastAsia" w:ascii="宋体" w:hAnsi="宋体" w:eastAsia="宋体" w:cs="宋体"/>
                <w:i w:val="0"/>
                <w:iCs w:val="0"/>
                <w:caps w:val="0"/>
                <w:color w:val="auto"/>
                <w:spacing w:val="0"/>
                <w:sz w:val="21"/>
                <w:szCs w:val="21"/>
                <w:highlight w:val="none"/>
                <w:u w:val="none"/>
                <w:shd w:val="clear" w:fill="FFFFFF"/>
                <w:lang w:val="en-US" w:eastAsia="zh-CN"/>
              </w:rPr>
              <w:t>复印</w:t>
            </w:r>
            <w:r>
              <w:rPr>
                <w:rFonts w:hint="eastAsia" w:ascii="宋体" w:hAnsi="宋体" w:eastAsia="宋体" w:cs="宋体"/>
                <w:i w:val="0"/>
                <w:iCs w:val="0"/>
                <w:caps w:val="0"/>
                <w:color w:val="auto"/>
                <w:spacing w:val="0"/>
                <w:sz w:val="21"/>
                <w:szCs w:val="21"/>
                <w:highlight w:val="none"/>
                <w:u w:val="none"/>
                <w:shd w:val="clear" w:fill="FFFFFF"/>
              </w:rPr>
              <w:t>件及在国家认证认可监督管理委员会（http://www.cnca.gov.cn/）网站查询结果截图并加盖投标单位</w:t>
            </w:r>
            <w:r>
              <w:rPr>
                <w:rFonts w:hint="eastAsia" w:ascii="宋体" w:hAnsi="宋体" w:eastAsia="宋体" w:cs="宋体"/>
                <w:i w:val="0"/>
                <w:iCs w:val="0"/>
                <w:caps w:val="0"/>
                <w:color w:val="auto"/>
                <w:spacing w:val="0"/>
                <w:sz w:val="21"/>
                <w:szCs w:val="21"/>
                <w:highlight w:val="none"/>
                <w:u w:val="none"/>
                <w:shd w:val="clear" w:fill="FFFFFF"/>
                <w:lang w:val="en-US" w:eastAsia="zh-CN"/>
              </w:rPr>
              <w:t>公章</w:t>
            </w:r>
            <w:r>
              <w:rPr>
                <w:rFonts w:hint="eastAsia" w:ascii="宋体" w:hAnsi="宋体" w:eastAsia="宋体" w:cs="宋体"/>
                <w:i w:val="0"/>
                <w:iCs w:val="0"/>
                <w:caps w:val="0"/>
                <w:color w:val="auto"/>
                <w:spacing w:val="0"/>
                <w:sz w:val="21"/>
                <w:szCs w:val="21"/>
                <w:highlight w:val="none"/>
                <w:u w:val="none"/>
                <w:shd w:val="clear" w:fill="FFFFFF"/>
              </w:rPr>
              <w:t>，并提供证书相关的网页截图，已失效或撤销或无提供的不得分。</w:t>
            </w:r>
          </w:p>
        </w:tc>
        <w:tc>
          <w:tcPr>
            <w:tcW w:w="677"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9" w:hRule="atLeast"/>
        </w:trPr>
        <w:tc>
          <w:tcPr>
            <w:tcW w:w="1113"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lang w:eastAsia="zh-CN"/>
              </w:rPr>
            </w:pPr>
          </w:p>
          <w:p>
            <w:pPr>
              <w:snapToGrid w:val="0"/>
              <w:ind w:left="-2" w:leftChars="-1"/>
              <w:jc w:val="center"/>
              <w:rPr>
                <w:rFonts w:hint="eastAsia" w:ascii="宋体" w:hAnsi="宋体" w:eastAsia="宋体" w:cs="宋体"/>
                <w:color w:val="auto"/>
                <w:szCs w:val="21"/>
                <w:highlight w:val="none"/>
                <w:lang w:eastAsia="zh-CN"/>
              </w:rPr>
            </w:pPr>
          </w:p>
          <w:p>
            <w:pPr>
              <w:snapToGrid w:val="0"/>
              <w:ind w:left="0" w:left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pPr>
              <w:ind w:left="-2" w:leftChars="-1"/>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50分</w:t>
            </w:r>
            <w:r>
              <w:rPr>
                <w:rFonts w:hint="eastAsia" w:ascii="宋体" w:hAnsi="宋体" w:eastAsia="宋体" w:cs="宋体"/>
                <w:b w:val="0"/>
                <w:bCs w:val="0"/>
                <w:color w:val="auto"/>
                <w:szCs w:val="21"/>
                <w:highlight w:val="none"/>
                <w:lang w:eastAsia="zh-CN"/>
              </w:rPr>
              <w:t>）</w:t>
            </w:r>
          </w:p>
          <w:p>
            <w:pPr>
              <w:snapToGrid w:val="0"/>
              <w:ind w:left="-2" w:leftChars="-1"/>
              <w:jc w:val="center"/>
              <w:rPr>
                <w:rFonts w:hint="eastAsia" w:ascii="宋体" w:hAnsi="宋体" w:eastAsia="宋体" w:cs="宋体"/>
                <w:b w:val="0"/>
                <w:bCs w:val="0"/>
                <w:color w:val="auto"/>
                <w:sz w:val="21"/>
                <w:szCs w:val="21"/>
                <w:highlight w:val="none"/>
              </w:rPr>
            </w:pPr>
          </w:p>
        </w:tc>
        <w:tc>
          <w:tcPr>
            <w:tcW w:w="1227" w:type="dxa"/>
            <w:shd w:val="clear" w:color="auto" w:fill="auto"/>
            <w:vAlign w:val="center"/>
          </w:tcPr>
          <w:p>
            <w:pPr>
              <w:autoSpaceDE w:val="0"/>
              <w:autoSpaceDN w:val="0"/>
              <w:adjustRightInd w:val="0"/>
              <w:snapToGrid w:val="0"/>
              <w:jc w:val="center"/>
              <w:rPr>
                <w:rFonts w:hint="eastAsia" w:ascii="宋体" w:hAnsi="宋体" w:eastAsia="宋体" w:cs="宋体"/>
                <w:b w:val="0"/>
                <w:bCs w:val="0"/>
                <w:color w:val="auto"/>
                <w:sz w:val="21"/>
                <w:szCs w:val="21"/>
                <w:highlight w:val="none"/>
              </w:rPr>
            </w:pPr>
            <w:r>
              <w:rPr>
                <w:rFonts w:hint="eastAsia" w:ascii="宋体" w:hAnsi="宋体" w:eastAsia="宋体" w:cs="宋体"/>
                <w:color w:val="auto"/>
                <w:spacing w:val="-5"/>
                <w:szCs w:val="21"/>
                <w:highlight w:val="none"/>
              </w:rPr>
              <w:t>对项目的理解程度、重点难点分析情况</w:t>
            </w:r>
          </w:p>
        </w:tc>
        <w:tc>
          <w:tcPr>
            <w:tcW w:w="887" w:type="dxa"/>
            <w:shd w:val="clear" w:color="auto" w:fill="auto"/>
            <w:vAlign w:val="center"/>
          </w:tcPr>
          <w:p>
            <w:pPr>
              <w:autoSpaceDE w:val="0"/>
              <w:autoSpaceDN w:val="0"/>
              <w:adjustRightInd w:val="0"/>
              <w:snapToGrid w:val="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color w:val="auto"/>
                <w:spacing w:val="-5"/>
                <w:szCs w:val="21"/>
                <w:highlight w:val="none"/>
                <w:lang w:val="en-US" w:eastAsia="zh-CN"/>
              </w:rPr>
              <w:t>10</w:t>
            </w:r>
          </w:p>
        </w:tc>
        <w:tc>
          <w:tcPr>
            <w:tcW w:w="8891" w:type="dxa"/>
            <w:shd w:val="clear" w:color="auto" w:fill="auto"/>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1、优：对项目的理解程度、特点、实施难点、易损多发维修点清楚，有针对性，得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2、中：对项目的理解程度、特点、实施难点、易损多发维修点较清楚，较有针对性，得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3、差：对项目的理解程度、特点、实施难点、易损多发维修点了解一般，针对性一般，得</w:t>
            </w:r>
            <w:r>
              <w:rPr>
                <w:rFonts w:hint="eastAsia" w:ascii="宋体" w:hAnsi="宋体" w:eastAsia="宋体" w:cs="宋体"/>
                <w:color w:val="auto"/>
                <w:spacing w:val="-5"/>
                <w:szCs w:val="21"/>
                <w:highlight w:val="none"/>
                <w:lang w:val="en-US" w:eastAsia="zh-CN"/>
              </w:rPr>
              <w:t>1</w:t>
            </w:r>
            <w:r>
              <w:rPr>
                <w:rFonts w:hint="eastAsia" w:ascii="宋体" w:hAnsi="宋体" w:eastAsia="宋体" w:cs="宋体"/>
                <w:color w:val="auto"/>
                <w:spacing w:val="-5"/>
                <w:szCs w:val="21"/>
                <w:highlight w:val="none"/>
              </w:rPr>
              <w:t>-</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pacing w:val="-5"/>
                <w:szCs w:val="21"/>
                <w:highlight w:val="none"/>
                <w:lang w:val="en-US" w:eastAsia="zh-CN"/>
              </w:rPr>
              <w:t>不</w:t>
            </w:r>
            <w:r>
              <w:rPr>
                <w:rFonts w:hint="eastAsia" w:ascii="宋体" w:hAnsi="宋体" w:eastAsia="宋体" w:cs="宋体"/>
                <w:color w:val="auto"/>
                <w:spacing w:val="-5"/>
                <w:szCs w:val="21"/>
                <w:highlight w:val="none"/>
              </w:rPr>
              <w:t>提供方案不得分。</w:t>
            </w:r>
          </w:p>
        </w:tc>
        <w:tc>
          <w:tcPr>
            <w:tcW w:w="677"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5" w:hRule="atLeast"/>
        </w:trPr>
        <w:tc>
          <w:tcPr>
            <w:tcW w:w="1113" w:type="dxa"/>
            <w:vMerge w:val="continue"/>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rPr>
            </w:pPr>
          </w:p>
        </w:tc>
        <w:tc>
          <w:tcPr>
            <w:tcW w:w="1227" w:type="dxa"/>
            <w:shd w:val="clear" w:color="auto" w:fill="auto"/>
            <w:vAlign w:val="center"/>
          </w:tcPr>
          <w:p>
            <w:pPr>
              <w:autoSpaceDE w:val="0"/>
              <w:autoSpaceDN w:val="0"/>
              <w:adjustRightInd w:val="0"/>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5"/>
                <w:szCs w:val="21"/>
                <w:highlight w:val="none"/>
              </w:rPr>
              <w:t>项目实施方案</w:t>
            </w:r>
          </w:p>
        </w:tc>
        <w:tc>
          <w:tcPr>
            <w:tcW w:w="887" w:type="dxa"/>
            <w:shd w:val="clear" w:color="auto" w:fill="auto"/>
            <w:vAlign w:val="center"/>
          </w:tcPr>
          <w:p>
            <w:pPr>
              <w:autoSpaceDE w:val="0"/>
              <w:autoSpaceDN w:val="0"/>
              <w:adjustRightInd w:val="0"/>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5"/>
                <w:szCs w:val="21"/>
                <w:highlight w:val="none"/>
                <w:lang w:val="en-US" w:eastAsia="zh-CN"/>
              </w:rPr>
              <w:t>10</w:t>
            </w:r>
          </w:p>
        </w:tc>
        <w:tc>
          <w:tcPr>
            <w:tcW w:w="8891" w:type="dxa"/>
            <w:shd w:val="clear" w:color="auto" w:fill="auto"/>
            <w:vAlign w:val="center"/>
          </w:tcPr>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综合评价投标人实施方案（包括但不限于现场作业管理方案及措施、现场文明施工方案及措施、工期保证方案及措施、方案及承诺、施工现场的清运方案及措施、现场工作人员操作规范实施方案等）、投入本项目机械设备情况：</w:t>
            </w:r>
          </w:p>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1.优：方案内容齐全，措施有效可行、具有针对性，承诺详细具体，能满足本项目需求，得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zCs w:val="21"/>
                <w:highlight w:val="none"/>
              </w:rPr>
              <w:t>分；</w:t>
            </w:r>
          </w:p>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2.良：方案内容较齐全，措施较有效可行、具有针对性，承诺较详细具体，基本满足本项目需求，得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zCs w:val="21"/>
                <w:highlight w:val="none"/>
              </w:rPr>
              <w:t>分；</w:t>
            </w:r>
          </w:p>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3.差：方案内容有缺漏，措施较有效可行、针对性一般，承诺较详细，较能满足本项目需求，得</w:t>
            </w:r>
            <w:r>
              <w:rPr>
                <w:rFonts w:hint="eastAsia" w:ascii="宋体" w:hAnsi="宋体" w:eastAsia="宋体" w:cs="宋体"/>
                <w:color w:val="auto"/>
                <w:spacing w:val="-5"/>
                <w:szCs w:val="21"/>
                <w:highlight w:val="none"/>
                <w:lang w:val="en-US" w:eastAsia="zh-CN"/>
              </w:rPr>
              <w:t>1</w:t>
            </w:r>
            <w:r>
              <w:rPr>
                <w:rFonts w:hint="eastAsia" w:ascii="宋体" w:hAnsi="宋体" w:eastAsia="宋体" w:cs="宋体"/>
                <w:color w:val="auto"/>
                <w:spacing w:val="-5"/>
                <w:szCs w:val="21"/>
                <w:highlight w:val="none"/>
              </w:rPr>
              <w:t>-</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zCs w:val="21"/>
                <w:highlight w:val="none"/>
              </w:rPr>
              <w:t>分；</w:t>
            </w:r>
          </w:p>
          <w:p>
            <w:pPr>
              <w:autoSpaceDE w:val="0"/>
              <w:autoSpaceDN w:val="0"/>
              <w:adjustRightInd w:val="0"/>
              <w:snapToGrid w:val="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Cs w:val="21"/>
                <w:highlight w:val="none"/>
              </w:rPr>
              <w:t>不提供方案不得分。</w:t>
            </w:r>
          </w:p>
        </w:tc>
        <w:tc>
          <w:tcPr>
            <w:tcW w:w="677"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9" w:hRule="atLeast"/>
        </w:trPr>
        <w:tc>
          <w:tcPr>
            <w:tcW w:w="1113" w:type="dxa"/>
            <w:vMerge w:val="continue"/>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rPr>
            </w:pPr>
          </w:p>
        </w:tc>
        <w:tc>
          <w:tcPr>
            <w:tcW w:w="1227" w:type="dxa"/>
            <w:shd w:val="clear" w:color="auto" w:fill="auto"/>
            <w:vAlign w:val="center"/>
          </w:tcPr>
          <w:p>
            <w:pPr>
              <w:autoSpaceDE w:val="0"/>
              <w:autoSpaceDN w:val="0"/>
              <w:adjustRightInd w:val="0"/>
              <w:snapToGrid w:val="0"/>
              <w:jc w:val="center"/>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质量保障措施</w:t>
            </w:r>
          </w:p>
          <w:p>
            <w:pPr>
              <w:autoSpaceDE w:val="0"/>
              <w:autoSpaceDN w:val="0"/>
              <w:adjustRightInd w:val="0"/>
              <w:snapToGrid w:val="0"/>
              <w:jc w:val="center"/>
              <w:rPr>
                <w:rFonts w:hint="eastAsia" w:ascii="宋体" w:hAnsi="宋体" w:eastAsia="宋体" w:cs="宋体"/>
                <w:color w:val="auto"/>
                <w:kern w:val="2"/>
                <w:sz w:val="21"/>
                <w:szCs w:val="21"/>
                <w:highlight w:val="none"/>
                <w:lang w:val="en-US" w:eastAsia="zh-CN" w:bidi="ar-SA"/>
              </w:rPr>
            </w:pPr>
          </w:p>
        </w:tc>
        <w:tc>
          <w:tcPr>
            <w:tcW w:w="887" w:type="dxa"/>
            <w:shd w:val="clear" w:color="auto" w:fill="auto"/>
            <w:vAlign w:val="center"/>
          </w:tcPr>
          <w:p>
            <w:pPr>
              <w:autoSpaceDE w:val="0"/>
              <w:autoSpaceDN w:val="0"/>
              <w:adjustRightInd w:val="0"/>
              <w:snapToGrid w:val="0"/>
              <w:jc w:val="center"/>
              <w:rPr>
                <w:rFonts w:hint="default" w:ascii="宋体" w:hAnsi="宋体" w:eastAsia="宋体" w:cs="宋体"/>
                <w:b w:val="0"/>
                <w:color w:val="auto"/>
                <w:kern w:val="2"/>
                <w:sz w:val="21"/>
                <w:szCs w:val="21"/>
                <w:highlight w:val="none"/>
                <w:vertAlign w:val="baseline"/>
                <w:lang w:val="en-US" w:eastAsia="zh-CN" w:bidi="ar-SA"/>
              </w:rPr>
            </w:pPr>
            <w:r>
              <w:rPr>
                <w:rFonts w:hint="eastAsia" w:ascii="宋体" w:hAnsi="宋体" w:eastAsia="宋体" w:cs="宋体"/>
                <w:color w:val="auto"/>
                <w:spacing w:val="-5"/>
                <w:szCs w:val="21"/>
                <w:highlight w:val="none"/>
                <w:lang w:val="en-US" w:eastAsia="zh-CN"/>
              </w:rPr>
              <w:t>10</w:t>
            </w:r>
          </w:p>
        </w:tc>
        <w:tc>
          <w:tcPr>
            <w:tcW w:w="8891" w:type="dxa"/>
            <w:shd w:val="clear" w:color="auto" w:fill="auto"/>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1、优：项目质量措施保证目标明确、方案详细，可行性强，有明确的质量承诺， 表述清晰、完整、合理，得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2、中：项目质量措施保证目标较明确、方案较 详细、可行较强，有较明确的质量承诺，表述较清晰、较完整、较合理， 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3、差：项目质量措施保证目标不明确、方案简单、可行性较低，质量承诺表述不够清晰、不够合理，得</w:t>
            </w:r>
            <w:r>
              <w:rPr>
                <w:rFonts w:hint="eastAsia" w:ascii="宋体" w:hAnsi="宋体" w:eastAsia="宋体" w:cs="宋体"/>
                <w:color w:val="auto"/>
                <w:spacing w:val="-5"/>
                <w:szCs w:val="21"/>
                <w:highlight w:val="none"/>
                <w:lang w:val="en-US" w:eastAsia="zh-CN"/>
              </w:rPr>
              <w:t>1</w:t>
            </w:r>
            <w:r>
              <w:rPr>
                <w:rFonts w:hint="eastAsia" w:ascii="宋体" w:hAnsi="宋体" w:eastAsia="宋体" w:cs="宋体"/>
                <w:color w:val="auto"/>
                <w:spacing w:val="-5"/>
                <w:szCs w:val="21"/>
                <w:highlight w:val="none"/>
              </w:rPr>
              <w:t>-</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5"/>
                <w:szCs w:val="21"/>
                <w:highlight w:val="none"/>
                <w:lang w:val="en-US" w:eastAsia="zh-CN"/>
              </w:rPr>
              <w:t>不</w:t>
            </w:r>
            <w:r>
              <w:rPr>
                <w:rFonts w:hint="eastAsia" w:ascii="宋体" w:hAnsi="宋体" w:eastAsia="宋体" w:cs="宋体"/>
                <w:color w:val="auto"/>
                <w:spacing w:val="-5"/>
                <w:szCs w:val="21"/>
                <w:highlight w:val="none"/>
              </w:rPr>
              <w:t>提供方案则不得分。</w:t>
            </w:r>
          </w:p>
        </w:tc>
        <w:tc>
          <w:tcPr>
            <w:tcW w:w="677"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47" w:hRule="atLeast"/>
        </w:trPr>
        <w:tc>
          <w:tcPr>
            <w:tcW w:w="1113" w:type="dxa"/>
            <w:vMerge w:val="continue"/>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rPr>
            </w:pPr>
          </w:p>
        </w:tc>
        <w:tc>
          <w:tcPr>
            <w:tcW w:w="1227" w:type="dxa"/>
            <w:shd w:val="clear" w:color="auto" w:fill="auto"/>
            <w:vAlign w:val="center"/>
          </w:tcPr>
          <w:p>
            <w:pPr>
              <w:autoSpaceDE w:val="0"/>
              <w:autoSpaceDN w:val="0"/>
              <w:adjustRightInd w:val="0"/>
              <w:snapToGrid w:val="0"/>
              <w:jc w:val="center"/>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安全生产管理</w:t>
            </w:r>
          </w:p>
          <w:p>
            <w:pPr>
              <w:snapToGrid w:val="0"/>
              <w:ind w:left="-2" w:leftChars="-1"/>
              <w:jc w:val="center"/>
              <w:rPr>
                <w:rFonts w:hint="eastAsia" w:ascii="宋体" w:hAnsi="宋体" w:eastAsia="宋体" w:cs="宋体"/>
                <w:color w:val="auto"/>
                <w:sz w:val="21"/>
                <w:szCs w:val="21"/>
                <w:highlight w:val="none"/>
              </w:rPr>
            </w:pPr>
          </w:p>
        </w:tc>
        <w:tc>
          <w:tcPr>
            <w:tcW w:w="887" w:type="dxa"/>
            <w:shd w:val="clear" w:color="auto" w:fill="auto"/>
            <w:vAlign w:val="center"/>
          </w:tcPr>
          <w:p>
            <w:pPr>
              <w:snapToGrid w:val="0"/>
              <w:ind w:left="-2" w:leftChars="-1"/>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8891" w:type="dxa"/>
            <w:shd w:val="clear" w:color="auto" w:fill="auto"/>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1、优：对本项目安全生产工作提出具体管理方案，安全防护制度健全，可行性高，能有效保障本服务项目的安全实施，得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pacing w:val="-5"/>
                <w:szCs w:val="21"/>
                <w:highlight w:val="none"/>
              </w:rPr>
              <w:t>分。</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2、中：对本项目安全生产工作提出具体管理方案，安全防护制度可行性较高，基本保障本服务项目的安全实施，得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3、差：对本项目安全生产工作提出具体管理方案， 安全防护制度可行性较低，得</w:t>
            </w:r>
            <w:r>
              <w:rPr>
                <w:rFonts w:hint="eastAsia" w:ascii="宋体" w:hAnsi="宋体" w:eastAsia="宋体" w:cs="宋体"/>
                <w:color w:val="auto"/>
                <w:spacing w:val="-5"/>
                <w:szCs w:val="21"/>
                <w:highlight w:val="none"/>
                <w:lang w:val="en-US" w:eastAsia="zh-CN"/>
              </w:rPr>
              <w:t>1</w:t>
            </w:r>
            <w:r>
              <w:rPr>
                <w:rFonts w:hint="eastAsia" w:ascii="宋体" w:hAnsi="宋体" w:eastAsia="宋体" w:cs="宋体"/>
                <w:color w:val="auto"/>
                <w:spacing w:val="-5"/>
                <w:szCs w:val="21"/>
                <w:highlight w:val="none"/>
              </w:rPr>
              <w:t>-</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 xml:space="preserve">分。 </w:t>
            </w:r>
          </w:p>
          <w:p>
            <w:pPr>
              <w:snapToGrid w:val="0"/>
              <w:ind w:left="-2" w:leftChars="-1"/>
              <w:jc w:val="left"/>
              <w:rPr>
                <w:rFonts w:hint="eastAsia" w:ascii="宋体" w:hAnsi="宋体" w:eastAsia="宋体" w:cs="宋体"/>
                <w:color w:val="auto"/>
                <w:sz w:val="21"/>
                <w:szCs w:val="21"/>
                <w:highlight w:val="none"/>
              </w:rPr>
            </w:pPr>
            <w:r>
              <w:rPr>
                <w:rFonts w:hint="eastAsia" w:ascii="宋体" w:hAnsi="宋体" w:eastAsia="宋体" w:cs="宋体"/>
                <w:color w:val="auto"/>
                <w:spacing w:val="-5"/>
                <w:szCs w:val="21"/>
                <w:highlight w:val="none"/>
                <w:lang w:val="en-US" w:eastAsia="zh-CN"/>
              </w:rPr>
              <w:t>不</w:t>
            </w:r>
            <w:r>
              <w:rPr>
                <w:rFonts w:hint="eastAsia" w:ascii="宋体" w:hAnsi="宋体" w:eastAsia="宋体" w:cs="宋体"/>
                <w:color w:val="auto"/>
                <w:spacing w:val="-5"/>
                <w:szCs w:val="21"/>
                <w:highlight w:val="none"/>
              </w:rPr>
              <w:t xml:space="preserve">提供方案不得分。 </w:t>
            </w:r>
          </w:p>
        </w:tc>
        <w:tc>
          <w:tcPr>
            <w:tcW w:w="677"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47" w:hRule="atLeast"/>
        </w:trPr>
        <w:tc>
          <w:tcPr>
            <w:tcW w:w="1113" w:type="dxa"/>
            <w:vMerge w:val="continue"/>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rPr>
            </w:pPr>
          </w:p>
        </w:tc>
        <w:tc>
          <w:tcPr>
            <w:tcW w:w="1227" w:type="dxa"/>
            <w:shd w:val="clear" w:color="auto" w:fill="auto"/>
            <w:vAlign w:val="center"/>
          </w:tcPr>
          <w:p>
            <w:pPr>
              <w:snapToGrid w:val="0"/>
              <w:ind w:left="-2" w:leftChars="-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应急方案</w:t>
            </w:r>
          </w:p>
        </w:tc>
        <w:tc>
          <w:tcPr>
            <w:tcW w:w="887" w:type="dxa"/>
            <w:shd w:val="clear" w:color="auto" w:fill="auto"/>
            <w:vAlign w:val="center"/>
          </w:tcPr>
          <w:p>
            <w:pPr>
              <w:snapToGrid w:val="0"/>
              <w:ind w:left="-2" w:leftChars="-1"/>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8891" w:type="dxa"/>
            <w:shd w:val="clear" w:color="auto" w:fill="auto"/>
            <w:vAlign w:val="center"/>
          </w:tcPr>
          <w:p>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人提出的突发事件的应急预案和处理措施（包括应急响应时间、处理措施等）优秀，内容详细全面，可实施性强，得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z w:val="21"/>
                <w:szCs w:val="21"/>
                <w:highlight w:val="none"/>
              </w:rPr>
              <w:t>分；</w:t>
            </w:r>
          </w:p>
          <w:p>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人提出的突发事件的应急预案和处理措施（包括应急响应时间、处理措施等）良好，内容较详细，可实施性较强，得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z w:val="21"/>
                <w:szCs w:val="21"/>
                <w:highlight w:val="none"/>
              </w:rPr>
              <w:t>分；</w:t>
            </w:r>
          </w:p>
          <w:p>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人提出的突发事件的应急预案和处理措施（包括应急响应时间、处理措施等）一般，内容一般，可实施性不强，得</w:t>
            </w:r>
            <w:r>
              <w:rPr>
                <w:rFonts w:hint="eastAsia" w:ascii="宋体" w:hAnsi="宋体" w:eastAsia="宋体" w:cs="宋体"/>
                <w:color w:val="auto"/>
                <w:spacing w:val="-5"/>
                <w:szCs w:val="21"/>
                <w:highlight w:val="none"/>
                <w:lang w:val="en-US" w:eastAsia="zh-CN"/>
              </w:rPr>
              <w:t>1</w:t>
            </w:r>
            <w:r>
              <w:rPr>
                <w:rFonts w:hint="eastAsia" w:ascii="宋体" w:hAnsi="宋体" w:eastAsia="宋体" w:cs="宋体"/>
                <w:color w:val="auto"/>
                <w:spacing w:val="-5"/>
                <w:szCs w:val="21"/>
                <w:highlight w:val="none"/>
              </w:rPr>
              <w:t>-</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z w:val="21"/>
                <w:szCs w:val="21"/>
                <w:highlight w:val="none"/>
              </w:rPr>
              <w:t>分；</w:t>
            </w:r>
          </w:p>
          <w:p>
            <w:pPr>
              <w:snapToGrid w:val="0"/>
              <w:ind w:left="-2" w:leftChars="-1"/>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rPr>
              <w:t>不提供方案不得分</w:t>
            </w:r>
            <w:r>
              <w:rPr>
                <w:rFonts w:hint="eastAsia" w:ascii="宋体" w:hAnsi="宋体" w:eastAsia="宋体" w:cs="宋体"/>
                <w:color w:val="auto"/>
                <w:sz w:val="21"/>
                <w:szCs w:val="21"/>
                <w:highlight w:val="none"/>
                <w:lang w:eastAsia="zh-CN"/>
              </w:rPr>
              <w:t>。</w:t>
            </w:r>
          </w:p>
        </w:tc>
        <w:tc>
          <w:tcPr>
            <w:tcW w:w="677"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340" w:type="dxa"/>
            <w:gridSpan w:val="2"/>
            <w:shd w:val="clear" w:color="auto" w:fill="auto"/>
            <w:vAlign w:val="center"/>
          </w:tcPr>
          <w:p>
            <w:pPr>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887" w:type="dxa"/>
            <w:shd w:val="clear" w:color="auto" w:fill="auto"/>
            <w:vAlign w:val="center"/>
          </w:tcPr>
          <w:p>
            <w:pPr>
              <w:spacing w:line="360" w:lineRule="exact"/>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8891"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c>
          <w:tcPr>
            <w:tcW w:w="677"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r>
    </w:tbl>
    <w:p>
      <w:pPr>
        <w:widowControl w:val="0"/>
        <w:jc w:val="both"/>
        <w:rPr>
          <w:rFonts w:hint="eastAsia" w:ascii="宋体" w:hAnsi="Courier New" w:eastAsia="宋体" w:cs="Times New Roman"/>
          <w:b w:val="0"/>
          <w:bCs w:val="0"/>
          <w:color w:val="auto"/>
          <w:kern w:val="2"/>
          <w:sz w:val="21"/>
          <w:szCs w:val="21"/>
          <w:highlight w:val="none"/>
          <w:lang w:val="en-US" w:eastAsia="zh-CN" w:bidi="ar-SA"/>
        </w:rPr>
      </w:pPr>
    </w:p>
    <w:p>
      <w:pPr>
        <w:snapToGrid w:val="0"/>
        <w:spacing w:line="360" w:lineRule="exact"/>
        <w:ind w:left="74" w:firstLine="0" w:firstLineChars="0"/>
        <w:jc w:val="left"/>
        <w:rPr>
          <w:rFonts w:hint="eastAsia"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napToGrid w:val="0"/>
        <w:spacing w:line="360" w:lineRule="exact"/>
        <w:ind w:left="74" w:firstLine="0" w:firstLineChars="0"/>
        <w:jc w:val="left"/>
        <w:rPr>
          <w:rFonts w:hint="eastAsia" w:ascii="仿宋" w:hAnsi="仿宋" w:eastAsia="仿宋" w:cs="宋体"/>
          <w:color w:val="auto"/>
          <w:sz w:val="24"/>
          <w:highlight w:val="none"/>
        </w:rPr>
      </w:pPr>
    </w:p>
    <w:p>
      <w:pPr>
        <w:snapToGrid w:val="0"/>
        <w:spacing w:line="360" w:lineRule="exact"/>
        <w:ind w:left="74" w:firstLine="0" w:firstLineChars="0"/>
        <w:jc w:val="left"/>
        <w:rPr>
          <w:rFonts w:hint="eastAsia" w:ascii="仿宋" w:hAnsi="仿宋" w:eastAsia="仿宋" w:cs="宋体"/>
          <w:color w:val="auto"/>
          <w:sz w:val="24"/>
          <w:highlight w:val="none"/>
        </w:rPr>
      </w:pPr>
    </w:p>
    <w:p>
      <w:pPr>
        <w:snapToGrid w:val="0"/>
        <w:spacing w:line="360" w:lineRule="exact"/>
        <w:ind w:left="74" w:firstLine="0" w:firstLineChars="0"/>
        <w:jc w:val="left"/>
        <w:rPr>
          <w:rFonts w:hint="eastAsia" w:ascii="仿宋" w:hAnsi="仿宋" w:eastAsia="仿宋" w:cs="宋体"/>
          <w:color w:val="auto"/>
          <w:sz w:val="24"/>
          <w:highlight w:val="none"/>
        </w:rPr>
      </w:pPr>
    </w:p>
    <w:p>
      <w:pPr>
        <w:snapToGrid w:val="0"/>
        <w:spacing w:line="360" w:lineRule="exact"/>
        <w:ind w:left="74" w:firstLine="0" w:firstLineChars="0"/>
        <w:jc w:val="left"/>
        <w:rPr>
          <w:rFonts w:hint="eastAsia" w:ascii="仿宋" w:hAnsi="仿宋" w:eastAsia="仿宋" w:cs="宋体"/>
          <w:color w:val="auto"/>
          <w:sz w:val="24"/>
          <w:highlight w:val="none"/>
        </w:rPr>
      </w:pPr>
    </w:p>
    <w:p>
      <w:pPr>
        <w:snapToGrid w:val="0"/>
        <w:spacing w:line="360" w:lineRule="exact"/>
        <w:ind w:left="74" w:firstLine="0" w:firstLineChars="0"/>
        <w:jc w:val="left"/>
        <w:rPr>
          <w:rFonts w:hint="eastAsia" w:ascii="仿宋" w:hAnsi="仿宋" w:eastAsia="仿宋" w:cs="宋体"/>
          <w:color w:val="auto"/>
          <w:sz w:val="24"/>
          <w:highlight w:val="none"/>
        </w:rPr>
      </w:pPr>
    </w:p>
    <w:p>
      <w:pPr>
        <w:snapToGrid w:val="0"/>
        <w:spacing w:line="360" w:lineRule="exact"/>
        <w:ind w:left="74" w:firstLine="0" w:firstLineChars="0"/>
        <w:jc w:val="left"/>
        <w:rPr>
          <w:rFonts w:hint="eastAsia" w:ascii="仿宋" w:hAnsi="仿宋" w:eastAsia="仿宋" w:cs="宋体"/>
          <w:color w:val="auto"/>
          <w:sz w:val="24"/>
          <w:highlight w:val="none"/>
        </w:rPr>
      </w:pPr>
    </w:p>
    <w:p>
      <w:pPr>
        <w:snapToGrid w:val="0"/>
        <w:spacing w:line="360" w:lineRule="exact"/>
        <w:ind w:left="74" w:firstLine="0" w:firstLineChars="0"/>
        <w:jc w:val="left"/>
        <w:rPr>
          <w:rFonts w:hint="eastAsia" w:ascii="仿宋" w:hAnsi="仿宋" w:eastAsia="仿宋" w:cs="宋体"/>
          <w:color w:val="auto"/>
          <w:sz w:val="24"/>
          <w:highlight w:val="none"/>
        </w:rPr>
      </w:pPr>
    </w:p>
    <w:p>
      <w:pPr>
        <w:snapToGrid w:val="0"/>
        <w:spacing w:line="360" w:lineRule="exact"/>
        <w:ind w:left="0" w:firstLine="0" w:firstLineChars="0"/>
        <w:jc w:val="left"/>
        <w:rPr>
          <w:rFonts w:hint="eastAsia" w:ascii="宋体" w:hAnsi="宋体" w:eastAsia="宋体" w:cs="宋体"/>
          <w:color w:val="auto"/>
          <w:szCs w:val="21"/>
          <w:highlight w:val="none"/>
        </w:rPr>
      </w:pPr>
    </w:p>
    <w:p>
      <w:pPr>
        <w:snapToGrid w:val="0"/>
        <w:spacing w:line="360" w:lineRule="exact"/>
        <w:ind w:left="0" w:firstLine="0" w:firstLineChars="0"/>
        <w:jc w:val="left"/>
        <w:rPr>
          <w:rFonts w:ascii="宋体" w:hAnsi="宋体" w:eastAsia="宋体" w:cs="宋体"/>
          <w:color w:val="auto"/>
          <w:szCs w:val="21"/>
          <w:highlight w:val="none"/>
        </w:rPr>
      </w:pPr>
      <w:r>
        <w:rPr>
          <w:rFonts w:hint="eastAsia" w:ascii="宋体" w:hAnsi="宋体" w:eastAsia="宋体" w:cs="宋体"/>
          <w:color w:val="auto"/>
          <w:szCs w:val="21"/>
          <w:highlight w:val="none"/>
        </w:rPr>
        <w:t>说明：</w:t>
      </w:r>
    </w:p>
    <w:p>
      <w:pPr>
        <w:rPr>
          <w:rFonts w:hint="eastAsia" w:ascii="宋体" w:hAnsi="宋体" w:eastAsia="宋体" w:cs="宋体"/>
          <w:color w:val="auto"/>
          <w:szCs w:val="18"/>
          <w:highlight w:val="none"/>
          <w:lang w:eastAsia="zh-CN"/>
        </w:rPr>
      </w:pPr>
      <w:r>
        <w:rPr>
          <w:rFonts w:hint="eastAsia" w:ascii="宋体" w:hAnsi="宋体" w:eastAsia="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eastAsia="宋体" w:cs="宋体"/>
          <w:color w:val="auto"/>
          <w:szCs w:val="18"/>
          <w:highlight w:val="none"/>
          <w:lang w:eastAsia="zh-CN"/>
        </w:rPr>
        <w:t>。</w:t>
      </w:r>
    </w:p>
    <w:p>
      <w:pPr>
        <w:widowControl w:val="0"/>
        <w:jc w:val="both"/>
        <w:rPr>
          <w:rFonts w:hint="eastAsia" w:ascii="宋体" w:hAnsi="宋体" w:eastAsia="宋体" w:cs="宋体"/>
          <w:color w:val="auto"/>
          <w:kern w:val="2"/>
          <w:sz w:val="21"/>
          <w:szCs w:val="18"/>
          <w:highlight w:val="none"/>
          <w:lang w:val="en-US" w:eastAsia="zh-CN" w:bidi="ar-SA"/>
        </w:rPr>
      </w:pPr>
    </w:p>
    <w:p>
      <w:pPr>
        <w:widowControl w:val="0"/>
        <w:jc w:val="both"/>
        <w:rPr>
          <w:rFonts w:hint="eastAsia" w:ascii="宋体" w:hAnsi="宋体" w:eastAsia="宋体" w:cs="宋体"/>
          <w:color w:val="auto"/>
          <w:kern w:val="2"/>
          <w:sz w:val="21"/>
          <w:szCs w:val="18"/>
          <w:highlight w:val="none"/>
          <w:lang w:val="en-US" w:eastAsia="zh-CN" w:bidi="ar-SA"/>
        </w:rPr>
      </w:pPr>
    </w:p>
    <w:p>
      <w:pPr>
        <w:widowControl w:val="0"/>
        <w:ind w:firstLine="420" w:firstLineChars="200"/>
        <w:jc w:val="both"/>
        <w:rPr>
          <w:rFonts w:hint="default" w:ascii="宋体" w:hAnsi="宋体" w:eastAsia="宋体" w:cs="宋体"/>
          <w:color w:val="auto"/>
          <w:kern w:val="0"/>
          <w:sz w:val="21"/>
          <w:szCs w:val="21"/>
          <w:highlight w:val="none"/>
          <w:lang w:val="en-US" w:eastAsia="zh-CN" w:bidi="ar-SA"/>
        </w:rPr>
      </w:pPr>
    </w:p>
    <w:p>
      <w:pPr>
        <w:rPr>
          <w:rFonts w:hint="eastAsia" w:ascii="宋体" w:hAnsi="宋体" w:eastAsia="宋体" w:cs="Times New Roman"/>
          <w:b w:val="0"/>
          <w:bCs/>
          <w:color w:val="auto"/>
          <w:sz w:val="21"/>
          <w:szCs w:val="21"/>
          <w:highlight w:val="none"/>
          <w:lang w:val="en-US" w:eastAsia="zh-CN"/>
        </w:rPr>
      </w:pPr>
      <w:r>
        <w:rPr>
          <w:rFonts w:hint="eastAsia" w:ascii="宋体" w:hAnsi="宋体" w:eastAsia="宋体" w:cs="Times New Roman"/>
          <w:b w:val="0"/>
          <w:bCs/>
          <w:color w:val="auto"/>
          <w:sz w:val="21"/>
          <w:szCs w:val="21"/>
          <w:highlight w:val="none"/>
        </w:rPr>
        <w:t>评标专家</w:t>
      </w:r>
      <w:r>
        <w:rPr>
          <w:rFonts w:hint="eastAsia" w:ascii="宋体" w:hAnsi="宋体" w:eastAsia="宋体" w:cs="Times New Roman"/>
          <w:b w:val="0"/>
          <w:bCs/>
          <w:color w:val="auto"/>
          <w:sz w:val="21"/>
          <w:szCs w:val="21"/>
          <w:highlight w:val="none"/>
          <w:lang w:val="en-US" w:eastAsia="zh-CN"/>
        </w:rPr>
        <w:t>签名：                                                      日期：</w:t>
      </w:r>
    </w:p>
    <w:p>
      <w:pPr>
        <w:widowControl w:val="0"/>
        <w:jc w:val="both"/>
        <w:rPr>
          <w:rFonts w:hint="eastAsia" w:ascii="宋体" w:hAnsi="宋体" w:eastAsia="宋体" w:cs="Times New Roman"/>
          <w:b w:val="0"/>
          <w:bCs/>
          <w:color w:val="auto"/>
          <w:kern w:val="2"/>
          <w:sz w:val="21"/>
          <w:szCs w:val="21"/>
          <w:highlight w:val="none"/>
          <w:lang w:val="en-US" w:eastAsia="zh-CN" w:bidi="ar-SA"/>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widowControl w:val="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附件3：经济部分评分表</w:t>
      </w:r>
    </w:p>
    <w:p>
      <w:pPr>
        <w:widowControl w:val="0"/>
        <w:jc w:val="both"/>
        <w:rPr>
          <w:rFonts w:hint="default" w:ascii="宋体" w:hAnsi="宋体" w:eastAsia="宋体" w:cs="宋体"/>
          <w:color w:val="auto"/>
          <w:kern w:val="2"/>
          <w:sz w:val="21"/>
          <w:szCs w:val="21"/>
          <w:highlight w:val="none"/>
          <w:lang w:val="en-US" w:eastAsia="zh-CN" w:bidi="ar-SA"/>
        </w:rPr>
      </w:pPr>
    </w:p>
    <w:tbl>
      <w:tblPr>
        <w:tblStyle w:val="18"/>
        <w:tblW w:w="1288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0"/>
        <w:gridCol w:w="1562"/>
        <w:gridCol w:w="1770"/>
        <w:gridCol w:w="1440"/>
        <w:gridCol w:w="5115"/>
        <w:gridCol w:w="1110"/>
        <w:gridCol w:w="12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5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投标人名称</w:t>
            </w:r>
          </w:p>
        </w:tc>
        <w:tc>
          <w:tcPr>
            <w:tcW w:w="1770"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报价（元）</w:t>
            </w:r>
          </w:p>
        </w:tc>
        <w:tc>
          <w:tcPr>
            <w:tcW w:w="1440"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评标基准价（元）</w:t>
            </w:r>
          </w:p>
        </w:tc>
        <w:tc>
          <w:tcPr>
            <w:tcW w:w="5115" w:type="dxa"/>
            <w:vMerge w:val="restart"/>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评分内容</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基准分</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77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nil"/>
              <w:right w:val="nil"/>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Calibri" w:hAnsi="Calibri" w:eastAsia="宋体" w:cs="Calibri"/>
                <w:i w:val="0"/>
                <w:iCs w:val="0"/>
                <w:color w:val="auto"/>
                <w:sz w:val="21"/>
                <w:szCs w:val="21"/>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若经过符合性审查，（1）入围投标单位为3至5家的，则经济标报价部分以入围投标单位的有效总报价的算术平均值作为基准价；（2）入围投标单位为6家或以上的，则去掉一家最高报价、一家最低报价后，经济标报价部分以剩余入围投标单位有效报价的算术平均值作为基准价。</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投标报价等于基准价为满分100分，高于基准价的1%扣1分，低于基准价的1%扣0.5分，以此类推。最低得分0分。得分保留两位小数。计算公式如下：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1、报价等于基准价的，得分=100。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2、报价高于基准价的，得分=100-[（报价-基准价）/基准价]×100×1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3、报价低于基准价的，得分=100-[（基准价-报价）/基准价]×100×0.5</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100</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r>
    </w:tbl>
    <w:p>
      <w:pPr>
        <w:snapToGrid w:val="0"/>
        <w:spacing w:line="360" w:lineRule="auto"/>
        <w:jc w:val="left"/>
        <w:rPr>
          <w:rFonts w:hint="eastAsia" w:ascii="宋体" w:hAnsi="宋体"/>
          <w:color w:val="auto"/>
          <w:sz w:val="21"/>
          <w:szCs w:val="21"/>
          <w:highlight w:val="none"/>
        </w:rPr>
      </w:pPr>
    </w:p>
    <w:p>
      <w:pPr>
        <w:pStyle w:val="2"/>
        <w:rPr>
          <w:rFonts w:hint="eastAsia" w:ascii="宋体" w:hAnsi="宋体"/>
          <w:color w:val="auto"/>
          <w:sz w:val="21"/>
          <w:szCs w:val="21"/>
          <w:highlight w:val="none"/>
        </w:rPr>
      </w:pPr>
    </w:p>
    <w:p>
      <w:pPr>
        <w:rPr>
          <w:rFonts w:hint="eastAsia" w:ascii="宋体" w:hAnsi="宋体"/>
          <w:color w:val="auto"/>
          <w:sz w:val="21"/>
          <w:szCs w:val="21"/>
          <w:highlight w:val="none"/>
        </w:rPr>
      </w:pPr>
    </w:p>
    <w:p>
      <w:pPr>
        <w:pStyle w:val="2"/>
        <w:rPr>
          <w:rFonts w:hint="eastAsia"/>
          <w:color w:val="auto"/>
          <w:highlight w:val="none"/>
        </w:rPr>
      </w:pPr>
    </w:p>
    <w:p>
      <w:pPr>
        <w:snapToGrid w:val="0"/>
        <w:spacing w:line="360" w:lineRule="auto"/>
        <w:jc w:val="left"/>
        <w:rPr>
          <w:rFonts w:hint="eastAsia" w:ascii="宋体" w:hAnsi="宋体"/>
          <w:color w:val="auto"/>
          <w:sz w:val="21"/>
          <w:szCs w:val="21"/>
          <w:highlight w:val="none"/>
        </w:rPr>
      </w:pPr>
    </w:p>
    <w:p>
      <w:pPr>
        <w:pStyle w:val="2"/>
        <w:rPr>
          <w:rFonts w:hint="eastAsia" w:ascii="宋体" w:hAnsi="宋体" w:cs="宋体"/>
          <w:b/>
          <w:color w:val="auto"/>
          <w:kern w:val="0"/>
          <w:sz w:val="28"/>
          <w:szCs w:val="28"/>
          <w:highlight w:val="none"/>
        </w:rPr>
        <w:sectPr>
          <w:pgSz w:w="16838" w:h="11906" w:orient="landscape"/>
          <w:pgMar w:top="1800" w:right="1440" w:bottom="1800" w:left="1440" w:header="851" w:footer="992" w:gutter="0"/>
          <w:pgNumType w:fmt="decimal"/>
          <w:cols w:space="720" w:num="1"/>
          <w:docGrid w:type="lines" w:linePitch="312" w:charSpace="0"/>
        </w:sectPr>
      </w:pPr>
      <w:bookmarkStart w:id="71" w:name="_Toc17416"/>
      <w:bookmarkStart w:id="72" w:name="_Toc27349"/>
      <w:bookmarkStart w:id="73" w:name="_Toc17392"/>
      <w:bookmarkStart w:id="74" w:name="_Toc4858"/>
      <w:bookmarkStart w:id="75" w:name="_Toc17298"/>
      <w:bookmarkStart w:id="76" w:name="_Toc17435"/>
      <w:bookmarkStart w:id="77" w:name="_Toc10364"/>
    </w:p>
    <w:p>
      <w:pPr>
        <w:snapToGrid w:val="0"/>
        <w:spacing w:line="360" w:lineRule="auto"/>
        <w:jc w:val="left"/>
        <w:rPr>
          <w:rFonts w:hint="eastAsia" w:ascii="宋体" w:hAnsi="宋体"/>
          <w:color w:val="auto"/>
          <w:sz w:val="21"/>
          <w:szCs w:val="21"/>
          <w:highlight w:val="none"/>
        </w:rPr>
      </w:pPr>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bookmarkEnd w:id="71"/>
      <w:bookmarkEnd w:id="72"/>
      <w:bookmarkEnd w:id="73"/>
      <w:bookmarkEnd w:id="74"/>
      <w:bookmarkEnd w:id="75"/>
      <w:bookmarkEnd w:id="76"/>
      <w:bookmarkEnd w:id="77"/>
    </w:p>
    <w:p>
      <w:pPr>
        <w:pStyle w:val="40"/>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lang w:eastAsia="zh-CN"/>
        </w:rPr>
        <w:t>广州南沙旅游发展有限公司</w:t>
      </w:r>
    </w:p>
    <w:p>
      <w:pPr>
        <w:pStyle w:val="40"/>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s="Times New Roman"/>
          <w:b w:val="0"/>
          <w:bCs w:val="0"/>
          <w:color w:val="auto"/>
          <w:sz w:val="24"/>
          <w:szCs w:val="24"/>
          <w:highlight w:val="none"/>
          <w:u w:val="single"/>
          <w:lang w:val="en-US" w:eastAsia="zh-CN"/>
        </w:rPr>
        <w:t>南沙天后宫电房地块提升改造--仓库提升项目</w:t>
      </w:r>
      <w:r>
        <w:rPr>
          <w:rFonts w:hint="eastAsia" w:ascii="宋体" w:hAnsi="宋体" w:eastAsia="宋体"/>
          <w:color w:val="auto"/>
          <w:sz w:val="24"/>
          <w:szCs w:val="24"/>
          <w:highlight w:val="none"/>
        </w:rPr>
        <w:t>投标工作，做出郑重声明：</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40"/>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41"/>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40"/>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40"/>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2"/>
        <w:rPr>
          <w:rFonts w:hint="default"/>
          <w:color w:val="auto"/>
          <w:highlight w:val="none"/>
        </w:rPr>
      </w:pPr>
    </w:p>
    <w:p>
      <w:pPr>
        <w:rPr>
          <w:rFonts w:hint="default"/>
          <w:color w:val="auto"/>
          <w:highlight w:val="none"/>
        </w:rPr>
      </w:pPr>
    </w:p>
    <w:p>
      <w:pPr>
        <w:pStyle w:val="4"/>
        <w:rPr>
          <w:rFonts w:hint="default"/>
          <w:color w:val="auto"/>
          <w:highlight w:val="none"/>
        </w:rPr>
      </w:pPr>
    </w:p>
    <w:p>
      <w:pPr>
        <w:rPr>
          <w:rFonts w:hint="default"/>
          <w:color w:val="auto"/>
          <w:highlight w:val="none"/>
        </w:rPr>
      </w:pPr>
    </w:p>
    <w:p>
      <w:pPr>
        <w:pStyle w:val="4"/>
        <w:rPr>
          <w:rFonts w:hint="default"/>
          <w:color w:val="auto"/>
          <w:highlight w:val="none"/>
        </w:rPr>
      </w:pPr>
    </w:p>
    <w:p>
      <w:pPr>
        <w:rPr>
          <w:rFonts w:hint="default"/>
          <w:color w:val="auto"/>
          <w:highlight w:val="none"/>
        </w:rPr>
      </w:pPr>
    </w:p>
    <w:p>
      <w:pPr>
        <w:pStyle w:val="2"/>
        <w:rPr>
          <w:rFonts w:hint="default"/>
          <w:color w:val="auto"/>
          <w:highlight w:val="none"/>
        </w:rPr>
      </w:pPr>
    </w:p>
    <w:p>
      <w:pPr>
        <w:rPr>
          <w:rFonts w:hint="default"/>
          <w:color w:val="auto"/>
          <w:highlight w:val="none"/>
        </w:rPr>
      </w:pPr>
    </w:p>
    <w:p>
      <w:pPr>
        <w:snapToGrid w:val="0"/>
        <w:spacing w:line="360" w:lineRule="auto"/>
        <w:jc w:val="left"/>
        <w:rPr>
          <w:rFonts w:ascii="宋体" w:hAnsi="宋体"/>
          <w:color w:val="auto"/>
          <w:sz w:val="21"/>
          <w:szCs w:val="21"/>
          <w:highlight w:val="none"/>
        </w:rPr>
      </w:pPr>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w:t>
      </w:r>
    </w:p>
    <w:p>
      <w:pPr>
        <w:adjustRightInd w:val="0"/>
        <w:snapToGrid w:val="0"/>
        <w:spacing w:line="360" w:lineRule="auto"/>
        <w:jc w:val="center"/>
        <w:outlineLvl w:val="0"/>
        <w:rPr>
          <w:rFonts w:hint="eastAsia" w:ascii="宋体" w:hAnsi="宋体" w:cs="宋体"/>
          <w:b/>
          <w:color w:val="auto"/>
          <w:kern w:val="0"/>
          <w:sz w:val="28"/>
          <w:szCs w:val="28"/>
          <w:highlight w:val="none"/>
        </w:rPr>
      </w:pPr>
      <w:bookmarkStart w:id="78" w:name="_Toc24807"/>
      <w:bookmarkStart w:id="79" w:name="_Toc3465"/>
      <w:bookmarkStart w:id="80" w:name="_Toc17693"/>
      <w:bookmarkStart w:id="81" w:name="_Toc9237"/>
      <w:bookmarkStart w:id="82" w:name="_Toc26871"/>
      <w:r>
        <w:rPr>
          <w:rFonts w:hint="eastAsia" w:ascii="宋体" w:hAnsi="宋体" w:cs="宋体" w:eastAsiaTheme="minorEastAsia"/>
          <w:b/>
          <w:color w:val="auto"/>
          <w:kern w:val="0"/>
          <w:sz w:val="28"/>
          <w:szCs w:val="28"/>
          <w:highlight w:val="none"/>
          <w:lang w:val="en-US" w:eastAsia="zh-CN"/>
        </w:rPr>
        <w:t>非联合体投标声明（格式自拟）</w:t>
      </w:r>
      <w:bookmarkEnd w:id="78"/>
      <w:bookmarkEnd w:id="79"/>
      <w:bookmarkEnd w:id="80"/>
      <w:bookmarkEnd w:id="81"/>
      <w:bookmarkEnd w:id="82"/>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1183D8E-1586-48C5-85D7-1B0C378CE550}"/>
  </w:font>
  <w:font w:name="黑体">
    <w:panose1 w:val="02010609060101010101"/>
    <w:charset w:val="86"/>
    <w:family w:val="auto"/>
    <w:pitch w:val="default"/>
    <w:sig w:usb0="800002BF" w:usb1="38CF7CFA" w:usb2="00000016" w:usb3="00000000" w:csb0="00040001" w:csb1="00000000"/>
    <w:embedRegular r:id="rId2" w:fontKey="{D23D5BF2-659D-4018-90A9-40EAD4F2A93F}"/>
  </w:font>
  <w:font w:name="Courier New">
    <w:panose1 w:val="02070309020205020404"/>
    <w:charset w:val="01"/>
    <w:family w:val="modern"/>
    <w:pitch w:val="default"/>
    <w:sig w:usb0="E0002EFF" w:usb1="C0007843" w:usb2="00000009" w:usb3="00000000" w:csb0="400001FF" w:csb1="FFFF0000"/>
    <w:embedRegular r:id="rId3" w:fontKey="{55A31C27-B182-4DBD-9579-03B383C3371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62B8E07C-B596-4662-831F-E15BFC6E0E9F}"/>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楷体">
    <w:panose1 w:val="02010609060101010101"/>
    <w:charset w:val="86"/>
    <w:family w:val="modern"/>
    <w:pitch w:val="default"/>
    <w:sig w:usb0="800002BF" w:usb1="38CF7CFA" w:usb2="00000016" w:usb3="00000000" w:csb0="00040001" w:csb1="00000000"/>
    <w:embedRegular r:id="rId5" w:fontKey="{306AA6EC-2332-41AC-A5A5-52E1A0B9AF1D}"/>
  </w:font>
  <w:font w:name="华文楷体">
    <w:panose1 w:val="02010600040101010101"/>
    <w:charset w:val="86"/>
    <w:family w:val="auto"/>
    <w:pitch w:val="default"/>
    <w:sig w:usb0="00000287" w:usb1="080F0000" w:usb2="00000000" w:usb3="00000000" w:csb0="0004009F" w:csb1="DFD70000"/>
    <w:embedRegular r:id="rId6" w:fontKey="{F055A282-A523-40DD-BB66-2A3887EEEE3D}"/>
  </w:font>
  <w:font w:name="方正小标宋简体">
    <w:panose1 w:val="02000000000000000000"/>
    <w:charset w:val="86"/>
    <w:family w:val="auto"/>
    <w:pitch w:val="default"/>
    <w:sig w:usb0="A00002BF" w:usb1="184F6CFA" w:usb2="00000012" w:usb3="00000000" w:csb0="00040001" w:csb1="00000000"/>
    <w:embedRegular r:id="rId7" w:fontKey="{A1BBA3D5-D816-4D7E-935B-3431C77409CD}"/>
  </w:font>
  <w:font w:name="仿宋">
    <w:panose1 w:val="02010609060101010101"/>
    <w:charset w:val="86"/>
    <w:family w:val="auto"/>
    <w:pitch w:val="default"/>
    <w:sig w:usb0="800002BF" w:usb1="38CF7CFA" w:usb2="00000016" w:usb3="00000000" w:csb0="00040001" w:csb1="00000000"/>
    <w:embedRegular r:id="rId8" w:fontKey="{F448CF7E-4D9B-4551-8C43-A1187C9C2FC4}"/>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left"/>
      <w:rPr>
        <w:rFonts w:hint="eastAsia" w:ascii="Times New Roman" w:hAnsi="Times New Roman"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A75DCC2A"/>
    <w:multiLevelType w:val="singleLevel"/>
    <w:tmpl w:val="A75DCC2A"/>
    <w:lvl w:ilvl="0" w:tentative="0">
      <w:start w:val="1"/>
      <w:numFmt w:val="decimal"/>
      <w:suff w:val="nothing"/>
      <w:lvlText w:val="%1、"/>
      <w:lvlJc w:val="left"/>
    </w:lvl>
  </w:abstractNum>
  <w:abstractNum w:abstractNumId="2">
    <w:nsid w:val="CB8718C6"/>
    <w:multiLevelType w:val="singleLevel"/>
    <w:tmpl w:val="CB8718C6"/>
    <w:lvl w:ilvl="0" w:tentative="0">
      <w:start w:val="3"/>
      <w:numFmt w:val="decimal"/>
      <w:suff w:val="nothing"/>
      <w:lvlText w:val="%1、"/>
      <w:lvlJc w:val="left"/>
    </w:lvl>
  </w:abstractNum>
  <w:abstractNum w:abstractNumId="3">
    <w:nsid w:val="01AE7F74"/>
    <w:multiLevelType w:val="singleLevel"/>
    <w:tmpl w:val="01AE7F74"/>
    <w:lvl w:ilvl="0" w:tentative="0">
      <w:start w:val="2"/>
      <w:numFmt w:val="chineseCounting"/>
      <w:suff w:val="nothing"/>
      <w:lvlText w:val="%1、"/>
      <w:lvlJc w:val="left"/>
      <w:rPr>
        <w:rFonts w:hint="eastAsia"/>
      </w:rPr>
    </w:lvl>
  </w:abstractNum>
  <w:abstractNum w:abstractNumId="4">
    <w:nsid w:val="2F6A3BC3"/>
    <w:multiLevelType w:val="singleLevel"/>
    <w:tmpl w:val="2F6A3BC3"/>
    <w:lvl w:ilvl="0" w:tentative="0">
      <w:start w:val="5"/>
      <w:numFmt w:val="decimal"/>
      <w:suff w:val="space"/>
      <w:lvlText w:val="第%1章"/>
      <w:lvlJc w:val="left"/>
    </w:lvl>
  </w:abstractNum>
  <w:abstractNum w:abstractNumId="5">
    <w:nsid w:val="7A7B36A8"/>
    <w:multiLevelType w:val="singleLevel"/>
    <w:tmpl w:val="7A7B36A8"/>
    <w:lvl w:ilvl="0" w:tentative="0">
      <w:start w:val="33"/>
      <w:numFmt w:val="decimal"/>
      <w:suff w:val="nothing"/>
      <w:lvlText w:val="%1．"/>
      <w:lvlJc w:val="left"/>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trackRevisions w:val="1"/>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zZjliNzQ4M2JhYjM0MjI3YTk2NzE0ZGY0MWQ5N2YifQ=="/>
    <w:docVar w:name="KSO_WPS_MARK_KEY" w:val="dcc34e8b-285d-400f-b82c-10351cc556af"/>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C80459"/>
    <w:rsid w:val="02E9680F"/>
    <w:rsid w:val="02F7533D"/>
    <w:rsid w:val="030457ED"/>
    <w:rsid w:val="03562994"/>
    <w:rsid w:val="03CB6D70"/>
    <w:rsid w:val="04364A4F"/>
    <w:rsid w:val="04376975"/>
    <w:rsid w:val="04D330E5"/>
    <w:rsid w:val="04E40895"/>
    <w:rsid w:val="05031424"/>
    <w:rsid w:val="051B7598"/>
    <w:rsid w:val="052E78DA"/>
    <w:rsid w:val="0557469B"/>
    <w:rsid w:val="059A4101"/>
    <w:rsid w:val="05FF5A31"/>
    <w:rsid w:val="073B0CB2"/>
    <w:rsid w:val="07746BCF"/>
    <w:rsid w:val="07C86029"/>
    <w:rsid w:val="07F66A4C"/>
    <w:rsid w:val="083B43B1"/>
    <w:rsid w:val="08757A2C"/>
    <w:rsid w:val="089D5EE4"/>
    <w:rsid w:val="08A9464F"/>
    <w:rsid w:val="08C43471"/>
    <w:rsid w:val="08D505E6"/>
    <w:rsid w:val="09062DA7"/>
    <w:rsid w:val="09A667E8"/>
    <w:rsid w:val="0A621C44"/>
    <w:rsid w:val="0A9867C9"/>
    <w:rsid w:val="0B372B92"/>
    <w:rsid w:val="0BFF40FB"/>
    <w:rsid w:val="0C855B7E"/>
    <w:rsid w:val="0C87037B"/>
    <w:rsid w:val="0CC51EC7"/>
    <w:rsid w:val="0CF74903"/>
    <w:rsid w:val="0D1E6027"/>
    <w:rsid w:val="0D2A3B3D"/>
    <w:rsid w:val="0E1B10A8"/>
    <w:rsid w:val="0E80564C"/>
    <w:rsid w:val="0EA03B8A"/>
    <w:rsid w:val="0EAC0C18"/>
    <w:rsid w:val="0EB25F9A"/>
    <w:rsid w:val="0EE07B74"/>
    <w:rsid w:val="0F656FB0"/>
    <w:rsid w:val="0F8D0176"/>
    <w:rsid w:val="0F912314"/>
    <w:rsid w:val="0FD73768"/>
    <w:rsid w:val="10A4638E"/>
    <w:rsid w:val="10D83B3D"/>
    <w:rsid w:val="10E57F6E"/>
    <w:rsid w:val="11135DC8"/>
    <w:rsid w:val="11F528ED"/>
    <w:rsid w:val="12E86716"/>
    <w:rsid w:val="130F5872"/>
    <w:rsid w:val="134A310C"/>
    <w:rsid w:val="138E7BA2"/>
    <w:rsid w:val="13E640E2"/>
    <w:rsid w:val="13E744B7"/>
    <w:rsid w:val="14082F52"/>
    <w:rsid w:val="14085DAD"/>
    <w:rsid w:val="14233C6D"/>
    <w:rsid w:val="14452035"/>
    <w:rsid w:val="1448567A"/>
    <w:rsid w:val="145B3800"/>
    <w:rsid w:val="14DA40AE"/>
    <w:rsid w:val="15B036FB"/>
    <w:rsid w:val="16007AF5"/>
    <w:rsid w:val="163A7468"/>
    <w:rsid w:val="17463991"/>
    <w:rsid w:val="179E3273"/>
    <w:rsid w:val="17DF6EBB"/>
    <w:rsid w:val="17E977C8"/>
    <w:rsid w:val="1873680D"/>
    <w:rsid w:val="18E67433"/>
    <w:rsid w:val="18F12637"/>
    <w:rsid w:val="19095239"/>
    <w:rsid w:val="1A361CF4"/>
    <w:rsid w:val="1A9A2CAA"/>
    <w:rsid w:val="1AA864E1"/>
    <w:rsid w:val="1AB46DAB"/>
    <w:rsid w:val="1B6C2995"/>
    <w:rsid w:val="1BB630ED"/>
    <w:rsid w:val="1BC44893"/>
    <w:rsid w:val="1BE136FF"/>
    <w:rsid w:val="1C05708F"/>
    <w:rsid w:val="1C307374"/>
    <w:rsid w:val="1C4306F9"/>
    <w:rsid w:val="1C9203A6"/>
    <w:rsid w:val="1D6E5C4A"/>
    <w:rsid w:val="1E032835"/>
    <w:rsid w:val="1E562810"/>
    <w:rsid w:val="1E7A1CAB"/>
    <w:rsid w:val="1EBD45C4"/>
    <w:rsid w:val="1F1C5732"/>
    <w:rsid w:val="1F584BD1"/>
    <w:rsid w:val="1F877005"/>
    <w:rsid w:val="205D447F"/>
    <w:rsid w:val="206E043A"/>
    <w:rsid w:val="20AD4C4C"/>
    <w:rsid w:val="21424D60"/>
    <w:rsid w:val="215321ED"/>
    <w:rsid w:val="224A02E7"/>
    <w:rsid w:val="227411DF"/>
    <w:rsid w:val="232E3EB1"/>
    <w:rsid w:val="23A43B04"/>
    <w:rsid w:val="24856237"/>
    <w:rsid w:val="25053D8A"/>
    <w:rsid w:val="25687B33"/>
    <w:rsid w:val="25791876"/>
    <w:rsid w:val="26236584"/>
    <w:rsid w:val="26B94C66"/>
    <w:rsid w:val="26FF6942"/>
    <w:rsid w:val="272101A5"/>
    <w:rsid w:val="272B74FA"/>
    <w:rsid w:val="2751149E"/>
    <w:rsid w:val="2765008E"/>
    <w:rsid w:val="2776675E"/>
    <w:rsid w:val="2837076A"/>
    <w:rsid w:val="2865301D"/>
    <w:rsid w:val="28C86C87"/>
    <w:rsid w:val="28D56736"/>
    <w:rsid w:val="29051210"/>
    <w:rsid w:val="296119D7"/>
    <w:rsid w:val="2A97100B"/>
    <w:rsid w:val="2B401296"/>
    <w:rsid w:val="2BEC17AE"/>
    <w:rsid w:val="2C1B0D4A"/>
    <w:rsid w:val="2C5357E2"/>
    <w:rsid w:val="2D0635AD"/>
    <w:rsid w:val="2DDB1EBF"/>
    <w:rsid w:val="2DE261EA"/>
    <w:rsid w:val="2DE71DA9"/>
    <w:rsid w:val="2DF963B5"/>
    <w:rsid w:val="2E6C5CB5"/>
    <w:rsid w:val="2EC40C57"/>
    <w:rsid w:val="2EE433BF"/>
    <w:rsid w:val="2F9B6BBA"/>
    <w:rsid w:val="2FEA73B1"/>
    <w:rsid w:val="300C37CC"/>
    <w:rsid w:val="30136E93"/>
    <w:rsid w:val="30334755"/>
    <w:rsid w:val="306233EC"/>
    <w:rsid w:val="30EC6390"/>
    <w:rsid w:val="311233CC"/>
    <w:rsid w:val="31B57180"/>
    <w:rsid w:val="321A656D"/>
    <w:rsid w:val="321B76BE"/>
    <w:rsid w:val="3283717A"/>
    <w:rsid w:val="329D381E"/>
    <w:rsid w:val="33F561C4"/>
    <w:rsid w:val="347657C9"/>
    <w:rsid w:val="34935BA4"/>
    <w:rsid w:val="34A264CA"/>
    <w:rsid w:val="35830B03"/>
    <w:rsid w:val="36276355"/>
    <w:rsid w:val="3700775A"/>
    <w:rsid w:val="37A26BD4"/>
    <w:rsid w:val="37AE7FE3"/>
    <w:rsid w:val="38417D8A"/>
    <w:rsid w:val="38522CBB"/>
    <w:rsid w:val="390F4B98"/>
    <w:rsid w:val="39731517"/>
    <w:rsid w:val="39F52602"/>
    <w:rsid w:val="39FC703A"/>
    <w:rsid w:val="3A041618"/>
    <w:rsid w:val="3AC802EF"/>
    <w:rsid w:val="3B183024"/>
    <w:rsid w:val="3B6D4312"/>
    <w:rsid w:val="3BB718A6"/>
    <w:rsid w:val="3BC04127"/>
    <w:rsid w:val="3C88543E"/>
    <w:rsid w:val="3CB7521C"/>
    <w:rsid w:val="3CE76215"/>
    <w:rsid w:val="3CFF0303"/>
    <w:rsid w:val="3D7619F9"/>
    <w:rsid w:val="3D957982"/>
    <w:rsid w:val="3D96007A"/>
    <w:rsid w:val="3F30256A"/>
    <w:rsid w:val="3F4915A0"/>
    <w:rsid w:val="3F5F332B"/>
    <w:rsid w:val="3F641BC2"/>
    <w:rsid w:val="3F8502F8"/>
    <w:rsid w:val="3FD704B2"/>
    <w:rsid w:val="405854B3"/>
    <w:rsid w:val="4077019F"/>
    <w:rsid w:val="408D1DBF"/>
    <w:rsid w:val="409313F9"/>
    <w:rsid w:val="40B7508E"/>
    <w:rsid w:val="40C17CBA"/>
    <w:rsid w:val="40CA2819"/>
    <w:rsid w:val="418831AE"/>
    <w:rsid w:val="41EC3A6C"/>
    <w:rsid w:val="42A2655E"/>
    <w:rsid w:val="43420D2F"/>
    <w:rsid w:val="436C5E0D"/>
    <w:rsid w:val="43D9356D"/>
    <w:rsid w:val="44631084"/>
    <w:rsid w:val="446A549B"/>
    <w:rsid w:val="44800368"/>
    <w:rsid w:val="44E811C0"/>
    <w:rsid w:val="45180D62"/>
    <w:rsid w:val="457E617A"/>
    <w:rsid w:val="46871AD6"/>
    <w:rsid w:val="47025D0E"/>
    <w:rsid w:val="4735560E"/>
    <w:rsid w:val="47413F22"/>
    <w:rsid w:val="4792678F"/>
    <w:rsid w:val="47E03B89"/>
    <w:rsid w:val="481D5A38"/>
    <w:rsid w:val="487975A7"/>
    <w:rsid w:val="48E72086"/>
    <w:rsid w:val="496C347B"/>
    <w:rsid w:val="49732ED5"/>
    <w:rsid w:val="4999462F"/>
    <w:rsid w:val="499C01CA"/>
    <w:rsid w:val="49D2082D"/>
    <w:rsid w:val="49D9477F"/>
    <w:rsid w:val="49EF5898"/>
    <w:rsid w:val="4A1079FD"/>
    <w:rsid w:val="4A1D620C"/>
    <w:rsid w:val="4AED722D"/>
    <w:rsid w:val="4B3D40BA"/>
    <w:rsid w:val="4BC136D0"/>
    <w:rsid w:val="4BF328A0"/>
    <w:rsid w:val="4C2E17B4"/>
    <w:rsid w:val="4C547C35"/>
    <w:rsid w:val="4C81677F"/>
    <w:rsid w:val="4C856015"/>
    <w:rsid w:val="4CF3627A"/>
    <w:rsid w:val="4D195C1E"/>
    <w:rsid w:val="4D904DD7"/>
    <w:rsid w:val="4D9C287D"/>
    <w:rsid w:val="4DC04FA6"/>
    <w:rsid w:val="4DC53F66"/>
    <w:rsid w:val="4DEC4822"/>
    <w:rsid w:val="4E165AE9"/>
    <w:rsid w:val="4E2A0E48"/>
    <w:rsid w:val="4E2A7035"/>
    <w:rsid w:val="4F333601"/>
    <w:rsid w:val="4FC91A1A"/>
    <w:rsid w:val="50DB6247"/>
    <w:rsid w:val="50F24C19"/>
    <w:rsid w:val="51531E87"/>
    <w:rsid w:val="51552F81"/>
    <w:rsid w:val="51AB2104"/>
    <w:rsid w:val="525A7F6F"/>
    <w:rsid w:val="52760C06"/>
    <w:rsid w:val="530E35F9"/>
    <w:rsid w:val="53427976"/>
    <w:rsid w:val="53A07C03"/>
    <w:rsid w:val="53A63423"/>
    <w:rsid w:val="53B638D1"/>
    <w:rsid w:val="54386D63"/>
    <w:rsid w:val="54A36172"/>
    <w:rsid w:val="54BC0EE8"/>
    <w:rsid w:val="54BF6370"/>
    <w:rsid w:val="55055F70"/>
    <w:rsid w:val="55D41C4B"/>
    <w:rsid w:val="5702252D"/>
    <w:rsid w:val="572444C0"/>
    <w:rsid w:val="57692898"/>
    <w:rsid w:val="576D49E8"/>
    <w:rsid w:val="57951FF3"/>
    <w:rsid w:val="579C393A"/>
    <w:rsid w:val="583D3C73"/>
    <w:rsid w:val="594F1692"/>
    <w:rsid w:val="59566C52"/>
    <w:rsid w:val="597674DD"/>
    <w:rsid w:val="59F07874"/>
    <w:rsid w:val="5A416E84"/>
    <w:rsid w:val="5AAF5CCA"/>
    <w:rsid w:val="5B6E68B8"/>
    <w:rsid w:val="5B8D6C19"/>
    <w:rsid w:val="5BAA698D"/>
    <w:rsid w:val="5BCE61FA"/>
    <w:rsid w:val="5C9B134E"/>
    <w:rsid w:val="5DAA1580"/>
    <w:rsid w:val="5DF14932"/>
    <w:rsid w:val="5DFF04E8"/>
    <w:rsid w:val="5E1A6FB5"/>
    <w:rsid w:val="5E7A3CE2"/>
    <w:rsid w:val="5E960581"/>
    <w:rsid w:val="5F355496"/>
    <w:rsid w:val="5F8349F8"/>
    <w:rsid w:val="5F865CD7"/>
    <w:rsid w:val="5FB4440E"/>
    <w:rsid w:val="5FDC4484"/>
    <w:rsid w:val="5FF732A1"/>
    <w:rsid w:val="60BA0556"/>
    <w:rsid w:val="60F61E20"/>
    <w:rsid w:val="6118527D"/>
    <w:rsid w:val="61A7533B"/>
    <w:rsid w:val="61AA37BB"/>
    <w:rsid w:val="621244D5"/>
    <w:rsid w:val="62B2296D"/>
    <w:rsid w:val="62B247EF"/>
    <w:rsid w:val="636147EE"/>
    <w:rsid w:val="63DB6B9E"/>
    <w:rsid w:val="64A86918"/>
    <w:rsid w:val="65B441A4"/>
    <w:rsid w:val="65D8147F"/>
    <w:rsid w:val="66373494"/>
    <w:rsid w:val="66591B82"/>
    <w:rsid w:val="66A2527C"/>
    <w:rsid w:val="66CF4630"/>
    <w:rsid w:val="66E005EB"/>
    <w:rsid w:val="672A46AF"/>
    <w:rsid w:val="67FC76A6"/>
    <w:rsid w:val="68550B65"/>
    <w:rsid w:val="6898637C"/>
    <w:rsid w:val="68B16D7B"/>
    <w:rsid w:val="68BA7003"/>
    <w:rsid w:val="6B121E89"/>
    <w:rsid w:val="6C121EE9"/>
    <w:rsid w:val="6C281E78"/>
    <w:rsid w:val="6C307E68"/>
    <w:rsid w:val="6C920572"/>
    <w:rsid w:val="6CE07597"/>
    <w:rsid w:val="6D373324"/>
    <w:rsid w:val="6D635AD2"/>
    <w:rsid w:val="6DB227E4"/>
    <w:rsid w:val="6DBE1759"/>
    <w:rsid w:val="6DC31ECB"/>
    <w:rsid w:val="6E307289"/>
    <w:rsid w:val="6E656845"/>
    <w:rsid w:val="6F471F5D"/>
    <w:rsid w:val="6F8E74DB"/>
    <w:rsid w:val="6FE04A8C"/>
    <w:rsid w:val="70836CF8"/>
    <w:rsid w:val="70CF07C8"/>
    <w:rsid w:val="710F157A"/>
    <w:rsid w:val="716B11BC"/>
    <w:rsid w:val="71840FD7"/>
    <w:rsid w:val="718C3480"/>
    <w:rsid w:val="721D56A4"/>
    <w:rsid w:val="7225592F"/>
    <w:rsid w:val="72BC4D15"/>
    <w:rsid w:val="72F3401B"/>
    <w:rsid w:val="731416B4"/>
    <w:rsid w:val="73712518"/>
    <w:rsid w:val="738A0204"/>
    <w:rsid w:val="738E7AB2"/>
    <w:rsid w:val="73EF0074"/>
    <w:rsid w:val="74337B1E"/>
    <w:rsid w:val="74624F7D"/>
    <w:rsid w:val="74B72A06"/>
    <w:rsid w:val="7546516B"/>
    <w:rsid w:val="75AF555B"/>
    <w:rsid w:val="763204BA"/>
    <w:rsid w:val="767D2F83"/>
    <w:rsid w:val="76F3488A"/>
    <w:rsid w:val="77281C38"/>
    <w:rsid w:val="7741229E"/>
    <w:rsid w:val="781828A1"/>
    <w:rsid w:val="781C3DC0"/>
    <w:rsid w:val="78780B98"/>
    <w:rsid w:val="788E06C1"/>
    <w:rsid w:val="78D76423"/>
    <w:rsid w:val="78D80007"/>
    <w:rsid w:val="78D86E43"/>
    <w:rsid w:val="79566D81"/>
    <w:rsid w:val="79E02BD8"/>
    <w:rsid w:val="7A2B55F9"/>
    <w:rsid w:val="7A3458D0"/>
    <w:rsid w:val="7A4B048B"/>
    <w:rsid w:val="7A7C35B8"/>
    <w:rsid w:val="7A96669D"/>
    <w:rsid w:val="7AC70013"/>
    <w:rsid w:val="7AF85D08"/>
    <w:rsid w:val="7B672810"/>
    <w:rsid w:val="7B681B66"/>
    <w:rsid w:val="7C561F60"/>
    <w:rsid w:val="7C6B2EC5"/>
    <w:rsid w:val="7C831CEC"/>
    <w:rsid w:val="7DD05DCD"/>
    <w:rsid w:val="7DDF7DDD"/>
    <w:rsid w:val="7E262745"/>
    <w:rsid w:val="7E300909"/>
    <w:rsid w:val="7EC84C80"/>
    <w:rsid w:val="7EF434D2"/>
    <w:rsid w:val="7EF55FF4"/>
    <w:rsid w:val="7F0627ED"/>
    <w:rsid w:val="7FA52E31"/>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qFormat="1" w:unhideWhenUsed="0" w:uiPriority="99"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paragraph" w:styleId="5">
    <w:name w:val="heading 3"/>
    <w:next w:val="1"/>
    <w:link w:val="44"/>
    <w:qFormat/>
    <w:uiPriority w:val="0"/>
    <w:pPr>
      <w:keepNext/>
      <w:keepLines/>
      <w:widowControl w:val="0"/>
      <w:adjustRightInd w:val="0"/>
      <w:spacing w:before="40" w:beforeLines="0" w:after="40" w:afterLines="0" w:line="360" w:lineRule="auto"/>
      <w:jc w:val="both"/>
      <w:textAlignment w:val="baseline"/>
      <w:outlineLvl w:val="2"/>
    </w:pPr>
    <w:rPr>
      <w:rFonts w:ascii="宋体" w:hAnsi="宋体" w:eastAsia="宋体" w:cs="Times New Roman"/>
      <w:b/>
      <w:sz w:val="28"/>
      <w:lang w:val="en-US" w:eastAsia="zh-CN" w:bidi="ar-SA"/>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link w:val="37"/>
    <w:qFormat/>
    <w:uiPriority w:val="0"/>
    <w:rPr>
      <w:rFonts w:hint="eastAsia" w:ascii="宋体" w:hAnsi="Courier New" w:eastAsia="宋体" w:cs="Times New Roman"/>
      <w:szCs w:val="21"/>
    </w:rPr>
  </w:style>
  <w:style w:type="paragraph" w:styleId="6">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7">
    <w:name w:val="Normal Indent"/>
    <w:basedOn w:val="1"/>
    <w:qFormat/>
    <w:uiPriority w:val="0"/>
    <w:pPr>
      <w:ind w:firstLine="420"/>
    </w:pPr>
    <w:rPr>
      <w:rFonts w:ascii="Times New Roman" w:hAnsi="Times New Roman" w:eastAsia="宋体" w:cs="Times New Roman"/>
      <w:szCs w:val="20"/>
    </w:rPr>
  </w:style>
  <w:style w:type="paragraph" w:styleId="8">
    <w:name w:val="toa heading"/>
    <w:next w:val="1"/>
    <w:semiHidden/>
    <w:qFormat/>
    <w:uiPriority w:val="99"/>
    <w:pPr>
      <w:widowControl w:val="0"/>
      <w:spacing w:before="120"/>
      <w:jc w:val="both"/>
    </w:pPr>
    <w:rPr>
      <w:rFonts w:ascii="Cambria" w:hAnsi="Cambria" w:eastAsia="宋体" w:cs="Cambria"/>
      <w:sz w:val="24"/>
      <w:szCs w:val="24"/>
      <w:lang w:val="en-US" w:eastAsia="zh-CN" w:bidi="ar-SA"/>
    </w:rPr>
  </w:style>
  <w:style w:type="paragraph" w:styleId="9">
    <w:name w:val="annotation text"/>
    <w:basedOn w:val="1"/>
    <w:semiHidden/>
    <w:unhideWhenUsed/>
    <w:qFormat/>
    <w:uiPriority w:val="0"/>
    <w:pPr>
      <w:jc w:val="left"/>
    </w:pPr>
  </w:style>
  <w:style w:type="paragraph" w:styleId="10">
    <w:name w:val="Body Text"/>
    <w:basedOn w:val="1"/>
    <w:next w:val="1"/>
    <w:qFormat/>
    <w:uiPriority w:val="0"/>
  </w:style>
  <w:style w:type="paragraph" w:styleId="11">
    <w:name w:val="Balloon Text"/>
    <w:basedOn w:val="1"/>
    <w:link w:val="35"/>
    <w:qFormat/>
    <w:uiPriority w:val="0"/>
    <w:rPr>
      <w:sz w:val="18"/>
      <w:szCs w:val="18"/>
    </w:rPr>
  </w:style>
  <w:style w:type="paragraph" w:styleId="12">
    <w:name w:val="footer"/>
    <w:basedOn w:val="1"/>
    <w:link w:val="34"/>
    <w:qFormat/>
    <w:uiPriority w:val="0"/>
    <w:pPr>
      <w:tabs>
        <w:tab w:val="center" w:pos="4153"/>
        <w:tab w:val="right" w:pos="8306"/>
      </w:tabs>
      <w:snapToGrid w:val="0"/>
      <w:jc w:val="left"/>
    </w:pPr>
    <w:rPr>
      <w:sz w:val="18"/>
      <w:szCs w:val="18"/>
    </w:rPr>
  </w:style>
  <w:style w:type="paragraph" w:styleId="13">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0"/>
    <w:rPr>
      <w:rFonts w:ascii="Times New Roman" w:hAnsi="Times New Roman" w:eastAsia="宋体" w:cs="Times New Roman"/>
      <w:szCs w:val="21"/>
    </w:rPr>
  </w:style>
  <w:style w:type="paragraph" w:styleId="15">
    <w:name w:val="Subtitle"/>
    <w:next w:val="1"/>
    <w:qFormat/>
    <w:uiPriority w:val="0"/>
    <w:pPr>
      <w:widowControl w:val="0"/>
      <w:spacing w:before="240" w:after="60" w:line="312" w:lineRule="auto"/>
      <w:jc w:val="center"/>
      <w:outlineLvl w:val="1"/>
    </w:pPr>
    <w:rPr>
      <w:rFonts w:ascii="Arial" w:hAnsi="Arial" w:eastAsia="宋体" w:cs="Arial"/>
      <w:b/>
      <w:bCs/>
      <w:kern w:val="28"/>
      <w:sz w:val="32"/>
      <w:szCs w:val="32"/>
      <w:lang w:val="en-US" w:eastAsia="zh-CN" w:bidi="ar-SA"/>
    </w:rPr>
  </w:style>
  <w:style w:type="paragraph" w:styleId="16">
    <w:name w:val="Title"/>
    <w:next w:val="1"/>
    <w:qFormat/>
    <w:uiPriority w:val="0"/>
    <w:pPr>
      <w:widowControl w:val="0"/>
      <w:spacing w:before="240" w:beforeLines="0" w:after="60" w:afterLines="0"/>
      <w:jc w:val="left"/>
      <w:outlineLvl w:val="0"/>
    </w:pPr>
    <w:rPr>
      <w:rFonts w:ascii="Cambria" w:hAnsi="Cambria" w:eastAsia="宋体" w:cs="Times New Roman"/>
      <w:b/>
      <w:bCs/>
      <w:kern w:val="2"/>
      <w:sz w:val="30"/>
      <w:szCs w:val="32"/>
      <w:lang w:val="en-US" w:eastAsia="zh-CN" w:bidi="ar-SA"/>
    </w:rPr>
  </w:style>
  <w:style w:type="paragraph" w:styleId="17">
    <w:name w:val="Body Text First Indent"/>
    <w:basedOn w:val="10"/>
    <w:link w:val="38"/>
    <w:qFormat/>
    <w:uiPriority w:val="0"/>
    <w:pPr>
      <w:spacing w:beforeAutospacing="1" w:after="120"/>
      <w:ind w:firstLine="420"/>
    </w:pPr>
    <w:rPr>
      <w:rFonts w:ascii="Times New Roman" w:hAnsi="Times New Roman" w:eastAsia="宋体" w:cs="Times New Roman"/>
      <w:szCs w:val="21"/>
    </w:rPr>
  </w:style>
  <w:style w:type="character" w:styleId="20">
    <w:name w:val="page number"/>
    <w:basedOn w:val="19"/>
    <w:qFormat/>
    <w:uiPriority w:val="0"/>
  </w:style>
  <w:style w:type="character" w:styleId="21">
    <w:name w:val="FollowedHyperlink"/>
    <w:basedOn w:val="19"/>
    <w:qFormat/>
    <w:uiPriority w:val="0"/>
    <w:rPr>
      <w:color w:val="0000FF"/>
      <w:u w:val="single"/>
    </w:rPr>
  </w:style>
  <w:style w:type="character" w:styleId="22">
    <w:name w:val="Hyperlink"/>
    <w:basedOn w:val="19"/>
    <w:qFormat/>
    <w:uiPriority w:val="0"/>
    <w:rPr>
      <w:color w:val="0000FF"/>
      <w:u w:val="single"/>
    </w:rPr>
  </w:style>
  <w:style w:type="paragraph" w:customStyle="1" w:styleId="23">
    <w:name w:val="样式 小四 行距: 1.5 倍行距"/>
    <w:basedOn w:val="1"/>
    <w:qFormat/>
    <w:uiPriority w:val="0"/>
    <w:pPr>
      <w:ind w:firstLine="480"/>
    </w:pPr>
    <w:rPr>
      <w:rFonts w:cs="宋体"/>
    </w:rPr>
  </w:style>
  <w:style w:type="paragraph" w:customStyle="1" w:styleId="24">
    <w:name w:val="表格文字"/>
    <w:basedOn w:val="1"/>
    <w:qFormat/>
    <w:uiPriority w:val="0"/>
    <w:pPr>
      <w:spacing w:before="25" w:after="25"/>
      <w:jc w:val="left"/>
    </w:pPr>
    <w:rPr>
      <w:bCs/>
      <w:spacing w:val="10"/>
      <w:kern w:val="0"/>
      <w:sz w:val="24"/>
    </w:rPr>
  </w:style>
  <w:style w:type="paragraph" w:customStyle="1" w:styleId="25">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6">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7">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8">
    <w:name w:val="列出段落1"/>
    <w:basedOn w:val="1"/>
    <w:qFormat/>
    <w:uiPriority w:val="0"/>
    <w:pPr>
      <w:ind w:firstLine="420" w:firstLineChars="200"/>
    </w:pPr>
    <w:rPr>
      <w:rFonts w:ascii="Calibri" w:hAnsi="Calibri" w:eastAsia="宋体" w:cs="Times New Roman"/>
      <w:szCs w:val="21"/>
    </w:rPr>
  </w:style>
  <w:style w:type="paragraph" w:customStyle="1" w:styleId="29">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30">
    <w:name w:val="10"/>
    <w:basedOn w:val="19"/>
    <w:qFormat/>
    <w:uiPriority w:val="0"/>
    <w:rPr>
      <w:rFonts w:hint="default" w:ascii="Times New Roman" w:hAnsi="Times New Roman" w:cs="Times New Roman"/>
    </w:rPr>
  </w:style>
  <w:style w:type="character" w:customStyle="1" w:styleId="31">
    <w:name w:val="15"/>
    <w:basedOn w:val="19"/>
    <w:qFormat/>
    <w:uiPriority w:val="0"/>
    <w:rPr>
      <w:rFonts w:hint="default" w:ascii="Times New Roman" w:hAnsi="Times New Roman" w:cs="Times New Roman"/>
    </w:rPr>
  </w:style>
  <w:style w:type="character" w:customStyle="1" w:styleId="32">
    <w:name w:val="16"/>
    <w:basedOn w:val="19"/>
    <w:qFormat/>
    <w:uiPriority w:val="0"/>
    <w:rPr>
      <w:rFonts w:hint="default" w:ascii="Times New Roman" w:hAnsi="Times New Roman" w:cs="Times New Roman"/>
      <w:color w:val="0000FF"/>
      <w:u w:val="single"/>
    </w:rPr>
  </w:style>
  <w:style w:type="character" w:customStyle="1" w:styleId="33">
    <w:name w:val="页眉 Char"/>
    <w:basedOn w:val="19"/>
    <w:link w:val="13"/>
    <w:qFormat/>
    <w:uiPriority w:val="0"/>
    <w:rPr>
      <w:rFonts w:asciiTheme="minorHAnsi" w:hAnsiTheme="minorHAnsi" w:eastAsiaTheme="minorEastAsia" w:cstheme="minorBidi"/>
      <w:kern w:val="2"/>
      <w:sz w:val="18"/>
      <w:szCs w:val="18"/>
    </w:rPr>
  </w:style>
  <w:style w:type="character" w:customStyle="1" w:styleId="34">
    <w:name w:val="页脚 Char"/>
    <w:basedOn w:val="19"/>
    <w:link w:val="12"/>
    <w:qFormat/>
    <w:uiPriority w:val="0"/>
    <w:rPr>
      <w:rFonts w:asciiTheme="minorHAnsi" w:hAnsiTheme="minorHAnsi" w:eastAsiaTheme="minorEastAsia" w:cstheme="minorBidi"/>
      <w:kern w:val="2"/>
      <w:sz w:val="18"/>
      <w:szCs w:val="18"/>
    </w:rPr>
  </w:style>
  <w:style w:type="character" w:customStyle="1" w:styleId="35">
    <w:name w:val="批注框文本 Char"/>
    <w:basedOn w:val="19"/>
    <w:link w:val="11"/>
    <w:qFormat/>
    <w:uiPriority w:val="0"/>
    <w:rPr>
      <w:rFonts w:asciiTheme="minorHAnsi" w:hAnsiTheme="minorHAnsi" w:eastAsiaTheme="minorEastAsia" w:cstheme="minorBidi"/>
      <w:kern w:val="2"/>
      <w:sz w:val="18"/>
      <w:szCs w:val="18"/>
    </w:rPr>
  </w:style>
  <w:style w:type="paragraph" w:customStyle="1" w:styleId="36">
    <w:name w:val="WPSOffice手动目录 1"/>
    <w:qFormat/>
    <w:uiPriority w:val="0"/>
    <w:rPr>
      <w:rFonts w:ascii="Times New Roman" w:hAnsi="Times New Roman" w:eastAsia="宋体" w:cs="Times New Roman"/>
      <w:lang w:val="en-US" w:eastAsia="zh-CN" w:bidi="ar-SA"/>
    </w:rPr>
  </w:style>
  <w:style w:type="character" w:customStyle="1" w:styleId="37">
    <w:name w:val="纯文本 Char"/>
    <w:link w:val="2"/>
    <w:qFormat/>
    <w:uiPriority w:val="0"/>
    <w:rPr>
      <w:rFonts w:ascii="宋体" w:hAnsi="Courier New"/>
      <w:kern w:val="2"/>
      <w:sz w:val="21"/>
      <w:szCs w:val="21"/>
    </w:rPr>
  </w:style>
  <w:style w:type="character" w:customStyle="1" w:styleId="38">
    <w:name w:val="正文首行缩进 Char"/>
    <w:basedOn w:val="19"/>
    <w:link w:val="17"/>
    <w:qFormat/>
    <w:uiPriority w:val="0"/>
    <w:rPr>
      <w:kern w:val="2"/>
      <w:sz w:val="21"/>
      <w:szCs w:val="21"/>
    </w:rPr>
  </w:style>
  <w:style w:type="paragraph" w:styleId="39">
    <w:name w:val="List Paragraph"/>
    <w:basedOn w:val="1"/>
    <w:unhideWhenUsed/>
    <w:qFormat/>
    <w:uiPriority w:val="99"/>
    <w:pPr>
      <w:ind w:firstLine="420" w:firstLineChars="200"/>
    </w:pPr>
  </w:style>
  <w:style w:type="paragraph" w:customStyle="1" w:styleId="40">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41">
    <w:name w:val="发文落款"/>
    <w:basedOn w:val="40"/>
    <w:qFormat/>
    <w:uiPriority w:val="0"/>
    <w:pPr>
      <w:ind w:left="4094" w:right="607" w:firstLine="0"/>
      <w:jc w:val="center"/>
    </w:pPr>
  </w:style>
  <w:style w:type="character" w:customStyle="1" w:styleId="42">
    <w:name w:val="c Char1"/>
    <w:link w:val="43"/>
    <w:qFormat/>
    <w:uiPriority w:val="0"/>
    <w:rPr>
      <w:rFonts w:eastAsia="仿宋_GB2312" w:cs="宋体"/>
      <w:sz w:val="28"/>
    </w:rPr>
  </w:style>
  <w:style w:type="paragraph" w:customStyle="1" w:styleId="43">
    <w:name w:val="c"/>
    <w:basedOn w:val="1"/>
    <w:link w:val="42"/>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character" w:customStyle="1" w:styleId="44">
    <w:name w:val="标题 3 Char"/>
    <w:link w:val="5"/>
    <w:qFormat/>
    <w:uiPriority w:val="0"/>
    <w:rPr>
      <w:rFonts w:ascii="宋体" w:hAnsi="宋体"/>
      <w:b/>
      <w:sz w:val="28"/>
      <w:lang w:val="en-US" w:eastAsia="zh-CN" w:bidi="ar-SA"/>
    </w:rPr>
  </w:style>
  <w:style w:type="character" w:customStyle="1" w:styleId="45">
    <w:name w:val="active2"/>
    <w:basedOn w:val="19"/>
    <w:qFormat/>
    <w:uiPriority w:val="0"/>
    <w:rPr>
      <w:color w:val="00FF00"/>
      <w:shd w:val="clear" w:fill="111111"/>
    </w:rPr>
  </w:style>
  <w:style w:type="character" w:customStyle="1" w:styleId="46">
    <w:name w:val="cdropright"/>
    <w:basedOn w:val="19"/>
    <w:qFormat/>
    <w:uiPriority w:val="0"/>
  </w:style>
  <w:style w:type="character" w:customStyle="1" w:styleId="47">
    <w:name w:val="drapbtn"/>
    <w:basedOn w:val="19"/>
    <w:qFormat/>
    <w:uiPriority w:val="0"/>
  </w:style>
  <w:style w:type="character" w:customStyle="1" w:styleId="48">
    <w:name w:val="after"/>
    <w:basedOn w:val="19"/>
    <w:qFormat/>
    <w:uiPriority w:val="0"/>
    <w:rPr>
      <w:sz w:val="0"/>
      <w:szCs w:val="0"/>
    </w:rPr>
  </w:style>
  <w:style w:type="character" w:customStyle="1" w:styleId="49">
    <w:name w:val="pagechatarealistclose_box"/>
    <w:basedOn w:val="19"/>
    <w:qFormat/>
    <w:uiPriority w:val="0"/>
  </w:style>
  <w:style w:type="character" w:customStyle="1" w:styleId="50">
    <w:name w:val="pagechatarealistclose_box1"/>
    <w:basedOn w:val="19"/>
    <w:qFormat/>
    <w:uiPriority w:val="0"/>
  </w:style>
  <w:style w:type="character" w:customStyle="1" w:styleId="51">
    <w:name w:val="hilite5"/>
    <w:basedOn w:val="19"/>
    <w:qFormat/>
    <w:uiPriority w:val="0"/>
    <w:rPr>
      <w:color w:val="FFFFFF"/>
      <w:shd w:val="clear" w:fill="666666"/>
    </w:rPr>
  </w:style>
  <w:style w:type="character" w:customStyle="1" w:styleId="52">
    <w:name w:val="associateddata"/>
    <w:basedOn w:val="19"/>
    <w:qFormat/>
    <w:uiPriority w:val="0"/>
    <w:rPr>
      <w:shd w:val="clear" w:fill="50A6F9"/>
    </w:rPr>
  </w:style>
  <w:style w:type="character" w:customStyle="1" w:styleId="53">
    <w:name w:val="cy"/>
    <w:basedOn w:val="19"/>
    <w:qFormat/>
    <w:uiPriority w:val="0"/>
  </w:style>
  <w:style w:type="character" w:customStyle="1" w:styleId="54">
    <w:name w:val="cdropleft"/>
    <w:basedOn w:val="19"/>
    <w:qFormat/>
    <w:uiPriority w:val="0"/>
  </w:style>
  <w:style w:type="character" w:customStyle="1" w:styleId="55">
    <w:name w:val="ico1654"/>
    <w:basedOn w:val="19"/>
    <w:qFormat/>
    <w:uiPriority w:val="0"/>
  </w:style>
  <w:style w:type="character" w:customStyle="1" w:styleId="56">
    <w:name w:val="ico1655"/>
    <w:basedOn w:val="19"/>
    <w:qFormat/>
    <w:uiPriority w:val="0"/>
  </w:style>
  <w:style w:type="character" w:customStyle="1" w:styleId="57">
    <w:name w:val="layui-layer-tabnow"/>
    <w:basedOn w:val="19"/>
    <w:qFormat/>
    <w:uiPriority w:val="0"/>
    <w:rPr>
      <w:bdr w:val="single" w:color="CCCCCC" w:sz="6" w:space="0"/>
      <w:shd w:val="clear" w:fill="FFFFFF"/>
    </w:rPr>
  </w:style>
  <w:style w:type="character" w:customStyle="1" w:styleId="58">
    <w:name w:val="button4"/>
    <w:basedOn w:val="19"/>
    <w:qFormat/>
    <w:uiPriority w:val="0"/>
  </w:style>
  <w:style w:type="character" w:customStyle="1" w:styleId="59">
    <w:name w:val="w32"/>
    <w:basedOn w:val="19"/>
    <w:qFormat/>
    <w:uiPriority w:val="0"/>
  </w:style>
  <w:style w:type="character" w:customStyle="1" w:styleId="60">
    <w:name w:val="tmpztreemove_arrow"/>
    <w:basedOn w:val="19"/>
    <w:qFormat/>
    <w:uiPriority w:val="0"/>
  </w:style>
  <w:style w:type="character" w:customStyle="1" w:styleId="61">
    <w:name w:val="icontext1"/>
    <w:basedOn w:val="19"/>
    <w:qFormat/>
    <w:uiPriority w:val="0"/>
  </w:style>
  <w:style w:type="character" w:customStyle="1" w:styleId="62">
    <w:name w:val="icontext11"/>
    <w:basedOn w:val="19"/>
    <w:qFormat/>
    <w:uiPriority w:val="0"/>
  </w:style>
  <w:style w:type="character" w:customStyle="1" w:styleId="63">
    <w:name w:val="icontext12"/>
    <w:basedOn w:val="19"/>
    <w:qFormat/>
    <w:uiPriority w:val="0"/>
  </w:style>
  <w:style w:type="character" w:customStyle="1" w:styleId="64">
    <w:name w:val="iconline2"/>
    <w:basedOn w:val="19"/>
    <w:qFormat/>
    <w:uiPriority w:val="0"/>
  </w:style>
  <w:style w:type="character" w:customStyle="1" w:styleId="65">
    <w:name w:val="iconline21"/>
    <w:basedOn w:val="19"/>
    <w:qFormat/>
    <w:uiPriority w:val="0"/>
  </w:style>
  <w:style w:type="character" w:customStyle="1" w:styleId="66">
    <w:name w:val="icontext2"/>
    <w:basedOn w:val="19"/>
    <w:qFormat/>
    <w:uiPriority w:val="0"/>
  </w:style>
  <w:style w:type="character" w:customStyle="1" w:styleId="67">
    <w:name w:val="icontext3"/>
    <w:basedOn w:val="19"/>
    <w:qFormat/>
    <w:uiPriority w:val="0"/>
  </w:style>
  <w:style w:type="character" w:customStyle="1" w:styleId="68">
    <w:name w:val="first-child"/>
    <w:basedOn w:val="1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40</Pages>
  <Words>14980</Words>
  <Characters>15844</Characters>
  <Lines>131</Lines>
  <Paragraphs>37</Paragraphs>
  <TotalTime>8</TotalTime>
  <ScaleCrop>false</ScaleCrop>
  <LinksUpToDate>false</LinksUpToDate>
  <CharactersWithSpaces>16919</CharactersWithSpaces>
  <Application>WPS Office_11.1.0.14244_F1E327BC-269C-435d-A152-05C5408002CA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2021-10-27T11:28:00Z</dcterms:created>
  <dc:creator>cf</dc:creator>
  <cp:lastModifiedBy>作者</cp:lastModifiedBy>
  <cp:lastPrinted>2024-06-11T01:38:00Z</cp:lastPrinted>
  <dcterms:modified xsi:type="dcterms:W3CDTF">2024-06-11T01:41:20Z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2052-11.1.0.14244</vt:lpwstr>
  </property>
  <property fmtid="{D5CDD505-2E9C-101B-9397-08002B2CF9AE}" pid="3" name="ICV">
    <vt:lpwstr>8C86650449DB4E3B96C6AC437A9E72C2_13</vt:lpwstr>
  </property>
  <property fmtid="{D5CDD505-2E9C-101B-9397-08002B2CF9AE}" pid="4" name="CRO">
    <vt:lpwstr>wqlLaW5nc29mdCBQREYgdG8gV1BTIDgw</vt:lpwstr>
  </property>
  <property fmtid="{D5CDD505-2E9C-101B-9397-08002B2CF9AE}" pid="5" name="Created">
    <vt:filetime>2023-06-26T10:53:24Z</vt:filetime>
  </property>
  <property fmtid="{D5CDD505-2E9C-101B-9397-08002B2CF9AE}" pid="6" name="UsrData">
    <vt:lpwstr>6498fd9a7ac359001fd9ca81</vt:lpwstr>
  </property>
</Properties>
</file>