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360" w:lineRule="auto"/>
        <w:jc w:val="center"/>
        <w:rPr>
          <w:rFonts w:hint="eastAsia" w:ascii="方正公文小标宋" w:hAnsi="方正公文小标宋" w:eastAsia="方正公文小标宋" w:cs="方正公文小标宋"/>
          <w:b/>
          <w:bCs w:val="0"/>
          <w:kern w:val="0"/>
          <w:sz w:val="52"/>
          <w:szCs w:val="52"/>
          <w:lang w:val="en-US" w:eastAsia="zh-CN"/>
        </w:rPr>
      </w:pPr>
      <w:bookmarkStart w:id="0" w:name="_Toc28489433"/>
      <w:bookmarkStart w:id="1" w:name="_Toc14450806"/>
    </w:p>
    <w:p>
      <w:pPr>
        <w:pStyle w:val="8"/>
        <w:spacing w:line="360" w:lineRule="auto"/>
        <w:jc w:val="center"/>
        <w:rPr>
          <w:rFonts w:hint="eastAsia" w:ascii="方正公文小标宋" w:hAnsi="方正公文小标宋" w:eastAsia="方正公文小标宋" w:cs="方正公文小标宋"/>
          <w:b/>
          <w:bCs w:val="0"/>
          <w:kern w:val="0"/>
          <w:sz w:val="52"/>
          <w:szCs w:val="52"/>
        </w:rPr>
      </w:pPr>
      <w:r>
        <w:rPr>
          <w:rFonts w:hint="eastAsia" w:ascii="方正公文小标宋" w:hAnsi="方正公文小标宋" w:eastAsia="方正公文小标宋" w:cs="方正公文小标宋"/>
          <w:b/>
          <w:bCs w:val="0"/>
          <w:kern w:val="0"/>
          <w:sz w:val="52"/>
          <w:szCs w:val="52"/>
          <w:lang w:val="en-US" w:eastAsia="zh-CN"/>
        </w:rPr>
        <w:t>广州南沙</w:t>
      </w:r>
      <w:r>
        <w:rPr>
          <w:rFonts w:hint="eastAsia" w:ascii="方正公文小标宋" w:hAnsi="方正公文小标宋" w:eastAsia="方正公文小标宋" w:cs="方正公文小标宋"/>
          <w:b/>
          <w:bCs w:val="0"/>
          <w:kern w:val="0"/>
          <w:sz w:val="52"/>
          <w:szCs w:val="52"/>
        </w:rPr>
        <w:t>前锋水乡项目启动区（一期）</w:t>
      </w:r>
    </w:p>
    <w:p>
      <w:pPr>
        <w:pStyle w:val="8"/>
        <w:spacing w:line="360" w:lineRule="auto"/>
        <w:jc w:val="center"/>
        <w:rPr>
          <w:rFonts w:hint="eastAsia" w:ascii="方正公文小标宋" w:hAnsi="方正公文小标宋" w:eastAsia="方正公文小标宋" w:cs="方正公文小标宋"/>
          <w:kern w:val="0"/>
          <w:sz w:val="52"/>
          <w:szCs w:val="52"/>
        </w:rPr>
      </w:pPr>
      <w:r>
        <w:rPr>
          <w:rFonts w:hint="eastAsia" w:ascii="方正公文小标宋" w:hAnsi="方正公文小标宋" w:eastAsia="方正公文小标宋" w:cs="方正公文小标宋"/>
          <w:b/>
          <w:bCs w:val="0"/>
          <w:kern w:val="0"/>
          <w:sz w:val="52"/>
          <w:szCs w:val="52"/>
        </w:rPr>
        <w:t>厨房设备采购</w:t>
      </w:r>
      <w:r>
        <w:rPr>
          <w:rFonts w:hint="eastAsia" w:ascii="方正公文小标宋" w:hAnsi="方正公文小标宋" w:eastAsia="方正公文小标宋" w:cs="方正公文小标宋"/>
          <w:b/>
          <w:bCs w:val="0"/>
          <w:kern w:val="0"/>
          <w:sz w:val="52"/>
          <w:szCs w:val="52"/>
          <w:lang w:val="en-US" w:eastAsia="zh-CN"/>
        </w:rPr>
        <w:t>项目</w:t>
      </w:r>
    </w:p>
    <w:p>
      <w:pPr>
        <w:tabs>
          <w:tab w:val="left" w:pos="420"/>
          <w:tab w:val="left" w:pos="6660"/>
        </w:tabs>
        <w:spacing w:line="360" w:lineRule="auto"/>
        <w:jc w:val="center"/>
        <w:rPr>
          <w:rFonts w:hint="eastAsia" w:ascii="方正公文小标宋" w:hAnsi="方正公文小标宋" w:eastAsia="方正公文小标宋" w:cs="方正公文小标宋"/>
          <w:b/>
          <w:sz w:val="52"/>
          <w:szCs w:val="52"/>
        </w:rPr>
      </w:pPr>
      <w:r>
        <w:rPr>
          <w:rFonts w:hint="eastAsia" w:ascii="方正公文小标宋" w:hAnsi="方正公文小标宋" w:eastAsia="方正公文小标宋" w:cs="方正公文小标宋"/>
          <w:b/>
          <w:sz w:val="52"/>
          <w:szCs w:val="52"/>
          <w:lang w:val="en-US" w:eastAsia="zh-CN"/>
        </w:rPr>
        <w:t>邀请招标</w:t>
      </w:r>
      <w:r>
        <w:rPr>
          <w:rFonts w:hint="eastAsia" w:ascii="方正公文小标宋" w:hAnsi="方正公文小标宋" w:eastAsia="方正公文小标宋" w:cs="方正公文小标宋"/>
          <w:b/>
          <w:sz w:val="52"/>
          <w:szCs w:val="52"/>
        </w:rPr>
        <w:t>文件</w:t>
      </w:r>
    </w:p>
    <w:p>
      <w:pPr>
        <w:spacing w:line="500" w:lineRule="exact"/>
        <w:jc w:val="center"/>
        <w:rPr>
          <w:rFonts w:ascii="仿宋_GB2312" w:hAnsi="仿宋" w:eastAsia="仿宋_GB2312"/>
          <w:bCs/>
          <w:szCs w:val="28"/>
        </w:rPr>
      </w:pPr>
    </w:p>
    <w:p>
      <w:pPr>
        <w:spacing w:line="500" w:lineRule="exact"/>
        <w:jc w:val="center"/>
        <w:rPr>
          <w:rFonts w:ascii="仿宋_GB2312" w:hAnsi="仿宋" w:eastAsia="仿宋_GB2312"/>
          <w:bCs/>
          <w:szCs w:val="28"/>
        </w:rPr>
      </w:pPr>
    </w:p>
    <w:p>
      <w:pPr>
        <w:spacing w:line="500" w:lineRule="exact"/>
        <w:jc w:val="center"/>
        <w:rPr>
          <w:rFonts w:ascii="仿宋_GB2312" w:hAnsi="仿宋" w:eastAsia="仿宋_GB2312"/>
          <w:bCs/>
          <w:szCs w:val="28"/>
        </w:rPr>
      </w:pPr>
    </w:p>
    <w:p>
      <w:pPr>
        <w:spacing w:line="500" w:lineRule="exact"/>
        <w:jc w:val="center"/>
        <w:rPr>
          <w:rFonts w:ascii="仿宋_GB2312" w:hAnsi="仿宋" w:eastAsia="仿宋_GB2312"/>
          <w:bCs/>
          <w:szCs w:val="28"/>
        </w:rPr>
      </w:pPr>
    </w:p>
    <w:p>
      <w:pPr>
        <w:spacing w:line="500" w:lineRule="exact"/>
        <w:ind w:firstLine="562" w:firstLineChars="200"/>
        <w:rPr>
          <w:rFonts w:ascii="仿宋_GB2312" w:hAnsi="仿宋" w:eastAsia="仿宋_GB2312"/>
          <w:b/>
          <w:bCs/>
          <w:szCs w:val="28"/>
        </w:rPr>
      </w:pPr>
      <w:r>
        <w:rPr>
          <w:rFonts w:hint="eastAsia" w:ascii="仿宋_GB2312" w:hAnsi="仿宋" w:eastAsia="仿宋_GB2312"/>
          <w:b/>
          <w:bCs/>
          <w:szCs w:val="28"/>
        </w:rPr>
        <w:fldChar w:fldCharType="begin"/>
      </w:r>
      <w:r>
        <w:rPr>
          <w:rFonts w:hint="eastAsia" w:ascii="仿宋_GB2312" w:hAnsi="仿宋" w:eastAsia="仿宋_GB2312"/>
          <w:b/>
          <w:bCs/>
          <w:szCs w:val="28"/>
        </w:rPr>
        <w:instrText xml:space="preserve"> DOCVARIABLE  采购编号  \* MERGEFORMAT </w:instrText>
      </w:r>
      <w:r>
        <w:rPr>
          <w:rFonts w:hint="eastAsia" w:ascii="仿宋_GB2312" w:hAnsi="仿宋" w:eastAsia="仿宋_GB2312"/>
          <w:b/>
          <w:bCs/>
          <w:szCs w:val="28"/>
        </w:rPr>
        <w:fldChar w:fldCharType="end"/>
      </w:r>
    </w:p>
    <w:p>
      <w:pPr>
        <w:spacing w:line="500" w:lineRule="exact"/>
        <w:ind w:left="2146" w:leftChars="700" w:hanging="186" w:hangingChars="66"/>
        <w:rPr>
          <w:rFonts w:ascii="仿宋_GB2312" w:hAnsi="仿宋" w:eastAsia="仿宋_GB2312"/>
          <w:b/>
          <w:szCs w:val="28"/>
          <w:u w:val="single"/>
        </w:rPr>
      </w:pPr>
      <w:r>
        <w:rPr>
          <w:rFonts w:hint="eastAsia" w:ascii="仿宋_GB2312" w:hAnsi="仿宋" w:eastAsia="仿宋_GB2312"/>
          <w:b/>
          <w:bCs/>
          <w:szCs w:val="28"/>
        </w:rPr>
        <w:t xml:space="preserve"> </w:t>
      </w:r>
      <w:r>
        <w:rPr>
          <w:rFonts w:hint="eastAsia" w:ascii="仿宋_GB2312" w:hAnsi="仿宋" w:eastAsia="仿宋_GB2312"/>
          <w:b/>
          <w:bCs/>
          <w:szCs w:val="28"/>
        </w:rPr>
        <w:fldChar w:fldCharType="begin"/>
      </w:r>
      <w:r>
        <w:rPr>
          <w:rFonts w:hint="eastAsia" w:ascii="仿宋_GB2312" w:hAnsi="仿宋" w:eastAsia="仿宋_GB2312"/>
          <w:b/>
          <w:bCs/>
          <w:szCs w:val="28"/>
        </w:rPr>
        <w:instrText xml:space="preserve"> DOCVARIABLE  项目名称  \* MERGEFORMAT </w:instrText>
      </w:r>
      <w:r>
        <w:rPr>
          <w:rFonts w:hint="eastAsia" w:ascii="仿宋_GB2312" w:hAnsi="仿宋" w:eastAsia="仿宋_GB2312"/>
          <w:b/>
          <w:bCs/>
          <w:szCs w:val="28"/>
        </w:rPr>
        <w:fldChar w:fldCharType="end"/>
      </w:r>
    </w:p>
    <w:p>
      <w:pPr>
        <w:spacing w:line="500" w:lineRule="exact"/>
        <w:jc w:val="center"/>
        <w:rPr>
          <w:rFonts w:ascii="仿宋_GB2312" w:hAnsi="仿宋" w:eastAsia="仿宋_GB2312"/>
          <w:b/>
          <w:bCs/>
          <w:szCs w:val="28"/>
        </w:rPr>
      </w:pPr>
    </w:p>
    <w:p>
      <w:pPr>
        <w:spacing w:line="360" w:lineRule="auto"/>
        <w:ind w:firstLine="1606" w:firstLineChars="500"/>
        <w:jc w:val="center"/>
        <w:rPr>
          <w:rFonts w:ascii="仿宋_GB2312" w:hAnsi="仿宋" w:eastAsia="仿宋_GB2312"/>
          <w:b/>
          <w:bCs/>
          <w:sz w:val="32"/>
          <w:szCs w:val="32"/>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346" w:lineRule="atLeast"/>
        <w:ind w:left="0" w:right="0" w:firstLine="640"/>
        <w:jc w:val="center"/>
        <w:rPr>
          <w:rFonts w:hint="eastAsia" w:ascii="方正公文小标宋" w:hAnsi="方正公文小标宋" w:eastAsia="方正公文小标宋" w:cs="方正公文小标宋"/>
          <w:i w:val="0"/>
          <w:iCs w:val="0"/>
          <w:caps w:val="0"/>
          <w:color w:val="111111"/>
          <w:spacing w:val="0"/>
          <w:sz w:val="27"/>
          <w:szCs w:val="27"/>
        </w:rPr>
      </w:pPr>
      <w:r>
        <w:rPr>
          <w:rFonts w:hint="eastAsia" w:ascii="方正公文小标宋" w:hAnsi="方正公文小标宋" w:eastAsia="方正公文小标宋" w:cs="方正公文小标宋"/>
          <w:b w:val="0"/>
          <w:bCs w:val="0"/>
          <w:sz w:val="32"/>
          <w:szCs w:val="32"/>
        </w:rPr>
        <w:t>采购人：</w:t>
      </w:r>
      <w:r>
        <w:rPr>
          <w:rFonts w:hint="eastAsia" w:ascii="方正公文小标宋" w:hAnsi="方正公文小标宋" w:eastAsia="方正公文小标宋" w:cs="方正公文小标宋"/>
          <w:i w:val="0"/>
          <w:iCs w:val="0"/>
          <w:caps w:val="0"/>
          <w:color w:val="111111"/>
          <w:spacing w:val="0"/>
          <w:sz w:val="32"/>
          <w:szCs w:val="32"/>
          <w:shd w:val="clear" w:fill="FFFFFF"/>
        </w:rPr>
        <w:t>广州南沙科技投资有限公司</w:t>
      </w:r>
    </w:p>
    <w:p>
      <w:pPr>
        <w:spacing w:line="360" w:lineRule="auto"/>
        <w:ind w:firstLine="320" w:firstLineChars="100"/>
        <w:jc w:val="center"/>
        <w:rPr>
          <w:rFonts w:hint="eastAsia" w:ascii="方正公文小标宋" w:hAnsi="方正公文小标宋" w:eastAsia="方正公文小标宋" w:cs="方正公文小标宋"/>
          <w:b w:val="0"/>
          <w:bCs w:val="0"/>
          <w:sz w:val="32"/>
          <w:szCs w:val="32"/>
        </w:rPr>
      </w:pPr>
      <w:r>
        <w:rPr>
          <w:rFonts w:hint="eastAsia" w:ascii="方正公文小标宋" w:hAnsi="方正公文小标宋" w:eastAsia="方正公文小标宋" w:cs="方正公文小标宋"/>
          <w:b w:val="0"/>
          <w:bCs w:val="0"/>
          <w:sz w:val="32"/>
          <w:szCs w:val="32"/>
        </w:rPr>
        <w:t>日期：202</w:t>
      </w:r>
      <w:r>
        <w:rPr>
          <w:rFonts w:hint="eastAsia" w:ascii="方正公文小标宋" w:hAnsi="方正公文小标宋" w:eastAsia="方正公文小标宋" w:cs="方正公文小标宋"/>
          <w:b w:val="0"/>
          <w:bCs w:val="0"/>
          <w:sz w:val="32"/>
          <w:szCs w:val="32"/>
          <w:lang w:val="en-US" w:eastAsia="zh-CN"/>
        </w:rPr>
        <w:t>4</w:t>
      </w:r>
      <w:r>
        <w:rPr>
          <w:rFonts w:hint="eastAsia" w:ascii="方正公文小标宋" w:hAnsi="方正公文小标宋" w:eastAsia="方正公文小标宋" w:cs="方正公文小标宋"/>
          <w:b w:val="0"/>
          <w:bCs w:val="0"/>
          <w:sz w:val="32"/>
          <w:szCs w:val="32"/>
        </w:rPr>
        <w:t>年</w:t>
      </w:r>
      <w:r>
        <w:rPr>
          <w:rFonts w:hint="eastAsia" w:ascii="方正公文小标宋" w:hAnsi="方正公文小标宋" w:eastAsia="方正公文小标宋" w:cs="方正公文小标宋"/>
          <w:b w:val="0"/>
          <w:bCs w:val="0"/>
          <w:sz w:val="32"/>
          <w:szCs w:val="32"/>
          <w:lang w:val="en-US" w:eastAsia="zh-CN"/>
        </w:rPr>
        <w:t>9</w:t>
      </w:r>
      <w:r>
        <w:rPr>
          <w:rFonts w:hint="eastAsia" w:ascii="方正公文小标宋" w:hAnsi="方正公文小标宋" w:eastAsia="方正公文小标宋" w:cs="方正公文小标宋"/>
          <w:b w:val="0"/>
          <w:bCs w:val="0"/>
          <w:sz w:val="32"/>
          <w:szCs w:val="32"/>
        </w:rPr>
        <w:t>月</w:t>
      </w:r>
    </w:p>
    <w:p>
      <w:pPr>
        <w:jc w:val="center"/>
        <w:rPr>
          <w:rFonts w:eastAsia="华文新魏"/>
          <w:sz w:val="32"/>
          <w:szCs w:val="32"/>
        </w:rPr>
      </w:pPr>
    </w:p>
    <w:p>
      <w:pPr>
        <w:jc w:val="center"/>
        <w:rPr>
          <w:rFonts w:eastAsia="华文新魏"/>
          <w:sz w:val="32"/>
          <w:szCs w:val="32"/>
        </w:rPr>
        <w:sectPr>
          <w:headerReference r:id="rId5" w:type="first"/>
          <w:footerReference r:id="rId7" w:type="first"/>
          <w:headerReference r:id="rId3" w:type="default"/>
          <w:headerReference r:id="rId4" w:type="even"/>
          <w:footerReference r:id="rId6" w:type="even"/>
          <w:pgSz w:w="11906" w:h="16838"/>
          <w:pgMar w:top="568" w:right="1134" w:bottom="142" w:left="1588" w:header="567" w:footer="737" w:gutter="0"/>
          <w:pgBorders>
            <w:top w:val="none" w:sz="0" w:space="0"/>
            <w:left w:val="none" w:sz="0" w:space="0"/>
            <w:bottom w:val="none" w:sz="0" w:space="0"/>
            <w:right w:val="none" w:sz="0" w:space="0"/>
          </w:pgBorders>
          <w:cols w:space="720" w:num="1"/>
          <w:titlePg/>
          <w:docGrid w:type="lines" w:linePitch="312" w:charSpace="0"/>
        </w:sectPr>
      </w:pPr>
    </w:p>
    <w:p>
      <w:pPr>
        <w:jc w:val="center"/>
        <w:rPr>
          <w:rFonts w:ascii="隶书" w:eastAsia="隶书"/>
          <w:sz w:val="48"/>
          <w:szCs w:val="48"/>
        </w:rPr>
      </w:pPr>
      <w:r>
        <w:rPr>
          <w:rFonts w:hint="eastAsia" w:ascii="隶书" w:eastAsia="隶书"/>
          <w:sz w:val="48"/>
          <w:szCs w:val="48"/>
        </w:rPr>
        <w:t>温馨提示</w:t>
      </w:r>
    </w:p>
    <w:p>
      <w:pPr>
        <w:numPr>
          <w:ilvl w:val="0"/>
          <w:numId w:val="1"/>
        </w:numPr>
        <w:tabs>
          <w:tab w:val="left" w:pos="0"/>
          <w:tab w:val="left" w:pos="1080"/>
        </w:tabs>
        <w:spacing w:line="360" w:lineRule="auto"/>
        <w:ind w:left="0" w:firstLine="435"/>
        <w:rPr>
          <w:rFonts w:ascii="宋体" w:hAnsi="宋体" w:cs="宋体"/>
          <w:sz w:val="24"/>
          <w:szCs w:val="24"/>
        </w:rPr>
      </w:pPr>
      <w:r>
        <w:rPr>
          <w:rFonts w:hint="eastAsia" w:ascii="宋体" w:hAnsi="宋体" w:cs="宋体"/>
          <w:sz w:val="24"/>
          <w:szCs w:val="24"/>
          <w:lang w:val="zh-CN"/>
        </w:rPr>
        <w:t>请投标人特别留意采购文件上注明的投标截止和开标时间，逾期送达或</w:t>
      </w:r>
      <w:r>
        <w:rPr>
          <w:rFonts w:hint="eastAsia" w:ascii="宋体" w:hAnsi="宋体" w:cs="宋体"/>
          <w:b/>
          <w:sz w:val="24"/>
          <w:szCs w:val="24"/>
          <w:lang w:val="zh-CN"/>
        </w:rPr>
        <w:t>邮寄送达的投标文件</w:t>
      </w:r>
      <w:r>
        <w:rPr>
          <w:rFonts w:hint="eastAsia" w:ascii="宋体" w:hAnsi="宋体" w:cs="宋体"/>
          <w:b/>
          <w:bCs/>
          <w:sz w:val="24"/>
          <w:szCs w:val="24"/>
          <w:u w:val="single"/>
          <w:lang w:val="zh-CN"/>
        </w:rPr>
        <w:t>本单位恕不接收</w:t>
      </w:r>
      <w:r>
        <w:rPr>
          <w:rFonts w:hint="eastAsia" w:ascii="宋体" w:hAnsi="宋体" w:cs="宋体"/>
          <w:sz w:val="24"/>
          <w:szCs w:val="24"/>
          <w:lang w:val="zh-CN"/>
        </w:rPr>
        <w:t>，</w:t>
      </w:r>
      <w:r>
        <w:rPr>
          <w:rFonts w:hint="eastAsia" w:ascii="宋体" w:hAnsi="宋体" w:cs="宋体"/>
          <w:b/>
          <w:bCs/>
          <w:sz w:val="24"/>
          <w:szCs w:val="24"/>
          <w:lang w:val="zh-CN"/>
        </w:rPr>
        <w:t>请投标人适当提前到达</w:t>
      </w:r>
      <w:r>
        <w:rPr>
          <w:rFonts w:hint="eastAsia" w:ascii="宋体" w:hAnsi="宋体" w:cs="宋体"/>
          <w:b/>
          <w:bCs/>
          <w:sz w:val="24"/>
          <w:szCs w:val="24"/>
          <w:lang w:val="en-US" w:eastAsia="zh-CN"/>
        </w:rPr>
        <w:t>评标室</w:t>
      </w:r>
      <w:r>
        <w:rPr>
          <w:rFonts w:hint="eastAsia" w:ascii="宋体" w:hAnsi="宋体" w:cs="宋体"/>
          <w:b/>
          <w:bCs/>
          <w:sz w:val="24"/>
          <w:szCs w:val="24"/>
          <w:lang w:val="zh-CN"/>
        </w:rPr>
        <w:t>。</w:t>
      </w:r>
    </w:p>
    <w:p>
      <w:pPr>
        <w:numPr>
          <w:ilvl w:val="0"/>
          <w:numId w:val="1"/>
        </w:numPr>
        <w:tabs>
          <w:tab w:val="left" w:pos="0"/>
          <w:tab w:val="left" w:pos="1080"/>
        </w:tabs>
        <w:spacing w:line="360" w:lineRule="auto"/>
        <w:ind w:left="0" w:firstLine="435"/>
        <w:rPr>
          <w:rStyle w:val="27"/>
          <w:rFonts w:ascii="宋体" w:hAnsi="宋体" w:cs="宋体"/>
          <w:sz w:val="24"/>
          <w:szCs w:val="24"/>
        </w:rPr>
      </w:pPr>
      <w:r>
        <w:rPr>
          <w:rFonts w:hint="eastAsia" w:ascii="宋体" w:hAnsi="宋体" w:cs="宋体"/>
          <w:sz w:val="24"/>
          <w:szCs w:val="24"/>
          <w:lang w:val="en-US" w:eastAsia="zh-CN"/>
        </w:rPr>
        <w:t>招标</w:t>
      </w:r>
      <w:r>
        <w:rPr>
          <w:rFonts w:hint="eastAsia" w:ascii="宋体" w:hAnsi="宋体" w:cs="宋体"/>
          <w:sz w:val="24"/>
          <w:szCs w:val="24"/>
          <w:lang w:val="zh-CN"/>
        </w:rPr>
        <w:t>文件</w:t>
      </w:r>
      <w:r>
        <w:rPr>
          <w:rFonts w:hint="eastAsia" w:ascii="宋体" w:hAnsi="宋体" w:cs="宋体"/>
          <w:bCs/>
          <w:sz w:val="24"/>
          <w:szCs w:val="24"/>
        </w:rPr>
        <w:t>中标有“★”的地方均被视为重要的指标要求，</w:t>
      </w:r>
      <w:r>
        <w:rPr>
          <w:rFonts w:hint="eastAsia" w:ascii="宋体" w:hAnsi="宋体" w:cs="宋体"/>
          <w:sz w:val="24"/>
          <w:szCs w:val="24"/>
        </w:rPr>
        <w:t>必须一一响应。</w:t>
      </w:r>
      <w:r>
        <w:rPr>
          <w:rFonts w:hint="eastAsia" w:ascii="宋体" w:hAnsi="宋体" w:cs="宋体"/>
          <w:bCs/>
          <w:sz w:val="24"/>
          <w:szCs w:val="24"/>
        </w:rPr>
        <w:t>若有一项带“★”的指标要求未响应或不满足，将按投标无效处理</w:t>
      </w:r>
      <w:r>
        <w:rPr>
          <w:rFonts w:hint="eastAsia" w:ascii="宋体" w:hAnsi="宋体" w:cs="宋体"/>
          <w:sz w:val="24"/>
          <w:szCs w:val="24"/>
        </w:rPr>
        <w:t>。</w:t>
      </w:r>
    </w:p>
    <w:p>
      <w:pPr>
        <w:numPr>
          <w:ilvl w:val="0"/>
          <w:numId w:val="1"/>
        </w:numPr>
        <w:tabs>
          <w:tab w:val="left" w:pos="0"/>
          <w:tab w:val="left" w:pos="1080"/>
        </w:tabs>
        <w:spacing w:line="360" w:lineRule="auto"/>
        <w:ind w:left="0" w:firstLine="435"/>
        <w:rPr>
          <w:rFonts w:ascii="宋体" w:hAnsi="宋体" w:cs="宋体"/>
          <w:sz w:val="24"/>
          <w:szCs w:val="24"/>
        </w:rPr>
      </w:pPr>
      <w:r>
        <w:rPr>
          <w:rFonts w:hint="eastAsia" w:ascii="宋体" w:hAnsi="宋体" w:cs="宋体"/>
          <w:sz w:val="24"/>
          <w:szCs w:val="24"/>
        </w:rPr>
        <w:t>投标文件应由投标人的授权代表送达开标现场（携带身份证原件核对，授权代表必须与投标文件所授权的人员一致。）</w:t>
      </w:r>
    </w:p>
    <w:p>
      <w:pPr>
        <w:numPr>
          <w:ilvl w:val="0"/>
          <w:numId w:val="1"/>
        </w:numPr>
        <w:tabs>
          <w:tab w:val="left" w:pos="0"/>
          <w:tab w:val="left" w:pos="1080"/>
        </w:tabs>
        <w:spacing w:line="360" w:lineRule="auto"/>
        <w:ind w:left="0" w:firstLine="435"/>
        <w:rPr>
          <w:rFonts w:ascii="宋体" w:hAnsi="宋体" w:cs="宋体"/>
          <w:sz w:val="24"/>
          <w:szCs w:val="24"/>
        </w:rPr>
      </w:pPr>
      <w:r>
        <w:rPr>
          <w:rFonts w:hint="eastAsia" w:ascii="宋体" w:hAnsi="宋体" w:cs="宋体"/>
          <w:sz w:val="24"/>
          <w:szCs w:val="24"/>
        </w:rPr>
        <w:t>为保证投标人的切身利益，避免评委小组在评审过程中遗漏，建议将投标文件按</w:t>
      </w:r>
      <w:r>
        <w:rPr>
          <w:rFonts w:hint="eastAsia" w:ascii="宋体" w:hAnsi="宋体" w:cs="宋体"/>
          <w:sz w:val="24"/>
          <w:szCs w:val="24"/>
          <w:lang w:val="en-US" w:eastAsia="zh-CN"/>
        </w:rPr>
        <w:t>招标</w:t>
      </w:r>
      <w:r>
        <w:rPr>
          <w:rFonts w:hint="eastAsia" w:ascii="宋体" w:hAnsi="宋体" w:cs="宋体"/>
          <w:sz w:val="24"/>
          <w:szCs w:val="24"/>
          <w:lang w:val="zh-CN"/>
        </w:rPr>
        <w:t>文件</w:t>
      </w:r>
      <w:r>
        <w:rPr>
          <w:rFonts w:hint="eastAsia" w:ascii="宋体" w:hAnsi="宋体" w:cs="宋体"/>
          <w:sz w:val="24"/>
          <w:szCs w:val="24"/>
        </w:rPr>
        <w:t>描述的顺序编制页码。</w:t>
      </w:r>
    </w:p>
    <w:p>
      <w:pPr>
        <w:numPr>
          <w:ilvl w:val="0"/>
          <w:numId w:val="1"/>
        </w:numPr>
        <w:tabs>
          <w:tab w:val="left" w:pos="0"/>
          <w:tab w:val="left" w:pos="1080"/>
        </w:tabs>
        <w:spacing w:line="360" w:lineRule="auto"/>
        <w:ind w:left="0" w:firstLine="435"/>
        <w:rPr>
          <w:rFonts w:ascii="宋体" w:hAnsi="宋体" w:cs="宋体"/>
          <w:sz w:val="24"/>
          <w:szCs w:val="24"/>
        </w:rPr>
      </w:pPr>
      <w:r>
        <w:rPr>
          <w:rStyle w:val="27"/>
          <w:rFonts w:hint="eastAsia" w:ascii="宋体" w:hAnsi="宋体" w:cs="宋体"/>
          <w:sz w:val="24"/>
          <w:szCs w:val="24"/>
        </w:rPr>
        <w:t>我单位不对投标人领取</w:t>
      </w:r>
      <w:r>
        <w:rPr>
          <w:rFonts w:hint="eastAsia" w:ascii="宋体" w:hAnsi="宋体" w:cs="宋体"/>
          <w:sz w:val="24"/>
          <w:szCs w:val="24"/>
          <w:lang w:val="en-US" w:eastAsia="zh-CN"/>
        </w:rPr>
        <w:t>招标</w:t>
      </w:r>
      <w:r>
        <w:rPr>
          <w:rFonts w:hint="eastAsia" w:ascii="宋体" w:hAnsi="宋体" w:cs="宋体"/>
          <w:sz w:val="24"/>
          <w:szCs w:val="24"/>
          <w:lang w:val="zh-CN"/>
        </w:rPr>
        <w:t>文件</w:t>
      </w:r>
      <w:r>
        <w:rPr>
          <w:rStyle w:val="27"/>
          <w:rFonts w:hint="eastAsia" w:ascii="宋体" w:hAnsi="宋体" w:cs="宋体"/>
          <w:sz w:val="24"/>
          <w:szCs w:val="24"/>
        </w:rPr>
        <w:t>时提交的相关资料的真伪做出判断，如投标人发现相关资料被盗用或复制，建议遵循法律途径解决，追究侵权者责任。</w:t>
      </w:r>
    </w:p>
    <w:p>
      <w:pPr>
        <w:tabs>
          <w:tab w:val="left" w:pos="1080"/>
        </w:tabs>
        <w:spacing w:line="360" w:lineRule="auto"/>
        <w:rPr>
          <w:rFonts w:ascii="宋体" w:hAnsi="宋体"/>
          <w:sz w:val="24"/>
        </w:rPr>
      </w:pPr>
    </w:p>
    <w:p>
      <w:pPr>
        <w:spacing w:line="360" w:lineRule="auto"/>
        <w:rPr>
          <w:rFonts w:ascii="宋体" w:hAnsi="宋体" w:cs="仿宋_GB2312"/>
          <w:sz w:val="24"/>
          <w:lang w:val="zh-CN"/>
        </w:rPr>
      </w:pPr>
      <w:r>
        <w:rPr>
          <w:rFonts w:hint="eastAsia" w:ascii="宋体" w:hAnsi="宋体" w:cs="仿宋_GB2312"/>
          <w:sz w:val="24"/>
          <w:lang w:val="zh-CN"/>
        </w:rPr>
        <w:t>（本注意事项非</w:t>
      </w:r>
      <w:r>
        <w:rPr>
          <w:rFonts w:hint="eastAsia" w:ascii="宋体" w:hAnsi="宋体" w:cs="宋体"/>
          <w:sz w:val="24"/>
          <w:lang w:val="en-US" w:eastAsia="zh-CN"/>
        </w:rPr>
        <w:t>招标</w:t>
      </w:r>
      <w:r>
        <w:rPr>
          <w:rFonts w:hint="eastAsia" w:ascii="宋体" w:hAnsi="宋体" w:cs="宋体"/>
          <w:sz w:val="24"/>
          <w:lang w:val="zh-CN"/>
        </w:rPr>
        <w:t>文件</w:t>
      </w:r>
      <w:r>
        <w:rPr>
          <w:rFonts w:hint="eastAsia" w:ascii="宋体" w:hAnsi="宋体" w:cs="仿宋_GB2312"/>
          <w:sz w:val="24"/>
          <w:lang w:val="zh-CN"/>
        </w:rPr>
        <w:t>的组成部分，仅作善意提醒。若有不同，均以</w:t>
      </w:r>
      <w:r>
        <w:rPr>
          <w:rFonts w:hint="eastAsia" w:ascii="宋体" w:hAnsi="宋体" w:cs="宋体"/>
          <w:sz w:val="24"/>
          <w:lang w:val="zh-CN"/>
        </w:rPr>
        <w:t>采购文件</w:t>
      </w:r>
      <w:r>
        <w:rPr>
          <w:rFonts w:hint="eastAsia" w:ascii="宋体" w:hAnsi="宋体" w:cs="仿宋_GB2312"/>
          <w:sz w:val="24"/>
          <w:lang w:val="zh-CN"/>
        </w:rPr>
        <w:t>为准。）</w:t>
      </w:r>
    </w:p>
    <w:p>
      <w:pPr>
        <w:rPr>
          <w:rFonts w:ascii="宋体" w:hAnsi="宋体"/>
          <w:sz w:val="32"/>
          <w:szCs w:val="32"/>
        </w:rPr>
      </w:pPr>
    </w:p>
    <w:p>
      <w:pPr>
        <w:spacing w:before="156" w:beforeLines="50" w:after="156" w:afterLines="50" w:line="360" w:lineRule="auto"/>
        <w:rPr>
          <w:rFonts w:ascii="宋体" w:hAnsi="宋体"/>
          <w:b/>
          <w:sz w:val="36"/>
        </w:rPr>
      </w:pPr>
    </w:p>
    <w:p>
      <w:pPr>
        <w:spacing w:before="156" w:beforeLines="50" w:after="156" w:afterLines="50" w:line="360" w:lineRule="auto"/>
        <w:rPr>
          <w:rFonts w:ascii="宋体" w:hAnsi="宋体"/>
          <w:b/>
          <w:sz w:val="36"/>
        </w:rPr>
      </w:pPr>
    </w:p>
    <w:p>
      <w:pPr>
        <w:spacing w:before="156" w:beforeLines="50" w:after="156" w:afterLines="50" w:line="360" w:lineRule="auto"/>
        <w:rPr>
          <w:rFonts w:ascii="宋体" w:hAnsi="宋体"/>
          <w:b/>
          <w:sz w:val="36"/>
        </w:rPr>
      </w:pPr>
    </w:p>
    <w:p>
      <w:pPr>
        <w:spacing w:before="156" w:beforeLines="50" w:after="156" w:afterLines="50" w:line="360" w:lineRule="auto"/>
        <w:jc w:val="center"/>
        <w:rPr>
          <w:rFonts w:ascii="宋体" w:hAnsi="宋体"/>
          <w:b/>
          <w:sz w:val="36"/>
        </w:rPr>
      </w:pPr>
    </w:p>
    <w:p>
      <w:pPr>
        <w:spacing w:before="156" w:beforeLines="50" w:after="156" w:afterLines="50" w:line="360" w:lineRule="auto"/>
        <w:jc w:val="center"/>
        <w:rPr>
          <w:rFonts w:ascii="宋体" w:hAnsi="宋体"/>
          <w:b/>
          <w:sz w:val="36"/>
        </w:rPr>
      </w:pPr>
    </w:p>
    <w:p>
      <w:pPr>
        <w:spacing w:before="156" w:beforeLines="50" w:after="156" w:afterLines="50" w:line="360" w:lineRule="auto"/>
        <w:jc w:val="center"/>
        <w:rPr>
          <w:rFonts w:ascii="宋体" w:hAnsi="宋体"/>
          <w:b/>
          <w:sz w:val="36"/>
        </w:rPr>
      </w:pPr>
    </w:p>
    <w:p>
      <w:pPr>
        <w:spacing w:before="156" w:beforeLines="50" w:after="156" w:afterLines="50" w:line="360" w:lineRule="auto"/>
        <w:jc w:val="center"/>
        <w:rPr>
          <w:rFonts w:ascii="宋体" w:hAnsi="宋体"/>
          <w:b/>
          <w:sz w:val="36"/>
        </w:rPr>
        <w:sectPr>
          <w:footerReference r:id="rId8" w:type="default"/>
          <w:pgSz w:w="11906" w:h="16838"/>
          <w:pgMar w:top="568" w:right="1134" w:bottom="142" w:left="1588" w:header="567" w:footer="737" w:gutter="0"/>
          <w:pgBorders>
            <w:top w:val="none" w:sz="0" w:space="0"/>
            <w:left w:val="none" w:sz="0" w:space="0"/>
            <w:bottom w:val="none" w:sz="0" w:space="0"/>
            <w:right w:val="none" w:sz="0" w:space="0"/>
          </w:pgBorders>
          <w:pgNumType w:start="1"/>
          <w:cols w:space="720" w:num="1"/>
          <w:docGrid w:type="lines" w:linePitch="312" w:charSpace="0"/>
        </w:sectPr>
      </w:pPr>
    </w:p>
    <w:p>
      <w:pPr>
        <w:pStyle w:val="6"/>
      </w:pPr>
    </w:p>
    <w:p>
      <w:pPr>
        <w:spacing w:before="156" w:beforeLines="50" w:after="156" w:afterLines="50" w:line="360" w:lineRule="auto"/>
        <w:jc w:val="center"/>
        <w:rPr>
          <w:rFonts w:ascii="宋体" w:hAnsi="宋体"/>
          <w:b/>
          <w:sz w:val="36"/>
        </w:rPr>
      </w:pPr>
      <w:r>
        <w:rPr>
          <w:rFonts w:hint="eastAsia" w:ascii="宋体" w:hAnsi="宋体"/>
          <w:b/>
          <w:sz w:val="36"/>
        </w:rPr>
        <w:t>目   录</w:t>
      </w:r>
    </w:p>
    <w:p>
      <w:pPr>
        <w:pStyle w:val="15"/>
        <w:tabs>
          <w:tab w:val="right" w:leader="dot" w:pos="9184"/>
        </w:tabs>
        <w:rPr>
          <w:sz w:val="26"/>
          <w:szCs w:val="26"/>
        </w:rPr>
      </w:pPr>
      <w:r>
        <w:rPr>
          <w:rFonts w:ascii="宋体" w:hAnsi="宋体"/>
          <w:b w:val="0"/>
          <w:bCs w:val="0"/>
          <w:caps w:val="0"/>
          <w:smallCaps/>
          <w:sz w:val="28"/>
          <w:szCs w:val="28"/>
        </w:rPr>
        <w:fldChar w:fldCharType="begin"/>
      </w:r>
      <w:r>
        <w:rPr>
          <w:rStyle w:val="25"/>
          <w:b w:val="0"/>
          <w:bCs w:val="0"/>
          <w:caps w:val="0"/>
          <w:smallCaps/>
          <w:color w:val="auto"/>
        </w:rPr>
        <w:instrText xml:space="preserve"> TOC \o "1-1" \h \z \u </w:instrText>
      </w:r>
      <w:r>
        <w:rPr>
          <w:rFonts w:ascii="宋体" w:hAnsi="宋体"/>
          <w:b w:val="0"/>
          <w:bCs w:val="0"/>
          <w:caps w:val="0"/>
          <w:smallCaps/>
          <w:sz w:val="28"/>
          <w:szCs w:val="28"/>
        </w:rPr>
        <w:fldChar w:fldCharType="separate"/>
      </w:r>
      <w:r>
        <w:fldChar w:fldCharType="begin"/>
      </w:r>
      <w:r>
        <w:instrText xml:space="preserve"> HYPERLINK \l "_Toc29159" </w:instrText>
      </w:r>
      <w:r>
        <w:fldChar w:fldCharType="separate"/>
      </w:r>
      <w:r>
        <w:rPr>
          <w:rFonts w:hint="eastAsia"/>
          <w:sz w:val="26"/>
          <w:szCs w:val="26"/>
        </w:rPr>
        <w:t>第一章 投标邀</w:t>
      </w:r>
      <w:bookmarkStart w:id="2" w:name="_Hlt100840412"/>
      <w:bookmarkStart w:id="3" w:name="_Hlt100840413"/>
      <w:r>
        <w:rPr>
          <w:rFonts w:hint="eastAsia"/>
          <w:sz w:val="26"/>
          <w:szCs w:val="26"/>
        </w:rPr>
        <w:t>请</w:t>
      </w:r>
      <w:bookmarkEnd w:id="2"/>
      <w:bookmarkEnd w:id="3"/>
      <w:r>
        <w:rPr>
          <w:sz w:val="26"/>
          <w:szCs w:val="26"/>
        </w:rPr>
        <w:tab/>
      </w:r>
      <w:r>
        <w:rPr>
          <w:rFonts w:hint="eastAsia"/>
          <w:sz w:val="26"/>
          <w:szCs w:val="26"/>
          <w:lang w:val="en-US" w:eastAsia="zh-CN"/>
        </w:rPr>
        <w:t>3</w:t>
      </w:r>
      <w:r>
        <w:rPr>
          <w:rFonts w:hint="eastAsia"/>
          <w:sz w:val="26"/>
          <w:szCs w:val="26"/>
        </w:rPr>
        <w:fldChar w:fldCharType="end"/>
      </w:r>
    </w:p>
    <w:p>
      <w:pPr>
        <w:pStyle w:val="15"/>
        <w:tabs>
          <w:tab w:val="right" w:leader="dot" w:pos="9184"/>
        </w:tabs>
        <w:rPr>
          <w:sz w:val="26"/>
          <w:szCs w:val="26"/>
        </w:rPr>
      </w:pPr>
      <w:r>
        <w:fldChar w:fldCharType="begin"/>
      </w:r>
      <w:r>
        <w:instrText xml:space="preserve"> HYPERLINK \l "_Toc16402" </w:instrText>
      </w:r>
      <w:r>
        <w:fldChar w:fldCharType="separate"/>
      </w:r>
      <w:r>
        <w:rPr>
          <w:rFonts w:hint="eastAsia"/>
          <w:sz w:val="26"/>
          <w:szCs w:val="26"/>
        </w:rPr>
        <w:t>第二章 投标人</w:t>
      </w:r>
      <w:bookmarkStart w:id="4" w:name="_Hlt100840420"/>
      <w:r>
        <w:rPr>
          <w:rFonts w:hint="eastAsia"/>
          <w:sz w:val="26"/>
          <w:szCs w:val="26"/>
        </w:rPr>
        <w:t>须</w:t>
      </w:r>
      <w:bookmarkEnd w:id="4"/>
      <w:r>
        <w:rPr>
          <w:rFonts w:hint="eastAsia"/>
          <w:sz w:val="26"/>
          <w:szCs w:val="26"/>
        </w:rPr>
        <w:t>知</w:t>
      </w:r>
      <w:r>
        <w:rPr>
          <w:sz w:val="26"/>
          <w:szCs w:val="26"/>
        </w:rPr>
        <w:tab/>
      </w:r>
      <w:r>
        <w:rPr>
          <w:rFonts w:hint="eastAsia"/>
          <w:sz w:val="26"/>
          <w:szCs w:val="26"/>
        </w:rPr>
        <w:t>8</w:t>
      </w:r>
      <w:r>
        <w:rPr>
          <w:rFonts w:hint="eastAsia"/>
          <w:sz w:val="26"/>
          <w:szCs w:val="26"/>
        </w:rPr>
        <w:fldChar w:fldCharType="end"/>
      </w:r>
    </w:p>
    <w:p>
      <w:pPr>
        <w:pStyle w:val="15"/>
        <w:tabs>
          <w:tab w:val="right" w:leader="dot" w:pos="9184"/>
        </w:tabs>
        <w:rPr>
          <w:sz w:val="26"/>
          <w:szCs w:val="26"/>
        </w:rPr>
      </w:pPr>
      <w:r>
        <w:rPr>
          <w:rFonts w:hint="eastAsia"/>
          <w:sz w:val="26"/>
          <w:szCs w:val="26"/>
        </w:rPr>
        <w:fldChar w:fldCharType="begin"/>
      </w:r>
      <w:r>
        <w:rPr>
          <w:rFonts w:hint="eastAsia"/>
          <w:sz w:val="26"/>
          <w:szCs w:val="26"/>
        </w:rPr>
        <w:instrText xml:space="preserve"> HYPERLINK \l "_Toc14957" </w:instrText>
      </w:r>
      <w:r>
        <w:rPr>
          <w:rFonts w:hint="eastAsia"/>
          <w:sz w:val="26"/>
          <w:szCs w:val="26"/>
        </w:rPr>
        <w:fldChar w:fldCharType="separate"/>
      </w:r>
      <w:r>
        <w:rPr>
          <w:rFonts w:hint="eastAsia"/>
          <w:sz w:val="26"/>
          <w:szCs w:val="26"/>
        </w:rPr>
        <w:t>第三章 用户需求书</w:t>
      </w:r>
      <w:bookmarkStart w:id="5" w:name="_Hlt100840445"/>
      <w:r>
        <w:rPr>
          <w:sz w:val="26"/>
          <w:szCs w:val="26"/>
        </w:rPr>
        <w:tab/>
      </w:r>
      <w:bookmarkEnd w:id="5"/>
      <w:r>
        <w:rPr>
          <w:rFonts w:hint="eastAsia"/>
          <w:sz w:val="26"/>
          <w:szCs w:val="26"/>
        </w:rPr>
        <w:fldChar w:fldCharType="end"/>
      </w:r>
      <w:r>
        <w:rPr>
          <w:rFonts w:hint="eastAsia"/>
          <w:sz w:val="26"/>
          <w:szCs w:val="26"/>
          <w:lang w:val="en-US" w:eastAsia="zh-CN"/>
        </w:rPr>
        <w:t>19</w:t>
      </w:r>
    </w:p>
    <w:p>
      <w:pPr>
        <w:pStyle w:val="15"/>
        <w:tabs>
          <w:tab w:val="right" w:leader="dot" w:pos="9184"/>
        </w:tabs>
        <w:rPr>
          <w:sz w:val="26"/>
          <w:szCs w:val="26"/>
        </w:rPr>
      </w:pPr>
      <w:r>
        <w:rPr>
          <w:rFonts w:hint="eastAsia"/>
          <w:sz w:val="26"/>
          <w:szCs w:val="26"/>
        </w:rPr>
        <w:fldChar w:fldCharType="begin"/>
      </w:r>
      <w:r>
        <w:rPr>
          <w:rFonts w:hint="eastAsia"/>
          <w:sz w:val="26"/>
          <w:szCs w:val="26"/>
        </w:rPr>
        <w:instrText xml:space="preserve"> HYPERLINK \l "_Toc21306" </w:instrText>
      </w:r>
      <w:r>
        <w:rPr>
          <w:rFonts w:hint="eastAsia"/>
          <w:sz w:val="26"/>
          <w:szCs w:val="26"/>
        </w:rPr>
        <w:fldChar w:fldCharType="separate"/>
      </w:r>
      <w:r>
        <w:rPr>
          <w:rFonts w:hint="eastAsia"/>
          <w:sz w:val="26"/>
          <w:szCs w:val="26"/>
        </w:rPr>
        <w:t>第四章 合同文本</w:t>
      </w:r>
      <w:r>
        <w:rPr>
          <w:rFonts w:hint="eastAsia"/>
          <w:sz w:val="26"/>
          <w:szCs w:val="26"/>
        </w:rPr>
        <w:tab/>
      </w:r>
      <w:r>
        <w:rPr>
          <w:rFonts w:hint="eastAsia"/>
          <w:sz w:val="26"/>
          <w:szCs w:val="26"/>
        </w:rPr>
        <w:fldChar w:fldCharType="end"/>
      </w:r>
      <w:r>
        <w:rPr>
          <w:rFonts w:hint="eastAsia"/>
          <w:sz w:val="26"/>
          <w:szCs w:val="26"/>
          <w:lang w:val="en-US" w:eastAsia="zh-CN"/>
        </w:rPr>
        <w:t>29</w:t>
      </w:r>
    </w:p>
    <w:p>
      <w:pPr>
        <w:pStyle w:val="15"/>
        <w:tabs>
          <w:tab w:val="right" w:leader="dot" w:pos="9184"/>
        </w:tabs>
        <w:rPr>
          <w:rFonts w:hint="eastAsia"/>
          <w:bCs/>
          <w:caps/>
          <w:smallCaps w:val="0"/>
          <w:sz w:val="26"/>
          <w:szCs w:val="26"/>
          <w:lang w:val="en-US" w:eastAsia="zh-CN"/>
        </w:rPr>
      </w:pPr>
      <w:r>
        <w:fldChar w:fldCharType="begin"/>
      </w:r>
      <w:r>
        <w:instrText xml:space="preserve"> HYPERLINK \l "_Toc3559" </w:instrText>
      </w:r>
      <w:r>
        <w:fldChar w:fldCharType="separate"/>
      </w:r>
      <w:r>
        <w:rPr>
          <w:rFonts w:hint="eastAsia"/>
          <w:sz w:val="26"/>
          <w:szCs w:val="26"/>
        </w:rPr>
        <w:t>第五章 附    件（格式）</w:t>
      </w:r>
      <w:r>
        <w:rPr>
          <w:sz w:val="26"/>
          <w:szCs w:val="26"/>
        </w:rPr>
        <w:tab/>
      </w:r>
      <w:r>
        <w:rPr>
          <w:sz w:val="26"/>
          <w:szCs w:val="26"/>
        </w:rPr>
        <w:fldChar w:fldCharType="end"/>
      </w:r>
      <w:r>
        <w:rPr>
          <w:rFonts w:hint="eastAsia" w:ascii="Times New Roman" w:hAnsi="Times New Roman"/>
          <w:bCs/>
          <w:caps/>
          <w:smallCaps w:val="0"/>
          <w:sz w:val="26"/>
          <w:szCs w:val="26"/>
        </w:rPr>
        <w:t>3</w:t>
      </w:r>
      <w:r>
        <w:rPr>
          <w:rFonts w:hint="eastAsia"/>
          <w:bCs/>
          <w:caps/>
          <w:smallCaps w:val="0"/>
          <w:sz w:val="26"/>
          <w:szCs w:val="26"/>
          <w:lang w:val="en-US" w:eastAsia="zh-CN"/>
        </w:rPr>
        <w:t>4</w:t>
      </w:r>
    </w:p>
    <w:p>
      <w:pPr>
        <w:pStyle w:val="15"/>
        <w:tabs>
          <w:tab w:val="right" w:leader="dot" w:pos="9184"/>
        </w:tabs>
        <w:rPr>
          <w:rFonts w:hint="eastAsia" w:eastAsia="宋体"/>
          <w:lang w:val="en-US" w:eastAsia="zh-CN"/>
        </w:rPr>
      </w:pPr>
      <w:r>
        <w:fldChar w:fldCharType="begin"/>
      </w:r>
      <w:r>
        <w:instrText xml:space="preserve"> HYPERLINK \l "_Toc14490" </w:instrText>
      </w:r>
      <w:r>
        <w:fldChar w:fldCharType="separate"/>
      </w:r>
      <w:r>
        <w:rPr>
          <w:rFonts w:hint="eastAsia"/>
          <w:sz w:val="26"/>
          <w:szCs w:val="26"/>
        </w:rPr>
        <w:t>第六章 评标细则</w:t>
      </w:r>
      <w:r>
        <w:rPr>
          <w:sz w:val="26"/>
          <w:szCs w:val="26"/>
        </w:rPr>
        <w:tab/>
      </w:r>
      <w:r>
        <w:rPr>
          <w:rFonts w:hint="eastAsia"/>
          <w:sz w:val="26"/>
          <w:szCs w:val="26"/>
        </w:rPr>
        <w:fldChar w:fldCharType="end"/>
      </w:r>
      <w:r>
        <w:rPr>
          <w:rFonts w:hint="eastAsia"/>
          <w:sz w:val="26"/>
          <w:szCs w:val="26"/>
          <w:lang w:val="en-US" w:eastAsia="zh-CN"/>
        </w:rPr>
        <w:t>48</w:t>
      </w:r>
    </w:p>
    <w:p>
      <w:pPr>
        <w:spacing w:before="312" w:beforeLines="100" w:after="312" w:afterLines="100" w:line="360" w:lineRule="auto"/>
        <w:rPr>
          <w:rStyle w:val="25"/>
          <w:smallCaps/>
          <w:color w:val="auto"/>
        </w:rPr>
        <w:sectPr>
          <w:footerReference r:id="rId9" w:type="default"/>
          <w:pgSz w:w="11906" w:h="16838"/>
          <w:pgMar w:top="568" w:right="1134" w:bottom="142" w:left="1588" w:header="567" w:footer="737" w:gutter="0"/>
          <w:pgBorders>
            <w:top w:val="none" w:sz="0" w:space="0"/>
            <w:left w:val="none" w:sz="0" w:space="0"/>
            <w:bottom w:val="none" w:sz="0" w:space="0"/>
            <w:right w:val="none" w:sz="0" w:space="0"/>
          </w:pgBorders>
          <w:cols w:space="720" w:num="1"/>
          <w:docGrid w:type="lines" w:linePitch="312" w:charSpace="0"/>
        </w:sectPr>
      </w:pPr>
      <w:r>
        <w:rPr>
          <w:rFonts w:ascii="宋体" w:hAnsi="宋体"/>
          <w:bCs/>
          <w:caps/>
          <w:smallCaps/>
          <w:szCs w:val="28"/>
        </w:rPr>
        <w:fldChar w:fldCharType="end"/>
      </w:r>
    </w:p>
    <w:p>
      <w:pPr>
        <w:spacing w:line="360" w:lineRule="auto"/>
        <w:rPr>
          <w:rFonts w:ascii="宋体" w:hAnsi="宋体"/>
        </w:rPr>
      </w:pPr>
    </w:p>
    <w:p>
      <w:pPr>
        <w:pStyle w:val="8"/>
        <w:rPr>
          <w:rFonts w:ascii="宋体" w:hAnsi="宋体"/>
          <w:sz w:val="28"/>
          <w:szCs w:val="28"/>
        </w:rPr>
      </w:pPr>
    </w:p>
    <w:p>
      <w:pPr>
        <w:rPr>
          <w:rFonts w:ascii="宋体" w:hAnsi="宋体"/>
          <w:b/>
          <w:szCs w:val="28"/>
        </w:rPr>
      </w:pPr>
    </w:p>
    <w:p>
      <w:pPr>
        <w:pStyle w:val="8"/>
        <w:rPr>
          <w:rFonts w:ascii="宋体" w:hAnsi="宋体"/>
          <w:sz w:val="28"/>
          <w:szCs w:val="28"/>
        </w:rPr>
      </w:pPr>
    </w:p>
    <w:p>
      <w:pPr>
        <w:rPr>
          <w:rFonts w:ascii="宋体" w:hAnsi="宋体"/>
          <w:b/>
          <w:szCs w:val="28"/>
        </w:rPr>
      </w:pPr>
    </w:p>
    <w:p>
      <w:pPr>
        <w:pStyle w:val="8"/>
        <w:rPr>
          <w:rFonts w:ascii="宋体" w:hAnsi="宋体"/>
          <w:sz w:val="28"/>
          <w:szCs w:val="28"/>
        </w:rPr>
      </w:pPr>
    </w:p>
    <w:p>
      <w:pPr>
        <w:rPr>
          <w:rFonts w:ascii="宋体" w:hAnsi="宋体"/>
          <w:b/>
          <w:szCs w:val="28"/>
        </w:rPr>
      </w:pPr>
    </w:p>
    <w:p>
      <w:pPr>
        <w:pStyle w:val="2"/>
        <w:ind w:right="-588"/>
        <w:rPr>
          <w:rFonts w:hint="eastAsia"/>
          <w:sz w:val="44"/>
        </w:rPr>
      </w:pPr>
      <w:bookmarkStart w:id="6" w:name="_Toc14941"/>
      <w:bookmarkStart w:id="7" w:name="_Toc17140"/>
      <w:bookmarkStart w:id="8" w:name="_Toc5683"/>
      <w:bookmarkStart w:id="9" w:name="_Toc29130"/>
      <w:bookmarkStart w:id="10" w:name="_Toc458795995"/>
      <w:bookmarkStart w:id="11" w:name="_Toc23410"/>
      <w:bookmarkStart w:id="12" w:name="_Toc3611"/>
      <w:bookmarkStart w:id="13" w:name="_Toc29159"/>
      <w:bookmarkStart w:id="14" w:name="_Toc20983"/>
      <w:bookmarkStart w:id="15" w:name="_Toc4222"/>
      <w:bookmarkStart w:id="16" w:name="_Toc18494"/>
    </w:p>
    <w:p>
      <w:pPr>
        <w:pStyle w:val="2"/>
        <w:ind w:right="-588"/>
        <w:rPr>
          <w:rFonts w:hint="eastAsia"/>
          <w:sz w:val="44"/>
        </w:rPr>
      </w:pPr>
    </w:p>
    <w:p>
      <w:pPr>
        <w:pStyle w:val="2"/>
        <w:ind w:right="-588"/>
        <w:rPr>
          <w:rFonts w:hint="eastAsia"/>
          <w:sz w:val="44"/>
        </w:rPr>
      </w:pPr>
    </w:p>
    <w:p>
      <w:pPr>
        <w:pStyle w:val="2"/>
        <w:ind w:right="-588" w:firstLine="2650" w:firstLineChars="600"/>
        <w:jc w:val="both"/>
        <w:rPr>
          <w:sz w:val="44"/>
        </w:rPr>
      </w:pPr>
      <w:r>
        <w:rPr>
          <w:rFonts w:hint="eastAsia"/>
          <w:sz w:val="44"/>
        </w:rPr>
        <w:t>第一章</w:t>
      </w:r>
      <w:bookmarkStart w:id="17" w:name="_Toc10525513"/>
      <w:r>
        <w:rPr>
          <w:rFonts w:hint="eastAsia"/>
          <w:sz w:val="44"/>
        </w:rPr>
        <w:t xml:space="preserve"> 投标邀请</w:t>
      </w:r>
      <w:bookmarkEnd w:id="0"/>
      <w:bookmarkEnd w:id="1"/>
      <w:bookmarkEnd w:id="6"/>
      <w:bookmarkEnd w:id="7"/>
      <w:bookmarkEnd w:id="8"/>
      <w:bookmarkEnd w:id="9"/>
      <w:bookmarkEnd w:id="10"/>
      <w:bookmarkEnd w:id="11"/>
      <w:bookmarkEnd w:id="12"/>
      <w:bookmarkEnd w:id="13"/>
      <w:bookmarkEnd w:id="14"/>
      <w:bookmarkEnd w:id="15"/>
      <w:bookmarkEnd w:id="16"/>
      <w:bookmarkEnd w:id="17"/>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ascii="宋体" w:hAnsi="宋体"/>
          <w:b/>
          <w:sz w:val="32"/>
        </w:rPr>
      </w:pPr>
      <w:r>
        <w:rPr>
          <w:rFonts w:hint="eastAsia" w:ascii="宋体" w:hAnsi="宋体"/>
          <w:b/>
          <w:sz w:val="32"/>
        </w:rPr>
        <w:br w:type="page"/>
      </w:r>
      <w:r>
        <w:rPr>
          <w:rFonts w:hint="eastAsia" w:ascii="宋体" w:hAnsi="宋体"/>
          <w:b/>
          <w:sz w:val="32"/>
        </w:rPr>
        <w:t>投标邀请函</w:t>
      </w:r>
    </w:p>
    <w:p>
      <w:pPr>
        <w:spacing w:line="360" w:lineRule="auto"/>
        <w:ind w:firstLine="60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致投标人：</w:t>
      </w:r>
    </w:p>
    <w:p>
      <w:pPr>
        <w:spacing w:line="360" w:lineRule="auto"/>
        <w:ind w:firstLine="60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我司拟为</w:t>
      </w:r>
      <w:r>
        <w:rPr>
          <w:rFonts w:hint="eastAsia" w:asciiTheme="minorEastAsia" w:hAnsiTheme="minorEastAsia" w:eastAsiaTheme="minorEastAsia" w:cstheme="minorEastAsia"/>
          <w:sz w:val="24"/>
          <w:szCs w:val="24"/>
          <w:lang w:val="en-US" w:eastAsia="zh-CN"/>
        </w:rPr>
        <w:t>广州南沙</w:t>
      </w:r>
      <w:r>
        <w:rPr>
          <w:rFonts w:hint="eastAsia" w:asciiTheme="minorEastAsia" w:hAnsiTheme="minorEastAsia" w:eastAsiaTheme="minorEastAsia" w:cstheme="minorEastAsia"/>
          <w:i w:val="0"/>
          <w:iCs w:val="0"/>
          <w:caps w:val="0"/>
          <w:spacing w:val="0"/>
          <w:sz w:val="24"/>
          <w:szCs w:val="24"/>
          <w:shd w:val="clear"/>
        </w:rPr>
        <w:t>前锋水乡自营民宿</w:t>
      </w:r>
      <w:r>
        <w:rPr>
          <w:rFonts w:hint="eastAsia" w:asciiTheme="minorEastAsia" w:hAnsiTheme="minorEastAsia" w:eastAsiaTheme="minorEastAsia" w:cstheme="minorEastAsia"/>
          <w:i w:val="0"/>
          <w:iCs w:val="0"/>
          <w:caps w:val="0"/>
          <w:spacing w:val="0"/>
          <w:sz w:val="24"/>
          <w:szCs w:val="24"/>
          <w:shd w:val="clear"/>
          <w:lang w:val="en-US" w:eastAsia="zh-CN"/>
        </w:rPr>
        <w:t>厨房</w:t>
      </w:r>
      <w:r>
        <w:rPr>
          <w:rFonts w:hint="eastAsia" w:asciiTheme="minorEastAsia" w:hAnsiTheme="minorEastAsia" w:eastAsiaTheme="minorEastAsia" w:cstheme="minorEastAsia"/>
          <w:sz w:val="24"/>
          <w:szCs w:val="24"/>
        </w:rPr>
        <w:t>采购一批</w:t>
      </w:r>
      <w:r>
        <w:rPr>
          <w:rFonts w:hint="eastAsia" w:asciiTheme="minorEastAsia" w:hAnsiTheme="minorEastAsia" w:eastAsiaTheme="minorEastAsia" w:cstheme="minorEastAsia"/>
          <w:sz w:val="24"/>
          <w:szCs w:val="24"/>
          <w:lang w:eastAsia="zh-CN"/>
        </w:rPr>
        <w:t>厨房厨具设备</w:t>
      </w:r>
      <w:r>
        <w:rPr>
          <w:rFonts w:hint="eastAsia" w:asciiTheme="minorEastAsia" w:hAnsiTheme="minorEastAsia" w:eastAsiaTheme="minorEastAsia" w:cstheme="minorEastAsia"/>
          <w:sz w:val="24"/>
          <w:szCs w:val="24"/>
        </w:rPr>
        <w:t>，经研究决定，就</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广州南沙</w:t>
      </w:r>
      <w:r>
        <w:rPr>
          <w:rFonts w:hint="eastAsia" w:asciiTheme="minorEastAsia" w:hAnsiTheme="minorEastAsia" w:eastAsiaTheme="minorEastAsia" w:cstheme="minorEastAsia"/>
          <w:sz w:val="24"/>
          <w:szCs w:val="24"/>
        </w:rPr>
        <w:t>前锋水乡项目启动区（一期）厨房设备采购</w:t>
      </w:r>
      <w:r>
        <w:rPr>
          <w:rFonts w:hint="eastAsia" w:asciiTheme="minorEastAsia" w:hAnsiTheme="minorEastAsia" w:eastAsiaTheme="minorEastAsia" w:cstheme="minorEastAsia"/>
          <w:sz w:val="24"/>
          <w:szCs w:val="24"/>
          <w:lang w:val="en-US" w:eastAsia="zh-CN"/>
        </w:rPr>
        <w:t>项目》</w:t>
      </w:r>
      <w:r>
        <w:rPr>
          <w:rFonts w:hint="eastAsia" w:asciiTheme="minorEastAsia" w:hAnsiTheme="minorEastAsia" w:eastAsiaTheme="minorEastAsia" w:cstheme="minorEastAsia"/>
          <w:sz w:val="24"/>
          <w:szCs w:val="24"/>
        </w:rPr>
        <w:t>采用邀请招标方式，通过综合评审法选聘项目服务单位。项目信息如下：</w:t>
      </w:r>
    </w:p>
    <w:p>
      <w:pPr>
        <w:numPr>
          <w:ilvl w:val="0"/>
          <w:numId w:val="2"/>
        </w:numPr>
        <w:spacing w:line="360" w:lineRule="auto"/>
        <w:ind w:firstLine="602"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项目名称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广州南沙</w:t>
      </w:r>
      <w:r>
        <w:rPr>
          <w:rFonts w:hint="eastAsia" w:asciiTheme="minorEastAsia" w:hAnsiTheme="minorEastAsia" w:eastAsiaTheme="minorEastAsia" w:cstheme="minorEastAsia"/>
          <w:sz w:val="24"/>
          <w:szCs w:val="24"/>
        </w:rPr>
        <w:t>前锋水乡项目启动区（一期）厨房设备采购</w:t>
      </w:r>
      <w:r>
        <w:rPr>
          <w:rFonts w:hint="eastAsia" w:asciiTheme="minorEastAsia" w:hAnsiTheme="minorEastAsia" w:eastAsiaTheme="minorEastAsia" w:cstheme="minorEastAsia"/>
          <w:sz w:val="24"/>
          <w:szCs w:val="24"/>
          <w:lang w:val="en-US" w:eastAsia="zh-CN"/>
        </w:rPr>
        <w:t>项目</w:t>
      </w:r>
    </w:p>
    <w:p>
      <w:pPr>
        <w:numPr>
          <w:ilvl w:val="0"/>
          <w:numId w:val="2"/>
        </w:numPr>
        <w:spacing w:line="360" w:lineRule="auto"/>
        <w:ind w:firstLine="602"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highlight w:val="none"/>
        </w:rPr>
        <w:t>项目最高限价</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27万</w:t>
      </w:r>
      <w:r>
        <w:rPr>
          <w:rFonts w:hint="eastAsia" w:asciiTheme="minorEastAsia" w:hAnsiTheme="minorEastAsia" w:eastAsiaTheme="minorEastAsia" w:cstheme="minorEastAsia"/>
          <w:sz w:val="24"/>
          <w:szCs w:val="24"/>
          <w:highlight w:val="none"/>
        </w:rPr>
        <w:t>元 （大写:人民币</w:t>
      </w:r>
      <w:r>
        <w:rPr>
          <w:rFonts w:hint="eastAsia" w:asciiTheme="minorEastAsia" w:hAnsiTheme="minorEastAsia" w:eastAsiaTheme="minorEastAsia" w:cstheme="minorEastAsia"/>
          <w:sz w:val="24"/>
          <w:szCs w:val="24"/>
          <w:highlight w:val="none"/>
          <w:lang w:val="en-US" w:eastAsia="zh-CN"/>
        </w:rPr>
        <w:t>贰拾柒万</w:t>
      </w:r>
      <w:r>
        <w:rPr>
          <w:rFonts w:hint="eastAsia" w:asciiTheme="minorEastAsia" w:hAnsiTheme="minorEastAsia" w:eastAsiaTheme="minorEastAsia" w:cstheme="minorEastAsia"/>
          <w:sz w:val="24"/>
          <w:szCs w:val="24"/>
          <w:highlight w:val="none"/>
        </w:rPr>
        <w:t xml:space="preserve">元整）   </w:t>
      </w:r>
      <w:r>
        <w:rPr>
          <w:rFonts w:hint="eastAsia" w:asciiTheme="minorEastAsia" w:hAnsiTheme="minorEastAsia" w:eastAsiaTheme="minorEastAsia" w:cstheme="minorEastAsia"/>
          <w:sz w:val="24"/>
          <w:szCs w:val="24"/>
        </w:rPr>
        <w:t xml:space="preserve">                    </w:t>
      </w:r>
    </w:p>
    <w:p>
      <w:pPr>
        <w:spacing w:line="360" w:lineRule="auto"/>
        <w:ind w:firstLine="600"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bCs/>
          <w:sz w:val="24"/>
          <w:szCs w:val="24"/>
        </w:rPr>
        <w:t>项目内容及需求</w:t>
      </w:r>
      <w:r>
        <w:rPr>
          <w:rFonts w:hint="eastAsia" w:asciiTheme="minorEastAsia" w:hAnsiTheme="minorEastAsia" w:eastAsiaTheme="minorEastAsia" w:cstheme="minorEastAsia"/>
          <w:sz w:val="24"/>
          <w:szCs w:val="24"/>
        </w:rPr>
        <w:t>：（项目技术规格、参数及要求）具体内容及需求详见《用户需求书》。</w:t>
      </w:r>
    </w:p>
    <w:p>
      <w:pPr>
        <w:spacing w:line="360" w:lineRule="auto"/>
        <w:ind w:firstLine="602" w:firstLineChars="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、供应商资格：</w:t>
      </w:r>
    </w:p>
    <w:p>
      <w:pPr>
        <w:numPr>
          <w:ilvl w:val="0"/>
          <w:numId w:val="3"/>
        </w:numPr>
        <w:tabs>
          <w:tab w:val="left" w:pos="425"/>
        </w:tabs>
        <w:autoSpaceDE w:val="0"/>
        <w:autoSpaceDN w:val="0"/>
        <w:adjustRightInd w:val="0"/>
        <w:snapToGrid w:val="0"/>
        <w:spacing w:line="360" w:lineRule="auto"/>
        <w:ind w:left="1" w:firstLine="559"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参加本项目投标的供应商除应具备《政府采购法》第二十二条供应商资格条件外，还必须符合下列要求：</w:t>
      </w:r>
    </w:p>
    <w:p>
      <w:pPr>
        <w:numPr>
          <w:ilvl w:val="0"/>
          <w:numId w:val="3"/>
        </w:numPr>
        <w:tabs>
          <w:tab w:val="left" w:pos="425"/>
        </w:tabs>
        <w:autoSpaceDE w:val="0"/>
        <w:autoSpaceDN w:val="0"/>
        <w:adjustRightInd w:val="0"/>
        <w:snapToGrid w:val="0"/>
        <w:spacing w:line="360" w:lineRule="auto"/>
        <w:ind w:left="1" w:firstLine="559" w:firstLineChars="0"/>
        <w:jc w:val="left"/>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具有独立承担民事责任能力的在中华人民共和国境内注册的法人或其他组织，并取得合法企业工商营业执照且具有</w:t>
      </w:r>
      <w:r>
        <w:rPr>
          <w:rFonts w:hint="eastAsia" w:asciiTheme="minorEastAsia" w:hAnsiTheme="minorEastAsia" w:eastAsiaTheme="minorEastAsia" w:cstheme="minorEastAsia"/>
          <w:bCs/>
          <w:sz w:val="24"/>
          <w:szCs w:val="24"/>
          <w:highlight w:val="none"/>
          <w:lang w:eastAsia="zh-CN"/>
        </w:rPr>
        <w:t>厨具卫具及日用杂品零售;厨具卫具及日用杂品批发;金属制日用品制造;五金产品制造;燃气燃烧器具安装、维修</w:t>
      </w:r>
      <w:r>
        <w:rPr>
          <w:rFonts w:hint="eastAsia" w:asciiTheme="minorEastAsia" w:hAnsiTheme="minorEastAsia" w:eastAsiaTheme="minorEastAsia" w:cstheme="minorEastAsia"/>
          <w:bCs/>
          <w:sz w:val="24"/>
          <w:szCs w:val="24"/>
          <w:highlight w:val="none"/>
          <w:lang w:val="en-US" w:eastAsia="zh-CN"/>
        </w:rPr>
        <w:t>等相关</w:t>
      </w:r>
      <w:r>
        <w:rPr>
          <w:rFonts w:hint="eastAsia" w:asciiTheme="minorEastAsia" w:hAnsiTheme="minorEastAsia" w:eastAsiaTheme="minorEastAsia" w:cstheme="minorEastAsia"/>
          <w:bCs/>
          <w:sz w:val="24"/>
          <w:szCs w:val="24"/>
          <w:highlight w:val="none"/>
        </w:rPr>
        <w:t>经营范围（以上经营范围任一满足即可）</w:t>
      </w:r>
      <w:r>
        <w:rPr>
          <w:rFonts w:hint="eastAsia" w:asciiTheme="minorEastAsia" w:hAnsiTheme="minorEastAsia" w:eastAsiaTheme="minorEastAsia" w:cstheme="minorEastAsia"/>
          <w:bCs/>
          <w:sz w:val="24"/>
          <w:szCs w:val="24"/>
          <w:highlight w:val="none"/>
          <w:lang w:eastAsia="zh-CN"/>
        </w:rPr>
        <w:t>。</w:t>
      </w:r>
    </w:p>
    <w:p>
      <w:pPr>
        <w:numPr>
          <w:ilvl w:val="0"/>
          <w:numId w:val="3"/>
        </w:numPr>
        <w:tabs>
          <w:tab w:val="left" w:pos="425"/>
        </w:tabs>
        <w:autoSpaceDE w:val="0"/>
        <w:autoSpaceDN w:val="0"/>
        <w:adjustRightInd w:val="0"/>
        <w:snapToGrid w:val="0"/>
        <w:spacing w:line="360" w:lineRule="auto"/>
        <w:ind w:left="1" w:firstLine="559" w:firstLineChars="0"/>
        <w:jc w:val="left"/>
        <w:rPr>
          <w:rFonts w:hint="eastAsia" w:asciiTheme="minorEastAsia" w:hAnsiTheme="minorEastAsia" w:eastAsiaTheme="minorEastAsia" w:cstheme="minorEastAsia"/>
          <w:b w:val="0"/>
          <w:bCs/>
          <w:kern w:val="0"/>
          <w:sz w:val="24"/>
          <w:szCs w:val="24"/>
          <w:highlight w:val="none"/>
        </w:rPr>
      </w:pPr>
      <w:r>
        <w:rPr>
          <w:rFonts w:hint="eastAsia" w:asciiTheme="minorEastAsia" w:hAnsiTheme="minorEastAsia" w:eastAsiaTheme="minorEastAsia" w:cstheme="minorEastAsia"/>
          <w:bCs/>
          <w:sz w:val="24"/>
          <w:szCs w:val="24"/>
          <w:highlight w:val="none"/>
        </w:rPr>
        <w:t>投标人应是所投货物的制造商，具备</w:t>
      </w:r>
      <w:r>
        <w:rPr>
          <w:rFonts w:hint="eastAsia" w:asciiTheme="minorEastAsia" w:hAnsiTheme="minorEastAsia" w:eastAsiaTheme="minorEastAsia" w:cstheme="minorEastAsia"/>
          <w:sz w:val="24"/>
          <w:szCs w:val="24"/>
          <w:highlight w:val="none"/>
        </w:rPr>
        <w:t>本次采购标的设备的生产资格、生产能力、销售、安装能力的</w:t>
      </w:r>
      <w:r>
        <w:rPr>
          <w:rFonts w:hint="eastAsia" w:asciiTheme="minorEastAsia" w:hAnsiTheme="minorEastAsia" w:eastAsiaTheme="minorEastAsia" w:cstheme="minorEastAsia"/>
          <w:sz w:val="24"/>
          <w:szCs w:val="24"/>
          <w:highlight w:val="none"/>
          <w:lang w:val="en-US" w:eastAsia="zh-CN"/>
        </w:rPr>
        <w:t>投标人</w:t>
      </w:r>
      <w:r>
        <w:rPr>
          <w:rFonts w:hint="eastAsia" w:asciiTheme="minorEastAsia" w:hAnsiTheme="minorEastAsia" w:eastAsiaTheme="minorEastAsia" w:cstheme="minorEastAsia"/>
          <w:sz w:val="24"/>
          <w:szCs w:val="24"/>
          <w:highlight w:val="none"/>
        </w:rPr>
        <w:t>均可参加投标</w:t>
      </w:r>
      <w:r>
        <w:rPr>
          <w:rFonts w:hint="eastAsia" w:asciiTheme="minorEastAsia" w:hAnsiTheme="minorEastAsia" w:eastAsiaTheme="minorEastAsia" w:cstheme="minorEastAsia"/>
          <w:sz w:val="24"/>
          <w:szCs w:val="24"/>
          <w:highlight w:val="none"/>
          <w:lang w:eastAsia="zh-CN"/>
        </w:rPr>
        <w:t>。</w:t>
      </w:r>
    </w:p>
    <w:p>
      <w:pPr>
        <w:numPr>
          <w:ilvl w:val="0"/>
          <w:numId w:val="3"/>
        </w:numPr>
        <w:tabs>
          <w:tab w:val="left" w:pos="425"/>
        </w:tabs>
        <w:autoSpaceDE w:val="0"/>
        <w:autoSpaceDN w:val="0"/>
        <w:adjustRightInd w:val="0"/>
        <w:snapToGrid w:val="0"/>
        <w:spacing w:line="360" w:lineRule="auto"/>
        <w:ind w:left="1" w:firstLine="559" w:firstLineChars="0"/>
        <w:jc w:val="left"/>
        <w:rPr>
          <w:rFonts w:hint="eastAsia" w:asciiTheme="minorEastAsia" w:hAnsiTheme="minorEastAsia" w:eastAsiaTheme="minorEastAsia" w:cstheme="minorEastAsia"/>
          <w:b w:val="0"/>
          <w:bCs/>
          <w:kern w:val="0"/>
          <w:sz w:val="24"/>
          <w:szCs w:val="24"/>
          <w:highlight w:val="yellow"/>
        </w:rPr>
      </w:pPr>
      <w:r>
        <w:rPr>
          <w:rFonts w:hint="eastAsia" w:asciiTheme="minorEastAsia" w:hAnsiTheme="minorEastAsia" w:eastAsiaTheme="minorEastAsia" w:cstheme="minorEastAsia"/>
          <w:sz w:val="24"/>
          <w:szCs w:val="24"/>
        </w:rPr>
        <w:t>本项目不拆分，不接受联合体投标</w:t>
      </w:r>
      <w:r>
        <w:rPr>
          <w:rFonts w:hint="eastAsia" w:asciiTheme="minorEastAsia" w:hAnsiTheme="minorEastAsia" w:eastAsiaTheme="minorEastAsia" w:cstheme="minorEastAsia"/>
          <w:sz w:val="24"/>
          <w:szCs w:val="24"/>
          <w:lang w:eastAsia="zh-CN"/>
        </w:rPr>
        <w:t>。</w:t>
      </w:r>
    </w:p>
    <w:p>
      <w:pPr>
        <w:numPr>
          <w:ilvl w:val="0"/>
          <w:numId w:val="3"/>
        </w:numPr>
        <w:tabs>
          <w:tab w:val="left" w:pos="425"/>
        </w:tabs>
        <w:autoSpaceDE w:val="0"/>
        <w:autoSpaceDN w:val="0"/>
        <w:adjustRightInd w:val="0"/>
        <w:snapToGrid w:val="0"/>
        <w:spacing w:line="360" w:lineRule="auto"/>
        <w:ind w:left="1" w:firstLine="559"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投标人在参加本次采购活动前三年内，在经营活动中（公司或法人）无重大违法记录</w:t>
      </w:r>
      <w:r>
        <w:rPr>
          <w:rFonts w:hint="eastAsia" w:asciiTheme="minorEastAsia" w:hAnsiTheme="minorEastAsia" w:eastAsiaTheme="minorEastAsia" w:cstheme="minorEastAsia"/>
          <w:sz w:val="24"/>
          <w:szCs w:val="24"/>
          <w:lang w:eastAsia="zh-CN"/>
        </w:rPr>
        <w:t>。</w:t>
      </w:r>
    </w:p>
    <w:p>
      <w:pPr>
        <w:numPr>
          <w:ilvl w:val="0"/>
          <w:numId w:val="3"/>
        </w:numPr>
        <w:tabs>
          <w:tab w:val="left" w:pos="425"/>
        </w:tabs>
        <w:autoSpaceDE w:val="0"/>
        <w:autoSpaceDN w:val="0"/>
        <w:adjustRightInd w:val="0"/>
        <w:snapToGrid w:val="0"/>
        <w:spacing w:line="360" w:lineRule="auto"/>
        <w:ind w:left="1" w:firstLine="559"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单位负责人为同一人或者存在直接控股、管理关系的不同供应商，不得同时参加本项采购投标。</w:t>
      </w:r>
    </w:p>
    <w:p>
      <w:pPr>
        <w:numPr>
          <w:ilvl w:val="0"/>
          <w:numId w:val="3"/>
        </w:numPr>
        <w:tabs>
          <w:tab w:val="left" w:pos="425"/>
        </w:tabs>
        <w:autoSpaceDE w:val="0"/>
        <w:autoSpaceDN w:val="0"/>
        <w:adjustRightInd w:val="0"/>
        <w:snapToGrid w:val="0"/>
        <w:spacing w:line="360" w:lineRule="auto"/>
        <w:ind w:left="1" w:firstLine="559" w:firstLineChars="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提供相同品牌产品的不同投标人参加投标的，按一家投标供应商计算。</w:t>
      </w:r>
    </w:p>
    <w:p>
      <w:pPr>
        <w:numPr>
          <w:ilvl w:val="0"/>
          <w:numId w:val="3"/>
        </w:numPr>
        <w:tabs>
          <w:tab w:val="left" w:pos="425"/>
        </w:tabs>
        <w:autoSpaceDE w:val="0"/>
        <w:autoSpaceDN w:val="0"/>
        <w:adjustRightInd w:val="0"/>
        <w:snapToGrid w:val="0"/>
        <w:spacing w:line="360" w:lineRule="auto"/>
        <w:ind w:left="1" w:firstLine="559" w:firstLineChars="0"/>
        <w:jc w:val="left"/>
        <w:rPr>
          <w:rFonts w:hint="eastAsia" w:asciiTheme="minorEastAsia" w:hAnsiTheme="minorEastAsia" w:eastAsiaTheme="minorEastAsia" w:cstheme="minorEastAsia"/>
          <w:b/>
          <w:bCs/>
          <w:sz w:val="24"/>
          <w:szCs w:val="24"/>
          <w:highlight w:val="yellow"/>
        </w:rPr>
      </w:pPr>
      <w:r>
        <w:rPr>
          <w:rFonts w:hint="eastAsia" w:asciiTheme="minorEastAsia" w:hAnsiTheme="minorEastAsia" w:eastAsiaTheme="minorEastAsia" w:cstheme="minorEastAsia"/>
          <w:sz w:val="24"/>
          <w:szCs w:val="24"/>
        </w:rPr>
        <w:t>根据评审时"信用中国"网站（www.creditchina.gov.cn）、中国政府采购网（www.ccgp.gov.cn）查询的主体信用记录信息，对列入失信被执</w:t>
      </w:r>
      <w:r>
        <w:rPr>
          <w:rFonts w:hint="eastAsia" w:asciiTheme="minorEastAsia" w:hAnsiTheme="minorEastAsia" w:eastAsiaTheme="minorEastAsia" w:cstheme="minorEastAsia"/>
          <w:sz w:val="24"/>
          <w:szCs w:val="24"/>
          <w:shd w:val="clear" w:color="auto" w:fill="FFFFFF"/>
        </w:rPr>
        <w:t>行人、税收、政府采购、环境保护、知识产权等领域严重失信行为的主体，依法拒绝其参与本项目采购活动。如查询结果未显示存在失信记录，视为评审时未发现不良信用记录。</w:t>
      </w:r>
    </w:p>
    <w:p>
      <w:pPr>
        <w:numPr>
          <w:ilvl w:val="-1"/>
          <w:numId w:val="0"/>
        </w:numPr>
        <w:tabs>
          <w:tab w:val="left" w:pos="425"/>
        </w:tabs>
        <w:autoSpaceDE w:val="0"/>
        <w:autoSpaceDN w:val="0"/>
        <w:adjustRightInd w:val="0"/>
        <w:snapToGrid w:val="0"/>
        <w:spacing w:line="360" w:lineRule="auto"/>
        <w:ind w:firstLine="482" w:firstLineChars="200"/>
        <w:jc w:val="left"/>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shd w:val="clear" w:color="auto" w:fill="auto"/>
          <w:lang w:eastAsia="zh-CN"/>
        </w:rPr>
        <w:t>五、</w:t>
      </w:r>
      <w:r>
        <w:rPr>
          <w:rFonts w:hint="eastAsia" w:asciiTheme="minorEastAsia" w:hAnsiTheme="minorEastAsia" w:eastAsiaTheme="minorEastAsia" w:cstheme="minorEastAsia"/>
          <w:b/>
          <w:bCs/>
          <w:sz w:val="24"/>
          <w:szCs w:val="24"/>
          <w:highlight w:val="none"/>
        </w:rPr>
        <w:t>对投标文件的要求：</w:t>
      </w:r>
    </w:p>
    <w:p>
      <w:pPr>
        <w:pStyle w:val="20"/>
        <w:numPr>
          <w:ilvl w:val="-1"/>
          <w:numId w:val="0"/>
        </w:numPr>
        <w:spacing w:line="360" w:lineRule="auto"/>
        <w:ind w:left="437"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（一）投标文件必须包括报价资料、资格审查类资料、商务类资料、技术类资料：</w:t>
      </w:r>
    </w:p>
    <w:p>
      <w:pPr>
        <w:pStyle w:val="20"/>
        <w:numPr>
          <w:ilvl w:val="-1"/>
          <w:numId w:val="0"/>
        </w:numPr>
        <w:spacing w:line="360" w:lineRule="auto"/>
        <w:ind w:left="437"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1.报价资料，须提供《报价一览表》，可</w:t>
      </w:r>
      <w:r>
        <w:rPr>
          <w:rFonts w:hint="eastAsia" w:asciiTheme="minorEastAsia" w:hAnsiTheme="minorEastAsia" w:eastAsiaTheme="minorEastAsia" w:cstheme="minorEastAsia"/>
          <w:sz w:val="24"/>
          <w:szCs w:val="24"/>
          <w:lang w:eastAsia="zh-CN"/>
        </w:rPr>
        <w:t>参考</w:t>
      </w:r>
      <w:r>
        <w:rPr>
          <w:rFonts w:hint="eastAsia" w:asciiTheme="minorEastAsia" w:hAnsiTheme="minorEastAsia" w:eastAsiaTheme="minorEastAsia" w:cstheme="minorEastAsia"/>
          <w:sz w:val="24"/>
          <w:szCs w:val="24"/>
          <w:lang w:val="en-US" w:eastAsia="zh-CN"/>
        </w:rPr>
        <w:t>第五章附件(格式）第“二”点的内容</w:t>
      </w:r>
      <w:r>
        <w:rPr>
          <w:rFonts w:hint="eastAsia" w:asciiTheme="minorEastAsia" w:hAnsiTheme="minorEastAsia" w:eastAsiaTheme="minorEastAsia" w:cstheme="minorEastAsia"/>
          <w:sz w:val="24"/>
          <w:szCs w:val="24"/>
        </w:rPr>
        <w:t>提供；</w:t>
      </w:r>
    </w:p>
    <w:p>
      <w:pPr>
        <w:pStyle w:val="20"/>
        <w:numPr>
          <w:ilvl w:val="-1"/>
          <w:numId w:val="0"/>
        </w:numPr>
        <w:spacing w:line="360" w:lineRule="auto"/>
        <w:ind w:left="437"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2.资格审查类资料，须</w:t>
      </w:r>
      <w:r>
        <w:rPr>
          <w:rFonts w:hint="eastAsia" w:asciiTheme="minorEastAsia" w:hAnsiTheme="minorEastAsia" w:eastAsiaTheme="minorEastAsia" w:cstheme="minorEastAsia"/>
          <w:sz w:val="24"/>
          <w:szCs w:val="24"/>
          <w:lang w:eastAsia="zh-CN"/>
        </w:rPr>
        <w:t>按附件一的（符合性审查表）的条件</w:t>
      </w:r>
      <w:r>
        <w:rPr>
          <w:rFonts w:hint="eastAsia" w:asciiTheme="minorEastAsia" w:hAnsiTheme="minorEastAsia" w:eastAsiaTheme="minorEastAsia" w:cstheme="minorEastAsia"/>
          <w:sz w:val="24"/>
          <w:szCs w:val="24"/>
        </w:rPr>
        <w:t>提供</w:t>
      </w:r>
      <w:r>
        <w:rPr>
          <w:rFonts w:hint="eastAsia" w:asciiTheme="minorEastAsia" w:hAnsiTheme="minorEastAsia" w:eastAsiaTheme="minorEastAsia" w:cstheme="minorEastAsia"/>
          <w:sz w:val="24"/>
          <w:szCs w:val="24"/>
          <w:lang w:eastAsia="zh-CN"/>
        </w:rPr>
        <w:t>；</w:t>
      </w:r>
    </w:p>
    <w:p>
      <w:pPr>
        <w:pStyle w:val="20"/>
        <w:numPr>
          <w:ilvl w:val="-1"/>
          <w:numId w:val="0"/>
        </w:numPr>
        <w:spacing w:line="360" w:lineRule="auto"/>
        <w:ind w:left="437"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商务类资料、技术类资料</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须</w:t>
      </w:r>
      <w:r>
        <w:rPr>
          <w:rFonts w:hint="eastAsia" w:asciiTheme="minorEastAsia" w:hAnsiTheme="minorEastAsia" w:eastAsiaTheme="minorEastAsia" w:cstheme="minorEastAsia"/>
          <w:sz w:val="24"/>
          <w:szCs w:val="24"/>
          <w:lang w:eastAsia="zh-CN"/>
        </w:rPr>
        <w:t>按附件二、三的条件提供；</w:t>
      </w:r>
    </w:p>
    <w:p>
      <w:pPr>
        <w:pStyle w:val="20"/>
        <w:numPr>
          <w:ilvl w:val="-1"/>
          <w:numId w:val="0"/>
        </w:numPr>
        <w:spacing w:line="360" w:lineRule="auto"/>
        <w:ind w:left="437"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4.若非法定代表人签署投标资料或由其委托的代理人参加开标会，须提供授权委托书原件（可参照第五章附件(格式）第“七”点格式制作）、委托代理人身份证复印件；</w:t>
      </w:r>
    </w:p>
    <w:p>
      <w:pPr>
        <w:pStyle w:val="20"/>
        <w:numPr>
          <w:ilvl w:val="-1"/>
          <w:numId w:val="0"/>
        </w:numPr>
        <w:spacing w:line="360" w:lineRule="auto"/>
        <w:ind w:left="437"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5.有效的法定代表人证明书原件（可参照第五章附件(格式）第“六”点制作）及法人身份证复印件；</w:t>
      </w:r>
    </w:p>
    <w:p>
      <w:pPr>
        <w:pStyle w:val="20"/>
        <w:numPr>
          <w:ilvl w:val="-1"/>
          <w:numId w:val="0"/>
        </w:numPr>
        <w:spacing w:line="360" w:lineRule="auto"/>
        <w:ind w:left="437"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6.投标承诺函原件（须按第五章附件(格式）第“八”点内容提供）</w:t>
      </w:r>
    </w:p>
    <w:p>
      <w:pPr>
        <w:pStyle w:val="20"/>
        <w:numPr>
          <w:ilvl w:val="-1"/>
          <w:numId w:val="0"/>
        </w:numPr>
        <w:spacing w:line="360" w:lineRule="auto"/>
        <w:ind w:left="437"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7.以上材料均需加盖企业公章。</w:t>
      </w:r>
    </w:p>
    <w:p>
      <w:pPr>
        <w:snapToGrid w:val="0"/>
        <w:spacing w:line="360" w:lineRule="auto"/>
        <w:ind w:firstLine="482" w:firstLineChars="20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六、获取采购文件方式</w:t>
      </w:r>
    </w:p>
    <w:p>
      <w:pPr>
        <w:spacing w:line="360" w:lineRule="auto"/>
        <w:ind w:firstLine="480" w:firstLineChars="200"/>
        <w:contextualSpacing/>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投标人可在广州南沙资产经营集团有限公司官网（http://www.gnao.com.cn/）自行下载招标文件。若有意向参加本项目投标</w:t>
      </w:r>
      <w:r>
        <w:rPr>
          <w:rFonts w:hint="eastAsia" w:asciiTheme="minorEastAsia" w:hAnsiTheme="minorEastAsia" w:eastAsiaTheme="minorEastAsia" w:cstheme="minorEastAsia"/>
          <w:sz w:val="24"/>
          <w:szCs w:val="24"/>
          <w:highlight w:val="none"/>
        </w:rPr>
        <w:t>的单位，按采购文件规定的金额和期限缴纳投标保证金，投标保证金作为投标文件的组成部分。</w:t>
      </w:r>
      <w:r>
        <w:rPr>
          <w:rFonts w:hint="eastAsia" w:asciiTheme="minorEastAsia" w:hAnsiTheme="minorEastAsia" w:eastAsiaTheme="minorEastAsia" w:cstheme="minorEastAsia"/>
          <w:b/>
          <w:bCs/>
          <w:color w:val="auto"/>
          <w:sz w:val="24"/>
          <w:szCs w:val="24"/>
          <w:highlight w:val="none"/>
          <w:u w:val="single"/>
        </w:rPr>
        <w:t>请在202</w:t>
      </w:r>
      <w:r>
        <w:rPr>
          <w:rFonts w:hint="eastAsia" w:asciiTheme="minorEastAsia" w:hAnsiTheme="minorEastAsia" w:eastAsiaTheme="minorEastAsia" w:cstheme="minorEastAsia"/>
          <w:b/>
          <w:bCs/>
          <w:color w:val="auto"/>
          <w:sz w:val="24"/>
          <w:szCs w:val="24"/>
          <w:highlight w:val="none"/>
          <w:u w:val="single"/>
          <w:lang w:val="en-US" w:eastAsia="zh-CN"/>
        </w:rPr>
        <w:t>4</w:t>
      </w:r>
      <w:r>
        <w:rPr>
          <w:rFonts w:hint="eastAsia" w:asciiTheme="minorEastAsia" w:hAnsiTheme="minorEastAsia" w:eastAsiaTheme="minorEastAsia" w:cstheme="minorEastAsia"/>
          <w:b/>
          <w:bCs/>
          <w:color w:val="auto"/>
          <w:sz w:val="24"/>
          <w:szCs w:val="24"/>
          <w:highlight w:val="none"/>
          <w:u w:val="single"/>
        </w:rPr>
        <w:t>年</w:t>
      </w:r>
      <w:r>
        <w:rPr>
          <w:rFonts w:hint="eastAsia" w:asciiTheme="minorEastAsia" w:hAnsiTheme="minorEastAsia" w:eastAsiaTheme="minorEastAsia" w:cstheme="minorEastAsia"/>
          <w:b/>
          <w:bCs/>
          <w:color w:val="auto"/>
          <w:sz w:val="24"/>
          <w:szCs w:val="24"/>
          <w:highlight w:val="none"/>
          <w:u w:val="single"/>
          <w:lang w:val="en-US" w:eastAsia="zh-CN"/>
        </w:rPr>
        <w:t>9</w:t>
      </w:r>
      <w:r>
        <w:rPr>
          <w:rFonts w:hint="eastAsia" w:asciiTheme="minorEastAsia" w:hAnsiTheme="minorEastAsia" w:eastAsiaTheme="minorEastAsia" w:cstheme="minorEastAsia"/>
          <w:b/>
          <w:bCs/>
          <w:color w:val="auto"/>
          <w:sz w:val="24"/>
          <w:szCs w:val="24"/>
          <w:highlight w:val="none"/>
          <w:u w:val="single"/>
        </w:rPr>
        <w:t>月</w:t>
      </w:r>
      <w:r>
        <w:rPr>
          <w:rFonts w:hint="eastAsia" w:asciiTheme="minorEastAsia" w:hAnsiTheme="minorEastAsia" w:eastAsiaTheme="minorEastAsia" w:cstheme="minorEastAsia"/>
          <w:b/>
          <w:bCs/>
          <w:color w:val="auto"/>
          <w:sz w:val="24"/>
          <w:szCs w:val="24"/>
          <w:highlight w:val="none"/>
          <w:u w:val="single"/>
          <w:lang w:val="en-US" w:eastAsia="zh-CN"/>
        </w:rPr>
        <w:t>9</w:t>
      </w:r>
      <w:r>
        <w:rPr>
          <w:rFonts w:hint="eastAsia" w:asciiTheme="minorEastAsia" w:hAnsiTheme="minorEastAsia" w:eastAsiaTheme="minorEastAsia" w:cstheme="minorEastAsia"/>
          <w:b/>
          <w:bCs/>
          <w:color w:val="auto"/>
          <w:sz w:val="24"/>
          <w:szCs w:val="24"/>
          <w:highlight w:val="none"/>
          <w:u w:val="single"/>
        </w:rPr>
        <w:t>日</w:t>
      </w:r>
      <w:r>
        <w:rPr>
          <w:rFonts w:hint="eastAsia" w:asciiTheme="minorEastAsia" w:hAnsiTheme="minorEastAsia" w:eastAsiaTheme="minorEastAsia" w:cstheme="minorEastAsia"/>
          <w:b/>
          <w:bCs/>
          <w:color w:val="auto"/>
          <w:sz w:val="24"/>
          <w:szCs w:val="24"/>
          <w:highlight w:val="none"/>
          <w:u w:val="single"/>
          <w:lang w:val="en-US" w:eastAsia="zh-CN"/>
        </w:rPr>
        <w:t xml:space="preserve"> 14:00时</w:t>
      </w:r>
      <w:r>
        <w:rPr>
          <w:rFonts w:hint="eastAsia" w:asciiTheme="minorEastAsia" w:hAnsiTheme="minorEastAsia" w:eastAsiaTheme="minorEastAsia" w:cstheme="minorEastAsia"/>
          <w:b/>
          <w:bCs/>
          <w:color w:val="auto"/>
          <w:sz w:val="24"/>
          <w:szCs w:val="24"/>
          <w:highlight w:val="none"/>
          <w:u w:val="single"/>
        </w:rPr>
        <w:t>前</w:t>
      </w:r>
      <w:r>
        <w:rPr>
          <w:rFonts w:hint="eastAsia" w:asciiTheme="minorEastAsia" w:hAnsiTheme="minorEastAsia" w:eastAsiaTheme="minorEastAsia" w:cstheme="minorEastAsia"/>
          <w:sz w:val="24"/>
          <w:szCs w:val="24"/>
          <w:highlight w:val="none"/>
        </w:rPr>
        <w:t>，将投标文件递交至</w:t>
      </w:r>
      <w:r>
        <w:rPr>
          <w:rFonts w:hint="eastAsia" w:asciiTheme="minorEastAsia" w:hAnsiTheme="minorEastAsia" w:eastAsiaTheme="minorEastAsia" w:cstheme="minorEastAsia"/>
          <w:sz w:val="24"/>
          <w:szCs w:val="24"/>
          <w:highlight w:val="none"/>
          <w:u w:val="single"/>
        </w:rPr>
        <w:t>广州市南沙区</w:t>
      </w:r>
      <w:r>
        <w:rPr>
          <w:rFonts w:hint="eastAsia" w:asciiTheme="minorEastAsia" w:hAnsiTheme="minorEastAsia" w:eastAsiaTheme="minorEastAsia" w:cstheme="minorEastAsia"/>
          <w:sz w:val="24"/>
          <w:szCs w:val="24"/>
          <w:highlight w:val="none"/>
          <w:u w:val="single"/>
          <w:lang w:val="en-US" w:eastAsia="zh-CN"/>
        </w:rPr>
        <w:t>港湾</w:t>
      </w:r>
      <w:r>
        <w:rPr>
          <w:rFonts w:hint="eastAsia" w:asciiTheme="minorEastAsia" w:hAnsiTheme="minorEastAsia" w:eastAsiaTheme="minorEastAsia" w:cstheme="minorEastAsia"/>
          <w:sz w:val="24"/>
          <w:szCs w:val="24"/>
          <w:highlight w:val="none"/>
          <w:u w:val="single"/>
        </w:rPr>
        <w:t>街天后路88号</w:t>
      </w:r>
      <w:r>
        <w:rPr>
          <w:rFonts w:hint="eastAsia" w:asciiTheme="minorEastAsia" w:hAnsiTheme="minorEastAsia" w:eastAsiaTheme="minorEastAsia" w:cstheme="minorEastAsia"/>
          <w:sz w:val="24"/>
          <w:szCs w:val="24"/>
          <w:highlight w:val="none"/>
          <w:u w:val="single"/>
          <w:lang w:val="en-US" w:eastAsia="zh-CN"/>
        </w:rPr>
        <w:t>之一</w:t>
      </w:r>
      <w:r>
        <w:rPr>
          <w:rFonts w:hint="eastAsia" w:asciiTheme="minorEastAsia" w:hAnsiTheme="minorEastAsia" w:eastAsiaTheme="minorEastAsia" w:cstheme="minorEastAsia"/>
          <w:sz w:val="24"/>
          <w:szCs w:val="24"/>
          <w:highlight w:val="none"/>
          <w:u w:val="single"/>
        </w:rPr>
        <w:t>南沙天后宫景区办公室2楼206评标室</w:t>
      </w:r>
      <w:r>
        <w:rPr>
          <w:rFonts w:hint="eastAsia" w:asciiTheme="minorEastAsia" w:hAnsiTheme="minorEastAsia" w:eastAsiaTheme="minorEastAsia" w:cstheme="minorEastAsia"/>
          <w:sz w:val="24"/>
          <w:szCs w:val="24"/>
          <w:highlight w:val="none"/>
        </w:rPr>
        <w:t>。</w:t>
      </w:r>
    </w:p>
    <w:p>
      <w:pPr>
        <w:pStyle w:val="2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highlight w:val="none"/>
        </w:rPr>
        <w:t>七、</w:t>
      </w:r>
      <w:r>
        <w:rPr>
          <w:rFonts w:hint="eastAsia" w:asciiTheme="minorEastAsia" w:hAnsiTheme="minorEastAsia" w:eastAsiaTheme="minorEastAsia" w:cstheme="minorEastAsia"/>
          <w:b/>
          <w:bCs/>
          <w:color w:val="auto"/>
          <w:highlight w:val="none"/>
          <w:lang w:val="en-US" w:eastAsia="zh-CN"/>
        </w:rPr>
        <w:t>信息公示</w:t>
      </w:r>
    </w:p>
    <w:p>
      <w:pPr>
        <w:pStyle w:val="28"/>
        <w:autoSpaceDE w:val="0"/>
        <w:autoSpaceDN w:val="0"/>
        <w:adjustRightInd w:val="0"/>
        <w:snapToGrid/>
        <w:spacing w:line="360" w:lineRule="auto"/>
        <w:ind w:left="476" w:leftChars="170" w:firstLine="480" w:firstLineChars="200"/>
        <w:jc w:val="left"/>
        <w:outlineLvl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highlight w:val="none"/>
        </w:rPr>
        <w:t>本项目相关公告在广州南沙资产经营集团有限公</w:t>
      </w:r>
      <w:r>
        <w:rPr>
          <w:rFonts w:hint="eastAsia" w:asciiTheme="minorEastAsia" w:hAnsiTheme="minorEastAsia" w:eastAsiaTheme="minorEastAsia" w:cstheme="minorEastAsia"/>
          <w:color w:val="auto"/>
          <w:highlight w:val="none"/>
          <w:lang w:val="en-US" w:eastAsia="zh-CN"/>
        </w:rPr>
        <w:t>司官网</w:t>
      </w:r>
      <w:r>
        <w:rPr>
          <w:rFonts w:hint="eastAsia" w:asciiTheme="minorEastAsia" w:hAnsiTheme="minorEastAsia" w:eastAsiaTheme="minorEastAsia" w:cstheme="minorEastAsia"/>
          <w:sz w:val="24"/>
          <w:szCs w:val="24"/>
          <w:highlight w:val="none"/>
        </w:rPr>
        <w:t>（网址：</w:t>
      </w:r>
      <w:r>
        <w:rPr>
          <w:rFonts w:hint="eastAsia" w:asciiTheme="minorEastAsia" w:hAnsiTheme="minorEastAsia" w:eastAsiaTheme="minorEastAsia" w:cstheme="minorEastAsia"/>
          <w:sz w:val="24"/>
          <w:szCs w:val="24"/>
          <w:highlight w:val="none"/>
          <w:u w:val="none"/>
        </w:rPr>
        <w:t xml:space="preserve"> http://www.gnao.com.cn/</w:t>
      </w:r>
      <w:r>
        <w:rPr>
          <w:rFonts w:hint="eastAsia" w:asciiTheme="minorEastAsia" w:hAnsiTheme="minorEastAsia" w:eastAsiaTheme="minorEastAsia" w:cstheme="minorEastAsia"/>
          <w:sz w:val="24"/>
          <w:szCs w:val="24"/>
          <w:highlight w:val="none"/>
        </w:rPr>
        <w:t>公布。相关公告在</w:t>
      </w:r>
      <w:r>
        <w:rPr>
          <w:rFonts w:hint="eastAsia" w:asciiTheme="minorEastAsia" w:hAnsiTheme="minorEastAsia" w:eastAsiaTheme="minorEastAsia" w:cstheme="minorEastAsia"/>
          <w:sz w:val="24"/>
          <w:szCs w:val="24"/>
          <w:highlight w:val="none"/>
          <w:u w:val="none"/>
        </w:rPr>
        <w:t xml:space="preserve">  http://www.gnao.com.cn/                </w:t>
      </w:r>
      <w:r>
        <w:rPr>
          <w:rFonts w:hint="eastAsia" w:asciiTheme="minorEastAsia" w:hAnsiTheme="minorEastAsia" w:eastAsiaTheme="minorEastAsia" w:cstheme="minorEastAsia"/>
          <w:sz w:val="24"/>
          <w:szCs w:val="24"/>
          <w:highlight w:val="none"/>
        </w:rPr>
        <w:t>网站公布之日即视为有效送达，不再另行通知。本采购项目不举行集中答疑会，如有任何疑问请以书面、传真或电邮形式至采购单位释疑。</w:t>
      </w:r>
      <w:r>
        <w:rPr>
          <w:rFonts w:hint="eastAsia" w:asciiTheme="minorEastAsia" w:hAnsiTheme="minorEastAsia" w:eastAsiaTheme="minorEastAsia" w:cstheme="minorEastAsia"/>
          <w:color w:val="auto"/>
          <w:sz w:val="24"/>
          <w:szCs w:val="24"/>
          <w:highlight w:val="none"/>
        </w:rPr>
        <w:t>投标人自行前往现场</w:t>
      </w:r>
      <w:r>
        <w:rPr>
          <w:rFonts w:hint="eastAsia" w:asciiTheme="minorEastAsia" w:hAnsiTheme="minorEastAsia" w:eastAsiaTheme="minorEastAsia" w:cstheme="minorEastAsia"/>
          <w:color w:val="auto"/>
          <w:sz w:val="24"/>
          <w:szCs w:val="24"/>
          <w:highlight w:val="none"/>
          <w:lang w:val="en-US" w:eastAsia="zh-CN"/>
        </w:rPr>
        <w:t>勘查。</w:t>
      </w:r>
    </w:p>
    <w:p>
      <w:pPr>
        <w:tabs>
          <w:tab w:val="left" w:pos="425"/>
        </w:tabs>
        <w:autoSpaceDE w:val="0"/>
        <w:autoSpaceDN w:val="0"/>
        <w:adjustRightInd w:val="0"/>
        <w:snapToGrid w:val="0"/>
        <w:spacing w:line="360" w:lineRule="auto"/>
        <w:ind w:firstLine="482" w:firstLineChars="200"/>
        <w:outlineLvl w:val="0"/>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八、</w:t>
      </w:r>
      <w:bookmarkStart w:id="18" w:name="_Toc416803454"/>
      <w:bookmarkStart w:id="19" w:name="_Toc428538285"/>
      <w:r>
        <w:rPr>
          <w:rFonts w:hint="eastAsia" w:asciiTheme="minorEastAsia" w:hAnsiTheme="minorEastAsia" w:eastAsiaTheme="minorEastAsia" w:cstheme="minorEastAsia"/>
          <w:b/>
          <w:bCs/>
          <w:sz w:val="24"/>
          <w:szCs w:val="24"/>
          <w:highlight w:val="none"/>
        </w:rPr>
        <w:t>投标保证金</w:t>
      </w:r>
      <w:bookmarkEnd w:id="18"/>
      <w:bookmarkEnd w:id="19"/>
    </w:p>
    <w:p>
      <w:pPr>
        <w:tabs>
          <w:tab w:val="left" w:pos="425"/>
          <w:tab w:val="left" w:pos="567"/>
        </w:tabs>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highlight w:val="none"/>
          <w:lang w:eastAsia="zh-TW"/>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eastAsia="zh-TW"/>
        </w:rPr>
        <w:t>投标人应</w:t>
      </w:r>
      <w:r>
        <w:rPr>
          <w:rFonts w:hint="eastAsia" w:asciiTheme="minorEastAsia" w:hAnsiTheme="minorEastAsia" w:eastAsiaTheme="minorEastAsia" w:cstheme="minorEastAsia"/>
          <w:sz w:val="24"/>
          <w:szCs w:val="24"/>
          <w:highlight w:val="none"/>
        </w:rPr>
        <w:t>按报名文件</w:t>
      </w:r>
      <w:r>
        <w:rPr>
          <w:rFonts w:hint="eastAsia" w:asciiTheme="minorEastAsia" w:hAnsiTheme="minorEastAsia" w:eastAsiaTheme="minorEastAsia" w:cstheme="minorEastAsia"/>
          <w:sz w:val="24"/>
          <w:szCs w:val="24"/>
          <w:highlight w:val="none"/>
          <w:lang w:eastAsia="zh-TW"/>
        </w:rPr>
        <w:t>规定</w:t>
      </w:r>
      <w:r>
        <w:rPr>
          <w:rFonts w:hint="eastAsia" w:asciiTheme="minorEastAsia" w:hAnsiTheme="minorEastAsia" w:eastAsiaTheme="minorEastAsia" w:cstheme="minorEastAsia"/>
          <w:sz w:val="24"/>
          <w:szCs w:val="24"/>
          <w:highlight w:val="none"/>
        </w:rPr>
        <w:t>的金</w:t>
      </w:r>
      <w:r>
        <w:rPr>
          <w:rFonts w:hint="eastAsia" w:asciiTheme="minorEastAsia" w:hAnsiTheme="minorEastAsia" w:eastAsiaTheme="minorEastAsia" w:cstheme="minorEastAsia"/>
          <w:sz w:val="24"/>
          <w:szCs w:val="24"/>
          <w:highlight w:val="none"/>
          <w:lang w:eastAsia="zh-TW"/>
        </w:rPr>
        <w:t>额</w:t>
      </w:r>
      <w:r>
        <w:rPr>
          <w:rFonts w:hint="eastAsia" w:asciiTheme="minorEastAsia" w:hAnsiTheme="minorEastAsia" w:eastAsiaTheme="minorEastAsia" w:cstheme="minorEastAsia"/>
          <w:sz w:val="24"/>
          <w:szCs w:val="24"/>
          <w:highlight w:val="none"/>
        </w:rPr>
        <w:t>和期限缴纳</w:t>
      </w:r>
      <w:r>
        <w:rPr>
          <w:rFonts w:hint="eastAsia" w:asciiTheme="minorEastAsia" w:hAnsiTheme="minorEastAsia" w:eastAsiaTheme="minorEastAsia" w:cstheme="minorEastAsia"/>
          <w:sz w:val="24"/>
          <w:szCs w:val="24"/>
          <w:highlight w:val="none"/>
          <w:lang w:eastAsia="zh-TW"/>
        </w:rPr>
        <w:t>投标保证金</w:t>
      </w:r>
      <w:r>
        <w:rPr>
          <w:rFonts w:hint="eastAsia" w:asciiTheme="minorEastAsia" w:hAnsiTheme="minorEastAsia" w:eastAsiaTheme="minorEastAsia" w:cstheme="minorEastAsia"/>
          <w:sz w:val="24"/>
          <w:szCs w:val="24"/>
          <w:highlight w:val="none"/>
        </w:rPr>
        <w:t>，投标保证金作为</w:t>
      </w:r>
      <w:r>
        <w:rPr>
          <w:rFonts w:hint="eastAsia" w:asciiTheme="minorEastAsia" w:hAnsiTheme="minorEastAsia" w:eastAsiaTheme="minorEastAsia" w:cstheme="minorEastAsia"/>
          <w:sz w:val="24"/>
          <w:szCs w:val="24"/>
          <w:highlight w:val="none"/>
          <w:lang w:eastAsia="zh-TW"/>
        </w:rPr>
        <w:t>投标</w:t>
      </w:r>
      <w:r>
        <w:rPr>
          <w:rFonts w:hint="eastAsia" w:asciiTheme="minorEastAsia" w:hAnsiTheme="minorEastAsia" w:eastAsiaTheme="minorEastAsia" w:cstheme="minorEastAsia"/>
          <w:sz w:val="24"/>
          <w:szCs w:val="24"/>
          <w:highlight w:val="none"/>
        </w:rPr>
        <w:t>文件的组成</w:t>
      </w:r>
      <w:r>
        <w:rPr>
          <w:rFonts w:hint="eastAsia" w:asciiTheme="minorEastAsia" w:hAnsiTheme="minorEastAsia" w:eastAsiaTheme="minorEastAsia" w:cstheme="minorEastAsia"/>
          <w:sz w:val="24"/>
          <w:szCs w:val="24"/>
          <w:highlight w:val="none"/>
          <w:lang w:eastAsia="zh-TW"/>
        </w:rPr>
        <w:t>分。</w:t>
      </w:r>
    </w:p>
    <w:p>
      <w:pPr>
        <w:tabs>
          <w:tab w:val="left" w:pos="425"/>
        </w:tabs>
        <w:adjustRightInd w:val="0"/>
        <w:snapToGrid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2、项目投标保证金金额为：</w:t>
      </w:r>
      <w:r>
        <w:rPr>
          <w:rFonts w:hint="eastAsia" w:asciiTheme="minorEastAsia" w:hAnsiTheme="minorEastAsia" w:eastAsiaTheme="minorEastAsia" w:cstheme="minorEastAsia"/>
          <w:b/>
          <w:sz w:val="24"/>
          <w:szCs w:val="24"/>
          <w:highlight w:val="none"/>
          <w:u w:val="single"/>
        </w:rPr>
        <w:t>人民币</w:t>
      </w:r>
      <w:r>
        <w:rPr>
          <w:rFonts w:hint="eastAsia" w:asciiTheme="minorEastAsia" w:hAnsiTheme="minorEastAsia" w:eastAsiaTheme="minorEastAsia" w:cstheme="minorEastAsia"/>
          <w:b/>
          <w:sz w:val="24"/>
          <w:szCs w:val="24"/>
          <w:highlight w:val="none"/>
          <w:u w:val="single"/>
          <w:lang w:val="en-US" w:eastAsia="zh-CN"/>
        </w:rPr>
        <w:t>贰仟</w:t>
      </w:r>
      <w:r>
        <w:rPr>
          <w:rFonts w:hint="eastAsia" w:asciiTheme="minorEastAsia" w:hAnsiTheme="minorEastAsia" w:eastAsiaTheme="minorEastAsia" w:cstheme="minorEastAsia"/>
          <w:b/>
          <w:sz w:val="24"/>
          <w:szCs w:val="24"/>
          <w:highlight w:val="none"/>
          <w:u w:val="single"/>
        </w:rPr>
        <w:t>元整（￥</w:t>
      </w:r>
      <w:r>
        <w:rPr>
          <w:rFonts w:hint="eastAsia" w:asciiTheme="minorEastAsia" w:hAnsiTheme="minorEastAsia" w:eastAsiaTheme="minorEastAsia" w:cstheme="minorEastAsia"/>
          <w:b/>
          <w:sz w:val="24"/>
          <w:szCs w:val="24"/>
          <w:highlight w:val="none"/>
          <w:u w:val="single"/>
          <w:lang w:eastAsia="zh-CN"/>
        </w:rPr>
        <w:t>2</w:t>
      </w:r>
      <w:r>
        <w:rPr>
          <w:rFonts w:hint="eastAsia" w:asciiTheme="minorEastAsia" w:hAnsiTheme="minorEastAsia" w:eastAsiaTheme="minorEastAsia" w:cstheme="minorEastAsia"/>
          <w:b/>
          <w:sz w:val="24"/>
          <w:szCs w:val="24"/>
          <w:highlight w:val="none"/>
          <w:u w:val="single"/>
        </w:rPr>
        <w:t>000.00）。</w:t>
      </w:r>
      <w:r>
        <w:rPr>
          <w:rFonts w:hint="eastAsia" w:asciiTheme="minorEastAsia" w:hAnsiTheme="minorEastAsia" w:eastAsiaTheme="minorEastAsia" w:cstheme="minorEastAsia"/>
          <w:sz w:val="24"/>
          <w:szCs w:val="24"/>
          <w:highlight w:val="none"/>
        </w:rPr>
        <w:t>投标保证金以转账</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现金或汇票</w:t>
      </w:r>
      <w:r>
        <w:rPr>
          <w:rFonts w:hint="eastAsia" w:asciiTheme="minorEastAsia" w:hAnsiTheme="minorEastAsia" w:eastAsiaTheme="minorEastAsia" w:cstheme="minorEastAsia"/>
          <w:sz w:val="24"/>
          <w:szCs w:val="24"/>
          <w:highlight w:val="none"/>
          <w:lang w:val="en-US" w:eastAsia="zh-CN"/>
        </w:rPr>
        <w:t>的</w:t>
      </w:r>
      <w:r>
        <w:rPr>
          <w:rFonts w:hint="eastAsia" w:asciiTheme="minorEastAsia" w:hAnsiTheme="minorEastAsia" w:eastAsiaTheme="minorEastAsia" w:cstheme="minorEastAsia"/>
          <w:sz w:val="24"/>
          <w:szCs w:val="24"/>
          <w:highlight w:val="none"/>
        </w:rPr>
        <w:t>形式提交。</w:t>
      </w:r>
    </w:p>
    <w:p>
      <w:pPr>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3、投标保证金为人民币，投标保证金应在</w:t>
      </w:r>
      <w:r>
        <w:rPr>
          <w:rFonts w:hint="eastAsia" w:asciiTheme="minorEastAsia" w:hAnsiTheme="minorEastAsia" w:eastAsiaTheme="minorEastAsia" w:cstheme="minorEastAsia"/>
          <w:b/>
          <w:bCs/>
          <w:sz w:val="24"/>
          <w:szCs w:val="24"/>
          <w:highlight w:val="none"/>
          <w:u w:val="single"/>
          <w:lang w:val="en-US" w:eastAsia="zh-CN"/>
        </w:rPr>
        <w:t>2024年9月6日</w:t>
      </w:r>
      <w:r>
        <w:rPr>
          <w:rFonts w:hint="eastAsia" w:asciiTheme="minorEastAsia" w:hAnsiTheme="minorEastAsia" w:eastAsiaTheme="minorEastAsia" w:cstheme="minorEastAsia"/>
          <w:b/>
          <w:bCs/>
          <w:sz w:val="24"/>
          <w:szCs w:val="24"/>
          <w:highlight w:val="none"/>
          <w:u w:val="single"/>
        </w:rPr>
        <w:t>15：00分</w:t>
      </w:r>
      <w:r>
        <w:rPr>
          <w:rFonts w:hint="eastAsia" w:asciiTheme="minorEastAsia" w:hAnsiTheme="minorEastAsia" w:eastAsiaTheme="minorEastAsia" w:cstheme="minorEastAsia"/>
          <w:b/>
          <w:bCs/>
          <w:sz w:val="24"/>
          <w:szCs w:val="24"/>
          <w:highlight w:val="none"/>
          <w:u w:val="single"/>
          <w:lang w:val="en-US" w:eastAsia="zh-CN"/>
        </w:rPr>
        <w:t>前</w:t>
      </w:r>
      <w:r>
        <w:rPr>
          <w:rFonts w:hint="eastAsia" w:asciiTheme="minorEastAsia" w:hAnsiTheme="minorEastAsia" w:eastAsiaTheme="minorEastAsia" w:cstheme="minorEastAsia"/>
          <w:sz w:val="24"/>
          <w:szCs w:val="24"/>
          <w:highlight w:val="none"/>
        </w:rPr>
        <w:t>到达采购人帐户上。</w:t>
      </w:r>
      <w:r>
        <w:rPr>
          <w:rFonts w:hint="eastAsia" w:asciiTheme="minorEastAsia" w:hAnsiTheme="minorEastAsia" w:eastAsiaTheme="minorEastAsia" w:cstheme="minorEastAsia"/>
          <w:sz w:val="24"/>
          <w:szCs w:val="24"/>
          <w:highlight w:val="none"/>
          <w:lang w:val="en-US" w:eastAsia="zh-CN"/>
        </w:rPr>
        <w:t>采购人</w:t>
      </w:r>
      <w:r>
        <w:rPr>
          <w:rFonts w:hint="eastAsia" w:asciiTheme="minorEastAsia" w:hAnsiTheme="minorEastAsia" w:eastAsiaTheme="minorEastAsia" w:cstheme="minorEastAsia"/>
          <w:sz w:val="24"/>
          <w:szCs w:val="24"/>
          <w:highlight w:val="none"/>
        </w:rPr>
        <w:t>账户</w:t>
      </w:r>
      <w:r>
        <w:rPr>
          <w:rFonts w:hint="eastAsia" w:asciiTheme="minorEastAsia" w:hAnsiTheme="minorEastAsia" w:eastAsiaTheme="minorEastAsia" w:cstheme="minorEastAsia"/>
          <w:sz w:val="24"/>
          <w:szCs w:val="24"/>
          <w:highlight w:val="none"/>
          <w:lang w:val="en-US" w:eastAsia="zh-CN"/>
        </w:rPr>
        <w:t>信息</w:t>
      </w:r>
      <w:r>
        <w:rPr>
          <w:rFonts w:hint="eastAsia" w:asciiTheme="minorEastAsia" w:hAnsiTheme="minorEastAsia" w:eastAsiaTheme="minorEastAsia" w:cstheme="minorEastAsia"/>
          <w:sz w:val="24"/>
          <w:szCs w:val="24"/>
          <w:highlight w:val="none"/>
        </w:rPr>
        <w:t>：</w:t>
      </w:r>
    </w:p>
    <w:p>
      <w:pPr>
        <w:pStyle w:val="8"/>
        <w:spacing w:line="360" w:lineRule="auto"/>
        <w:ind w:left="420" w:firstLine="241" w:firstLineChars="100"/>
        <w:rPr>
          <w:rFonts w:hint="eastAsia" w:asciiTheme="minorEastAsia" w:hAnsiTheme="minorEastAsia" w:eastAsiaTheme="minorEastAsia" w:cstheme="minorEastAsia"/>
          <w:b/>
          <w:bCs/>
          <w:kern w:val="0"/>
          <w:sz w:val="24"/>
          <w:szCs w:val="24"/>
          <w:highlight w:val="none"/>
          <w:lang w:val="en-US" w:eastAsia="zh-CN" w:bidi="ar-SA"/>
        </w:rPr>
      </w:pPr>
      <w:r>
        <w:rPr>
          <w:rFonts w:hint="eastAsia" w:asciiTheme="minorEastAsia" w:hAnsiTheme="minorEastAsia" w:eastAsiaTheme="minorEastAsia" w:cstheme="minorEastAsia"/>
          <w:b/>
          <w:bCs/>
          <w:kern w:val="0"/>
          <w:sz w:val="24"/>
          <w:szCs w:val="24"/>
          <w:highlight w:val="none"/>
          <w:lang w:val="en-US" w:eastAsia="zh-CN" w:bidi="ar-SA"/>
        </w:rPr>
        <w:t>收款人：广州南沙科技投资有限公司</w:t>
      </w:r>
    </w:p>
    <w:p>
      <w:pPr>
        <w:pStyle w:val="8"/>
        <w:spacing w:line="360" w:lineRule="auto"/>
        <w:ind w:left="420" w:firstLine="240" w:firstLineChars="100"/>
        <w:rPr>
          <w:rFonts w:hint="eastAsia" w:asciiTheme="minorEastAsia" w:hAnsiTheme="minorEastAsia" w:eastAsiaTheme="minorEastAsia" w:cstheme="minorEastAsia"/>
          <w:b w:val="0"/>
          <w:kern w:val="0"/>
          <w:sz w:val="24"/>
          <w:szCs w:val="24"/>
          <w:lang w:val="en-US" w:eastAsia="zh-CN" w:bidi="ar-SA"/>
        </w:rPr>
      </w:pPr>
      <w:r>
        <w:rPr>
          <w:rFonts w:hint="eastAsia" w:asciiTheme="minorEastAsia" w:hAnsiTheme="minorEastAsia" w:eastAsiaTheme="minorEastAsia" w:cstheme="minorEastAsia"/>
          <w:b w:val="0"/>
          <w:kern w:val="0"/>
          <w:sz w:val="24"/>
          <w:szCs w:val="24"/>
          <w:lang w:val="en-US" w:eastAsia="zh-CN" w:bidi="ar-SA"/>
        </w:rPr>
        <w:t>帐  号：</w:t>
      </w:r>
      <w:r>
        <w:rPr>
          <w:rFonts w:hint="eastAsia" w:asciiTheme="minorEastAsia" w:hAnsiTheme="minorEastAsia" w:eastAsiaTheme="minorEastAsia" w:cstheme="minorEastAsia"/>
          <w:color w:val="auto"/>
          <w:kern w:val="0"/>
          <w:sz w:val="24"/>
          <w:szCs w:val="24"/>
          <w:u w:val="single"/>
          <w:lang w:val="en-US" w:eastAsia="zh-CN" w:bidi="ar-SA"/>
        </w:rPr>
        <w:t xml:space="preserve">44001531405050035211 </w:t>
      </w:r>
    </w:p>
    <w:p>
      <w:pPr>
        <w:pStyle w:val="8"/>
        <w:spacing w:line="360" w:lineRule="auto"/>
        <w:ind w:left="420" w:firstLine="240" w:firstLineChars="100"/>
        <w:rPr>
          <w:rFonts w:hint="eastAsia" w:asciiTheme="minorEastAsia" w:hAnsiTheme="minorEastAsia" w:eastAsiaTheme="minorEastAsia" w:cstheme="minorEastAsia"/>
          <w:b w:val="0"/>
          <w:kern w:val="0"/>
          <w:sz w:val="24"/>
          <w:szCs w:val="24"/>
          <w:lang w:val="en-US" w:eastAsia="zh-CN" w:bidi="ar-SA"/>
        </w:rPr>
      </w:pPr>
      <w:r>
        <w:rPr>
          <w:rFonts w:hint="eastAsia" w:asciiTheme="minorEastAsia" w:hAnsiTheme="minorEastAsia" w:eastAsiaTheme="minorEastAsia" w:cstheme="minorEastAsia"/>
          <w:b w:val="0"/>
          <w:kern w:val="0"/>
          <w:sz w:val="24"/>
          <w:szCs w:val="24"/>
          <w:lang w:val="en-US" w:eastAsia="zh-CN" w:bidi="ar-SA"/>
        </w:rPr>
        <w:t>开户银行：</w:t>
      </w:r>
      <w:r>
        <w:rPr>
          <w:rFonts w:hint="eastAsia" w:asciiTheme="minorEastAsia" w:hAnsiTheme="minorEastAsia" w:eastAsiaTheme="minorEastAsia" w:cstheme="minorEastAsia"/>
          <w:color w:val="auto"/>
          <w:kern w:val="0"/>
          <w:sz w:val="24"/>
          <w:szCs w:val="24"/>
          <w:u w:val="single"/>
          <w:lang w:val="en-US" w:eastAsia="zh-CN" w:bidi="ar-SA"/>
        </w:rPr>
        <w:t>中国建设银行股份有限公司广州南沙开发区支行</w:t>
      </w:r>
    </w:p>
    <w:p>
      <w:pPr>
        <w:spacing w:line="360" w:lineRule="auto"/>
        <w:ind w:firstLine="602" w:firstLineChars="250"/>
        <w:rPr>
          <w:rFonts w:hint="eastAsia" w:asciiTheme="minorEastAsia" w:hAnsiTheme="minorEastAsia" w:eastAsiaTheme="minorEastAsia" w:cstheme="minorEastAsia"/>
          <w:b/>
          <w:sz w:val="24"/>
          <w:szCs w:val="24"/>
          <w:u w:val="single"/>
        </w:rPr>
      </w:pPr>
      <w:r>
        <w:rPr>
          <w:rFonts w:hint="eastAsia" w:asciiTheme="minorEastAsia" w:hAnsiTheme="minorEastAsia" w:eastAsiaTheme="minorEastAsia" w:cstheme="minorEastAsia"/>
          <w:b/>
          <w:sz w:val="24"/>
          <w:szCs w:val="24"/>
          <w:u w:val="single"/>
        </w:rPr>
        <w:t>（递交投标保证金请注明：</w:t>
      </w:r>
      <w:r>
        <w:rPr>
          <w:rFonts w:hint="eastAsia" w:asciiTheme="minorEastAsia" w:hAnsiTheme="minorEastAsia" w:eastAsiaTheme="minorEastAsia" w:cstheme="minorEastAsia"/>
          <w:b/>
          <w:sz w:val="24"/>
          <w:szCs w:val="24"/>
          <w:u w:val="single"/>
          <w:lang w:val="en-US" w:eastAsia="zh-CN"/>
        </w:rPr>
        <w:t>广州南沙</w:t>
      </w:r>
      <w:r>
        <w:rPr>
          <w:rFonts w:hint="eastAsia" w:asciiTheme="minorEastAsia" w:hAnsiTheme="minorEastAsia" w:eastAsiaTheme="minorEastAsia" w:cstheme="minorEastAsia"/>
          <w:b/>
          <w:sz w:val="24"/>
          <w:szCs w:val="24"/>
          <w:u w:val="single"/>
        </w:rPr>
        <w:t>前锋水乡项目启动区（一期）厨房设备采购</w:t>
      </w:r>
      <w:r>
        <w:rPr>
          <w:rFonts w:hint="eastAsia" w:asciiTheme="minorEastAsia" w:hAnsiTheme="minorEastAsia" w:eastAsiaTheme="minorEastAsia" w:cstheme="minorEastAsia"/>
          <w:b/>
          <w:sz w:val="24"/>
          <w:szCs w:val="24"/>
          <w:u w:val="single"/>
          <w:lang w:val="en-US" w:eastAsia="zh-CN"/>
        </w:rPr>
        <w:t>项目</w:t>
      </w:r>
      <w:r>
        <w:rPr>
          <w:rFonts w:hint="eastAsia" w:asciiTheme="minorEastAsia" w:hAnsiTheme="minorEastAsia" w:eastAsiaTheme="minorEastAsia" w:cstheme="minorEastAsia"/>
          <w:b/>
          <w:sz w:val="24"/>
          <w:szCs w:val="24"/>
          <w:u w:val="single"/>
        </w:rPr>
        <w:t>）</w:t>
      </w:r>
    </w:p>
    <w:p>
      <w:pPr>
        <w:spacing w:line="360" w:lineRule="auto"/>
        <w:rPr>
          <w:rFonts w:hint="eastAsia" w:asciiTheme="minorEastAsia" w:hAnsiTheme="minorEastAsia" w:eastAsiaTheme="minorEastAsia" w:cstheme="minorEastAsia"/>
          <w:b/>
          <w:sz w:val="24"/>
          <w:szCs w:val="24"/>
          <w:u w:val="single"/>
        </w:rPr>
      </w:pPr>
      <w:r>
        <w:rPr>
          <w:rFonts w:hint="eastAsia" w:asciiTheme="minorEastAsia" w:hAnsiTheme="minorEastAsia" w:eastAsiaTheme="minorEastAsia" w:cstheme="minorEastAsia"/>
          <w:b/>
          <w:sz w:val="24"/>
          <w:szCs w:val="24"/>
          <w:u w:val="single"/>
        </w:rPr>
        <w:t>投标人应按以上所述方式及时间提交投标保证金，采购人不承担投标人的投标保证金未能及时到账的风险。</w:t>
      </w:r>
    </w:p>
    <w:p>
      <w:pPr>
        <w:numPr>
          <w:ilvl w:val="0"/>
          <w:numId w:val="4"/>
        </w:numPr>
        <w:tabs>
          <w:tab w:val="left" w:pos="425"/>
          <w:tab w:val="left" w:pos="567"/>
        </w:tabs>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投标人与交款人名称必须一致，非投标人缴纳的投标保证金无效。</w:t>
      </w:r>
    </w:p>
    <w:p>
      <w:pPr>
        <w:numPr>
          <w:ilvl w:val="0"/>
          <w:numId w:val="4"/>
        </w:numPr>
        <w:tabs>
          <w:tab w:val="left" w:pos="425"/>
          <w:tab w:val="left" w:pos="567"/>
        </w:tabs>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递交投标文件时请将投标保证金缴纳凭证（加盖公章）封入投标文件里。</w:t>
      </w:r>
    </w:p>
    <w:p>
      <w:pPr>
        <w:numPr>
          <w:ilvl w:val="0"/>
          <w:numId w:val="4"/>
        </w:numPr>
        <w:tabs>
          <w:tab w:val="left" w:pos="425"/>
          <w:tab w:val="left" w:pos="567"/>
        </w:tabs>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投标人未按前述规定的时间内交纳足额投标保证金的，其投标文件将被拒绝。</w:t>
      </w:r>
    </w:p>
    <w:p>
      <w:pPr>
        <w:tabs>
          <w:tab w:val="left" w:pos="425"/>
          <w:tab w:val="left" w:pos="567"/>
        </w:tabs>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rPr>
        <w:t>7、采购单位</w:t>
      </w:r>
      <w:r>
        <w:rPr>
          <w:rFonts w:hint="eastAsia" w:asciiTheme="minorEastAsia" w:hAnsiTheme="minorEastAsia" w:eastAsiaTheme="minorEastAsia" w:cstheme="minorEastAsia"/>
          <w:sz w:val="24"/>
          <w:szCs w:val="24"/>
          <w:lang w:eastAsia="zh-TW"/>
        </w:rPr>
        <w:t>在中标通知书发出后</w:t>
      </w:r>
      <w:r>
        <w:rPr>
          <w:rFonts w:hint="eastAsia" w:asciiTheme="minorEastAsia" w:hAnsiTheme="minorEastAsia" w:eastAsiaTheme="minorEastAsia" w:cstheme="minorEastAsia"/>
          <w:sz w:val="24"/>
          <w:szCs w:val="24"/>
          <w:lang w:val="en-US" w:eastAsia="zh-CN"/>
        </w:rPr>
        <w:t>十</w:t>
      </w:r>
      <w:r>
        <w:rPr>
          <w:rFonts w:hint="eastAsia" w:asciiTheme="minorEastAsia" w:hAnsiTheme="minorEastAsia" w:eastAsiaTheme="minorEastAsia" w:cstheme="minorEastAsia"/>
          <w:sz w:val="24"/>
          <w:szCs w:val="24"/>
          <w:lang w:eastAsia="zh-TW"/>
        </w:rPr>
        <w:t>五个工作日内</w:t>
      </w:r>
      <w:r>
        <w:rPr>
          <w:rFonts w:hint="eastAsia" w:asciiTheme="minorEastAsia" w:hAnsiTheme="minorEastAsia" w:eastAsiaTheme="minorEastAsia" w:cstheme="minorEastAsia"/>
          <w:sz w:val="24"/>
          <w:szCs w:val="24"/>
        </w:rPr>
        <w:t>无息</w:t>
      </w:r>
      <w:r>
        <w:rPr>
          <w:rFonts w:hint="eastAsia" w:asciiTheme="minorEastAsia" w:hAnsiTheme="minorEastAsia" w:eastAsiaTheme="minorEastAsia" w:cstheme="minorEastAsia"/>
          <w:sz w:val="24"/>
          <w:szCs w:val="24"/>
          <w:lang w:eastAsia="zh-TW"/>
        </w:rPr>
        <w:t>退还</w:t>
      </w:r>
      <w:r>
        <w:rPr>
          <w:rFonts w:hint="eastAsia" w:asciiTheme="minorEastAsia" w:hAnsiTheme="minorEastAsia" w:eastAsiaTheme="minorEastAsia" w:cstheme="minorEastAsia"/>
          <w:sz w:val="24"/>
          <w:szCs w:val="24"/>
        </w:rPr>
        <w:t>未中标投标人的投标保证金，在采购合同签订后五个工作日内无息退还中标投标人的投标保证金</w:t>
      </w:r>
      <w:r>
        <w:rPr>
          <w:rFonts w:hint="eastAsia" w:asciiTheme="minorEastAsia" w:hAnsiTheme="minorEastAsia" w:eastAsiaTheme="minorEastAsia" w:cstheme="minorEastAsia"/>
          <w:sz w:val="24"/>
          <w:szCs w:val="24"/>
          <w:lang w:eastAsia="zh-TW"/>
        </w:rPr>
        <w:t>。</w:t>
      </w:r>
      <w:r>
        <w:rPr>
          <w:rFonts w:hint="eastAsia" w:asciiTheme="minorEastAsia" w:hAnsiTheme="minorEastAsia" w:eastAsiaTheme="minorEastAsia" w:cstheme="minorEastAsia"/>
          <w:sz w:val="24"/>
          <w:szCs w:val="24"/>
        </w:rPr>
        <w:t>所有投标人的投标保证金以转账的方式予以退还</w:t>
      </w:r>
      <w:r>
        <w:rPr>
          <w:rFonts w:hint="eastAsia" w:asciiTheme="minorEastAsia" w:hAnsiTheme="minorEastAsia" w:eastAsiaTheme="minorEastAsia" w:cstheme="minorEastAsia"/>
          <w:sz w:val="24"/>
          <w:szCs w:val="24"/>
          <w:lang w:eastAsia="zh-TW"/>
        </w:rPr>
        <w:t>。</w:t>
      </w:r>
    </w:p>
    <w:p>
      <w:pPr>
        <w:tabs>
          <w:tab w:val="left" w:pos="425"/>
          <w:tab w:val="left" w:pos="567"/>
        </w:tabs>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rPr>
        <w:t>8、中标供应商有</w:t>
      </w:r>
      <w:r>
        <w:rPr>
          <w:rFonts w:hint="eastAsia" w:asciiTheme="minorEastAsia" w:hAnsiTheme="minorEastAsia" w:eastAsiaTheme="minorEastAsia" w:cstheme="minorEastAsia"/>
          <w:sz w:val="24"/>
          <w:szCs w:val="24"/>
          <w:lang w:eastAsia="zh-TW"/>
        </w:rPr>
        <w:t>下列情</w:t>
      </w:r>
      <w:r>
        <w:rPr>
          <w:rFonts w:hint="eastAsia" w:asciiTheme="minorEastAsia" w:hAnsiTheme="minorEastAsia" w:eastAsiaTheme="minorEastAsia" w:cstheme="minorEastAsia"/>
          <w:sz w:val="24"/>
          <w:szCs w:val="24"/>
        </w:rPr>
        <w:t>形之一的，采购单位</w:t>
      </w:r>
      <w:r>
        <w:rPr>
          <w:rFonts w:hint="eastAsia" w:asciiTheme="minorEastAsia" w:hAnsiTheme="minorEastAsia" w:eastAsiaTheme="minorEastAsia" w:cstheme="minorEastAsia"/>
          <w:sz w:val="24"/>
          <w:szCs w:val="24"/>
          <w:lang w:eastAsia="zh-TW"/>
        </w:rPr>
        <w:t>不予退还</w:t>
      </w:r>
      <w:r>
        <w:rPr>
          <w:rFonts w:hint="eastAsia" w:asciiTheme="minorEastAsia" w:hAnsiTheme="minorEastAsia" w:eastAsiaTheme="minorEastAsia" w:cstheme="minorEastAsia"/>
          <w:sz w:val="24"/>
          <w:szCs w:val="24"/>
        </w:rPr>
        <w:t>其交纳的投标保证金；情节严重的，由采购人将其列入不良行为记录名单，在一至三年内禁止参加采购人的采购活动，并予以通报：</w:t>
      </w:r>
    </w:p>
    <w:p>
      <w:pPr>
        <w:tabs>
          <w:tab w:val="left" w:pos="425"/>
          <w:tab w:val="left" w:pos="851"/>
        </w:tabs>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8.1 </w:t>
      </w:r>
      <w:r>
        <w:rPr>
          <w:rFonts w:hint="eastAsia" w:asciiTheme="minorEastAsia" w:hAnsiTheme="minorEastAsia" w:eastAsiaTheme="minorEastAsia" w:cstheme="minorEastAsia"/>
          <w:sz w:val="24"/>
          <w:szCs w:val="24"/>
          <w:lang w:eastAsia="zh-TW"/>
        </w:rPr>
        <w:t>中标后无正当理</w:t>
      </w:r>
      <w:r>
        <w:rPr>
          <w:rFonts w:hint="eastAsia" w:asciiTheme="minorEastAsia" w:hAnsiTheme="minorEastAsia" w:eastAsiaTheme="minorEastAsia" w:cstheme="minorEastAsia"/>
          <w:sz w:val="24"/>
          <w:szCs w:val="24"/>
        </w:rPr>
        <w:t>由不与采购人</w:t>
      </w:r>
      <w:r>
        <w:rPr>
          <w:rFonts w:hint="eastAsia" w:asciiTheme="minorEastAsia" w:hAnsiTheme="minorEastAsia" w:eastAsiaTheme="minorEastAsia" w:cstheme="minorEastAsia"/>
          <w:sz w:val="24"/>
          <w:szCs w:val="24"/>
          <w:lang w:eastAsia="zh-TW"/>
        </w:rPr>
        <w:t>签订合同</w:t>
      </w:r>
      <w:r>
        <w:rPr>
          <w:rFonts w:hint="eastAsia" w:asciiTheme="minorEastAsia" w:hAnsiTheme="minorEastAsia" w:eastAsiaTheme="minorEastAsia" w:cstheme="minorEastAsia"/>
          <w:sz w:val="24"/>
          <w:szCs w:val="24"/>
        </w:rPr>
        <w:t>的；</w:t>
      </w:r>
    </w:p>
    <w:p>
      <w:pPr>
        <w:tabs>
          <w:tab w:val="left" w:pos="840"/>
        </w:tabs>
        <w:snapToGrid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8.2 </w:t>
      </w:r>
      <w:r>
        <w:rPr>
          <w:rFonts w:hint="eastAsia" w:asciiTheme="minorEastAsia" w:hAnsiTheme="minorEastAsia" w:eastAsiaTheme="minorEastAsia" w:cstheme="minorEastAsia"/>
          <w:sz w:val="24"/>
          <w:szCs w:val="24"/>
          <w:highlight w:val="none"/>
          <w:lang w:eastAsia="zh-TW"/>
        </w:rPr>
        <w:t>将中标项目转让给他人，或者在投标文件中未说明，且未经采购</w:t>
      </w:r>
      <w:r>
        <w:rPr>
          <w:rFonts w:hint="eastAsia" w:asciiTheme="minorEastAsia" w:hAnsiTheme="minorEastAsia" w:eastAsiaTheme="minorEastAsia" w:cstheme="minorEastAsia"/>
          <w:sz w:val="24"/>
          <w:szCs w:val="24"/>
          <w:highlight w:val="none"/>
        </w:rPr>
        <w:t>单位</w:t>
      </w:r>
      <w:r>
        <w:rPr>
          <w:rFonts w:hint="eastAsia" w:asciiTheme="minorEastAsia" w:hAnsiTheme="minorEastAsia" w:eastAsiaTheme="minorEastAsia" w:cstheme="minorEastAsia"/>
          <w:sz w:val="24"/>
          <w:szCs w:val="24"/>
          <w:highlight w:val="none"/>
          <w:lang w:eastAsia="zh-TW"/>
        </w:rPr>
        <w:t>同意，</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eastAsia="zh-TW"/>
        </w:rPr>
        <w:t>将中标项目分包给他人的</w:t>
      </w:r>
      <w:r>
        <w:rPr>
          <w:rFonts w:hint="eastAsia" w:asciiTheme="minorEastAsia" w:hAnsiTheme="minorEastAsia" w:eastAsiaTheme="minorEastAsia" w:cstheme="minorEastAsia"/>
          <w:sz w:val="24"/>
          <w:szCs w:val="24"/>
          <w:highlight w:val="none"/>
        </w:rPr>
        <w:t>。</w:t>
      </w:r>
    </w:p>
    <w:p>
      <w:pPr>
        <w:tabs>
          <w:tab w:val="left" w:pos="840"/>
        </w:tabs>
        <w:snapToGrid w:val="0"/>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8.3投标人在投标承诺函规定的投标有效期内撤回其投标的。</w:t>
      </w:r>
    </w:p>
    <w:p>
      <w:pPr>
        <w:pStyle w:val="28"/>
        <w:spacing w:line="360" w:lineRule="auto"/>
        <w:ind w:firstLine="482" w:firstLineChars="200"/>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九、递交采购文件时间、投标截止时间、开标时间及地点：</w:t>
      </w:r>
    </w:p>
    <w:p>
      <w:pPr>
        <w:snapToGrid w:val="0"/>
        <w:spacing w:line="360" w:lineRule="auto"/>
        <w:ind w:firstLine="482" w:firstLineChars="200"/>
        <w:jc w:val="left"/>
        <w:rPr>
          <w:rFonts w:hint="eastAsia" w:asciiTheme="minorEastAsia" w:hAnsiTheme="minorEastAsia" w:eastAsiaTheme="minorEastAsia" w:cstheme="minorEastAsia"/>
          <w:b/>
          <w:bCs/>
          <w:sz w:val="24"/>
          <w:szCs w:val="24"/>
          <w:highlight w:val="none"/>
          <w:u w:val="single"/>
        </w:rPr>
      </w:pPr>
      <w:r>
        <w:rPr>
          <w:rFonts w:hint="eastAsia" w:asciiTheme="minorEastAsia" w:hAnsiTheme="minorEastAsia" w:eastAsiaTheme="minorEastAsia" w:cstheme="minorEastAsia"/>
          <w:b/>
          <w:bCs/>
          <w:sz w:val="24"/>
          <w:szCs w:val="24"/>
          <w:highlight w:val="none"/>
          <w:u w:val="single"/>
        </w:rPr>
        <w:t>1、投标截止时间：202</w:t>
      </w:r>
      <w:r>
        <w:rPr>
          <w:rFonts w:hint="eastAsia" w:asciiTheme="minorEastAsia" w:hAnsiTheme="minorEastAsia" w:eastAsiaTheme="minorEastAsia" w:cstheme="minorEastAsia"/>
          <w:b/>
          <w:bCs/>
          <w:sz w:val="24"/>
          <w:szCs w:val="24"/>
          <w:highlight w:val="none"/>
          <w:u w:val="single"/>
          <w:lang w:val="en-US" w:eastAsia="zh-CN"/>
        </w:rPr>
        <w:t>4</w:t>
      </w:r>
      <w:r>
        <w:rPr>
          <w:rFonts w:hint="eastAsia" w:asciiTheme="minorEastAsia" w:hAnsiTheme="minorEastAsia" w:eastAsiaTheme="minorEastAsia" w:cstheme="minorEastAsia"/>
          <w:b/>
          <w:bCs/>
          <w:sz w:val="24"/>
          <w:szCs w:val="24"/>
          <w:highlight w:val="none"/>
          <w:u w:val="single"/>
        </w:rPr>
        <w:t>年</w:t>
      </w:r>
      <w:r>
        <w:rPr>
          <w:rFonts w:hint="eastAsia" w:asciiTheme="minorEastAsia" w:hAnsiTheme="minorEastAsia" w:eastAsiaTheme="minorEastAsia" w:cstheme="minorEastAsia"/>
          <w:b/>
          <w:bCs/>
          <w:sz w:val="24"/>
          <w:szCs w:val="24"/>
          <w:highlight w:val="none"/>
          <w:u w:val="single"/>
          <w:lang w:val="en-US" w:eastAsia="zh-CN"/>
        </w:rPr>
        <w:t>9</w:t>
      </w:r>
      <w:r>
        <w:rPr>
          <w:rFonts w:hint="eastAsia" w:asciiTheme="minorEastAsia" w:hAnsiTheme="minorEastAsia" w:eastAsiaTheme="minorEastAsia" w:cstheme="minorEastAsia"/>
          <w:b/>
          <w:bCs/>
          <w:sz w:val="24"/>
          <w:szCs w:val="24"/>
          <w:highlight w:val="none"/>
          <w:u w:val="single"/>
        </w:rPr>
        <w:t>月</w:t>
      </w:r>
      <w:r>
        <w:rPr>
          <w:rFonts w:hint="eastAsia" w:asciiTheme="minorEastAsia" w:hAnsiTheme="minorEastAsia" w:eastAsiaTheme="minorEastAsia" w:cstheme="minorEastAsia"/>
          <w:b/>
          <w:bCs/>
          <w:sz w:val="24"/>
          <w:szCs w:val="24"/>
          <w:highlight w:val="none"/>
          <w:u w:val="single"/>
          <w:lang w:val="en-US" w:eastAsia="zh-CN"/>
        </w:rPr>
        <w:t>9</w:t>
      </w:r>
      <w:r>
        <w:rPr>
          <w:rFonts w:hint="eastAsia" w:asciiTheme="minorEastAsia" w:hAnsiTheme="minorEastAsia" w:eastAsiaTheme="minorEastAsia" w:cstheme="minorEastAsia"/>
          <w:b/>
          <w:bCs/>
          <w:sz w:val="24"/>
          <w:szCs w:val="24"/>
          <w:highlight w:val="none"/>
          <w:u w:val="single"/>
        </w:rPr>
        <w:t>日</w:t>
      </w:r>
      <w:r>
        <w:rPr>
          <w:rFonts w:hint="eastAsia" w:asciiTheme="minorEastAsia" w:hAnsiTheme="minorEastAsia" w:eastAsiaTheme="minorEastAsia" w:cstheme="minorEastAsia"/>
          <w:b/>
          <w:bCs/>
          <w:sz w:val="24"/>
          <w:szCs w:val="24"/>
          <w:highlight w:val="none"/>
          <w:u w:val="single"/>
          <w:lang w:val="en-US" w:eastAsia="zh-CN"/>
        </w:rPr>
        <w:t xml:space="preserve"> 下午14：00</w:t>
      </w:r>
      <w:r>
        <w:rPr>
          <w:rFonts w:hint="eastAsia" w:asciiTheme="minorEastAsia" w:hAnsiTheme="minorEastAsia" w:eastAsiaTheme="minorEastAsia" w:cstheme="minorEastAsia"/>
          <w:b/>
          <w:bCs/>
          <w:sz w:val="24"/>
          <w:szCs w:val="24"/>
          <w:highlight w:val="none"/>
          <w:u w:val="single"/>
        </w:rPr>
        <w:t>前</w:t>
      </w:r>
    </w:p>
    <w:p>
      <w:pPr>
        <w:snapToGrid w:val="0"/>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rPr>
        <w:t>投标文件递交地点：广州市南沙区</w:t>
      </w:r>
      <w:r>
        <w:rPr>
          <w:rFonts w:hint="eastAsia" w:asciiTheme="minorEastAsia" w:hAnsiTheme="minorEastAsia" w:eastAsiaTheme="minorEastAsia" w:cstheme="minorEastAsia"/>
          <w:sz w:val="24"/>
          <w:szCs w:val="24"/>
          <w:lang w:val="en-US" w:eastAsia="zh-CN"/>
        </w:rPr>
        <w:t>港湾</w:t>
      </w:r>
      <w:r>
        <w:rPr>
          <w:rFonts w:hint="eastAsia" w:asciiTheme="minorEastAsia" w:hAnsiTheme="minorEastAsia" w:eastAsiaTheme="minorEastAsia" w:cstheme="minorEastAsia"/>
          <w:sz w:val="24"/>
          <w:szCs w:val="24"/>
        </w:rPr>
        <w:t>街天后路88号</w:t>
      </w:r>
      <w:r>
        <w:rPr>
          <w:rFonts w:hint="eastAsia" w:asciiTheme="minorEastAsia" w:hAnsiTheme="minorEastAsia" w:eastAsiaTheme="minorEastAsia" w:cstheme="minorEastAsia"/>
          <w:sz w:val="24"/>
          <w:szCs w:val="24"/>
          <w:lang w:val="en-US" w:eastAsia="zh-CN"/>
        </w:rPr>
        <w:t>之一</w:t>
      </w:r>
      <w:r>
        <w:rPr>
          <w:rFonts w:hint="eastAsia" w:asciiTheme="minorEastAsia" w:hAnsiTheme="minorEastAsia" w:eastAsiaTheme="minorEastAsia" w:cstheme="minorEastAsia"/>
          <w:sz w:val="24"/>
          <w:szCs w:val="24"/>
        </w:rPr>
        <w:t>南沙天后宫景区办公室2楼206评标室</w:t>
      </w:r>
      <w:r>
        <w:rPr>
          <w:rFonts w:hint="eastAsia" w:asciiTheme="minorEastAsia" w:hAnsiTheme="minorEastAsia" w:eastAsiaTheme="minorEastAsia" w:cstheme="minorEastAsia"/>
          <w:sz w:val="24"/>
          <w:szCs w:val="24"/>
          <w:lang w:eastAsia="zh-CN"/>
        </w:rPr>
        <w:t>。</w:t>
      </w:r>
    </w:p>
    <w:p>
      <w:pPr>
        <w:snapToGrid w:val="0"/>
        <w:spacing w:line="360" w:lineRule="auto"/>
        <w:ind w:firstLine="480" w:firstLineChars="200"/>
        <w:jc w:val="left"/>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b/>
          <w:bCs/>
          <w:sz w:val="24"/>
          <w:szCs w:val="24"/>
          <w:highlight w:val="none"/>
          <w:u w:val="single"/>
        </w:rPr>
        <w:t>开标评标时间：202</w:t>
      </w:r>
      <w:r>
        <w:rPr>
          <w:rFonts w:hint="eastAsia" w:asciiTheme="minorEastAsia" w:hAnsiTheme="minorEastAsia" w:eastAsiaTheme="minorEastAsia" w:cstheme="minorEastAsia"/>
          <w:b/>
          <w:bCs/>
          <w:sz w:val="24"/>
          <w:szCs w:val="24"/>
          <w:highlight w:val="none"/>
          <w:u w:val="single"/>
          <w:lang w:val="en-US" w:eastAsia="zh-CN"/>
        </w:rPr>
        <w:t>4</w:t>
      </w:r>
      <w:r>
        <w:rPr>
          <w:rFonts w:hint="eastAsia" w:asciiTheme="minorEastAsia" w:hAnsiTheme="minorEastAsia" w:eastAsiaTheme="minorEastAsia" w:cstheme="minorEastAsia"/>
          <w:b/>
          <w:bCs/>
          <w:sz w:val="24"/>
          <w:szCs w:val="24"/>
          <w:highlight w:val="none"/>
          <w:u w:val="single"/>
        </w:rPr>
        <w:t xml:space="preserve"> 年</w:t>
      </w:r>
      <w:r>
        <w:rPr>
          <w:rFonts w:hint="eastAsia" w:asciiTheme="minorEastAsia" w:hAnsiTheme="minorEastAsia" w:eastAsiaTheme="minorEastAsia" w:cstheme="minorEastAsia"/>
          <w:b/>
          <w:bCs/>
          <w:sz w:val="24"/>
          <w:szCs w:val="24"/>
          <w:highlight w:val="none"/>
          <w:u w:val="single"/>
          <w:lang w:val="en-US" w:eastAsia="zh-CN"/>
        </w:rPr>
        <w:t>9</w:t>
      </w:r>
      <w:r>
        <w:rPr>
          <w:rFonts w:hint="eastAsia" w:asciiTheme="minorEastAsia" w:hAnsiTheme="minorEastAsia" w:eastAsiaTheme="minorEastAsia" w:cstheme="minorEastAsia"/>
          <w:b/>
          <w:bCs/>
          <w:sz w:val="24"/>
          <w:szCs w:val="24"/>
          <w:highlight w:val="none"/>
          <w:u w:val="single"/>
        </w:rPr>
        <w:t>月</w:t>
      </w:r>
      <w:r>
        <w:rPr>
          <w:rFonts w:hint="eastAsia" w:asciiTheme="minorEastAsia" w:hAnsiTheme="minorEastAsia" w:eastAsiaTheme="minorEastAsia" w:cstheme="minorEastAsia"/>
          <w:b/>
          <w:bCs/>
          <w:sz w:val="24"/>
          <w:szCs w:val="24"/>
          <w:highlight w:val="none"/>
          <w:u w:val="single"/>
          <w:lang w:val="en-US" w:eastAsia="zh-CN"/>
        </w:rPr>
        <w:t>9</w:t>
      </w:r>
      <w:r>
        <w:rPr>
          <w:rFonts w:hint="eastAsia" w:asciiTheme="minorEastAsia" w:hAnsiTheme="minorEastAsia" w:eastAsiaTheme="minorEastAsia" w:cstheme="minorEastAsia"/>
          <w:b/>
          <w:bCs/>
          <w:sz w:val="24"/>
          <w:szCs w:val="24"/>
          <w:highlight w:val="none"/>
          <w:u w:val="single"/>
        </w:rPr>
        <w:t>日</w:t>
      </w:r>
      <w:r>
        <w:rPr>
          <w:rFonts w:hint="eastAsia" w:asciiTheme="minorEastAsia" w:hAnsiTheme="minorEastAsia" w:eastAsiaTheme="minorEastAsia" w:cstheme="minorEastAsia"/>
          <w:b/>
          <w:bCs/>
          <w:sz w:val="24"/>
          <w:szCs w:val="24"/>
          <w:highlight w:val="none"/>
          <w:u w:val="single"/>
          <w:lang w:val="en-US" w:eastAsia="zh-CN"/>
        </w:rPr>
        <w:t>9下午14:30分。</w:t>
      </w:r>
    </w:p>
    <w:p>
      <w:pPr>
        <w:snapToGrid w:val="0"/>
        <w:spacing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rPr>
        <w:t>开标评标地点：广州市南沙区</w:t>
      </w:r>
      <w:r>
        <w:rPr>
          <w:rFonts w:hint="eastAsia" w:asciiTheme="minorEastAsia" w:hAnsiTheme="minorEastAsia" w:eastAsiaTheme="minorEastAsia" w:cstheme="minorEastAsia"/>
          <w:sz w:val="24"/>
          <w:szCs w:val="24"/>
          <w:lang w:val="en-US" w:eastAsia="zh-CN"/>
        </w:rPr>
        <w:t>港湾</w:t>
      </w:r>
      <w:r>
        <w:rPr>
          <w:rFonts w:hint="eastAsia" w:asciiTheme="minorEastAsia" w:hAnsiTheme="minorEastAsia" w:eastAsiaTheme="minorEastAsia" w:cstheme="minorEastAsia"/>
          <w:sz w:val="24"/>
          <w:szCs w:val="24"/>
        </w:rPr>
        <w:t>街天后路88号南沙天后宫景区办公室2楼206评标室</w:t>
      </w:r>
      <w:r>
        <w:rPr>
          <w:rFonts w:hint="eastAsia" w:asciiTheme="minorEastAsia" w:hAnsiTheme="minorEastAsia" w:eastAsiaTheme="minorEastAsia" w:cstheme="minorEastAsia"/>
          <w:sz w:val="24"/>
          <w:szCs w:val="24"/>
          <w:lang w:eastAsia="zh-CN"/>
        </w:rPr>
        <w:t>。</w:t>
      </w:r>
    </w:p>
    <w:p>
      <w:pPr>
        <w:tabs>
          <w:tab w:val="left" w:pos="425"/>
          <w:tab w:val="left" w:pos="851"/>
        </w:tabs>
        <w:autoSpaceDE w:val="0"/>
        <w:autoSpaceDN w:val="0"/>
        <w:adjustRightInd w:val="0"/>
        <w:snapToGrid w:val="0"/>
        <w:spacing w:line="360" w:lineRule="auto"/>
        <w:ind w:firstLine="482"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十、采购单位联系方式：</w:t>
      </w:r>
    </w:p>
    <w:p>
      <w:pPr>
        <w:pStyle w:val="28"/>
        <w:spacing w:line="360" w:lineRule="auto"/>
        <w:ind w:firstLine="480" w:firstLineChars="200"/>
        <w:jc w:val="left"/>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招标联系人：郭先生，电话：020-39002069（8：30-17：00）。</w:t>
      </w:r>
    </w:p>
    <w:p>
      <w:pPr>
        <w:pStyle w:val="28"/>
        <w:spacing w:line="360" w:lineRule="auto"/>
        <w:ind w:firstLine="480" w:firstLineChars="200"/>
        <w:jc w:val="left"/>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项目联系人：段先生，电话：020-62326053（8：30-17：00）</w:t>
      </w:r>
    </w:p>
    <w:p>
      <w:pPr>
        <w:pStyle w:val="28"/>
        <w:spacing w:line="360" w:lineRule="auto"/>
        <w:ind w:firstLine="480" w:firstLineChars="200"/>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w:t>
      </w:r>
    </w:p>
    <w:p>
      <w:pPr>
        <w:pStyle w:val="28"/>
        <w:spacing w:line="360" w:lineRule="auto"/>
        <w:ind w:firstLine="480" w:firstLineChars="200"/>
        <w:jc w:val="center"/>
        <w:rPr>
          <w:rFonts w:hint="eastAsia" w:asciiTheme="minorEastAsia" w:hAnsiTheme="minorEastAsia" w:eastAsiaTheme="minorEastAsia" w:cstheme="minorEastAsia"/>
          <w:color w:val="auto"/>
          <w:lang w:val="en-US" w:eastAsia="zh-CN"/>
        </w:rPr>
      </w:pPr>
    </w:p>
    <w:p>
      <w:pPr>
        <w:pStyle w:val="28"/>
        <w:spacing w:line="360" w:lineRule="auto"/>
        <w:ind w:firstLine="480" w:firstLineChars="200"/>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w:t>
      </w:r>
    </w:p>
    <w:p>
      <w:pPr>
        <w:pStyle w:val="28"/>
        <w:spacing w:line="360" w:lineRule="auto"/>
        <w:ind w:firstLine="480" w:firstLineChars="20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广州南沙科技投资有限公司</w:t>
      </w:r>
    </w:p>
    <w:p>
      <w:pPr>
        <w:pStyle w:val="28"/>
        <w:spacing w:line="360" w:lineRule="auto"/>
        <w:ind w:firstLine="480" w:firstLineChars="20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20</w:t>
      </w:r>
      <w:r>
        <w:rPr>
          <w:rFonts w:hint="eastAsia" w:asciiTheme="minorEastAsia" w:hAnsiTheme="minorEastAsia" w:eastAsiaTheme="minorEastAsia" w:cstheme="minorEastAsia"/>
          <w:color w:val="auto"/>
          <w:sz w:val="24"/>
          <w:szCs w:val="24"/>
          <w:highlight w:val="none"/>
          <w:lang w:val="en-US" w:eastAsia="zh-CN"/>
        </w:rPr>
        <w:t>24</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lang w:val="en-US" w:eastAsia="zh-CN"/>
        </w:rPr>
        <w:t xml:space="preserve"> 9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 xml:space="preserve"> 3 </w:t>
      </w:r>
      <w:r>
        <w:rPr>
          <w:rFonts w:hint="eastAsia" w:asciiTheme="minorEastAsia" w:hAnsiTheme="minorEastAsia" w:eastAsiaTheme="minorEastAsia" w:cstheme="minorEastAsia"/>
          <w:color w:val="auto"/>
          <w:sz w:val="24"/>
          <w:szCs w:val="24"/>
          <w:highlight w:val="none"/>
        </w:rPr>
        <w:t>日</w:t>
      </w:r>
    </w:p>
    <w:p>
      <w:pPr>
        <w:pStyle w:val="9"/>
        <w:snapToGrid w:val="0"/>
        <w:spacing w:line="360" w:lineRule="exact"/>
        <w:ind w:right="92" w:firstLine="0"/>
        <w:rPr>
          <w:rFonts w:ascii="宋体"/>
          <w:bCs/>
          <w:sz w:val="24"/>
          <w:szCs w:val="24"/>
        </w:rPr>
      </w:pPr>
    </w:p>
    <w:p>
      <w:pPr>
        <w:jc w:val="center"/>
        <w:rPr>
          <w:b/>
          <w:sz w:val="32"/>
          <w:szCs w:val="32"/>
        </w:rPr>
      </w:pPr>
      <w:bookmarkStart w:id="20" w:name="_Toc366180610"/>
      <w:r>
        <w:rPr>
          <w:sz w:val="32"/>
          <w:szCs w:val="32"/>
        </w:rPr>
        <w:br w:type="page"/>
      </w:r>
      <w:r>
        <w:rPr>
          <w:rFonts w:hint="eastAsia"/>
          <w:b/>
          <w:bCs/>
          <w:sz w:val="44"/>
          <w:szCs w:val="44"/>
        </w:rPr>
        <w:t>投标申请人声明</w:t>
      </w:r>
      <w:bookmarkEnd w:id="20"/>
    </w:p>
    <w:p>
      <w:pPr>
        <w:pStyle w:val="28"/>
        <w:spacing w:line="360" w:lineRule="auto"/>
        <w:ind w:firstLine="2650" w:firstLineChars="1100"/>
        <w:rPr>
          <w:rFonts w:hAnsi="宋体"/>
          <w:b/>
          <w:color w:val="auto"/>
        </w:rPr>
      </w:pPr>
    </w:p>
    <w:p>
      <w:pPr>
        <w:tabs>
          <w:tab w:val="left" w:pos="425"/>
          <w:tab w:val="left" w:pos="567"/>
        </w:tabs>
        <w:autoSpaceDE w:val="0"/>
        <w:autoSpaceDN w:val="0"/>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lang w:eastAsia="zh-CN"/>
        </w:rPr>
        <w:t>广州南沙科技投资有限公司</w:t>
      </w:r>
    </w:p>
    <w:p>
      <w:pPr>
        <w:tabs>
          <w:tab w:val="left" w:pos="425"/>
          <w:tab w:val="left" w:pos="567"/>
        </w:tabs>
        <w:autoSpaceDE w:val="0"/>
        <w:autoSpaceDN w:val="0"/>
        <w:adjustRightInd w:val="0"/>
        <w:snapToGrid w:val="0"/>
        <w:spacing w:line="360" w:lineRule="auto"/>
        <w:ind w:firstLine="480" w:firstLineChars="200"/>
        <w:rPr>
          <w:rFonts w:hint="eastAsia" w:ascii="宋体" w:hAnsi="宋体" w:eastAsia="宋体" w:cs="宋体"/>
          <w:sz w:val="24"/>
          <w:szCs w:val="24"/>
        </w:rPr>
      </w:pPr>
    </w:p>
    <w:p>
      <w:pPr>
        <w:tabs>
          <w:tab w:val="left" w:pos="425"/>
          <w:tab w:val="left" w:pos="567"/>
        </w:tabs>
        <w:autoSpaceDE w:val="0"/>
        <w:autoSpaceDN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本公司就参加</w:t>
      </w:r>
      <w:r>
        <w:rPr>
          <w:rFonts w:hint="eastAsia" w:ascii="宋体" w:hAnsi="宋体" w:cs="宋体"/>
          <w:sz w:val="24"/>
          <w:szCs w:val="24"/>
          <w:lang w:eastAsia="zh-CN"/>
        </w:rPr>
        <w:t>《</w:t>
      </w:r>
      <w:r>
        <w:rPr>
          <w:rFonts w:hint="eastAsia" w:ascii="宋体" w:hAnsi="宋体" w:cs="宋体"/>
          <w:sz w:val="24"/>
          <w:szCs w:val="24"/>
          <w:lang w:val="en-US" w:eastAsia="zh-CN"/>
        </w:rPr>
        <w:t>广州</w:t>
      </w:r>
      <w:r>
        <w:rPr>
          <w:rFonts w:hint="eastAsia" w:ascii="宋体" w:hAnsi="宋体" w:eastAsia="宋体" w:cs="宋体"/>
          <w:sz w:val="24"/>
          <w:szCs w:val="24"/>
          <w:lang w:val="en-US" w:eastAsia="zh-CN"/>
        </w:rPr>
        <w:t>南沙</w:t>
      </w:r>
      <w:r>
        <w:rPr>
          <w:rFonts w:hint="eastAsia" w:ascii="宋体" w:hAnsi="宋体" w:eastAsia="宋体" w:cs="宋体"/>
          <w:sz w:val="24"/>
          <w:szCs w:val="24"/>
        </w:rPr>
        <w:t>前锋水乡项目启动区（一期）厨房设备采购</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》的</w:t>
      </w:r>
      <w:r>
        <w:rPr>
          <w:rFonts w:hint="eastAsia" w:ascii="宋体" w:hAnsi="宋体" w:eastAsia="宋体" w:cs="宋体"/>
          <w:sz w:val="24"/>
          <w:szCs w:val="24"/>
        </w:rPr>
        <w:t>投标工作，作出郑重声明：</w:t>
      </w:r>
    </w:p>
    <w:p>
      <w:pPr>
        <w:numPr>
          <w:ilvl w:val="-1"/>
          <w:numId w:val="0"/>
        </w:numPr>
        <w:tabs>
          <w:tab w:val="left" w:pos="425"/>
          <w:tab w:val="left" w:pos="567"/>
        </w:tabs>
        <w:autoSpaceDE w:val="0"/>
        <w:autoSpaceDN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本公司保证投标报名材料及其后提供的一切材料都是真实的。</w:t>
      </w:r>
    </w:p>
    <w:p>
      <w:pPr>
        <w:numPr>
          <w:ilvl w:val="-1"/>
          <w:numId w:val="0"/>
        </w:numPr>
        <w:tabs>
          <w:tab w:val="left" w:pos="425"/>
          <w:tab w:val="left" w:pos="567"/>
        </w:tabs>
        <w:autoSpaceDE w:val="0"/>
        <w:autoSpaceDN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本公司保证不与其他单位围标、串标，不出让投标资格，不向招标单位或评标委员会成员行贿。</w:t>
      </w:r>
    </w:p>
    <w:p>
      <w:pPr>
        <w:numPr>
          <w:ilvl w:val="-1"/>
          <w:numId w:val="0"/>
        </w:numPr>
        <w:tabs>
          <w:tab w:val="left" w:pos="425"/>
          <w:tab w:val="left" w:pos="567"/>
        </w:tabs>
        <w:autoSpaceDE w:val="0"/>
        <w:autoSpaceDN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公司没有处于被责令停业的状态；没有处于被取消投标资格的处罚期内；没有处于财产被接管、冻结、破产的状态；在广州市人民检察院行贿犯罪档案结果中，本公司没有在投标报名截止时间前三年内被人民法院判决犯有行贿罪的记录；在投标报名截止日期前三年内，本公司没有弄虚作假骗取中标、围标串标行为（以行政主管部门或法院或检察院书面认定为准）。</w:t>
      </w:r>
    </w:p>
    <w:p>
      <w:pPr>
        <w:numPr>
          <w:ilvl w:val="-1"/>
          <w:numId w:val="0"/>
        </w:numPr>
        <w:tabs>
          <w:tab w:val="left" w:pos="425"/>
          <w:tab w:val="left" w:pos="567"/>
        </w:tabs>
        <w:autoSpaceDE w:val="0"/>
        <w:autoSpaceDN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公司及其有隶属关系的机构，没有参加本项目采购文件的编写工作。本公司违反上述保证或本声明陈述与事实不符，经查实，本公司愿意接受公开通报，承担由此带来的法律后果，并自愿停止参加广州市行政辖区内的采购投标活动三个月。</w:t>
      </w:r>
    </w:p>
    <w:p>
      <w:pPr>
        <w:tabs>
          <w:tab w:val="left" w:pos="425"/>
          <w:tab w:val="left" w:pos="567"/>
        </w:tabs>
        <w:autoSpaceDE w:val="0"/>
        <w:autoSpaceDN w:val="0"/>
        <w:adjustRightInd w:val="0"/>
        <w:snapToGrid w:val="0"/>
        <w:spacing w:line="360" w:lineRule="auto"/>
        <w:ind w:left="0" w:firstLine="480" w:firstLineChars="200"/>
        <w:rPr>
          <w:rFonts w:hint="eastAsia" w:ascii="宋体" w:hAnsi="宋体" w:eastAsia="宋体" w:cs="宋体"/>
          <w:sz w:val="24"/>
          <w:szCs w:val="24"/>
        </w:rPr>
      </w:pPr>
    </w:p>
    <w:p>
      <w:pPr>
        <w:tabs>
          <w:tab w:val="left" w:pos="425"/>
          <w:tab w:val="left" w:pos="567"/>
        </w:tabs>
        <w:autoSpaceDE w:val="0"/>
        <w:autoSpaceDN w:val="0"/>
        <w:adjustRightInd w:val="0"/>
        <w:snapToGrid w:val="0"/>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tabs>
          <w:tab w:val="left" w:pos="425"/>
          <w:tab w:val="left" w:pos="567"/>
        </w:tabs>
        <w:autoSpaceDE w:val="0"/>
        <w:autoSpaceDN w:val="0"/>
        <w:adjustRightInd w:val="0"/>
        <w:snapToGrid w:val="0"/>
        <w:spacing w:before="0" w:beforeLines="-2147483648" w:line="360" w:lineRule="auto"/>
        <w:ind w:left="0" w:firstLine="480" w:firstLineChars="200"/>
        <w:rPr>
          <w:rFonts w:hint="eastAsia" w:ascii="宋体" w:hAnsi="宋体" w:eastAsia="宋体" w:cs="宋体"/>
          <w:sz w:val="24"/>
          <w:szCs w:val="24"/>
        </w:rPr>
      </w:pPr>
    </w:p>
    <w:p>
      <w:pPr>
        <w:tabs>
          <w:tab w:val="left" w:pos="425"/>
          <w:tab w:val="left" w:pos="567"/>
        </w:tabs>
        <w:autoSpaceDE w:val="0"/>
        <w:autoSpaceDN w:val="0"/>
        <w:adjustRightInd w:val="0"/>
        <w:snapToGrid w:val="0"/>
        <w:spacing w:before="0" w:beforeLines="-2147483648"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w:t>
      </w:r>
    </w:p>
    <w:p>
      <w:pPr>
        <w:tabs>
          <w:tab w:val="left" w:pos="425"/>
          <w:tab w:val="left" w:pos="567"/>
        </w:tabs>
        <w:autoSpaceDE w:val="0"/>
        <w:autoSpaceDN w:val="0"/>
        <w:adjustRightInd w:val="0"/>
        <w:snapToGrid w:val="0"/>
        <w:spacing w:before="0" w:beforeLines="-2147483648"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声明企业：（企业公章）</w:t>
      </w:r>
    </w:p>
    <w:p>
      <w:pPr>
        <w:tabs>
          <w:tab w:val="left" w:pos="425"/>
          <w:tab w:val="left" w:pos="567"/>
        </w:tabs>
        <w:autoSpaceDE w:val="0"/>
        <w:autoSpaceDN w:val="0"/>
        <w:adjustRightInd w:val="0"/>
        <w:snapToGrid w:val="0"/>
        <w:spacing w:before="0" w:beforeLines="-2147483648" w:line="360" w:lineRule="auto"/>
        <w:ind w:left="0"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     日</w:t>
      </w:r>
    </w:p>
    <w:p>
      <w:pPr>
        <w:tabs>
          <w:tab w:val="left" w:pos="425"/>
          <w:tab w:val="left" w:pos="567"/>
        </w:tabs>
        <w:autoSpaceDE w:val="0"/>
        <w:autoSpaceDN w:val="0"/>
        <w:adjustRightInd w:val="0"/>
        <w:snapToGrid w:val="0"/>
        <w:spacing w:before="0" w:beforeLines="-2147483648" w:line="360" w:lineRule="auto"/>
        <w:ind w:firstLine="480" w:firstLineChars="200"/>
        <w:rPr>
          <w:rFonts w:ascii="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法定代表人签字：</w:t>
      </w:r>
      <w:r>
        <w:rPr>
          <w:rFonts w:hint="eastAsia" w:ascii="宋体" w:hAnsi="宋体" w:eastAsia="宋体" w:cs="宋体"/>
          <w:sz w:val="24"/>
          <w:szCs w:val="24"/>
          <w:u w:val="none"/>
        </w:rPr>
        <w:t xml:space="preserve">         </w:t>
      </w:r>
      <w:r>
        <w:rPr>
          <w:rFonts w:hint="eastAsia" w:ascii="宋体"/>
          <w:sz w:val="24"/>
          <w:szCs w:val="24"/>
          <w:u w:val="single"/>
        </w:rPr>
        <w:t xml:space="preserve"> </w:t>
      </w:r>
    </w:p>
    <w:p>
      <w:pPr>
        <w:pStyle w:val="9"/>
        <w:snapToGrid w:val="0"/>
        <w:spacing w:line="360" w:lineRule="exact"/>
        <w:ind w:right="92" w:firstLine="0"/>
        <w:rPr>
          <w:rFonts w:ascii="宋体"/>
          <w:bCs/>
          <w:sz w:val="24"/>
          <w:szCs w:val="24"/>
        </w:rPr>
      </w:pPr>
    </w:p>
    <w:p>
      <w:pPr>
        <w:pStyle w:val="9"/>
        <w:snapToGrid w:val="0"/>
        <w:spacing w:line="360" w:lineRule="exact"/>
        <w:ind w:right="92" w:firstLine="0"/>
        <w:rPr>
          <w:rFonts w:ascii="宋体"/>
          <w:bCs/>
          <w:sz w:val="24"/>
          <w:szCs w:val="24"/>
        </w:rPr>
      </w:pPr>
    </w:p>
    <w:p>
      <w:pPr>
        <w:pStyle w:val="9"/>
        <w:snapToGrid w:val="0"/>
        <w:spacing w:line="360" w:lineRule="exact"/>
        <w:ind w:right="92" w:firstLine="0"/>
        <w:rPr>
          <w:rFonts w:ascii="宋体"/>
          <w:bCs/>
          <w:sz w:val="24"/>
          <w:szCs w:val="24"/>
        </w:rPr>
      </w:pPr>
    </w:p>
    <w:p>
      <w:pPr>
        <w:pStyle w:val="9"/>
        <w:snapToGrid w:val="0"/>
        <w:spacing w:line="360" w:lineRule="exact"/>
        <w:ind w:right="92" w:firstLine="0"/>
        <w:rPr>
          <w:rFonts w:ascii="宋体"/>
          <w:bCs/>
          <w:sz w:val="24"/>
          <w:szCs w:val="24"/>
        </w:rPr>
      </w:pPr>
    </w:p>
    <w:p>
      <w:pPr>
        <w:pStyle w:val="9"/>
        <w:snapToGrid w:val="0"/>
        <w:spacing w:line="360" w:lineRule="exact"/>
        <w:ind w:right="92" w:firstLine="0"/>
        <w:rPr>
          <w:rFonts w:ascii="宋体"/>
          <w:bCs/>
          <w:sz w:val="24"/>
          <w:szCs w:val="24"/>
        </w:rPr>
      </w:pPr>
    </w:p>
    <w:p>
      <w:pPr>
        <w:pStyle w:val="9"/>
        <w:snapToGrid w:val="0"/>
        <w:spacing w:line="360" w:lineRule="exact"/>
        <w:ind w:right="92" w:firstLine="0"/>
        <w:rPr>
          <w:rFonts w:ascii="宋体"/>
          <w:bCs/>
          <w:sz w:val="24"/>
          <w:szCs w:val="24"/>
        </w:rPr>
      </w:pPr>
    </w:p>
    <w:p>
      <w:pPr>
        <w:pStyle w:val="9"/>
        <w:snapToGrid w:val="0"/>
        <w:spacing w:line="360" w:lineRule="exact"/>
        <w:ind w:right="92" w:firstLine="0"/>
        <w:rPr>
          <w:rFonts w:ascii="宋体"/>
          <w:bCs/>
          <w:sz w:val="24"/>
          <w:szCs w:val="24"/>
        </w:rPr>
      </w:pPr>
    </w:p>
    <w:p>
      <w:pPr>
        <w:pStyle w:val="9"/>
        <w:snapToGrid w:val="0"/>
        <w:spacing w:line="360" w:lineRule="exact"/>
        <w:ind w:right="92" w:firstLine="0"/>
        <w:rPr>
          <w:rFonts w:ascii="宋体"/>
          <w:bCs/>
          <w:sz w:val="24"/>
          <w:szCs w:val="24"/>
        </w:rPr>
      </w:pPr>
    </w:p>
    <w:p>
      <w:pPr>
        <w:pStyle w:val="9"/>
        <w:snapToGrid w:val="0"/>
        <w:spacing w:line="360" w:lineRule="exact"/>
        <w:ind w:right="92" w:firstLine="0"/>
        <w:rPr>
          <w:rFonts w:ascii="宋体"/>
          <w:bCs/>
          <w:sz w:val="24"/>
          <w:szCs w:val="24"/>
        </w:rPr>
      </w:pPr>
    </w:p>
    <w:p>
      <w:pPr>
        <w:pStyle w:val="9"/>
        <w:snapToGrid w:val="0"/>
        <w:spacing w:line="360" w:lineRule="exact"/>
        <w:ind w:right="92" w:firstLine="0"/>
        <w:rPr>
          <w:rFonts w:ascii="宋体"/>
          <w:bCs/>
          <w:sz w:val="24"/>
          <w:szCs w:val="24"/>
        </w:rPr>
      </w:pPr>
    </w:p>
    <w:p>
      <w:pPr>
        <w:pStyle w:val="2"/>
        <w:ind w:right="-588" w:firstLine="2650" w:firstLineChars="600"/>
        <w:jc w:val="both"/>
        <w:rPr>
          <w:rFonts w:hint="eastAsia" w:ascii="宋体" w:hAnsi="宋体" w:eastAsia="宋体"/>
          <w:sz w:val="44"/>
        </w:rPr>
      </w:pPr>
      <w:bookmarkStart w:id="21" w:name="_Toc458795996"/>
      <w:bookmarkStart w:id="22" w:name="_Toc14450807"/>
      <w:bookmarkStart w:id="23" w:name="_Toc28489434"/>
      <w:bookmarkStart w:id="24" w:name="_Toc27703"/>
      <w:bookmarkStart w:id="25" w:name="_Toc20486"/>
      <w:bookmarkStart w:id="26" w:name="_Toc11737"/>
      <w:bookmarkStart w:id="27" w:name="_Toc6555"/>
      <w:bookmarkStart w:id="28" w:name="_Toc31772"/>
      <w:bookmarkStart w:id="29" w:name="_Toc16301"/>
      <w:bookmarkStart w:id="30" w:name="_Toc16402"/>
      <w:bookmarkStart w:id="31" w:name="_Toc22648"/>
      <w:bookmarkStart w:id="32" w:name="_Toc1563"/>
      <w:bookmarkStart w:id="33" w:name="_Toc13149"/>
    </w:p>
    <w:p>
      <w:pPr>
        <w:pStyle w:val="2"/>
        <w:ind w:right="-588" w:firstLine="2650" w:firstLineChars="600"/>
        <w:jc w:val="both"/>
        <w:rPr>
          <w:rFonts w:hint="eastAsia" w:ascii="宋体" w:hAnsi="宋体" w:eastAsia="宋体"/>
          <w:sz w:val="44"/>
        </w:rPr>
      </w:pPr>
    </w:p>
    <w:p>
      <w:pPr>
        <w:pStyle w:val="2"/>
        <w:ind w:right="-588" w:firstLine="2650" w:firstLineChars="600"/>
        <w:jc w:val="both"/>
        <w:rPr>
          <w:rFonts w:hint="eastAsia" w:ascii="宋体" w:hAnsi="宋体" w:eastAsia="宋体"/>
          <w:sz w:val="44"/>
        </w:rPr>
      </w:pPr>
    </w:p>
    <w:p>
      <w:pPr>
        <w:pStyle w:val="2"/>
        <w:ind w:right="-588" w:firstLine="2650" w:firstLineChars="600"/>
        <w:jc w:val="both"/>
        <w:rPr>
          <w:rFonts w:hint="eastAsia" w:ascii="宋体" w:hAnsi="宋体" w:eastAsia="宋体"/>
          <w:sz w:val="44"/>
        </w:rPr>
      </w:pPr>
    </w:p>
    <w:p>
      <w:pPr>
        <w:pStyle w:val="2"/>
        <w:ind w:right="-588" w:firstLine="2650" w:firstLineChars="600"/>
        <w:jc w:val="both"/>
        <w:rPr>
          <w:rFonts w:hint="eastAsia" w:ascii="宋体" w:hAnsi="宋体" w:eastAsia="宋体"/>
          <w:sz w:val="44"/>
        </w:rPr>
      </w:pPr>
    </w:p>
    <w:p>
      <w:pPr>
        <w:pStyle w:val="2"/>
        <w:ind w:right="-588" w:firstLine="2650" w:firstLineChars="600"/>
        <w:jc w:val="both"/>
        <w:rPr>
          <w:rFonts w:hint="eastAsia" w:ascii="宋体" w:hAnsi="宋体" w:eastAsia="宋体"/>
          <w:sz w:val="44"/>
        </w:rPr>
      </w:pPr>
    </w:p>
    <w:p>
      <w:pPr>
        <w:pStyle w:val="2"/>
        <w:ind w:right="-588" w:firstLine="2650" w:firstLineChars="600"/>
        <w:jc w:val="both"/>
        <w:rPr>
          <w:rFonts w:ascii="宋体" w:hAnsi="宋体"/>
          <w:sz w:val="44"/>
        </w:rPr>
      </w:pPr>
      <w:r>
        <w:rPr>
          <w:rFonts w:hint="eastAsia" w:ascii="宋体" w:hAnsi="宋体" w:eastAsia="宋体"/>
          <w:sz w:val="44"/>
        </w:rPr>
        <w:t>第二章</w:t>
      </w:r>
      <w:bookmarkStart w:id="34" w:name="_Toc10525515"/>
      <w:r>
        <w:rPr>
          <w:rFonts w:hint="eastAsia" w:ascii="宋体" w:hAnsi="宋体" w:eastAsia="宋体"/>
          <w:sz w:val="44"/>
        </w:rPr>
        <w:t xml:space="preserve"> </w:t>
      </w:r>
      <w:bookmarkEnd w:id="21"/>
      <w:bookmarkEnd w:id="22"/>
      <w:bookmarkEnd w:id="23"/>
      <w:bookmarkEnd w:id="34"/>
      <w:r>
        <w:rPr>
          <w:rFonts w:hint="eastAsia" w:ascii="宋体" w:hAnsi="宋体" w:eastAsia="宋体"/>
          <w:sz w:val="44"/>
        </w:rPr>
        <w:t>投标人须知</w:t>
      </w:r>
      <w:bookmarkEnd w:id="24"/>
      <w:bookmarkEnd w:id="25"/>
      <w:bookmarkEnd w:id="26"/>
      <w:bookmarkEnd w:id="27"/>
      <w:bookmarkEnd w:id="28"/>
      <w:bookmarkEnd w:id="29"/>
      <w:bookmarkEnd w:id="30"/>
      <w:bookmarkEnd w:id="31"/>
      <w:bookmarkEnd w:id="32"/>
      <w:bookmarkEnd w:id="33"/>
      <w:r>
        <w:rPr>
          <w:rFonts w:ascii="宋体" w:hAnsi="宋体"/>
          <w:sz w:val="44"/>
        </w:rPr>
        <w:br w:type="page"/>
      </w:r>
    </w:p>
    <w:p>
      <w:pPr>
        <w:spacing w:line="360" w:lineRule="auto"/>
        <w:jc w:val="center"/>
        <w:rPr>
          <w:rFonts w:ascii="宋体" w:hAnsi="宋体"/>
          <w:b/>
          <w:bCs/>
          <w:sz w:val="30"/>
        </w:rPr>
      </w:pPr>
      <w:r>
        <w:rPr>
          <w:rFonts w:hint="eastAsia" w:ascii="宋体" w:hAnsi="宋体"/>
          <w:b/>
          <w:bCs/>
          <w:sz w:val="30"/>
        </w:rPr>
        <w:t>投标人须知一览表</w:t>
      </w:r>
    </w:p>
    <w:tbl>
      <w:tblPr>
        <w:tblStyle w:val="21"/>
        <w:tblW w:w="9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97"/>
        <w:gridCol w:w="1851"/>
        <w:gridCol w:w="1971"/>
        <w:gridCol w:w="1966"/>
        <w:gridCol w:w="25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序号</w:t>
            </w:r>
          </w:p>
        </w:tc>
        <w:tc>
          <w:tcPr>
            <w:tcW w:w="1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项</w:t>
            </w:r>
            <w:r>
              <w:rPr>
                <w:rFonts w:ascii="宋体" w:hAnsi="宋体"/>
                <w:b/>
                <w:sz w:val="24"/>
              </w:rPr>
              <w:t xml:space="preserve">  </w:t>
            </w:r>
            <w:r>
              <w:rPr>
                <w:rFonts w:hint="eastAsia" w:ascii="宋体" w:hAnsi="宋体"/>
                <w:b/>
                <w:sz w:val="24"/>
              </w:rPr>
              <w:t>目</w:t>
            </w:r>
          </w:p>
        </w:tc>
        <w:tc>
          <w:tcPr>
            <w:tcW w:w="649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主</w:t>
            </w:r>
            <w:r>
              <w:rPr>
                <w:rFonts w:ascii="宋体" w:hAnsi="宋体"/>
                <w:b/>
                <w:sz w:val="24"/>
              </w:rPr>
              <w:t xml:space="preserve">  </w:t>
            </w:r>
            <w:r>
              <w:rPr>
                <w:rFonts w:hint="eastAsia" w:ascii="宋体" w:hAnsi="宋体"/>
                <w:b/>
                <w:sz w:val="24"/>
              </w:rPr>
              <w:t>要</w:t>
            </w:r>
            <w:r>
              <w:rPr>
                <w:rFonts w:ascii="宋体" w:hAnsi="宋体"/>
                <w:b/>
                <w:sz w:val="24"/>
              </w:rPr>
              <w:t xml:space="preserve">  </w:t>
            </w:r>
            <w:r>
              <w:rPr>
                <w:rFonts w:hint="eastAsia" w:ascii="宋体" w:hAnsi="宋体"/>
                <w:b/>
                <w:sz w:val="24"/>
              </w:rPr>
              <w:t>内</w:t>
            </w:r>
            <w:r>
              <w:rPr>
                <w:rFonts w:ascii="宋体" w:hAnsi="宋体"/>
                <w:b/>
                <w:sz w:val="24"/>
              </w:rPr>
              <w:t xml:space="preserve">  </w:t>
            </w:r>
            <w:r>
              <w:rPr>
                <w:rFonts w:hint="eastAsia" w:ascii="宋体" w:hAnsi="宋体"/>
                <w:b/>
                <w:sz w:val="24"/>
              </w:rPr>
              <w:t>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3" w:hRule="atLeast"/>
          <w:jc w:val="center"/>
        </w:trPr>
        <w:tc>
          <w:tcPr>
            <w:tcW w:w="1297" w:type="dxa"/>
            <w:tcBorders>
              <w:top w:val="single" w:color="auto" w:sz="4" w:space="0"/>
              <w:left w:val="single" w:color="auto" w:sz="4" w:space="0"/>
              <w:right w:val="single" w:color="auto" w:sz="4" w:space="0"/>
            </w:tcBorders>
            <w:vAlign w:val="center"/>
          </w:tcPr>
          <w:p>
            <w:pPr>
              <w:spacing w:line="240" w:lineRule="auto"/>
              <w:ind w:right="480"/>
              <w:jc w:val="center"/>
              <w:rPr>
                <w:rFonts w:ascii="宋体" w:hAnsi="宋体"/>
                <w:sz w:val="24"/>
              </w:rPr>
            </w:pPr>
            <w:r>
              <w:rPr>
                <w:rFonts w:hint="eastAsia" w:ascii="宋体" w:hAnsi="宋体"/>
                <w:sz w:val="24"/>
              </w:rPr>
              <w:t>（1）</w:t>
            </w:r>
          </w:p>
        </w:tc>
        <w:tc>
          <w:tcPr>
            <w:tcW w:w="1851" w:type="dxa"/>
            <w:tcBorders>
              <w:top w:val="single" w:color="auto" w:sz="4" w:space="0"/>
              <w:left w:val="single" w:color="auto" w:sz="4" w:space="0"/>
              <w:right w:val="single" w:color="auto" w:sz="4" w:space="0"/>
            </w:tcBorders>
            <w:vAlign w:val="center"/>
          </w:tcPr>
          <w:p>
            <w:pPr>
              <w:spacing w:line="240" w:lineRule="auto"/>
              <w:ind w:right="480"/>
              <w:jc w:val="center"/>
              <w:rPr>
                <w:rFonts w:ascii="宋体" w:hAnsi="宋体"/>
                <w:sz w:val="24"/>
              </w:rPr>
            </w:pPr>
            <w:r>
              <w:rPr>
                <w:rFonts w:hint="eastAsia" w:ascii="宋体" w:hAnsi="宋体"/>
                <w:sz w:val="24"/>
              </w:rPr>
              <w:t>项目名称</w:t>
            </w:r>
          </w:p>
        </w:tc>
        <w:tc>
          <w:tcPr>
            <w:tcW w:w="6490" w:type="dxa"/>
            <w:gridSpan w:val="3"/>
            <w:tcBorders>
              <w:top w:val="single" w:color="auto" w:sz="4" w:space="0"/>
              <w:left w:val="single" w:color="auto" w:sz="4" w:space="0"/>
              <w:right w:val="single" w:color="auto" w:sz="4" w:space="0"/>
            </w:tcBorders>
            <w:vAlign w:val="center"/>
          </w:tcPr>
          <w:p>
            <w:pPr>
              <w:spacing w:line="240" w:lineRule="auto"/>
              <w:ind w:right="480"/>
              <w:jc w:val="left"/>
              <w:rPr>
                <w:rFonts w:hint="eastAsia" w:ascii="宋体" w:hAnsi="宋体" w:eastAsia="宋体"/>
                <w:sz w:val="24"/>
                <w:lang w:eastAsia="zh-CN"/>
              </w:rPr>
            </w:pPr>
            <w:r>
              <w:rPr>
                <w:rFonts w:hint="eastAsia" w:ascii="宋体" w:hAnsi="宋体"/>
                <w:sz w:val="24"/>
                <w:szCs w:val="24"/>
                <w:lang w:val="en-US" w:eastAsia="zh-CN"/>
              </w:rPr>
              <w:t>广州南沙</w:t>
            </w:r>
            <w:r>
              <w:rPr>
                <w:rFonts w:hint="eastAsia" w:ascii="宋体" w:hAnsi="宋体"/>
                <w:sz w:val="24"/>
                <w:szCs w:val="24"/>
              </w:rPr>
              <w:t>前锋水乡项目启动区（一期）厨房设备采购</w:t>
            </w:r>
            <w:r>
              <w:rPr>
                <w:rFonts w:hint="eastAsia" w:ascii="宋体" w:hAnsi="宋体"/>
                <w:sz w:val="24"/>
                <w:szCs w:val="24"/>
                <w:lang w:val="en-US" w:eastAsia="zh-CN"/>
              </w:rPr>
              <w:t>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1297"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（2）</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采购人</w:t>
            </w:r>
          </w:p>
        </w:tc>
        <w:tc>
          <w:tcPr>
            <w:tcW w:w="6490" w:type="dxa"/>
            <w:gridSpan w:val="3"/>
            <w:tcBorders>
              <w:top w:val="single" w:color="auto" w:sz="4" w:space="0"/>
              <w:left w:val="single" w:color="auto" w:sz="4" w:space="0"/>
              <w:bottom w:val="single" w:color="auto" w:sz="4" w:space="0"/>
              <w:right w:val="single" w:color="auto" w:sz="4" w:space="0"/>
            </w:tcBorders>
            <w:vAlign w:val="center"/>
          </w:tcPr>
          <w:p>
            <w:pPr>
              <w:pStyle w:val="6"/>
              <w:rPr>
                <w:rFonts w:hint="eastAsia" w:eastAsia="宋体"/>
                <w:lang w:eastAsia="zh-CN"/>
              </w:rPr>
            </w:pPr>
            <w:r>
              <w:rPr>
                <w:rFonts w:hint="eastAsia"/>
                <w:lang w:eastAsia="zh-CN"/>
              </w:rPr>
              <w:t>广州南沙科技投资有限公司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5" w:hRule="atLeast"/>
          <w:jc w:val="center"/>
        </w:trPr>
        <w:tc>
          <w:tcPr>
            <w:tcW w:w="1297"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（3）</w:t>
            </w:r>
          </w:p>
        </w:tc>
        <w:tc>
          <w:tcPr>
            <w:tcW w:w="1851" w:type="dxa"/>
            <w:tcBorders>
              <w:top w:val="single" w:color="auto" w:sz="4" w:space="0"/>
              <w:left w:val="single" w:color="auto" w:sz="4" w:space="0"/>
              <w:bottom w:val="single" w:color="auto" w:sz="4" w:space="0"/>
              <w:right w:val="single" w:color="auto" w:sz="4" w:space="0"/>
            </w:tcBorders>
            <w:vAlign w:val="center"/>
          </w:tcPr>
          <w:p>
            <w:pPr>
              <w:pStyle w:val="4"/>
              <w:tabs>
                <w:tab w:val="left" w:pos="630"/>
                <w:tab w:val="left" w:pos="1981"/>
              </w:tabs>
              <w:spacing w:line="240" w:lineRule="auto"/>
              <w:ind w:firstLine="240" w:firstLineChars="100"/>
              <w:rPr>
                <w:sz w:val="24"/>
              </w:rPr>
            </w:pPr>
            <w:r>
              <w:rPr>
                <w:b w:val="0"/>
                <w:bCs/>
                <w:sz w:val="24"/>
              </w:rPr>
              <w:t>投标有效期</w:t>
            </w:r>
          </w:p>
        </w:tc>
        <w:tc>
          <w:tcPr>
            <w:tcW w:w="6490" w:type="dxa"/>
            <w:gridSpan w:val="3"/>
            <w:tcBorders>
              <w:top w:val="single" w:color="auto" w:sz="4" w:space="0"/>
              <w:left w:val="single" w:color="auto" w:sz="4" w:space="0"/>
              <w:bottom w:val="single" w:color="auto" w:sz="4" w:space="0"/>
              <w:right w:val="single" w:color="auto" w:sz="4" w:space="0"/>
            </w:tcBorders>
            <w:vAlign w:val="center"/>
          </w:tcPr>
          <w:p>
            <w:pPr>
              <w:rPr>
                <w:sz w:val="24"/>
              </w:rPr>
            </w:pPr>
            <w:r>
              <w:rPr>
                <w:rFonts w:hint="eastAsia" w:ascii="宋体" w:hAnsi="宋体"/>
                <w:sz w:val="24"/>
              </w:rPr>
              <w:t>从投标截止日起，投标有效期为90天，中标人的投标有效期自动延长至合同终止为止。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1297"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（4）</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采购内容</w:t>
            </w:r>
          </w:p>
        </w:tc>
        <w:tc>
          <w:tcPr>
            <w:tcW w:w="6490"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szCs w:val="24"/>
              </w:rPr>
              <w:t>详见用户需求书。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1" w:hRule="atLeast"/>
          <w:jc w:val="center"/>
        </w:trPr>
        <w:tc>
          <w:tcPr>
            <w:tcW w:w="1297"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（5）</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服务质量</w:t>
            </w:r>
          </w:p>
        </w:tc>
        <w:tc>
          <w:tcPr>
            <w:tcW w:w="6490"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必须符合国家、省、市、区的相关法律法规和采购人的要求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3" w:hRule="atLeast"/>
          <w:jc w:val="center"/>
        </w:trPr>
        <w:tc>
          <w:tcPr>
            <w:tcW w:w="1297"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（6）</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统一结算币种</w:t>
            </w:r>
          </w:p>
        </w:tc>
        <w:tc>
          <w:tcPr>
            <w:tcW w:w="6490"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均不计息以人民币元结算。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8" w:hRule="atLeast"/>
          <w:jc w:val="center"/>
        </w:trPr>
        <w:tc>
          <w:tcPr>
            <w:tcW w:w="1297"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（7）</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投标文件数量</w:t>
            </w:r>
          </w:p>
        </w:tc>
        <w:tc>
          <w:tcPr>
            <w:tcW w:w="649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u w:val="single"/>
              </w:rPr>
              <w:t xml:space="preserve">  </w:t>
            </w:r>
            <w:r>
              <w:rPr>
                <w:rFonts w:hint="eastAsia" w:ascii="宋体" w:hAnsi="宋体"/>
                <w:sz w:val="24"/>
                <w:u w:val="single"/>
                <w:lang w:val="en-US" w:eastAsia="zh-CN"/>
              </w:rPr>
              <w:t>5</w:t>
            </w:r>
            <w:r>
              <w:rPr>
                <w:rFonts w:hint="eastAsia" w:ascii="宋体" w:hAnsi="宋体"/>
                <w:sz w:val="24"/>
                <w:u w:val="single"/>
              </w:rPr>
              <w:t xml:space="preserve"> </w:t>
            </w:r>
            <w:r>
              <w:rPr>
                <w:rFonts w:hint="eastAsia" w:ascii="宋体" w:hAnsi="宋体"/>
                <w:sz w:val="24"/>
              </w:rPr>
              <w:t>份（</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 xml:space="preserve"> 份正本、</w:t>
            </w:r>
            <w:r>
              <w:rPr>
                <w:rFonts w:hint="eastAsia" w:ascii="宋体" w:hAnsi="宋体"/>
                <w:sz w:val="24"/>
                <w:u w:val="single"/>
              </w:rPr>
              <w:t xml:space="preserve"> </w:t>
            </w:r>
            <w:r>
              <w:rPr>
                <w:rFonts w:hint="eastAsia" w:ascii="宋体" w:hAnsi="宋体"/>
                <w:sz w:val="24"/>
                <w:u w:val="single"/>
                <w:lang w:val="en-US" w:eastAsia="zh-CN"/>
              </w:rPr>
              <w:t>4</w:t>
            </w:r>
            <w:r>
              <w:rPr>
                <w:rFonts w:hint="eastAsia" w:ascii="宋体" w:hAnsi="宋体"/>
                <w:sz w:val="24"/>
                <w:u w:val="single"/>
              </w:rPr>
              <w:t xml:space="preserve">  </w:t>
            </w:r>
            <w:r>
              <w:rPr>
                <w:rFonts w:hint="eastAsia" w:ascii="宋体" w:hAnsi="宋体"/>
                <w:sz w:val="24"/>
              </w:rPr>
              <w:t>份副本）、电子文件</w:t>
            </w:r>
            <w:r>
              <w:rPr>
                <w:rFonts w:hint="eastAsia" w:ascii="宋体" w:hAnsi="宋体"/>
                <w:sz w:val="24"/>
                <w:lang w:eastAsia="zh-CN"/>
              </w:rPr>
              <w:t>（</w:t>
            </w:r>
            <w:r>
              <w:rPr>
                <w:rFonts w:hint="eastAsia" w:ascii="宋体" w:hAnsi="宋体"/>
                <w:b/>
                <w:bCs/>
                <w:sz w:val="24"/>
                <w:lang w:val="en-US" w:eastAsia="zh-CN"/>
              </w:rPr>
              <w:t>正本盖章版</w:t>
            </w:r>
            <w:r>
              <w:rPr>
                <w:rFonts w:hint="eastAsia" w:ascii="宋体" w:hAnsi="宋体"/>
                <w:sz w:val="24"/>
                <w:lang w:eastAsia="zh-CN"/>
              </w:rPr>
              <w:t>）</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份、唱标信封</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（8）</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开标时间</w:t>
            </w:r>
          </w:p>
        </w:tc>
        <w:tc>
          <w:tcPr>
            <w:tcW w:w="64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b/>
                <w:bCs/>
                <w:sz w:val="24"/>
                <w:highlight w:val="none"/>
                <w:u w:val="single"/>
              </w:rPr>
              <w:t xml:space="preserve"> 202</w:t>
            </w:r>
            <w:r>
              <w:rPr>
                <w:rFonts w:hint="eastAsia" w:ascii="宋体" w:hAnsi="宋体"/>
                <w:b/>
                <w:bCs/>
                <w:sz w:val="24"/>
                <w:highlight w:val="none"/>
                <w:u w:val="single"/>
                <w:lang w:val="en-US" w:eastAsia="zh-CN"/>
              </w:rPr>
              <w:t>4</w:t>
            </w:r>
            <w:r>
              <w:rPr>
                <w:rFonts w:hint="eastAsia" w:ascii="宋体" w:hAnsi="宋体"/>
                <w:b/>
                <w:bCs/>
                <w:sz w:val="24"/>
                <w:highlight w:val="none"/>
                <w:u w:val="single"/>
              </w:rPr>
              <w:t>年</w:t>
            </w:r>
            <w:r>
              <w:rPr>
                <w:rFonts w:hint="eastAsia" w:ascii="宋体" w:hAnsi="宋体"/>
                <w:b/>
                <w:bCs/>
                <w:sz w:val="24"/>
                <w:highlight w:val="none"/>
                <w:u w:val="single"/>
                <w:lang w:val="en-US" w:eastAsia="zh-CN"/>
              </w:rPr>
              <w:t>9</w:t>
            </w:r>
            <w:r>
              <w:rPr>
                <w:rFonts w:hint="eastAsia" w:ascii="宋体"/>
                <w:b/>
                <w:bCs/>
                <w:sz w:val="24"/>
                <w:szCs w:val="24"/>
                <w:highlight w:val="none"/>
                <w:u w:val="single"/>
              </w:rPr>
              <w:t>月</w:t>
            </w:r>
            <w:r>
              <w:rPr>
                <w:rFonts w:hint="eastAsia" w:ascii="宋体"/>
                <w:b/>
                <w:bCs/>
                <w:sz w:val="24"/>
                <w:szCs w:val="24"/>
                <w:highlight w:val="none"/>
                <w:u w:val="single"/>
                <w:lang w:val="en-US" w:eastAsia="zh-CN"/>
              </w:rPr>
              <w:t>9</w:t>
            </w:r>
            <w:r>
              <w:rPr>
                <w:rFonts w:hint="eastAsia" w:ascii="宋体"/>
                <w:b/>
                <w:bCs/>
                <w:sz w:val="24"/>
                <w:szCs w:val="24"/>
                <w:highlight w:val="none"/>
                <w:u w:val="single"/>
              </w:rPr>
              <w:t>日</w:t>
            </w:r>
            <w:r>
              <w:rPr>
                <w:rFonts w:hint="eastAsia" w:ascii="宋体"/>
                <w:b/>
                <w:bCs/>
                <w:sz w:val="24"/>
                <w:szCs w:val="24"/>
                <w:highlight w:val="none"/>
                <w:u w:val="single"/>
                <w:lang w:val="en-US" w:eastAsia="zh-CN"/>
              </w:rPr>
              <w:t xml:space="preserve"> 下午14:30分   </w:t>
            </w:r>
            <w:r>
              <w:rPr>
                <w:rFonts w:hint="eastAsia" w:ascii="宋体" w:hAnsi="宋体"/>
                <w:b/>
                <w:bCs/>
                <w:sz w:val="24"/>
                <w:highlight w:val="none"/>
                <w:u w:val="single"/>
              </w:rPr>
              <w:t>（北京时间）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1" w:hRule="atLeast"/>
          <w:jc w:val="center"/>
        </w:trPr>
        <w:tc>
          <w:tcPr>
            <w:tcW w:w="1297" w:type="dxa"/>
            <w:tcBorders>
              <w:top w:val="single" w:color="auto" w:sz="4" w:space="0"/>
              <w:left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（9）</w:t>
            </w:r>
          </w:p>
        </w:tc>
        <w:tc>
          <w:tcPr>
            <w:tcW w:w="1851" w:type="dxa"/>
            <w:tcBorders>
              <w:top w:val="single" w:color="auto" w:sz="4" w:space="0"/>
              <w:left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投标最高限价</w:t>
            </w:r>
          </w:p>
        </w:tc>
        <w:tc>
          <w:tcPr>
            <w:tcW w:w="6490" w:type="dxa"/>
            <w:gridSpan w:val="3"/>
            <w:tcBorders>
              <w:top w:val="single" w:color="auto" w:sz="4" w:space="0"/>
              <w:left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highlight w:val="none"/>
                <w:u w:val="single"/>
              </w:rPr>
              <w:t xml:space="preserve">  </w:t>
            </w:r>
            <w:r>
              <w:rPr>
                <w:rFonts w:hint="eastAsia" w:ascii="宋体" w:hAnsi="宋体"/>
                <w:sz w:val="24"/>
                <w:highlight w:val="none"/>
                <w:u w:val="single"/>
                <w:lang w:val="en-US" w:eastAsia="zh-CN"/>
              </w:rPr>
              <w:t>270000.00</w:t>
            </w:r>
            <w:r>
              <w:rPr>
                <w:rFonts w:hint="eastAsia" w:ascii="宋体" w:hAnsi="宋体"/>
                <w:sz w:val="24"/>
                <w:highlight w:val="none"/>
                <w:u w:val="single"/>
              </w:rPr>
              <w:t xml:space="preserve"> </w:t>
            </w:r>
            <w:r>
              <w:rPr>
                <w:rFonts w:hint="eastAsia" w:ascii="宋体" w:hAnsi="宋体"/>
                <w:sz w:val="24"/>
                <w:highlight w:val="none"/>
              </w:rPr>
              <w:t>元（</w:t>
            </w:r>
            <w:r>
              <w:rPr>
                <w:rFonts w:hint="eastAsia" w:ascii="宋体" w:hAnsi="宋体"/>
                <w:sz w:val="24"/>
                <w:szCs w:val="24"/>
                <w:highlight w:val="none"/>
              </w:rPr>
              <w:t>大写:人民币</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贰拾柒万</w:t>
            </w:r>
            <w:r>
              <w:rPr>
                <w:rFonts w:hint="eastAsia" w:ascii="宋体" w:hAnsi="宋体"/>
                <w:sz w:val="24"/>
                <w:szCs w:val="24"/>
                <w:highlight w:val="none"/>
                <w:u w:val="single"/>
              </w:rPr>
              <w:t xml:space="preserve"> </w:t>
            </w:r>
            <w:r>
              <w:rPr>
                <w:rFonts w:hint="eastAsia" w:ascii="宋体" w:hAnsi="宋体"/>
                <w:sz w:val="24"/>
                <w:szCs w:val="24"/>
                <w:highlight w:val="none"/>
              </w:rPr>
              <w:t>元整</w:t>
            </w:r>
            <w:r>
              <w:rPr>
                <w:rFonts w:hint="eastAsia" w:ascii="宋体" w:hAnsi="宋体"/>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5" w:hRule="atLeast"/>
          <w:jc w:val="center"/>
        </w:trPr>
        <w:tc>
          <w:tcPr>
            <w:tcW w:w="1297" w:type="dxa"/>
            <w:vMerge w:val="restart"/>
            <w:tcBorders>
              <w:top w:val="single" w:color="auto" w:sz="4" w:space="0"/>
              <w:left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（10）</w:t>
            </w:r>
          </w:p>
        </w:tc>
        <w:tc>
          <w:tcPr>
            <w:tcW w:w="1851"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评审方法</w:t>
            </w:r>
          </w:p>
        </w:tc>
        <w:tc>
          <w:tcPr>
            <w:tcW w:w="6490"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综合评</w:t>
            </w:r>
            <w:r>
              <w:rPr>
                <w:rFonts w:hint="eastAsia" w:ascii="宋体" w:hAnsi="宋体"/>
                <w:sz w:val="24"/>
                <w:lang w:val="en-US" w:eastAsia="zh-CN"/>
              </w:rPr>
              <w:t>审</w:t>
            </w:r>
            <w:r>
              <w:rPr>
                <w:rFonts w:hint="eastAsia" w:ascii="宋体" w:hAnsi="宋体"/>
                <w:sz w:val="24"/>
              </w:rPr>
              <w:t>法（</w:t>
            </w:r>
            <w:r>
              <w:rPr>
                <w:rFonts w:ascii="宋体" w:hAnsi="宋体"/>
                <w:sz w:val="24"/>
              </w:rPr>
              <w:t>100%</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04" w:hRule="atLeast"/>
          <w:jc w:val="center"/>
        </w:trPr>
        <w:tc>
          <w:tcPr>
            <w:tcW w:w="1297" w:type="dxa"/>
            <w:vMerge w:val="continue"/>
            <w:tcBorders>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85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sz w:val="24"/>
                <w:highlight w:val="none"/>
              </w:rPr>
            </w:pPr>
          </w:p>
        </w:tc>
        <w:tc>
          <w:tcPr>
            <w:tcW w:w="197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highlight w:val="none"/>
              </w:rPr>
            </w:pPr>
            <w:r>
              <w:rPr>
                <w:rFonts w:hint="eastAsia" w:ascii="宋体" w:hAnsi="宋体"/>
                <w:sz w:val="24"/>
                <w:highlight w:val="none"/>
              </w:rPr>
              <w:t>技术权重</w:t>
            </w:r>
            <w:r>
              <w:rPr>
                <w:rFonts w:hint="eastAsia" w:ascii="宋体" w:hAnsi="宋体"/>
                <w:sz w:val="24"/>
                <w:highlight w:val="none"/>
                <w:lang w:val="en-US" w:eastAsia="zh-CN"/>
              </w:rPr>
              <w:t>40</w:t>
            </w:r>
            <w:r>
              <w:rPr>
                <w:rFonts w:ascii="宋体" w:hAnsi="宋体"/>
                <w:sz w:val="24"/>
                <w:highlight w:val="none"/>
              </w:rPr>
              <w:t>%</w:t>
            </w:r>
          </w:p>
        </w:tc>
        <w:tc>
          <w:tcPr>
            <w:tcW w:w="196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highlight w:val="none"/>
              </w:rPr>
            </w:pPr>
            <w:r>
              <w:rPr>
                <w:rFonts w:hint="eastAsia" w:ascii="宋体" w:hAnsi="宋体"/>
                <w:sz w:val="24"/>
                <w:highlight w:val="none"/>
              </w:rPr>
              <w:t>商务权重</w:t>
            </w:r>
            <w:r>
              <w:rPr>
                <w:rFonts w:hint="eastAsia" w:ascii="宋体" w:hAnsi="宋体"/>
                <w:sz w:val="24"/>
                <w:highlight w:val="none"/>
                <w:lang w:val="en-US" w:eastAsia="zh-CN"/>
              </w:rPr>
              <w:t>20</w:t>
            </w:r>
            <w:r>
              <w:rPr>
                <w:rFonts w:ascii="宋体" w:hAnsi="宋体"/>
                <w:sz w:val="24"/>
                <w:highlight w:val="none"/>
              </w:rPr>
              <w:t>%</w:t>
            </w:r>
          </w:p>
        </w:tc>
        <w:tc>
          <w:tcPr>
            <w:tcW w:w="25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highlight w:val="none"/>
              </w:rPr>
            </w:pPr>
            <w:r>
              <w:rPr>
                <w:rFonts w:hint="eastAsia" w:ascii="宋体" w:hAnsi="宋体"/>
                <w:sz w:val="24"/>
                <w:highlight w:val="none"/>
              </w:rPr>
              <w:t>价格权重</w:t>
            </w:r>
            <w:r>
              <w:rPr>
                <w:rFonts w:hint="eastAsia" w:ascii="宋体" w:hAnsi="宋体"/>
                <w:sz w:val="24"/>
                <w:highlight w:val="none"/>
                <w:lang w:eastAsia="zh-CN"/>
              </w:rPr>
              <w:t>4</w:t>
            </w:r>
            <w:r>
              <w:rPr>
                <w:rFonts w:hint="eastAsia" w:ascii="宋体" w:hAnsi="宋体"/>
                <w:sz w:val="24"/>
                <w:highlight w:val="none"/>
              </w:rPr>
              <w:t>0</w:t>
            </w:r>
            <w:r>
              <w:rPr>
                <w:rFonts w:ascii="宋体" w:hAnsi="宋体"/>
                <w:sz w:val="24"/>
                <w:highlight w:val="none"/>
              </w:rPr>
              <w:t>%</w:t>
            </w:r>
          </w:p>
        </w:tc>
      </w:tr>
    </w:tbl>
    <w:p>
      <w:pPr>
        <w:pStyle w:val="29"/>
        <w:widowControl w:val="0"/>
        <w:spacing w:before="0" w:beforeAutospacing="0" w:after="0" w:afterAutospacing="0" w:line="360" w:lineRule="auto"/>
        <w:rPr>
          <w:b/>
        </w:rPr>
      </w:pPr>
      <w:r>
        <w:rPr>
          <w:kern w:val="2"/>
          <w:szCs w:val="24"/>
        </w:rPr>
        <w:br w:type="page"/>
      </w:r>
      <w:r>
        <w:rPr>
          <w:rFonts w:hint="eastAsia"/>
          <w:b/>
        </w:rPr>
        <w:t>投标人须知</w:t>
      </w:r>
    </w:p>
    <w:p>
      <w:pPr>
        <w:spacing w:line="360" w:lineRule="auto"/>
        <w:ind w:firstLine="482" w:firstLineChars="200"/>
        <w:rPr>
          <w:rFonts w:ascii="宋体" w:hAnsi="宋体" w:cs="Arial"/>
          <w:b/>
          <w:sz w:val="24"/>
        </w:rPr>
      </w:pPr>
      <w:r>
        <w:rPr>
          <w:rFonts w:hint="eastAsia" w:ascii="宋体" w:hAnsi="宋体" w:cs="Arial"/>
          <w:b/>
          <w:sz w:val="24"/>
        </w:rPr>
        <w:t>投标人必须认真阅读以下内容，以免造成投标失败。</w:t>
      </w:r>
    </w:p>
    <w:p>
      <w:pPr>
        <w:pStyle w:val="26"/>
        <w:spacing w:line="360" w:lineRule="auto"/>
        <w:ind w:firstLine="560"/>
      </w:pPr>
    </w:p>
    <w:p>
      <w:pPr>
        <w:pStyle w:val="3"/>
        <w:adjustRightInd/>
        <w:spacing w:before="48" w:after="48"/>
        <w:textAlignment w:val="auto"/>
        <w:rPr>
          <w:sz w:val="28"/>
          <w:szCs w:val="28"/>
        </w:rPr>
      </w:pPr>
      <w:bookmarkStart w:id="35" w:name="_Toc184442574"/>
      <w:r>
        <w:rPr>
          <w:rFonts w:hint="eastAsia"/>
          <w:sz w:val="28"/>
          <w:szCs w:val="28"/>
        </w:rPr>
        <w:t>一、总体说明</w:t>
      </w:r>
      <w:bookmarkEnd w:id="35"/>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rFonts w:hint="eastAsia"/>
          <w:sz w:val="24"/>
        </w:rPr>
        <w:t>采购</w:t>
      </w:r>
      <w:r>
        <w:rPr>
          <w:sz w:val="24"/>
        </w:rPr>
        <w:t>适用范围</w:t>
      </w:r>
    </w:p>
    <w:p>
      <w:pPr>
        <w:spacing w:line="360" w:lineRule="auto"/>
        <w:ind w:firstLine="480" w:firstLineChars="200"/>
        <w:rPr>
          <w:rFonts w:ascii="宋体" w:hAnsi="宋体"/>
          <w:sz w:val="24"/>
        </w:rPr>
      </w:pPr>
      <w:r>
        <w:rPr>
          <w:rFonts w:hint="eastAsia" w:ascii="宋体" w:hAnsi="宋体"/>
          <w:sz w:val="24"/>
        </w:rPr>
        <w:t>本采购文件仅适用于本次投标邀请中所叙述的采购</w:t>
      </w:r>
      <w:r>
        <w:rPr>
          <w:rFonts w:hint="eastAsia" w:ascii="宋体" w:hAnsi="宋体"/>
          <w:sz w:val="24"/>
          <w:lang w:val="en-US" w:eastAsia="zh-CN"/>
        </w:rPr>
        <w:t>内容</w:t>
      </w:r>
      <w:r>
        <w:rPr>
          <w:rFonts w:hint="eastAsia" w:ascii="宋体" w:hAnsi="宋体"/>
          <w:sz w:val="24"/>
        </w:rPr>
        <w:t>。本次采购采用一次报价一次评标定标的方式，投标人的报价必须固定，且只能作一个最有竞争力的报价和方案，否则将作无效投标处理。</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rFonts w:hint="eastAsia"/>
          <w:sz w:val="24"/>
        </w:rPr>
        <w:t>采购</w:t>
      </w:r>
      <w:r>
        <w:rPr>
          <w:sz w:val="24"/>
        </w:rPr>
        <w:t>适用法律</w:t>
      </w:r>
    </w:p>
    <w:p>
      <w:pPr>
        <w:spacing w:line="360" w:lineRule="auto"/>
        <w:ind w:firstLine="480" w:firstLineChars="200"/>
        <w:rPr>
          <w:rFonts w:ascii="宋体" w:hAnsi="宋体"/>
          <w:sz w:val="24"/>
          <w:lang w:val="en-GB"/>
        </w:rPr>
      </w:pPr>
      <w:r>
        <w:rPr>
          <w:rFonts w:hint="eastAsia" w:ascii="宋体" w:hAnsi="宋体"/>
          <w:sz w:val="24"/>
          <w:lang w:val="en-GB"/>
        </w:rPr>
        <w:t>本次</w:t>
      </w:r>
      <w:r>
        <w:rPr>
          <w:rFonts w:hint="eastAsia" w:ascii="宋体" w:hAnsi="宋体"/>
          <w:sz w:val="24"/>
        </w:rPr>
        <w:t>采购</w:t>
      </w:r>
      <w:r>
        <w:rPr>
          <w:rFonts w:hint="eastAsia" w:ascii="宋体" w:hAnsi="宋体"/>
          <w:sz w:val="24"/>
          <w:lang w:val="en-GB"/>
        </w:rPr>
        <w:t>适用的主要法律法规为《中华人民共和国招标投标法》及国家和地方政府招标投标相关法规。</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rFonts w:hint="eastAsia"/>
          <w:sz w:val="24"/>
        </w:rPr>
        <w:t>采购</w:t>
      </w:r>
      <w:r>
        <w:rPr>
          <w:sz w:val="24"/>
        </w:rPr>
        <w:t>内容</w:t>
      </w:r>
    </w:p>
    <w:p>
      <w:pPr>
        <w:pStyle w:val="8"/>
        <w:spacing w:line="360" w:lineRule="auto"/>
        <w:ind w:firstLine="480" w:firstLineChars="200"/>
        <w:jc w:val="left"/>
        <w:rPr>
          <w:rFonts w:ascii="宋体" w:hAnsi="宋体" w:eastAsia="宋体"/>
          <w:b w:val="0"/>
          <w:kern w:val="0"/>
          <w:sz w:val="24"/>
        </w:rPr>
      </w:pPr>
      <w:r>
        <w:rPr>
          <w:rFonts w:hint="eastAsia" w:ascii="宋体" w:hAnsi="宋体" w:eastAsia="宋体"/>
          <w:b w:val="0"/>
          <w:kern w:val="0"/>
          <w:sz w:val="24"/>
        </w:rPr>
        <w:t>本次采购的内容为确定</w:t>
      </w:r>
      <w:r>
        <w:rPr>
          <w:rFonts w:hint="eastAsia" w:ascii="宋体" w:hAnsi="宋体" w:eastAsia="宋体"/>
          <w:b w:val="0"/>
          <w:kern w:val="0"/>
          <w:sz w:val="24"/>
          <w:lang w:eastAsia="zh-CN"/>
        </w:rPr>
        <w:t>《</w:t>
      </w:r>
      <w:r>
        <w:rPr>
          <w:rFonts w:hint="eastAsia" w:ascii="宋体" w:hAnsi="宋体" w:eastAsia="宋体"/>
          <w:b w:val="0"/>
          <w:kern w:val="0"/>
          <w:sz w:val="24"/>
          <w:lang w:val="en-US" w:eastAsia="zh-CN"/>
        </w:rPr>
        <w:t>广州南沙</w:t>
      </w:r>
      <w:r>
        <w:rPr>
          <w:rFonts w:hint="eastAsia" w:ascii="宋体" w:hAnsi="宋体" w:eastAsia="宋体"/>
          <w:b w:val="0"/>
          <w:kern w:val="0"/>
          <w:sz w:val="24"/>
        </w:rPr>
        <w:t>前锋水乡项目启动区（一期）厨房设备采购</w:t>
      </w:r>
      <w:r>
        <w:rPr>
          <w:rFonts w:hint="eastAsia" w:ascii="宋体" w:hAnsi="宋体" w:eastAsia="宋体"/>
          <w:b w:val="0"/>
          <w:kern w:val="0"/>
          <w:sz w:val="24"/>
          <w:lang w:val="en-US" w:eastAsia="zh-CN"/>
        </w:rPr>
        <w:t>项目》</w:t>
      </w:r>
      <w:r>
        <w:rPr>
          <w:rFonts w:hint="eastAsia" w:ascii="宋体" w:hAnsi="宋体" w:eastAsia="宋体"/>
          <w:b w:val="0"/>
          <w:kern w:val="0"/>
          <w:sz w:val="24"/>
        </w:rPr>
        <w:t>的</w:t>
      </w:r>
      <w:r>
        <w:rPr>
          <w:rFonts w:hint="eastAsia" w:ascii="宋体" w:hAnsi="宋体" w:eastAsia="宋体"/>
          <w:b w:val="0"/>
          <w:kern w:val="0"/>
          <w:sz w:val="24"/>
          <w:lang w:val="en-US" w:eastAsia="zh-CN"/>
        </w:rPr>
        <w:t>供应</w:t>
      </w:r>
      <w:r>
        <w:rPr>
          <w:rFonts w:hint="eastAsia" w:ascii="宋体" w:hAnsi="宋体" w:eastAsia="宋体"/>
          <w:b w:val="0"/>
          <w:kern w:val="0"/>
          <w:sz w:val="24"/>
        </w:rPr>
        <w:t>商。</w:t>
      </w:r>
    </w:p>
    <w:p>
      <w:pPr>
        <w:spacing w:line="360" w:lineRule="auto"/>
        <w:ind w:firstLine="480" w:firstLineChars="200"/>
        <w:jc w:val="left"/>
        <w:rPr>
          <w:rFonts w:hint="eastAsia" w:ascii="宋体" w:hAnsi="宋体"/>
          <w:sz w:val="24"/>
          <w:highlight w:val="none"/>
        </w:rPr>
      </w:pPr>
      <w:r>
        <w:rPr>
          <w:rFonts w:hint="eastAsia" w:ascii="宋体" w:hAnsi="宋体"/>
          <w:sz w:val="24"/>
          <w:highlight w:val="none"/>
        </w:rPr>
        <w:t>服务地点：详见用户需求书</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关于投标人</w:t>
      </w:r>
    </w:p>
    <w:p>
      <w:pPr>
        <w:numPr>
          <w:ilvl w:val="0"/>
          <w:numId w:val="6"/>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highlight w:val="none"/>
        </w:rPr>
      </w:pPr>
      <w:r>
        <w:rPr>
          <w:rFonts w:hint="eastAsia" w:ascii="宋体" w:hAnsi="宋体"/>
          <w:sz w:val="24"/>
          <w:szCs w:val="24"/>
        </w:rPr>
        <w:t>具有独立承担民事责任能力的在中华人民共和国境内注册的法人或其他组织，</w:t>
      </w:r>
      <w:r>
        <w:rPr>
          <w:rFonts w:hint="eastAsia" w:ascii="宋体" w:hAnsi="宋体"/>
          <w:sz w:val="24"/>
          <w:szCs w:val="24"/>
          <w:highlight w:val="none"/>
        </w:rPr>
        <w:t>并取得合法企业工商营业执照且具有相关经营范围；</w:t>
      </w:r>
    </w:p>
    <w:p>
      <w:pPr>
        <w:numPr>
          <w:ilvl w:val="0"/>
          <w:numId w:val="6"/>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highlight w:val="none"/>
        </w:rPr>
      </w:pPr>
      <w:r>
        <w:rPr>
          <w:rFonts w:hint="eastAsia" w:ascii="宋体"/>
          <w:bCs/>
          <w:sz w:val="24"/>
          <w:szCs w:val="24"/>
          <w:highlight w:val="none"/>
        </w:rPr>
        <w:t>投标人应是所投货物的制造商，具备</w:t>
      </w:r>
      <w:r>
        <w:rPr>
          <w:rFonts w:hint="eastAsia" w:ascii="宋体" w:hAnsi="宋体"/>
          <w:sz w:val="24"/>
          <w:szCs w:val="24"/>
          <w:highlight w:val="none"/>
        </w:rPr>
        <w:t>本次采购标的设备的生产资格、生产能力、销售、安装能力的</w:t>
      </w:r>
      <w:r>
        <w:rPr>
          <w:rFonts w:hint="eastAsia" w:ascii="宋体" w:hAnsi="宋体"/>
          <w:sz w:val="24"/>
          <w:szCs w:val="24"/>
          <w:highlight w:val="none"/>
          <w:lang w:val="en-US" w:eastAsia="zh-CN"/>
        </w:rPr>
        <w:t>投标人</w:t>
      </w:r>
      <w:r>
        <w:rPr>
          <w:rFonts w:hint="eastAsia" w:ascii="宋体" w:hAnsi="宋体"/>
          <w:sz w:val="24"/>
          <w:szCs w:val="24"/>
          <w:highlight w:val="none"/>
        </w:rPr>
        <w:t>均可参加投标。</w:t>
      </w:r>
    </w:p>
    <w:p>
      <w:pPr>
        <w:numPr>
          <w:ilvl w:val="0"/>
          <w:numId w:val="6"/>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highlight w:val="none"/>
        </w:rPr>
      </w:pPr>
      <w:r>
        <w:rPr>
          <w:rFonts w:hint="eastAsia" w:ascii="宋体" w:hAnsi="宋体"/>
          <w:sz w:val="24"/>
          <w:szCs w:val="24"/>
          <w:highlight w:val="none"/>
        </w:rPr>
        <w:t>本项目不拆分，不接受联合体投标。</w:t>
      </w:r>
    </w:p>
    <w:p>
      <w:pPr>
        <w:numPr>
          <w:ilvl w:val="0"/>
          <w:numId w:val="6"/>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投标人在参加本次采购活动前三年内，在经营活动中（公司或法人）无重大违法记录；</w:t>
      </w:r>
    </w:p>
    <w:p>
      <w:pPr>
        <w:numPr>
          <w:ilvl w:val="0"/>
          <w:numId w:val="6"/>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单位负责人为同一人或者存在直接控股、管理关系的不同供应商，不得同时参加本项采购投标。</w:t>
      </w:r>
    </w:p>
    <w:p>
      <w:pPr>
        <w:numPr>
          <w:ilvl w:val="0"/>
          <w:numId w:val="6"/>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投标人按照</w:t>
      </w:r>
      <w:r>
        <w:rPr>
          <w:rFonts w:hint="eastAsia" w:ascii="宋体" w:hAnsi="宋体"/>
          <w:sz w:val="24"/>
          <w:szCs w:val="24"/>
          <w:highlight w:val="none"/>
        </w:rPr>
        <w:t>投标邀请函的</w:t>
      </w:r>
      <w:r>
        <w:rPr>
          <w:rFonts w:hint="eastAsia" w:ascii="宋体" w:hAnsi="宋体"/>
          <w:sz w:val="24"/>
          <w:szCs w:val="24"/>
          <w:highlight w:val="none"/>
          <w:lang w:eastAsia="zh-CN"/>
        </w:rPr>
        <w:t>第一章</w:t>
      </w:r>
      <w:r>
        <w:rPr>
          <w:rFonts w:hint="eastAsia" w:ascii="宋体" w:hAnsi="宋体"/>
          <w:sz w:val="24"/>
          <w:szCs w:val="24"/>
          <w:highlight w:val="none"/>
        </w:rPr>
        <w:t>投标申请人声明内容签署盖章；</w:t>
      </w:r>
    </w:p>
    <w:p>
      <w:pPr>
        <w:numPr>
          <w:ilvl w:val="0"/>
          <w:numId w:val="6"/>
        </w:numPr>
        <w:tabs>
          <w:tab w:val="left" w:pos="425"/>
          <w:tab w:val="left" w:pos="567"/>
        </w:tabs>
        <w:autoSpaceDE w:val="0"/>
        <w:autoSpaceDN w:val="0"/>
        <w:adjustRightInd w:val="0"/>
        <w:snapToGrid w:val="0"/>
        <w:spacing w:line="360" w:lineRule="auto"/>
        <w:ind w:firstLine="720" w:firstLineChars="300"/>
        <w:jc w:val="left"/>
        <w:rPr>
          <w:rFonts w:ascii="宋体" w:hAnsi="宋体"/>
          <w:sz w:val="24"/>
          <w:szCs w:val="24"/>
        </w:rPr>
      </w:pPr>
      <w:r>
        <w:rPr>
          <w:rFonts w:hint="eastAsia" w:ascii="宋体" w:hAnsi="宋体"/>
          <w:sz w:val="24"/>
          <w:szCs w:val="24"/>
        </w:rPr>
        <w:t>提供相同品牌产品的不同投标人参加投标的，按一家投标供应商计算。</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关于投标费用</w:t>
      </w:r>
    </w:p>
    <w:p>
      <w:pPr>
        <w:spacing w:line="360" w:lineRule="auto"/>
        <w:ind w:firstLine="480" w:firstLineChars="200"/>
        <w:rPr>
          <w:rFonts w:ascii="宋体" w:hAnsi="宋体"/>
          <w:sz w:val="24"/>
          <w:lang w:val="en-GB"/>
        </w:rPr>
      </w:pPr>
      <w:r>
        <w:rPr>
          <w:rFonts w:hint="eastAsia" w:ascii="宋体" w:hAnsi="宋体"/>
          <w:sz w:val="24"/>
        </w:rPr>
        <w:t>不论投标的结果如何，投标人应承担所有与其参加本次投标活动有关的费用</w:t>
      </w:r>
      <w:r>
        <w:rPr>
          <w:rFonts w:hint="eastAsia" w:ascii="宋体" w:hAnsi="宋体"/>
          <w:sz w:val="24"/>
          <w:lang w:val="en-GB"/>
        </w:rPr>
        <w:t>。</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定义</w:t>
      </w:r>
    </w:p>
    <w:p>
      <w:pPr>
        <w:numPr>
          <w:ilvl w:val="2"/>
          <w:numId w:val="5"/>
        </w:numPr>
        <w:tabs>
          <w:tab w:val="left" w:pos="-5220"/>
          <w:tab w:val="left" w:pos="-4320"/>
          <w:tab w:val="left" w:pos="780"/>
        </w:tabs>
        <w:spacing w:line="360" w:lineRule="auto"/>
        <w:ind w:left="840" w:hanging="480"/>
        <w:rPr>
          <w:rFonts w:ascii="宋体" w:hAnsi="宋体"/>
          <w:sz w:val="24"/>
        </w:rPr>
      </w:pPr>
      <w:r>
        <w:rPr>
          <w:rFonts w:hint="eastAsia" w:ascii="宋体" w:hAnsi="宋体"/>
          <w:sz w:val="24"/>
        </w:rPr>
        <w:t>“采购人”系指依法进行招标的国家机关、事业单位、团体组织，本项目的采购人是</w:t>
      </w:r>
      <w:r>
        <w:rPr>
          <w:rFonts w:hint="eastAsia" w:ascii="宋体" w:hAnsi="宋体"/>
          <w:sz w:val="24"/>
          <w:lang w:eastAsia="zh-CN"/>
        </w:rPr>
        <w:t>广州南沙科技投资有限公司</w:t>
      </w:r>
      <w:r>
        <w:rPr>
          <w:rFonts w:hint="eastAsia" w:ascii="宋体" w:hAnsi="宋体"/>
          <w:sz w:val="24"/>
        </w:rPr>
        <w:t>。</w:t>
      </w:r>
    </w:p>
    <w:p>
      <w:pPr>
        <w:numPr>
          <w:ilvl w:val="2"/>
          <w:numId w:val="5"/>
        </w:numPr>
        <w:tabs>
          <w:tab w:val="left" w:pos="-5220"/>
          <w:tab w:val="left" w:pos="-4320"/>
          <w:tab w:val="left" w:pos="780"/>
        </w:tabs>
        <w:spacing w:line="360" w:lineRule="auto"/>
        <w:ind w:left="840" w:hanging="480"/>
        <w:rPr>
          <w:rFonts w:ascii="宋体" w:hAnsi="宋体"/>
          <w:sz w:val="24"/>
        </w:rPr>
      </w:pPr>
      <w:r>
        <w:rPr>
          <w:rFonts w:hint="eastAsia" w:ascii="宋体" w:hAnsi="宋体"/>
          <w:sz w:val="24"/>
        </w:rPr>
        <w:t>“业主</w:t>
      </w:r>
      <w:r>
        <w:rPr>
          <w:rFonts w:ascii="宋体" w:hAnsi="宋体"/>
          <w:sz w:val="24"/>
        </w:rPr>
        <w:t>/</w:t>
      </w:r>
      <w:r>
        <w:rPr>
          <w:rFonts w:hint="eastAsia" w:ascii="宋体" w:hAnsi="宋体"/>
          <w:sz w:val="24"/>
        </w:rPr>
        <w:t>用户”系指本招标项目的最终使用单位，本项目的业主</w:t>
      </w:r>
      <w:r>
        <w:rPr>
          <w:rFonts w:ascii="宋体" w:hAnsi="宋体"/>
          <w:sz w:val="24"/>
        </w:rPr>
        <w:t>/</w:t>
      </w:r>
      <w:r>
        <w:rPr>
          <w:rFonts w:hint="eastAsia" w:ascii="宋体" w:hAnsi="宋体"/>
          <w:sz w:val="24"/>
        </w:rPr>
        <w:t>用户是</w:t>
      </w:r>
      <w:r>
        <w:rPr>
          <w:rFonts w:hint="eastAsia" w:ascii="宋体" w:hAnsi="宋体"/>
          <w:sz w:val="24"/>
          <w:lang w:eastAsia="zh-CN"/>
        </w:rPr>
        <w:t>广州南沙科技投资有限公司，</w:t>
      </w:r>
      <w:r>
        <w:rPr>
          <w:rFonts w:hint="eastAsia" w:ascii="宋体" w:hAnsi="宋体"/>
          <w:sz w:val="24"/>
        </w:rPr>
        <w:t>“投标人”系指向采购人提交投标文件的合格供应商。</w:t>
      </w:r>
    </w:p>
    <w:p>
      <w:pPr>
        <w:numPr>
          <w:ilvl w:val="2"/>
          <w:numId w:val="5"/>
        </w:numPr>
        <w:tabs>
          <w:tab w:val="left" w:pos="-5220"/>
          <w:tab w:val="left" w:pos="-4320"/>
          <w:tab w:val="left" w:pos="780"/>
        </w:tabs>
        <w:spacing w:line="360" w:lineRule="auto"/>
        <w:ind w:left="840" w:hanging="480"/>
        <w:rPr>
          <w:rFonts w:ascii="宋体" w:hAnsi="宋体"/>
          <w:sz w:val="24"/>
        </w:rPr>
      </w:pPr>
      <w:r>
        <w:rPr>
          <w:rFonts w:hint="eastAsia" w:ascii="宋体" w:hAnsi="宋体"/>
          <w:sz w:val="24"/>
        </w:rPr>
        <w:t>“中标单位”系指经评标委员会评审推荐、采购人确认的获得本项目中标资格的投标人。</w:t>
      </w:r>
    </w:p>
    <w:p>
      <w:pPr>
        <w:numPr>
          <w:ilvl w:val="2"/>
          <w:numId w:val="5"/>
        </w:numPr>
        <w:tabs>
          <w:tab w:val="left" w:pos="-5220"/>
          <w:tab w:val="left" w:pos="-4320"/>
          <w:tab w:val="left" w:pos="780"/>
        </w:tabs>
        <w:spacing w:line="360" w:lineRule="auto"/>
        <w:ind w:left="840" w:hanging="480"/>
        <w:rPr>
          <w:rFonts w:ascii="宋体" w:hAnsi="宋体"/>
          <w:sz w:val="24"/>
        </w:rPr>
      </w:pPr>
      <w:r>
        <w:rPr>
          <w:rFonts w:hint="eastAsia" w:ascii="宋体" w:hAnsi="宋体"/>
          <w:sz w:val="24"/>
        </w:rPr>
        <w:t>“实质性响应”系指符合采购文件的所有要求、条款、条件和规定，且没有不利于项目实施质量效果和服务保障的重大偏离或保留。</w:t>
      </w:r>
    </w:p>
    <w:p>
      <w:pPr>
        <w:numPr>
          <w:ilvl w:val="2"/>
          <w:numId w:val="5"/>
        </w:numPr>
        <w:tabs>
          <w:tab w:val="left" w:pos="-5220"/>
          <w:tab w:val="left" w:pos="-4320"/>
          <w:tab w:val="left" w:pos="780"/>
        </w:tabs>
        <w:spacing w:line="360" w:lineRule="auto"/>
        <w:ind w:left="840" w:hanging="480"/>
        <w:rPr>
          <w:rFonts w:ascii="宋体" w:hAnsi="宋体"/>
          <w:sz w:val="24"/>
        </w:rPr>
      </w:pPr>
      <w:r>
        <w:rPr>
          <w:rFonts w:hint="eastAsia" w:ascii="宋体" w:hAnsi="宋体"/>
          <w:sz w:val="24"/>
        </w:rPr>
        <w:t>“重大偏离或保留”系指影响到采购文件规定的范围、质量和性能或限制了采购人的权力和投标人义务的规定，而纠正这些偏离将影响到其它投标人的公平竞争地位。</w:t>
      </w:r>
    </w:p>
    <w:p>
      <w:pPr>
        <w:numPr>
          <w:ilvl w:val="2"/>
          <w:numId w:val="5"/>
        </w:numPr>
        <w:tabs>
          <w:tab w:val="left" w:pos="-5220"/>
          <w:tab w:val="left" w:pos="-4320"/>
          <w:tab w:val="left" w:pos="780"/>
        </w:tabs>
        <w:spacing w:line="360" w:lineRule="auto"/>
        <w:ind w:left="840" w:hanging="480"/>
        <w:rPr>
          <w:rFonts w:ascii="宋体" w:hAnsi="宋体"/>
          <w:sz w:val="24"/>
        </w:rPr>
      </w:pPr>
      <w:r>
        <w:rPr>
          <w:rFonts w:hint="eastAsia" w:ascii="宋体" w:hAnsi="宋体"/>
          <w:sz w:val="24"/>
        </w:rPr>
        <w:t>本采购文件所涉及的日期时间，没有特别说明时系指北京时间，天数为日历日。</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合格的</w:t>
      </w:r>
      <w:r>
        <w:rPr>
          <w:rFonts w:hint="eastAsia"/>
          <w:sz w:val="24"/>
        </w:rPr>
        <w:t>货物和</w:t>
      </w:r>
      <w:r>
        <w:rPr>
          <w:sz w:val="24"/>
        </w:rPr>
        <w:t>服务</w:t>
      </w:r>
    </w:p>
    <w:p>
      <w:pPr>
        <w:numPr>
          <w:ilvl w:val="2"/>
          <w:numId w:val="5"/>
        </w:numPr>
        <w:tabs>
          <w:tab w:val="left" w:pos="-5220"/>
          <w:tab w:val="left" w:pos="780"/>
        </w:tabs>
        <w:spacing w:line="360" w:lineRule="auto"/>
        <w:ind w:left="840" w:hanging="480"/>
        <w:rPr>
          <w:rFonts w:ascii="宋体" w:hAnsi="宋体"/>
          <w:sz w:val="24"/>
        </w:rPr>
      </w:pPr>
      <w:r>
        <w:rPr>
          <w:rFonts w:hint="eastAsia" w:ascii="宋体" w:hAnsi="宋体" w:cs="宋体"/>
          <w:sz w:val="24"/>
        </w:rPr>
        <w:t>“货物”是指投标人制造或组织符合采购文件要求的货物等。投标的货物必须是其合法生产、合法来源的符合国家有关标准要求的货物，并满足采购文件规定的规格、参数、质量、价格、有效期、售后服务等要求。</w:t>
      </w:r>
    </w:p>
    <w:p>
      <w:pPr>
        <w:numPr>
          <w:ilvl w:val="2"/>
          <w:numId w:val="5"/>
        </w:numPr>
        <w:tabs>
          <w:tab w:val="left" w:pos="-5220"/>
          <w:tab w:val="left" w:pos="780"/>
        </w:tabs>
        <w:spacing w:line="360" w:lineRule="auto"/>
        <w:ind w:left="840" w:hanging="480"/>
        <w:rPr>
          <w:rFonts w:ascii="宋体" w:hAnsi="宋体"/>
          <w:sz w:val="24"/>
        </w:rPr>
      </w:pPr>
      <w:r>
        <w:rPr>
          <w:rFonts w:hint="eastAsia" w:ascii="宋体" w:hAnsi="宋体" w:cs="宋体"/>
          <w:sz w:val="24"/>
        </w:rPr>
        <w:t>“服务”是指投标人须承担的运输、安装、技术支持、培训以及采购文件规定的其它伴随服务。</w:t>
      </w:r>
    </w:p>
    <w:p>
      <w:pPr>
        <w:numPr>
          <w:ilvl w:val="2"/>
          <w:numId w:val="5"/>
        </w:numPr>
        <w:tabs>
          <w:tab w:val="left" w:pos="-5220"/>
          <w:tab w:val="left" w:pos="780"/>
        </w:tabs>
        <w:spacing w:line="360" w:lineRule="auto"/>
        <w:ind w:left="840" w:hanging="480"/>
        <w:rPr>
          <w:rFonts w:ascii="宋体" w:hAnsi="宋体"/>
          <w:sz w:val="24"/>
        </w:rPr>
      </w:pPr>
      <w:r>
        <w:rPr>
          <w:rFonts w:hint="eastAsia" w:ascii="宋体" w:hAnsi="宋体"/>
          <w:sz w:val="24"/>
        </w:rPr>
        <w:t>采购人将拒绝接受不合格的货物及服务，并有权不予支付任何费用，同时保留追究相关责任的权利。</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知识产权</w:t>
      </w:r>
    </w:p>
    <w:p>
      <w:pPr>
        <w:spacing w:line="360" w:lineRule="auto"/>
        <w:ind w:firstLine="480" w:firstLineChars="200"/>
        <w:rPr>
          <w:rFonts w:ascii="宋体" w:hAnsi="宋体"/>
          <w:sz w:val="24"/>
          <w:lang w:val="en-GB"/>
        </w:rPr>
      </w:pPr>
      <w:r>
        <w:rPr>
          <w:rFonts w:hint="eastAsia" w:ascii="宋体" w:hAnsi="宋体"/>
          <w:sz w:val="24"/>
          <w:lang w:val="en-GB"/>
        </w:rPr>
        <w:t>投标人必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纪律与保密事项</w:t>
      </w:r>
    </w:p>
    <w:p>
      <w:pPr>
        <w:spacing w:line="360" w:lineRule="auto"/>
        <w:ind w:firstLine="480" w:firstLineChars="200"/>
        <w:rPr>
          <w:rFonts w:ascii="宋体" w:hAnsi="宋体"/>
          <w:sz w:val="24"/>
        </w:rPr>
      </w:pPr>
      <w:r>
        <w:rPr>
          <w:rFonts w:hint="eastAsia" w:ascii="宋体" w:hAnsi="宋体"/>
          <w:sz w:val="24"/>
        </w:rPr>
        <w:t>投标人不得相互串通投标报价，不得妨碍其他投标人的公平竞争，不得损害采购人或其他投标人的合法权益，投标人不得以向采购人、评标委员会成员行贿或者采取其他不正当手段谋取中标。除投标人被要求对投标文件进行澄清外，在确定中标人之前，投标人不得与采购人就投标价格、中标人案等实质性内容进行谈判，也不得私下接触评标委员会成员。在确定中标人之前，投标人试图在投标文件审查、澄清、比较和评价时对评标委员会、采购人施加任何影响都可能导致其投标文件被拒绝。获得本采购文件者，不得将采购文件用作本次投标以外的任何用途，若有要求，开标后，投标人应归还采购文件中的保密的文件和资料。除非得到采购人的同意，不能向任何第三方透露。开标结束后，应采购人要求，投标人应归还所有从采购人处获得的保密资料。</w:t>
      </w:r>
    </w:p>
    <w:p>
      <w:pPr>
        <w:pStyle w:val="3"/>
        <w:adjustRightInd/>
        <w:spacing w:before="48" w:after="48"/>
        <w:textAlignment w:val="auto"/>
        <w:rPr>
          <w:sz w:val="28"/>
          <w:szCs w:val="28"/>
        </w:rPr>
      </w:pPr>
      <w:r>
        <w:rPr>
          <w:rFonts w:hint="eastAsia"/>
          <w:sz w:val="28"/>
          <w:szCs w:val="28"/>
        </w:rPr>
        <w:t>二、采购文件</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关于</w:t>
      </w:r>
      <w:r>
        <w:rPr>
          <w:rFonts w:hint="eastAsia"/>
          <w:sz w:val="24"/>
        </w:rPr>
        <w:t>采购文件</w:t>
      </w:r>
    </w:p>
    <w:p>
      <w:pPr>
        <w:spacing w:line="360" w:lineRule="auto"/>
        <w:ind w:firstLine="480" w:firstLineChars="200"/>
        <w:rPr>
          <w:rFonts w:ascii="宋体" w:hAnsi="宋体"/>
          <w:sz w:val="24"/>
        </w:rPr>
      </w:pPr>
      <w:r>
        <w:rPr>
          <w:rFonts w:hint="eastAsia" w:ascii="宋体" w:hAnsi="宋体"/>
          <w:sz w:val="24"/>
        </w:rPr>
        <w:t>采购文件是采购人作为阐明所需服务的基本要求，采购文件、投标文件、评标结果、合同书和相关承诺确认文件均作为任何一方当事人履约的重要依据。</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rFonts w:hint="eastAsia"/>
          <w:sz w:val="24"/>
        </w:rPr>
        <w:t>采购文件</w:t>
      </w:r>
      <w:r>
        <w:rPr>
          <w:sz w:val="24"/>
        </w:rPr>
        <w:t>的组成</w:t>
      </w:r>
    </w:p>
    <w:p>
      <w:pPr>
        <w:numPr>
          <w:ilvl w:val="2"/>
          <w:numId w:val="5"/>
        </w:numPr>
        <w:tabs>
          <w:tab w:val="left" w:pos="-5220"/>
        </w:tabs>
        <w:spacing w:line="360" w:lineRule="auto"/>
        <w:rPr>
          <w:rFonts w:ascii="宋体" w:hAnsi="宋体"/>
          <w:sz w:val="24"/>
        </w:rPr>
      </w:pPr>
      <w:r>
        <w:rPr>
          <w:rFonts w:hint="eastAsia" w:ascii="宋体" w:hAnsi="宋体"/>
          <w:sz w:val="24"/>
        </w:rPr>
        <w:t>投标邀请</w:t>
      </w:r>
    </w:p>
    <w:p>
      <w:pPr>
        <w:numPr>
          <w:ilvl w:val="2"/>
          <w:numId w:val="5"/>
        </w:numPr>
        <w:tabs>
          <w:tab w:val="left" w:pos="-5220"/>
        </w:tabs>
        <w:spacing w:line="360" w:lineRule="auto"/>
        <w:rPr>
          <w:rFonts w:ascii="宋体" w:hAnsi="宋体"/>
          <w:sz w:val="24"/>
        </w:rPr>
      </w:pPr>
      <w:r>
        <w:rPr>
          <w:rFonts w:hint="eastAsia" w:ascii="宋体" w:hAnsi="宋体"/>
          <w:sz w:val="24"/>
        </w:rPr>
        <w:t>投标人须知</w:t>
      </w:r>
    </w:p>
    <w:p>
      <w:pPr>
        <w:numPr>
          <w:ilvl w:val="2"/>
          <w:numId w:val="5"/>
        </w:numPr>
        <w:tabs>
          <w:tab w:val="left" w:pos="-5220"/>
        </w:tabs>
        <w:spacing w:line="360" w:lineRule="auto"/>
        <w:rPr>
          <w:rFonts w:ascii="宋体" w:hAnsi="宋体"/>
          <w:sz w:val="24"/>
        </w:rPr>
      </w:pPr>
      <w:r>
        <w:rPr>
          <w:rFonts w:hint="eastAsia" w:ascii="宋体" w:hAnsi="宋体"/>
          <w:sz w:val="24"/>
        </w:rPr>
        <w:t>用户需求书</w:t>
      </w:r>
    </w:p>
    <w:p>
      <w:pPr>
        <w:numPr>
          <w:ilvl w:val="2"/>
          <w:numId w:val="5"/>
        </w:numPr>
        <w:tabs>
          <w:tab w:val="left" w:pos="-5220"/>
        </w:tabs>
        <w:spacing w:line="360" w:lineRule="auto"/>
        <w:rPr>
          <w:rFonts w:ascii="宋体" w:hAnsi="宋体"/>
          <w:sz w:val="24"/>
        </w:rPr>
      </w:pPr>
      <w:r>
        <w:rPr>
          <w:rFonts w:hint="eastAsia" w:ascii="宋体" w:hAnsi="宋体"/>
          <w:sz w:val="24"/>
        </w:rPr>
        <w:t>合同文本</w:t>
      </w:r>
    </w:p>
    <w:p>
      <w:pPr>
        <w:numPr>
          <w:ilvl w:val="2"/>
          <w:numId w:val="5"/>
        </w:numPr>
        <w:tabs>
          <w:tab w:val="left" w:pos="-5220"/>
        </w:tabs>
        <w:spacing w:line="360" w:lineRule="auto"/>
        <w:rPr>
          <w:rFonts w:ascii="宋体" w:hAnsi="宋体"/>
          <w:sz w:val="24"/>
        </w:rPr>
      </w:pPr>
      <w:r>
        <w:rPr>
          <w:rFonts w:hint="eastAsia" w:ascii="宋体" w:hAnsi="宋体"/>
          <w:sz w:val="24"/>
        </w:rPr>
        <w:t>附件（格式）</w:t>
      </w:r>
    </w:p>
    <w:p>
      <w:pPr>
        <w:numPr>
          <w:ilvl w:val="2"/>
          <w:numId w:val="5"/>
        </w:numPr>
        <w:tabs>
          <w:tab w:val="left" w:pos="-5220"/>
        </w:tabs>
        <w:spacing w:line="360" w:lineRule="auto"/>
        <w:rPr>
          <w:rFonts w:ascii="宋体" w:hAnsi="宋体"/>
          <w:sz w:val="24"/>
        </w:rPr>
      </w:pPr>
      <w:r>
        <w:rPr>
          <w:rFonts w:hint="eastAsia" w:ascii="宋体" w:hAnsi="宋体"/>
          <w:sz w:val="24"/>
        </w:rPr>
        <w:t>评标细则</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rFonts w:hint="eastAsia"/>
          <w:sz w:val="24"/>
        </w:rPr>
        <w:t>采购文件</w:t>
      </w:r>
      <w:r>
        <w:rPr>
          <w:sz w:val="24"/>
        </w:rPr>
        <w:t>的澄清和修改</w:t>
      </w:r>
    </w:p>
    <w:p>
      <w:pPr>
        <w:spacing w:line="360" w:lineRule="auto"/>
        <w:ind w:firstLine="480" w:firstLineChars="200"/>
        <w:rPr>
          <w:rFonts w:ascii="宋体" w:hAnsi="宋体"/>
          <w:sz w:val="24"/>
        </w:rPr>
      </w:pPr>
      <w:r>
        <w:rPr>
          <w:rFonts w:hint="eastAsia" w:ascii="宋体" w:hAnsi="宋体"/>
          <w:sz w:val="24"/>
        </w:rPr>
        <w:t>投标人如对采购文件有任何疑问，均应在投标文件递交截止日5天前以书面形式（包括书面文字、电传、传真、电报等，应加盖公章）向采购人提出澄清要求。</w:t>
      </w:r>
    </w:p>
    <w:p>
      <w:pPr>
        <w:spacing w:line="360" w:lineRule="auto"/>
        <w:ind w:firstLine="480" w:firstLineChars="200"/>
        <w:rPr>
          <w:rFonts w:ascii="宋体" w:hAnsi="宋体"/>
          <w:sz w:val="24"/>
        </w:rPr>
      </w:pPr>
      <w:r>
        <w:rPr>
          <w:rFonts w:hint="eastAsia" w:ascii="宋体" w:hAnsi="宋体"/>
          <w:sz w:val="24"/>
        </w:rPr>
        <w:t>对采购文件进行必要的澄清修改或对投标人澄清要求的回复，采购人将视情况确定采用适当方式予以澄清或以书面形式予以答复，并在其认为必要时，将不标明询问来源的书面答复发送给每个领取采购文件的投标人；投标人在收到澄清或修改通知后24小时内应立即以书面形式（应加盖公章）予以确认，逾期不提交书面确认的，视为已确认。</w:t>
      </w:r>
    </w:p>
    <w:p>
      <w:pPr>
        <w:spacing w:line="360" w:lineRule="auto"/>
        <w:ind w:firstLine="480" w:firstLineChars="200"/>
        <w:rPr>
          <w:rFonts w:ascii="宋体" w:hAnsi="宋体"/>
          <w:sz w:val="24"/>
        </w:rPr>
      </w:pPr>
      <w:r>
        <w:rPr>
          <w:rFonts w:hint="eastAsia" w:ascii="宋体" w:hAnsi="宋体"/>
          <w:sz w:val="24"/>
        </w:rPr>
        <w:t>招标过程中的一切修改文件或补充文件一旦确认后与采购文件具有同等法律效力，投标人有责任履行相应的义务。</w:t>
      </w:r>
    </w:p>
    <w:p>
      <w:pPr>
        <w:spacing w:line="360" w:lineRule="auto"/>
        <w:ind w:firstLine="480" w:firstLineChars="200"/>
        <w:rPr>
          <w:rFonts w:ascii="宋体" w:hAnsi="宋体"/>
          <w:sz w:val="24"/>
        </w:rPr>
      </w:pPr>
      <w:r>
        <w:rPr>
          <w:rFonts w:hint="eastAsia" w:ascii="宋体" w:hAnsi="宋体"/>
          <w:sz w:val="24"/>
        </w:rPr>
        <w:t>为使潜在投标人有合理的时间理解采购文件的修改，采购人可酌情推迟投标截止日期和开标时间。</w:t>
      </w:r>
    </w:p>
    <w:p>
      <w:pPr>
        <w:pStyle w:val="3"/>
        <w:numPr>
          <w:ilvl w:val="0"/>
          <w:numId w:val="2"/>
        </w:numPr>
        <w:adjustRightInd/>
        <w:spacing w:before="48" w:after="48"/>
        <w:ind w:left="0" w:leftChars="0" w:firstLine="703" w:firstLineChars="250"/>
        <w:textAlignment w:val="auto"/>
        <w:rPr>
          <w:rFonts w:hint="eastAsia"/>
          <w:sz w:val="28"/>
          <w:szCs w:val="28"/>
        </w:rPr>
      </w:pPr>
      <w:bookmarkStart w:id="36" w:name="_Toc184442576"/>
      <w:r>
        <w:rPr>
          <w:rFonts w:hint="eastAsia"/>
          <w:sz w:val="28"/>
          <w:szCs w:val="28"/>
        </w:rPr>
        <w:t>投标总则</w:t>
      </w:r>
      <w:bookmarkEnd w:id="36"/>
    </w:p>
    <w:p>
      <w:pPr>
        <w:pStyle w:val="3"/>
        <w:numPr>
          <w:ilvl w:val="0"/>
          <w:numId w:val="0"/>
        </w:numPr>
        <w:adjustRightInd/>
        <w:spacing w:before="48" w:after="48"/>
        <w:ind w:leftChars="250"/>
        <w:textAlignment w:val="auto"/>
        <w:rPr>
          <w:sz w:val="24"/>
        </w:rPr>
      </w:pPr>
      <w:r>
        <w:rPr>
          <w:rFonts w:hint="eastAsia"/>
          <w:sz w:val="24"/>
          <w:lang w:val="en-US" w:eastAsia="zh-CN"/>
        </w:rPr>
        <w:t>(十三）</w:t>
      </w:r>
      <w:r>
        <w:rPr>
          <w:sz w:val="24"/>
        </w:rPr>
        <w:t>投标文件的编写</w:t>
      </w:r>
    </w:p>
    <w:p>
      <w:pPr>
        <w:spacing w:line="360" w:lineRule="auto"/>
        <w:ind w:firstLine="480" w:firstLineChars="200"/>
        <w:rPr>
          <w:rFonts w:ascii="宋体" w:hAnsi="宋体"/>
          <w:sz w:val="24"/>
        </w:rPr>
      </w:pPr>
      <w:r>
        <w:rPr>
          <w:rFonts w:hint="eastAsia" w:ascii="宋体" w:hAnsi="宋体"/>
          <w:sz w:val="24"/>
        </w:rPr>
        <w:t>投标人应仔细阅读采购文件的所有内容，并按采购文件的规定及附件要求的内容和格式，提交完整的投标文件，并保证所提供全部资料的真实性，所有不完整的投标将被拒绝。</w:t>
      </w:r>
    </w:p>
    <w:p>
      <w:pPr>
        <w:spacing w:line="360" w:lineRule="auto"/>
        <w:ind w:firstLine="480" w:firstLineChars="200"/>
        <w:rPr>
          <w:rFonts w:ascii="宋体" w:hAnsi="宋体"/>
          <w:sz w:val="24"/>
        </w:rPr>
      </w:pPr>
      <w:r>
        <w:rPr>
          <w:rFonts w:hint="eastAsia" w:ascii="宋体" w:hAnsi="宋体"/>
          <w:sz w:val="24"/>
        </w:rPr>
        <w:t>投标文件和来往函件应用中文书写，投标人提供的支持文件、技术资料和印刷的文献可以用其它语言，但相应内容应附有中文翻译本，以中文为准，计量单位应使用国际公制单位。</w:t>
      </w:r>
    </w:p>
    <w:p>
      <w:pPr>
        <w:spacing w:line="360" w:lineRule="auto"/>
        <w:ind w:firstLine="480" w:firstLineChars="200"/>
        <w:rPr>
          <w:rFonts w:ascii="宋体" w:hAnsi="宋体"/>
          <w:sz w:val="24"/>
        </w:rPr>
      </w:pPr>
      <w:r>
        <w:rPr>
          <w:rFonts w:hint="eastAsia" w:ascii="宋体" w:hAnsi="宋体"/>
          <w:sz w:val="24"/>
        </w:rPr>
        <w:t>投标人投标总价是以投标人可独立完成本项目，并在通过准确核算后，可满足预期实施效果、符合自身合法利益的前提下所作出的综合性合理最终含税报价。投标人应自行增加项目正常、合法及使用所必需但采购文件没有列明或包含的内容及费用，并在投标文件中加以详细说明，如果投标人在中标并签署合同后，在提供招标范围内的货物及服务工作中出现的任何遗漏，均由中标人免费提供，采购人将不再支付任何费用。对超出常规、具有特别意义或会引起竞争非议的报价须作出特别说明。</w:t>
      </w:r>
    </w:p>
    <w:p>
      <w:pPr>
        <w:spacing w:line="360" w:lineRule="auto"/>
        <w:ind w:firstLine="482" w:firstLineChars="200"/>
        <w:rPr>
          <w:rFonts w:ascii="宋体" w:hAnsi="宋体"/>
          <w:b/>
          <w:sz w:val="24"/>
        </w:rPr>
      </w:pPr>
      <w:r>
        <w:rPr>
          <w:rFonts w:hint="eastAsia" w:ascii="宋体" w:hAnsi="宋体"/>
          <w:b/>
          <w:sz w:val="24"/>
        </w:rPr>
        <w:t>采购文件中，如标有“</w:t>
      </w:r>
      <w:r>
        <w:rPr>
          <w:rFonts w:hint="eastAsia"/>
          <w:b/>
          <w:sz w:val="24"/>
        </w:rPr>
        <w:t>★</w:t>
      </w:r>
      <w:r>
        <w:rPr>
          <w:rFonts w:hint="eastAsia" w:ascii="宋体" w:hAnsi="宋体"/>
          <w:b/>
          <w:sz w:val="24"/>
        </w:rPr>
        <w:t>”的地方均为必须完全满足指标，投标人须进行实质性响应，投标人若有一项带“</w:t>
      </w:r>
      <w:r>
        <w:rPr>
          <w:rFonts w:hint="eastAsia"/>
          <w:b/>
          <w:sz w:val="24"/>
        </w:rPr>
        <w:t>★</w:t>
      </w:r>
      <w:r>
        <w:rPr>
          <w:rFonts w:hint="eastAsia" w:ascii="宋体" w:hAnsi="宋体"/>
          <w:b/>
          <w:sz w:val="24"/>
        </w:rPr>
        <w:t>”的条款未响应或不满足，将按无效投标处理。</w:t>
      </w:r>
    </w:p>
    <w:p>
      <w:pPr>
        <w:spacing w:line="360" w:lineRule="auto"/>
        <w:ind w:firstLine="482" w:firstLineChars="200"/>
        <w:rPr>
          <w:rFonts w:ascii="宋体" w:hAnsi="宋体"/>
          <w:b/>
          <w:sz w:val="24"/>
        </w:rPr>
      </w:pPr>
      <w:r>
        <w:rPr>
          <w:rFonts w:hint="eastAsia" w:ascii="宋体" w:hAnsi="宋体"/>
          <w:b/>
          <w:sz w:val="24"/>
        </w:rPr>
        <w:t>采购文件中，如标有“</w:t>
      </w:r>
      <w:r>
        <w:rPr>
          <w:rFonts w:hint="eastAsia" w:ascii="宋体" w:hAnsi="宋体" w:cs="宋体"/>
          <w:sz w:val="24"/>
        </w:rPr>
        <w:t>▲</w:t>
      </w:r>
      <w:r>
        <w:rPr>
          <w:rFonts w:hint="eastAsia" w:ascii="宋体" w:hAnsi="宋体"/>
          <w:b/>
          <w:sz w:val="24"/>
        </w:rPr>
        <w:t>”的地方均为重要参数和指标要求条款，投标人若有部分“</w:t>
      </w:r>
      <w:r>
        <w:rPr>
          <w:rFonts w:hint="eastAsia" w:ascii="宋体" w:hAnsi="宋体" w:cs="宋体"/>
          <w:sz w:val="24"/>
        </w:rPr>
        <w:t>▲</w:t>
      </w:r>
      <w:r>
        <w:rPr>
          <w:rFonts w:hint="eastAsia" w:ascii="宋体" w:hAnsi="宋体"/>
          <w:b/>
          <w:sz w:val="24"/>
        </w:rPr>
        <w:t>”条款未响应或不满足，将导致其响应性评审严重扣分。</w:t>
      </w:r>
    </w:p>
    <w:p>
      <w:pPr>
        <w:spacing w:line="360" w:lineRule="auto"/>
        <w:ind w:firstLine="482" w:firstLineChars="200"/>
        <w:rPr>
          <w:rFonts w:ascii="宋体" w:hAnsi="宋体"/>
          <w:b/>
          <w:sz w:val="24"/>
          <w:szCs w:val="22"/>
          <w:highlight w:val="none"/>
        </w:rPr>
      </w:pPr>
      <w:r>
        <w:rPr>
          <w:rFonts w:hint="eastAsia" w:ascii="宋体" w:hAnsi="宋体"/>
          <w:b/>
          <w:sz w:val="24"/>
          <w:szCs w:val="22"/>
          <w:highlight w:val="none"/>
        </w:rPr>
        <w:t>★本项目最高限价为：人民币</w:t>
      </w:r>
      <w:r>
        <w:rPr>
          <w:rFonts w:hint="eastAsia" w:ascii="宋体" w:hAnsi="宋体"/>
          <w:b/>
          <w:sz w:val="24"/>
          <w:szCs w:val="22"/>
          <w:highlight w:val="none"/>
          <w:u w:val="single"/>
        </w:rPr>
        <w:t xml:space="preserve"> </w:t>
      </w:r>
      <w:r>
        <w:rPr>
          <w:rFonts w:hint="eastAsia" w:ascii="宋体" w:hAnsi="宋体"/>
          <w:b/>
          <w:sz w:val="24"/>
          <w:szCs w:val="22"/>
          <w:highlight w:val="none"/>
          <w:u w:val="single"/>
          <w:lang w:val="en-US" w:eastAsia="zh-CN"/>
        </w:rPr>
        <w:t>270000.00</w:t>
      </w:r>
      <w:r>
        <w:rPr>
          <w:rFonts w:hint="eastAsia" w:ascii="宋体" w:hAnsi="宋体"/>
          <w:b/>
          <w:sz w:val="24"/>
          <w:szCs w:val="22"/>
          <w:highlight w:val="none"/>
          <w:u w:val="single"/>
        </w:rPr>
        <w:t xml:space="preserve"> </w:t>
      </w:r>
      <w:r>
        <w:rPr>
          <w:rFonts w:hint="eastAsia" w:ascii="宋体" w:hAnsi="宋体"/>
          <w:b/>
          <w:sz w:val="24"/>
          <w:szCs w:val="22"/>
          <w:highlight w:val="none"/>
        </w:rPr>
        <w:t>元</w:t>
      </w:r>
      <w:bookmarkStart w:id="37" w:name="_Toc361989945"/>
      <w:bookmarkStart w:id="38" w:name="_Toc397349838"/>
      <w:bookmarkStart w:id="39" w:name="_Toc367884850"/>
      <w:bookmarkStart w:id="40" w:name="_Toc157504573"/>
      <w:bookmarkStart w:id="41" w:name="_Toc397349687"/>
      <w:bookmarkStart w:id="42" w:name="_Toc361990148"/>
      <w:bookmarkStart w:id="43" w:name="_Toc367885865"/>
      <w:bookmarkStart w:id="44" w:name="_Toc119321130"/>
      <w:bookmarkStart w:id="45" w:name="_Toc136682895"/>
      <w:bookmarkStart w:id="46" w:name="_Toc136662919"/>
      <w:r>
        <w:rPr>
          <w:rFonts w:hint="eastAsia" w:ascii="宋体" w:hAnsi="宋体"/>
          <w:b/>
          <w:sz w:val="24"/>
          <w:szCs w:val="22"/>
          <w:highlight w:val="none"/>
        </w:rPr>
        <w:t>。供应商报价超出最高限价视为非实质性响应投标而予以拒绝。</w:t>
      </w:r>
    </w:p>
    <w:bookmarkEnd w:id="37"/>
    <w:bookmarkEnd w:id="38"/>
    <w:bookmarkEnd w:id="39"/>
    <w:bookmarkEnd w:id="40"/>
    <w:bookmarkEnd w:id="41"/>
    <w:bookmarkEnd w:id="42"/>
    <w:bookmarkEnd w:id="43"/>
    <w:bookmarkEnd w:id="44"/>
    <w:bookmarkEnd w:id="45"/>
    <w:bookmarkEnd w:id="46"/>
    <w:p>
      <w:pPr>
        <w:spacing w:line="360" w:lineRule="auto"/>
        <w:ind w:firstLine="482" w:firstLineChars="200"/>
      </w:pPr>
      <w:r>
        <w:rPr>
          <w:rFonts w:hint="eastAsia" w:ascii="宋体" w:hAnsi="宋体"/>
          <w:b/>
          <w:sz w:val="24"/>
          <w:szCs w:val="22"/>
          <w:highlight w:val="none"/>
        </w:rPr>
        <w:t>★供应商项目报价低于最高限价80%（含80%）的，必须出具详细的成本分析（包含项目实施各项工作的具体成本、办公、交通、税费、利润等的详细说明）及</w:t>
      </w:r>
      <w:r>
        <w:rPr>
          <w:rFonts w:hint="eastAsia" w:ascii="宋体" w:hAnsi="宋体"/>
          <w:b/>
          <w:sz w:val="24"/>
          <w:szCs w:val="22"/>
        </w:rPr>
        <w:t>相关佐证材料，供应商未提供成本分析或者不能合理说明成本偏低原因的，评标委员会有权视为以低于成本的报价竞标，按无效投标处理。</w:t>
      </w:r>
    </w:p>
    <w:p>
      <w:pPr>
        <w:spacing w:line="360" w:lineRule="auto"/>
        <w:ind w:firstLine="480" w:firstLineChars="200"/>
        <w:rPr>
          <w:rFonts w:ascii="宋体" w:hAnsi="宋体"/>
          <w:sz w:val="24"/>
        </w:rPr>
      </w:pPr>
      <w:r>
        <w:rPr>
          <w:rFonts w:hint="eastAsia" w:ascii="宋体" w:hAnsi="宋体"/>
          <w:sz w:val="24"/>
        </w:rPr>
        <w:t>投标人应对投标内容提供完整的、详细的、清晰的技术说明，如投标人对指定的技术要求建议做任何改动，应在投标文件中清楚地注明；投标人对采购文件的对应要求应当给予唯一的实质性响应，否则将视为不响应。技术参数要求中标注有具体数值要求的，投标人必须在服务响应表中标注实际数值，不标注数值者视为不响应。</w:t>
      </w:r>
    </w:p>
    <w:p>
      <w:pPr>
        <w:spacing w:line="360" w:lineRule="auto"/>
        <w:ind w:firstLine="480" w:firstLineChars="200"/>
        <w:rPr>
          <w:rFonts w:ascii="宋体" w:hAnsi="宋体"/>
          <w:sz w:val="24"/>
        </w:rPr>
      </w:pPr>
      <w:r>
        <w:rPr>
          <w:rFonts w:hint="eastAsia" w:ascii="宋体" w:hAnsi="宋体"/>
          <w:sz w:val="24"/>
        </w:rPr>
        <w:t>投标人响应招标需求应具体、明确，含糊不清、不确切、直接复制招标需求指标要求的或伪造、变造证明材料的，按照不完全响应或完全不响应处理。构成提供虚假材料的，移送监管部门查处。</w:t>
      </w:r>
    </w:p>
    <w:p>
      <w:pPr>
        <w:spacing w:line="360" w:lineRule="auto"/>
        <w:ind w:firstLine="480" w:firstLineChars="200"/>
        <w:rPr>
          <w:rFonts w:ascii="宋体" w:hAnsi="宋体"/>
          <w:sz w:val="24"/>
        </w:rPr>
      </w:pPr>
      <w:r>
        <w:rPr>
          <w:rFonts w:hint="eastAsia" w:ascii="宋体" w:hAnsi="宋体"/>
          <w:sz w:val="24"/>
        </w:rPr>
        <w:t>投标人对采购文件的商务合同不允许实质性偏离，否则将视为不响应。</w:t>
      </w:r>
    </w:p>
    <w:p>
      <w:pPr>
        <w:spacing w:line="360" w:lineRule="auto"/>
        <w:ind w:firstLine="480" w:firstLineChars="200"/>
      </w:pPr>
      <w:r>
        <w:rPr>
          <w:rFonts w:hint="eastAsia" w:ascii="宋体" w:hAnsi="宋体"/>
          <w:sz w:val="24"/>
        </w:rPr>
        <w:t>投标文件按规定加盖的投标人公章必须为企业法人公章，且与投标人名称一致，不能以其它业务章或附属机构章代替。需签名之处必须由法定代表人或投标授权代表签署。</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投标文件的组成</w:t>
      </w:r>
    </w:p>
    <w:p>
      <w:pPr>
        <w:spacing w:line="360" w:lineRule="auto"/>
        <w:ind w:firstLine="480" w:firstLineChars="200"/>
        <w:rPr>
          <w:rFonts w:hint="eastAsia" w:ascii="宋体" w:hAnsi="宋体"/>
          <w:sz w:val="24"/>
          <w:lang w:val="en-US" w:eastAsia="zh-CN"/>
        </w:rPr>
      </w:pPr>
      <w:r>
        <w:rPr>
          <w:rFonts w:hint="eastAsia" w:ascii="宋体" w:hAnsi="宋体"/>
          <w:sz w:val="24"/>
        </w:rPr>
        <w:t>投标文件必须包括报价资料、资格审查类资料、商务类资料、技术类资料</w:t>
      </w:r>
      <w:r>
        <w:rPr>
          <w:rFonts w:hint="eastAsia" w:ascii="宋体" w:hAnsi="宋体"/>
          <w:sz w:val="24"/>
          <w:lang w:eastAsia="zh-CN"/>
        </w:rPr>
        <w:t>；</w:t>
      </w:r>
      <w:r>
        <w:rPr>
          <w:rFonts w:hint="eastAsia" w:ascii="宋体" w:hAnsi="宋体"/>
          <w:sz w:val="24"/>
          <w:lang w:val="en-US" w:eastAsia="zh-CN"/>
        </w:rPr>
        <w:t>资料格式可参考第五章附件（格式）内容进行编写。</w:t>
      </w:r>
    </w:p>
    <w:p>
      <w:pPr>
        <w:pStyle w:val="20"/>
        <w:spacing w:line="360" w:lineRule="auto"/>
        <w:rPr>
          <w:rFonts w:hint="default" w:eastAsia="宋体"/>
          <w:lang w:val="en-US" w:eastAsia="zh-CN"/>
        </w:rPr>
      </w:pPr>
      <w:r>
        <w:rPr>
          <w:rFonts w:hint="eastAsia" w:ascii="宋体" w:hAnsi="宋体"/>
          <w:sz w:val="24"/>
        </w:rPr>
        <w:t>资格审查类资料、商务类资料、技术类资料</w:t>
      </w:r>
      <w:r>
        <w:rPr>
          <w:rFonts w:hint="eastAsia" w:ascii="宋体" w:hAnsi="宋体"/>
          <w:sz w:val="24"/>
          <w:lang w:eastAsia="zh-CN"/>
        </w:rPr>
        <w:t>，</w:t>
      </w:r>
      <w:r>
        <w:rPr>
          <w:rFonts w:hint="eastAsia" w:ascii="宋体" w:hAnsi="宋体"/>
          <w:sz w:val="24"/>
          <w:lang w:val="en-US" w:eastAsia="zh-CN"/>
        </w:rPr>
        <w:t>可根据附件1、2、3表格里的内容提供资料。</w:t>
      </w:r>
    </w:p>
    <w:p>
      <w:pPr>
        <w:spacing w:line="360" w:lineRule="auto"/>
        <w:ind w:left="0" w:firstLine="480" w:firstLineChars="200"/>
        <w:rPr>
          <w:rFonts w:ascii="宋体" w:hAnsi="宋体"/>
          <w:sz w:val="24"/>
          <w:highlight w:val="none"/>
        </w:rPr>
      </w:pPr>
      <w:r>
        <w:rPr>
          <w:rFonts w:hint="eastAsia" w:ascii="宋体" w:hAnsi="宋体"/>
          <w:sz w:val="24"/>
          <w:highlight w:val="none"/>
        </w:rPr>
        <w:t>唱标信封应按第五章</w:t>
      </w:r>
      <w:r>
        <w:rPr>
          <w:rFonts w:hint="eastAsia" w:ascii="宋体" w:hAnsi="宋体"/>
          <w:sz w:val="24"/>
          <w:highlight w:val="none"/>
          <w:lang w:val="en-US" w:eastAsia="zh-CN"/>
        </w:rPr>
        <w:t>第“五”点</w:t>
      </w:r>
      <w:r>
        <w:rPr>
          <w:rFonts w:hint="eastAsia" w:ascii="宋体" w:hAnsi="宋体"/>
          <w:sz w:val="24"/>
          <w:highlight w:val="none"/>
        </w:rPr>
        <w:t>的要求制作。</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投标</w:t>
      </w:r>
    </w:p>
    <w:p>
      <w:pPr>
        <w:spacing w:line="360" w:lineRule="auto"/>
        <w:ind w:firstLine="480" w:firstLineChars="200"/>
        <w:rPr>
          <w:rFonts w:ascii="宋体" w:hAnsi="宋体"/>
          <w:b/>
          <w:sz w:val="24"/>
          <w:u w:val="single"/>
        </w:rPr>
      </w:pPr>
      <w:r>
        <w:rPr>
          <w:rFonts w:hint="eastAsia" w:ascii="宋体" w:hAnsi="宋体"/>
          <w:sz w:val="24"/>
        </w:rPr>
        <w:t>全部投标文件应一式</w:t>
      </w:r>
      <w:r>
        <w:rPr>
          <w:rFonts w:hint="eastAsia" w:ascii="宋体" w:hAnsi="宋体"/>
          <w:sz w:val="24"/>
          <w:u w:val="single"/>
        </w:rPr>
        <w:t xml:space="preserve">  </w:t>
      </w:r>
      <w:r>
        <w:rPr>
          <w:rFonts w:hint="eastAsia" w:ascii="宋体" w:hAnsi="宋体"/>
          <w:sz w:val="24"/>
          <w:u w:val="single"/>
          <w:lang w:val="en-US" w:eastAsia="zh-CN"/>
        </w:rPr>
        <w:t>5</w:t>
      </w:r>
      <w:r>
        <w:rPr>
          <w:rFonts w:hint="eastAsia" w:ascii="宋体" w:hAnsi="宋体"/>
          <w:sz w:val="24"/>
          <w:u w:val="single"/>
        </w:rPr>
        <w:t xml:space="preserve"> </w:t>
      </w:r>
      <w:r>
        <w:rPr>
          <w:rFonts w:hint="eastAsia" w:ascii="宋体" w:hAnsi="宋体"/>
          <w:sz w:val="24"/>
        </w:rPr>
        <w:t>份，正本 1份（内装投标文件正本 1份，投标文件电子文件</w:t>
      </w:r>
      <w:r>
        <w:rPr>
          <w:rFonts w:hint="eastAsia" w:ascii="宋体" w:hAnsi="宋体"/>
          <w:sz w:val="24"/>
          <w:lang w:eastAsia="zh-CN"/>
        </w:rPr>
        <w:t>（</w:t>
      </w:r>
      <w:r>
        <w:rPr>
          <w:rFonts w:hint="eastAsia" w:ascii="宋体" w:hAnsi="宋体"/>
          <w:sz w:val="24"/>
          <w:lang w:val="en-US" w:eastAsia="zh-CN"/>
        </w:rPr>
        <w:t>正本盖章版</w:t>
      </w:r>
      <w:r>
        <w:rPr>
          <w:rFonts w:hint="eastAsia" w:ascii="宋体" w:hAnsi="宋体"/>
          <w:sz w:val="24"/>
          <w:lang w:eastAsia="zh-CN"/>
        </w:rPr>
        <w:t>）</w:t>
      </w:r>
      <w:r>
        <w:rPr>
          <w:rFonts w:hint="eastAsia" w:ascii="宋体" w:hAnsi="宋体"/>
          <w:sz w:val="24"/>
        </w:rPr>
        <w:t xml:space="preserve"> 1份，光盘或U盘，不留密码，无病毒，内容应与投标人打印产生的纸质投标文件内容一致，如有不同，以纸质投标文件为准。），副本</w:t>
      </w:r>
      <w:r>
        <w:rPr>
          <w:rFonts w:hint="eastAsia" w:ascii="宋体" w:hAnsi="宋体"/>
          <w:sz w:val="24"/>
          <w:u w:val="single"/>
        </w:rPr>
        <w:t xml:space="preserve"> </w:t>
      </w:r>
      <w:r>
        <w:rPr>
          <w:rFonts w:hint="eastAsia" w:ascii="宋体" w:hAnsi="宋体"/>
          <w:sz w:val="24"/>
          <w:u w:val="single"/>
          <w:lang w:val="en-US" w:eastAsia="zh-CN"/>
        </w:rPr>
        <w:t>4</w:t>
      </w:r>
      <w:r>
        <w:rPr>
          <w:rFonts w:hint="eastAsia" w:ascii="宋体" w:hAnsi="宋体"/>
          <w:sz w:val="24"/>
          <w:u w:val="single"/>
        </w:rPr>
        <w:t xml:space="preserve"> </w:t>
      </w:r>
      <w:r>
        <w:rPr>
          <w:rFonts w:hint="eastAsia" w:ascii="宋体" w:hAnsi="宋体"/>
          <w:sz w:val="24"/>
        </w:rPr>
        <w:t>份，在文件封面显著注明“正本”和“副本”字样，并加盖公章。 副本内容可采用正本的复印件，如果正本与副本不符，应以正本为准。投标文件应由投标人的合法授权代表正式签署，任何更改（如有）应由原签署人签字。</w:t>
      </w:r>
      <w:r>
        <w:rPr>
          <w:rFonts w:hint="eastAsia" w:ascii="宋体" w:hAnsi="宋体"/>
          <w:b/>
          <w:sz w:val="24"/>
          <w:u w:val="single"/>
        </w:rPr>
        <w:t>投标人提交投标文件时应备有一个“唱标信封”，</w:t>
      </w:r>
      <w:r>
        <w:rPr>
          <w:rFonts w:hint="eastAsia"/>
          <w:szCs w:val="30"/>
        </w:rPr>
        <w:t xml:space="preserve"> </w:t>
      </w:r>
      <w:r>
        <w:rPr>
          <w:rFonts w:hint="eastAsia" w:ascii="宋体" w:hAnsi="宋体"/>
          <w:b/>
          <w:sz w:val="24"/>
          <w:u w:val="single"/>
        </w:rPr>
        <w:t>唱标信封内容按第五章“唱标信封内容格式”要求制作。</w:t>
      </w:r>
    </w:p>
    <w:p>
      <w:pPr>
        <w:spacing w:line="360" w:lineRule="auto"/>
        <w:ind w:firstLine="480" w:firstLineChars="200"/>
        <w:rPr>
          <w:rFonts w:ascii="宋体" w:hAnsi="宋体"/>
          <w:sz w:val="24"/>
        </w:rPr>
      </w:pPr>
      <w:r>
        <w:rPr>
          <w:rFonts w:hint="eastAsia" w:ascii="宋体" w:hAnsi="宋体"/>
          <w:sz w:val="24"/>
        </w:rPr>
        <w:t>所有投标文件应在投标截止时间前送达投标文件递交地点（时间及地点以第一章投标邀请为准），并当面交予采购人专责人员，拒绝以下情况之一的投标文件：</w:t>
      </w:r>
    </w:p>
    <w:p>
      <w:pPr>
        <w:numPr>
          <w:ilvl w:val="2"/>
          <w:numId w:val="5"/>
        </w:numPr>
        <w:tabs>
          <w:tab w:val="left" w:pos="-5220"/>
        </w:tabs>
        <w:spacing w:line="360" w:lineRule="auto"/>
        <w:ind w:left="0" w:firstLine="480" w:firstLineChars="200"/>
        <w:rPr>
          <w:rFonts w:ascii="宋体" w:hAnsi="宋体"/>
          <w:sz w:val="24"/>
        </w:rPr>
      </w:pPr>
      <w:r>
        <w:rPr>
          <w:rFonts w:hint="eastAsia" w:ascii="宋体" w:hAnsi="宋体"/>
          <w:sz w:val="24"/>
        </w:rPr>
        <w:t>迟于投标截止时间递交的；</w:t>
      </w:r>
    </w:p>
    <w:p>
      <w:pPr>
        <w:numPr>
          <w:ilvl w:val="2"/>
          <w:numId w:val="5"/>
        </w:numPr>
        <w:tabs>
          <w:tab w:val="left" w:pos="-5220"/>
        </w:tabs>
        <w:spacing w:line="360" w:lineRule="auto"/>
        <w:ind w:left="0" w:firstLine="480" w:firstLineChars="200"/>
        <w:rPr>
          <w:rFonts w:ascii="宋体" w:hAnsi="宋体"/>
          <w:sz w:val="24"/>
        </w:rPr>
      </w:pPr>
      <w:r>
        <w:rPr>
          <w:rFonts w:hint="eastAsia" w:ascii="宋体" w:hAnsi="宋体"/>
          <w:sz w:val="24"/>
        </w:rPr>
        <w:t>以电报、电话、电传、传真或邮递形式递交的；</w:t>
      </w:r>
    </w:p>
    <w:p>
      <w:pPr>
        <w:numPr>
          <w:ilvl w:val="2"/>
          <w:numId w:val="5"/>
        </w:numPr>
        <w:tabs>
          <w:tab w:val="left" w:pos="-5220"/>
        </w:tabs>
        <w:spacing w:line="360" w:lineRule="auto"/>
        <w:ind w:left="0" w:firstLine="480" w:firstLineChars="200"/>
        <w:rPr>
          <w:rFonts w:ascii="宋体" w:hAnsi="宋体"/>
          <w:sz w:val="24"/>
        </w:rPr>
      </w:pPr>
      <w:r>
        <w:rPr>
          <w:rFonts w:hint="eastAsia" w:ascii="宋体" w:hAnsi="宋体"/>
          <w:sz w:val="24"/>
        </w:rPr>
        <w:t>密封不严、册装不整的；</w:t>
      </w:r>
    </w:p>
    <w:p>
      <w:pPr>
        <w:spacing w:line="360" w:lineRule="auto"/>
        <w:ind w:firstLine="480" w:firstLineChars="200"/>
        <w:rPr>
          <w:rFonts w:ascii="宋体" w:hAnsi="宋体"/>
          <w:sz w:val="24"/>
        </w:rPr>
      </w:pPr>
      <w:r>
        <w:rPr>
          <w:rFonts w:hint="eastAsia" w:ascii="宋体" w:hAnsi="宋体"/>
          <w:sz w:val="24"/>
        </w:rPr>
        <w:t>所有投标文件必须封入密封的信封或包装，在封口上加盖投标人的公章。投标文件的正本和副本应分别封装，并在每一信封或包装的封面上写明：</w:t>
      </w:r>
    </w:p>
    <w:tbl>
      <w:tblPr>
        <w:tblStyle w:val="21"/>
        <w:tblW w:w="7905" w:type="dxa"/>
        <w:tblInd w:w="8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5"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宋体" w:hAnsi="宋体"/>
                <w:sz w:val="24"/>
              </w:rPr>
            </w:pPr>
            <w:r>
              <w:rPr>
                <w:rFonts w:hint="eastAsia" w:ascii="宋体" w:hAnsi="宋体"/>
                <w:sz w:val="24"/>
              </w:rPr>
              <w:t>收件人名称：</w:t>
            </w:r>
          </w:p>
          <w:p>
            <w:pPr>
              <w:spacing w:line="360" w:lineRule="auto"/>
              <w:ind w:firstLine="480" w:firstLineChars="200"/>
              <w:rPr>
                <w:rFonts w:ascii="宋体" w:hAnsi="宋体"/>
                <w:sz w:val="24"/>
              </w:rPr>
            </w:pPr>
            <w:r>
              <w:rPr>
                <w:rFonts w:hint="eastAsia" w:ascii="宋体" w:hAnsi="宋体"/>
                <w:sz w:val="24"/>
              </w:rPr>
              <w:t>项目编号：</w:t>
            </w:r>
          </w:p>
          <w:p>
            <w:pPr>
              <w:spacing w:line="360" w:lineRule="auto"/>
              <w:ind w:firstLine="480" w:firstLineChars="200"/>
              <w:rPr>
                <w:rFonts w:ascii="宋体" w:hAnsi="宋体" w:cs="宋体"/>
                <w:sz w:val="24"/>
              </w:rPr>
            </w:pPr>
            <w:r>
              <w:rPr>
                <w:rFonts w:hint="eastAsia" w:ascii="宋体" w:hAnsi="宋体"/>
                <w:sz w:val="24"/>
              </w:rPr>
              <w:t>项目名称：</w:t>
            </w:r>
            <w:r>
              <w:rPr>
                <w:rFonts w:hint="eastAsia" w:ascii="宋体" w:hAnsi="宋体" w:cs="宋体"/>
                <w:sz w:val="24"/>
              </w:rPr>
              <w:t xml:space="preserve">                                </w:t>
            </w:r>
          </w:p>
          <w:p>
            <w:pPr>
              <w:spacing w:line="360" w:lineRule="auto"/>
              <w:ind w:firstLine="480" w:firstLineChars="200"/>
              <w:rPr>
                <w:rFonts w:ascii="宋体" w:hAnsi="宋体"/>
                <w:sz w:val="24"/>
              </w:rPr>
            </w:pPr>
            <w:r>
              <w:rPr>
                <w:rFonts w:hint="eastAsia" w:ascii="宋体" w:hAnsi="宋体"/>
                <w:sz w:val="24"/>
              </w:rPr>
              <w:t>包装内容：投标文件正本</w:t>
            </w:r>
            <w:r>
              <w:rPr>
                <w:rFonts w:ascii="宋体" w:hAnsi="宋体"/>
                <w:sz w:val="24"/>
              </w:rPr>
              <w:t>/</w:t>
            </w:r>
            <w:r>
              <w:rPr>
                <w:rFonts w:hint="eastAsia" w:ascii="宋体" w:hAnsi="宋体"/>
                <w:sz w:val="24"/>
              </w:rPr>
              <w:t>副本</w:t>
            </w:r>
            <w:r>
              <w:rPr>
                <w:rFonts w:ascii="宋体" w:hAnsi="宋体"/>
                <w:sz w:val="24"/>
              </w:rPr>
              <w:t>/</w:t>
            </w:r>
            <w:r>
              <w:rPr>
                <w:rFonts w:hint="eastAsia" w:ascii="宋体" w:hAnsi="宋体"/>
                <w:sz w:val="24"/>
              </w:rPr>
              <w:t>唱标信封</w:t>
            </w:r>
          </w:p>
          <w:p>
            <w:pPr>
              <w:spacing w:line="360" w:lineRule="auto"/>
              <w:ind w:firstLine="480" w:firstLineChars="200"/>
              <w:rPr>
                <w:rFonts w:ascii="宋体" w:hAnsi="宋体"/>
                <w:sz w:val="24"/>
              </w:rPr>
            </w:pPr>
            <w:r>
              <w:rPr>
                <w:rFonts w:hint="eastAsia" w:ascii="宋体" w:hAnsi="宋体"/>
                <w:sz w:val="24"/>
              </w:rPr>
              <w:t>投标人名称：</w:t>
            </w:r>
          </w:p>
          <w:p>
            <w:pPr>
              <w:spacing w:line="360" w:lineRule="auto"/>
              <w:ind w:firstLine="480" w:firstLineChars="200"/>
              <w:rPr>
                <w:rFonts w:ascii="宋体" w:hAnsi="宋体"/>
                <w:sz w:val="24"/>
              </w:rPr>
            </w:pPr>
            <w:r>
              <w:rPr>
                <w:rFonts w:hint="eastAsia" w:ascii="宋体" w:hAnsi="宋体"/>
                <w:sz w:val="24"/>
              </w:rPr>
              <w:t>投标人地址：</w:t>
            </w:r>
          </w:p>
          <w:p>
            <w:pPr>
              <w:spacing w:line="360" w:lineRule="auto"/>
              <w:ind w:firstLine="480" w:firstLineChars="200"/>
              <w:rPr>
                <w:rFonts w:ascii="宋体" w:hAnsi="宋体"/>
                <w:sz w:val="24"/>
              </w:rPr>
            </w:pPr>
            <w:r>
              <w:rPr>
                <w:rFonts w:hint="eastAsia" w:ascii="宋体" w:hAnsi="宋体"/>
                <w:sz w:val="24"/>
              </w:rPr>
              <w:t>联</w:t>
            </w:r>
            <w:r>
              <w:rPr>
                <w:rFonts w:ascii="宋体" w:hAnsi="宋体"/>
                <w:sz w:val="24"/>
              </w:rPr>
              <w:t xml:space="preserve"> 系 人：</w:t>
            </w:r>
          </w:p>
          <w:p>
            <w:pPr>
              <w:spacing w:line="360" w:lineRule="auto"/>
              <w:ind w:firstLine="480" w:firstLineChars="200"/>
              <w:rPr>
                <w:rFonts w:ascii="宋体" w:hAnsi="宋体"/>
                <w:sz w:val="24"/>
              </w:rPr>
            </w:pPr>
            <w:r>
              <w:rPr>
                <w:rFonts w:hint="eastAsia" w:ascii="宋体" w:hAnsi="宋体"/>
                <w:sz w:val="24"/>
              </w:rPr>
              <w:t>联系电话：</w:t>
            </w:r>
          </w:p>
          <w:p>
            <w:pPr>
              <w:spacing w:line="360" w:lineRule="auto"/>
              <w:ind w:firstLine="480" w:firstLineChars="200"/>
              <w:rPr>
                <w:rFonts w:ascii="宋体" w:hAnsi="宋体"/>
                <w:sz w:val="24"/>
              </w:rPr>
            </w:pPr>
            <w:r>
              <w:rPr>
                <w:rFonts w:hint="eastAsia" w:ascii="宋体" w:hAnsi="宋体"/>
                <w:sz w:val="24"/>
              </w:rPr>
              <w:t xml:space="preserve">在规定的开标时间    </w:t>
            </w:r>
            <w:r>
              <w:rPr>
                <w:rFonts w:ascii="宋体" w:hAnsi="宋体"/>
                <w:sz w:val="24"/>
              </w:rPr>
              <w:t>年</w:t>
            </w:r>
            <w:r>
              <w:rPr>
                <w:rFonts w:hint="eastAsia" w:ascii="宋体" w:hAnsi="宋体"/>
                <w:sz w:val="24"/>
              </w:rPr>
              <w:t xml:space="preserve">   </w:t>
            </w:r>
            <w:r>
              <w:rPr>
                <w:rFonts w:ascii="宋体" w:hAnsi="宋体"/>
                <w:sz w:val="24"/>
              </w:rPr>
              <w:t>月</w:t>
            </w:r>
            <w:r>
              <w:rPr>
                <w:rFonts w:hint="eastAsia" w:ascii="宋体" w:hAnsi="宋体"/>
                <w:sz w:val="24"/>
              </w:rPr>
              <w:t xml:space="preserve">   </w:t>
            </w:r>
            <w:r>
              <w:rPr>
                <w:rFonts w:ascii="宋体" w:hAnsi="宋体"/>
                <w:sz w:val="24"/>
              </w:rPr>
              <w:t>日</w:t>
            </w:r>
            <w:r>
              <w:rPr>
                <w:rFonts w:hint="eastAsia" w:ascii="宋体" w:hAnsi="宋体"/>
                <w:sz w:val="24"/>
              </w:rPr>
              <w:t xml:space="preserve">   时  分前不得启封</w:t>
            </w:r>
          </w:p>
        </w:tc>
      </w:tr>
    </w:tbl>
    <w:p>
      <w:pPr>
        <w:numPr>
          <w:ilvl w:val="2"/>
          <w:numId w:val="5"/>
        </w:numPr>
        <w:tabs>
          <w:tab w:val="left" w:pos="360"/>
          <w:tab w:val="left" w:pos="780"/>
          <w:tab w:val="left" w:pos="840"/>
        </w:tabs>
        <w:spacing w:line="360" w:lineRule="auto"/>
        <w:ind w:left="840" w:hanging="480"/>
        <w:rPr>
          <w:rFonts w:ascii="宋体" w:hAnsi="宋体"/>
          <w:sz w:val="24"/>
        </w:rPr>
      </w:pPr>
      <w:r>
        <w:rPr>
          <w:rFonts w:hint="eastAsia" w:ascii="宋体" w:hAnsi="宋体"/>
          <w:sz w:val="24"/>
        </w:rPr>
        <w:t>采购人对不可抗力事件造成的投标文件的损坏、丢失不承担任何责任。</w:t>
      </w:r>
    </w:p>
    <w:p>
      <w:pPr>
        <w:numPr>
          <w:ilvl w:val="2"/>
          <w:numId w:val="5"/>
        </w:numPr>
        <w:tabs>
          <w:tab w:val="left" w:pos="360"/>
          <w:tab w:val="left" w:pos="780"/>
          <w:tab w:val="left" w:pos="840"/>
        </w:tabs>
        <w:spacing w:line="360" w:lineRule="auto"/>
        <w:ind w:left="840" w:hanging="480"/>
        <w:rPr>
          <w:rFonts w:ascii="宋体" w:hAnsi="宋体"/>
          <w:sz w:val="24"/>
        </w:rPr>
      </w:pPr>
      <w:r>
        <w:rPr>
          <w:rFonts w:hint="eastAsia" w:ascii="宋体" w:hAnsi="宋体"/>
          <w:sz w:val="24"/>
        </w:rPr>
        <w:t>采购人不退还投标人的投标文件及递交的其它资料。</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投标有效期</w:t>
      </w:r>
    </w:p>
    <w:p>
      <w:pPr>
        <w:spacing w:line="360" w:lineRule="auto"/>
        <w:ind w:firstLine="480" w:firstLineChars="200"/>
      </w:pPr>
      <w:r>
        <w:rPr>
          <w:rFonts w:hint="eastAsia" w:ascii="宋体" w:hAnsi="宋体"/>
          <w:sz w:val="24"/>
        </w:rPr>
        <w:t>从投标截止日起，投标有效期为90天，中标人的投标有效期自动延长至合同终止为止。在特殊情况下，采购人可于投标有效期满之前要求投标人同意延长有效期，要求与答复均应以书面形式进行。投标人可以拒绝上述延长投标有效期的要求，但其投标将会被拒绝；同意延期的投标人根据原截止期，其权利及责任相应也延至新的截止期。</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投标的修改和撤回</w:t>
      </w:r>
    </w:p>
    <w:p>
      <w:pPr>
        <w:spacing w:line="360" w:lineRule="auto"/>
        <w:ind w:firstLine="480" w:firstLineChars="200"/>
        <w:rPr>
          <w:rFonts w:ascii="宋体" w:hAnsi="宋体"/>
          <w:sz w:val="24"/>
        </w:rPr>
      </w:pPr>
      <w:r>
        <w:rPr>
          <w:rFonts w:hint="eastAsia" w:ascii="宋体" w:hAnsi="宋体"/>
          <w:sz w:val="24"/>
        </w:rPr>
        <w:t>投标人在投标截止时间前，可采用书面通知的形式向采购人修改或撤回其投标文件。</w:t>
      </w:r>
    </w:p>
    <w:p>
      <w:pPr>
        <w:spacing w:line="360" w:lineRule="auto"/>
        <w:ind w:firstLine="480" w:firstLineChars="200"/>
        <w:rPr>
          <w:rFonts w:ascii="宋体" w:hAnsi="宋体"/>
          <w:sz w:val="24"/>
        </w:rPr>
      </w:pPr>
      <w:r>
        <w:rPr>
          <w:rFonts w:hint="eastAsia" w:ascii="宋体" w:hAnsi="宋体"/>
          <w:sz w:val="24"/>
        </w:rPr>
        <w:t>在投标截止时间后，投标人不得对其投标文件作任何修改。在投标有效期内，投标人不得撤回其投标。</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开标</w:t>
      </w:r>
    </w:p>
    <w:p>
      <w:pPr>
        <w:spacing w:line="360" w:lineRule="auto"/>
        <w:ind w:firstLine="480" w:firstLineChars="200"/>
        <w:rPr>
          <w:rFonts w:ascii="宋体" w:hAnsi="宋体"/>
          <w:sz w:val="24"/>
        </w:rPr>
      </w:pPr>
      <w:r>
        <w:rPr>
          <w:rFonts w:hint="eastAsia" w:ascii="宋体" w:hAnsi="宋体"/>
          <w:sz w:val="24"/>
        </w:rPr>
        <w:t>开标程序在采购文件确定的提交投标文件截止时间的同一时间公开进行，开标地点为采购文件预先确定的地点。</w:t>
      </w:r>
    </w:p>
    <w:p>
      <w:pPr>
        <w:spacing w:line="360" w:lineRule="auto"/>
        <w:ind w:firstLine="480" w:firstLineChars="200"/>
        <w:rPr>
          <w:rFonts w:ascii="宋体" w:hAnsi="宋体"/>
          <w:sz w:val="24"/>
        </w:rPr>
      </w:pPr>
      <w:r>
        <w:rPr>
          <w:rFonts w:hint="eastAsia" w:ascii="宋体" w:hAnsi="宋体"/>
          <w:sz w:val="24"/>
        </w:rPr>
        <w:t>开标由采购人主持，采购人、投标人和有关方面代表参加。</w:t>
      </w:r>
    </w:p>
    <w:p>
      <w:pPr>
        <w:spacing w:line="360" w:lineRule="auto"/>
        <w:ind w:firstLine="480" w:firstLineChars="200"/>
        <w:rPr>
          <w:rFonts w:ascii="宋体" w:hAnsi="宋体"/>
          <w:sz w:val="24"/>
        </w:rPr>
      </w:pPr>
      <w:r>
        <w:rPr>
          <w:rFonts w:hint="eastAsia" w:ascii="宋体" w:hAnsi="宋体"/>
          <w:sz w:val="24"/>
        </w:rPr>
        <w:t>开标时，由投标人或者其推选的代表检查投标文件的密封情况，或由采购人委托的公证机构检查并公证；经确认无误后，由采购单位工作人员当众拆封，宣读投标人名称、投标报价、服务期和投标文件的其他主要内容。未宣读的投标价格和采购文件允许提供的备选中标人案等实质内容，评标时不予承认。</w:t>
      </w:r>
    </w:p>
    <w:p>
      <w:pPr>
        <w:spacing w:line="360" w:lineRule="auto"/>
        <w:ind w:firstLine="480" w:firstLineChars="200"/>
        <w:rPr>
          <w:rFonts w:ascii="宋体" w:hAnsi="宋体"/>
          <w:sz w:val="24"/>
        </w:rPr>
      </w:pPr>
      <w:r>
        <w:rPr>
          <w:rFonts w:hint="eastAsia" w:ascii="宋体" w:hAnsi="宋体"/>
          <w:sz w:val="24"/>
        </w:rPr>
        <w:t>投标文件报价出现前后不一致的，除采购文件另有规定外，按照下列规定修正：</w:t>
      </w:r>
    </w:p>
    <w:p>
      <w:pPr>
        <w:spacing w:line="360" w:lineRule="auto"/>
        <w:ind w:firstLine="480" w:firstLineChars="200"/>
        <w:rPr>
          <w:rFonts w:ascii="宋体" w:hAnsi="宋体"/>
          <w:sz w:val="24"/>
        </w:rPr>
      </w:pPr>
      <w:r>
        <w:rPr>
          <w:rFonts w:hint="eastAsia" w:ascii="宋体" w:hAnsi="宋体"/>
          <w:sz w:val="24"/>
        </w:rPr>
        <w:t>（一）投标文件中开标一览表（报价表）内容与投标文件中相应内容不一致的，以开标一览表（报价表）为准；</w:t>
      </w:r>
    </w:p>
    <w:p>
      <w:pPr>
        <w:spacing w:line="360" w:lineRule="auto"/>
        <w:ind w:firstLine="480" w:firstLineChars="200"/>
        <w:rPr>
          <w:rFonts w:ascii="宋体" w:hAnsi="宋体"/>
          <w:sz w:val="24"/>
        </w:rPr>
      </w:pPr>
      <w:r>
        <w:rPr>
          <w:rFonts w:hint="eastAsia" w:ascii="宋体" w:hAnsi="宋体"/>
          <w:sz w:val="24"/>
        </w:rPr>
        <w:t>（二）大写金额和小写金额不一致的，以大写金额为准；</w:t>
      </w:r>
    </w:p>
    <w:p>
      <w:pPr>
        <w:spacing w:line="360" w:lineRule="auto"/>
        <w:ind w:firstLine="480" w:firstLineChars="200"/>
        <w:rPr>
          <w:rFonts w:ascii="宋体" w:hAnsi="宋体"/>
          <w:sz w:val="24"/>
        </w:rPr>
      </w:pPr>
      <w:r>
        <w:rPr>
          <w:rFonts w:hint="eastAsia" w:ascii="宋体" w:hAnsi="宋体"/>
          <w:sz w:val="24"/>
        </w:rPr>
        <w:t>（三）单价金额小数点或者百分比有明显错位的，以开标一览表（报价表）的总价为准，并修改单价；</w:t>
      </w:r>
    </w:p>
    <w:p>
      <w:pPr>
        <w:spacing w:line="360" w:lineRule="auto"/>
        <w:ind w:firstLine="480" w:firstLineChars="200"/>
        <w:rPr>
          <w:rFonts w:ascii="宋体" w:hAnsi="宋体"/>
          <w:sz w:val="24"/>
        </w:rPr>
      </w:pPr>
      <w:r>
        <w:rPr>
          <w:rFonts w:hint="eastAsia" w:ascii="宋体" w:hAnsi="宋体"/>
          <w:sz w:val="24"/>
        </w:rPr>
        <w:t>（四）总价金额与按单价汇总金额不一致的，以单价金额计算结果为准。</w:t>
      </w:r>
    </w:p>
    <w:p>
      <w:pPr>
        <w:spacing w:line="360" w:lineRule="auto"/>
        <w:ind w:firstLine="480" w:firstLineChars="200"/>
        <w:rPr>
          <w:rFonts w:ascii="宋体" w:hAnsi="宋体"/>
          <w:sz w:val="24"/>
        </w:rPr>
      </w:pPr>
      <w:r>
        <w:rPr>
          <w:rFonts w:hint="eastAsia" w:ascii="宋体" w:hAnsi="宋体"/>
          <w:sz w:val="24"/>
        </w:rPr>
        <w:t>同时出现两种以上不一致的，按照前款规定的顺序修正。修正后的报价经投标人确认后产生约束力，投标人不确认的，其投标无效。</w:t>
      </w:r>
    </w:p>
    <w:p>
      <w:pPr>
        <w:spacing w:line="360" w:lineRule="auto"/>
        <w:ind w:firstLine="480" w:firstLineChars="200"/>
        <w:rPr>
          <w:rFonts w:ascii="宋体" w:hAnsi="宋体"/>
          <w:sz w:val="24"/>
        </w:rPr>
      </w:pPr>
      <w:r>
        <w:rPr>
          <w:rFonts w:hint="eastAsia" w:ascii="宋体" w:hAnsi="宋体"/>
          <w:sz w:val="24"/>
        </w:rPr>
        <w:t>开标过程由专人负责记录，并存档备验。</w:t>
      </w:r>
    </w:p>
    <w:p>
      <w:pPr>
        <w:spacing w:line="360" w:lineRule="auto"/>
        <w:ind w:firstLine="480" w:firstLineChars="200"/>
        <w:rPr>
          <w:rFonts w:ascii="宋体" w:hAnsi="宋体"/>
          <w:sz w:val="24"/>
        </w:rPr>
      </w:pPr>
      <w:r>
        <w:rPr>
          <w:rFonts w:hint="eastAsia" w:ascii="宋体" w:hAnsi="宋体"/>
          <w:sz w:val="24"/>
        </w:rPr>
        <w:t>如开标记录表上内容与投标文件不一致时，投标人代表须当场提出。开标记录表由记录人、唱标人、投标人代表和有关人员签名确认。</w:t>
      </w:r>
    </w:p>
    <w:p>
      <w:pPr>
        <w:spacing w:line="360" w:lineRule="auto"/>
        <w:ind w:firstLine="480" w:firstLineChars="200"/>
        <w:rPr>
          <w:rFonts w:ascii="宋体" w:hAnsi="宋体"/>
          <w:sz w:val="24"/>
        </w:rPr>
      </w:pPr>
      <w:r>
        <w:rPr>
          <w:rFonts w:hint="eastAsia" w:ascii="宋体" w:hAnsi="宋体"/>
          <w:sz w:val="24"/>
        </w:rPr>
        <w:t>投标截止时间结束后参加投标的投标人不足三家的，依法重新组织招标。</w:t>
      </w:r>
    </w:p>
    <w:p>
      <w:pPr>
        <w:pStyle w:val="4"/>
        <w:keepLines w:val="0"/>
        <w:numPr>
          <w:ilvl w:val="1"/>
          <w:numId w:val="5"/>
        </w:numPr>
        <w:tabs>
          <w:tab w:val="left" w:pos="630"/>
          <w:tab w:val="left" w:pos="1981"/>
        </w:tabs>
        <w:adjustRightInd/>
        <w:spacing w:before="0" w:after="0" w:line="360" w:lineRule="auto"/>
        <w:ind w:left="630" w:hanging="630"/>
        <w:textAlignment w:val="auto"/>
      </w:pPr>
      <w:r>
        <w:rPr>
          <w:sz w:val="24"/>
        </w:rPr>
        <w:t>评标</w:t>
      </w:r>
    </w:p>
    <w:p>
      <w:pPr>
        <w:spacing w:line="360" w:lineRule="auto"/>
        <w:ind w:firstLine="480" w:firstLineChars="200"/>
        <w:rPr>
          <w:rFonts w:ascii="宋体" w:hAnsi="宋体"/>
          <w:sz w:val="24"/>
        </w:rPr>
      </w:pPr>
      <w:r>
        <w:rPr>
          <w:rFonts w:hint="eastAsia" w:ascii="宋体" w:hAnsi="宋体"/>
          <w:sz w:val="24"/>
        </w:rPr>
        <w:t>评标工作由采购人负责组织，具体评标事务由依法组建的评标委员会负责，并独立履行下列职责：</w:t>
      </w:r>
    </w:p>
    <w:p>
      <w:pPr>
        <w:numPr>
          <w:ilvl w:val="0"/>
          <w:numId w:val="7"/>
        </w:numPr>
        <w:tabs>
          <w:tab w:val="left" w:pos="1134"/>
          <w:tab w:val="clear" w:pos="1440"/>
        </w:tabs>
        <w:spacing w:line="360" w:lineRule="auto"/>
        <w:rPr>
          <w:rFonts w:ascii="宋体" w:hAnsi="宋体"/>
          <w:sz w:val="24"/>
        </w:rPr>
      </w:pPr>
      <w:r>
        <w:rPr>
          <w:rFonts w:hint="eastAsia" w:ascii="宋体" w:hAnsi="宋体"/>
          <w:sz w:val="24"/>
        </w:rPr>
        <w:t>审查投标文件是否符合采购文件要求，并作出评价；</w:t>
      </w:r>
    </w:p>
    <w:p>
      <w:pPr>
        <w:numPr>
          <w:ilvl w:val="0"/>
          <w:numId w:val="7"/>
        </w:numPr>
        <w:tabs>
          <w:tab w:val="left" w:pos="1134"/>
          <w:tab w:val="left" w:pos="1571"/>
          <w:tab w:val="clear" w:pos="1440"/>
        </w:tabs>
        <w:spacing w:line="360" w:lineRule="auto"/>
        <w:rPr>
          <w:rFonts w:ascii="宋体" w:hAnsi="宋体"/>
          <w:sz w:val="24"/>
        </w:rPr>
      </w:pPr>
      <w:r>
        <w:rPr>
          <w:rFonts w:hint="eastAsia" w:ascii="宋体" w:hAnsi="宋体"/>
          <w:sz w:val="24"/>
        </w:rPr>
        <w:t>要求投标人对投标文件有关事项作出解释或者澄清；</w:t>
      </w:r>
    </w:p>
    <w:p>
      <w:pPr>
        <w:numPr>
          <w:ilvl w:val="0"/>
          <w:numId w:val="7"/>
        </w:numPr>
        <w:tabs>
          <w:tab w:val="left" w:pos="1134"/>
          <w:tab w:val="left" w:pos="1571"/>
          <w:tab w:val="clear" w:pos="1440"/>
        </w:tabs>
        <w:spacing w:line="360" w:lineRule="auto"/>
        <w:rPr>
          <w:rFonts w:ascii="宋体" w:hAnsi="宋体"/>
          <w:sz w:val="24"/>
        </w:rPr>
      </w:pPr>
      <w:r>
        <w:rPr>
          <w:rFonts w:hint="eastAsia" w:ascii="宋体" w:hAnsi="宋体"/>
          <w:sz w:val="24"/>
        </w:rPr>
        <w:t>推荐中标候选人名单；</w:t>
      </w:r>
    </w:p>
    <w:p>
      <w:pPr>
        <w:numPr>
          <w:ilvl w:val="0"/>
          <w:numId w:val="7"/>
        </w:numPr>
        <w:tabs>
          <w:tab w:val="left" w:pos="1134"/>
          <w:tab w:val="left" w:pos="1571"/>
          <w:tab w:val="clear" w:pos="1440"/>
        </w:tabs>
        <w:spacing w:line="360" w:lineRule="auto"/>
        <w:rPr>
          <w:rFonts w:ascii="宋体" w:hAnsi="宋体"/>
          <w:sz w:val="24"/>
        </w:rPr>
      </w:pPr>
      <w:r>
        <w:rPr>
          <w:rFonts w:hint="eastAsia" w:ascii="宋体" w:hAnsi="宋体"/>
          <w:sz w:val="24"/>
        </w:rPr>
        <w:t>向采购人或者有关部门报告非法干预评标工作的行为。</w:t>
      </w:r>
    </w:p>
    <w:p>
      <w:pPr>
        <w:numPr>
          <w:ilvl w:val="2"/>
          <w:numId w:val="5"/>
        </w:numPr>
        <w:tabs>
          <w:tab w:val="left" w:pos="360"/>
          <w:tab w:val="left" w:pos="780"/>
          <w:tab w:val="left" w:pos="840"/>
        </w:tabs>
        <w:spacing w:line="360" w:lineRule="auto"/>
        <w:ind w:left="840" w:hanging="480"/>
        <w:rPr>
          <w:rFonts w:ascii="宋体" w:hAnsi="宋体"/>
          <w:sz w:val="24"/>
        </w:rPr>
      </w:pPr>
      <w:r>
        <w:rPr>
          <w:rFonts w:hint="eastAsia" w:ascii="宋体" w:hAnsi="宋体"/>
          <w:sz w:val="24"/>
        </w:rPr>
        <w:t>评标方法</w:t>
      </w:r>
    </w:p>
    <w:p>
      <w:pPr>
        <w:spacing w:line="360" w:lineRule="auto"/>
        <w:ind w:firstLine="480" w:firstLineChars="200"/>
        <w:rPr>
          <w:rFonts w:ascii="宋体" w:hAnsi="宋体"/>
          <w:sz w:val="24"/>
        </w:rPr>
      </w:pPr>
      <w:r>
        <w:rPr>
          <w:rFonts w:hint="eastAsia" w:ascii="宋体" w:hAnsi="宋体"/>
          <w:sz w:val="24"/>
        </w:rPr>
        <w:t>综合评</w:t>
      </w:r>
      <w:r>
        <w:rPr>
          <w:rFonts w:hint="eastAsia" w:ascii="宋体" w:hAnsi="宋体"/>
          <w:sz w:val="24"/>
          <w:lang w:val="en-US" w:eastAsia="zh-CN"/>
        </w:rPr>
        <w:t>审</w:t>
      </w:r>
      <w:r>
        <w:rPr>
          <w:rFonts w:hint="eastAsia" w:ascii="宋体" w:hAnsi="宋体"/>
          <w:sz w:val="24"/>
        </w:rPr>
        <w:t>法：在最大限度地满足采购文件实质性要求前提下，按照采购文件中规定的各项因素进行综合评审后，以评标总得分最高的投标人作为中标候选人。</w:t>
      </w:r>
    </w:p>
    <w:p>
      <w:pPr>
        <w:spacing w:line="360" w:lineRule="auto"/>
        <w:ind w:firstLine="480" w:firstLineChars="200"/>
        <w:rPr>
          <w:rFonts w:ascii="宋体" w:hAnsi="宋体"/>
          <w:sz w:val="24"/>
        </w:rPr>
      </w:pPr>
      <w:r>
        <w:rPr>
          <w:rFonts w:hint="eastAsia" w:ascii="宋体" w:hAnsi="宋体"/>
          <w:sz w:val="24"/>
        </w:rPr>
        <w:t>综合评分的主要因素是：价格、技术、信誉、业绩、服务、对采购文件的响应程度，以及相应的比重或者权值等（详见评标细则）。</w:t>
      </w:r>
    </w:p>
    <w:p>
      <w:pPr>
        <w:spacing w:line="360" w:lineRule="auto"/>
        <w:ind w:firstLine="480" w:firstLineChars="200"/>
        <w:rPr>
          <w:rFonts w:ascii="宋体" w:hAnsi="宋体"/>
          <w:sz w:val="24"/>
        </w:rPr>
      </w:pPr>
      <w:r>
        <w:rPr>
          <w:rFonts w:hint="eastAsia" w:ascii="宋体" w:hAnsi="宋体"/>
          <w:sz w:val="24"/>
        </w:rPr>
        <w:t>评标时，评标委员会各成员应当独立对每个有效投标人的标书进行评价、打分，然后汇总每个投标人每项评分因素的得分。</w:t>
      </w:r>
    </w:p>
    <w:p>
      <w:pPr>
        <w:numPr>
          <w:ilvl w:val="2"/>
          <w:numId w:val="5"/>
        </w:numPr>
        <w:tabs>
          <w:tab w:val="left" w:pos="360"/>
          <w:tab w:val="left" w:pos="780"/>
          <w:tab w:val="left" w:pos="840"/>
        </w:tabs>
        <w:spacing w:line="360" w:lineRule="auto"/>
        <w:ind w:left="840" w:hanging="480"/>
        <w:rPr>
          <w:rFonts w:ascii="宋体" w:hAnsi="宋体"/>
          <w:sz w:val="24"/>
        </w:rPr>
      </w:pPr>
      <w:r>
        <w:rPr>
          <w:rFonts w:hint="eastAsia" w:ascii="宋体" w:hAnsi="宋体"/>
          <w:sz w:val="24"/>
        </w:rPr>
        <w:t>评标过程的保密性</w:t>
      </w:r>
    </w:p>
    <w:p>
      <w:pPr>
        <w:numPr>
          <w:ilvl w:val="0"/>
          <w:numId w:val="8"/>
        </w:numPr>
        <w:tabs>
          <w:tab w:val="left" w:pos="900"/>
          <w:tab w:val="left" w:pos="2160"/>
        </w:tabs>
        <w:spacing w:line="360" w:lineRule="auto"/>
        <w:ind w:left="1242" w:hanging="737"/>
        <w:rPr>
          <w:rFonts w:ascii="宋体" w:hAnsi="宋体"/>
          <w:sz w:val="24"/>
        </w:rPr>
      </w:pPr>
      <w:r>
        <w:rPr>
          <w:rFonts w:hint="eastAsia" w:ascii="宋体" w:hAnsi="宋体"/>
          <w:sz w:val="24"/>
        </w:rPr>
        <w:t>公开开标后，直至向中标人授予合同时止，凡与审查、澄清、评价和比较投标有关的资料以及授标意见等，均不得向投标人及与评标无关的其他人透露。</w:t>
      </w:r>
    </w:p>
    <w:p>
      <w:pPr>
        <w:numPr>
          <w:ilvl w:val="0"/>
          <w:numId w:val="8"/>
        </w:numPr>
        <w:tabs>
          <w:tab w:val="left" w:pos="900"/>
          <w:tab w:val="left" w:pos="2160"/>
        </w:tabs>
        <w:spacing w:line="360" w:lineRule="auto"/>
        <w:ind w:left="1242" w:hanging="737"/>
        <w:rPr>
          <w:rFonts w:ascii="宋体" w:hAnsi="宋体"/>
          <w:sz w:val="24"/>
        </w:rPr>
      </w:pPr>
      <w:r>
        <w:rPr>
          <w:rFonts w:hint="eastAsia" w:ascii="宋体" w:hAnsi="宋体"/>
          <w:sz w:val="24"/>
        </w:rPr>
        <w:t>在评标过程中，如果投标人试图在投标文件审查、澄清、比较及授予合同方面向采购人、评标委员会施加任何影响，其投标将被拒绝。</w:t>
      </w:r>
    </w:p>
    <w:p>
      <w:pPr>
        <w:numPr>
          <w:ilvl w:val="2"/>
          <w:numId w:val="5"/>
        </w:numPr>
        <w:tabs>
          <w:tab w:val="left" w:pos="360"/>
          <w:tab w:val="left" w:pos="780"/>
          <w:tab w:val="left" w:pos="840"/>
        </w:tabs>
        <w:spacing w:line="360" w:lineRule="auto"/>
        <w:ind w:left="840" w:hanging="480"/>
        <w:rPr>
          <w:rFonts w:ascii="宋体" w:hAnsi="宋体"/>
          <w:sz w:val="24"/>
        </w:rPr>
      </w:pPr>
      <w:r>
        <w:rPr>
          <w:rFonts w:hint="eastAsia" w:ascii="宋体" w:hAnsi="宋体"/>
          <w:sz w:val="24"/>
        </w:rPr>
        <w:t>评标工作程序</w:t>
      </w:r>
    </w:p>
    <w:p>
      <w:pPr>
        <w:numPr>
          <w:ilvl w:val="0"/>
          <w:numId w:val="9"/>
        </w:numPr>
        <w:tabs>
          <w:tab w:val="left" w:pos="900"/>
          <w:tab w:val="left" w:pos="2160"/>
        </w:tabs>
        <w:spacing w:line="360" w:lineRule="auto"/>
        <w:ind w:left="1191" w:hanging="737"/>
        <w:rPr>
          <w:rFonts w:ascii="宋体" w:hAnsi="宋体"/>
          <w:sz w:val="24"/>
          <w:highlight w:val="none"/>
        </w:rPr>
      </w:pPr>
      <w:r>
        <w:rPr>
          <w:rFonts w:hint="eastAsia" w:ascii="宋体" w:hAnsi="宋体"/>
          <w:sz w:val="24"/>
          <w:highlight w:val="none"/>
        </w:rPr>
        <w:t>投标文件初审。</w:t>
      </w:r>
    </w:p>
    <w:p>
      <w:pPr>
        <w:tabs>
          <w:tab w:val="left" w:pos="560"/>
        </w:tabs>
        <w:spacing w:line="360" w:lineRule="auto"/>
        <w:ind w:left="560" w:leftChars="200" w:firstLine="556" w:firstLineChars="232"/>
        <w:rPr>
          <w:rFonts w:ascii="宋体" w:hAnsi="宋体"/>
          <w:sz w:val="24"/>
          <w:highlight w:val="none"/>
        </w:rPr>
      </w:pPr>
      <w:r>
        <w:rPr>
          <w:rFonts w:hint="eastAsia" w:ascii="宋体" w:hAnsi="宋体"/>
          <w:sz w:val="24"/>
          <w:highlight w:val="none"/>
        </w:rPr>
        <w:t>符合性检查。依据采购文件的规定，从投标文件的有效性、完整性和对采购文件的响应程度进行审查，以确定是否对采购文件的实质性要求作出响应。</w:t>
      </w:r>
    </w:p>
    <w:p>
      <w:pPr>
        <w:spacing w:line="360" w:lineRule="auto"/>
        <w:ind w:left="1120" w:leftChars="400"/>
        <w:rPr>
          <w:rFonts w:ascii="宋体" w:hAnsi="宋体"/>
          <w:sz w:val="24"/>
        </w:rPr>
      </w:pPr>
      <w:r>
        <w:rPr>
          <w:rFonts w:hint="eastAsia" w:ascii="宋体" w:hAnsi="宋体"/>
          <w:sz w:val="24"/>
        </w:rPr>
        <w:t>投标文件应符合下列情况，否则在符合性检查时可按照无效投标处理：</w:t>
      </w:r>
    </w:p>
    <w:p>
      <w:pPr>
        <w:numPr>
          <w:ilvl w:val="0"/>
          <w:numId w:val="10"/>
        </w:numPr>
        <w:spacing w:line="360" w:lineRule="auto"/>
        <w:ind w:left="1701" w:hanging="283"/>
        <w:rPr>
          <w:rFonts w:ascii="宋体" w:hAnsi="宋体"/>
          <w:sz w:val="24"/>
        </w:rPr>
      </w:pPr>
      <w:r>
        <w:rPr>
          <w:rFonts w:hint="eastAsia" w:ascii="宋体" w:hAnsi="宋体"/>
          <w:sz w:val="24"/>
        </w:rPr>
        <w:t>投标报价确定且不高于最高限价；</w:t>
      </w:r>
    </w:p>
    <w:p>
      <w:pPr>
        <w:numPr>
          <w:ilvl w:val="0"/>
          <w:numId w:val="10"/>
        </w:numPr>
        <w:spacing w:line="360" w:lineRule="auto"/>
        <w:ind w:left="1701" w:hanging="283"/>
        <w:rPr>
          <w:rFonts w:ascii="宋体" w:hAnsi="宋体"/>
          <w:sz w:val="24"/>
        </w:rPr>
      </w:pPr>
      <w:r>
        <w:rPr>
          <w:rFonts w:hint="eastAsia" w:ascii="宋体" w:hAnsi="宋体"/>
          <w:sz w:val="24"/>
        </w:rPr>
        <w:t>按采购文件规定，有投标人盖章及其法定代表人（或法定代表人委托的投标授权代表）的签字或签章；</w:t>
      </w:r>
    </w:p>
    <w:p>
      <w:pPr>
        <w:numPr>
          <w:ilvl w:val="0"/>
          <w:numId w:val="10"/>
        </w:numPr>
        <w:spacing w:line="360" w:lineRule="auto"/>
        <w:ind w:left="1701" w:hanging="283"/>
        <w:rPr>
          <w:rFonts w:ascii="宋体" w:hAnsi="宋体"/>
          <w:sz w:val="24"/>
          <w:highlight w:val="none"/>
        </w:rPr>
      </w:pPr>
      <w:r>
        <w:rPr>
          <w:rFonts w:hint="eastAsia" w:ascii="宋体" w:hAnsi="宋体"/>
          <w:sz w:val="24"/>
          <w:highlight w:val="none"/>
        </w:rPr>
        <w:t>投标文件完全满足采购文件中带“</w:t>
      </w:r>
      <w:r>
        <w:rPr>
          <w:rFonts w:hint="eastAsia"/>
          <w:sz w:val="24"/>
          <w:highlight w:val="none"/>
        </w:rPr>
        <w:t>★</w:t>
      </w:r>
      <w:r>
        <w:rPr>
          <w:rFonts w:hint="eastAsia" w:ascii="宋体" w:hAnsi="宋体"/>
          <w:sz w:val="24"/>
          <w:highlight w:val="none"/>
        </w:rPr>
        <w:t>”号的条款和指标，符合采购文件的其他要求，没有重大偏离；</w:t>
      </w:r>
    </w:p>
    <w:p>
      <w:pPr>
        <w:numPr>
          <w:ilvl w:val="0"/>
          <w:numId w:val="10"/>
        </w:numPr>
        <w:spacing w:line="360" w:lineRule="auto"/>
        <w:ind w:left="1701" w:hanging="283"/>
        <w:rPr>
          <w:rFonts w:ascii="宋体" w:hAnsi="宋体"/>
          <w:sz w:val="24"/>
        </w:rPr>
      </w:pPr>
      <w:r>
        <w:rPr>
          <w:rFonts w:hint="eastAsia" w:ascii="宋体" w:hAnsi="宋体"/>
          <w:sz w:val="24"/>
        </w:rPr>
        <w:t>符合法律、法规和采购文件中规定的其他实质性要求：</w:t>
      </w:r>
    </w:p>
    <w:p>
      <w:pPr>
        <w:numPr>
          <w:ilvl w:val="0"/>
          <w:numId w:val="11"/>
        </w:numPr>
        <w:spacing w:line="360" w:lineRule="auto"/>
        <w:ind w:left="2121"/>
        <w:rPr>
          <w:rFonts w:ascii="宋体" w:hAnsi="宋体"/>
          <w:sz w:val="24"/>
        </w:rPr>
      </w:pPr>
      <w:r>
        <w:rPr>
          <w:rFonts w:hint="eastAsia" w:ascii="宋体" w:hAnsi="宋体"/>
          <w:sz w:val="24"/>
        </w:rPr>
        <w:t>在参与项目所在地市的各级或以上招投标活动中未被列入不良行为记录名单并正处于处罚期内；</w:t>
      </w:r>
    </w:p>
    <w:p>
      <w:pPr>
        <w:numPr>
          <w:ilvl w:val="0"/>
          <w:numId w:val="11"/>
        </w:numPr>
        <w:spacing w:line="360" w:lineRule="auto"/>
        <w:ind w:left="2121"/>
        <w:rPr>
          <w:rFonts w:ascii="宋体" w:hAnsi="宋体"/>
          <w:sz w:val="24"/>
        </w:rPr>
      </w:pPr>
      <w:r>
        <w:rPr>
          <w:rFonts w:hint="eastAsia" w:ascii="宋体" w:hAnsi="宋体"/>
          <w:sz w:val="24"/>
        </w:rPr>
        <w:t>投标文件未出现制作严重不符合要求，按要求提供重要的样板、物证或资料；</w:t>
      </w:r>
    </w:p>
    <w:p>
      <w:pPr>
        <w:numPr>
          <w:ilvl w:val="0"/>
          <w:numId w:val="11"/>
        </w:numPr>
        <w:spacing w:line="360" w:lineRule="auto"/>
        <w:ind w:left="2121"/>
        <w:rPr>
          <w:rFonts w:ascii="宋体" w:hAnsi="宋体"/>
          <w:sz w:val="24"/>
        </w:rPr>
      </w:pPr>
      <w:r>
        <w:rPr>
          <w:rFonts w:hint="eastAsia" w:ascii="宋体" w:hAnsi="宋体"/>
          <w:sz w:val="24"/>
        </w:rPr>
        <w:t>未故意提供虚假材料谋取中标；</w:t>
      </w:r>
    </w:p>
    <w:p>
      <w:pPr>
        <w:numPr>
          <w:ilvl w:val="0"/>
          <w:numId w:val="11"/>
        </w:numPr>
        <w:spacing w:line="360" w:lineRule="auto"/>
        <w:ind w:left="2121"/>
        <w:rPr>
          <w:rFonts w:ascii="宋体" w:hAnsi="宋体"/>
          <w:sz w:val="24"/>
        </w:rPr>
      </w:pPr>
      <w:r>
        <w:rPr>
          <w:rFonts w:hint="eastAsia" w:ascii="宋体" w:hAnsi="宋体"/>
          <w:sz w:val="24"/>
        </w:rPr>
        <w:t>未采取不正当手段诋毁、排斥其他投标人；</w:t>
      </w:r>
    </w:p>
    <w:p>
      <w:pPr>
        <w:numPr>
          <w:ilvl w:val="0"/>
          <w:numId w:val="11"/>
        </w:numPr>
        <w:spacing w:line="360" w:lineRule="auto"/>
        <w:ind w:left="2121"/>
        <w:rPr>
          <w:rFonts w:ascii="宋体" w:hAnsi="宋体"/>
          <w:sz w:val="24"/>
        </w:rPr>
      </w:pPr>
      <w:r>
        <w:rPr>
          <w:rFonts w:hint="eastAsia" w:ascii="宋体" w:hAnsi="宋体"/>
          <w:sz w:val="24"/>
        </w:rPr>
        <w:t>未在评标、定标过程中对采购人、评标委员会及其工作人员施加影响，有碍招标公平、公正；</w:t>
      </w:r>
    </w:p>
    <w:p>
      <w:pPr>
        <w:numPr>
          <w:ilvl w:val="0"/>
          <w:numId w:val="11"/>
        </w:numPr>
        <w:spacing w:line="360" w:lineRule="auto"/>
        <w:ind w:left="2121"/>
        <w:rPr>
          <w:rFonts w:ascii="宋体" w:hAnsi="宋体"/>
          <w:sz w:val="24"/>
        </w:rPr>
      </w:pPr>
      <w:r>
        <w:rPr>
          <w:rFonts w:hint="eastAsia" w:ascii="宋体" w:hAnsi="宋体"/>
          <w:sz w:val="24"/>
        </w:rPr>
        <w:t>符合专业条件，对技术、商务要求能有效地作实质性响应，未出现重大偏离或保留；</w:t>
      </w:r>
    </w:p>
    <w:p>
      <w:pPr>
        <w:numPr>
          <w:ilvl w:val="0"/>
          <w:numId w:val="11"/>
        </w:numPr>
        <w:spacing w:line="360" w:lineRule="auto"/>
        <w:ind w:left="2121"/>
        <w:rPr>
          <w:rFonts w:ascii="宋体" w:hAnsi="宋体"/>
          <w:sz w:val="24"/>
        </w:rPr>
      </w:pPr>
      <w:r>
        <w:rPr>
          <w:rFonts w:hint="eastAsia" w:ascii="宋体" w:hAnsi="宋体"/>
          <w:sz w:val="24"/>
        </w:rPr>
        <w:t>评审期间按评委会要求提交经授权代表签字的澄清、说明、补正或调整补充部分未改变投标文件的实质性内容及修正报价未超出允许规定范围；</w:t>
      </w:r>
    </w:p>
    <w:p>
      <w:pPr>
        <w:numPr>
          <w:ilvl w:val="0"/>
          <w:numId w:val="11"/>
        </w:numPr>
        <w:spacing w:line="360" w:lineRule="auto"/>
        <w:ind w:left="2121"/>
        <w:rPr>
          <w:rFonts w:ascii="宋体" w:hAnsi="宋体"/>
          <w:sz w:val="24"/>
        </w:rPr>
      </w:pPr>
      <w:r>
        <w:rPr>
          <w:rFonts w:hint="eastAsia" w:ascii="宋体" w:hAnsi="宋体"/>
          <w:sz w:val="24"/>
        </w:rPr>
        <w:t>未拒绝、对抗评委会所作的决定或合理要求；</w:t>
      </w:r>
      <w:r>
        <w:rPr>
          <w:rFonts w:ascii="宋体" w:hAnsi="宋体"/>
          <w:sz w:val="24"/>
        </w:rPr>
        <w:t xml:space="preserve"> </w:t>
      </w:r>
    </w:p>
    <w:p>
      <w:pPr>
        <w:numPr>
          <w:ilvl w:val="0"/>
          <w:numId w:val="11"/>
        </w:numPr>
        <w:spacing w:line="360" w:lineRule="auto"/>
        <w:ind w:left="2121"/>
        <w:rPr>
          <w:rFonts w:ascii="宋体" w:hAnsi="宋体"/>
          <w:sz w:val="24"/>
        </w:rPr>
      </w:pPr>
      <w:r>
        <w:rPr>
          <w:rFonts w:hint="eastAsia" w:ascii="宋体" w:hAnsi="宋体"/>
          <w:sz w:val="24"/>
        </w:rPr>
        <w:t>未出现按有关法律、法规、规章规定属于中标无效的及符合采购文件中载明会导致无效投标的其它规定和要求。</w:t>
      </w:r>
    </w:p>
    <w:p>
      <w:pPr>
        <w:numPr>
          <w:ilvl w:val="0"/>
          <w:numId w:val="9"/>
        </w:numPr>
        <w:tabs>
          <w:tab w:val="left" w:pos="900"/>
          <w:tab w:val="left" w:pos="2160"/>
        </w:tabs>
        <w:spacing w:line="360" w:lineRule="auto"/>
        <w:ind w:left="1191" w:hanging="737"/>
        <w:rPr>
          <w:rFonts w:ascii="宋体" w:hAnsi="宋体"/>
          <w:sz w:val="24"/>
        </w:rPr>
      </w:pPr>
      <w:r>
        <w:rPr>
          <w:rFonts w:hint="eastAsia" w:ascii="宋体" w:hAnsi="宋体"/>
          <w:sz w:val="24"/>
        </w:rPr>
        <w:t>澄清有关问题。对投标文件中含义不明确、同类问题表述不一致或者有明显文字和计算错误的内容，评标委员会可以书面形式要求投标人作出必要的澄清、说明或者纠正。投标人的澄清、说明或者补正应当采用书面形式，由其授权的代表签字，并不得超出投标文件的范围或者改变投标文件的实质性内容。除上述规定的情形之外，评标委员会在评审过程中，不得接收来自评审现场以外的任何形式的文件资料。除评标委员会主动要求澄清、说明或者纠正外，评标定标期间，任何投标人均不得就与其投标相关的任何问题与评标委员会联系。</w:t>
      </w:r>
    </w:p>
    <w:p>
      <w:pPr>
        <w:numPr>
          <w:ilvl w:val="0"/>
          <w:numId w:val="9"/>
        </w:numPr>
        <w:tabs>
          <w:tab w:val="left" w:pos="900"/>
          <w:tab w:val="left" w:pos="2160"/>
        </w:tabs>
        <w:spacing w:line="360" w:lineRule="auto"/>
        <w:ind w:left="1191" w:hanging="737"/>
        <w:rPr>
          <w:rFonts w:ascii="宋体" w:hAnsi="宋体"/>
          <w:sz w:val="24"/>
        </w:rPr>
      </w:pPr>
      <w:r>
        <w:rPr>
          <w:rFonts w:hint="eastAsia" w:ascii="宋体" w:hAnsi="宋体"/>
          <w:sz w:val="24"/>
        </w:rPr>
        <w:t>比较与评价。按照采购文件中规定的评标方法和标准，对符合性检查合格的投标文件进行商务和技术评估，综合比较与评价。综合评分法评分权重详见评标细则。</w:t>
      </w:r>
    </w:p>
    <w:p>
      <w:pPr>
        <w:numPr>
          <w:ilvl w:val="0"/>
          <w:numId w:val="9"/>
        </w:numPr>
        <w:tabs>
          <w:tab w:val="left" w:pos="900"/>
          <w:tab w:val="left" w:pos="2160"/>
        </w:tabs>
        <w:spacing w:line="360" w:lineRule="auto"/>
        <w:ind w:left="1191" w:hanging="737"/>
        <w:rPr>
          <w:rFonts w:ascii="宋体" w:hAnsi="宋体"/>
          <w:sz w:val="24"/>
        </w:rPr>
      </w:pPr>
      <w:r>
        <w:rPr>
          <w:rFonts w:hint="eastAsia" w:ascii="宋体" w:hAnsi="宋体"/>
          <w:sz w:val="24"/>
        </w:rPr>
        <w:t>推荐中标候选人名单。综合评分法按评审后综合得分由高到低顺序排列。综合得分相同的，按投标报价由低到高排列。综合得分且投标报价相同的，</w:t>
      </w:r>
      <w:r>
        <w:rPr>
          <w:rFonts w:ascii="宋体" w:hAnsi="宋体"/>
          <w:sz w:val="24"/>
        </w:rPr>
        <w:t>按技术评分由高到低顺序排列。综合评分相同，且</w:t>
      </w:r>
      <w:r>
        <w:rPr>
          <w:rFonts w:hint="eastAsia" w:ascii="宋体" w:hAnsi="宋体"/>
          <w:sz w:val="24"/>
        </w:rPr>
        <w:t>投标报价</w:t>
      </w:r>
      <w:r>
        <w:rPr>
          <w:rFonts w:ascii="宋体" w:hAnsi="宋体"/>
          <w:sz w:val="24"/>
        </w:rPr>
        <w:t>和技术评分均相同的，名次由评标委员会抽签决定。</w:t>
      </w:r>
    </w:p>
    <w:p>
      <w:pPr>
        <w:numPr>
          <w:ilvl w:val="0"/>
          <w:numId w:val="9"/>
        </w:numPr>
        <w:tabs>
          <w:tab w:val="left" w:pos="900"/>
          <w:tab w:val="left" w:pos="2160"/>
        </w:tabs>
        <w:spacing w:line="360" w:lineRule="auto"/>
        <w:ind w:left="1191" w:hanging="737"/>
        <w:rPr>
          <w:rFonts w:ascii="宋体" w:hAnsi="宋体"/>
          <w:sz w:val="24"/>
        </w:rPr>
      </w:pPr>
      <w:r>
        <w:rPr>
          <w:rFonts w:hint="eastAsia" w:ascii="宋体" w:hAnsi="宋体"/>
          <w:sz w:val="24"/>
        </w:rPr>
        <w:t>编写评审报告。</w:t>
      </w:r>
    </w:p>
    <w:p>
      <w:pPr>
        <w:numPr>
          <w:ilvl w:val="2"/>
          <w:numId w:val="5"/>
        </w:numPr>
        <w:tabs>
          <w:tab w:val="left" w:pos="-3600"/>
          <w:tab w:val="left" w:pos="720"/>
          <w:tab w:val="left" w:pos="780"/>
        </w:tabs>
        <w:spacing w:line="360" w:lineRule="auto"/>
        <w:ind w:left="1080" w:hanging="800"/>
        <w:rPr>
          <w:rFonts w:ascii="宋体" w:hAnsi="宋体"/>
          <w:sz w:val="24"/>
        </w:rPr>
      </w:pPr>
      <w:r>
        <w:rPr>
          <w:rFonts w:hint="eastAsia" w:ascii="宋体" w:hAnsi="宋体"/>
          <w:sz w:val="24"/>
        </w:rPr>
        <w:t>废标的认定</w:t>
      </w:r>
    </w:p>
    <w:p>
      <w:pPr>
        <w:numPr>
          <w:ilvl w:val="0"/>
          <w:numId w:val="12"/>
        </w:numPr>
        <w:tabs>
          <w:tab w:val="left" w:pos="900"/>
          <w:tab w:val="left" w:pos="2160"/>
        </w:tabs>
        <w:spacing w:line="360" w:lineRule="auto"/>
        <w:ind w:left="1191" w:hanging="737"/>
        <w:rPr>
          <w:rFonts w:ascii="宋体" w:hAnsi="宋体"/>
          <w:sz w:val="24"/>
        </w:rPr>
      </w:pPr>
      <w:r>
        <w:rPr>
          <w:rFonts w:hint="eastAsia" w:ascii="宋体" w:hAnsi="宋体"/>
          <w:sz w:val="24"/>
        </w:rPr>
        <w:t>符合专业条件的承包商或者对采购文件作实质响应的承包商不足三家的；</w:t>
      </w:r>
    </w:p>
    <w:p>
      <w:pPr>
        <w:numPr>
          <w:ilvl w:val="0"/>
          <w:numId w:val="12"/>
        </w:numPr>
        <w:tabs>
          <w:tab w:val="left" w:pos="900"/>
          <w:tab w:val="left" w:pos="2160"/>
        </w:tabs>
        <w:spacing w:line="360" w:lineRule="auto"/>
        <w:ind w:left="1191" w:hanging="737"/>
        <w:rPr>
          <w:rFonts w:ascii="宋体" w:hAnsi="宋体"/>
          <w:sz w:val="24"/>
        </w:rPr>
      </w:pPr>
      <w:r>
        <w:rPr>
          <w:rFonts w:hint="eastAsia" w:ascii="宋体" w:hAnsi="宋体"/>
          <w:sz w:val="24"/>
        </w:rPr>
        <w:t>出现影响采购公正的违法、违规行为的；</w:t>
      </w:r>
    </w:p>
    <w:p>
      <w:pPr>
        <w:numPr>
          <w:ilvl w:val="0"/>
          <w:numId w:val="12"/>
        </w:numPr>
        <w:tabs>
          <w:tab w:val="left" w:pos="900"/>
          <w:tab w:val="left" w:pos="2160"/>
        </w:tabs>
        <w:spacing w:line="360" w:lineRule="auto"/>
        <w:ind w:left="1191" w:hanging="737"/>
        <w:rPr>
          <w:rFonts w:ascii="宋体" w:hAnsi="宋体"/>
          <w:sz w:val="24"/>
        </w:rPr>
      </w:pPr>
      <w:r>
        <w:rPr>
          <w:rFonts w:hint="eastAsia" w:ascii="宋体" w:hAnsi="宋体"/>
          <w:sz w:val="24"/>
        </w:rPr>
        <w:t>投标人的报价均超过了</w:t>
      </w:r>
      <w:r>
        <w:rPr>
          <w:rFonts w:ascii="宋体" w:hAnsi="宋体"/>
          <w:sz w:val="24"/>
        </w:rPr>
        <w:t>最高限额</w:t>
      </w:r>
      <w:r>
        <w:rPr>
          <w:rFonts w:hint="eastAsia" w:ascii="宋体" w:hAnsi="宋体"/>
          <w:sz w:val="24"/>
        </w:rPr>
        <w:t>的；</w:t>
      </w:r>
    </w:p>
    <w:p>
      <w:pPr>
        <w:numPr>
          <w:ilvl w:val="0"/>
          <w:numId w:val="12"/>
        </w:numPr>
        <w:tabs>
          <w:tab w:val="left" w:pos="900"/>
          <w:tab w:val="left" w:pos="2160"/>
        </w:tabs>
        <w:spacing w:line="360" w:lineRule="auto"/>
        <w:ind w:left="1191" w:hanging="737"/>
        <w:rPr>
          <w:rFonts w:ascii="宋体" w:hAnsi="宋体"/>
          <w:sz w:val="24"/>
        </w:rPr>
      </w:pPr>
      <w:r>
        <w:rPr>
          <w:rFonts w:hint="eastAsia" w:ascii="宋体" w:hAnsi="宋体"/>
          <w:sz w:val="24"/>
        </w:rPr>
        <w:t>因重大变故，采购任务取消的。</w:t>
      </w:r>
    </w:p>
    <w:p>
      <w:pPr>
        <w:pStyle w:val="4"/>
        <w:keepLines w:val="0"/>
        <w:numPr>
          <w:ilvl w:val="1"/>
          <w:numId w:val="5"/>
        </w:numPr>
        <w:tabs>
          <w:tab w:val="left" w:pos="630"/>
          <w:tab w:val="left" w:pos="1981"/>
        </w:tabs>
        <w:adjustRightInd/>
        <w:spacing w:before="0" w:after="0" w:line="360" w:lineRule="auto"/>
        <w:ind w:left="630" w:hanging="630"/>
        <w:textAlignment w:val="auto"/>
        <w:rPr>
          <w:sz w:val="24"/>
        </w:rPr>
      </w:pPr>
      <w:r>
        <w:rPr>
          <w:sz w:val="24"/>
        </w:rPr>
        <w:t>定标</w:t>
      </w:r>
    </w:p>
    <w:p>
      <w:pPr>
        <w:spacing w:line="360" w:lineRule="auto"/>
        <w:ind w:firstLine="480" w:firstLineChars="200"/>
        <w:rPr>
          <w:rFonts w:ascii="宋体" w:hAnsi="宋体"/>
          <w:sz w:val="24"/>
        </w:rPr>
      </w:pPr>
      <w:r>
        <w:rPr>
          <w:rFonts w:hint="eastAsia" w:ascii="宋体" w:hAnsi="宋体"/>
          <w:sz w:val="24"/>
        </w:rPr>
        <w:t>采购人确认评标委员会推荐的评标结果后，由采购人对中标候选人的资格和履约能力进行再次审查，凡发现中标候选人有下列情形之一的，将移交招投标监督管理部门依法处理：</w:t>
      </w:r>
    </w:p>
    <w:p>
      <w:pPr>
        <w:numPr>
          <w:ilvl w:val="2"/>
          <w:numId w:val="5"/>
        </w:numPr>
        <w:tabs>
          <w:tab w:val="left" w:pos="-3600"/>
          <w:tab w:val="left" w:pos="720"/>
          <w:tab w:val="left" w:pos="780"/>
          <w:tab w:val="left" w:pos="1440"/>
        </w:tabs>
        <w:spacing w:line="360" w:lineRule="auto"/>
        <w:ind w:left="1637" w:leftChars="200" w:hanging="1077"/>
        <w:rPr>
          <w:rFonts w:ascii="宋体" w:hAnsi="宋体"/>
          <w:sz w:val="24"/>
        </w:rPr>
      </w:pPr>
      <w:r>
        <w:rPr>
          <w:rFonts w:hint="eastAsia" w:ascii="宋体" w:hAnsi="宋体"/>
          <w:sz w:val="24"/>
        </w:rPr>
        <w:t>提供虚假材料谋取中标的；</w:t>
      </w:r>
    </w:p>
    <w:p>
      <w:pPr>
        <w:numPr>
          <w:ilvl w:val="2"/>
          <w:numId w:val="5"/>
        </w:numPr>
        <w:tabs>
          <w:tab w:val="left" w:pos="-3600"/>
          <w:tab w:val="left" w:pos="720"/>
          <w:tab w:val="left" w:pos="780"/>
          <w:tab w:val="left" w:pos="1440"/>
        </w:tabs>
        <w:spacing w:line="360" w:lineRule="auto"/>
        <w:ind w:left="1637" w:leftChars="200" w:hanging="1077"/>
        <w:rPr>
          <w:rFonts w:ascii="宋体" w:hAnsi="宋体"/>
          <w:sz w:val="24"/>
        </w:rPr>
      </w:pPr>
      <w:r>
        <w:rPr>
          <w:rFonts w:hint="eastAsia" w:ascii="宋体" w:hAnsi="宋体"/>
          <w:sz w:val="24"/>
        </w:rPr>
        <w:t>采取不正当手段诋毁、排挤其他投标人的；</w:t>
      </w:r>
    </w:p>
    <w:p>
      <w:pPr>
        <w:numPr>
          <w:ilvl w:val="2"/>
          <w:numId w:val="5"/>
        </w:numPr>
        <w:tabs>
          <w:tab w:val="left" w:pos="-3600"/>
          <w:tab w:val="left" w:pos="720"/>
          <w:tab w:val="left" w:pos="780"/>
          <w:tab w:val="left" w:pos="1440"/>
        </w:tabs>
        <w:spacing w:line="360" w:lineRule="auto"/>
        <w:ind w:left="1637" w:leftChars="200" w:hanging="1077"/>
        <w:rPr>
          <w:rFonts w:ascii="宋体" w:hAnsi="宋体"/>
          <w:sz w:val="24"/>
        </w:rPr>
      </w:pPr>
      <w:r>
        <w:rPr>
          <w:rFonts w:hint="eastAsia" w:ascii="宋体" w:hAnsi="宋体"/>
          <w:sz w:val="24"/>
        </w:rPr>
        <w:t>与采购人、其他投标人恶意串通的；</w:t>
      </w:r>
    </w:p>
    <w:p>
      <w:pPr>
        <w:numPr>
          <w:ilvl w:val="2"/>
          <w:numId w:val="5"/>
        </w:numPr>
        <w:tabs>
          <w:tab w:val="left" w:pos="-3600"/>
          <w:tab w:val="left" w:pos="720"/>
          <w:tab w:val="left" w:pos="780"/>
          <w:tab w:val="left" w:pos="1440"/>
        </w:tabs>
        <w:spacing w:line="360" w:lineRule="auto"/>
        <w:ind w:left="1637" w:leftChars="200" w:hanging="1077"/>
        <w:rPr>
          <w:rFonts w:ascii="宋体" w:hAnsi="宋体"/>
          <w:sz w:val="24"/>
        </w:rPr>
      </w:pPr>
      <w:r>
        <w:rPr>
          <w:rFonts w:hint="eastAsia" w:ascii="宋体" w:hAnsi="宋体"/>
          <w:sz w:val="24"/>
        </w:rPr>
        <w:t>向采购人行贿或者提供其他不正当利益的；</w:t>
      </w:r>
    </w:p>
    <w:p>
      <w:pPr>
        <w:numPr>
          <w:ilvl w:val="2"/>
          <w:numId w:val="5"/>
        </w:numPr>
        <w:tabs>
          <w:tab w:val="left" w:pos="-3600"/>
          <w:tab w:val="left" w:pos="720"/>
          <w:tab w:val="left" w:pos="780"/>
        </w:tabs>
        <w:spacing w:line="360" w:lineRule="auto"/>
        <w:ind w:left="991" w:leftChars="200" w:hanging="431"/>
        <w:rPr>
          <w:rFonts w:ascii="宋体" w:hAnsi="宋体"/>
          <w:sz w:val="24"/>
        </w:rPr>
      </w:pPr>
      <w:r>
        <w:rPr>
          <w:rFonts w:hint="eastAsia" w:ascii="宋体" w:hAnsi="宋体"/>
          <w:sz w:val="24"/>
        </w:rPr>
        <w:t>在采购过程中与采购人进行协商谈判、不按照采购文件和中标人的投标文件订立合同，或者与采购人另行订立背离合同实质性内容的协议的；</w:t>
      </w:r>
    </w:p>
    <w:p>
      <w:pPr>
        <w:numPr>
          <w:ilvl w:val="2"/>
          <w:numId w:val="5"/>
        </w:numPr>
        <w:tabs>
          <w:tab w:val="left" w:pos="-3600"/>
          <w:tab w:val="left" w:pos="720"/>
          <w:tab w:val="left" w:pos="780"/>
          <w:tab w:val="left" w:pos="1440"/>
        </w:tabs>
        <w:spacing w:line="360" w:lineRule="auto"/>
        <w:ind w:left="1637" w:leftChars="200" w:hanging="1077"/>
        <w:rPr>
          <w:rFonts w:ascii="宋体" w:hAnsi="宋体"/>
          <w:sz w:val="24"/>
        </w:rPr>
      </w:pPr>
      <w:r>
        <w:rPr>
          <w:rFonts w:hint="eastAsia" w:ascii="宋体" w:hAnsi="宋体"/>
          <w:sz w:val="24"/>
        </w:rPr>
        <w:t>拒绝有关部门监督检查或者提供虚假情况的。</w:t>
      </w:r>
    </w:p>
    <w:p>
      <w:pPr>
        <w:numPr>
          <w:ilvl w:val="2"/>
          <w:numId w:val="5"/>
        </w:numPr>
        <w:spacing w:line="360" w:lineRule="auto"/>
        <w:ind w:left="1637" w:leftChars="200" w:hanging="1077"/>
        <w:rPr>
          <w:rFonts w:ascii="宋体" w:hAnsi="宋体"/>
          <w:sz w:val="24"/>
        </w:rPr>
      </w:pPr>
      <w:r>
        <w:rPr>
          <w:rFonts w:hint="eastAsia" w:ascii="宋体" w:hAnsi="宋体"/>
          <w:sz w:val="24"/>
        </w:rPr>
        <w:t>投标人有前款1至6项情形之一的，中标无效。</w:t>
      </w:r>
    </w:p>
    <w:p>
      <w:pPr>
        <w:numPr>
          <w:ilvl w:val="-1"/>
          <w:numId w:val="0"/>
        </w:numPr>
        <w:spacing w:line="360" w:lineRule="auto"/>
        <w:ind w:left="560" w:leftChars="200" w:firstLine="0"/>
        <w:rPr>
          <w:rFonts w:hint="eastAsia"/>
        </w:rPr>
      </w:pPr>
      <w:r>
        <w:rPr>
          <w:rFonts w:hint="eastAsia" w:ascii="宋体" w:hAnsi="宋体"/>
          <w:color w:val="auto"/>
          <w:sz w:val="24"/>
          <w:szCs w:val="22"/>
          <w:lang w:val="en-US" w:eastAsia="zh-CN"/>
        </w:rPr>
        <w:t>8、</w:t>
      </w:r>
      <w:r>
        <w:rPr>
          <w:rFonts w:hint="eastAsia" w:ascii="宋体" w:hAnsi="宋体"/>
          <w:color w:val="auto"/>
          <w:sz w:val="24"/>
          <w:szCs w:val="22"/>
          <w:lang w:eastAsia="zh-TW"/>
        </w:rPr>
        <w:t>中标</w:t>
      </w:r>
      <w:r>
        <w:rPr>
          <w:rFonts w:hint="eastAsia" w:ascii="宋体" w:hAnsi="宋体"/>
          <w:color w:val="auto"/>
          <w:sz w:val="24"/>
          <w:szCs w:val="22"/>
        </w:rPr>
        <w:t>供应商</w:t>
      </w:r>
      <w:r>
        <w:rPr>
          <w:rFonts w:hint="eastAsia" w:ascii="宋体" w:hAnsi="宋体"/>
          <w:color w:val="auto"/>
          <w:sz w:val="24"/>
          <w:szCs w:val="22"/>
          <w:lang w:eastAsia="zh-TW"/>
        </w:rPr>
        <w:t>确定后</w:t>
      </w:r>
      <w:r>
        <w:rPr>
          <w:rFonts w:hint="eastAsia" w:ascii="宋体" w:hAnsi="宋体"/>
          <w:color w:val="auto"/>
          <w:sz w:val="24"/>
          <w:szCs w:val="22"/>
        </w:rPr>
        <w:t>，采购人</w:t>
      </w:r>
      <w:r>
        <w:rPr>
          <w:rFonts w:hint="eastAsia" w:ascii="宋体" w:hAnsi="宋体"/>
          <w:color w:val="auto"/>
          <w:sz w:val="24"/>
          <w:szCs w:val="22"/>
          <w:lang w:eastAsia="zh-TW"/>
        </w:rPr>
        <w:t>将在广州南沙资产经营集团有限公司官网（http://www.gnao.com.cn/）</w:t>
      </w:r>
      <w:r>
        <w:rPr>
          <w:rFonts w:hint="eastAsia" w:ascii="宋体" w:hAnsi="宋体"/>
          <w:color w:val="auto"/>
          <w:sz w:val="24"/>
          <w:szCs w:val="22"/>
        </w:rPr>
        <w:t>上发布</w:t>
      </w:r>
      <w:r>
        <w:rPr>
          <w:rFonts w:hint="eastAsia" w:ascii="宋体" w:hAnsi="宋体"/>
          <w:color w:val="auto"/>
          <w:sz w:val="24"/>
          <w:szCs w:val="22"/>
          <w:lang w:eastAsia="zh-TW"/>
        </w:rPr>
        <w:t>中标</w:t>
      </w:r>
      <w:r>
        <w:rPr>
          <w:rFonts w:hint="eastAsia" w:ascii="宋体" w:hAnsi="宋体"/>
          <w:color w:val="auto"/>
          <w:sz w:val="24"/>
          <w:szCs w:val="22"/>
        </w:rPr>
        <w:t>结果公告，公告期满后</w:t>
      </w:r>
      <w:r>
        <w:rPr>
          <w:rFonts w:hint="eastAsia" w:ascii="宋体" w:hAnsi="宋体"/>
          <w:color w:val="auto"/>
          <w:sz w:val="24"/>
          <w:szCs w:val="22"/>
          <w:lang w:eastAsia="zh-TW"/>
        </w:rPr>
        <w:t>向中标</w:t>
      </w:r>
      <w:r>
        <w:rPr>
          <w:rFonts w:hint="eastAsia" w:ascii="宋体" w:hAnsi="宋体"/>
          <w:color w:val="auto"/>
          <w:sz w:val="24"/>
          <w:szCs w:val="22"/>
        </w:rPr>
        <w:t>人</w:t>
      </w:r>
      <w:r>
        <w:rPr>
          <w:rFonts w:hint="eastAsia" w:ascii="宋体" w:hAnsi="宋体"/>
          <w:color w:val="auto"/>
          <w:sz w:val="24"/>
          <w:szCs w:val="22"/>
          <w:lang w:eastAsia="zh-TW"/>
        </w:rPr>
        <w:t>发出《中标通知书》</w:t>
      </w:r>
      <w:r>
        <w:rPr>
          <w:rFonts w:hint="eastAsia" w:ascii="宋体" w:hAnsi="宋体"/>
          <w:color w:val="auto"/>
          <w:sz w:val="24"/>
          <w:szCs w:val="22"/>
        </w:rPr>
        <w:t>，</w:t>
      </w:r>
      <w:r>
        <w:rPr>
          <w:rFonts w:hint="eastAsia" w:ascii="宋体" w:hAnsi="宋体"/>
          <w:color w:val="auto"/>
          <w:sz w:val="24"/>
          <w:szCs w:val="22"/>
          <w:lang w:eastAsia="zh-TW"/>
        </w:rPr>
        <w:t>《中标通知书》</w:t>
      </w:r>
      <w:r>
        <w:rPr>
          <w:rFonts w:hint="eastAsia" w:ascii="宋体" w:hAnsi="宋体"/>
          <w:sz w:val="24"/>
          <w:szCs w:val="22"/>
          <w:lang w:eastAsia="zh-TW"/>
        </w:rPr>
        <w:t>对中标</w:t>
      </w:r>
      <w:r>
        <w:rPr>
          <w:rFonts w:hint="eastAsia" w:ascii="宋体" w:hAnsi="宋体"/>
          <w:sz w:val="24"/>
          <w:szCs w:val="22"/>
        </w:rPr>
        <w:t>供应商</w:t>
      </w:r>
      <w:r>
        <w:rPr>
          <w:rFonts w:hint="eastAsia" w:ascii="宋体" w:hAnsi="宋体"/>
          <w:sz w:val="24"/>
          <w:szCs w:val="22"/>
          <w:lang w:eastAsia="zh-TW"/>
        </w:rPr>
        <w:t>和</w:t>
      </w:r>
      <w:r>
        <w:rPr>
          <w:rFonts w:hint="eastAsia" w:ascii="宋体" w:hAnsi="宋体"/>
          <w:sz w:val="24"/>
          <w:szCs w:val="22"/>
        </w:rPr>
        <w:t>采购人</w:t>
      </w:r>
      <w:r>
        <w:rPr>
          <w:rFonts w:hint="eastAsia" w:ascii="宋体" w:hAnsi="宋体"/>
          <w:sz w:val="24"/>
          <w:szCs w:val="22"/>
          <w:lang w:eastAsia="zh-TW"/>
        </w:rPr>
        <w:t>具有同等法律效力。</w:t>
      </w:r>
      <w:r>
        <w:rPr>
          <w:rFonts w:hint="eastAsia" w:ascii="宋体" w:hAnsi="宋体"/>
          <w:sz w:val="24"/>
          <w:szCs w:val="22"/>
        </w:rPr>
        <w:t>中标人放弃中标的，应当依法承担法律责任。</w:t>
      </w:r>
    </w:p>
    <w:p>
      <w:pPr>
        <w:pStyle w:val="20"/>
        <w:spacing w:line="360" w:lineRule="auto"/>
        <w:ind w:firstLine="0" w:firstLineChars="0"/>
        <w:rPr>
          <w:rFonts w:hint="eastAsia"/>
          <w:lang w:eastAsia="zh-CN"/>
        </w:rPr>
      </w:pPr>
    </w:p>
    <w:p>
      <w:pPr>
        <w:pStyle w:val="4"/>
        <w:keepLines w:val="0"/>
        <w:numPr>
          <w:ilvl w:val="-1"/>
          <w:numId w:val="0"/>
        </w:numPr>
        <w:tabs>
          <w:tab w:val="left" w:pos="630"/>
          <w:tab w:val="left" w:pos="1981"/>
        </w:tabs>
        <w:adjustRightInd/>
        <w:spacing w:before="0" w:after="0" w:line="360" w:lineRule="auto"/>
        <w:ind w:left="0" w:firstLine="0"/>
        <w:textAlignment w:val="auto"/>
        <w:rPr>
          <w:rFonts w:hint="eastAsia"/>
          <w:sz w:val="24"/>
        </w:rPr>
      </w:pPr>
      <w:bookmarkStart w:id="47" w:name="_Toc184442577"/>
      <w:r>
        <w:rPr>
          <w:rFonts w:hint="eastAsia"/>
          <w:sz w:val="24"/>
          <w:lang w:val="en-US" w:eastAsia="zh-CN"/>
        </w:rPr>
        <w:t>（二十）</w:t>
      </w:r>
      <w:r>
        <w:rPr>
          <w:rFonts w:hint="eastAsia"/>
          <w:sz w:val="24"/>
        </w:rPr>
        <w:t>中标公示及中标通知书</w:t>
      </w:r>
    </w:p>
    <w:p>
      <w:pPr>
        <w:pStyle w:val="4"/>
        <w:numPr>
          <w:ilvl w:val="0"/>
          <w:numId w:val="0"/>
        </w:numPr>
        <w:tabs>
          <w:tab w:val="left" w:pos="630"/>
          <w:tab w:val="left" w:pos="1981"/>
        </w:tabs>
        <w:spacing w:line="360" w:lineRule="auto"/>
        <w:ind w:firstLine="480" w:firstLineChars="200"/>
        <w:rPr>
          <w:rFonts w:hint="eastAsia"/>
          <w:b w:val="0"/>
          <w:sz w:val="24"/>
        </w:rPr>
      </w:pPr>
      <w:r>
        <w:rPr>
          <w:rFonts w:hint="eastAsia"/>
          <w:b w:val="0"/>
          <w:sz w:val="24"/>
        </w:rPr>
        <w:t>投标结果公示结束后，如无异议，排名第一的中标候选人为本项目中标人。招标人将及时向中标人发出中标通知书。如排名第一的中标候选人放弃中标的或者中标人拒绝与招标人签订合同的，招标人可以按照评审办法推荐的中标人名单排序，确定下一个中标候选人为中标人或重新组织招标活动。</w:t>
      </w:r>
    </w:p>
    <w:p>
      <w:pPr>
        <w:pStyle w:val="4"/>
        <w:keepLines w:val="0"/>
        <w:numPr>
          <w:ilvl w:val="-1"/>
          <w:numId w:val="0"/>
        </w:numPr>
        <w:tabs>
          <w:tab w:val="left" w:pos="630"/>
          <w:tab w:val="left" w:pos="1981"/>
        </w:tabs>
        <w:adjustRightInd/>
        <w:spacing w:before="0" w:after="0" w:line="360" w:lineRule="auto"/>
        <w:ind w:left="0" w:firstLine="0"/>
        <w:textAlignment w:val="auto"/>
        <w:rPr>
          <w:sz w:val="24"/>
        </w:rPr>
      </w:pPr>
      <w:r>
        <w:rPr>
          <w:rFonts w:hint="eastAsia"/>
          <w:sz w:val="24"/>
          <w:lang w:val="en-US" w:eastAsia="zh-CN"/>
        </w:rPr>
        <w:t>（二十一）</w:t>
      </w:r>
      <w:r>
        <w:rPr>
          <w:rFonts w:hint="eastAsia"/>
          <w:sz w:val="24"/>
        </w:rPr>
        <w:t>投标费用说明</w:t>
      </w:r>
    </w:p>
    <w:p>
      <w:pPr>
        <w:spacing w:line="360" w:lineRule="auto"/>
        <w:ind w:firstLine="480" w:firstLineChars="200"/>
        <w:rPr>
          <w:rFonts w:hint="eastAsia"/>
          <w:sz w:val="28"/>
        </w:rPr>
      </w:pPr>
      <w:r>
        <w:rPr>
          <w:rFonts w:hint="eastAsia" w:ascii="宋体" w:hAnsi="宋体"/>
          <w:sz w:val="24"/>
          <w:szCs w:val="24"/>
        </w:rPr>
        <w:t>投标供应商应承担所有与准备和参加投标有关的费用。不论投标的结果如何，采购人均无义务和责任承担</w:t>
      </w:r>
      <w:r>
        <w:rPr>
          <w:rFonts w:hint="eastAsia" w:ascii="宋体" w:hAnsi="宋体"/>
          <w:sz w:val="24"/>
          <w:szCs w:val="24"/>
          <w:lang w:eastAsia="zh-CN"/>
        </w:rPr>
        <w:t>。</w:t>
      </w:r>
    </w:p>
    <w:p>
      <w:pPr>
        <w:pStyle w:val="4"/>
        <w:keepLines w:val="0"/>
        <w:numPr>
          <w:ilvl w:val="-1"/>
          <w:numId w:val="0"/>
        </w:numPr>
        <w:tabs>
          <w:tab w:val="left" w:pos="630"/>
          <w:tab w:val="left" w:pos="1981"/>
        </w:tabs>
        <w:adjustRightInd/>
        <w:spacing w:before="0" w:after="0" w:line="360" w:lineRule="auto"/>
        <w:ind w:left="0" w:firstLine="0"/>
        <w:textAlignment w:val="auto"/>
        <w:rPr>
          <w:rFonts w:hint="eastAsia"/>
          <w:sz w:val="24"/>
        </w:rPr>
      </w:pPr>
      <w:r>
        <w:rPr>
          <w:rFonts w:hint="eastAsia"/>
          <w:sz w:val="24"/>
          <w:lang w:val="en-US" w:eastAsia="zh-CN"/>
        </w:rPr>
        <w:t>（二十二）</w:t>
      </w:r>
      <w:r>
        <w:rPr>
          <w:rFonts w:hint="eastAsia"/>
          <w:sz w:val="24"/>
        </w:rPr>
        <w:t>合同谈判与签订</w:t>
      </w:r>
    </w:p>
    <w:p>
      <w:pPr>
        <w:pStyle w:val="4"/>
        <w:keepLines w:val="0"/>
        <w:numPr>
          <w:ilvl w:val="-1"/>
          <w:numId w:val="0"/>
        </w:numPr>
        <w:tabs>
          <w:tab w:val="left" w:pos="630"/>
          <w:tab w:val="left" w:pos="1981"/>
        </w:tabs>
        <w:adjustRightInd/>
        <w:spacing w:before="0" w:after="0" w:line="360" w:lineRule="auto"/>
        <w:ind w:left="0" w:firstLine="480" w:firstLineChars="200"/>
        <w:textAlignment w:val="auto"/>
        <w:rPr>
          <w:rFonts w:hint="eastAsia"/>
          <w:b/>
          <w:bCs/>
          <w:sz w:val="24"/>
          <w:szCs w:val="24"/>
          <w:lang w:val="en-US" w:eastAsia="zh-CN"/>
        </w:rPr>
      </w:pPr>
      <w:r>
        <w:rPr>
          <w:rFonts w:hint="eastAsia"/>
          <w:b w:val="0"/>
          <w:sz w:val="24"/>
          <w:szCs w:val="24"/>
        </w:rPr>
        <w:t>中标人应该自中标通知书发出之日起三十日内，按照招标文件和中标人的投标文件订立书面合同。招标人对本次招标活动及相关的文件资料拥有最终的解释权。</w:t>
      </w:r>
    </w:p>
    <w:p>
      <w:pPr>
        <w:pStyle w:val="4"/>
        <w:keepLines w:val="0"/>
        <w:numPr>
          <w:ilvl w:val="-1"/>
          <w:numId w:val="0"/>
        </w:numPr>
        <w:tabs>
          <w:tab w:val="left" w:pos="630"/>
          <w:tab w:val="left" w:pos="1981"/>
        </w:tabs>
        <w:adjustRightInd/>
        <w:spacing w:before="0" w:after="0" w:line="360" w:lineRule="auto"/>
        <w:ind w:left="0" w:firstLine="0" w:firstLineChars="0"/>
        <w:textAlignment w:val="auto"/>
        <w:rPr>
          <w:rFonts w:hint="eastAsia"/>
          <w:b w:val="0"/>
          <w:sz w:val="24"/>
          <w:szCs w:val="24"/>
        </w:rPr>
      </w:pPr>
      <w:r>
        <w:rPr>
          <w:rFonts w:hint="eastAsia"/>
          <w:b/>
          <w:bCs/>
          <w:sz w:val="24"/>
          <w:szCs w:val="24"/>
          <w:lang w:val="en-US" w:eastAsia="zh-CN"/>
        </w:rPr>
        <w:t>（二十三）</w:t>
      </w:r>
      <w:r>
        <w:rPr>
          <w:rFonts w:hint="eastAsia"/>
          <w:b w:val="0"/>
          <w:sz w:val="24"/>
          <w:szCs w:val="24"/>
        </w:rPr>
        <w:t>招标人对本次招标活动及相关的文件资料拥有最终的解释权</w:t>
      </w:r>
      <w:r>
        <w:rPr>
          <w:rFonts w:hint="eastAsia"/>
          <w:b w:val="0"/>
          <w:sz w:val="24"/>
          <w:szCs w:val="24"/>
          <w:lang w:eastAsia="zh-CN"/>
        </w:rPr>
        <w:t>。</w:t>
      </w:r>
    </w:p>
    <w:p>
      <w:pPr>
        <w:pStyle w:val="4"/>
        <w:keepLines w:val="0"/>
        <w:numPr>
          <w:ilvl w:val="-1"/>
          <w:numId w:val="0"/>
        </w:numPr>
        <w:tabs>
          <w:tab w:val="left" w:pos="630"/>
          <w:tab w:val="left" w:pos="1981"/>
        </w:tabs>
        <w:adjustRightInd/>
        <w:spacing w:before="0" w:after="0" w:line="380" w:lineRule="exact"/>
        <w:ind w:left="0" w:firstLine="0"/>
        <w:textAlignment w:val="auto"/>
        <w:rPr>
          <w:rFonts w:hint="eastAsia"/>
          <w:b w:val="0"/>
          <w:sz w:val="24"/>
          <w:szCs w:val="24"/>
        </w:rPr>
      </w:pPr>
    </w:p>
    <w:p>
      <w:pPr>
        <w:pStyle w:val="4"/>
        <w:keepLines w:val="0"/>
        <w:numPr>
          <w:ilvl w:val="-1"/>
          <w:numId w:val="0"/>
        </w:numPr>
        <w:tabs>
          <w:tab w:val="left" w:pos="630"/>
          <w:tab w:val="left" w:pos="1981"/>
        </w:tabs>
        <w:adjustRightInd/>
        <w:spacing w:before="0" w:after="0" w:line="380" w:lineRule="exact"/>
        <w:ind w:left="0" w:firstLine="0"/>
        <w:textAlignment w:val="auto"/>
        <w:rPr>
          <w:rFonts w:hint="eastAsia"/>
          <w:b w:val="0"/>
          <w:sz w:val="24"/>
          <w:szCs w:val="24"/>
        </w:rPr>
      </w:pPr>
    </w:p>
    <w:bookmarkEnd w:id="47"/>
    <w:p>
      <w:pPr>
        <w:autoSpaceDE w:val="0"/>
        <w:autoSpaceDN w:val="0"/>
        <w:adjustRightInd w:val="0"/>
        <w:snapToGrid w:val="0"/>
        <w:spacing w:line="360" w:lineRule="auto"/>
        <w:ind w:left="11" w:right="32" w:firstLine="549"/>
        <w:sectPr>
          <w:pgSz w:w="11906" w:h="16838"/>
          <w:pgMar w:top="567" w:right="1134" w:bottom="289" w:left="1588" w:header="567" w:footer="737" w:gutter="0"/>
          <w:pgBorders>
            <w:top w:val="none" w:sz="0" w:space="0"/>
            <w:left w:val="none" w:sz="0" w:space="0"/>
            <w:bottom w:val="none" w:sz="0" w:space="0"/>
            <w:right w:val="none" w:sz="0" w:space="0"/>
          </w:pgBorders>
          <w:cols w:space="720" w:num="1"/>
          <w:docGrid w:linePitch="312" w:charSpace="0"/>
        </w:sectPr>
      </w:pPr>
      <w:bookmarkStart w:id="48" w:name="_Toc14450813"/>
      <w:bookmarkStart w:id="49" w:name="_Toc14957"/>
      <w:bookmarkStart w:id="50" w:name="_Toc11608"/>
      <w:bookmarkStart w:id="51" w:name="_Toc18831"/>
      <w:bookmarkStart w:id="52" w:name="_Toc14331"/>
      <w:bookmarkStart w:id="53" w:name="_Toc14752"/>
      <w:bookmarkStart w:id="54" w:name="_Toc458795997"/>
      <w:bookmarkStart w:id="55" w:name="_Toc22133"/>
      <w:bookmarkStart w:id="56" w:name="_Toc29548"/>
      <w:bookmarkStart w:id="57" w:name="_Toc10604"/>
      <w:bookmarkStart w:id="58" w:name="_Toc28489462"/>
      <w:bookmarkStart w:id="59" w:name="_Toc18621"/>
      <w:bookmarkStart w:id="60" w:name="_Toc14762"/>
    </w:p>
    <w:p>
      <w:pPr>
        <w:autoSpaceDE w:val="0"/>
        <w:autoSpaceDN w:val="0"/>
        <w:adjustRightInd w:val="0"/>
        <w:snapToGrid w:val="0"/>
        <w:spacing w:line="380" w:lineRule="exact"/>
        <w:ind w:right="32"/>
        <w:rPr>
          <w:sz w:val="36"/>
          <w:szCs w:val="36"/>
        </w:rPr>
      </w:pPr>
    </w:p>
    <w:p>
      <w:pPr>
        <w:autoSpaceDE w:val="0"/>
        <w:autoSpaceDN w:val="0"/>
        <w:adjustRightInd w:val="0"/>
        <w:snapToGrid w:val="0"/>
        <w:spacing w:line="380" w:lineRule="exact"/>
        <w:ind w:right="32"/>
        <w:jc w:val="center"/>
        <w:rPr>
          <w:b/>
          <w:bCs/>
          <w:sz w:val="36"/>
          <w:szCs w:val="36"/>
        </w:rPr>
      </w:pPr>
      <w:r>
        <w:rPr>
          <w:rFonts w:hint="eastAsia"/>
          <w:b/>
          <w:bCs/>
          <w:sz w:val="36"/>
          <w:szCs w:val="36"/>
        </w:rPr>
        <w:t>第三</w:t>
      </w:r>
      <w:bookmarkStart w:id="61" w:name="_Toc10525517"/>
      <w:r>
        <w:rPr>
          <w:rFonts w:hint="eastAsia"/>
          <w:b/>
          <w:bCs/>
          <w:sz w:val="36"/>
          <w:szCs w:val="36"/>
        </w:rPr>
        <w:t xml:space="preserve">章 </w:t>
      </w:r>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hint="eastAsia"/>
          <w:b/>
          <w:bCs/>
          <w:sz w:val="36"/>
          <w:szCs w:val="36"/>
        </w:rPr>
        <w:t>用户需求书</w:t>
      </w:r>
      <w:bookmarkStart w:id="62" w:name="_Toc117407388"/>
      <w:bookmarkStart w:id="63" w:name="_Toc117414874"/>
      <w:bookmarkStart w:id="64" w:name="_Toc14450822"/>
      <w:bookmarkStart w:id="65" w:name="_Toc28489480"/>
    </w:p>
    <w:bookmarkEnd w:id="62"/>
    <w:bookmarkEnd w:id="63"/>
    <w:p>
      <w:pPr>
        <w:pStyle w:val="6"/>
        <w:spacing w:line="360" w:lineRule="auto"/>
        <w:rPr>
          <w:rFonts w:hint="eastAsia" w:ascii="宋体" w:hAnsi="宋体" w:cs="宋体"/>
          <w:b/>
        </w:rPr>
      </w:pPr>
      <w:bookmarkStart w:id="66" w:name="_Toc458795998"/>
      <w:bookmarkStart w:id="67" w:name="_Toc82"/>
      <w:bookmarkStart w:id="68" w:name="_Toc20183"/>
      <w:bookmarkStart w:id="69" w:name="_Toc20888"/>
      <w:bookmarkStart w:id="70" w:name="_Toc11253"/>
      <w:r>
        <w:rPr>
          <w:rFonts w:hint="eastAsia" w:ascii="宋体" w:hAnsi="宋体" w:cs="宋体"/>
          <w:b/>
        </w:rPr>
        <w:t>（说明：采购文件中，如标有“★”的条款均为必须完全满足指标，投标人须进行实质性响应，投标人若有一项带“★”的条款未响应或不满足，将按无效投标处理；如标有“▲”的条款均为评审的重要评分指标，投标人若有部分“▲”条款</w:t>
      </w:r>
      <w:r>
        <w:rPr>
          <w:rFonts w:hint="eastAsia" w:ascii="宋体" w:hAnsi="宋体" w:cs="宋体"/>
          <w:b/>
          <w:lang w:val="en-US" w:eastAsia="zh-CN"/>
        </w:rPr>
        <w:t>未按要求提供资料</w:t>
      </w:r>
      <w:r>
        <w:rPr>
          <w:rFonts w:hint="eastAsia" w:ascii="宋体" w:hAnsi="宋体" w:cs="宋体"/>
          <w:b/>
        </w:rPr>
        <w:t>或不满足，将导致其响应性评审严重扣分。）</w:t>
      </w:r>
    </w:p>
    <w:tbl>
      <w:tblPr>
        <w:tblStyle w:val="21"/>
        <w:tblW w:w="1420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6" w:hRule="atLeast"/>
        </w:trPr>
        <w:tc>
          <w:tcPr>
            <w:tcW w:w="14201" w:type="dxa"/>
            <w:tcBorders>
              <w:top w:val="nil"/>
              <w:left w:val="nil"/>
              <w:bottom w:val="nil"/>
              <w:right w:val="nil"/>
            </w:tcBorders>
            <w:shd w:val="clear" w:color="auto" w:fill="auto"/>
            <w:noWrap/>
            <w:vAlign w:val="center"/>
          </w:tcPr>
          <w:p>
            <w:pPr>
              <w:pStyle w:val="20"/>
              <w:spacing w:line="360" w:lineRule="auto"/>
              <w:jc w:val="center"/>
              <w:rPr>
                <w:rFonts w:hint="eastAsia" w:ascii="楷体" w:hAnsi="楷体" w:eastAsia="楷体" w:cs="楷体"/>
                <w:b/>
                <w:bCs/>
                <w:i w:val="0"/>
                <w:iCs w:val="0"/>
                <w:color w:val="000000"/>
                <w:sz w:val="36"/>
                <w:szCs w:val="36"/>
                <w:u w:val="none"/>
                <w:lang w:val="en-US" w:eastAsia="zh-CN"/>
              </w:rPr>
            </w:pPr>
            <w:r>
              <w:rPr>
                <w:rFonts w:hint="eastAsia" w:ascii="楷体" w:hAnsi="楷体" w:eastAsia="楷体" w:cs="楷体"/>
                <w:b/>
                <w:bCs/>
                <w:i w:val="0"/>
                <w:iCs w:val="0"/>
                <w:color w:val="000000"/>
                <w:sz w:val="36"/>
                <w:szCs w:val="36"/>
                <w:u w:val="none"/>
                <w:lang w:val="en-US" w:eastAsia="zh-CN"/>
              </w:rPr>
              <w:t>广州南沙</w:t>
            </w:r>
            <w:r>
              <w:rPr>
                <w:rFonts w:hint="eastAsia" w:ascii="楷体" w:hAnsi="楷体" w:eastAsia="楷体" w:cs="楷体"/>
                <w:b/>
                <w:bCs/>
                <w:i w:val="0"/>
                <w:iCs w:val="0"/>
                <w:color w:val="000000"/>
                <w:sz w:val="36"/>
                <w:szCs w:val="36"/>
                <w:u w:val="none"/>
              </w:rPr>
              <w:t>前锋水乡项目启动区（一期）厨房设备采购</w:t>
            </w:r>
            <w:r>
              <w:rPr>
                <w:rFonts w:hint="eastAsia" w:ascii="楷体" w:hAnsi="楷体" w:eastAsia="楷体" w:cs="楷体"/>
                <w:b/>
                <w:bCs/>
                <w:i w:val="0"/>
                <w:iCs w:val="0"/>
                <w:color w:val="000000"/>
                <w:sz w:val="36"/>
                <w:szCs w:val="36"/>
                <w:u w:val="none"/>
                <w:lang w:val="en-US" w:eastAsia="zh-CN"/>
              </w:rPr>
              <w:t>项目需求清单</w:t>
            </w:r>
          </w:p>
          <w:tbl>
            <w:tblPr>
              <w:tblStyle w:val="21"/>
              <w:tblW w:w="14631" w:type="dxa"/>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7"/>
              <w:gridCol w:w="1636"/>
              <w:gridCol w:w="1764"/>
              <w:gridCol w:w="867"/>
              <w:gridCol w:w="958"/>
              <w:gridCol w:w="6421"/>
              <w:gridCol w:w="1941"/>
              <w:gridCol w:w="2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714"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编号</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设备名称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601" w:hRule="atLeast"/>
              </w:trPr>
              <w:tc>
                <w:tcPr>
                  <w:tcW w:w="1441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A</w:t>
                  </w:r>
                  <w:r>
                    <w:rPr>
                      <w:rFonts w:hint="eastAsia" w:ascii="宋体" w:hAnsi="宋体" w:eastAsia="宋体" w:cs="宋体"/>
                      <w:b/>
                      <w:bCs/>
                      <w:i w:val="0"/>
                      <w:iCs w:val="0"/>
                      <w:color w:val="000000"/>
                      <w:kern w:val="0"/>
                      <w:sz w:val="24"/>
                      <w:szCs w:val="24"/>
                      <w:u w:val="none"/>
                      <w:lang w:val="en-US" w:eastAsia="zh-CN" w:bidi="ar"/>
                    </w:rPr>
                    <w:t>一楼厨房设备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7"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单星盆台柜</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1200*700*950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1.采用不锈钢磨砂板材（要求304#）；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2.面板和星盆及其它厚度均要求大于1.1mm。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3.设2寸不锈钢去水咀及溢水口；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4.Φ38mm不锈钢通脚，下加可调式子弹脚。</w:t>
                  </w:r>
                </w:p>
              </w:tc>
              <w:tc>
                <w:tcPr>
                  <w:tcW w:w="2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u w:val="none"/>
                    </w:rPr>
                  </w:pPr>
                  <w:r>
                    <w:drawing>
                      <wp:inline distT="0" distB="0" distL="114300" distR="114300">
                        <wp:extent cx="825500" cy="584835"/>
                        <wp:effectExtent l="0" t="0" r="12700" b="5715"/>
                        <wp:docPr id="20" name="图片 19" descr="9053e1285dd4ef1effd7cf48ba7359a3_27e5a63b661c671ad6af6652b4135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9053e1285dd4ef1effd7cf48ba7359a3_27e5a63b661c671ad6af6652b413598a"/>
                                <pic:cNvPicPr>
                                  <a:picLocks noChangeAspect="1"/>
                                </pic:cNvPicPr>
                              </pic:nvPicPr>
                              <pic:blipFill>
                                <a:blip r:embed="rId12"/>
                                <a:stretch>
                                  <a:fillRect/>
                                </a:stretch>
                              </pic:blipFill>
                              <pic:spPr>
                                <a:xfrm rot="10800000" flipV="1">
                                  <a:off x="0" y="0"/>
                                  <a:ext cx="825500" cy="5848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227"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保鲜砧板台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1800**760*950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1、制冷方式：直冷；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2、建议电子数字控温；</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u w:val="none"/>
                    </w:rPr>
                  </w:pPr>
                  <w:r>
                    <w:drawing>
                      <wp:inline distT="0" distB="0" distL="114300" distR="114300">
                        <wp:extent cx="821055" cy="655955"/>
                        <wp:effectExtent l="0" t="0" r="17145" b="10795"/>
                        <wp:docPr id="8" name="图片 7" descr="02d801487620a1c4caec87ad2027b2fd_t016bc3ec94e50ee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2d801487620a1c4caec87ad2027b2fd_t016bc3ec94e50eec63"/>
                                <pic:cNvPicPr>
                                  <a:picLocks noChangeAspect="1"/>
                                </pic:cNvPicPr>
                              </pic:nvPicPr>
                              <pic:blipFill>
                                <a:blip r:embed="rId13"/>
                                <a:stretch>
                                  <a:fillRect/>
                                </a:stretch>
                              </pic:blipFill>
                              <pic:spPr>
                                <a:xfrm>
                                  <a:off x="0" y="0"/>
                                  <a:ext cx="821055" cy="6559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419"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单星砧板台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1500*760*950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1.采用不锈钢磨砂板材；（要求304#）；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2.面板和星盆及其它厚度均要求大于1.1mm。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3.设2寸不锈钢去水咀及溢水口；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4.Φ38mm不锈钢通脚，下加可调式子弹脚。</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825500" cy="584835"/>
                        <wp:effectExtent l="0" t="0" r="12700" b="5715"/>
                        <wp:docPr id="3" name="图片 19" descr="9053e1285dd4ef1effd7cf48ba7359a3_27e5a63b661c671ad6af6652b4135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9053e1285dd4ef1effd7cf48ba7359a3_27e5a63b661c671ad6af6652b413598a"/>
                                <pic:cNvPicPr>
                                  <a:picLocks noChangeAspect="1"/>
                                </pic:cNvPicPr>
                              </pic:nvPicPr>
                              <pic:blipFill>
                                <a:blip r:embed="rId12"/>
                                <a:stretch>
                                  <a:fillRect/>
                                </a:stretch>
                              </pic:blipFill>
                              <pic:spPr>
                                <a:xfrm rot="10800000" flipV="1">
                                  <a:off x="0" y="0"/>
                                  <a:ext cx="825500" cy="5848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88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挂墙吊柜</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1800*300*400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采用不锈钢板（要求304#），厚度大于1.1mm，台脚用Φ51*3mm不锈钢管包钢管以及钢塑可调节脚组成</w:t>
                  </w:r>
                  <w:r>
                    <w:rPr>
                      <w:rFonts w:hint="eastAsia" w:ascii="宋体" w:hAnsi="宋体" w:cs="宋体"/>
                      <w:i w:val="0"/>
                      <w:iCs w:val="0"/>
                      <w:color w:val="000000"/>
                      <w:kern w:val="0"/>
                      <w:sz w:val="22"/>
                      <w:szCs w:val="22"/>
                      <w:u w:val="none"/>
                      <w:lang w:val="en-US" w:eastAsia="zh-CN" w:bidi="ar"/>
                    </w:rPr>
                    <w:t>.</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793115" cy="804545"/>
                        <wp:effectExtent l="0" t="0" r="6985" b="14605"/>
                        <wp:docPr id="24" name="图片 23" descr="O1CN01J4nD4w26m1agRqtTp_!!2200758247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O1CN01J4nD4w26m1agRqtTp_!!2200758247703[1]"/>
                                <pic:cNvPicPr>
                                  <a:picLocks noChangeAspect="1"/>
                                </pic:cNvPicPr>
                              </pic:nvPicPr>
                              <pic:blipFill>
                                <a:blip r:embed="rId14"/>
                                <a:stretch>
                                  <a:fillRect/>
                                </a:stretch>
                              </pic:blipFill>
                              <pic:spPr>
                                <a:xfrm>
                                  <a:off x="0" y="0"/>
                                  <a:ext cx="793115" cy="8045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3394"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▲厨房冷柜（四门高身）</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1220*760*1920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1.制冷方式：直冷；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2.容量:800-934L；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3.温度范围：-18℃至0℃；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4.电子数字控温为佳；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5.内外箱要求304#不锈钢板材；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6.厨房冷柜：产品具有符合GB/T24021-2001标准，产品中食品接触用金属材料重金属铅 Pb≤0.02mg/kg、砷As≤0.02mg/kg、镉Cd≤0.02mg/kg、铬 Cr≤1.5mg/kg、镍Ni≤0.2mg/kg的《中国环境标志（Ⅱ型）产品认证证书》。（提供证书扫描件及全国认证认可信息公共服务平台上http://cx.cnca.cn查询结果的截图，且证书状态必须为“有效”）</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796925" cy="968375"/>
                        <wp:effectExtent l="0" t="0" r="3175" b="3175"/>
                        <wp:docPr id="62" name="Picture 467" descr="型号：  K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7" descr="型号：  KD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96925" cy="9683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12"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单层吊板架</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5400*400*2600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采用304#不锈钢磨砂贴塑板，台面厚度大于1.1mm</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r>
                    <w:drawing>
                      <wp:inline distT="0" distB="0" distL="114300" distR="114300">
                        <wp:extent cx="832485" cy="440055"/>
                        <wp:effectExtent l="0" t="0" r="5715" b="17145"/>
                        <wp:docPr id="166546" name="Picture 1059" descr="座台层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6" name="Picture 1059" descr="座台层架"/>
                                <pic:cNvPicPr>
                                  <a:picLocks noChangeAspect="1"/>
                                </pic:cNvPicPr>
                              </pic:nvPicPr>
                              <pic:blipFill>
                                <a:blip r:embed="rId16"/>
                                <a:stretch>
                                  <a:fillRect/>
                                </a:stretch>
                              </pic:blipFill>
                              <pic:spPr>
                                <a:xfrm>
                                  <a:off x="0" y="0"/>
                                  <a:ext cx="832485" cy="44005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034"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A7</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双通道荷台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1800*800*800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台面板采用304#不锈钢板制造，厚度大于1.1mm，面板下衬加强档φ38mm厚度1.0mm不锈钢圆通腿，下层框38*38*1.0mm，无前横档，下置垃圾桶，配全钢可调式子弹脚。</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826135" cy="764540"/>
                        <wp:effectExtent l="0" t="0" r="12065" b="16510"/>
                        <wp:docPr id="4" name="图片 3" descr="c704aa3025e0fe828a13c588543bb04c_3_6f0af6bb50a2bd928b4959f866ffb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704aa3025e0fe828a13c588543bb04c_3_6f0af6bb50a2bd928b4959f866ffbdb1"/>
                                <pic:cNvPicPr>
                                  <a:picLocks noChangeAspect="1"/>
                                </pic:cNvPicPr>
                              </pic:nvPicPr>
                              <pic:blipFill>
                                <a:blip r:embed="rId17" cstate="print"/>
                                <a:stretch>
                                  <a:fillRect/>
                                </a:stretch>
                              </pic:blipFill>
                              <pic:spPr>
                                <a:xfrm>
                                  <a:off x="0" y="0"/>
                                  <a:ext cx="826135" cy="7645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674"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异形双层台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450*460*1150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采用304#不锈钢磨砂贴塑板，面板厚度大于1.1mm，加强筋，层板0.8mm厚,加支架、通脚φ38*1.2mm,可调子弹脚，</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621030" cy="446405"/>
                        <wp:effectExtent l="0" t="0" r="7620" b="10795"/>
                        <wp:docPr id="5" name="图片 11" descr="2e2e585de64e6ea9fc8c02a8c7d03013_wKhQxVkL81iEanTcAAAAAMGqSgQ243.jpg..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2e2e585de64e6ea9fc8c02a8c7d03013_wKhQxVkL81iEanTcAAAAAMGqSgQ243.jpg..400x400"/>
                                <pic:cNvPicPr>
                                  <a:picLocks noChangeAspect="1"/>
                                </pic:cNvPicPr>
                              </pic:nvPicPr>
                              <pic:blipFill>
                                <a:blip r:embed="rId18"/>
                                <a:stretch>
                                  <a:fillRect/>
                                </a:stretch>
                              </pic:blipFill>
                              <pic:spPr>
                                <a:xfrm>
                                  <a:off x="0" y="0"/>
                                  <a:ext cx="621030" cy="4464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856"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A9</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炉拼台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400*1100*800*400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1.材质：台面采用大于1.1mm厚304不锈钢板，底衬1.5mm厚304不锈钢加强梁；配ф51可调子弹脚；</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693420" cy="387350"/>
                        <wp:effectExtent l="0" t="0" r="11430" b="12700"/>
                        <wp:docPr id="11" name="图片 10" descr="03b89bc9b28f96c3a87b76ff57364b92_wKgGTFVILaSAAah7AAJ8fYRvujA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03b89bc9b28f96c3a87b76ff57364b92_wKgGTFVILaSAAah7AAJ8fYRvujA038"/>
                                <pic:cNvPicPr>
                                  <a:picLocks noChangeAspect="1"/>
                                </pic:cNvPicPr>
                              </pic:nvPicPr>
                              <pic:blipFill>
                                <a:blip r:embed="rId19"/>
                                <a:stretch>
                                  <a:fillRect/>
                                </a:stretch>
                              </pic:blipFill>
                              <pic:spPr>
                                <a:xfrm>
                                  <a:off x="0" y="0"/>
                                  <a:ext cx="693420" cy="3873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06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4"/>
                      <w:szCs w:val="24"/>
                      <w:u w:val="none"/>
                      <w:lang w:val="en-US" w:eastAsia="zh-CN" w:bidi="ar"/>
                    </w:rPr>
                    <w:t>电磁双炒单尾炉</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1800*1100*800*400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1、面板采用耐腐蚀的304板材，实厚</w:t>
                  </w:r>
                  <w:r>
                    <w:rPr>
                      <w:rFonts w:hint="eastAsia" w:ascii="宋体" w:hAnsi="宋体" w:cs="宋体"/>
                      <w:i w:val="0"/>
                      <w:iCs w:val="0"/>
                      <w:color w:val="000000"/>
                      <w:kern w:val="0"/>
                      <w:sz w:val="22"/>
                      <w:szCs w:val="22"/>
                      <w:u w:val="none"/>
                      <w:lang w:val="en-US" w:eastAsia="zh-CN" w:bidi="ar"/>
                    </w:rPr>
                    <w:t>不小于</w:t>
                  </w:r>
                  <w:r>
                    <w:rPr>
                      <w:rFonts w:hint="eastAsia" w:ascii="宋体" w:hAnsi="宋体" w:eastAsia="宋体" w:cs="宋体"/>
                      <w:i w:val="0"/>
                      <w:iCs w:val="0"/>
                      <w:color w:val="000000"/>
                      <w:kern w:val="0"/>
                      <w:sz w:val="22"/>
                      <w:szCs w:val="22"/>
                      <w:u w:val="none"/>
                      <w:lang w:val="en-US" w:eastAsia="zh-CN" w:bidi="ar"/>
                    </w:rPr>
                    <w:t>1.25，侧板</w:t>
                  </w:r>
                  <w:r>
                    <w:rPr>
                      <w:rFonts w:hint="eastAsia" w:ascii="宋体" w:hAnsi="宋体" w:cs="宋体"/>
                      <w:i w:val="0"/>
                      <w:iCs w:val="0"/>
                      <w:color w:val="000000"/>
                      <w:kern w:val="0"/>
                      <w:sz w:val="22"/>
                      <w:szCs w:val="22"/>
                      <w:u w:val="none"/>
                      <w:lang w:val="en-US" w:eastAsia="zh-CN" w:bidi="ar"/>
                    </w:rPr>
                    <w:t>304</w:t>
                  </w:r>
                  <w:r>
                    <w:rPr>
                      <w:rFonts w:hint="eastAsia" w:ascii="宋体" w:hAnsi="宋体" w:eastAsia="宋体" w:cs="宋体"/>
                      <w:i w:val="0"/>
                      <w:iCs w:val="0"/>
                      <w:color w:val="000000"/>
                      <w:kern w:val="0"/>
                      <w:sz w:val="22"/>
                      <w:szCs w:val="22"/>
                      <w:u w:val="none"/>
                      <w:lang w:val="en-US" w:eastAsia="zh-CN" w:bidi="ar"/>
                    </w:rPr>
                    <w:t>,实厚</w:t>
                  </w:r>
                  <w:r>
                    <w:rPr>
                      <w:rFonts w:hint="eastAsia" w:ascii="宋体" w:hAnsi="宋体" w:cs="宋体"/>
                      <w:i w:val="0"/>
                      <w:iCs w:val="0"/>
                      <w:color w:val="000000"/>
                      <w:kern w:val="0"/>
                      <w:sz w:val="22"/>
                      <w:szCs w:val="22"/>
                      <w:u w:val="none"/>
                      <w:lang w:val="en-US" w:eastAsia="zh-CN" w:bidi="ar"/>
                    </w:rPr>
                    <w:t>不小于</w:t>
                  </w:r>
                  <w:r>
                    <w:rPr>
                      <w:rFonts w:hint="eastAsia" w:ascii="宋体" w:hAnsi="宋体" w:eastAsia="宋体" w:cs="宋体"/>
                      <w:i w:val="0"/>
                      <w:iCs w:val="0"/>
                      <w:color w:val="000000"/>
                      <w:kern w:val="0"/>
                      <w:sz w:val="22"/>
                      <w:szCs w:val="22"/>
                      <w:u w:val="none"/>
                      <w:lang w:val="en-US" w:eastAsia="zh-CN" w:bidi="ar"/>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2、尺寸：1800*1100*800+470mm</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3、功率/电压：18KW*2/380V 显示屏显示中文故障原因，用电量，定时、定温功能。方便维修售后。</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4、耐用方便的5档磁控火力开关。采用CPU处理器，反应速度超快，可实现快速抛锅，达到明火效果。</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▲5、产品依据：GB4706.1-2005 GB4706.52-2008执行标准，提供带有CMA,CAL,CNAS标识的检测报告。</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▲6、节能，热效率≥95.3%，提供该产品带有CMA、CNAS标识的检测节能报告与节能证书，通过GB40876-2021《商用电磁炉能效限定值及能效等级》执行标准。</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▲7、本产品所采用的不锈钢材料及食品接触面不应对人体健康造成危害，符合GB 4806.7-2016、GB 4806.9-2016、GB 4806.11-2016检测标准，具有合格的食品接触产品安全认证证书以及带有CMA、CNAS标识的标志认证试验报告。</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▲8、婴儿般睡眠般安静，超静音，在温度24.1℃，湿度63.5%RH环境中，最高档位工作，沸腾时噪音≤55dB。依据GB/T4214.1-2017检测标准，提供带有CMA，CNAS标识的检测报告。</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▲9、品质稳定，质量可靠。设备连续工作4小时检测合格。依据SB/T10548-2009检测标准，出具该产品带有CMA，CNAS标识的检测合格报告。</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该产品通过GB/T26572-2011,GB/T26125-2011试验标准检测，其配件线盘，散热块部件桥堆，变压器，电源线，接线盒，小炒锅，磁控开关，水龙头，壳体部件，电容电路板，机芯外壳，未检出金属元素“汞”，6价铬显示阴性，符合rohs认证标准，提供检测报告，带有CMA,CANS标志。</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▲12、18KW双头单尾炉依据CQC5322-2023标准进行检测，符合：CQC-53-448190-2023认证规则要求，具有绿色产品认证证书。</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FF0000"/>
                      <w:sz w:val="22"/>
                      <w:szCs w:val="22"/>
                      <w:u w:val="none"/>
                    </w:rPr>
                  </w:pPr>
                  <w:r>
                    <w:drawing>
                      <wp:inline distT="0" distB="0" distL="114300" distR="114300">
                        <wp:extent cx="861695" cy="864235"/>
                        <wp:effectExtent l="0" t="0" r="14605" b="1206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0" r:link="rId21"/>
                                <a:stretch>
                                  <a:fillRect/>
                                </a:stretch>
                              </pic:blipFill>
                              <pic:spPr>
                                <a:xfrm>
                                  <a:off x="0" y="0"/>
                                  <a:ext cx="861695" cy="8642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74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炉拼台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600*1100*800*400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要求采用304#不锈钢磨砂贴塑板，建议台面1.2-1.5mm厚，层板需达到1.0mm厚,加支架、通脚φ38*1.2mm,可调子弹脚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具有线盘干烧保护、过压过流保护；</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FF0000"/>
                      <w:sz w:val="22"/>
                      <w:szCs w:val="22"/>
                      <w:u w:val="none"/>
                    </w:rPr>
                  </w:pPr>
                  <w:r>
                    <w:drawing>
                      <wp:inline distT="0" distB="0" distL="114300" distR="114300">
                        <wp:extent cx="749300" cy="673735"/>
                        <wp:effectExtent l="0" t="0" r="12700" b="12065"/>
                        <wp:docPr id="10" name="图片 9" descr="03b89bc9b28f96c3a87b76ff57364b92_wKgGTFVILaSAAah7AAJ8fYRvujA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03b89bc9b28f96c3a87b76ff57364b92_wKgGTFVILaSAAah7AAJ8fYRvujA038"/>
                                <pic:cNvPicPr>
                                  <a:picLocks noChangeAspect="1"/>
                                </pic:cNvPicPr>
                              </pic:nvPicPr>
                              <pic:blipFill>
                                <a:blip r:embed="rId19"/>
                                <a:stretch>
                                  <a:fillRect/>
                                </a:stretch>
                              </pic:blipFill>
                              <pic:spPr>
                                <a:xfrm>
                                  <a:off x="0" y="0"/>
                                  <a:ext cx="749300" cy="6737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152"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电磁六头煲仔炉</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1200*800*800*150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1、功率 3.5KW*6/380v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2、尺寸：1100*900*800+30mm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3、产品采用全304不锈钢制作，面板</w:t>
                  </w:r>
                  <w:r>
                    <w:rPr>
                      <w:rFonts w:hint="eastAsia" w:ascii="宋体" w:hAnsi="宋体" w:cs="宋体"/>
                      <w:i w:val="0"/>
                      <w:iCs w:val="0"/>
                      <w:color w:val="000000"/>
                      <w:kern w:val="0"/>
                      <w:sz w:val="22"/>
                      <w:szCs w:val="22"/>
                      <w:u w:val="none"/>
                      <w:lang w:val="en-US" w:eastAsia="zh-CN" w:bidi="ar"/>
                    </w:rPr>
                    <w:t>不小于</w:t>
                  </w:r>
                  <w:r>
                    <w:rPr>
                      <w:rFonts w:hint="eastAsia" w:ascii="宋体" w:hAnsi="宋体" w:eastAsia="宋体" w:cs="宋体"/>
                      <w:i w:val="0"/>
                      <w:iCs w:val="0"/>
                      <w:color w:val="000000"/>
                      <w:kern w:val="0"/>
                      <w:sz w:val="22"/>
                      <w:szCs w:val="22"/>
                      <w:u w:val="none"/>
                      <w:lang w:val="en-US" w:eastAsia="zh-CN" w:bidi="ar"/>
                    </w:rPr>
                    <w:t>1.5mm，其他</w:t>
                  </w:r>
                  <w:r>
                    <w:rPr>
                      <w:rFonts w:hint="eastAsia" w:ascii="宋体" w:hAnsi="宋体" w:cs="宋体"/>
                      <w:i w:val="0"/>
                      <w:iCs w:val="0"/>
                      <w:color w:val="000000"/>
                      <w:kern w:val="0"/>
                      <w:sz w:val="22"/>
                      <w:szCs w:val="22"/>
                      <w:u w:val="none"/>
                      <w:lang w:val="en-US" w:eastAsia="zh-CN" w:bidi="ar"/>
                    </w:rPr>
                    <w:t>不小于</w:t>
                  </w:r>
                  <w:r>
                    <w:rPr>
                      <w:rFonts w:hint="eastAsia" w:ascii="宋体" w:hAnsi="宋体" w:eastAsia="宋体" w:cs="宋体"/>
                      <w:i w:val="0"/>
                      <w:iCs w:val="0"/>
                      <w:color w:val="000000"/>
                      <w:kern w:val="0"/>
                      <w:sz w:val="22"/>
                      <w:szCs w:val="22"/>
                      <w:u w:val="none"/>
                      <w:lang w:val="en-US" w:eastAsia="zh-CN" w:bidi="ar"/>
                    </w:rPr>
                    <w:t xml:space="preserve">1.0mm，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4、采用集成开关显示屏，开关、显示集于一体，采用9档旋钮开关，具有定温、编程烹饪、集成数字电表功能，功率实时显示、故障中文显示，便于售后。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▲5、本产品所采用的不锈钢材料及食品接触面不应对人体健康造成危害，符合GB 4806.7-2016、GB 4806.9-2016、GB 4806.11-2016检测标准，具有合格的食品接触产品安全认证证书以及带有CMA、CNAS标识标志认证试验报告。</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▲6、产品不应放射有害射线，辐射值＜9.5% ，通过EN62233:2008标准检测，提供带有CMA、CNAS、CAL标识的辐射报告。</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▲7、产品通过GB4706.1-2005 GB4706.52-2008执行标准检测，提供带有CMA、CNAS、CAL标识的检测报告。</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该产品通过GB/T26572-2011,GB/T26125-2011试验标准检测，其配件线盘，散热块部件桥堆，变压器，电源线，接线盒，小炒锅，磁控开关，水龙头，壳体部件，电容电路板，机芯外壳，未检出金属元素“汞”，6价铬显示阴性，符合rohs认证标准，提供检测合格报告带有CMA,CANS标志。</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843280" cy="843280"/>
                        <wp:effectExtent l="0" t="0" r="13970" b="1397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2" r:link="rId21"/>
                                <a:stretch>
                                  <a:fillRect/>
                                </a:stretch>
                              </pic:blipFill>
                              <pic:spPr>
                                <a:xfrm>
                                  <a:off x="0" y="0"/>
                                  <a:ext cx="843280" cy="8432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477"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电磁节能三门蒸柜炉</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1200*950*1850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要求金属“框架式结构”，一体成型台面设计，炉面板采用304高档不锈钢，炉面板和侧板厚度均大于1.1mm；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具有线盘干烧保护、过压过流保护；</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739775" cy="741045"/>
                        <wp:effectExtent l="0" t="0" r="3175" b="19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r:link="rId21"/>
                                <a:stretch>
                                  <a:fillRect/>
                                </a:stretch>
                              </pic:blipFill>
                              <pic:spPr>
                                <a:xfrm>
                                  <a:off x="0" y="0"/>
                                  <a:ext cx="739775" cy="7410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698"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不锈钢收糠台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800*700*950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采用304#不锈钢磨砂贴塑板，面板厚度大于1.1mm；，加强筋，层板0.8mm厚,加支架、通脚φ38*1.2mm,可调子弹脚，</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179"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洁碟台</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1800*700*950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1.采用304#不锈钢磨砂板材；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2.面板厚度大于1.1mm；，其它厚度大于1.1mm；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3.Φ38mm不锈钢通脚，下加可调式子弹脚。</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811530" cy="641985"/>
                        <wp:effectExtent l="0" t="0" r="7620" b="5715"/>
                        <wp:docPr id="26" name="图片 25" descr="2_204_6958_400_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2_204_6958_400_316[1]"/>
                                <pic:cNvPicPr>
                                  <a:picLocks noChangeAspect="1"/>
                                </pic:cNvPicPr>
                              </pic:nvPicPr>
                              <pic:blipFill>
                                <a:blip r:embed="rId24"/>
                                <a:stretch>
                                  <a:fillRect/>
                                </a:stretch>
                              </pic:blipFill>
                              <pic:spPr>
                                <a:xfrm>
                                  <a:off x="0" y="0"/>
                                  <a:ext cx="811530" cy="6419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1269"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双层挂墙架</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1800*300*400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要求采用304#不锈钢磨砂贴塑板，台面厚度大于1.1mm；</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FF0000"/>
                      <w:sz w:val="22"/>
                      <w:szCs w:val="22"/>
                      <w:u w:val="none"/>
                    </w:rPr>
                  </w:pPr>
                  <w:r>
                    <w:drawing>
                      <wp:inline distT="0" distB="0" distL="114300" distR="114300">
                        <wp:extent cx="697865" cy="699770"/>
                        <wp:effectExtent l="0" t="0" r="6985" b="5080"/>
                        <wp:docPr id="25" name="图片 24" descr="O1CN01J4nD4w26m1agRqtTp_!!2200758247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O1CN01J4nD4w26m1agRqtTp_!!2200758247703[1]"/>
                                <pic:cNvPicPr>
                                  <a:picLocks noChangeAspect="1"/>
                                </pic:cNvPicPr>
                              </pic:nvPicPr>
                              <pic:blipFill>
                                <a:blip r:embed="rId14"/>
                                <a:stretch>
                                  <a:fillRect/>
                                </a:stretch>
                              </pic:blipFill>
                              <pic:spPr>
                                <a:xfrm>
                                  <a:off x="0" y="0"/>
                                  <a:ext cx="697865" cy="6997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1363"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A17</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电开水器</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6KW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1、电压：满足380V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2、功率：满足6KW</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FF0000"/>
                      <w:sz w:val="22"/>
                      <w:szCs w:val="22"/>
                      <w:u w:val="none"/>
                    </w:rPr>
                  </w:pPr>
                  <w:r>
                    <w:rPr>
                      <w:rFonts w:hint="eastAsia"/>
                      <w:lang w:val="en-US" w:eastAsia="zh-CN"/>
                    </w:rPr>
                    <w:t xml:space="preserve"> </w:t>
                  </w:r>
                  <w:r>
                    <w:drawing>
                      <wp:inline distT="0" distB="0" distL="114300" distR="114300">
                        <wp:extent cx="445135" cy="501650"/>
                        <wp:effectExtent l="0" t="0" r="12065" b="12700"/>
                        <wp:docPr id="19" name="图片 18" descr="e97edb64da586e08b936e68405a0c6c8_t01cb1d8ddbb2824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e97edb64da586e08b936e68405a0c6c8_t01cb1d8ddbb28240b2"/>
                                <pic:cNvPicPr>
                                  <a:picLocks noChangeAspect="1"/>
                                </pic:cNvPicPr>
                              </pic:nvPicPr>
                              <pic:blipFill>
                                <a:blip r:embed="rId25"/>
                                <a:stretch>
                                  <a:fillRect/>
                                </a:stretch>
                              </pic:blipFill>
                              <pic:spPr>
                                <a:xfrm>
                                  <a:off x="0" y="0"/>
                                  <a:ext cx="445135" cy="5016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152"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双门消毒柜</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1160*580*1800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1.要求不锈钢外箱体，铝板内胆，门体为铝合金门框,玻璃门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2.容量：570-698升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3.具备紫外线、臭氧、双重消毒，中温烘干</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791845" cy="793750"/>
                        <wp:effectExtent l="0" t="0" r="8255" b="635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26" r:link="rId21"/>
                                <a:stretch>
                                  <a:fillRect/>
                                </a:stretch>
                              </pic:blipFill>
                              <pic:spPr>
                                <a:xfrm>
                                  <a:off x="0" y="0"/>
                                  <a:ext cx="791845" cy="7937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44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A19</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四门储碗柜</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1200*500*1800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材质：台面采用1.2-1.5mm厚不锈钢磨砂贴塑板，底衬不锈钢加强梁；柜身采用0.8mm厚不锈钢磨砂贴塑板，层板采用1.2-1.5mm厚不锈钢磨砂贴塑板；门建议采用吊轮式结构滑动轻便灵活；</w:t>
                  </w:r>
                </w:p>
              </w:tc>
              <w:tc>
                <w:tcPr>
                  <w:tcW w:w="19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ascii="Tahoma" w:hAnsi="Tahoma" w:eastAsia="Tahoma" w:cs="Tahoma"/>
                      <w:i w:val="0"/>
                      <w:iCs w:val="0"/>
                      <w:color w:val="000000"/>
                      <w:sz w:val="22"/>
                      <w:szCs w:val="22"/>
                      <w:u w:val="none"/>
                    </w:rPr>
                  </w:pPr>
                  <w:r>
                    <w:drawing>
                      <wp:inline distT="0" distB="0" distL="114300" distR="114300">
                        <wp:extent cx="835660" cy="817245"/>
                        <wp:effectExtent l="0" t="0" r="2540"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7" r:link="rId21"/>
                                <a:stretch>
                                  <a:fillRect/>
                                </a:stretch>
                              </pic:blipFill>
                              <pic:spPr>
                                <a:xfrm>
                                  <a:off x="0" y="0"/>
                                  <a:ext cx="835660" cy="8172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728"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四层板架</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600*500*1550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1、主架采用厚度大于1.1mm304不锈钢板制作；支管采用大于1.1mm厚304不锈钢板25mm*25mm方管,间距30mm；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2、条式层架采用厚度大于1.1mm304不锈钢板、25mm*25mm方管，柱脚采用Φ38mm304不锈钢管及高度调整钢脚</w:t>
                  </w:r>
                </w:p>
              </w:tc>
              <w:tc>
                <w:tcPr>
                  <w:tcW w:w="19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Tahoma" w:hAnsi="Tahoma" w:eastAsia="Tahoma" w:cs="Tahoma"/>
                      <w:i w:val="0"/>
                      <w:iCs w:val="0"/>
                      <w:color w:val="000000"/>
                      <w:sz w:val="22"/>
                      <w:szCs w:val="22"/>
                      <w:u w:val="none"/>
                    </w:rPr>
                  </w:pPr>
                  <w:r>
                    <w:drawing>
                      <wp:inline distT="0" distB="0" distL="114300" distR="114300">
                        <wp:extent cx="805815" cy="1056005"/>
                        <wp:effectExtent l="0" t="0" r="13335" b="10795"/>
                        <wp:docPr id="166510" name="Picture 2" descr="c:\documents and settings\administrator\application data\360se6\User Data\temp\95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0" name="Picture 2" descr="c:\documents and settings\administrator\application data\360se6\User Data\temp\954625.jpg"/>
                                <pic:cNvPicPr>
                                  <a:picLocks noChangeAspect="1"/>
                                </pic:cNvPicPr>
                              </pic:nvPicPr>
                              <pic:blipFill>
                                <a:blip r:embed="rId28"/>
                                <a:stretch>
                                  <a:fillRect/>
                                </a:stretch>
                              </pic:blipFill>
                              <pic:spPr>
                                <a:xfrm>
                                  <a:off x="0" y="0"/>
                                  <a:ext cx="805815" cy="10560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7595"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r>
                    <w:rPr>
                      <w:rFonts w:ascii="宋体" w:hAnsi="宋体" w:eastAsia="宋体" w:cs="宋体"/>
                      <w:sz w:val="24"/>
                      <w:szCs w:val="24"/>
                    </w:rPr>
                    <w:t xml:space="preserve">杂物电梯 </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1000*1000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1"/>
                      <w:szCs w:val="21"/>
                      <w:u w:val="none"/>
                      <w:lang w:val="en-US" w:eastAsia="zh-CN" w:bidi="ar"/>
                    </w:rPr>
                    <w:t>具备以下主要功能：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1.电锁功能。2.自动平层功能。3.电气门联锁功能。4.层门机械锁功能。5.开关门提示功能。6.轿厢位置运行方向显示功能 。7.故障显示自诊断功能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8.呼梯应答功能。9.遇故障自动停机功能 。  10.接触器粘连保护功能。11.蜂鸣提示功能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12.缺相、错相保护功能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13.电机过载保护功能 。14.极限限位保护功能  。15.直驶、纠错功能 。16.接触器机械互锁功能。17.运行/检修功能。18.故障重新启动功能。19.厅门止动装置功能等。</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杂物货梯需提供符合《电梯型式试验规则》（TSG T7007—2022） GB 25194—2010 （其中K5.5 机械设备间、井道 K5.5.1布置说明及图示 K5.5.2结构受力 K5.5.3井道内各部件之间的间隙和保护  K5.5.4导轨  K5.5.5机房、井道的其他要求 所检项目标准要求需为合格。</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21.</w:t>
                  </w:r>
                  <w:r>
                    <w:rPr>
                      <w:rFonts w:hint="eastAsia" w:ascii="宋体" w:hAnsi="宋体" w:eastAsia="宋体" w:cs="宋体"/>
                      <w:i w:val="0"/>
                      <w:iCs w:val="0"/>
                      <w:color w:val="000000"/>
                      <w:kern w:val="0"/>
                      <w:sz w:val="21"/>
                      <w:szCs w:val="21"/>
                      <w:u w:val="none"/>
                      <w:lang w:val="en-US" w:eastAsia="zh-CN" w:bidi="ar"/>
                    </w:rPr>
                    <w:t>驱动主机需提供符合《电梯型式试验规则》（TSGT7007—2022） GB25194—2010其中（X6.5 驱动主机整机X6.5.2驱动主机噪声噪声dB(A)：前：60.2后：61.1 左：60.8右：60.9 上：61.3背景：42.3/X6.3 曳引轮X6.3.3曳引轮绳槽硬度硬度值HBW： 1、213 2、215 3、218 4、225 硬度差需为：12，所检项目标准要求需为合格。</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22.</w:t>
                  </w:r>
                  <w:r>
                    <w:rPr>
                      <w:rFonts w:hint="eastAsia" w:ascii="宋体" w:hAnsi="宋体" w:eastAsia="宋体" w:cs="宋体"/>
                      <w:i w:val="0"/>
                      <w:iCs w:val="0"/>
                      <w:color w:val="000000"/>
                      <w:kern w:val="0"/>
                      <w:sz w:val="21"/>
                      <w:szCs w:val="21"/>
                      <w:u w:val="none"/>
                      <w:lang w:val="en-US" w:eastAsia="zh-CN" w:bidi="ar"/>
                    </w:rPr>
                    <w:t>电梯控制柜需提供符合《电梯型式试验规则》（TSGT7007—2022） GB25194—2010其中V6.1 一般要求V6.1.1电气设备及安装V6.1.2绝缘电阻、耐压及防护等级V6.1.3电气故障的防护V6.1.4电气安全装置所检项目标准要求需为合格</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 xml:space="preserve">【本产品需提供生产厂家的第三方检验报告扫描件并加盖公章，报告及证书可在“全国认证认可信息公共服务平台（http://cx.cnca.cn/）”查询有效】 </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23.杂物电梯生产单位需提供特种设备生产许可证，许可范围需包含电梯制造(含安装、修理、改造)提供证书复印件加盖生产厂家公章。</w:t>
                  </w:r>
                </w:p>
              </w:tc>
              <w:tc>
                <w:tcPr>
                  <w:tcW w:w="19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ahoma" w:hAnsi="Tahoma" w:eastAsia="Tahoma" w:cs="Tahoma"/>
                      <w:i w:val="0"/>
                      <w:iCs w:val="0"/>
                      <w:color w:val="000000"/>
                      <w:sz w:val="22"/>
                      <w:szCs w:val="22"/>
                      <w:u w:val="none"/>
                    </w:rPr>
                  </w:pPr>
                  <w:r>
                    <w:drawing>
                      <wp:anchor distT="0" distB="0" distL="114300" distR="114300" simplePos="0" relativeHeight="251663360" behindDoc="0" locked="0" layoutInCell="1" allowOverlap="1">
                        <wp:simplePos x="0" y="0"/>
                        <wp:positionH relativeFrom="column">
                          <wp:posOffset>121285</wp:posOffset>
                        </wp:positionH>
                        <wp:positionV relativeFrom="paragraph">
                          <wp:posOffset>2240915</wp:posOffset>
                        </wp:positionV>
                        <wp:extent cx="683260" cy="793750"/>
                        <wp:effectExtent l="0" t="0" r="2540" b="6350"/>
                        <wp:wrapSquare wrapText="bothSides"/>
                        <wp:docPr id="16" name="图片 4" descr="6349c253b149de50f603a4857bf1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6349c253b149de50f603a4857bf144b"/>
                                <pic:cNvPicPr>
                                  <a:picLocks noChangeAspect="1"/>
                                </pic:cNvPicPr>
                              </pic:nvPicPr>
                              <pic:blipFill>
                                <a:blip r:embed="rId29"/>
                                <a:stretch>
                                  <a:fillRect/>
                                </a:stretch>
                              </pic:blipFill>
                              <pic:spPr>
                                <a:xfrm>
                                  <a:off x="0" y="0"/>
                                  <a:ext cx="683260" cy="79375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428"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以上设备搬运费用</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452"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以上设备电线电路接驳</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649"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厨具设备安装五金辅助件</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554"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厨具设备安装/调试费用</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760" w:hRule="atLeast"/>
              </w:trPr>
              <w:tc>
                <w:tcPr>
                  <w:tcW w:w="1441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p>
                  <w:pPr>
                    <w:jc w:val="center"/>
                    <w:rPr>
                      <w:rFonts w:hint="eastAsia" w:ascii="宋体" w:hAnsi="宋体" w:eastAsia="宋体" w:cs="宋体"/>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B</w:t>
                  </w:r>
                  <w:r>
                    <w:rPr>
                      <w:rFonts w:hint="eastAsia" w:ascii="宋体" w:hAnsi="宋体" w:eastAsia="宋体" w:cs="宋体"/>
                      <w:b/>
                      <w:bCs/>
                      <w:i w:val="0"/>
                      <w:iCs w:val="0"/>
                      <w:color w:val="000000"/>
                      <w:kern w:val="0"/>
                      <w:sz w:val="22"/>
                      <w:szCs w:val="22"/>
                      <w:u w:val="none"/>
                      <w:lang w:val="en-US" w:eastAsia="zh-CN" w:bidi="ar"/>
                    </w:rPr>
                    <w:t>厨房排烟系统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1241"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不锈钢排烟罩</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1100*500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.壳体选用不锈钢板，厚度大于1.1mm；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.要求配不锈钢嵌入式灯盘,内壁为镜钢,6MM钢化玻璃防尘罩；或是配合适数量筒灯；</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848360" cy="436245"/>
                        <wp:effectExtent l="0" t="0" r="8890" b="1905"/>
                        <wp:docPr id="166512" name="Picture 103" descr="646MB(1`J465JXI2NK~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2" name="Picture 103" descr="646MB(1`J465JXI2NK~L%%K"/>
                                <pic:cNvPicPr>
                                  <a:picLocks noChangeAspect="1"/>
                                </pic:cNvPicPr>
                              </pic:nvPicPr>
                              <pic:blipFill>
                                <a:blip r:embed="rId30"/>
                                <a:srcRect t="5634" r="2206" b="11267"/>
                                <a:stretch>
                                  <a:fillRect/>
                                </a:stretch>
                              </pic:blipFill>
                              <pic:spPr>
                                <a:xfrm>
                                  <a:off x="0" y="0"/>
                                  <a:ext cx="848360" cy="4362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713"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烟罩隔油网</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600*500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材质：采用304#不锈钢板，厚度大于0.5mm；</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867"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不锈钢炉后封板</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800*20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材质：采用304#不锈钢板，厚度大于0.9mm；</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750570" cy="713105"/>
                        <wp:effectExtent l="0" t="0" r="11430" b="10795"/>
                        <wp:docPr id="1666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8" name="图片 6"/>
                                <pic:cNvPicPr>
                                  <a:picLocks noChangeAspect="1"/>
                                </pic:cNvPicPr>
                              </pic:nvPicPr>
                              <pic:blipFill>
                                <a:blip r:embed="rId31"/>
                                <a:stretch>
                                  <a:fillRect/>
                                </a:stretch>
                              </pic:blipFill>
                              <pic:spPr>
                                <a:xfrm>
                                  <a:off x="0" y="0"/>
                                  <a:ext cx="750570" cy="7131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925"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烟罩顶镀锌集烟管</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600*400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1.风管制作安装δ=1.0mm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2.材质:镀锌板；</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663575" cy="533400"/>
                        <wp:effectExtent l="0" t="0" r="3175" b="0"/>
                        <wp:docPr id="158343" name="Picture 255" descr="u=2760652508,1930553928&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3" name="Picture 255" descr="u=2760652508,1930553928&amp;fm=21&amp;gp=0"/>
                                <pic:cNvPicPr>
                                  <a:picLocks noChangeAspect="1"/>
                                </pic:cNvPicPr>
                              </pic:nvPicPr>
                              <pic:blipFill>
                                <a:blip r:embed="rId32"/>
                                <a:stretch>
                                  <a:fillRect/>
                                </a:stretch>
                              </pic:blipFill>
                              <pic:spPr>
                                <a:xfrm>
                                  <a:off x="0" y="0"/>
                                  <a:ext cx="6635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07"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镀锌板烟管</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600*500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1.风管制作安装δ=1.0mm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2.材质:镀锌板；</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663575" cy="533400"/>
                        <wp:effectExtent l="0" t="0" r="3175" b="0"/>
                        <wp:docPr id="9" name="Picture 255" descr="u=2760652508,1930553928&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5" descr="u=2760652508,1930553928&amp;fm=21&amp;gp=0"/>
                                <pic:cNvPicPr>
                                  <a:picLocks noChangeAspect="1"/>
                                </pic:cNvPicPr>
                              </pic:nvPicPr>
                              <pic:blipFill>
                                <a:blip r:embed="rId32"/>
                                <a:stretch>
                                  <a:fillRect/>
                                </a:stretch>
                              </pic:blipFill>
                              <pic:spPr>
                                <a:xfrm>
                                  <a:off x="0" y="0"/>
                                  <a:ext cx="6635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864"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镀锌板弯头三通变径</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600*400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1.风管制作安装δ=1.0mm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2.材质:镀锌板；</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663575" cy="533400"/>
                        <wp:effectExtent l="0" t="0" r="3175" b="0"/>
                        <wp:docPr id="18" name="Picture 255" descr="u=2760652508,1930553928&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5" descr="u=2760652508,1930553928&amp;fm=21&amp;gp=0"/>
                                <pic:cNvPicPr>
                                  <a:picLocks noChangeAspect="1"/>
                                </pic:cNvPicPr>
                              </pic:nvPicPr>
                              <pic:blipFill>
                                <a:blip r:embed="rId32"/>
                                <a:stretch>
                                  <a:fillRect/>
                                </a:stretch>
                              </pic:blipFill>
                              <pic:spPr>
                                <a:xfrm>
                                  <a:off x="0" y="0"/>
                                  <a:ext cx="663575"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84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B7</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墙体开孔</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620*420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9218"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▲静电式餐饮油烟净化设备</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18000风量</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1.设备净化效率不低于98%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2.设备采用智能数字电源为佳。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3.设备外壳建议采用优质碳钢冷板，考虑耐用性和便于安装维护；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4.设备面板带有数字显示屏为佳，具有开门断电功能；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▲5.①静电式餐饮油烟净化设备高压绝缘子瓷件：提供第三方检测机构出具有CMA或CNAS标志的合格测试报告扫描件。②油烟净化器电场：依据GB/T 351-2019，出具对电导率和导电率的检测报告，提供第三方检测机构出具有CMA或CNAS标志的合格测试报告扫描件。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▲6.静电式餐饮油烟净化设备：①具有满足HJ/T 62-2001标准的产品安全认证证书，提供证书扫描件，同时提供证书在有效期内的网上截图，网址以http://cx.cnca.cn/为准；②油烟排放浓度≤1.0mg/m³，低于国家标准《饮食业油烟排放标准》(试行)(GB 18483-2001)规定油烟排放浓度≤2.0mg/m³)，具有满足GB/T24021-2001中国环境标志(Ⅱ型)产品认证证书，提供证书扫描件，同时提供证书在有效期内的网上截图，网址以http://cx.cnca.cn/为准；③具有满足GB/T 14295-2019《空气过滤器》标准，产品检验结果须通过计数效率(0.3-1.0)μm≥92%以上、(1.0-3.0)μm≥98%以上、(3.0-10.0)μm≥99%以上，检验结果均符合，提供第三方检测机构出具有CMA或CNAS标志的合格测试报告扫描件。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▲7.①静电式餐饮油烟净化设备：具有满足GB 18483-2001、HJ/T62-2001标准的产品认证证书，提供证书扫描件，同时提供证书在有效期内的网上截图，网址以http://cx.cnca.cn/为准；②静电式餐饮油烟净化设备(外壳）：依据GB/T 10125-2021标准，中性盐雾测试≧48H后，外壳表面无明显生锈，保护评级9级或以上，提供第三方检测机构出具有CMA或CNAS标志的合格测试报告扫描件；③热固性纯聚酯粉末涂料(油烟净化设备外壳防护涂层)：符合GB/T 1865-2009要求，光照和喷淋累计测试≧300H后，无变色、无粉化、无起泡、无剥落、无开裂等现象，提供第三方检测机构出具有CMA或CNAS标志的合格测试报告扫描件。                                                                    </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878205" cy="994410"/>
                        <wp:effectExtent l="0" t="0" r="17145" b="15240"/>
                        <wp:docPr id="1667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6" name="图片 2"/>
                                <pic:cNvPicPr>
                                  <a:picLocks noChangeAspect="1"/>
                                </pic:cNvPicPr>
                              </pic:nvPicPr>
                              <pic:blipFill>
                                <a:blip r:embed="rId33"/>
                                <a:stretch>
                                  <a:fillRect/>
                                </a:stretch>
                              </pic:blipFill>
                              <pic:spPr>
                                <a:xfrm>
                                  <a:off x="0" y="0"/>
                                  <a:ext cx="878205" cy="9944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9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B9</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净化器支承架</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要求5#角铁，10#槽钢</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769620" cy="423545"/>
                        <wp:effectExtent l="0" t="0" r="11430" b="14605"/>
                        <wp:docPr id="16652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9" name="图片 45"/>
                                <pic:cNvPicPr>
                                  <a:picLocks noChangeAspect="1"/>
                                </pic:cNvPicPr>
                              </pic:nvPicPr>
                              <pic:blipFill>
                                <a:blip r:embed="rId34"/>
                                <a:stretch>
                                  <a:fillRect/>
                                </a:stretch>
                              </pic:blipFill>
                              <pic:spPr>
                                <a:xfrm>
                                  <a:off x="0" y="0"/>
                                  <a:ext cx="769620" cy="4235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76"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B10</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净化器出入口</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1.风管制作安装δ=1.0mm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2.材质:镀锌板；</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056"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▲低噪音多翼式离心风柜</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11KW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1.风量不低于：38000m³/h，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▲2.低噪音多翼式离心风柜：①低噪音多翼式离心风柜通过GB/T 1236-2017《工业通风机 用标准化风道性能试验》，GB/T 2888-2008《风机和罗茨鼓风机噪声测量方法》，JB/T 8689-2014《通风机振动检测及其限值》，JB/T 8690-2014《通风机 噪声限值》，JB/T 10563-2006《一般用途离心通风机技术条件》，JB/T 10281-2014《消防排烟通风机》标准要求。提供具有CMA或CNAS认证机构出具的有效期范围内检测报告；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①低噪音多翼式离心风柜：通过JB/T6445-2017《通风机叶轮超速试验》检测，平衡品质等级达到G：≧2.5mm/s，平衡轴质量：≧10kg，结论:符合，提供具有CMA或CNAS认证机构出具的有效期范围内检测报告。②低噪音多翼式离心风柜：具有符合GB 19761-2020标准的认证试验报告和符合性认证证书。（提供具有CMA或CNAS认证机构出具的有效期范围内检测报告和提供证书复印件及全国认证认可信息公共服务平台上http://cx.cnca.cn查询结果的截图，且证书状态必须为“有效”）</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866775" cy="645795"/>
                        <wp:effectExtent l="0" t="0" r="9525" b="1905"/>
                        <wp:docPr id="1583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 name="图片 2"/>
                                <pic:cNvPicPr>
                                  <a:picLocks noChangeAspect="1"/>
                                </pic:cNvPicPr>
                              </pic:nvPicPr>
                              <pic:blipFill>
                                <a:blip r:embed="rId35"/>
                                <a:stretch>
                                  <a:fillRect/>
                                </a:stretch>
                              </pic:blipFill>
                              <pic:spPr>
                                <a:xfrm>
                                  <a:off x="0" y="0"/>
                                  <a:ext cx="866775" cy="6457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59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离心风机支架及防震垫</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要求：5#角铁，10#槽钢，阻尼式减震器；</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830580" cy="640715"/>
                        <wp:effectExtent l="0" t="0" r="7620" b="6985"/>
                        <wp:docPr id="166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 name="图片 1"/>
                                <pic:cNvPicPr>
                                  <a:picLocks noChangeAspect="1"/>
                                </pic:cNvPicPr>
                              </pic:nvPicPr>
                              <pic:blipFill>
                                <a:blip r:embed="rId36"/>
                                <a:stretch>
                                  <a:fillRect/>
                                </a:stretch>
                              </pic:blipFill>
                              <pic:spPr>
                                <a:xfrm>
                                  <a:off x="0" y="0"/>
                                  <a:ext cx="830580" cy="6407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77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风机出口消声弯头</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1.风管制作安装δ=1.0mm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3.接口形式要求:咬口；内加消音棉，配不锈钢多孔板；</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500380" cy="520700"/>
                        <wp:effectExtent l="0" t="0" r="13970" b="12700"/>
                        <wp:docPr id="16653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 name="图片 48"/>
                                <pic:cNvPicPr>
                                  <a:picLocks noChangeAspect="1"/>
                                </pic:cNvPicPr>
                              </pic:nvPicPr>
                              <pic:blipFill>
                                <a:blip r:embed="rId37"/>
                                <a:stretch>
                                  <a:fillRect/>
                                </a:stretch>
                              </pic:blipFill>
                              <pic:spPr>
                                <a:xfrm>
                                  <a:off x="0" y="0"/>
                                  <a:ext cx="500380" cy="5207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614"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风机降压保护电箱</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1.镀锌外壳；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2.要求知名品牌配件；</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806450" cy="911225"/>
                        <wp:effectExtent l="0" t="0" r="12700" b="3175"/>
                        <wp:docPr id="166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3" name="图片 1"/>
                                <pic:cNvPicPr>
                                  <a:picLocks noChangeAspect="1"/>
                                </pic:cNvPicPr>
                              </pic:nvPicPr>
                              <pic:blipFill>
                                <a:blip r:embed="rId38"/>
                                <a:stretch>
                                  <a:fillRect/>
                                </a:stretch>
                              </pic:blipFill>
                              <pic:spPr>
                                <a:xfrm>
                                  <a:off x="0" y="0"/>
                                  <a:ext cx="806450" cy="911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53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风机净化器电线电路</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1.知名品牌电缆；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2.镀锌套管；</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66"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安装五金辅助件</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9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B17</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排烟设备安装调试费</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46" w:hRule="atLeast"/>
              </w:trPr>
              <w:tc>
                <w:tcPr>
                  <w:tcW w:w="1441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C</w:t>
                  </w:r>
                  <w:r>
                    <w:rPr>
                      <w:rFonts w:hint="eastAsia" w:ascii="宋体" w:hAnsi="宋体" w:eastAsia="宋体" w:cs="宋体"/>
                      <w:b/>
                      <w:bCs/>
                      <w:i w:val="0"/>
                      <w:iCs w:val="0"/>
                      <w:color w:val="000000"/>
                      <w:kern w:val="0"/>
                      <w:sz w:val="22"/>
                      <w:szCs w:val="22"/>
                      <w:u w:val="none"/>
                      <w:lang w:val="en-US" w:eastAsia="zh-CN" w:bidi="ar"/>
                    </w:rPr>
                    <w:t>厨房鲜风系统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64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C1</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镀锌鲜风管道</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500*400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1.风管制作安装δ=1.0mm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2.材质:镀锌板；</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661670" cy="533400"/>
                        <wp:effectExtent l="0" t="0" r="5080" b="0"/>
                        <wp:docPr id="166530" name="Picture 255" descr="u=2760652508,1930553928&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0" name="Picture 255" descr="u=2760652508,1930553928&amp;fm=21&amp;gp=0"/>
                                <pic:cNvPicPr>
                                  <a:picLocks noChangeAspect="1"/>
                                </pic:cNvPicPr>
                              </pic:nvPicPr>
                              <pic:blipFill>
                                <a:blip r:embed="rId32"/>
                                <a:stretch>
                                  <a:fillRect/>
                                </a:stretch>
                              </pic:blipFill>
                              <pic:spPr>
                                <a:xfrm>
                                  <a:off x="0" y="0"/>
                                  <a:ext cx="661670"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76"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低噪音水冷风机</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1.5KW</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1、风量不低于： 14000m3/H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2、框架材料建议为铝合金，</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r>
                    <w:drawing>
                      <wp:inline distT="0" distB="0" distL="114300" distR="114300">
                        <wp:extent cx="773430" cy="650875"/>
                        <wp:effectExtent l="0" t="0" r="7620" b="15875"/>
                        <wp:docPr id="1583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6" name="图片 4"/>
                                <pic:cNvPicPr>
                                  <a:picLocks noChangeAspect="1"/>
                                </pic:cNvPicPr>
                              </pic:nvPicPr>
                              <pic:blipFill>
                                <a:blip r:embed="rId39"/>
                                <a:stretch>
                                  <a:fillRect/>
                                </a:stretch>
                              </pic:blipFill>
                              <pic:spPr>
                                <a:xfrm>
                                  <a:off x="0" y="0"/>
                                  <a:ext cx="773430" cy="650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576"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C3</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鲜风机出入口</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配风机用</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1.风管制作安装δ=1.0mm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2.材质:镀锌板；</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650240" cy="620395"/>
                        <wp:effectExtent l="0" t="0" r="16510" b="8255"/>
                        <wp:docPr id="158362" name="Picture 264" descr="u=341582971,4110054260&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2" name="Picture 264" descr="u=341582971,4110054260&amp;fm=21&amp;gp=0"/>
                                <pic:cNvPicPr>
                                  <a:picLocks noChangeAspect="1"/>
                                </pic:cNvPicPr>
                              </pic:nvPicPr>
                              <pic:blipFill>
                                <a:blip r:embed="rId40"/>
                                <a:stretch>
                                  <a:fillRect/>
                                </a:stretch>
                              </pic:blipFill>
                              <pic:spPr>
                                <a:xfrm>
                                  <a:off x="0" y="0"/>
                                  <a:ext cx="650240" cy="6203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354"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C4</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鲜风支承架</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配风机用</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要求4#角铁</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r>
                    <w:drawing>
                      <wp:inline distT="0" distB="0" distL="114300" distR="114300">
                        <wp:extent cx="819150" cy="411480"/>
                        <wp:effectExtent l="0" t="0" r="0" b="7620"/>
                        <wp:docPr id="2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5"/>
                                <pic:cNvPicPr>
                                  <a:picLocks noChangeAspect="1"/>
                                </pic:cNvPicPr>
                              </pic:nvPicPr>
                              <pic:blipFill>
                                <a:blip r:embed="rId34"/>
                                <a:stretch>
                                  <a:fillRect/>
                                </a:stretch>
                              </pic:blipFill>
                              <pic:spPr>
                                <a:xfrm>
                                  <a:off x="0" y="0"/>
                                  <a:ext cx="819150" cy="41148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76"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C5</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三通弯头变径</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500*400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1.风管制作安装δ=1.0mm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2.材质:镀锌板；</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r>
                    <w:drawing>
                      <wp:inline distT="0" distB="0" distL="114300" distR="114300">
                        <wp:extent cx="661670" cy="533400"/>
                        <wp:effectExtent l="0" t="0" r="5080" b="0"/>
                        <wp:docPr id="21" name="Picture 255" descr="u=2760652508,1930553928&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55" descr="u=2760652508,1930553928&amp;fm=21&amp;gp=0"/>
                                <pic:cNvPicPr>
                                  <a:picLocks noChangeAspect="1"/>
                                </pic:cNvPicPr>
                              </pic:nvPicPr>
                              <pic:blipFill>
                                <a:blip r:embed="rId32"/>
                                <a:stretch>
                                  <a:fillRect/>
                                </a:stretch>
                              </pic:blipFill>
                              <pic:spPr>
                                <a:xfrm>
                                  <a:off x="0" y="0"/>
                                  <a:ext cx="661670" cy="533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438"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C6</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墙体开孔</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510*410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510"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C7</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鲜风口</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材料要求：厚度大于1.1mm201#不锈钢；</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drawing>
                      <wp:inline distT="0" distB="0" distL="114300" distR="114300">
                        <wp:extent cx="772160" cy="487045"/>
                        <wp:effectExtent l="0" t="0" r="8890" b="8255"/>
                        <wp:docPr id="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6"/>
                                <pic:cNvPicPr>
                                  <a:picLocks noChangeAspect="1"/>
                                </pic:cNvPicPr>
                              </pic:nvPicPr>
                              <pic:blipFill>
                                <a:blip r:embed="rId41"/>
                                <a:stretch>
                                  <a:fillRect/>
                                </a:stretch>
                              </pic:blipFill>
                              <pic:spPr>
                                <a:xfrm>
                                  <a:off x="0" y="0"/>
                                  <a:ext cx="772160" cy="4870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17" w:type="dxa"/>
                <w:trHeight w:val="438"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C8</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鲜风设备安装调试</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294" w:hRule="atLeast"/>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C9</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鲜风设备电线电路</w:t>
                  </w: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4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7" w:type="dxa"/>
                <w:trHeight w:val="292" w:hRule="atLeast"/>
              </w:trPr>
              <w:tc>
                <w:tcPr>
                  <w:tcW w:w="1441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t>以上报价需含运费、安装调试费及税费。</w:t>
                  </w:r>
                </w:p>
              </w:tc>
            </w:tr>
          </w:tbl>
          <w:p>
            <w:pPr>
              <w:pStyle w:val="20"/>
              <w:spacing w:line="360" w:lineRule="auto"/>
              <w:ind w:firstLine="0" w:firstLineChars="0"/>
              <w:jc w:val="both"/>
              <w:rPr>
                <w:rFonts w:hint="default" w:ascii="楷体" w:hAnsi="楷体" w:eastAsia="楷体" w:cs="楷体"/>
                <w:b/>
                <w:bCs/>
                <w:i w:val="0"/>
                <w:iCs w:val="0"/>
                <w:color w:val="000000"/>
                <w:sz w:val="36"/>
                <w:szCs w:val="36"/>
                <w:u w:val="none"/>
                <w:lang w:val="en-US" w:eastAsia="zh-CN"/>
              </w:rPr>
            </w:pPr>
          </w:p>
        </w:tc>
      </w:tr>
    </w:tbl>
    <w:p>
      <w:pPr>
        <w:pStyle w:val="6"/>
        <w:spacing w:line="460" w:lineRule="exact"/>
        <w:rPr>
          <w:rFonts w:hint="eastAsia"/>
          <w:b/>
          <w:bCs/>
        </w:rPr>
      </w:pPr>
      <w:bookmarkStart w:id="71" w:name="_Toc101843124"/>
      <w:bookmarkStart w:id="72" w:name="_Toc101771371"/>
      <w:bookmarkStart w:id="73" w:name="_Toc403491565"/>
      <w:bookmarkStart w:id="74" w:name="_Toc175644388"/>
      <w:bookmarkStart w:id="75" w:name="_Toc101775124"/>
      <w:bookmarkStart w:id="76" w:name="_Toc101951257"/>
      <w:bookmarkStart w:id="77" w:name="_Toc401575143"/>
    </w:p>
    <w:p>
      <w:pPr>
        <w:pStyle w:val="6"/>
        <w:spacing w:line="460" w:lineRule="exact"/>
        <w:rPr>
          <w:b/>
          <w:bCs/>
        </w:rPr>
      </w:pPr>
      <w:r>
        <w:rPr>
          <w:rFonts w:hint="eastAsia"/>
          <w:b/>
          <w:bCs/>
        </w:rPr>
        <w:t>一、项目要求</w:t>
      </w:r>
    </w:p>
    <w:p>
      <w:pPr>
        <w:pStyle w:val="8"/>
        <w:tabs>
          <w:tab w:val="left" w:pos="4394"/>
          <w:tab w:val="left" w:pos="6012"/>
        </w:tabs>
        <w:overflowPunct w:val="0"/>
        <w:spacing w:line="360" w:lineRule="auto"/>
        <w:ind w:firstLine="480" w:firstLineChars="200"/>
        <w:rPr>
          <w:rFonts w:ascii="Times New Roman"/>
          <w:highlight w:val="none"/>
        </w:rPr>
      </w:pPr>
      <w:r>
        <w:rPr>
          <w:rFonts w:hint="eastAsia" w:ascii="宋体" w:hAnsi="宋体" w:eastAsia="宋体" w:cs="宋体"/>
          <w:b w:val="0"/>
          <w:kern w:val="0"/>
          <w:sz w:val="24"/>
          <w:szCs w:val="24"/>
          <w:highlight w:val="none"/>
        </w:rPr>
        <w:t>1、本次招</w:t>
      </w:r>
      <w:r>
        <w:rPr>
          <w:rFonts w:hint="eastAsia" w:ascii="宋体" w:hAnsi="宋体" w:eastAsia="宋体" w:cs="宋体"/>
          <w:b w:val="0"/>
          <w:kern w:val="0"/>
          <w:sz w:val="24"/>
          <w:szCs w:val="24"/>
          <w:highlight w:val="none"/>
          <w:lang w:val="en-US" w:eastAsia="zh-CN"/>
        </w:rPr>
        <w:t>标</w:t>
      </w:r>
      <w:r>
        <w:rPr>
          <w:rFonts w:hint="eastAsia" w:ascii="宋体" w:hAnsi="宋体" w:eastAsia="宋体" w:cs="宋体"/>
          <w:b w:val="0"/>
          <w:kern w:val="0"/>
          <w:sz w:val="24"/>
          <w:szCs w:val="24"/>
          <w:highlight w:val="none"/>
        </w:rPr>
        <w:t>厨房设备位于</w:t>
      </w:r>
      <w:r>
        <w:rPr>
          <w:rFonts w:hint="eastAsia" w:ascii="宋体" w:hAnsi="宋体" w:eastAsia="宋体" w:cs="宋体"/>
          <w:b w:val="0"/>
          <w:kern w:val="0"/>
          <w:sz w:val="24"/>
          <w:szCs w:val="24"/>
          <w:highlight w:val="none"/>
          <w:lang w:eastAsia="zh-CN"/>
        </w:rPr>
        <w:t>广州南沙前锋水乡自营民宿厨房</w:t>
      </w:r>
      <w:r>
        <w:rPr>
          <w:rFonts w:hint="eastAsia" w:ascii="宋体" w:hAnsi="宋体" w:eastAsia="宋体" w:cs="宋体"/>
          <w:b w:val="0"/>
          <w:kern w:val="0"/>
          <w:sz w:val="24"/>
          <w:szCs w:val="24"/>
          <w:highlight w:val="none"/>
        </w:rPr>
        <w:t xml:space="preserve"> ，包含一楼厨房（含安装费用）。</w:t>
      </w:r>
    </w:p>
    <w:p>
      <w:pPr>
        <w:pStyle w:val="8"/>
        <w:tabs>
          <w:tab w:val="left" w:pos="4394"/>
          <w:tab w:val="left" w:pos="6012"/>
        </w:tabs>
        <w:overflowPunct w:val="0"/>
        <w:spacing w:line="360" w:lineRule="auto"/>
        <w:ind w:firstLine="480" w:firstLineChars="200"/>
        <w:rPr>
          <w:rFonts w:ascii="宋体" w:hAnsi="宋体" w:eastAsia="宋体" w:cs="宋体"/>
          <w:b w:val="0"/>
          <w:kern w:val="0"/>
          <w:sz w:val="24"/>
          <w:szCs w:val="24"/>
        </w:rPr>
      </w:pPr>
      <w:r>
        <w:rPr>
          <w:rFonts w:hint="eastAsia" w:ascii="宋体" w:hAnsi="宋体" w:eastAsia="宋体" w:cs="宋体"/>
          <w:b w:val="0"/>
          <w:kern w:val="0"/>
          <w:sz w:val="24"/>
          <w:szCs w:val="24"/>
        </w:rPr>
        <w:t>2、</w:t>
      </w:r>
      <w:r>
        <w:rPr>
          <w:rFonts w:hint="eastAsia" w:ascii="宋体" w:hAnsi="宋体" w:eastAsia="宋体" w:cs="宋体"/>
          <w:b w:val="0"/>
          <w:kern w:val="0"/>
          <w:sz w:val="24"/>
          <w:szCs w:val="24"/>
          <w:lang w:val="en-US" w:eastAsia="zh-CN"/>
        </w:rPr>
        <w:t>广州南沙</w:t>
      </w:r>
      <w:r>
        <w:rPr>
          <w:rFonts w:hint="eastAsia" w:ascii="宋体" w:hAnsi="宋体" w:eastAsia="宋体" w:cs="宋体"/>
          <w:b w:val="0"/>
          <w:kern w:val="0"/>
          <w:sz w:val="24"/>
          <w:szCs w:val="24"/>
        </w:rPr>
        <w:t>前锋水乡项目启动区（一期）厨房设备采购</w:t>
      </w:r>
      <w:r>
        <w:rPr>
          <w:rFonts w:hint="eastAsia" w:ascii="宋体" w:hAnsi="宋体" w:eastAsia="宋体" w:cs="宋体"/>
          <w:b w:val="0"/>
          <w:kern w:val="0"/>
          <w:sz w:val="24"/>
          <w:szCs w:val="24"/>
          <w:lang w:val="en-US" w:eastAsia="zh-CN"/>
        </w:rPr>
        <w:t>项目</w:t>
      </w:r>
      <w:r>
        <w:rPr>
          <w:rFonts w:hint="eastAsia" w:ascii="宋体" w:hAnsi="宋体" w:eastAsia="宋体" w:cs="宋体"/>
          <w:b w:val="0"/>
          <w:kern w:val="0"/>
          <w:sz w:val="24"/>
          <w:szCs w:val="24"/>
        </w:rPr>
        <w:t>，厨房设备及安装、厨房配套鲜风设备及除油烟设备</w:t>
      </w:r>
      <w:r>
        <w:rPr>
          <w:rFonts w:hint="eastAsia" w:ascii="宋体" w:hAnsi="宋体" w:eastAsia="宋体" w:cs="宋体"/>
          <w:b w:val="0"/>
          <w:kern w:val="0"/>
          <w:sz w:val="24"/>
          <w:szCs w:val="24"/>
          <w:lang w:eastAsia="zh-CN"/>
        </w:rPr>
        <w:t>，</w:t>
      </w:r>
      <w:r>
        <w:rPr>
          <w:rFonts w:hint="eastAsia" w:ascii="宋体" w:hAnsi="宋体" w:eastAsia="宋体" w:cs="宋体"/>
          <w:b w:val="0"/>
          <w:kern w:val="0"/>
          <w:sz w:val="24"/>
          <w:szCs w:val="24"/>
          <w:lang w:val="en-US" w:eastAsia="zh-CN"/>
        </w:rPr>
        <w:t>具体详见用户需求书</w:t>
      </w:r>
      <w:r>
        <w:rPr>
          <w:rFonts w:hint="eastAsia" w:ascii="宋体" w:hAnsi="宋体" w:eastAsia="宋体" w:cs="宋体"/>
          <w:b w:val="0"/>
          <w:kern w:val="0"/>
          <w:sz w:val="24"/>
          <w:szCs w:val="24"/>
        </w:rPr>
        <w:t>。</w:t>
      </w:r>
    </w:p>
    <w:p>
      <w:pPr>
        <w:pStyle w:val="8"/>
        <w:tabs>
          <w:tab w:val="left" w:pos="4394"/>
          <w:tab w:val="left" w:pos="6012"/>
        </w:tabs>
        <w:overflowPunct w:val="0"/>
        <w:spacing w:line="360" w:lineRule="auto"/>
        <w:ind w:firstLine="480" w:firstLineChars="200"/>
        <w:rPr>
          <w:rFonts w:ascii="宋体" w:hAnsi="宋体" w:eastAsia="宋体" w:cs="宋体"/>
          <w:b w:val="0"/>
          <w:kern w:val="0"/>
          <w:sz w:val="24"/>
          <w:szCs w:val="24"/>
        </w:rPr>
      </w:pPr>
      <w:r>
        <w:rPr>
          <w:rFonts w:hint="eastAsia" w:ascii="宋体" w:hAnsi="宋体" w:eastAsia="宋体" w:cs="宋体"/>
          <w:b w:val="0"/>
          <w:kern w:val="0"/>
          <w:sz w:val="24"/>
          <w:szCs w:val="24"/>
        </w:rPr>
        <w:t>2.1 最高投标限价：招标控制价</w:t>
      </w:r>
      <w:r>
        <w:rPr>
          <w:rFonts w:hint="eastAsia" w:ascii="宋体" w:hAnsi="宋体" w:eastAsia="宋体" w:cs="宋体"/>
          <w:b w:val="0"/>
          <w:kern w:val="0"/>
          <w:sz w:val="24"/>
          <w:szCs w:val="24"/>
          <w:u w:val="single"/>
        </w:rPr>
        <w:t xml:space="preserve">  </w:t>
      </w:r>
      <w:r>
        <w:rPr>
          <w:rFonts w:hint="eastAsia" w:ascii="宋体" w:hAnsi="宋体" w:eastAsia="宋体" w:cs="宋体"/>
          <w:b w:val="0"/>
          <w:kern w:val="0"/>
          <w:sz w:val="24"/>
          <w:szCs w:val="24"/>
          <w:u w:val="single"/>
          <w:lang w:val="en-US" w:eastAsia="zh-CN"/>
        </w:rPr>
        <w:t>270000.00</w:t>
      </w:r>
      <w:r>
        <w:rPr>
          <w:rFonts w:hint="eastAsia" w:ascii="宋体" w:hAnsi="宋体" w:eastAsia="宋体" w:cs="宋体"/>
          <w:b w:val="0"/>
          <w:kern w:val="0"/>
          <w:sz w:val="24"/>
          <w:szCs w:val="24"/>
          <w:u w:val="single"/>
        </w:rPr>
        <w:t xml:space="preserve"> </w:t>
      </w:r>
      <w:r>
        <w:rPr>
          <w:rFonts w:hint="eastAsia" w:ascii="宋体" w:hAnsi="宋体" w:eastAsia="宋体" w:cs="宋体"/>
          <w:b w:val="0"/>
          <w:kern w:val="0"/>
          <w:sz w:val="24"/>
          <w:szCs w:val="24"/>
        </w:rPr>
        <w:t>元 。</w:t>
      </w:r>
    </w:p>
    <w:p>
      <w:pPr>
        <w:pStyle w:val="8"/>
        <w:tabs>
          <w:tab w:val="left" w:pos="4394"/>
          <w:tab w:val="left" w:pos="6012"/>
        </w:tabs>
        <w:overflowPunct w:val="0"/>
        <w:spacing w:line="360" w:lineRule="auto"/>
        <w:ind w:firstLine="480" w:firstLineChars="200"/>
        <w:rPr>
          <w:rFonts w:ascii="宋体" w:hAnsi="宋体" w:eastAsia="宋体" w:cs="宋体"/>
          <w:b w:val="0"/>
          <w:kern w:val="0"/>
          <w:sz w:val="24"/>
          <w:szCs w:val="24"/>
        </w:rPr>
      </w:pPr>
      <w:r>
        <w:rPr>
          <w:rFonts w:hint="eastAsia" w:ascii="宋体" w:hAnsi="宋体" w:eastAsia="宋体" w:cs="宋体"/>
          <w:b w:val="0"/>
          <w:kern w:val="0"/>
          <w:sz w:val="24"/>
          <w:szCs w:val="24"/>
        </w:rPr>
        <w:t>2.2承包方式：综合单价包干、项目措施费包干。</w:t>
      </w:r>
      <w:r>
        <w:rPr>
          <w:rFonts w:ascii="宋体" w:hAnsi="宋体" w:eastAsia="宋体" w:cs="宋体"/>
          <w:b w:val="0"/>
          <w:kern w:val="0"/>
          <w:sz w:val="24"/>
          <w:szCs w:val="24"/>
        </w:rPr>
        <w:t xml:space="preserve"> </w:t>
      </w:r>
    </w:p>
    <w:p>
      <w:pPr>
        <w:pStyle w:val="8"/>
        <w:tabs>
          <w:tab w:val="left" w:pos="4394"/>
          <w:tab w:val="left" w:pos="6012"/>
        </w:tabs>
        <w:overflowPunct w:val="0"/>
        <w:spacing w:line="360" w:lineRule="auto"/>
        <w:ind w:firstLine="480" w:firstLineChars="200"/>
        <w:rPr>
          <w:rFonts w:hint="eastAsia" w:ascii="宋体" w:hAnsi="宋体" w:eastAsia="宋体" w:cs="宋体"/>
          <w:b w:val="0"/>
          <w:kern w:val="0"/>
          <w:sz w:val="24"/>
          <w:szCs w:val="24"/>
        </w:rPr>
      </w:pPr>
      <w:r>
        <w:rPr>
          <w:rFonts w:ascii="宋体" w:hAnsi="宋体" w:eastAsia="宋体" w:cs="宋体"/>
          <w:b w:val="0"/>
          <w:kern w:val="0"/>
          <w:sz w:val="24"/>
          <w:szCs w:val="24"/>
        </w:rPr>
        <w:t>2.</w:t>
      </w:r>
      <w:r>
        <w:rPr>
          <w:rFonts w:hint="eastAsia" w:ascii="宋体" w:hAnsi="宋体" w:eastAsia="宋体" w:cs="宋体"/>
          <w:b w:val="0"/>
          <w:kern w:val="0"/>
          <w:sz w:val="24"/>
          <w:szCs w:val="24"/>
          <w:highlight w:val="none"/>
        </w:rPr>
        <w:t>3 计划工期：30天。</w:t>
      </w:r>
    </w:p>
    <w:p>
      <w:pPr>
        <w:pStyle w:val="8"/>
        <w:tabs>
          <w:tab w:val="left" w:pos="4394"/>
          <w:tab w:val="left" w:pos="6012"/>
        </w:tabs>
        <w:overflowPunct w:val="0"/>
        <w:spacing w:line="360" w:lineRule="auto"/>
        <w:ind w:firstLine="480" w:firstLineChars="200"/>
      </w:pPr>
      <w:r>
        <w:rPr>
          <w:rFonts w:hint="eastAsia" w:ascii="Cambria" w:hAnsi="Cambria" w:eastAsia="宋体" w:cs="Cambria"/>
          <w:b w:val="0"/>
          <w:kern w:val="0"/>
          <w:sz w:val="24"/>
          <w:szCs w:val="24"/>
        </w:rPr>
        <w:t>3、交货地点：</w:t>
      </w:r>
      <w:r>
        <w:rPr>
          <w:rFonts w:hint="eastAsia" w:ascii="Cambria" w:hAnsi="Cambria" w:eastAsia="宋体" w:cs="Cambria"/>
          <w:b w:val="0"/>
          <w:kern w:val="0"/>
          <w:sz w:val="24"/>
          <w:szCs w:val="24"/>
          <w:u w:val="none"/>
          <w:lang w:eastAsia="zh-CN"/>
        </w:rPr>
        <w:t>广州南沙前锋水乡自营民宿厨房</w:t>
      </w:r>
      <w:r>
        <w:rPr>
          <w:rFonts w:hint="eastAsia" w:ascii="Cambria" w:hAnsi="Cambria" w:eastAsia="宋体" w:cs="Cambria"/>
          <w:b w:val="0"/>
          <w:kern w:val="0"/>
          <w:sz w:val="24"/>
          <w:szCs w:val="24"/>
        </w:rPr>
        <w:t>。</w:t>
      </w:r>
      <w:r>
        <w:rPr>
          <w:rFonts w:hint="eastAsia"/>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rPr>
      </w:pPr>
      <w:r>
        <w:rPr>
          <w:rFonts w:hint="eastAsia"/>
        </w:rPr>
        <w:t>4、售后服务：</w:t>
      </w:r>
      <w:r>
        <w:rPr>
          <w:rFonts w:hint="eastAsia"/>
          <w:lang w:val="en-US" w:eastAsia="zh-CN"/>
        </w:rPr>
        <w:t>交</w:t>
      </w:r>
      <w:r>
        <w:rPr>
          <w:rFonts w:hint="eastAsia"/>
        </w:rPr>
        <w:t>付使用并验收合格后免费质保一年，响应时间：接到电话后</w:t>
      </w:r>
      <w:r>
        <w:rPr>
          <w:rFonts w:hint="eastAsia" w:ascii="Cambria" w:hAnsi="Cambria"/>
          <w:b w:val="0"/>
          <w:bCs w:val="0"/>
          <w:sz w:val="24"/>
          <w:szCs w:val="24"/>
        </w:rPr>
        <w:t>在12小时内给出修复意见</w:t>
      </w:r>
      <w:r>
        <w:rPr>
          <w:rFonts w:hint="eastAsia"/>
          <w:b w:val="0"/>
          <w:bCs w:val="0"/>
          <w:sz w:val="24"/>
          <w:szCs w:val="24"/>
          <w:lang w:eastAsia="zh-CN"/>
        </w:rPr>
        <w:t>，</w:t>
      </w:r>
      <w:r>
        <w:rPr>
          <w:rFonts w:hint="eastAsia"/>
          <w:b w:val="0"/>
          <w:bCs w:val="0"/>
          <w:sz w:val="24"/>
          <w:szCs w:val="24"/>
          <w:lang w:val="en-US" w:eastAsia="zh-CN"/>
        </w:rPr>
        <w:t>并在</w:t>
      </w:r>
      <w:r>
        <w:rPr>
          <w:rFonts w:hint="eastAsia"/>
        </w:rPr>
        <w:t>24小时内上门现场维修。</w:t>
      </w:r>
    </w:p>
    <w:p>
      <w:pPr>
        <w:pStyle w:val="6"/>
        <w:spacing w:line="460" w:lineRule="exact"/>
        <w:sectPr>
          <w:pgSz w:w="16838" w:h="11906" w:orient="landscape"/>
          <w:pgMar w:top="880" w:right="1080" w:bottom="652" w:left="1080" w:header="567" w:footer="737" w:gutter="0"/>
          <w:pgBorders>
            <w:top w:val="none" w:sz="0" w:space="0"/>
            <w:left w:val="none" w:sz="0" w:space="0"/>
            <w:bottom w:val="none" w:sz="0" w:space="0"/>
            <w:right w:val="none" w:sz="0" w:space="0"/>
          </w:pgBorders>
          <w:cols w:space="720" w:num="1"/>
          <w:docGrid w:linePitch="312" w:charSpace="0"/>
        </w:sectPr>
      </w:pPr>
    </w:p>
    <w:p>
      <w:pPr>
        <w:pStyle w:val="6"/>
        <w:spacing w:line="460" w:lineRule="exact"/>
        <w:rPr>
          <w:rFonts w:ascii="宋体" w:hAnsi="宋体" w:cs="宋体"/>
          <w:b/>
        </w:rPr>
      </w:pPr>
      <w:r>
        <w:rPr>
          <w:rFonts w:hint="eastAsia" w:ascii="宋体" w:hAnsi="宋体" w:cs="宋体"/>
          <w:b/>
        </w:rPr>
        <w:t xml:space="preserve">  二、其他要求</w:t>
      </w:r>
    </w:p>
    <w:p>
      <w:pPr>
        <w:pStyle w:val="6"/>
        <w:spacing w:line="460" w:lineRule="exact"/>
      </w:pPr>
      <w:r>
        <w:rPr>
          <w:rFonts w:hint="eastAsia"/>
        </w:rPr>
        <w:t>1、免费质保期：免费质保期一年。质保期内一切因生产厂制造质量原因造成的损坏，中标供应商免费负责修妥。由用户操作不当或违反操作规程导致的损坏中标供应商只收取材料费。质保期满后有偿维修，中标供应商提供维修服务收费参考标准，终身对机组进行维护和保养。</w:t>
      </w:r>
    </w:p>
    <w:p>
      <w:pPr>
        <w:pStyle w:val="6"/>
        <w:spacing w:line="460" w:lineRule="exact"/>
      </w:pPr>
      <w:r>
        <w:rPr>
          <w:rFonts w:hint="eastAsia"/>
        </w:rPr>
        <w:t>2、总报价包括全部设备、辅助材料、安装、调试、吊装费、人工、机械、包装、运输、装卸、仓储、保险、运费、各种税费、劳保、培训、专利技术及质保期间等一切费用</w:t>
      </w:r>
      <w:r>
        <w:rPr>
          <w:rFonts w:hint="eastAsia"/>
          <w:lang w:eastAsia="zh-CN"/>
        </w:rPr>
        <w:t>，</w:t>
      </w:r>
      <w:r>
        <w:rPr>
          <w:rFonts w:hint="eastAsia"/>
          <w:lang w:val="en-US" w:eastAsia="zh-CN"/>
        </w:rPr>
        <w:t>招标人不再支付费用</w:t>
      </w:r>
      <w:r>
        <w:rPr>
          <w:rFonts w:hint="eastAsia"/>
        </w:rPr>
        <w:t>。</w:t>
      </w:r>
    </w:p>
    <w:p>
      <w:pPr>
        <w:pStyle w:val="6"/>
        <w:spacing w:line="460" w:lineRule="exact"/>
      </w:pPr>
      <w:r>
        <w:rPr>
          <w:rFonts w:hint="eastAsia"/>
        </w:rPr>
        <w:t>3、验收：</w:t>
      </w:r>
    </w:p>
    <w:p>
      <w:pPr>
        <w:pStyle w:val="6"/>
        <w:spacing w:line="460" w:lineRule="exact"/>
      </w:pPr>
      <w:r>
        <w:rPr>
          <w:rFonts w:hint="eastAsia"/>
        </w:rPr>
        <w:t>3.1中标供应商须按照本采购文件的有关规定提供合格产品；</w:t>
      </w:r>
    </w:p>
    <w:p>
      <w:pPr>
        <w:pStyle w:val="6"/>
        <w:spacing w:line="460" w:lineRule="exact"/>
      </w:pPr>
      <w:r>
        <w:rPr>
          <w:rFonts w:hint="eastAsia"/>
        </w:rPr>
        <w:t>3.2验收包括：数量、外观、质量、；所有设备应符合其规定的设计，无瑕疵和缺陷，质量为合格产品，同时有明确的生产制造厂商。中标供应商对质量问题发生的费用由中标</w:t>
      </w:r>
      <w:bookmarkStart w:id="308" w:name="_GoBack"/>
      <w:r>
        <w:rPr>
          <w:rFonts w:hint="eastAsia"/>
        </w:rPr>
        <w:t>供应商自行负责。</w:t>
      </w:r>
    </w:p>
    <w:bookmarkEnd w:id="308"/>
    <w:p>
      <w:pPr>
        <w:pStyle w:val="6"/>
        <w:spacing w:line="460" w:lineRule="exact"/>
      </w:pPr>
      <w:r>
        <w:rPr>
          <w:rFonts w:hint="eastAsia"/>
        </w:rPr>
        <w:t>3.3验收标准：按投标文件、中标供应商的承诺及行业相关标准为准。</w:t>
      </w:r>
    </w:p>
    <w:p>
      <w:pPr>
        <w:pStyle w:val="6"/>
        <w:spacing w:line="460" w:lineRule="exact"/>
      </w:pPr>
      <w:r>
        <w:rPr>
          <w:rFonts w:hint="eastAsia"/>
        </w:rPr>
        <w:t>4、付款方式：</w:t>
      </w: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highlight w:val="none"/>
        </w:rPr>
        <w:t>4.1</w:t>
      </w:r>
      <w:r>
        <w:rPr>
          <w:rFonts w:hint="eastAsia"/>
          <w:color w:val="auto"/>
          <w:highlight w:val="none"/>
        </w:rPr>
        <w:t>签订合同后支付合同总价的30%作为预付款，设备安装完毕后经</w:t>
      </w:r>
      <w:r>
        <w:rPr>
          <w:rFonts w:hint="eastAsia"/>
          <w:color w:val="auto"/>
          <w:highlight w:val="none"/>
          <w:lang w:val="en-US" w:eastAsia="zh-CN"/>
        </w:rPr>
        <w:t>招标人</w:t>
      </w:r>
      <w:r>
        <w:rPr>
          <w:rFonts w:hint="eastAsia"/>
          <w:color w:val="auto"/>
          <w:highlight w:val="none"/>
        </w:rPr>
        <w:t>验收合格后支付合同总价的65%，剩下合同总价的5%作为质保金，质保期到期后一个月内支付完成（不计息）。在</w:t>
      </w:r>
      <w:r>
        <w:rPr>
          <w:rFonts w:hint="eastAsia"/>
          <w:color w:val="auto"/>
          <w:highlight w:val="none"/>
          <w:lang w:val="en-US" w:eastAsia="zh-CN"/>
        </w:rPr>
        <w:t>招标人</w:t>
      </w:r>
      <w:r>
        <w:rPr>
          <w:rFonts w:hint="eastAsia"/>
          <w:color w:val="auto"/>
          <w:highlight w:val="none"/>
        </w:rPr>
        <w:t>付款前，</w:t>
      </w:r>
      <w:r>
        <w:rPr>
          <w:rFonts w:hint="eastAsia"/>
        </w:rPr>
        <w:t>中标供应商</w:t>
      </w:r>
      <w:r>
        <w:rPr>
          <w:rFonts w:hint="eastAsia"/>
          <w:color w:val="auto"/>
          <w:highlight w:val="none"/>
        </w:rPr>
        <w:t>需提供增值税专用发票，否则</w:t>
      </w:r>
      <w:r>
        <w:rPr>
          <w:rFonts w:hint="eastAsia"/>
          <w:color w:val="auto"/>
          <w:highlight w:val="none"/>
          <w:lang w:val="en-US" w:eastAsia="zh-CN"/>
        </w:rPr>
        <w:t>招标人</w:t>
      </w:r>
      <w:r>
        <w:rPr>
          <w:rFonts w:hint="eastAsia"/>
          <w:color w:val="auto"/>
          <w:highlight w:val="none"/>
        </w:rPr>
        <w:t>有权拒绝付款无须承担任何违约责任。</w:t>
      </w:r>
    </w:p>
    <w:p>
      <w:pPr>
        <w:pStyle w:val="6"/>
      </w:pPr>
      <w:r>
        <w:rPr>
          <w:rFonts w:hint="eastAsia"/>
        </w:rPr>
        <w:t>4.2</w:t>
      </w:r>
      <w:r>
        <w:rPr>
          <w:rFonts w:hint="eastAsia"/>
          <w:lang w:eastAsia="zh-TW"/>
        </w:rPr>
        <w:t>双方</w:t>
      </w:r>
      <w:r>
        <w:rPr>
          <w:rFonts w:hint="eastAsia"/>
          <w:lang w:val="en-US" w:eastAsia="zh-CN"/>
        </w:rPr>
        <w:t>自行承担</w:t>
      </w:r>
      <w:r>
        <w:rPr>
          <w:rFonts w:hint="eastAsia"/>
          <w:lang w:eastAsia="zh-TW"/>
        </w:rPr>
        <w:t>因履行本合同而发生的银行费用</w:t>
      </w:r>
      <w:r>
        <w:rPr>
          <w:rFonts w:hint="eastAsia"/>
        </w:rPr>
        <w:t>；</w:t>
      </w: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4.3</w:t>
      </w:r>
      <w:r>
        <w:rPr>
          <w:rFonts w:hint="eastAsia"/>
          <w:lang w:val="en-US" w:eastAsia="zh-CN"/>
        </w:rPr>
        <w:t>招标</w:t>
      </w:r>
      <w:r>
        <w:rPr>
          <w:rFonts w:hint="eastAsia"/>
        </w:rPr>
        <w:t>人在前款规定的付款时间为向采购支付部门提出办理支付申请手续的时间（不含支付部门审核的时间），在规定时间内提出支付申请手续后即视为采购人已经按期支付。</w:t>
      </w:r>
    </w:p>
    <w:bookmarkEnd w:id="71"/>
    <w:bookmarkEnd w:id="72"/>
    <w:bookmarkEnd w:id="73"/>
    <w:bookmarkEnd w:id="74"/>
    <w:bookmarkEnd w:id="75"/>
    <w:bookmarkEnd w:id="76"/>
    <w:bookmarkEnd w:id="77"/>
    <w:p>
      <w:pPr>
        <w:pStyle w:val="6"/>
        <w:rPr>
          <w:sz w:val="44"/>
        </w:rPr>
      </w:pPr>
    </w:p>
    <w:p>
      <w:pPr>
        <w:rPr>
          <w:sz w:val="44"/>
        </w:rPr>
      </w:pPr>
      <w:r>
        <w:rPr>
          <w:sz w:val="44"/>
        </w:rPr>
        <w:br w:type="page"/>
      </w:r>
    </w:p>
    <w:p>
      <w:pPr>
        <w:pStyle w:val="6"/>
        <w:rPr>
          <w:sz w:val="44"/>
        </w:rPr>
      </w:pPr>
    </w:p>
    <w:p>
      <w:pPr>
        <w:rPr>
          <w:sz w:val="44"/>
        </w:rPr>
      </w:pPr>
    </w:p>
    <w:p>
      <w:pPr>
        <w:pStyle w:val="6"/>
        <w:rPr>
          <w:sz w:val="44"/>
        </w:rPr>
      </w:pPr>
    </w:p>
    <w:p/>
    <w:p>
      <w:pPr>
        <w:pStyle w:val="6"/>
        <w:rPr>
          <w:sz w:val="44"/>
        </w:rPr>
      </w:pPr>
    </w:p>
    <w:p>
      <w:pPr>
        <w:rPr>
          <w:sz w:val="44"/>
        </w:rPr>
      </w:pPr>
    </w:p>
    <w:p>
      <w:pPr>
        <w:rPr>
          <w:sz w:val="44"/>
        </w:rPr>
      </w:pPr>
    </w:p>
    <w:p>
      <w:pPr>
        <w:pStyle w:val="6"/>
      </w:pPr>
    </w:p>
    <w:p>
      <w:pPr>
        <w:pStyle w:val="2"/>
        <w:ind w:right="-588" w:firstLine="2650" w:firstLineChars="600"/>
        <w:jc w:val="both"/>
        <w:rPr>
          <w:sz w:val="44"/>
        </w:rPr>
      </w:pPr>
      <w:bookmarkStart w:id="78" w:name="_Toc10182"/>
      <w:bookmarkStart w:id="79" w:name="_Toc17030"/>
      <w:bookmarkStart w:id="80" w:name="_Toc26054"/>
      <w:bookmarkStart w:id="81" w:name="_Toc7688"/>
      <w:bookmarkStart w:id="82" w:name="_Toc21306"/>
      <w:bookmarkStart w:id="83" w:name="_Toc13797"/>
      <w:r>
        <w:rPr>
          <w:rFonts w:hint="eastAsia"/>
          <w:sz w:val="44"/>
        </w:rPr>
        <w:t>第四章 合同</w:t>
      </w:r>
      <w:bookmarkEnd w:id="66"/>
      <w:r>
        <w:rPr>
          <w:rFonts w:hint="eastAsia"/>
          <w:sz w:val="44"/>
        </w:rPr>
        <w:t>文本</w:t>
      </w:r>
      <w:bookmarkEnd w:id="67"/>
      <w:bookmarkEnd w:id="68"/>
      <w:bookmarkEnd w:id="69"/>
      <w:bookmarkEnd w:id="70"/>
      <w:bookmarkEnd w:id="78"/>
      <w:bookmarkEnd w:id="79"/>
      <w:bookmarkEnd w:id="80"/>
      <w:bookmarkEnd w:id="81"/>
      <w:bookmarkEnd w:id="82"/>
      <w:bookmarkEnd w:id="83"/>
    </w:p>
    <w:p/>
    <w:p/>
    <w:p/>
    <w:p>
      <w:pPr>
        <w:snapToGrid w:val="0"/>
        <w:spacing w:line="360" w:lineRule="auto"/>
        <w:rPr>
          <w:rFonts w:ascii="宋体" w:hAnsi="宋体"/>
          <w:sz w:val="24"/>
          <w:szCs w:val="24"/>
        </w:rPr>
      </w:pPr>
      <w:r>
        <w:rPr>
          <w:bCs/>
        </w:rPr>
        <w:br w:type="page"/>
      </w:r>
      <w:bookmarkEnd w:id="64"/>
      <w:bookmarkEnd w:id="65"/>
      <w:bookmarkStart w:id="84" w:name="_Toc296081818"/>
      <w:bookmarkStart w:id="85" w:name="_Toc282161014"/>
      <w:bookmarkStart w:id="86" w:name="_Toc28489495"/>
      <w:bookmarkStart w:id="87" w:name="_Toc14450837"/>
    </w:p>
    <w:p>
      <w:pPr>
        <w:widowControl/>
        <w:spacing w:line="360" w:lineRule="auto"/>
        <w:jc w:val="center"/>
        <w:rPr>
          <w:rFonts w:ascii="宋体" w:hAnsi="宋体"/>
          <w:bCs/>
          <w:sz w:val="24"/>
          <w:szCs w:val="24"/>
        </w:rPr>
      </w:pPr>
      <w:r>
        <w:rPr>
          <w:rFonts w:hint="eastAsia" w:ascii="宋体" w:hAnsi="宋体"/>
          <w:b/>
          <w:sz w:val="32"/>
          <w:szCs w:val="32"/>
        </w:rPr>
        <w:t>采购合同</w:t>
      </w:r>
    </w:p>
    <w:p>
      <w:pPr>
        <w:widowControl/>
        <w:spacing w:line="360" w:lineRule="auto"/>
        <w:jc w:val="center"/>
        <w:rPr>
          <w:rFonts w:ascii="宋体" w:hAnsi="宋体"/>
          <w:bCs/>
          <w:sz w:val="21"/>
          <w:szCs w:val="21"/>
        </w:rPr>
      </w:pPr>
      <w:r>
        <w:rPr>
          <w:rFonts w:hint="eastAsia" w:ascii="宋体" w:hAnsi="宋体"/>
          <w:bCs/>
          <w:sz w:val="21"/>
          <w:szCs w:val="21"/>
        </w:rPr>
        <w:t>（</w:t>
      </w:r>
      <w:r>
        <w:rPr>
          <w:rFonts w:hint="eastAsia" w:ascii="宋体" w:hAnsi="宋体"/>
          <w:bCs/>
          <w:sz w:val="21"/>
          <w:szCs w:val="21"/>
          <w:lang w:val="en-US" w:eastAsia="zh-CN"/>
        </w:rPr>
        <w:t>仅供参考，</w:t>
      </w:r>
      <w:r>
        <w:rPr>
          <w:rFonts w:hint="eastAsia" w:ascii="宋体" w:hAnsi="宋体"/>
          <w:bCs/>
          <w:sz w:val="21"/>
          <w:szCs w:val="21"/>
        </w:rPr>
        <w:t>最终以</w:t>
      </w:r>
      <w:r>
        <w:rPr>
          <w:rFonts w:hint="eastAsia" w:ascii="宋体" w:hAnsi="宋体"/>
          <w:bCs/>
          <w:sz w:val="21"/>
          <w:szCs w:val="21"/>
          <w:lang w:val="en-US" w:eastAsia="zh-CN"/>
        </w:rPr>
        <w:t>实际</w:t>
      </w:r>
      <w:r>
        <w:rPr>
          <w:rFonts w:hint="eastAsia" w:ascii="宋体" w:hAnsi="宋体"/>
          <w:bCs/>
          <w:sz w:val="21"/>
          <w:szCs w:val="21"/>
        </w:rPr>
        <w:t>签订为准）</w:t>
      </w:r>
    </w:p>
    <w:p>
      <w:pPr>
        <w:pStyle w:val="8"/>
      </w:pPr>
    </w:p>
    <w:p>
      <w:pPr>
        <w:widowControl/>
        <w:spacing w:line="480" w:lineRule="exact"/>
        <w:jc w:val="left"/>
        <w:rPr>
          <w:rFonts w:ascii="宋体" w:hAnsi="宋体"/>
          <w:bCs/>
          <w:sz w:val="24"/>
          <w:szCs w:val="24"/>
        </w:rPr>
      </w:pPr>
      <w:r>
        <w:rPr>
          <w:rFonts w:hint="eastAsia" w:ascii="宋体" w:hAnsi="宋体"/>
          <w:bCs/>
          <w:sz w:val="24"/>
          <w:szCs w:val="24"/>
        </w:rPr>
        <w:t>一、总    则</w:t>
      </w:r>
    </w:p>
    <w:p>
      <w:pPr>
        <w:widowControl/>
        <w:spacing w:line="480" w:lineRule="exact"/>
        <w:jc w:val="left"/>
        <w:rPr>
          <w:rFonts w:ascii="宋体" w:hAnsi="宋体"/>
          <w:bCs/>
          <w:sz w:val="24"/>
          <w:szCs w:val="24"/>
        </w:rPr>
      </w:pPr>
      <w:r>
        <w:rPr>
          <w:rFonts w:hint="eastAsia" w:ascii="宋体" w:hAnsi="宋体"/>
          <w:bCs/>
          <w:sz w:val="24"/>
          <w:szCs w:val="24"/>
        </w:rPr>
        <w:t>第一条  合同当事人</w:t>
      </w:r>
    </w:p>
    <w:p>
      <w:pPr>
        <w:widowControl/>
        <w:spacing w:line="480" w:lineRule="exact"/>
        <w:jc w:val="left"/>
        <w:rPr>
          <w:rFonts w:ascii="宋体" w:hAnsi="宋体"/>
          <w:bCs/>
          <w:sz w:val="24"/>
          <w:szCs w:val="24"/>
        </w:rPr>
      </w:pPr>
      <w:r>
        <w:rPr>
          <w:rFonts w:hint="eastAsia" w:ascii="宋体" w:hAnsi="宋体"/>
          <w:bCs/>
          <w:sz w:val="24"/>
          <w:szCs w:val="24"/>
        </w:rPr>
        <w:t>甲方（采购人）：</w:t>
      </w:r>
      <w:r>
        <w:rPr>
          <w:rFonts w:ascii="宋体" w:hAnsi="宋体"/>
          <w:bCs/>
          <w:sz w:val="24"/>
          <w:szCs w:val="24"/>
        </w:rPr>
        <w:t xml:space="preserve"> </w:t>
      </w:r>
    </w:p>
    <w:p>
      <w:pPr>
        <w:widowControl/>
        <w:spacing w:line="480" w:lineRule="exact"/>
        <w:jc w:val="left"/>
        <w:rPr>
          <w:rFonts w:ascii="宋体" w:hAnsi="宋体"/>
          <w:bCs/>
          <w:sz w:val="24"/>
          <w:szCs w:val="24"/>
        </w:rPr>
      </w:pPr>
      <w:r>
        <w:rPr>
          <w:rFonts w:hint="eastAsia" w:ascii="宋体" w:hAnsi="宋体"/>
          <w:bCs/>
          <w:sz w:val="24"/>
          <w:szCs w:val="24"/>
        </w:rPr>
        <w:t>乙方（中标供应商）：</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根据《中华人民共和国民法典》、《中华人民共和国招标投标法》及</w:t>
      </w:r>
      <w:r>
        <w:rPr>
          <w:rFonts w:hint="eastAsia" w:ascii="宋体" w:hAnsi="宋体"/>
          <w:bCs/>
          <w:sz w:val="24"/>
          <w:szCs w:val="24"/>
          <w:lang w:eastAsia="zh-CN"/>
        </w:rPr>
        <w:t>广州南沙前锋水乡自营民宿厨房设备采购项目</w:t>
      </w:r>
      <w:r>
        <w:rPr>
          <w:rFonts w:hint="eastAsia" w:ascii="宋体" w:hAnsi="宋体"/>
          <w:bCs/>
          <w:sz w:val="24"/>
          <w:szCs w:val="24"/>
        </w:rPr>
        <w:t>采购文件的要求和招标结果，经甲乙双方协商一致，签订本合同。双方共同遵守如下条款（其他有关合同项目的特定信息由合同附件予以说明，合同附件及本项目的采购文件、投标文件、中标通知书、在实施过程中双方共同签署的补充文件等均为本合同不可分割之一部分）。</w:t>
      </w:r>
    </w:p>
    <w:p>
      <w:pPr>
        <w:widowControl/>
        <w:spacing w:line="480" w:lineRule="exact"/>
        <w:jc w:val="left"/>
        <w:rPr>
          <w:rFonts w:ascii="宋体" w:hAnsi="宋体"/>
          <w:bCs/>
          <w:sz w:val="24"/>
          <w:szCs w:val="24"/>
        </w:rPr>
      </w:pPr>
      <w:r>
        <w:rPr>
          <w:rFonts w:hint="eastAsia" w:ascii="宋体" w:hAnsi="宋体"/>
          <w:bCs/>
          <w:sz w:val="24"/>
          <w:szCs w:val="24"/>
        </w:rPr>
        <w:t>二、合同标的</w:t>
      </w:r>
    </w:p>
    <w:p>
      <w:pPr>
        <w:widowControl/>
        <w:spacing w:line="480" w:lineRule="exact"/>
        <w:jc w:val="left"/>
        <w:rPr>
          <w:rFonts w:ascii="宋体" w:hAnsi="宋体"/>
          <w:bCs/>
          <w:sz w:val="24"/>
          <w:szCs w:val="24"/>
        </w:rPr>
      </w:pPr>
      <w:r>
        <w:rPr>
          <w:rFonts w:hint="eastAsia" w:ascii="宋体" w:hAnsi="宋体"/>
          <w:bCs/>
          <w:sz w:val="24"/>
          <w:szCs w:val="24"/>
        </w:rPr>
        <w:t>第二条  乙方根据甲方要求提供以下货物：</w:t>
      </w:r>
    </w:p>
    <w:tbl>
      <w:tblPr>
        <w:tblStyle w:val="2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618"/>
        <w:gridCol w:w="770"/>
        <w:gridCol w:w="1155"/>
        <w:gridCol w:w="1155"/>
        <w:gridCol w:w="154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464" w:type="dxa"/>
            <w:vAlign w:val="center"/>
          </w:tcPr>
          <w:p>
            <w:pPr>
              <w:widowControl/>
              <w:spacing w:line="480" w:lineRule="exact"/>
              <w:jc w:val="left"/>
              <w:rPr>
                <w:rFonts w:ascii="宋体" w:hAnsi="宋体"/>
                <w:bCs/>
                <w:sz w:val="24"/>
                <w:szCs w:val="24"/>
              </w:rPr>
            </w:pPr>
            <w:r>
              <w:rPr>
                <w:rFonts w:hint="eastAsia" w:ascii="宋体" w:hAnsi="宋体"/>
                <w:bCs/>
                <w:sz w:val="24"/>
                <w:szCs w:val="24"/>
              </w:rPr>
              <w:t>货物品名</w:t>
            </w:r>
          </w:p>
        </w:tc>
        <w:tc>
          <w:tcPr>
            <w:tcW w:w="1618" w:type="dxa"/>
            <w:vAlign w:val="center"/>
          </w:tcPr>
          <w:p>
            <w:pPr>
              <w:widowControl/>
              <w:spacing w:line="480" w:lineRule="exact"/>
              <w:jc w:val="left"/>
              <w:rPr>
                <w:rFonts w:ascii="宋体" w:hAnsi="宋体"/>
                <w:bCs/>
                <w:sz w:val="24"/>
                <w:szCs w:val="24"/>
              </w:rPr>
            </w:pPr>
            <w:r>
              <w:rPr>
                <w:rFonts w:hint="eastAsia" w:ascii="宋体" w:hAnsi="宋体"/>
                <w:bCs/>
                <w:sz w:val="24"/>
                <w:szCs w:val="24"/>
              </w:rPr>
              <w:t>规格型号</w:t>
            </w:r>
          </w:p>
        </w:tc>
        <w:tc>
          <w:tcPr>
            <w:tcW w:w="770" w:type="dxa"/>
            <w:vAlign w:val="center"/>
          </w:tcPr>
          <w:p>
            <w:pPr>
              <w:widowControl/>
              <w:spacing w:line="480" w:lineRule="exact"/>
              <w:jc w:val="left"/>
              <w:rPr>
                <w:rFonts w:ascii="宋体" w:hAnsi="宋体"/>
                <w:bCs/>
                <w:sz w:val="24"/>
                <w:szCs w:val="24"/>
              </w:rPr>
            </w:pPr>
            <w:r>
              <w:rPr>
                <w:rFonts w:hint="eastAsia" w:ascii="宋体" w:hAnsi="宋体"/>
                <w:bCs/>
                <w:sz w:val="24"/>
                <w:szCs w:val="24"/>
              </w:rPr>
              <w:t>单位</w:t>
            </w:r>
          </w:p>
        </w:tc>
        <w:tc>
          <w:tcPr>
            <w:tcW w:w="1155" w:type="dxa"/>
            <w:vAlign w:val="center"/>
          </w:tcPr>
          <w:p>
            <w:pPr>
              <w:widowControl/>
              <w:spacing w:line="480" w:lineRule="exact"/>
              <w:jc w:val="left"/>
              <w:rPr>
                <w:rFonts w:ascii="宋体" w:hAnsi="宋体"/>
                <w:bCs/>
                <w:sz w:val="24"/>
                <w:szCs w:val="24"/>
              </w:rPr>
            </w:pPr>
            <w:r>
              <w:rPr>
                <w:rFonts w:hint="eastAsia" w:ascii="宋体" w:hAnsi="宋体"/>
                <w:bCs/>
                <w:sz w:val="24"/>
                <w:szCs w:val="24"/>
              </w:rPr>
              <w:t>数量</w:t>
            </w:r>
          </w:p>
        </w:tc>
        <w:tc>
          <w:tcPr>
            <w:tcW w:w="1155" w:type="dxa"/>
            <w:vAlign w:val="center"/>
          </w:tcPr>
          <w:p>
            <w:pPr>
              <w:widowControl/>
              <w:spacing w:line="480" w:lineRule="exact"/>
              <w:jc w:val="left"/>
              <w:rPr>
                <w:rFonts w:ascii="宋体" w:hAnsi="宋体"/>
                <w:bCs/>
                <w:sz w:val="24"/>
                <w:szCs w:val="24"/>
              </w:rPr>
            </w:pPr>
            <w:r>
              <w:rPr>
                <w:rFonts w:hint="eastAsia" w:ascii="宋体" w:hAnsi="宋体"/>
                <w:bCs/>
                <w:sz w:val="24"/>
                <w:szCs w:val="24"/>
              </w:rPr>
              <w:t>单价</w:t>
            </w:r>
          </w:p>
        </w:tc>
        <w:tc>
          <w:tcPr>
            <w:tcW w:w="1540" w:type="dxa"/>
            <w:vAlign w:val="center"/>
          </w:tcPr>
          <w:p>
            <w:pPr>
              <w:widowControl/>
              <w:spacing w:line="480" w:lineRule="exact"/>
              <w:jc w:val="left"/>
              <w:rPr>
                <w:rFonts w:ascii="宋体" w:hAnsi="宋体"/>
                <w:bCs/>
                <w:sz w:val="24"/>
                <w:szCs w:val="24"/>
              </w:rPr>
            </w:pPr>
            <w:r>
              <w:rPr>
                <w:rFonts w:hint="eastAsia" w:ascii="宋体" w:hAnsi="宋体"/>
                <w:bCs/>
                <w:sz w:val="24"/>
                <w:szCs w:val="24"/>
              </w:rPr>
              <w:t>总价</w:t>
            </w:r>
          </w:p>
        </w:tc>
        <w:tc>
          <w:tcPr>
            <w:tcW w:w="1926" w:type="dxa"/>
            <w:vAlign w:val="center"/>
          </w:tcPr>
          <w:p>
            <w:pPr>
              <w:widowControl/>
              <w:spacing w:line="480" w:lineRule="exact"/>
              <w:jc w:val="left"/>
              <w:rPr>
                <w:rFonts w:ascii="宋体" w:hAnsi="宋体"/>
                <w:bCs/>
                <w:sz w:val="24"/>
                <w:szCs w:val="24"/>
              </w:rPr>
            </w:pPr>
            <w:r>
              <w:rPr>
                <w:rFonts w:hint="eastAsia" w:ascii="宋体" w:hAnsi="宋体"/>
                <w:bCs/>
                <w:sz w:val="24"/>
                <w:szCs w:val="24"/>
              </w:rPr>
              <w:t>随机配件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vAlign w:val="center"/>
          </w:tcPr>
          <w:p>
            <w:pPr>
              <w:widowControl/>
              <w:spacing w:line="480" w:lineRule="exact"/>
              <w:jc w:val="left"/>
              <w:rPr>
                <w:rFonts w:ascii="宋体" w:hAnsi="宋体"/>
                <w:bCs/>
                <w:sz w:val="24"/>
                <w:szCs w:val="24"/>
              </w:rPr>
            </w:pPr>
          </w:p>
        </w:tc>
        <w:tc>
          <w:tcPr>
            <w:tcW w:w="1618" w:type="dxa"/>
            <w:vAlign w:val="center"/>
          </w:tcPr>
          <w:p>
            <w:pPr>
              <w:widowControl/>
              <w:spacing w:line="480" w:lineRule="exact"/>
              <w:jc w:val="left"/>
              <w:rPr>
                <w:rFonts w:ascii="宋体" w:hAnsi="宋体"/>
                <w:bCs/>
                <w:sz w:val="24"/>
                <w:szCs w:val="24"/>
              </w:rPr>
            </w:pPr>
          </w:p>
        </w:tc>
        <w:tc>
          <w:tcPr>
            <w:tcW w:w="770"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540" w:type="dxa"/>
            <w:vAlign w:val="center"/>
          </w:tcPr>
          <w:p>
            <w:pPr>
              <w:widowControl/>
              <w:spacing w:line="480" w:lineRule="exact"/>
              <w:jc w:val="left"/>
              <w:rPr>
                <w:rFonts w:ascii="宋体" w:hAnsi="宋体"/>
                <w:bCs/>
                <w:sz w:val="24"/>
                <w:szCs w:val="24"/>
              </w:rPr>
            </w:pPr>
          </w:p>
        </w:tc>
        <w:tc>
          <w:tcPr>
            <w:tcW w:w="1926" w:type="dxa"/>
            <w:vAlign w:val="center"/>
          </w:tcPr>
          <w:p>
            <w:pPr>
              <w:widowControl/>
              <w:spacing w:line="480" w:lineRule="exact"/>
              <w:jc w:val="left"/>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vAlign w:val="center"/>
          </w:tcPr>
          <w:p>
            <w:pPr>
              <w:widowControl/>
              <w:spacing w:line="480" w:lineRule="exact"/>
              <w:jc w:val="left"/>
              <w:rPr>
                <w:rFonts w:ascii="宋体" w:hAnsi="宋体"/>
                <w:bCs/>
                <w:sz w:val="24"/>
                <w:szCs w:val="24"/>
              </w:rPr>
            </w:pPr>
          </w:p>
        </w:tc>
        <w:tc>
          <w:tcPr>
            <w:tcW w:w="1618" w:type="dxa"/>
            <w:vAlign w:val="center"/>
          </w:tcPr>
          <w:p>
            <w:pPr>
              <w:widowControl/>
              <w:spacing w:line="480" w:lineRule="exact"/>
              <w:jc w:val="left"/>
              <w:rPr>
                <w:rFonts w:ascii="宋体" w:hAnsi="宋体"/>
                <w:bCs/>
                <w:sz w:val="24"/>
                <w:szCs w:val="24"/>
              </w:rPr>
            </w:pPr>
          </w:p>
        </w:tc>
        <w:tc>
          <w:tcPr>
            <w:tcW w:w="770"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540" w:type="dxa"/>
            <w:vAlign w:val="center"/>
          </w:tcPr>
          <w:p>
            <w:pPr>
              <w:widowControl/>
              <w:spacing w:line="480" w:lineRule="exact"/>
              <w:jc w:val="left"/>
              <w:rPr>
                <w:rFonts w:ascii="宋体" w:hAnsi="宋体"/>
                <w:bCs/>
                <w:sz w:val="24"/>
                <w:szCs w:val="24"/>
              </w:rPr>
            </w:pPr>
          </w:p>
        </w:tc>
        <w:tc>
          <w:tcPr>
            <w:tcW w:w="1926" w:type="dxa"/>
            <w:vAlign w:val="center"/>
          </w:tcPr>
          <w:p>
            <w:pPr>
              <w:widowControl/>
              <w:spacing w:line="480" w:lineRule="exact"/>
              <w:jc w:val="left"/>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vAlign w:val="center"/>
          </w:tcPr>
          <w:p>
            <w:pPr>
              <w:widowControl/>
              <w:spacing w:line="480" w:lineRule="exact"/>
              <w:jc w:val="left"/>
              <w:rPr>
                <w:rFonts w:ascii="宋体" w:hAnsi="宋体"/>
                <w:bCs/>
                <w:sz w:val="24"/>
                <w:szCs w:val="24"/>
              </w:rPr>
            </w:pPr>
          </w:p>
        </w:tc>
        <w:tc>
          <w:tcPr>
            <w:tcW w:w="1618" w:type="dxa"/>
            <w:vAlign w:val="center"/>
          </w:tcPr>
          <w:p>
            <w:pPr>
              <w:widowControl/>
              <w:spacing w:line="480" w:lineRule="exact"/>
              <w:jc w:val="left"/>
              <w:rPr>
                <w:rFonts w:ascii="宋体" w:hAnsi="宋体"/>
                <w:bCs/>
                <w:sz w:val="24"/>
                <w:szCs w:val="24"/>
              </w:rPr>
            </w:pPr>
          </w:p>
        </w:tc>
        <w:tc>
          <w:tcPr>
            <w:tcW w:w="770"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155" w:type="dxa"/>
            <w:vAlign w:val="center"/>
          </w:tcPr>
          <w:p>
            <w:pPr>
              <w:widowControl/>
              <w:spacing w:line="480" w:lineRule="exact"/>
              <w:jc w:val="left"/>
              <w:rPr>
                <w:rFonts w:ascii="宋体" w:hAnsi="宋体"/>
                <w:bCs/>
                <w:sz w:val="24"/>
                <w:szCs w:val="24"/>
              </w:rPr>
            </w:pPr>
          </w:p>
        </w:tc>
        <w:tc>
          <w:tcPr>
            <w:tcW w:w="1540" w:type="dxa"/>
            <w:vAlign w:val="center"/>
          </w:tcPr>
          <w:p>
            <w:pPr>
              <w:widowControl/>
              <w:spacing w:line="480" w:lineRule="exact"/>
              <w:jc w:val="left"/>
              <w:rPr>
                <w:rFonts w:ascii="宋体" w:hAnsi="宋体"/>
                <w:bCs/>
                <w:sz w:val="24"/>
                <w:szCs w:val="24"/>
              </w:rPr>
            </w:pPr>
          </w:p>
        </w:tc>
        <w:tc>
          <w:tcPr>
            <w:tcW w:w="1926" w:type="dxa"/>
            <w:vAlign w:val="center"/>
          </w:tcPr>
          <w:p>
            <w:pPr>
              <w:widowControl/>
              <w:spacing w:line="480" w:lineRule="exact"/>
              <w:jc w:val="left"/>
              <w:rPr>
                <w:rFonts w:ascii="宋体" w:hAnsi="宋体"/>
                <w:bCs/>
                <w:sz w:val="24"/>
                <w:szCs w:val="24"/>
              </w:rPr>
            </w:pPr>
          </w:p>
        </w:tc>
      </w:tr>
    </w:tbl>
    <w:p>
      <w:pPr>
        <w:widowControl/>
        <w:spacing w:line="480" w:lineRule="exact"/>
        <w:jc w:val="left"/>
        <w:rPr>
          <w:rFonts w:ascii="宋体" w:hAnsi="宋体"/>
          <w:bCs/>
          <w:sz w:val="24"/>
          <w:szCs w:val="24"/>
        </w:rPr>
      </w:pPr>
      <w:r>
        <w:rPr>
          <w:rFonts w:hint="eastAsia" w:ascii="宋体" w:hAnsi="宋体"/>
          <w:bCs/>
          <w:sz w:val="24"/>
          <w:szCs w:val="24"/>
        </w:rPr>
        <w:t>三、质   量</w:t>
      </w:r>
    </w:p>
    <w:p>
      <w:pPr>
        <w:widowControl/>
        <w:spacing w:line="480" w:lineRule="exact"/>
        <w:jc w:val="left"/>
        <w:rPr>
          <w:rFonts w:ascii="宋体" w:hAnsi="宋体"/>
          <w:bCs/>
          <w:sz w:val="24"/>
          <w:szCs w:val="24"/>
        </w:rPr>
      </w:pPr>
      <w:r>
        <w:rPr>
          <w:rFonts w:hint="eastAsia" w:ascii="宋体" w:hAnsi="宋体"/>
          <w:bCs/>
          <w:sz w:val="24"/>
          <w:szCs w:val="24"/>
        </w:rPr>
        <w:t>第三条  货物质量</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乙方须提供全新的、未使用过的货物，是目前的型号，其质量、规格及技术特征符合合同附件的要求。产品必须提供出厂合格证。</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货物制造质量出现问题，乙方应负责三包（包修、包换、包退），费用由乙方负责。</w:t>
      </w:r>
    </w:p>
    <w:p>
      <w:pPr>
        <w:widowControl/>
        <w:spacing w:line="480" w:lineRule="exact"/>
        <w:jc w:val="left"/>
        <w:rPr>
          <w:rFonts w:ascii="宋体" w:hAnsi="宋体"/>
          <w:bCs/>
          <w:sz w:val="24"/>
          <w:szCs w:val="24"/>
        </w:rPr>
      </w:pPr>
      <w:r>
        <w:rPr>
          <w:rFonts w:hint="eastAsia" w:ascii="宋体" w:hAnsi="宋体"/>
          <w:bCs/>
          <w:sz w:val="24"/>
          <w:szCs w:val="24"/>
        </w:rPr>
        <w:t>货到现场后由于甲方保管不当造成的质量问题，乙方亦应负责修理，但费用由甲方负担。</w:t>
      </w:r>
    </w:p>
    <w:p>
      <w:pPr>
        <w:widowControl/>
        <w:spacing w:line="480" w:lineRule="exact"/>
        <w:jc w:val="left"/>
        <w:rPr>
          <w:rFonts w:ascii="宋体" w:hAnsi="宋体"/>
          <w:bCs/>
          <w:sz w:val="24"/>
          <w:szCs w:val="24"/>
        </w:rPr>
      </w:pPr>
      <w:r>
        <w:rPr>
          <w:rFonts w:hint="eastAsia" w:ascii="宋体" w:hAnsi="宋体"/>
          <w:bCs/>
          <w:sz w:val="24"/>
          <w:szCs w:val="24"/>
        </w:rPr>
        <w:t>四、交货与验收</w:t>
      </w:r>
    </w:p>
    <w:p>
      <w:pPr>
        <w:widowControl/>
        <w:spacing w:line="480" w:lineRule="exact"/>
        <w:jc w:val="left"/>
        <w:rPr>
          <w:rFonts w:ascii="宋体" w:hAnsi="宋体"/>
          <w:bCs/>
          <w:sz w:val="24"/>
          <w:szCs w:val="24"/>
        </w:rPr>
      </w:pPr>
      <w:r>
        <w:rPr>
          <w:rFonts w:hint="eastAsia" w:ascii="宋体" w:hAnsi="宋体"/>
          <w:bCs/>
          <w:sz w:val="24"/>
          <w:szCs w:val="24"/>
        </w:rPr>
        <w:t>第四条  交货验收、安装调试必须在合同签订并收到预付款后30天内完成。</w:t>
      </w:r>
    </w:p>
    <w:p>
      <w:pPr>
        <w:widowControl/>
        <w:spacing w:line="480" w:lineRule="exact"/>
        <w:jc w:val="left"/>
        <w:rPr>
          <w:rFonts w:ascii="宋体" w:hAnsi="宋体"/>
          <w:bCs/>
          <w:sz w:val="24"/>
          <w:szCs w:val="24"/>
        </w:rPr>
      </w:pPr>
      <w:r>
        <w:rPr>
          <w:rFonts w:hint="eastAsia" w:ascii="宋体" w:hAnsi="宋体"/>
          <w:bCs/>
          <w:sz w:val="24"/>
          <w:szCs w:val="24"/>
        </w:rPr>
        <w:t>第五条  交货地点：甲方指定地点。</w:t>
      </w:r>
    </w:p>
    <w:p>
      <w:pPr>
        <w:widowControl/>
        <w:spacing w:line="480" w:lineRule="exact"/>
        <w:jc w:val="left"/>
        <w:rPr>
          <w:rFonts w:ascii="宋体" w:hAnsi="宋体"/>
          <w:bCs/>
          <w:sz w:val="24"/>
          <w:szCs w:val="24"/>
        </w:rPr>
      </w:pPr>
      <w:r>
        <w:rPr>
          <w:rFonts w:hint="eastAsia" w:ascii="宋体" w:hAnsi="宋体"/>
          <w:bCs/>
          <w:sz w:val="24"/>
          <w:szCs w:val="24"/>
        </w:rPr>
        <w:t>第六条  由甲方与乙方一起进行到货验收，由乙方免费完成货物的安装调试工作并交付甲方使用。</w:t>
      </w:r>
    </w:p>
    <w:p>
      <w:pPr>
        <w:widowControl/>
        <w:spacing w:line="480" w:lineRule="exact"/>
        <w:jc w:val="left"/>
        <w:rPr>
          <w:rFonts w:ascii="宋体" w:hAnsi="宋体"/>
          <w:bCs/>
          <w:sz w:val="24"/>
          <w:szCs w:val="24"/>
        </w:rPr>
      </w:pPr>
      <w:r>
        <w:rPr>
          <w:rFonts w:hint="eastAsia" w:ascii="宋体" w:hAnsi="宋体"/>
          <w:bCs/>
          <w:sz w:val="24"/>
          <w:szCs w:val="24"/>
        </w:rPr>
        <w:t>第七条  乙方应将所提供货物的装箱清单、用户手册、原厂保修卡、随机资料及配件、随机工具等交付给甲方；乙方不能完整交付货物及本款规定的单证和工具的，视为未按合同约定供货，乙方必须负责补齐，因此导致逾期交付的，由乙方承担相关的违约责任。</w:t>
      </w:r>
    </w:p>
    <w:p>
      <w:pPr>
        <w:widowControl/>
        <w:spacing w:line="480" w:lineRule="exact"/>
        <w:jc w:val="left"/>
        <w:rPr>
          <w:rFonts w:ascii="宋体" w:hAnsi="宋体"/>
          <w:bCs/>
          <w:sz w:val="24"/>
          <w:szCs w:val="24"/>
        </w:rPr>
      </w:pPr>
      <w:r>
        <w:rPr>
          <w:rFonts w:hint="eastAsia" w:ascii="宋体" w:hAnsi="宋体"/>
          <w:bCs/>
          <w:sz w:val="24"/>
          <w:szCs w:val="24"/>
        </w:rPr>
        <w:t>五、合同金额及付款方式</w:t>
      </w:r>
    </w:p>
    <w:p>
      <w:pPr>
        <w:widowControl/>
        <w:spacing w:line="480" w:lineRule="exact"/>
        <w:jc w:val="left"/>
        <w:rPr>
          <w:rFonts w:ascii="宋体" w:hAnsi="宋体"/>
          <w:bCs/>
          <w:sz w:val="24"/>
          <w:szCs w:val="24"/>
        </w:rPr>
      </w:pPr>
      <w:r>
        <w:rPr>
          <w:rFonts w:hint="eastAsia" w:ascii="宋体" w:hAnsi="宋体"/>
          <w:bCs/>
          <w:sz w:val="24"/>
          <w:szCs w:val="24"/>
        </w:rPr>
        <w:t>第八条  合同金额</w:t>
      </w:r>
    </w:p>
    <w:p>
      <w:pPr>
        <w:widowControl/>
        <w:spacing w:line="480" w:lineRule="exact"/>
        <w:ind w:firstLine="480" w:firstLineChars="200"/>
        <w:jc w:val="left"/>
        <w:rPr>
          <w:rFonts w:ascii="宋体" w:hAnsi="宋体"/>
          <w:bCs/>
          <w:sz w:val="24"/>
          <w:szCs w:val="24"/>
        </w:rPr>
      </w:pPr>
      <w:r>
        <w:rPr>
          <w:rFonts w:ascii="宋体" w:hAnsi="宋体"/>
          <w:bCs/>
          <w:sz w:val="24"/>
          <w:szCs w:val="24"/>
        </w:rPr>
        <w:t>本合同金额为人民币（大写）                        元整（￥         元）</w:t>
      </w:r>
      <w:r>
        <w:rPr>
          <w:rFonts w:hint="eastAsia" w:ascii="宋体" w:hAnsi="宋体"/>
          <w:bCs/>
          <w:sz w:val="24"/>
          <w:szCs w:val="24"/>
        </w:rPr>
        <w:t>；其中不含税金额为_</w:t>
      </w:r>
      <w:r>
        <w:rPr>
          <w:rFonts w:ascii="宋体" w:hAnsi="宋体"/>
          <w:bCs/>
          <w:sz w:val="24"/>
          <w:szCs w:val="24"/>
        </w:rPr>
        <w:t>____</w:t>
      </w:r>
      <w:r>
        <w:rPr>
          <w:rFonts w:hint="eastAsia" w:ascii="宋体" w:hAnsi="宋体"/>
          <w:bCs/>
          <w:sz w:val="24"/>
          <w:szCs w:val="24"/>
        </w:rPr>
        <w:t>元，税率_</w:t>
      </w:r>
      <w:r>
        <w:rPr>
          <w:rFonts w:ascii="宋体" w:hAnsi="宋体"/>
          <w:bCs/>
          <w:sz w:val="24"/>
          <w:szCs w:val="24"/>
        </w:rPr>
        <w:t>____%</w:t>
      </w:r>
      <w:r>
        <w:rPr>
          <w:rFonts w:hint="eastAsia" w:ascii="宋体" w:hAnsi="宋体"/>
          <w:bCs/>
          <w:sz w:val="24"/>
          <w:szCs w:val="24"/>
        </w:rPr>
        <w:t>，税费_</w:t>
      </w:r>
      <w:r>
        <w:rPr>
          <w:rFonts w:ascii="宋体" w:hAnsi="宋体"/>
          <w:bCs/>
          <w:sz w:val="24"/>
          <w:szCs w:val="24"/>
        </w:rPr>
        <w:t>___</w:t>
      </w:r>
      <w:r>
        <w:rPr>
          <w:rFonts w:hint="eastAsia" w:ascii="宋体" w:hAnsi="宋体"/>
          <w:bCs/>
          <w:sz w:val="24"/>
          <w:szCs w:val="24"/>
        </w:rPr>
        <w:t>元</w:t>
      </w:r>
      <w:r>
        <w:rPr>
          <w:rFonts w:ascii="宋体" w:hAnsi="宋体"/>
          <w:bCs/>
          <w:sz w:val="24"/>
          <w:szCs w:val="24"/>
        </w:rPr>
        <w:t>。</w:t>
      </w:r>
    </w:p>
    <w:p>
      <w:pPr>
        <w:widowControl/>
        <w:spacing w:line="480" w:lineRule="exact"/>
        <w:ind w:firstLine="480" w:firstLineChars="200"/>
        <w:jc w:val="left"/>
        <w:rPr>
          <w:rFonts w:ascii="宋体" w:hAnsi="宋体"/>
          <w:bCs/>
          <w:sz w:val="24"/>
          <w:szCs w:val="24"/>
        </w:rPr>
      </w:pPr>
      <w:r>
        <w:rPr>
          <w:rFonts w:ascii="宋体" w:hAnsi="宋体"/>
          <w:bCs/>
          <w:sz w:val="24"/>
          <w:szCs w:val="24"/>
        </w:rPr>
        <w:t>该合同总价是货物设计、制造、包装、运输、安装调试、检测及验收合格之前及质保期内服务及备品备件发生的所有含税费用</w:t>
      </w:r>
      <w:r>
        <w:rPr>
          <w:rFonts w:hint="eastAsia" w:ascii="宋体" w:hAnsi="宋体"/>
          <w:bCs/>
          <w:sz w:val="24"/>
          <w:szCs w:val="24"/>
        </w:rPr>
        <w:t>，</w:t>
      </w:r>
      <w:r>
        <w:rPr>
          <w:rFonts w:ascii="宋体" w:hAnsi="宋体"/>
          <w:bCs/>
          <w:sz w:val="24"/>
          <w:szCs w:val="24"/>
        </w:rPr>
        <w:t>本合同执行期间合同总价不变。</w:t>
      </w:r>
    </w:p>
    <w:p>
      <w:pPr>
        <w:widowControl/>
        <w:numPr>
          <w:ilvl w:val="0"/>
          <w:numId w:val="13"/>
        </w:numPr>
        <w:spacing w:line="480" w:lineRule="exact"/>
        <w:jc w:val="left"/>
        <w:rPr>
          <w:rFonts w:ascii="宋体" w:hAnsi="宋体"/>
          <w:bCs/>
          <w:sz w:val="24"/>
          <w:szCs w:val="24"/>
        </w:rPr>
      </w:pPr>
      <w:r>
        <w:rPr>
          <w:rFonts w:ascii="宋体" w:hAnsi="宋体"/>
          <w:bCs/>
          <w:sz w:val="24"/>
          <w:szCs w:val="24"/>
        </w:rPr>
        <w:t xml:space="preserve"> 付款方式</w:t>
      </w:r>
    </w:p>
    <w:p>
      <w:pPr>
        <w:widowControl/>
        <w:spacing w:line="480" w:lineRule="exact"/>
        <w:ind w:firstLine="480" w:firstLineChars="200"/>
        <w:jc w:val="left"/>
        <w:rPr>
          <w:rFonts w:ascii="宋体" w:hAnsi="宋体"/>
          <w:bCs/>
          <w:sz w:val="24"/>
          <w:szCs w:val="24"/>
          <w:highlight w:val="none"/>
        </w:rPr>
      </w:pPr>
      <w:r>
        <w:rPr>
          <w:rFonts w:hint="eastAsia" w:ascii="宋体" w:hAnsi="宋体"/>
          <w:bCs/>
          <w:sz w:val="24"/>
          <w:szCs w:val="24"/>
          <w:highlight w:val="none"/>
        </w:rPr>
        <w:t>签订合同后支付合同总价的30%作为预付款</w:t>
      </w:r>
      <w:r>
        <w:rPr>
          <w:rFonts w:hint="eastAsia" w:ascii="宋体" w:hAnsi="宋体"/>
          <w:bCs/>
          <w:sz w:val="24"/>
          <w:szCs w:val="24"/>
          <w:highlight w:val="none"/>
          <w:lang w:eastAsia="zh-CN"/>
        </w:rPr>
        <w:t>，</w:t>
      </w:r>
      <w:r>
        <w:rPr>
          <w:rFonts w:hint="eastAsia" w:ascii="宋体" w:hAnsi="宋体"/>
          <w:bCs/>
          <w:sz w:val="24"/>
          <w:szCs w:val="24"/>
          <w:highlight w:val="none"/>
          <w:lang w:val="en-US" w:eastAsia="zh-CN"/>
        </w:rPr>
        <w:t>设备安装</w:t>
      </w:r>
      <w:r>
        <w:rPr>
          <w:rFonts w:hint="eastAsia" w:ascii="宋体" w:hAnsi="宋体"/>
          <w:bCs/>
          <w:sz w:val="24"/>
          <w:szCs w:val="24"/>
          <w:highlight w:val="none"/>
        </w:rPr>
        <w:t>完毕</w:t>
      </w:r>
      <w:r>
        <w:rPr>
          <w:rFonts w:hint="eastAsia" w:ascii="宋体" w:hAnsi="宋体"/>
          <w:bCs/>
          <w:sz w:val="24"/>
          <w:szCs w:val="24"/>
          <w:highlight w:val="none"/>
          <w:lang w:val="en-US" w:eastAsia="zh-CN"/>
        </w:rPr>
        <w:t>后经甲方验收合格后</w:t>
      </w:r>
      <w:r>
        <w:rPr>
          <w:rFonts w:hint="eastAsia" w:ascii="宋体" w:hAnsi="宋体"/>
          <w:bCs/>
          <w:sz w:val="24"/>
          <w:szCs w:val="24"/>
          <w:highlight w:val="none"/>
        </w:rPr>
        <w:t>支付合同总价的65%，剩下合同总价的5%作为质保金，质保期到期后一个月内支付完成（不计息）。在甲方付款前，乙方需提供增值税专用发票，否则甲方有权拒绝付款无须承担任何违约责任。</w:t>
      </w:r>
    </w:p>
    <w:p>
      <w:pPr>
        <w:widowControl/>
        <w:spacing w:line="480" w:lineRule="exact"/>
        <w:jc w:val="left"/>
        <w:rPr>
          <w:rFonts w:ascii="宋体" w:hAnsi="宋体"/>
          <w:bCs/>
          <w:sz w:val="24"/>
          <w:szCs w:val="24"/>
        </w:rPr>
      </w:pPr>
      <w:r>
        <w:rPr>
          <w:rFonts w:hint="eastAsia" w:ascii="宋体" w:hAnsi="宋体"/>
          <w:bCs/>
          <w:sz w:val="24"/>
          <w:szCs w:val="24"/>
        </w:rPr>
        <w:t>六、售后服务</w:t>
      </w:r>
    </w:p>
    <w:p>
      <w:pPr>
        <w:widowControl/>
        <w:spacing w:line="480" w:lineRule="exact"/>
        <w:jc w:val="left"/>
        <w:rPr>
          <w:rFonts w:ascii="宋体" w:hAnsi="宋体"/>
          <w:bCs/>
          <w:sz w:val="24"/>
          <w:szCs w:val="24"/>
        </w:rPr>
      </w:pPr>
      <w:r>
        <w:rPr>
          <w:rFonts w:hint="eastAsia" w:ascii="宋体" w:hAnsi="宋体"/>
          <w:bCs/>
          <w:sz w:val="24"/>
          <w:szCs w:val="24"/>
        </w:rPr>
        <w:t>第十条  乙方负责送货、上门安装、调试及其他售后服务，对本项目的售后服务作出承诺，并指派专人负责与甲方联系售后服务事宜，具有经过厂家培训及得到认可的维修工程师和售后维修人员。所有货物保修服务方式均为乙方上门保修，由此产生的一切费用均由乙方承担。</w:t>
      </w:r>
    </w:p>
    <w:p>
      <w:pPr>
        <w:widowControl/>
        <w:spacing w:line="480" w:lineRule="exact"/>
        <w:jc w:val="left"/>
        <w:rPr>
          <w:rFonts w:ascii="宋体" w:hAnsi="宋体"/>
          <w:bCs/>
          <w:sz w:val="24"/>
          <w:szCs w:val="24"/>
        </w:rPr>
      </w:pPr>
      <w:r>
        <w:rPr>
          <w:rFonts w:hint="eastAsia" w:ascii="宋体" w:hAnsi="宋体"/>
          <w:bCs/>
          <w:sz w:val="24"/>
          <w:szCs w:val="24"/>
        </w:rPr>
        <w:t>第十一条  乙方所供设备按国家有关产品“三包”规定执行质量“三包”（甲方及其使用人自行拆装设备造成质量问题的除外）。</w:t>
      </w:r>
    </w:p>
    <w:p>
      <w:pPr>
        <w:widowControl/>
        <w:spacing w:line="480" w:lineRule="exact"/>
        <w:jc w:val="left"/>
        <w:rPr>
          <w:rFonts w:ascii="宋体" w:hAnsi="宋体"/>
          <w:bCs/>
          <w:sz w:val="24"/>
          <w:szCs w:val="24"/>
        </w:rPr>
      </w:pPr>
      <w:r>
        <w:rPr>
          <w:rFonts w:hint="eastAsia" w:ascii="宋体" w:hAnsi="宋体"/>
          <w:bCs/>
          <w:sz w:val="24"/>
          <w:szCs w:val="24"/>
        </w:rPr>
        <w:t>第十二条  质保期为  1 年，从产品验收合格之日起计算。</w:t>
      </w:r>
    </w:p>
    <w:p>
      <w:pPr>
        <w:widowControl/>
        <w:spacing w:line="480" w:lineRule="exact"/>
        <w:jc w:val="left"/>
        <w:rPr>
          <w:rFonts w:ascii="宋体" w:hAnsi="宋体"/>
          <w:bCs/>
          <w:sz w:val="24"/>
          <w:szCs w:val="24"/>
        </w:rPr>
      </w:pPr>
      <w:r>
        <w:rPr>
          <w:rFonts w:hint="eastAsia" w:ascii="宋体" w:hAnsi="宋体"/>
          <w:bCs/>
          <w:sz w:val="24"/>
          <w:szCs w:val="24"/>
        </w:rPr>
        <w:t>第十三条  质保期内，乙方免费负责全部合同货物出现的缺陷或故障处理与修复。</w:t>
      </w:r>
    </w:p>
    <w:p>
      <w:pPr>
        <w:widowControl/>
        <w:spacing w:line="480" w:lineRule="exact"/>
        <w:jc w:val="left"/>
        <w:rPr>
          <w:rFonts w:ascii="宋体" w:hAnsi="宋体"/>
          <w:bCs/>
          <w:sz w:val="24"/>
          <w:szCs w:val="24"/>
        </w:rPr>
      </w:pPr>
      <w:r>
        <w:rPr>
          <w:rFonts w:hint="eastAsia" w:ascii="宋体" w:hAnsi="宋体"/>
          <w:bCs/>
          <w:sz w:val="24"/>
          <w:szCs w:val="24"/>
        </w:rPr>
        <w:t>第十四条  在质保期内因乙方责任而产生的质量问题，由其负责无偿返修。不能维修的，整件免费更换。人为原因造成的损坏只收配件费不收人工费。</w:t>
      </w:r>
    </w:p>
    <w:p>
      <w:pPr>
        <w:widowControl/>
        <w:spacing w:line="480" w:lineRule="exact"/>
        <w:jc w:val="left"/>
        <w:rPr>
          <w:rFonts w:ascii="宋体" w:hAnsi="宋体"/>
          <w:bCs/>
          <w:sz w:val="24"/>
          <w:szCs w:val="24"/>
        </w:rPr>
      </w:pPr>
      <w:r>
        <w:rPr>
          <w:rFonts w:hint="eastAsia" w:ascii="宋体" w:hAnsi="宋体"/>
          <w:bCs/>
          <w:sz w:val="24"/>
          <w:szCs w:val="24"/>
        </w:rPr>
        <w:t>第十五条 在质保期内，乙方要保证在接到故障电话后24小时到场，并在12小时内给出修复意见，并在双方协商确定的时间内维修完毕；否则，甲方有权聘请第三方处理，因此产生的费用由乙方承担。</w:t>
      </w:r>
    </w:p>
    <w:p>
      <w:pPr>
        <w:widowControl/>
        <w:spacing w:line="480" w:lineRule="exact"/>
        <w:jc w:val="left"/>
        <w:rPr>
          <w:rFonts w:ascii="宋体" w:hAnsi="宋体"/>
          <w:bCs/>
          <w:sz w:val="24"/>
          <w:szCs w:val="24"/>
        </w:rPr>
      </w:pPr>
      <w:r>
        <w:rPr>
          <w:rFonts w:hint="eastAsia" w:ascii="宋体" w:hAnsi="宋体"/>
          <w:bCs/>
          <w:sz w:val="24"/>
          <w:szCs w:val="24"/>
        </w:rPr>
        <w:t>第十六条  质保期结束前，乙方和甲方代表进行一次全面检查，任何缺陷须由乙方或其设备制造商负责修理并提供维修报告。</w:t>
      </w:r>
    </w:p>
    <w:p>
      <w:pPr>
        <w:widowControl/>
        <w:spacing w:line="480" w:lineRule="exact"/>
        <w:jc w:val="left"/>
        <w:rPr>
          <w:rFonts w:ascii="宋体" w:hAnsi="宋体"/>
          <w:bCs/>
          <w:sz w:val="24"/>
          <w:szCs w:val="24"/>
        </w:rPr>
      </w:pPr>
      <w:r>
        <w:rPr>
          <w:rFonts w:hint="eastAsia" w:ascii="宋体" w:hAnsi="宋体"/>
          <w:bCs/>
          <w:sz w:val="24"/>
          <w:szCs w:val="24"/>
        </w:rPr>
        <w:t>七、违约责任</w:t>
      </w:r>
    </w:p>
    <w:p>
      <w:pPr>
        <w:widowControl/>
        <w:spacing w:line="480" w:lineRule="exact"/>
        <w:jc w:val="left"/>
        <w:rPr>
          <w:rFonts w:ascii="宋体" w:hAnsi="宋体"/>
          <w:bCs/>
          <w:sz w:val="24"/>
          <w:szCs w:val="24"/>
        </w:rPr>
      </w:pPr>
      <w:r>
        <w:rPr>
          <w:rFonts w:ascii="宋体" w:hAnsi="宋体"/>
          <w:bCs/>
          <w:sz w:val="24"/>
          <w:szCs w:val="24"/>
        </w:rPr>
        <w:t>第十七条  甲方无正当理由拒收货物的，甲方须向乙方交纳合同总价10%的违约金。</w:t>
      </w:r>
    </w:p>
    <w:p>
      <w:pPr>
        <w:widowControl/>
        <w:spacing w:line="480" w:lineRule="exact"/>
        <w:jc w:val="left"/>
        <w:rPr>
          <w:rFonts w:ascii="宋体" w:hAnsi="宋体"/>
          <w:bCs/>
          <w:sz w:val="24"/>
          <w:szCs w:val="24"/>
        </w:rPr>
      </w:pPr>
      <w:r>
        <w:rPr>
          <w:rFonts w:ascii="宋体" w:hAnsi="宋体"/>
          <w:bCs/>
          <w:sz w:val="24"/>
          <w:szCs w:val="24"/>
        </w:rPr>
        <w:t>第十八条  甲方逾期支付货款的，甲方须每日以欠款总额0.8‰的标准向乙方交纳违约金，累计不超过欠款总额的10% 。</w:t>
      </w:r>
    </w:p>
    <w:p>
      <w:pPr>
        <w:widowControl/>
        <w:spacing w:line="480" w:lineRule="exact"/>
        <w:jc w:val="left"/>
        <w:rPr>
          <w:rFonts w:ascii="宋体" w:hAnsi="宋体"/>
          <w:bCs/>
          <w:sz w:val="24"/>
          <w:szCs w:val="24"/>
        </w:rPr>
      </w:pPr>
      <w:r>
        <w:rPr>
          <w:rFonts w:ascii="宋体" w:hAnsi="宋体"/>
          <w:bCs/>
          <w:sz w:val="24"/>
          <w:szCs w:val="24"/>
        </w:rPr>
        <w:t>第十九条  乙方逾期15天未交付货物视为乙方不能交付货物。乙方不能交付货物，须向甲方交纳合同总价10%的违约金。</w:t>
      </w:r>
    </w:p>
    <w:p>
      <w:pPr>
        <w:widowControl/>
        <w:spacing w:line="480" w:lineRule="exact"/>
        <w:jc w:val="left"/>
        <w:rPr>
          <w:rFonts w:ascii="宋体" w:hAnsi="宋体"/>
          <w:bCs/>
          <w:sz w:val="24"/>
          <w:szCs w:val="24"/>
        </w:rPr>
      </w:pPr>
      <w:r>
        <w:rPr>
          <w:rFonts w:ascii="宋体" w:hAnsi="宋体"/>
          <w:bCs/>
          <w:sz w:val="24"/>
          <w:szCs w:val="24"/>
        </w:rPr>
        <w:t>第二十条  乙方逾期交付货物的，乙方须每日以逾期交货部分货款总额0.8‰的标准向甲方交纳违约金，累计不超过逾期交货部分货款总额的10 %，逾期交货超过15天，甲方有权终止合同。</w:t>
      </w:r>
    </w:p>
    <w:p>
      <w:pPr>
        <w:widowControl/>
        <w:spacing w:line="480" w:lineRule="exact"/>
        <w:jc w:val="left"/>
        <w:rPr>
          <w:rFonts w:ascii="宋体" w:hAnsi="宋体"/>
          <w:bCs/>
          <w:sz w:val="24"/>
          <w:szCs w:val="24"/>
        </w:rPr>
      </w:pPr>
      <w:r>
        <w:rPr>
          <w:rFonts w:ascii="宋体" w:hAnsi="宋体"/>
          <w:bCs/>
          <w:sz w:val="24"/>
          <w:szCs w:val="24"/>
        </w:rPr>
        <w:t>第二十一条  乙方所交付产品的型号、规格、数量和质量不符合合同规定标准的，甲方有权拒收</w:t>
      </w:r>
      <w:r>
        <w:rPr>
          <w:rFonts w:hint="eastAsia" w:ascii="宋体" w:hAnsi="宋体"/>
          <w:bCs/>
          <w:sz w:val="24"/>
          <w:szCs w:val="24"/>
        </w:rPr>
        <w:t>，且交货时间不予顺延</w:t>
      </w:r>
      <w:r>
        <w:rPr>
          <w:rFonts w:ascii="宋体" w:hAnsi="宋体"/>
          <w:bCs/>
          <w:sz w:val="24"/>
          <w:szCs w:val="24"/>
        </w:rPr>
        <w:t>。乙方须向甲方交纳合同总价10%的违约金。</w:t>
      </w:r>
    </w:p>
    <w:p>
      <w:pPr>
        <w:widowControl/>
        <w:spacing w:line="480" w:lineRule="exact"/>
        <w:jc w:val="left"/>
        <w:rPr>
          <w:rFonts w:ascii="宋体" w:hAnsi="宋体"/>
          <w:bCs/>
          <w:sz w:val="24"/>
          <w:szCs w:val="24"/>
        </w:rPr>
      </w:pPr>
      <w:r>
        <w:rPr>
          <w:rFonts w:ascii="宋体" w:hAnsi="宋体"/>
          <w:bCs/>
          <w:sz w:val="24"/>
          <w:szCs w:val="24"/>
        </w:rPr>
        <w:t>第二十二条  乙方所供货物必须权属清楚，不得侵害他人的知识产权，否则构成对甲方违约。</w:t>
      </w:r>
      <w:r>
        <w:rPr>
          <w:rFonts w:hint="eastAsia" w:ascii="宋体" w:hAnsi="宋体"/>
          <w:bCs/>
          <w:sz w:val="24"/>
          <w:szCs w:val="24"/>
        </w:rPr>
        <w:t>若因乙方原因给甲方造成损失的，乙方应负责赔偿，赔偿范围包括但不限于甲方因此支出的赔偿款、罚款以及为解决该等纠纷而支出的律师费、差旅费、诉讼费、财产保全费、公证费、鉴定费等一切合理费用。</w:t>
      </w:r>
    </w:p>
    <w:p>
      <w:pPr>
        <w:widowControl/>
        <w:spacing w:line="480" w:lineRule="exact"/>
        <w:jc w:val="left"/>
        <w:rPr>
          <w:rFonts w:ascii="宋体" w:hAnsi="宋体"/>
          <w:bCs/>
          <w:sz w:val="24"/>
          <w:szCs w:val="24"/>
        </w:rPr>
      </w:pPr>
      <w:r>
        <w:rPr>
          <w:rFonts w:hint="eastAsia" w:ascii="宋体" w:hAnsi="宋体"/>
          <w:bCs/>
          <w:sz w:val="24"/>
          <w:szCs w:val="24"/>
        </w:rPr>
        <w:t>八、不可抗力</w:t>
      </w:r>
    </w:p>
    <w:p>
      <w:pPr>
        <w:widowControl/>
        <w:spacing w:line="480" w:lineRule="exact"/>
        <w:jc w:val="left"/>
        <w:rPr>
          <w:rFonts w:ascii="宋体" w:hAnsi="宋体"/>
          <w:bCs/>
          <w:sz w:val="24"/>
          <w:szCs w:val="24"/>
        </w:rPr>
      </w:pPr>
      <w:r>
        <w:rPr>
          <w:rFonts w:hint="eastAsia" w:ascii="宋体" w:hAnsi="宋体"/>
          <w:bCs/>
          <w:sz w:val="24"/>
          <w:szCs w:val="24"/>
        </w:rPr>
        <w:t>第二十三条  由于不可预见、不可避免、不可克服等不可抗力的原因，一方不能履行合同义务的，应当在不可抗力发生之日起20天内以书面形式通知对方，证明不可抗力事件的存在。</w:t>
      </w:r>
    </w:p>
    <w:p>
      <w:pPr>
        <w:widowControl/>
        <w:spacing w:line="480" w:lineRule="exact"/>
        <w:jc w:val="left"/>
        <w:rPr>
          <w:rFonts w:ascii="宋体" w:hAnsi="宋体"/>
          <w:bCs/>
          <w:sz w:val="24"/>
          <w:szCs w:val="24"/>
        </w:rPr>
      </w:pPr>
      <w:r>
        <w:rPr>
          <w:rFonts w:hint="eastAsia" w:ascii="宋体" w:hAnsi="宋体"/>
          <w:bCs/>
          <w:sz w:val="24"/>
          <w:szCs w:val="24"/>
        </w:rPr>
        <w:t>第二十四条  不可抗力事件发生后，甲方和乙方应当积极寻求以合理的方式履行本合同。如不可抗力无法消除，致使合同目的无法实现的，双方均有权解除合同，且均不互相索赔。</w:t>
      </w:r>
    </w:p>
    <w:p>
      <w:pPr>
        <w:widowControl/>
        <w:spacing w:line="480" w:lineRule="exact"/>
        <w:jc w:val="left"/>
        <w:rPr>
          <w:rFonts w:ascii="宋体" w:hAnsi="宋体"/>
          <w:bCs/>
          <w:sz w:val="24"/>
          <w:szCs w:val="24"/>
        </w:rPr>
      </w:pPr>
      <w:r>
        <w:rPr>
          <w:rFonts w:hint="eastAsia" w:ascii="宋体" w:hAnsi="宋体"/>
          <w:bCs/>
          <w:sz w:val="24"/>
          <w:szCs w:val="24"/>
        </w:rPr>
        <w:t>九、争议及解决办法</w:t>
      </w:r>
    </w:p>
    <w:p>
      <w:pPr>
        <w:widowControl/>
        <w:spacing w:line="480" w:lineRule="exact"/>
        <w:jc w:val="left"/>
        <w:rPr>
          <w:rFonts w:ascii="宋体" w:hAnsi="宋体"/>
          <w:bCs/>
          <w:sz w:val="24"/>
          <w:szCs w:val="24"/>
        </w:rPr>
      </w:pPr>
      <w:r>
        <w:rPr>
          <w:rFonts w:hint="eastAsia" w:ascii="宋体" w:hAnsi="宋体"/>
          <w:bCs/>
          <w:sz w:val="24"/>
          <w:szCs w:val="24"/>
        </w:rPr>
        <w:t>第二十五条  因货物的质量问题发生争议，由广州市质量技术监督局或其指定的质量鉴定单位进行质量鉴定。货物符合质量标准的，鉴定费由甲方承担；货物不符合质量标准的，鉴定费由乙方承担。</w:t>
      </w:r>
    </w:p>
    <w:p>
      <w:pPr>
        <w:widowControl/>
        <w:spacing w:line="480" w:lineRule="exact"/>
        <w:jc w:val="left"/>
        <w:rPr>
          <w:rFonts w:ascii="宋体" w:hAnsi="宋体"/>
          <w:bCs/>
          <w:sz w:val="24"/>
          <w:szCs w:val="24"/>
        </w:rPr>
      </w:pPr>
      <w:r>
        <w:rPr>
          <w:rFonts w:hint="eastAsia" w:ascii="宋体" w:hAnsi="宋体"/>
          <w:bCs/>
          <w:sz w:val="24"/>
          <w:szCs w:val="24"/>
        </w:rPr>
        <w:t>第二十六条  本合同发生争议，由双方协商或由采购监管部门调解解决，协商或调解不成时按以下第</w:t>
      </w:r>
      <w:r>
        <w:rPr>
          <w:rFonts w:ascii="宋体" w:hAnsi="宋体"/>
          <w:bCs/>
          <w:sz w:val="24"/>
          <w:szCs w:val="24"/>
        </w:rPr>
        <w:t>2</w:t>
      </w:r>
      <w:r>
        <w:rPr>
          <w:rFonts w:hint="eastAsia" w:ascii="宋体" w:hAnsi="宋体"/>
          <w:bCs/>
          <w:sz w:val="24"/>
          <w:szCs w:val="24"/>
        </w:rPr>
        <w:t>种方式解决：</w:t>
      </w:r>
    </w:p>
    <w:p>
      <w:pPr>
        <w:widowControl/>
        <w:spacing w:line="480" w:lineRule="exact"/>
        <w:jc w:val="left"/>
        <w:rPr>
          <w:rFonts w:ascii="宋体" w:hAnsi="宋体"/>
          <w:bCs/>
          <w:sz w:val="24"/>
          <w:szCs w:val="24"/>
        </w:rPr>
      </w:pPr>
      <w:r>
        <w:rPr>
          <w:rFonts w:hint="eastAsia" w:ascii="宋体" w:hAnsi="宋体"/>
          <w:bCs/>
          <w:sz w:val="24"/>
          <w:szCs w:val="24"/>
        </w:rPr>
        <w:t>1.广州仲裁委员会仲裁；</w:t>
      </w:r>
    </w:p>
    <w:p>
      <w:pPr>
        <w:widowControl/>
        <w:spacing w:line="480" w:lineRule="exact"/>
        <w:jc w:val="left"/>
        <w:rPr>
          <w:rFonts w:ascii="宋体" w:hAnsi="宋体"/>
          <w:bCs/>
          <w:sz w:val="24"/>
          <w:szCs w:val="24"/>
        </w:rPr>
      </w:pPr>
      <w:r>
        <w:rPr>
          <w:rFonts w:hint="eastAsia" w:ascii="宋体" w:hAnsi="宋体"/>
          <w:bCs/>
          <w:sz w:val="24"/>
          <w:szCs w:val="24"/>
        </w:rPr>
        <w:t>2.向甲方所在地人民法院提起诉讼。</w:t>
      </w:r>
    </w:p>
    <w:p>
      <w:pPr>
        <w:widowControl/>
        <w:spacing w:line="480" w:lineRule="exact"/>
        <w:jc w:val="left"/>
        <w:rPr>
          <w:rFonts w:ascii="宋体" w:hAnsi="宋体"/>
          <w:bCs/>
          <w:sz w:val="24"/>
          <w:szCs w:val="24"/>
        </w:rPr>
      </w:pPr>
      <w:r>
        <w:rPr>
          <w:rFonts w:hint="eastAsia" w:ascii="宋体" w:hAnsi="宋体"/>
          <w:bCs/>
          <w:sz w:val="24"/>
          <w:szCs w:val="24"/>
        </w:rPr>
        <w:t>十、其   他</w:t>
      </w:r>
    </w:p>
    <w:p>
      <w:pPr>
        <w:widowControl/>
        <w:spacing w:line="480" w:lineRule="exact"/>
        <w:jc w:val="left"/>
        <w:rPr>
          <w:rFonts w:ascii="宋体" w:hAnsi="宋体"/>
          <w:bCs/>
          <w:sz w:val="24"/>
          <w:szCs w:val="24"/>
        </w:rPr>
      </w:pPr>
      <w:r>
        <w:rPr>
          <w:rFonts w:hint="eastAsia" w:ascii="宋体" w:hAnsi="宋体"/>
          <w:bCs/>
          <w:sz w:val="24"/>
          <w:szCs w:val="24"/>
        </w:rPr>
        <w:t>第二十七条  本合同一式六份，具有同等效力，甲、乙双方各执三份。合同自双方签字盖章之日起生效。</w:t>
      </w:r>
    </w:p>
    <w:p>
      <w:pPr>
        <w:widowControl/>
        <w:spacing w:line="480" w:lineRule="exact"/>
        <w:jc w:val="left"/>
        <w:rPr>
          <w:rFonts w:ascii="宋体" w:hAnsi="宋体"/>
          <w:bCs/>
          <w:sz w:val="24"/>
          <w:szCs w:val="24"/>
        </w:rPr>
      </w:pPr>
      <w:r>
        <w:rPr>
          <w:rFonts w:hint="eastAsia" w:ascii="宋体" w:hAnsi="宋体"/>
          <w:bCs/>
          <w:sz w:val="24"/>
          <w:szCs w:val="24"/>
        </w:rPr>
        <w:t>第二十八条  本合同未尽事宜，由双方协商处理。</w:t>
      </w:r>
    </w:p>
    <w:p>
      <w:pPr>
        <w:pStyle w:val="26"/>
        <w:ind w:firstLine="560"/>
        <w:rPr>
          <w:lang w:val="en-US"/>
        </w:rPr>
      </w:pPr>
    </w:p>
    <w:p>
      <w:pPr>
        <w:pStyle w:val="26"/>
        <w:ind w:firstLine="560"/>
        <w:rPr>
          <w:lang w:val="en-US"/>
        </w:rPr>
      </w:pPr>
    </w:p>
    <w:p>
      <w:pPr>
        <w:widowControl/>
        <w:spacing w:line="480" w:lineRule="exact"/>
        <w:jc w:val="left"/>
        <w:rPr>
          <w:rFonts w:ascii="宋体" w:hAnsi="宋体"/>
          <w:bCs/>
          <w:sz w:val="24"/>
          <w:szCs w:val="24"/>
        </w:rPr>
      </w:pPr>
    </w:p>
    <w:tbl>
      <w:tblPr>
        <w:tblStyle w:val="21"/>
        <w:tblW w:w="9072" w:type="dxa"/>
        <w:jc w:val="center"/>
        <w:tblLayout w:type="fixed"/>
        <w:tblCellMar>
          <w:top w:w="0" w:type="dxa"/>
          <w:left w:w="108" w:type="dxa"/>
          <w:bottom w:w="0" w:type="dxa"/>
          <w:right w:w="108" w:type="dxa"/>
        </w:tblCellMar>
      </w:tblPr>
      <w:tblGrid>
        <w:gridCol w:w="1390"/>
        <w:gridCol w:w="3146"/>
        <w:gridCol w:w="1390"/>
        <w:gridCol w:w="3146"/>
      </w:tblGrid>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甲方：</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（盖章）</w:t>
            </w: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乙方：</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（盖章）</w:t>
            </w: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签约代表：</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签约代表：</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地    址：</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地    址：</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电    话：</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电    话：</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传    真：</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传    真：</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签约日期：</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 xml:space="preserve">  年   月   日</w:t>
            </w: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签约日期：</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 xml:space="preserve">  年   月   日</w:t>
            </w:r>
          </w:p>
        </w:tc>
      </w:tr>
    </w:tbl>
    <w:p>
      <w:pPr>
        <w:widowControl/>
        <w:spacing w:line="360" w:lineRule="auto"/>
        <w:jc w:val="left"/>
        <w:rPr>
          <w:sz w:val="44"/>
        </w:rPr>
      </w:pPr>
      <w:r>
        <w:rPr>
          <w:rFonts w:ascii="宋体" w:hAnsi="宋体"/>
          <w:b/>
          <w:sz w:val="24"/>
          <w:szCs w:val="24"/>
        </w:rPr>
        <w:br w:type="page"/>
      </w:r>
    </w:p>
    <w:p>
      <w:pPr>
        <w:rPr>
          <w:sz w:val="44"/>
        </w:rPr>
      </w:pPr>
    </w:p>
    <w:p>
      <w:pPr>
        <w:pStyle w:val="6"/>
        <w:rPr>
          <w:rFonts w:ascii="宋体" w:hAnsi="宋体"/>
          <w:b/>
          <w:sz w:val="28"/>
          <w:szCs w:val="28"/>
        </w:rPr>
      </w:pPr>
    </w:p>
    <w:p>
      <w:pPr>
        <w:rPr>
          <w:rFonts w:ascii="宋体" w:hAnsi="宋体"/>
          <w:b/>
          <w:szCs w:val="28"/>
        </w:rPr>
      </w:pPr>
    </w:p>
    <w:p>
      <w:pPr>
        <w:pStyle w:val="6"/>
        <w:rPr>
          <w:rFonts w:ascii="宋体" w:hAnsi="宋体"/>
          <w:b/>
          <w:sz w:val="28"/>
          <w:szCs w:val="28"/>
        </w:rPr>
      </w:pPr>
    </w:p>
    <w:p>
      <w:pPr>
        <w:rPr>
          <w:rFonts w:ascii="宋体" w:hAnsi="宋体"/>
          <w:b/>
          <w:szCs w:val="28"/>
        </w:rPr>
      </w:pPr>
    </w:p>
    <w:p>
      <w:pPr>
        <w:pStyle w:val="6"/>
        <w:rPr>
          <w:sz w:val="44"/>
        </w:rPr>
      </w:pPr>
    </w:p>
    <w:p>
      <w:pPr>
        <w:rPr>
          <w:sz w:val="44"/>
        </w:rPr>
      </w:pPr>
    </w:p>
    <w:p>
      <w:pPr>
        <w:pStyle w:val="6"/>
        <w:rPr>
          <w:sz w:val="44"/>
        </w:rPr>
      </w:pPr>
    </w:p>
    <w:p>
      <w:pPr>
        <w:rPr>
          <w:sz w:val="44"/>
        </w:rPr>
      </w:pPr>
    </w:p>
    <w:p>
      <w:pPr>
        <w:pStyle w:val="6"/>
        <w:rPr>
          <w:sz w:val="44"/>
        </w:rPr>
      </w:pPr>
    </w:p>
    <w:p>
      <w:pPr>
        <w:rPr>
          <w:sz w:val="44"/>
        </w:rPr>
      </w:pPr>
    </w:p>
    <w:p>
      <w:pPr>
        <w:pStyle w:val="6"/>
      </w:pPr>
    </w:p>
    <w:p>
      <w:pPr>
        <w:pStyle w:val="2"/>
        <w:ind w:right="-28" w:rightChars="-10"/>
        <w:rPr>
          <w:sz w:val="44"/>
        </w:rPr>
      </w:pPr>
      <w:bookmarkStart w:id="88" w:name="_Toc458796007"/>
      <w:bookmarkStart w:id="89" w:name="_Toc15675"/>
      <w:bookmarkStart w:id="90" w:name="_Toc27239"/>
      <w:bookmarkStart w:id="91" w:name="_Toc3098"/>
      <w:bookmarkStart w:id="92" w:name="_Toc24328"/>
      <w:bookmarkStart w:id="93" w:name="_Toc3559"/>
      <w:bookmarkStart w:id="94" w:name="_Toc6935"/>
      <w:bookmarkStart w:id="95" w:name="_Toc12439"/>
      <w:bookmarkStart w:id="96" w:name="_Toc16005"/>
      <w:bookmarkStart w:id="97" w:name="_Toc19933"/>
      <w:bookmarkStart w:id="98" w:name="_Toc1438"/>
      <w:r>
        <w:rPr>
          <w:rFonts w:hint="eastAsia"/>
          <w:sz w:val="44"/>
        </w:rPr>
        <w:t>第五章  附  件（格式）</w:t>
      </w:r>
      <w:bookmarkEnd w:id="84"/>
      <w:bookmarkEnd w:id="85"/>
      <w:bookmarkEnd w:id="88"/>
      <w:bookmarkEnd w:id="89"/>
      <w:bookmarkEnd w:id="90"/>
      <w:bookmarkEnd w:id="91"/>
      <w:bookmarkEnd w:id="92"/>
      <w:bookmarkEnd w:id="93"/>
      <w:bookmarkEnd w:id="94"/>
      <w:bookmarkEnd w:id="95"/>
      <w:bookmarkEnd w:id="96"/>
      <w:bookmarkEnd w:id="97"/>
      <w:bookmarkEnd w:id="98"/>
    </w:p>
    <w:p>
      <w:pPr>
        <w:rPr>
          <w:bCs/>
          <w:sz w:val="24"/>
        </w:rPr>
      </w:pPr>
    </w:p>
    <w:p>
      <w:pPr>
        <w:spacing w:line="360" w:lineRule="auto"/>
        <w:rPr>
          <w:rFonts w:ascii="宋体" w:hAnsi="宋体"/>
        </w:rPr>
      </w:pPr>
    </w:p>
    <w:p>
      <w:pPr>
        <w:pStyle w:val="10"/>
        <w:tabs>
          <w:tab w:val="left" w:pos="1260"/>
        </w:tabs>
        <w:adjustRightInd w:val="0"/>
        <w:snapToGrid w:val="0"/>
        <w:spacing w:line="360" w:lineRule="auto"/>
        <w:jc w:val="center"/>
        <w:rPr>
          <w:rFonts w:hAnsi="宋体"/>
          <w:b/>
          <w:spacing w:val="100"/>
          <w:w w:val="110"/>
          <w:sz w:val="48"/>
          <w:szCs w:val="48"/>
        </w:rPr>
      </w:pPr>
      <w:r>
        <w:rPr>
          <w:sz w:val="44"/>
        </w:rPr>
        <w:br w:type="page"/>
      </w:r>
      <w:bookmarkEnd w:id="86"/>
      <w:bookmarkEnd w:id="87"/>
      <w:bookmarkStart w:id="99" w:name="_Toc28489496"/>
      <w:bookmarkStart w:id="100" w:name="_Toc109467908"/>
      <w:bookmarkStart w:id="101" w:name="_Toc34535358"/>
      <w:bookmarkStart w:id="102" w:name="_Toc35834912"/>
      <w:bookmarkStart w:id="103" w:name="_Toc14450838"/>
    </w:p>
    <w:p>
      <w:pPr>
        <w:pStyle w:val="10"/>
        <w:tabs>
          <w:tab w:val="left" w:pos="1260"/>
        </w:tabs>
        <w:adjustRightInd w:val="0"/>
        <w:snapToGrid w:val="0"/>
        <w:spacing w:line="360" w:lineRule="auto"/>
        <w:jc w:val="center"/>
        <w:rPr>
          <w:rFonts w:hAnsi="宋体"/>
          <w:b/>
          <w:spacing w:val="100"/>
          <w:w w:val="110"/>
          <w:sz w:val="48"/>
          <w:szCs w:val="48"/>
        </w:rPr>
      </w:pPr>
    </w:p>
    <w:p>
      <w:pPr>
        <w:pStyle w:val="10"/>
        <w:tabs>
          <w:tab w:val="left" w:pos="1260"/>
        </w:tabs>
        <w:adjustRightInd w:val="0"/>
        <w:snapToGrid w:val="0"/>
        <w:spacing w:line="360" w:lineRule="auto"/>
        <w:jc w:val="center"/>
        <w:rPr>
          <w:rFonts w:hAnsi="宋体"/>
          <w:b/>
          <w:spacing w:val="100"/>
          <w:w w:val="110"/>
          <w:sz w:val="48"/>
          <w:szCs w:val="48"/>
        </w:rPr>
      </w:pPr>
    </w:p>
    <w:p>
      <w:pPr>
        <w:pStyle w:val="10"/>
        <w:tabs>
          <w:tab w:val="left" w:pos="1260"/>
        </w:tabs>
        <w:adjustRightInd w:val="0"/>
        <w:snapToGrid w:val="0"/>
        <w:spacing w:line="360" w:lineRule="auto"/>
        <w:jc w:val="center"/>
        <w:rPr>
          <w:rFonts w:hAnsi="宋体"/>
          <w:b/>
          <w:spacing w:val="100"/>
          <w:w w:val="110"/>
          <w:sz w:val="48"/>
          <w:szCs w:val="48"/>
        </w:rPr>
      </w:pPr>
      <w:r>
        <w:rPr>
          <w:rFonts w:hint="eastAsia" w:hAnsi="宋体"/>
          <w:b/>
          <w:spacing w:val="100"/>
          <w:w w:val="110"/>
          <w:sz w:val="48"/>
          <w:szCs w:val="48"/>
        </w:rPr>
        <w:t>投标文件</w:t>
      </w:r>
    </w:p>
    <w:p>
      <w:pPr>
        <w:pStyle w:val="10"/>
        <w:adjustRightInd w:val="0"/>
        <w:snapToGrid w:val="0"/>
        <w:spacing w:line="360" w:lineRule="auto"/>
        <w:jc w:val="center"/>
        <w:rPr>
          <w:rFonts w:hAnsi="宋体"/>
          <w:b/>
          <w:sz w:val="48"/>
          <w:szCs w:val="48"/>
        </w:rPr>
      </w:pPr>
      <w:r>
        <w:rPr>
          <w:rFonts w:hint="eastAsia" w:hAnsi="宋体"/>
          <w:b/>
          <w:sz w:val="48"/>
          <w:szCs w:val="48"/>
        </w:rPr>
        <w:t>（正本/副本）</w:t>
      </w:r>
    </w:p>
    <w:p>
      <w:pPr>
        <w:pStyle w:val="10"/>
        <w:adjustRightInd w:val="0"/>
        <w:snapToGrid w:val="0"/>
        <w:spacing w:line="360" w:lineRule="auto"/>
        <w:rPr>
          <w:rFonts w:hAnsi="宋体"/>
          <w:b/>
          <w:szCs w:val="28"/>
        </w:rPr>
      </w:pPr>
    </w:p>
    <w:p>
      <w:pPr>
        <w:pStyle w:val="10"/>
        <w:adjustRightInd w:val="0"/>
        <w:snapToGrid w:val="0"/>
        <w:spacing w:line="360" w:lineRule="auto"/>
        <w:jc w:val="center"/>
        <w:rPr>
          <w:rFonts w:hAnsi="宋体"/>
          <w:b/>
          <w:szCs w:val="28"/>
        </w:rPr>
      </w:pPr>
    </w:p>
    <w:p>
      <w:pPr>
        <w:pStyle w:val="10"/>
        <w:adjustRightInd w:val="0"/>
        <w:snapToGrid w:val="0"/>
        <w:spacing w:line="360" w:lineRule="auto"/>
        <w:ind w:firstLine="829" w:firstLineChars="393"/>
        <w:rPr>
          <w:rFonts w:hAnsi="宋体"/>
          <w:b/>
          <w:szCs w:val="28"/>
          <w:u w:val="single"/>
        </w:rPr>
      </w:pPr>
    </w:p>
    <w:p>
      <w:pPr>
        <w:pStyle w:val="9"/>
        <w:adjustRightInd w:val="0"/>
        <w:snapToGrid w:val="0"/>
        <w:spacing w:line="360" w:lineRule="auto"/>
        <w:ind w:firstLine="843" w:firstLineChars="300"/>
        <w:rPr>
          <w:rFonts w:ascii="宋体" w:hAnsi="宋体"/>
          <w:b/>
          <w:szCs w:val="28"/>
        </w:rPr>
      </w:pPr>
      <w:r>
        <w:rPr>
          <w:rFonts w:hint="eastAsia" w:ascii="宋体" w:hAnsi="宋体"/>
          <w:b/>
          <w:szCs w:val="28"/>
        </w:rPr>
        <w:t>项目名称：</w:t>
      </w:r>
      <w:r>
        <w:rPr>
          <w:rFonts w:hint="eastAsia" w:ascii="宋体" w:hAnsi="宋体"/>
          <w:b/>
          <w:szCs w:val="28"/>
          <w:u w:val="single"/>
        </w:rPr>
        <w:t xml:space="preserve">                                   </w:t>
      </w:r>
    </w:p>
    <w:p>
      <w:pPr>
        <w:pStyle w:val="10"/>
        <w:adjustRightInd w:val="0"/>
        <w:snapToGrid w:val="0"/>
        <w:spacing w:line="360" w:lineRule="auto"/>
        <w:ind w:firstLine="632" w:firstLineChars="300"/>
        <w:rPr>
          <w:rFonts w:hAnsi="宋体"/>
          <w:b/>
          <w:szCs w:val="28"/>
        </w:rPr>
      </w:pPr>
    </w:p>
    <w:p>
      <w:pPr>
        <w:pStyle w:val="10"/>
        <w:adjustRightInd w:val="0"/>
        <w:snapToGrid w:val="0"/>
        <w:spacing w:line="360" w:lineRule="auto"/>
        <w:ind w:firstLine="632" w:firstLineChars="300"/>
        <w:rPr>
          <w:rFonts w:hAnsi="宋体"/>
          <w:b/>
          <w:szCs w:val="28"/>
        </w:rPr>
      </w:pPr>
    </w:p>
    <w:p>
      <w:pPr>
        <w:pStyle w:val="10"/>
        <w:adjustRightInd w:val="0"/>
        <w:snapToGrid w:val="0"/>
        <w:spacing w:line="360" w:lineRule="auto"/>
        <w:ind w:firstLine="632" w:firstLineChars="300"/>
        <w:rPr>
          <w:rFonts w:hAnsi="宋体"/>
          <w:b/>
          <w:szCs w:val="28"/>
        </w:rPr>
      </w:pPr>
    </w:p>
    <w:p>
      <w:pPr>
        <w:pStyle w:val="10"/>
        <w:adjustRightInd w:val="0"/>
        <w:snapToGrid w:val="0"/>
        <w:spacing w:line="360" w:lineRule="auto"/>
        <w:ind w:firstLine="632" w:firstLineChars="300"/>
        <w:rPr>
          <w:rFonts w:hAnsi="宋体"/>
          <w:b/>
          <w:szCs w:val="28"/>
        </w:rPr>
      </w:pPr>
    </w:p>
    <w:p>
      <w:pPr>
        <w:pStyle w:val="10"/>
        <w:adjustRightInd w:val="0"/>
        <w:snapToGrid w:val="0"/>
        <w:spacing w:line="360" w:lineRule="auto"/>
        <w:ind w:firstLine="632" w:firstLineChars="300"/>
        <w:rPr>
          <w:rFonts w:hAnsi="宋体"/>
          <w:b/>
          <w:szCs w:val="28"/>
        </w:rPr>
      </w:pPr>
    </w:p>
    <w:p>
      <w:pPr>
        <w:pStyle w:val="10"/>
        <w:adjustRightInd w:val="0"/>
        <w:snapToGrid w:val="0"/>
        <w:spacing w:line="360" w:lineRule="auto"/>
        <w:ind w:firstLine="632" w:firstLineChars="300"/>
        <w:rPr>
          <w:rFonts w:hAnsi="宋体"/>
          <w:b/>
          <w:szCs w:val="28"/>
        </w:rPr>
      </w:pPr>
    </w:p>
    <w:p>
      <w:pPr>
        <w:spacing w:line="360" w:lineRule="auto"/>
        <w:ind w:firstLine="560" w:firstLineChars="200"/>
        <w:rPr>
          <w:rFonts w:ascii="宋体" w:hAnsi="宋体"/>
          <w:szCs w:val="28"/>
          <w:u w:val="single"/>
        </w:rPr>
      </w:pPr>
      <w:r>
        <w:rPr>
          <w:rFonts w:hint="eastAsia" w:ascii="宋体" w:hAnsi="宋体"/>
          <w:szCs w:val="28"/>
        </w:rPr>
        <w:t>投标人名称：</w:t>
      </w:r>
      <w:r>
        <w:rPr>
          <w:rFonts w:hint="eastAsia" w:ascii="宋体" w:hAnsi="宋体"/>
          <w:szCs w:val="28"/>
          <w:u w:val="single"/>
        </w:rPr>
        <w:t xml:space="preserve">                                     </w:t>
      </w:r>
    </w:p>
    <w:p>
      <w:pPr>
        <w:spacing w:line="360" w:lineRule="auto"/>
        <w:ind w:firstLine="560" w:firstLineChars="200"/>
        <w:rPr>
          <w:rFonts w:ascii="宋体" w:hAnsi="宋体"/>
          <w:szCs w:val="28"/>
        </w:rPr>
      </w:pPr>
      <w:r>
        <w:rPr>
          <w:rFonts w:hint="eastAsia" w:ascii="宋体" w:hAnsi="宋体"/>
          <w:szCs w:val="28"/>
        </w:rPr>
        <w:t>投标人地址：</w:t>
      </w:r>
      <w:r>
        <w:rPr>
          <w:rFonts w:hint="eastAsia" w:ascii="宋体" w:hAnsi="宋体"/>
          <w:szCs w:val="28"/>
          <w:u w:val="single"/>
        </w:rPr>
        <w:t xml:space="preserve">                                     </w:t>
      </w:r>
    </w:p>
    <w:p>
      <w:pPr>
        <w:spacing w:line="360" w:lineRule="auto"/>
        <w:ind w:firstLine="560" w:firstLineChars="200"/>
        <w:rPr>
          <w:rFonts w:ascii="宋体" w:hAnsi="宋体"/>
          <w:szCs w:val="28"/>
        </w:rPr>
      </w:pPr>
      <w:r>
        <w:rPr>
          <w:rFonts w:hint="eastAsia" w:ascii="宋体" w:hAnsi="宋体"/>
          <w:szCs w:val="28"/>
        </w:rPr>
        <w:t>联</w:t>
      </w:r>
      <w:r>
        <w:rPr>
          <w:rFonts w:ascii="宋体" w:hAnsi="宋体"/>
          <w:szCs w:val="28"/>
        </w:rPr>
        <w:t xml:space="preserve"> 系 人：</w:t>
      </w:r>
      <w:r>
        <w:rPr>
          <w:rFonts w:hint="eastAsia" w:ascii="宋体" w:hAnsi="宋体"/>
          <w:szCs w:val="28"/>
          <w:u w:val="single"/>
        </w:rPr>
        <w:t xml:space="preserve">                                       </w:t>
      </w:r>
    </w:p>
    <w:p>
      <w:pPr>
        <w:spacing w:line="360" w:lineRule="auto"/>
        <w:ind w:firstLine="560" w:firstLineChars="200"/>
        <w:rPr>
          <w:rFonts w:ascii="宋体" w:hAnsi="宋体"/>
          <w:szCs w:val="28"/>
        </w:rPr>
      </w:pPr>
      <w:r>
        <w:rPr>
          <w:rFonts w:hint="eastAsia" w:ascii="宋体" w:hAnsi="宋体"/>
          <w:szCs w:val="28"/>
        </w:rPr>
        <w:t>联系电话：</w:t>
      </w:r>
      <w:r>
        <w:rPr>
          <w:rFonts w:hint="eastAsia" w:ascii="宋体" w:hAnsi="宋体"/>
          <w:szCs w:val="28"/>
          <w:u w:val="single"/>
        </w:rPr>
        <w:t xml:space="preserve">                                       </w:t>
      </w:r>
    </w:p>
    <w:p>
      <w:pPr>
        <w:spacing w:line="360" w:lineRule="auto"/>
        <w:ind w:firstLine="560" w:firstLineChars="200"/>
        <w:rPr>
          <w:rFonts w:ascii="宋体" w:hAnsi="宋体"/>
          <w:szCs w:val="28"/>
        </w:rPr>
      </w:pPr>
      <w:r>
        <w:rPr>
          <w:rFonts w:hint="eastAsia" w:ascii="宋体" w:hAnsi="宋体"/>
          <w:szCs w:val="28"/>
        </w:rPr>
        <w:t>传真电话（或电子邮箱）：</w:t>
      </w:r>
      <w:r>
        <w:rPr>
          <w:rFonts w:hint="eastAsia" w:ascii="宋体" w:hAnsi="宋体"/>
          <w:szCs w:val="28"/>
          <w:u w:val="single"/>
        </w:rPr>
        <w:t xml:space="preserve">                          </w:t>
      </w:r>
    </w:p>
    <w:p>
      <w:pPr>
        <w:spacing w:line="360" w:lineRule="auto"/>
        <w:ind w:firstLine="560" w:firstLineChars="200"/>
        <w:rPr>
          <w:szCs w:val="30"/>
        </w:rPr>
      </w:pPr>
      <w:r>
        <w:rPr>
          <w:rFonts w:hint="eastAsia" w:ascii="宋体" w:hAnsi="宋体"/>
          <w:szCs w:val="28"/>
        </w:rPr>
        <w:t xml:space="preserve">日期：                                             </w:t>
      </w:r>
      <w:r>
        <w:rPr>
          <w:szCs w:val="28"/>
        </w:rPr>
        <w:br w:type="page"/>
      </w:r>
    </w:p>
    <w:bookmarkEnd w:id="99"/>
    <w:bookmarkEnd w:id="100"/>
    <w:bookmarkEnd w:id="101"/>
    <w:bookmarkEnd w:id="102"/>
    <w:bookmarkEnd w:id="103"/>
    <w:p>
      <w:pPr>
        <w:keepNext w:val="0"/>
        <w:keepLines w:val="0"/>
        <w:widowControl w:val="0"/>
        <w:numPr>
          <w:ilvl w:val="0"/>
          <w:numId w:val="14"/>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bookmarkStart w:id="104" w:name="_Toc109467925"/>
      <w:bookmarkStart w:id="105" w:name="_Toc35417431"/>
      <w:r>
        <w:rPr>
          <w:rFonts w:hint="eastAsia" w:ascii="宋体" w:hAnsi="宋体" w:eastAsia="宋体" w:cs="Times New Roman"/>
          <w:b/>
          <w:bCs/>
          <w:sz w:val="24"/>
          <w:lang w:val="en-US" w:eastAsia="zh-CN" w:bidi="ar-SA"/>
        </w:rPr>
        <w:t>投标文件目录表</w:t>
      </w:r>
    </w:p>
    <w:p>
      <w:pPr>
        <w:keepNext w:val="0"/>
        <w:keepLines w:val="0"/>
        <w:widowControl w:val="0"/>
        <w:numPr>
          <w:ilvl w:val="0"/>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pStyle w:val="20"/>
        <w:rPr>
          <w:rFonts w:hint="eastAsia" w:ascii="宋体" w:hAnsi="宋体" w:eastAsia="宋体" w:cs="Times New Roman"/>
          <w:b/>
          <w:bCs/>
          <w:sz w:val="24"/>
          <w:lang w:val="en-US" w:eastAsia="zh-CN" w:bidi="ar-SA"/>
        </w:rPr>
      </w:pPr>
    </w:p>
    <w:p>
      <w:pPr>
        <w:pStyle w:val="20"/>
        <w:rPr>
          <w:rFonts w:hint="eastAsia" w:ascii="宋体" w:hAnsi="宋体" w:eastAsia="宋体" w:cs="Times New Roman"/>
          <w:b/>
          <w:bCs/>
          <w:sz w:val="24"/>
          <w:lang w:val="en-US" w:eastAsia="zh-CN" w:bidi="ar-SA"/>
        </w:rPr>
      </w:pPr>
    </w:p>
    <w:p>
      <w:pPr>
        <w:pStyle w:val="20"/>
        <w:rPr>
          <w:rFonts w:hint="eastAsia" w:ascii="宋体" w:hAnsi="宋体" w:eastAsia="宋体" w:cs="Times New Roman"/>
          <w:b/>
          <w:bCs/>
          <w:sz w:val="24"/>
          <w:lang w:val="en-US" w:eastAsia="zh-CN" w:bidi="ar-SA"/>
        </w:rPr>
      </w:pPr>
    </w:p>
    <w:p>
      <w:pPr>
        <w:keepNext w:val="0"/>
        <w:keepLines w:val="0"/>
        <w:widowControl w:val="0"/>
        <w:numPr>
          <w:ilvl w:val="0"/>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keepNext w:val="0"/>
        <w:keepLines w:val="0"/>
        <w:widowControl w:val="0"/>
        <w:numPr>
          <w:ilvl w:val="0"/>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keepNext w:val="0"/>
        <w:keepLines w:val="0"/>
        <w:widowControl w:val="0"/>
        <w:numPr>
          <w:ilvl w:val="0"/>
          <w:numId w:val="14"/>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r>
        <w:rPr>
          <w:rFonts w:hint="eastAsia" w:ascii="宋体" w:hAnsi="宋体" w:cs="Times New Roman"/>
          <w:b/>
          <w:bCs/>
          <w:sz w:val="24"/>
          <w:lang w:val="en-US" w:eastAsia="zh-CN" w:bidi="ar-SA"/>
        </w:rPr>
        <w:t>开标</w:t>
      </w:r>
      <w:r>
        <w:rPr>
          <w:rFonts w:hint="eastAsia" w:ascii="宋体" w:hAnsi="宋体" w:eastAsia="宋体" w:cs="Times New Roman"/>
          <w:b/>
          <w:bCs/>
          <w:sz w:val="24"/>
          <w:lang w:val="en-US" w:eastAsia="zh-CN" w:bidi="ar-SA"/>
        </w:rPr>
        <w:t>一览表</w:t>
      </w:r>
      <w:r>
        <w:rPr>
          <w:rFonts w:hint="eastAsia" w:ascii="宋体" w:hAnsi="宋体"/>
          <w:b/>
          <w:bCs/>
          <w:sz w:val="24"/>
        </w:rPr>
        <w:t>（报价表）</w:t>
      </w:r>
    </w:p>
    <w:p>
      <w:pPr>
        <w:keepNext w:val="0"/>
        <w:keepLines w:val="0"/>
        <w:widowControl w:val="0"/>
        <w:numPr>
          <w:ilvl w:val="-1"/>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adjustRightInd w:val="0"/>
        <w:spacing w:line="264" w:lineRule="auto"/>
        <w:jc w:val="center"/>
        <w:rPr>
          <w:rFonts w:hint="eastAsia" w:ascii="宋体" w:hAnsi="宋体"/>
          <w:b/>
          <w:sz w:val="36"/>
          <w:szCs w:val="36"/>
        </w:rPr>
      </w:pPr>
    </w:p>
    <w:p>
      <w:pPr>
        <w:adjustRightInd w:val="0"/>
        <w:spacing w:line="264" w:lineRule="auto"/>
        <w:jc w:val="center"/>
        <w:rPr>
          <w:rFonts w:hint="eastAsia" w:ascii="宋体" w:hAnsi="宋体"/>
          <w:b/>
          <w:sz w:val="36"/>
          <w:szCs w:val="36"/>
        </w:rPr>
      </w:pPr>
      <w:r>
        <w:rPr>
          <w:rFonts w:hint="eastAsia" w:ascii="宋体" w:hAnsi="宋体"/>
          <w:b/>
          <w:sz w:val="36"/>
          <w:szCs w:val="36"/>
          <w:lang w:val="en-US" w:eastAsia="zh-CN"/>
        </w:rPr>
        <w:t>开标</w:t>
      </w:r>
      <w:r>
        <w:rPr>
          <w:rFonts w:hint="eastAsia" w:ascii="宋体" w:hAnsi="宋体"/>
          <w:b/>
          <w:sz w:val="36"/>
          <w:szCs w:val="36"/>
          <w:lang w:eastAsia="zh-CN"/>
        </w:rPr>
        <w:t>一览</w:t>
      </w:r>
      <w:r>
        <w:rPr>
          <w:rFonts w:hint="eastAsia" w:ascii="宋体" w:hAnsi="宋体"/>
          <w:b/>
          <w:sz w:val="36"/>
          <w:szCs w:val="36"/>
        </w:rPr>
        <w:t>表（报价表）</w:t>
      </w:r>
    </w:p>
    <w:p>
      <w:pPr>
        <w:adjustRightInd w:val="0"/>
        <w:snapToGrid w:val="0"/>
        <w:spacing w:line="360" w:lineRule="auto"/>
        <w:ind w:right="599" w:rightChars="214" w:firstLine="602" w:firstLineChars="200"/>
        <w:jc w:val="center"/>
        <w:rPr>
          <w:rFonts w:hint="eastAsia" w:ascii="宋体" w:hAnsi="宋体" w:cs="宋体"/>
          <w:b/>
          <w:sz w:val="30"/>
          <w:szCs w:val="30"/>
        </w:rPr>
      </w:pPr>
    </w:p>
    <w:p>
      <w:pPr>
        <w:pStyle w:val="33"/>
        <w:rPr>
          <w:color w:val="auto"/>
        </w:rPr>
      </w:pPr>
    </w:p>
    <w:p>
      <w:pPr>
        <w:pStyle w:val="18"/>
        <w:spacing w:line="360" w:lineRule="auto"/>
        <w:ind w:left="557" w:leftChars="199"/>
        <w:rPr>
          <w:rFonts w:ascii="宋体" w:hAnsi="宋体"/>
          <w:sz w:val="24"/>
        </w:rPr>
      </w:pPr>
      <w:r>
        <w:rPr>
          <w:rFonts w:hint="eastAsia" w:ascii="宋体" w:hAnsi="宋体"/>
          <w:sz w:val="24"/>
        </w:rPr>
        <w:t xml:space="preserve">项目名称：                </w:t>
      </w:r>
    </w:p>
    <w:tbl>
      <w:tblPr>
        <w:tblStyle w:val="21"/>
        <w:tblW w:w="965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3135"/>
        <w:gridCol w:w="1575"/>
        <w:gridCol w:w="1560"/>
        <w:gridCol w:w="116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2222" w:type="dxa"/>
            <w:tcBorders>
              <w:tl2br w:val="nil"/>
              <w:tr2bl w:val="nil"/>
            </w:tcBorders>
            <w:noWrap w:val="0"/>
            <w:vAlign w:val="center"/>
          </w:tcPr>
          <w:p>
            <w:pPr>
              <w:spacing w:line="312" w:lineRule="auto"/>
              <w:jc w:val="center"/>
              <w:rPr>
                <w:rFonts w:hint="eastAsia" w:ascii="宋体" w:hAnsi="宋体"/>
                <w:b/>
              </w:rPr>
            </w:pPr>
            <w:r>
              <w:rPr>
                <w:rFonts w:hint="eastAsia" w:ascii="宋体" w:hAnsi="宋体"/>
                <w:b/>
              </w:rPr>
              <w:t>服务内容</w:t>
            </w:r>
          </w:p>
        </w:tc>
        <w:tc>
          <w:tcPr>
            <w:tcW w:w="3135" w:type="dxa"/>
            <w:tcBorders>
              <w:tl2br w:val="nil"/>
              <w:tr2bl w:val="nil"/>
            </w:tcBorders>
            <w:noWrap w:val="0"/>
            <w:vAlign w:val="center"/>
          </w:tcPr>
          <w:p>
            <w:pPr>
              <w:jc w:val="center"/>
              <w:rPr>
                <w:rFonts w:ascii="宋体" w:hAnsi="宋体"/>
                <w:b/>
              </w:rPr>
            </w:pPr>
            <w:r>
              <w:rPr>
                <w:rFonts w:hint="eastAsia" w:ascii="宋体" w:hAnsi="宋体"/>
                <w:b/>
              </w:rPr>
              <w:t>投标报价（元）</w:t>
            </w:r>
          </w:p>
        </w:tc>
        <w:tc>
          <w:tcPr>
            <w:tcW w:w="1575" w:type="dxa"/>
            <w:tcBorders>
              <w:tl2br w:val="nil"/>
              <w:tr2bl w:val="nil"/>
            </w:tcBorders>
            <w:noWrap w:val="0"/>
            <w:vAlign w:val="center"/>
          </w:tcPr>
          <w:p>
            <w:pPr>
              <w:jc w:val="center"/>
              <w:rPr>
                <w:rFonts w:hint="eastAsia" w:ascii="宋体" w:hAnsi="宋体"/>
                <w:b/>
              </w:rPr>
            </w:pPr>
            <w:r>
              <w:rPr>
                <w:rFonts w:hint="eastAsia" w:ascii="宋体" w:hAnsi="宋体"/>
                <w:b/>
              </w:rPr>
              <w:t>交货期</w:t>
            </w:r>
          </w:p>
        </w:tc>
        <w:tc>
          <w:tcPr>
            <w:tcW w:w="1560" w:type="dxa"/>
            <w:tcBorders>
              <w:tl2br w:val="nil"/>
              <w:tr2bl w:val="nil"/>
            </w:tcBorders>
            <w:noWrap w:val="0"/>
            <w:vAlign w:val="center"/>
          </w:tcPr>
          <w:p>
            <w:pPr>
              <w:jc w:val="center"/>
              <w:rPr>
                <w:rFonts w:hint="eastAsia" w:ascii="宋体" w:hAnsi="宋体"/>
                <w:b/>
              </w:rPr>
            </w:pPr>
            <w:r>
              <w:rPr>
                <w:rFonts w:hint="eastAsia" w:ascii="宋体" w:hAnsi="宋体"/>
                <w:b/>
              </w:rPr>
              <w:t>服务质量</w:t>
            </w:r>
          </w:p>
        </w:tc>
        <w:tc>
          <w:tcPr>
            <w:tcW w:w="1163" w:type="dxa"/>
            <w:tcBorders>
              <w:tl2br w:val="nil"/>
              <w:tr2bl w:val="nil"/>
            </w:tcBorders>
            <w:noWrap w:val="0"/>
            <w:vAlign w:val="center"/>
          </w:tcPr>
          <w:p>
            <w:pPr>
              <w:spacing w:line="312" w:lineRule="auto"/>
              <w:jc w:val="center"/>
              <w:rPr>
                <w:rFonts w:ascii="宋体" w:hAnsi="宋体"/>
                <w:b/>
              </w:rPr>
            </w:pPr>
            <w:r>
              <w:rPr>
                <w:rFonts w:hint="eastAsia" w:ascii="宋体" w:hAnsi="宋体"/>
                <w:b/>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838" w:hRule="atLeast"/>
          <w:jc w:val="center"/>
        </w:trPr>
        <w:tc>
          <w:tcPr>
            <w:tcW w:w="2222" w:type="dxa"/>
            <w:tcBorders>
              <w:tl2br w:val="nil"/>
              <w:tr2bl w:val="nil"/>
            </w:tcBorders>
            <w:noWrap w:val="0"/>
            <w:vAlign w:val="center"/>
          </w:tcPr>
          <w:p>
            <w:pPr>
              <w:pStyle w:val="18"/>
              <w:spacing w:line="276" w:lineRule="auto"/>
              <w:ind w:left="-16" w:leftChars="-6" w:hanging="1"/>
              <w:jc w:val="center"/>
              <w:rPr>
                <w:rFonts w:hint="eastAsia" w:ascii="宋体" w:hAnsi="宋体"/>
                <w:position w:val="6"/>
                <w:sz w:val="24"/>
                <w:szCs w:val="24"/>
                <w:u w:val="none" w:color="000000"/>
              </w:rPr>
            </w:pPr>
            <w:r>
              <w:rPr>
                <w:rFonts w:hint="eastAsia" w:ascii="宋体" w:hAnsi="宋体"/>
                <w:position w:val="6"/>
                <w:sz w:val="24"/>
                <w:szCs w:val="24"/>
                <w:u w:val="none" w:color="000000"/>
                <w:lang w:val="en-US" w:eastAsia="zh-CN"/>
              </w:rPr>
              <w:t>广州南沙</w:t>
            </w:r>
            <w:r>
              <w:rPr>
                <w:rFonts w:hint="eastAsia" w:ascii="宋体" w:hAnsi="宋体"/>
                <w:position w:val="6"/>
                <w:sz w:val="24"/>
                <w:szCs w:val="24"/>
                <w:u w:val="none" w:color="000000"/>
              </w:rPr>
              <w:t>前锋水乡项目启动区（一期）厨房设备采购</w:t>
            </w:r>
            <w:r>
              <w:rPr>
                <w:rFonts w:hint="eastAsia" w:ascii="宋体" w:hAnsi="宋体"/>
                <w:position w:val="6"/>
                <w:sz w:val="24"/>
                <w:szCs w:val="24"/>
                <w:u w:val="none" w:color="000000"/>
                <w:lang w:val="en-US" w:eastAsia="zh-CN"/>
              </w:rPr>
              <w:t>项目</w:t>
            </w:r>
          </w:p>
        </w:tc>
        <w:tc>
          <w:tcPr>
            <w:tcW w:w="3135" w:type="dxa"/>
            <w:tcBorders>
              <w:tl2br w:val="nil"/>
              <w:tr2bl w:val="nil"/>
            </w:tcBorders>
            <w:noWrap w:val="0"/>
            <w:vAlign w:val="center"/>
          </w:tcPr>
          <w:p>
            <w:pPr>
              <w:pageBreakBefore/>
              <w:tabs>
                <w:tab w:val="left" w:pos="654"/>
                <w:tab w:val="left" w:pos="1734"/>
                <w:tab w:val="left" w:pos="2814"/>
                <w:tab w:val="left" w:pos="3894"/>
                <w:tab w:val="left" w:pos="5334"/>
                <w:tab w:val="left" w:pos="6414"/>
                <w:tab w:val="left" w:pos="7254"/>
                <w:tab w:val="left" w:pos="8574"/>
                <w:tab w:val="left" w:pos="9654"/>
              </w:tabs>
              <w:rPr>
                <w:rFonts w:hint="eastAsia" w:ascii="宋体" w:hAnsi="宋体"/>
                <w:sz w:val="24"/>
                <w:szCs w:val="24"/>
              </w:rPr>
            </w:pPr>
            <w:r>
              <w:rPr>
                <w:rFonts w:hint="eastAsia" w:ascii="宋体" w:hAnsi="宋体"/>
                <w:sz w:val="24"/>
                <w:szCs w:val="24"/>
              </w:rPr>
              <w:t>投标总价：</w:t>
            </w:r>
          </w:p>
          <w:p>
            <w:pPr>
              <w:pageBreakBefore/>
              <w:tabs>
                <w:tab w:val="left" w:pos="654"/>
                <w:tab w:val="left" w:pos="1734"/>
                <w:tab w:val="left" w:pos="2814"/>
                <w:tab w:val="left" w:pos="3894"/>
                <w:tab w:val="left" w:pos="5334"/>
                <w:tab w:val="left" w:pos="6414"/>
                <w:tab w:val="left" w:pos="7254"/>
                <w:tab w:val="left" w:pos="8574"/>
                <w:tab w:val="left" w:pos="9654"/>
              </w:tabs>
              <w:rPr>
                <w:rFonts w:hint="eastAsia" w:ascii="宋体" w:hAnsi="宋体"/>
                <w:sz w:val="24"/>
                <w:szCs w:val="24"/>
              </w:rPr>
            </w:pPr>
            <w:r>
              <w:rPr>
                <w:rFonts w:hint="eastAsia" w:ascii="宋体" w:hAnsi="宋体"/>
                <w:sz w:val="24"/>
                <w:szCs w:val="24"/>
              </w:rPr>
              <w:t>小写（人民币大写）：</w:t>
            </w:r>
          </w:p>
        </w:tc>
        <w:tc>
          <w:tcPr>
            <w:tcW w:w="1575" w:type="dxa"/>
            <w:tcBorders>
              <w:tl2br w:val="nil"/>
              <w:tr2bl w:val="nil"/>
            </w:tcBorders>
            <w:noWrap w:val="0"/>
            <w:vAlign w:val="center"/>
          </w:tcPr>
          <w:p>
            <w:pPr>
              <w:jc w:val="center"/>
              <w:rPr>
                <w:rFonts w:hint="eastAsia" w:ascii="宋体" w:hAnsi="宋体"/>
                <w:sz w:val="24"/>
                <w:szCs w:val="24"/>
              </w:rPr>
            </w:pPr>
            <w:r>
              <w:rPr>
                <w:rFonts w:hint="eastAsia" w:ascii="宋体" w:hAnsi="宋体"/>
                <w:sz w:val="24"/>
                <w:szCs w:val="24"/>
              </w:rPr>
              <w:t xml:space="preserve"> </w:t>
            </w:r>
          </w:p>
        </w:tc>
        <w:tc>
          <w:tcPr>
            <w:tcW w:w="1560" w:type="dxa"/>
            <w:tcBorders>
              <w:tl2br w:val="nil"/>
              <w:tr2bl w:val="nil"/>
            </w:tcBorders>
            <w:noWrap w:val="0"/>
            <w:vAlign w:val="center"/>
          </w:tcPr>
          <w:p>
            <w:pPr>
              <w:jc w:val="center"/>
              <w:rPr>
                <w:rFonts w:hint="eastAsia" w:ascii="宋体" w:hAnsi="宋体"/>
                <w:sz w:val="24"/>
                <w:szCs w:val="24"/>
              </w:rPr>
            </w:pPr>
            <w:r>
              <w:rPr>
                <w:rFonts w:hint="eastAsia" w:ascii="宋体" w:hAnsi="宋体"/>
                <w:sz w:val="24"/>
                <w:szCs w:val="24"/>
              </w:rPr>
              <w:t xml:space="preserve"> </w:t>
            </w:r>
          </w:p>
        </w:tc>
        <w:tc>
          <w:tcPr>
            <w:tcW w:w="1163" w:type="dxa"/>
            <w:tcBorders>
              <w:tl2br w:val="nil"/>
              <w:tr2bl w:val="nil"/>
            </w:tcBorders>
            <w:noWrap w:val="0"/>
            <w:vAlign w:val="center"/>
          </w:tcPr>
          <w:p>
            <w:pPr>
              <w:spacing w:line="312" w:lineRule="auto"/>
              <w:jc w:val="center"/>
              <w:rPr>
                <w:rFonts w:ascii="宋体" w:hAnsi="宋体"/>
                <w:bCs/>
                <w:sz w:val="24"/>
                <w:szCs w:val="24"/>
              </w:rPr>
            </w:pPr>
            <w:r>
              <w:rPr>
                <w:rFonts w:hint="eastAsia" w:ascii="宋体" w:hAnsi="宋体"/>
                <w:bCs/>
                <w:sz w:val="24"/>
                <w:szCs w:val="24"/>
              </w:rPr>
              <w:t xml:space="preserve"> </w:t>
            </w:r>
          </w:p>
        </w:tc>
      </w:tr>
    </w:tbl>
    <w:p>
      <w:pPr>
        <w:pStyle w:val="18"/>
        <w:spacing w:line="360" w:lineRule="auto"/>
        <w:ind w:left="557" w:leftChars="199"/>
        <w:rPr>
          <w:rFonts w:hint="eastAsia" w:ascii="宋体" w:hAnsi="宋体"/>
          <w:sz w:val="24"/>
        </w:rPr>
      </w:pPr>
    </w:p>
    <w:p>
      <w:pPr>
        <w:pStyle w:val="18"/>
        <w:spacing w:line="360" w:lineRule="auto"/>
        <w:ind w:firstLine="480" w:firstLineChars="200"/>
        <w:jc w:val="left"/>
        <w:rPr>
          <w:rFonts w:ascii="宋体" w:hAnsi="宋体"/>
          <w:sz w:val="24"/>
        </w:rPr>
      </w:pPr>
      <w:r>
        <w:rPr>
          <w:rFonts w:hint="eastAsia" w:ascii="宋体" w:hAnsi="宋体"/>
          <w:sz w:val="24"/>
        </w:rPr>
        <w:t>投标人全称（盖公章）：</w:t>
      </w:r>
    </w:p>
    <w:p>
      <w:pPr>
        <w:pStyle w:val="18"/>
        <w:spacing w:line="360" w:lineRule="auto"/>
        <w:ind w:firstLine="480" w:firstLineChars="200"/>
        <w:rPr>
          <w:rFonts w:ascii="宋体" w:hAnsi="宋体"/>
          <w:sz w:val="24"/>
        </w:rPr>
      </w:pPr>
      <w:r>
        <w:rPr>
          <w:rFonts w:hint="eastAsia" w:ascii="宋体" w:hAnsi="宋体"/>
          <w:sz w:val="24"/>
        </w:rPr>
        <w:t>授权代表（签字或签章）：</w:t>
      </w:r>
    </w:p>
    <w:p>
      <w:pPr>
        <w:pStyle w:val="18"/>
        <w:spacing w:line="360" w:lineRule="auto"/>
        <w:ind w:left="557" w:leftChars="199"/>
        <w:rPr>
          <w:rFonts w:ascii="宋体" w:hAnsi="宋体"/>
          <w:sz w:val="24"/>
        </w:rPr>
      </w:pPr>
      <w:r>
        <w:rPr>
          <w:rFonts w:hint="eastAsia" w:ascii="宋体" w:hAnsi="宋体"/>
          <w:sz w:val="24"/>
        </w:rPr>
        <w:t xml:space="preserve">职    务： </w:t>
      </w:r>
    </w:p>
    <w:p>
      <w:pPr>
        <w:pStyle w:val="18"/>
        <w:spacing w:line="360" w:lineRule="auto"/>
        <w:ind w:left="557" w:leftChars="199"/>
        <w:rPr>
          <w:rFonts w:ascii="宋体" w:hAnsi="宋体"/>
          <w:sz w:val="24"/>
        </w:rPr>
      </w:pPr>
      <w:r>
        <w:rPr>
          <w:rFonts w:hint="eastAsia" w:ascii="宋体" w:hAnsi="宋体"/>
          <w:sz w:val="24"/>
        </w:rPr>
        <w:t>日    期：</w:t>
      </w:r>
    </w:p>
    <w:p>
      <w:pPr>
        <w:pStyle w:val="18"/>
        <w:spacing w:line="360" w:lineRule="auto"/>
        <w:ind w:left="557" w:leftChars="199"/>
        <w:rPr>
          <w:rFonts w:ascii="宋体" w:hAnsi="宋体"/>
          <w:sz w:val="24"/>
        </w:rPr>
      </w:pPr>
    </w:p>
    <w:p>
      <w:pPr>
        <w:snapToGrid w:val="0"/>
        <w:spacing w:line="360" w:lineRule="auto"/>
        <w:ind w:left="720" w:hanging="720" w:hangingChars="299"/>
        <w:rPr>
          <w:rFonts w:ascii="宋体" w:hAnsi="宋体"/>
          <w:b/>
          <w:sz w:val="24"/>
          <w:szCs w:val="24"/>
        </w:rPr>
      </w:pPr>
      <w:r>
        <w:rPr>
          <w:rFonts w:hint="eastAsia" w:ascii="宋体" w:hAnsi="宋体"/>
          <w:b/>
          <w:sz w:val="24"/>
          <w:szCs w:val="24"/>
        </w:rPr>
        <w:t>注:1.投标人应按“用户需求书”的要求，根据实际情况进行报价。本表内的投标报价为最终报价，投标文件内不得含有任何对本报价进行修改的其他说明，否则将被视为无效投标；</w:t>
      </w:r>
    </w:p>
    <w:p>
      <w:pPr>
        <w:snapToGrid w:val="0"/>
        <w:spacing w:line="360" w:lineRule="auto"/>
        <w:ind w:left="664" w:leftChars="195" w:hanging="118" w:hangingChars="49"/>
        <w:rPr>
          <w:rFonts w:ascii="宋体" w:hAnsi="宋体"/>
          <w:b/>
          <w:sz w:val="24"/>
          <w:szCs w:val="24"/>
        </w:rPr>
      </w:pPr>
      <w:r>
        <w:rPr>
          <w:rFonts w:hint="eastAsia" w:ascii="宋体" w:hAnsi="宋体"/>
          <w:b/>
          <w:sz w:val="24"/>
          <w:szCs w:val="24"/>
        </w:rPr>
        <w:t>2. 投标报价应综合考虑采购项目的全部费用，投标人不得再向采购人收取任何费用；</w:t>
      </w:r>
    </w:p>
    <w:p>
      <w:pPr>
        <w:snapToGrid w:val="0"/>
        <w:spacing w:line="360" w:lineRule="auto"/>
        <w:ind w:firstLine="472" w:firstLineChars="196"/>
        <w:rPr>
          <w:rFonts w:ascii="宋体" w:hAnsi="宋体"/>
          <w:b/>
          <w:bCs/>
          <w:sz w:val="24"/>
          <w:szCs w:val="24"/>
        </w:rPr>
      </w:pPr>
      <w:r>
        <w:rPr>
          <w:rFonts w:hint="eastAsia" w:ascii="宋体" w:hAnsi="宋体"/>
          <w:b/>
          <w:bCs/>
          <w:sz w:val="24"/>
          <w:szCs w:val="24"/>
        </w:rPr>
        <w:t>3.</w:t>
      </w:r>
      <w:r>
        <w:rPr>
          <w:rFonts w:hint="eastAsia"/>
          <w:sz w:val="24"/>
          <w:szCs w:val="24"/>
        </w:rPr>
        <w:t xml:space="preserve"> </w:t>
      </w:r>
      <w:r>
        <w:rPr>
          <w:rFonts w:hint="eastAsia" w:ascii="宋体" w:hAnsi="宋体"/>
          <w:b/>
          <w:sz w:val="24"/>
          <w:szCs w:val="24"/>
        </w:rPr>
        <w:t>投标报价的小数点后保留两位有效数；</w:t>
      </w:r>
    </w:p>
    <w:p>
      <w:pPr>
        <w:ind w:firstLine="472" w:firstLineChars="196"/>
        <w:rPr>
          <w:rFonts w:ascii="宋体" w:hAnsi="宋体"/>
          <w:b/>
          <w:sz w:val="24"/>
          <w:szCs w:val="24"/>
        </w:rPr>
      </w:pPr>
      <w:r>
        <w:rPr>
          <w:rFonts w:hint="eastAsia" w:ascii="宋体" w:hAnsi="宋体"/>
          <w:b/>
          <w:sz w:val="24"/>
          <w:szCs w:val="24"/>
        </w:rPr>
        <w:t>4.此表一份装在“唱标信封”内，另一份装订在投标文件中。</w:t>
      </w:r>
    </w:p>
    <w:p>
      <w:pPr>
        <w:spacing w:line="480" w:lineRule="auto"/>
        <w:ind w:firstLine="602" w:firstLineChars="200"/>
        <w:rPr>
          <w:rFonts w:hint="eastAsia" w:ascii="宋体" w:hAnsi="宋体" w:cs="宋体"/>
          <w:b/>
          <w:sz w:val="30"/>
          <w:szCs w:val="30"/>
        </w:rPr>
      </w:pPr>
    </w:p>
    <w:p>
      <w:pPr>
        <w:keepNext w:val="0"/>
        <w:keepLines w:val="0"/>
        <w:widowControl w:val="0"/>
        <w:numPr>
          <w:ilvl w:val="-1"/>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keepNext w:val="0"/>
        <w:keepLines w:val="0"/>
        <w:widowControl w:val="0"/>
        <w:numPr>
          <w:ilvl w:val="0"/>
          <w:numId w:val="14"/>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r>
        <w:rPr>
          <w:rFonts w:hint="eastAsia" w:ascii="宋体" w:hAnsi="宋体"/>
          <w:b/>
          <w:bCs/>
          <w:sz w:val="24"/>
          <w:szCs w:val="20"/>
        </w:rPr>
        <w:t>报价明细表</w:t>
      </w:r>
    </w:p>
    <w:p>
      <w:pPr>
        <w:pStyle w:val="3"/>
        <w:tabs>
          <w:tab w:val="left" w:pos="630"/>
        </w:tabs>
        <w:adjustRightInd/>
        <w:spacing w:before="48" w:after="48"/>
        <w:jc w:val="both"/>
        <w:textAlignment w:val="auto"/>
        <w:rPr>
          <w:rFonts w:hint="eastAsia"/>
          <w:bCs/>
        </w:rPr>
      </w:pPr>
    </w:p>
    <w:p>
      <w:pPr>
        <w:rPr>
          <w:rFonts w:hint="eastAsia"/>
          <w:bCs/>
        </w:rPr>
      </w:pPr>
    </w:p>
    <w:p>
      <w:pPr>
        <w:pStyle w:val="20"/>
        <w:rPr>
          <w:rFonts w:hint="eastAsia"/>
          <w:bCs/>
        </w:rPr>
      </w:pPr>
    </w:p>
    <w:p>
      <w:pPr>
        <w:adjustRightInd w:val="0"/>
        <w:spacing w:line="264" w:lineRule="auto"/>
        <w:jc w:val="left"/>
        <w:outlineLvl w:val="2"/>
        <w:rPr>
          <w:rFonts w:ascii="宋体" w:hAnsi="宋体"/>
          <w:b/>
          <w:sz w:val="24"/>
          <w:szCs w:val="24"/>
        </w:rPr>
      </w:pPr>
      <w:r>
        <w:rPr>
          <w:rFonts w:hint="eastAsia" w:ascii="宋体" w:hAnsi="宋体" w:cs="Times New Roman"/>
          <w:b/>
          <w:bCs/>
          <w:sz w:val="24"/>
          <w:lang w:val="en-US" w:eastAsia="zh-CN" w:bidi="ar-SA"/>
        </w:rPr>
        <w:t>四、</w:t>
      </w:r>
      <w:r>
        <w:rPr>
          <w:rFonts w:hint="eastAsia" w:ascii="宋体" w:hAnsi="宋体"/>
          <w:b/>
          <w:sz w:val="24"/>
          <w:szCs w:val="24"/>
        </w:rPr>
        <w:t>评审自查表</w:t>
      </w:r>
    </w:p>
    <w:p>
      <w:pPr>
        <w:keepNext w:val="0"/>
        <w:keepLines w:val="0"/>
        <w:widowControl w:val="0"/>
        <w:numPr>
          <w:ilvl w:val="-1"/>
          <w:numId w:val="0"/>
        </w:numPr>
        <w:kinsoku/>
        <w:wordWrap/>
        <w:overflowPunct/>
        <w:topLinePunct w:val="0"/>
        <w:autoSpaceDE/>
        <w:autoSpaceDN/>
        <w:bidi w:val="0"/>
        <w:adjustRightInd w:val="0"/>
        <w:snapToGrid/>
        <w:spacing w:line="240" w:lineRule="auto"/>
        <w:jc w:val="both"/>
        <w:textAlignment w:val="auto"/>
        <w:outlineLvl w:val="2"/>
        <w:rPr>
          <w:rFonts w:hint="eastAsia" w:ascii="宋体" w:hAnsi="宋体" w:eastAsia="宋体" w:cs="Times New Roman"/>
          <w:b/>
          <w:bCs/>
          <w:sz w:val="24"/>
          <w:lang w:val="en-US" w:eastAsia="zh-CN" w:bidi="ar-SA"/>
        </w:rPr>
      </w:pPr>
    </w:p>
    <w:p>
      <w:pPr>
        <w:pStyle w:val="3"/>
        <w:tabs>
          <w:tab w:val="left" w:pos="630"/>
        </w:tabs>
        <w:adjustRightInd/>
        <w:spacing w:before="48" w:after="48"/>
        <w:jc w:val="center"/>
        <w:textAlignment w:val="auto"/>
        <w:rPr>
          <w:rFonts w:hint="eastAsia"/>
          <w:bCs/>
        </w:rPr>
      </w:pPr>
    </w:p>
    <w:p>
      <w:pPr>
        <w:pStyle w:val="3"/>
        <w:tabs>
          <w:tab w:val="left" w:pos="630"/>
        </w:tabs>
        <w:adjustRightInd/>
        <w:spacing w:before="48" w:after="48"/>
        <w:jc w:val="center"/>
        <w:textAlignment w:val="auto"/>
        <w:rPr>
          <w:rFonts w:hint="eastAsia"/>
          <w:bCs/>
        </w:rPr>
      </w:pPr>
    </w:p>
    <w:p>
      <w:pPr>
        <w:adjustRightInd w:val="0"/>
        <w:spacing w:line="264" w:lineRule="auto"/>
        <w:jc w:val="center"/>
        <w:outlineLvl w:val="2"/>
        <w:rPr>
          <w:rFonts w:hint="eastAsia" w:ascii="宋体" w:hAnsi="宋体"/>
          <w:b/>
          <w:sz w:val="24"/>
          <w:szCs w:val="24"/>
        </w:rPr>
      </w:pPr>
      <w:r>
        <w:rPr>
          <w:rFonts w:hint="eastAsia" w:ascii="宋体" w:hAnsi="宋体"/>
          <w:b/>
          <w:sz w:val="24"/>
          <w:szCs w:val="24"/>
        </w:rPr>
        <w:t>评审自查表</w:t>
      </w:r>
    </w:p>
    <w:p>
      <w:pPr>
        <w:pStyle w:val="20"/>
      </w:pPr>
    </w:p>
    <w:tbl>
      <w:tblPr>
        <w:tblStyle w:val="21"/>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6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09" w:type="dxa"/>
            <w:tcBorders>
              <w:top w:val="single" w:color="auto" w:sz="12" w:space="0"/>
              <w:left w:val="single" w:color="auto" w:sz="12" w:space="0"/>
              <w:bottom w:val="single" w:color="auto" w:sz="4" w:space="0"/>
              <w:right w:val="single" w:color="auto" w:sz="4" w:space="0"/>
            </w:tcBorders>
            <w:noWrap w:val="0"/>
            <w:vAlign w:val="center"/>
          </w:tcPr>
          <w:p>
            <w:pPr>
              <w:adjustRightInd w:val="0"/>
              <w:spacing w:line="264" w:lineRule="auto"/>
              <w:jc w:val="center"/>
              <w:rPr>
                <w:rFonts w:ascii="宋体" w:hAnsi="宋体"/>
                <w:b/>
                <w:sz w:val="24"/>
                <w:szCs w:val="24"/>
              </w:rPr>
            </w:pPr>
            <w:r>
              <w:rPr>
                <w:rFonts w:hint="eastAsia" w:ascii="宋体" w:hAnsi="宋体"/>
                <w:b/>
                <w:sz w:val="24"/>
                <w:szCs w:val="24"/>
              </w:rPr>
              <w:t>序号</w:t>
            </w:r>
          </w:p>
        </w:tc>
        <w:tc>
          <w:tcPr>
            <w:tcW w:w="6662" w:type="dxa"/>
            <w:tcBorders>
              <w:top w:val="single" w:color="auto" w:sz="12" w:space="0"/>
              <w:left w:val="single" w:color="auto" w:sz="4" w:space="0"/>
              <w:bottom w:val="single" w:color="auto" w:sz="4" w:space="0"/>
              <w:right w:val="single" w:color="auto" w:sz="4" w:space="0"/>
            </w:tcBorders>
            <w:noWrap w:val="0"/>
            <w:vAlign w:val="center"/>
          </w:tcPr>
          <w:p>
            <w:pPr>
              <w:adjustRightInd w:val="0"/>
              <w:spacing w:line="264" w:lineRule="auto"/>
              <w:jc w:val="center"/>
              <w:rPr>
                <w:rFonts w:ascii="宋体" w:hAnsi="宋体"/>
                <w:b/>
                <w:sz w:val="24"/>
                <w:szCs w:val="24"/>
              </w:rPr>
            </w:pPr>
            <w:r>
              <w:rPr>
                <w:rFonts w:hint="eastAsia" w:ascii="宋体" w:hAnsi="宋体"/>
                <w:b/>
                <w:sz w:val="24"/>
                <w:szCs w:val="24"/>
              </w:rPr>
              <w:t>评审分项</w:t>
            </w:r>
          </w:p>
        </w:tc>
        <w:tc>
          <w:tcPr>
            <w:tcW w:w="2268" w:type="dxa"/>
            <w:tcBorders>
              <w:top w:val="single" w:color="auto" w:sz="12" w:space="0"/>
              <w:left w:val="single" w:color="auto" w:sz="4" w:space="0"/>
              <w:bottom w:val="single" w:color="auto" w:sz="4" w:space="0"/>
              <w:right w:val="single" w:color="auto" w:sz="12" w:space="0"/>
            </w:tcBorders>
            <w:noWrap w:val="0"/>
            <w:vAlign w:val="center"/>
          </w:tcPr>
          <w:p>
            <w:pPr>
              <w:adjustRightInd w:val="0"/>
              <w:spacing w:line="264" w:lineRule="auto"/>
              <w:jc w:val="center"/>
              <w:rPr>
                <w:rFonts w:ascii="宋体" w:hAnsi="宋体"/>
                <w:b/>
                <w:sz w:val="24"/>
                <w:szCs w:val="24"/>
              </w:rPr>
            </w:pPr>
            <w:r>
              <w:rPr>
                <w:rFonts w:hint="eastAsia" w:ascii="宋体" w:hAnsi="宋体"/>
                <w:b/>
                <w:sz w:val="24"/>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09" w:type="dxa"/>
            <w:tcBorders>
              <w:top w:val="single" w:color="auto" w:sz="4" w:space="0"/>
              <w:left w:val="single" w:color="auto" w:sz="12" w:space="0"/>
              <w:bottom w:val="single" w:color="auto" w:sz="4" w:space="0"/>
              <w:right w:val="single" w:color="auto" w:sz="4" w:space="0"/>
            </w:tcBorders>
            <w:noWrap w:val="0"/>
            <w:vAlign w:val="center"/>
          </w:tcPr>
          <w:p>
            <w:pPr>
              <w:numPr>
                <w:ilvl w:val="0"/>
                <w:numId w:val="15"/>
              </w:numPr>
              <w:adjustRightInd w:val="0"/>
              <w:spacing w:line="264" w:lineRule="auto"/>
              <w:jc w:val="center"/>
              <w:rPr>
                <w:rFonts w:ascii="宋体" w:hAnsi="宋体"/>
                <w:sz w:val="24"/>
                <w:szCs w:val="24"/>
              </w:rPr>
            </w:pPr>
          </w:p>
        </w:tc>
        <w:tc>
          <w:tcPr>
            <w:tcW w:w="6662"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264" w:lineRule="auto"/>
              <w:jc w:val="center"/>
              <w:rPr>
                <w:rFonts w:ascii="宋体" w:hAnsi="宋体"/>
                <w:sz w:val="24"/>
                <w:szCs w:val="24"/>
              </w:rPr>
            </w:pPr>
            <w:r>
              <w:rPr>
                <w:rFonts w:hint="eastAsia" w:hAnsi="宋体" w:cs="Courier New"/>
                <w:sz w:val="24"/>
                <w:szCs w:val="24"/>
                <w:lang w:val="en-US" w:eastAsia="zh-CN"/>
              </w:rPr>
              <w:t>开标</w:t>
            </w:r>
            <w:r>
              <w:rPr>
                <w:rFonts w:hint="eastAsia" w:hAnsi="宋体" w:cs="Courier New"/>
                <w:sz w:val="24"/>
                <w:szCs w:val="24"/>
              </w:rPr>
              <w:t>一览表</w:t>
            </w:r>
            <w:r>
              <w:rPr>
                <w:rFonts w:hint="eastAsia" w:ascii="宋体" w:hAnsi="宋体"/>
                <w:sz w:val="24"/>
              </w:rPr>
              <w:t>（报价表）</w:t>
            </w:r>
          </w:p>
        </w:tc>
        <w:tc>
          <w:tcPr>
            <w:tcW w:w="2268"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264" w:lineRule="auto"/>
              <w:jc w:val="center"/>
              <w:rPr>
                <w:rFonts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09" w:type="dxa"/>
            <w:tcBorders>
              <w:left w:val="single" w:color="auto" w:sz="12" w:space="0"/>
              <w:right w:val="single" w:color="auto" w:sz="4" w:space="0"/>
            </w:tcBorders>
            <w:noWrap w:val="0"/>
            <w:vAlign w:val="center"/>
          </w:tcPr>
          <w:p>
            <w:pPr>
              <w:numPr>
                <w:ilvl w:val="0"/>
                <w:numId w:val="15"/>
              </w:numPr>
              <w:adjustRightInd w:val="0"/>
              <w:spacing w:line="264" w:lineRule="auto"/>
              <w:jc w:val="center"/>
              <w:rPr>
                <w:rFonts w:ascii="宋体" w:hAnsi="宋体"/>
                <w:sz w:val="24"/>
                <w:szCs w:val="24"/>
              </w:rPr>
            </w:pPr>
          </w:p>
        </w:tc>
        <w:tc>
          <w:tcPr>
            <w:tcW w:w="6662" w:type="dxa"/>
            <w:tcBorders>
              <w:left w:val="single" w:color="auto" w:sz="4" w:space="0"/>
              <w:right w:val="single" w:color="auto" w:sz="4" w:space="0"/>
            </w:tcBorders>
            <w:noWrap w:val="0"/>
            <w:vAlign w:val="center"/>
          </w:tcPr>
          <w:p>
            <w:pPr>
              <w:adjustRightInd w:val="0"/>
              <w:spacing w:line="264" w:lineRule="auto"/>
              <w:jc w:val="center"/>
              <w:rPr>
                <w:rFonts w:hAnsi="宋体" w:cs="Courier New"/>
                <w:sz w:val="24"/>
                <w:szCs w:val="24"/>
              </w:rPr>
            </w:pPr>
            <w:r>
              <w:rPr>
                <w:rFonts w:hint="eastAsia" w:ascii="宋体" w:hAnsi="宋体"/>
                <w:sz w:val="24"/>
                <w:szCs w:val="24"/>
              </w:rPr>
              <w:t>报价明细表</w:t>
            </w:r>
          </w:p>
        </w:tc>
        <w:tc>
          <w:tcPr>
            <w:tcW w:w="2268"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264" w:lineRule="auto"/>
              <w:jc w:val="center"/>
              <w:rPr>
                <w:rFonts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right w:val="single" w:color="auto" w:sz="4" w:space="0"/>
            </w:tcBorders>
            <w:noWrap w:val="0"/>
            <w:vAlign w:val="center"/>
          </w:tcPr>
          <w:p>
            <w:pPr>
              <w:numPr>
                <w:ilvl w:val="0"/>
                <w:numId w:val="15"/>
              </w:numPr>
              <w:adjustRightInd w:val="0"/>
              <w:spacing w:line="264" w:lineRule="auto"/>
              <w:jc w:val="center"/>
              <w:rPr>
                <w:rFonts w:ascii="宋体" w:hAnsi="宋体"/>
                <w:sz w:val="24"/>
                <w:szCs w:val="24"/>
              </w:rPr>
            </w:pPr>
          </w:p>
        </w:tc>
        <w:tc>
          <w:tcPr>
            <w:tcW w:w="6662" w:type="dxa"/>
            <w:tcBorders>
              <w:left w:val="single" w:color="auto" w:sz="4" w:space="0"/>
              <w:right w:val="single" w:color="auto" w:sz="4"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符合性审查逐项对应按顺序排列资料</w:t>
            </w:r>
          </w:p>
          <w:p>
            <w:pPr>
              <w:adjustRightInd w:val="0"/>
              <w:spacing w:line="264" w:lineRule="auto"/>
              <w:jc w:val="center"/>
              <w:rPr>
                <w:rFonts w:hint="eastAsia" w:ascii="宋体" w:hAnsi="宋体"/>
                <w:sz w:val="24"/>
                <w:szCs w:val="24"/>
              </w:rPr>
            </w:pPr>
          </w:p>
        </w:tc>
        <w:tc>
          <w:tcPr>
            <w:tcW w:w="2268"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right w:val="single" w:color="auto" w:sz="4" w:space="0"/>
            </w:tcBorders>
            <w:noWrap w:val="0"/>
            <w:vAlign w:val="center"/>
          </w:tcPr>
          <w:p>
            <w:pPr>
              <w:numPr>
                <w:ilvl w:val="0"/>
                <w:numId w:val="15"/>
              </w:numPr>
              <w:adjustRightInd w:val="0"/>
              <w:spacing w:line="264" w:lineRule="auto"/>
              <w:jc w:val="center"/>
              <w:rPr>
                <w:rFonts w:ascii="宋体" w:hAnsi="宋体"/>
                <w:sz w:val="24"/>
                <w:szCs w:val="24"/>
              </w:rPr>
            </w:pPr>
          </w:p>
        </w:tc>
        <w:tc>
          <w:tcPr>
            <w:tcW w:w="6662" w:type="dxa"/>
            <w:tcBorders>
              <w:left w:val="single" w:color="auto" w:sz="4" w:space="0"/>
              <w:right w:val="single" w:color="auto" w:sz="4"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技术资料逐项对应按顺序排列资料</w:t>
            </w:r>
          </w:p>
          <w:p>
            <w:pPr>
              <w:adjustRightInd w:val="0"/>
              <w:spacing w:line="264" w:lineRule="auto"/>
              <w:jc w:val="center"/>
              <w:rPr>
                <w:rFonts w:hint="eastAsia" w:ascii="宋体" w:hAnsi="宋体"/>
                <w:sz w:val="24"/>
                <w:szCs w:val="24"/>
              </w:rPr>
            </w:pPr>
          </w:p>
        </w:tc>
        <w:tc>
          <w:tcPr>
            <w:tcW w:w="2268"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bottom w:val="single" w:color="auto" w:sz="12" w:space="0"/>
              <w:right w:val="single" w:color="auto" w:sz="4" w:space="0"/>
            </w:tcBorders>
            <w:noWrap w:val="0"/>
            <w:vAlign w:val="center"/>
          </w:tcPr>
          <w:p>
            <w:pPr>
              <w:numPr>
                <w:ilvl w:val="0"/>
                <w:numId w:val="15"/>
              </w:numPr>
              <w:adjustRightInd w:val="0"/>
              <w:spacing w:line="264" w:lineRule="auto"/>
              <w:jc w:val="center"/>
              <w:rPr>
                <w:rFonts w:ascii="宋体" w:hAnsi="宋体"/>
                <w:sz w:val="24"/>
                <w:szCs w:val="24"/>
              </w:rPr>
            </w:pPr>
          </w:p>
        </w:tc>
        <w:tc>
          <w:tcPr>
            <w:tcW w:w="6662" w:type="dxa"/>
            <w:tcBorders>
              <w:left w:val="single" w:color="auto" w:sz="4" w:space="0"/>
              <w:bottom w:val="single" w:color="auto" w:sz="12" w:space="0"/>
              <w:right w:val="single" w:color="auto" w:sz="4"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商务资料逐项对应按顺序排列资料</w:t>
            </w:r>
          </w:p>
          <w:p>
            <w:pPr>
              <w:adjustRightInd w:val="0"/>
              <w:spacing w:line="264" w:lineRule="auto"/>
              <w:jc w:val="center"/>
              <w:rPr>
                <w:rFonts w:hint="eastAsia" w:ascii="宋体" w:hAnsi="宋体"/>
                <w:sz w:val="24"/>
                <w:szCs w:val="24"/>
              </w:rPr>
            </w:pPr>
          </w:p>
        </w:tc>
        <w:tc>
          <w:tcPr>
            <w:tcW w:w="2268" w:type="dxa"/>
            <w:tcBorders>
              <w:top w:val="single" w:color="auto" w:sz="4" w:space="0"/>
              <w:left w:val="single" w:color="auto" w:sz="4" w:space="0"/>
              <w:bottom w:val="single" w:color="auto" w:sz="12" w:space="0"/>
              <w:right w:val="single" w:color="auto" w:sz="12" w:space="0"/>
            </w:tcBorders>
            <w:noWrap w:val="0"/>
            <w:vAlign w:val="center"/>
          </w:tcPr>
          <w:p>
            <w:pPr>
              <w:adjustRightInd w:val="0"/>
              <w:spacing w:line="264" w:lineRule="auto"/>
              <w:jc w:val="center"/>
              <w:rPr>
                <w:rFonts w:hint="eastAsia" w:ascii="宋体" w:hAnsi="宋体"/>
                <w:sz w:val="24"/>
                <w:szCs w:val="24"/>
              </w:rPr>
            </w:pPr>
            <w:r>
              <w:rPr>
                <w:rFonts w:hint="eastAsia" w:ascii="宋体" w:hAnsi="宋体"/>
                <w:sz w:val="24"/>
                <w:szCs w:val="24"/>
              </w:rPr>
              <w:t>见（ ）页</w:t>
            </w:r>
          </w:p>
        </w:tc>
      </w:tr>
    </w:tbl>
    <w:p>
      <w:pPr>
        <w:pStyle w:val="20"/>
        <w:numPr>
          <w:ilvl w:val="-1"/>
          <w:numId w:val="0"/>
        </w:numPr>
        <w:ind w:firstLine="0" w:firstLineChars="0"/>
        <w:rPr>
          <w:rFonts w:hint="eastAsia"/>
          <w:lang w:val="en-US" w:eastAsia="zh-CN"/>
        </w:rPr>
      </w:pPr>
    </w:p>
    <w:p>
      <w:pPr>
        <w:adjustRightInd w:val="0"/>
        <w:spacing w:line="264" w:lineRule="auto"/>
        <w:rPr>
          <w:rFonts w:hint="eastAsia" w:ascii="宋体" w:hAnsi="宋体"/>
          <w:b/>
          <w:sz w:val="24"/>
          <w:szCs w:val="24"/>
        </w:rPr>
      </w:pPr>
      <w:r>
        <w:rPr>
          <w:rFonts w:hint="eastAsia" w:ascii="宋体" w:hAnsi="宋体"/>
          <w:b/>
          <w:sz w:val="24"/>
          <w:szCs w:val="24"/>
        </w:rPr>
        <w:t>说明：1、投标文件包括但不限于以下组成内容，请按顺序制作。</w:t>
      </w:r>
    </w:p>
    <w:p>
      <w:pPr>
        <w:pStyle w:val="20"/>
        <w:rPr>
          <w:rFonts w:hint="eastAsia" w:ascii="宋体" w:hAnsi="宋体"/>
          <w:b/>
          <w:sz w:val="24"/>
          <w:szCs w:val="24"/>
        </w:rPr>
      </w:pPr>
    </w:p>
    <w:p>
      <w:pPr>
        <w:pStyle w:val="20"/>
        <w:rPr>
          <w:rFonts w:hint="eastAsia" w:ascii="宋体" w:hAnsi="宋体"/>
          <w:b/>
          <w:sz w:val="24"/>
          <w:szCs w:val="24"/>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adjustRightInd w:val="0"/>
        <w:spacing w:line="264" w:lineRule="auto"/>
        <w:rPr>
          <w:rFonts w:hint="eastAsia" w:cs="Times New Roman"/>
          <w:b/>
          <w:bCs/>
          <w:sz w:val="24"/>
          <w:lang w:val="en-US" w:eastAsia="zh-CN" w:bidi="ar-SA"/>
        </w:rPr>
      </w:pPr>
    </w:p>
    <w:p>
      <w:pPr>
        <w:pStyle w:val="3"/>
        <w:tabs>
          <w:tab w:val="left" w:pos="420"/>
          <w:tab w:val="left" w:pos="630"/>
        </w:tabs>
        <w:adjustRightInd/>
        <w:spacing w:before="48" w:after="48"/>
        <w:jc w:val="left"/>
        <w:textAlignment w:val="auto"/>
        <w:rPr>
          <w:szCs w:val="30"/>
        </w:rPr>
      </w:pPr>
      <w:r>
        <w:rPr>
          <w:sz w:val="24"/>
          <w:szCs w:val="24"/>
        </w:rPr>
        <w:br w:type="page"/>
      </w:r>
      <w:r>
        <w:rPr>
          <w:rFonts w:hint="eastAsia"/>
          <w:sz w:val="24"/>
        </w:rPr>
        <w:t xml:space="preserve">  </w:t>
      </w:r>
      <w:r>
        <w:rPr>
          <w:rFonts w:hint="eastAsia"/>
          <w:sz w:val="24"/>
          <w:lang w:val="en-US" w:eastAsia="zh-CN"/>
        </w:rPr>
        <w:t>五</w:t>
      </w:r>
      <w:r>
        <w:rPr>
          <w:rFonts w:hint="eastAsia" w:ascii="宋体" w:hAnsi="宋体" w:eastAsia="宋体" w:cs="Times New Roman"/>
          <w:b/>
          <w:bCs/>
          <w:sz w:val="24"/>
          <w:lang w:val="en-US" w:eastAsia="zh-CN" w:bidi="ar-SA"/>
        </w:rPr>
        <w:t>、唱标信封内容格式</w:t>
      </w:r>
    </w:p>
    <w:p>
      <w:pPr>
        <w:keepNext w:val="0"/>
        <w:keepLines w:val="0"/>
        <w:widowControl w:val="0"/>
        <w:kinsoku/>
        <w:wordWrap/>
        <w:overflowPunct/>
        <w:topLinePunct w:val="0"/>
        <w:autoSpaceDE/>
        <w:autoSpaceDN/>
        <w:bidi w:val="0"/>
        <w:adjustRightInd w:val="0"/>
        <w:snapToGrid/>
        <w:spacing w:line="240" w:lineRule="auto"/>
        <w:jc w:val="both"/>
        <w:textAlignment w:val="auto"/>
        <w:outlineLvl w:val="2"/>
        <w:rPr>
          <w:rFonts w:ascii="宋体" w:hAnsi="宋体"/>
          <w:b/>
          <w:sz w:val="30"/>
          <w:szCs w:val="30"/>
        </w:rPr>
      </w:pPr>
    </w:p>
    <w:p>
      <w:pPr>
        <w:pStyle w:val="3"/>
        <w:tabs>
          <w:tab w:val="left" w:pos="420"/>
          <w:tab w:val="left" w:pos="630"/>
        </w:tabs>
        <w:adjustRightInd/>
        <w:spacing w:before="48" w:after="48"/>
        <w:textAlignment w:val="auto"/>
        <w:rPr>
          <w:rFonts w:hint="eastAsia"/>
          <w:sz w:val="24"/>
        </w:rPr>
      </w:pPr>
      <w:r>
        <w:rPr>
          <w:rFonts w:hint="eastAsia"/>
          <w:sz w:val="24"/>
        </w:rPr>
        <w:t xml:space="preserve">                       </w:t>
      </w:r>
    </w:p>
    <w:p>
      <w:pPr>
        <w:pStyle w:val="3"/>
        <w:tabs>
          <w:tab w:val="left" w:pos="420"/>
          <w:tab w:val="left" w:pos="630"/>
        </w:tabs>
        <w:adjustRightInd/>
        <w:spacing w:before="48" w:after="48"/>
        <w:jc w:val="center"/>
        <w:textAlignment w:val="auto"/>
        <w:rPr>
          <w:szCs w:val="30"/>
        </w:rPr>
      </w:pPr>
      <w:r>
        <w:rPr>
          <w:rFonts w:hint="eastAsia"/>
          <w:szCs w:val="30"/>
        </w:rPr>
        <w:t>唱标信封内容格式</w:t>
      </w:r>
    </w:p>
    <w:p>
      <w:pPr>
        <w:spacing w:line="360" w:lineRule="auto"/>
        <w:jc w:val="center"/>
        <w:rPr>
          <w:rFonts w:ascii="宋体" w:hAnsi="宋体"/>
          <w:bCs/>
          <w:sz w:val="24"/>
        </w:rPr>
      </w:pPr>
    </w:p>
    <w:p>
      <w:pPr>
        <w:spacing w:line="360" w:lineRule="auto"/>
        <w:ind w:firstLine="480" w:firstLineChars="200"/>
        <w:rPr>
          <w:rFonts w:ascii="宋体" w:hAnsi="宋体"/>
          <w:bCs/>
          <w:sz w:val="24"/>
        </w:rPr>
      </w:pPr>
      <w:r>
        <w:rPr>
          <w:rFonts w:hint="eastAsia" w:ascii="宋体" w:hAnsi="宋体"/>
          <w:bCs/>
          <w:sz w:val="24"/>
        </w:rPr>
        <w:t>唱标信封须单独密封（该信封不要放入其它信封内），封口加盖公章，与投标文件一同递交，其内装以下内容：</w:t>
      </w:r>
    </w:p>
    <w:p>
      <w:pPr>
        <w:spacing w:line="360" w:lineRule="auto"/>
        <w:jc w:val="both"/>
        <w:rPr>
          <w:rFonts w:ascii="宋体" w:hAnsi="宋体"/>
          <w:bCs/>
          <w:sz w:val="24"/>
        </w:rPr>
      </w:pPr>
      <w:r>
        <w:rPr>
          <w:rFonts w:hint="eastAsia" w:ascii="宋体" w:hAnsi="宋体"/>
          <w:bCs/>
          <w:sz w:val="24"/>
          <w:lang w:val="en-US" w:eastAsia="zh-CN"/>
        </w:rPr>
        <w:t>1、</w:t>
      </w:r>
      <w:r>
        <w:rPr>
          <w:rFonts w:hint="eastAsia" w:ascii="宋体" w:hAnsi="宋体"/>
          <w:bCs/>
          <w:sz w:val="24"/>
        </w:rPr>
        <w:t>开标一览表(报价表)</w:t>
      </w:r>
    </w:p>
    <w:p>
      <w:pPr>
        <w:spacing w:line="360" w:lineRule="auto"/>
        <w:rPr>
          <w:rFonts w:ascii="宋体" w:hAnsi="宋体"/>
          <w:bCs/>
          <w:sz w:val="24"/>
        </w:rPr>
      </w:pPr>
      <w:r>
        <w:rPr>
          <w:rFonts w:hint="eastAsia" w:ascii="宋体" w:hAnsi="宋体"/>
          <w:bCs/>
          <w:sz w:val="24"/>
          <w:lang w:val="en-US" w:eastAsia="zh-CN"/>
        </w:rPr>
        <w:t>2、</w:t>
      </w:r>
      <w:r>
        <w:rPr>
          <w:rFonts w:hint="eastAsia" w:ascii="宋体" w:hAnsi="宋体"/>
          <w:bCs/>
          <w:sz w:val="24"/>
        </w:rPr>
        <w:t>法定代表人证明书</w:t>
      </w:r>
    </w:p>
    <w:p>
      <w:pPr>
        <w:spacing w:line="360" w:lineRule="auto"/>
        <w:rPr>
          <w:rFonts w:ascii="宋体" w:hAnsi="宋体"/>
          <w:bCs/>
          <w:sz w:val="24"/>
        </w:rPr>
      </w:pPr>
      <w:r>
        <w:rPr>
          <w:rFonts w:hint="eastAsia" w:ascii="宋体" w:hAnsi="宋体"/>
          <w:bCs/>
          <w:sz w:val="24"/>
          <w:lang w:val="en-US" w:eastAsia="zh-CN"/>
        </w:rPr>
        <w:t>3、</w:t>
      </w:r>
      <w:r>
        <w:rPr>
          <w:rFonts w:hint="eastAsia" w:ascii="宋体" w:hAnsi="宋体"/>
          <w:bCs/>
          <w:sz w:val="24"/>
        </w:rPr>
        <w:t>授权委托证明书（如适用）</w:t>
      </w:r>
    </w:p>
    <w:p>
      <w:pPr>
        <w:pStyle w:val="4"/>
        <w:jc w:val="left"/>
        <w:rPr>
          <w:rFonts w:hint="eastAsia" w:cs="Times New Roman"/>
          <w:bCs/>
          <w:sz w:val="24"/>
          <w:lang w:val="en-US" w:eastAsia="zh-CN"/>
        </w:rPr>
      </w:pPr>
      <w:bookmarkStart w:id="106" w:name="_Toc109467920"/>
      <w:bookmarkStart w:id="107" w:name="_Toc28489505"/>
      <w:bookmarkStart w:id="108" w:name="_Toc35834921"/>
      <w:bookmarkStart w:id="109" w:name="_Toc14450847"/>
      <w:bookmarkStart w:id="110" w:name="_Toc34535367"/>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pStyle w:val="4"/>
        <w:jc w:val="left"/>
        <w:rPr>
          <w:rFonts w:hint="eastAsia" w:cs="Times New Roman"/>
          <w:bCs/>
          <w:sz w:val="24"/>
          <w:lang w:val="en-US" w:eastAsia="zh-CN"/>
        </w:rPr>
      </w:pPr>
    </w:p>
    <w:p>
      <w:pPr>
        <w:rPr>
          <w:rFonts w:hint="eastAsia"/>
          <w:lang w:val="en-US" w:eastAsia="zh-CN"/>
        </w:rPr>
      </w:pPr>
    </w:p>
    <w:p>
      <w:pPr>
        <w:pStyle w:val="4"/>
        <w:numPr>
          <w:ilvl w:val="0"/>
          <w:numId w:val="0"/>
        </w:numPr>
        <w:jc w:val="left"/>
        <w:rPr>
          <w:color w:val="auto"/>
        </w:rPr>
      </w:pPr>
      <w:r>
        <w:rPr>
          <w:rFonts w:hint="eastAsia" w:cs="Times New Roman"/>
          <w:b/>
          <w:color w:val="auto"/>
          <w:sz w:val="28"/>
          <w:lang w:val="en-US" w:eastAsia="zh-CN" w:bidi="ar-SA"/>
        </w:rPr>
        <w:t>六</w:t>
      </w:r>
      <w:r>
        <w:rPr>
          <w:rFonts w:hint="eastAsia" w:ascii="宋体" w:hAnsi="宋体" w:eastAsia="宋体" w:cs="Times New Roman"/>
          <w:b/>
          <w:color w:val="auto"/>
          <w:sz w:val="28"/>
          <w:lang w:val="en-US" w:eastAsia="zh-CN" w:bidi="ar-SA"/>
        </w:rPr>
        <w:t>、</w:t>
      </w:r>
      <w:r>
        <w:rPr>
          <w:rFonts w:hint="eastAsia"/>
          <w:bCs/>
          <w:color w:val="auto"/>
          <w:sz w:val="24"/>
        </w:rPr>
        <w:t>法定代表人证明书</w:t>
      </w:r>
    </w:p>
    <w:p>
      <w:pPr>
        <w:pStyle w:val="4"/>
        <w:rPr>
          <w:rFonts w:hint="eastAsia"/>
          <w:bCs/>
          <w:sz w:val="24"/>
        </w:rPr>
      </w:pPr>
      <w:r>
        <w:rPr>
          <w:rFonts w:hint="eastAsia"/>
          <w:bCs/>
          <w:sz w:val="24"/>
        </w:rPr>
        <w:t xml:space="preserve">                    </w:t>
      </w:r>
    </w:p>
    <w:p>
      <w:pPr>
        <w:pStyle w:val="4"/>
        <w:jc w:val="center"/>
        <w:rPr>
          <w:bCs/>
          <w:sz w:val="24"/>
        </w:rPr>
      </w:pPr>
      <w:r>
        <w:rPr>
          <w:rFonts w:hint="eastAsia"/>
          <w:bCs/>
          <w:sz w:val="24"/>
        </w:rPr>
        <w:t>法定代表人证明书</w:t>
      </w:r>
      <w:bookmarkEnd w:id="106"/>
      <w:bookmarkEnd w:id="107"/>
      <w:bookmarkEnd w:id="108"/>
      <w:bookmarkEnd w:id="109"/>
      <w:bookmarkEnd w:id="110"/>
    </w:p>
    <w:p>
      <w:pPr>
        <w:pStyle w:val="33"/>
        <w:rPr>
          <w:color w:val="auto"/>
        </w:rPr>
      </w:pPr>
    </w:p>
    <w:p>
      <w:pPr>
        <w:spacing w:line="360" w:lineRule="auto"/>
        <w:ind w:firstLine="480" w:firstLineChars="200"/>
        <w:rPr>
          <w:rFonts w:ascii="宋体" w:hAnsi="宋体"/>
          <w:sz w:val="24"/>
        </w:rPr>
      </w:pPr>
      <w:r>
        <w:rPr>
          <w:rFonts w:hint="eastAsia" w:ascii="宋体" w:hAnsi="宋体"/>
          <w:sz w:val="24"/>
          <w:u w:val="single"/>
        </w:rPr>
        <w:t xml:space="preserve">         </w:t>
      </w:r>
      <w:r>
        <w:rPr>
          <w:rFonts w:hint="eastAsia" w:ascii="宋体" w:hAnsi="宋体"/>
          <w:sz w:val="24"/>
        </w:rPr>
        <w:t>先生/女士，现任我公司</w:t>
      </w:r>
      <w:r>
        <w:rPr>
          <w:rFonts w:hint="eastAsia" w:ascii="宋体" w:hAnsi="宋体"/>
          <w:sz w:val="24"/>
          <w:u w:val="single"/>
        </w:rPr>
        <w:t xml:space="preserve">         </w:t>
      </w:r>
      <w:r>
        <w:rPr>
          <w:rFonts w:hint="eastAsia" w:ascii="宋体" w:hAnsi="宋体"/>
          <w:sz w:val="24"/>
        </w:rPr>
        <w:t>职务，为法定代表人，特此证明。</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单位（盖公章）：</w:t>
      </w:r>
    </w:p>
    <w:p>
      <w:pPr>
        <w:spacing w:line="360" w:lineRule="auto"/>
        <w:rPr>
          <w:rFonts w:ascii="宋体" w:hAnsi="宋体"/>
          <w:sz w:val="24"/>
        </w:rPr>
      </w:pPr>
      <w:r>
        <w:rPr>
          <w:rFonts w:hint="eastAsia" w:ascii="宋体" w:hAnsi="宋体"/>
          <w:sz w:val="24"/>
        </w:rPr>
        <w:t>附：</w:t>
      </w:r>
    </w:p>
    <w:p>
      <w:pPr>
        <w:spacing w:line="360" w:lineRule="auto"/>
        <w:rPr>
          <w:rFonts w:ascii="宋体" w:hAnsi="宋体"/>
          <w:sz w:val="24"/>
        </w:rPr>
      </w:pPr>
      <w:r>
        <w:rPr>
          <w:rFonts w:hint="eastAsia" w:ascii="宋体" w:hAnsi="宋体"/>
          <w:sz w:val="24"/>
        </w:rPr>
        <w:t>代表人性别：</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年龄：</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身份证号码：</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营业执照（注册号）：</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经济性质：</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主营（产）：</w:t>
      </w:r>
      <w:r>
        <w:rPr>
          <w:rFonts w:hint="eastAsia" w:ascii="宋体" w:hAnsi="宋体"/>
          <w:sz w:val="24"/>
          <w:u w:val="single"/>
        </w:rPr>
        <w:t xml:space="preserve">                              </w:t>
      </w:r>
    </w:p>
    <w:p>
      <w:pPr>
        <w:spacing w:line="360" w:lineRule="auto"/>
        <w:rPr>
          <w:rFonts w:ascii="宋体" w:hAnsi="宋体"/>
          <w:bCs/>
          <w:sz w:val="24"/>
          <w:u w:val="single"/>
        </w:rPr>
      </w:pPr>
      <w:r>
        <w:rPr>
          <w:rFonts w:ascii="宋体" w:hAnsi="宋体"/>
          <w:bCs/>
          <w:sz w:val="20"/>
          <w:u w:val="single"/>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99060</wp:posOffset>
                </wp:positionV>
                <wp:extent cx="1714500" cy="434340"/>
                <wp:effectExtent l="4445" t="4445" r="14605" b="18415"/>
                <wp:wrapNone/>
                <wp:docPr id="12" name="文本框 12"/>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加盖投标人公章</w:t>
                            </w:r>
                          </w:p>
                          <w:p/>
                        </w:txbxContent>
                      </wps:txbx>
                      <wps:bodyPr upright="1"/>
                    </wps:wsp>
                  </a:graphicData>
                </a:graphic>
              </wp:anchor>
            </w:drawing>
          </mc:Choice>
          <mc:Fallback>
            <w:pict>
              <v:shape id="_x0000_s1026" o:spid="_x0000_s1026" o:spt="202" type="#_x0000_t202" style="position:absolute;left:0pt;margin-left:171pt;margin-top:7.8pt;height:34.2pt;width:135pt;z-index:251661312;mso-width-relative:page;mso-height-relative:page;" fillcolor="#FFFFFF" filled="t" stroked="t" coordsize="21600,21600" o:gfxdata="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BlwAdcAAAAJAQAADwAAAAAAAAABACAAAAAi&#10;AAAAZHJzL2Rvd25yZXYueG1sUEsBAhQAFAAAAAgAh07iQMIuKo4LAgAAOAQAAA4AAAAAAAAAAQAg&#10;AAAAJgEAAGRycy9lMm9Eb2MueG1sUEsFBgAAAAAGAAYAWQEAAKMFAAAAAA==&#10;">
                <v:fill on="t" focussize="0,0"/>
                <v:stroke color="#000000" joinstyle="miter"/>
                <v:imagedata o:title=""/>
                <o:lock v:ext="edit" aspectratio="f"/>
                <v:textbox>
                  <w:txbxContent>
                    <w:p>
                      <w:pPr>
                        <w:jc w:val="center"/>
                      </w:pPr>
                      <w:r>
                        <w:rPr>
                          <w:rFonts w:hint="eastAsia"/>
                        </w:rPr>
                        <w:t>加盖投标人公章</w:t>
                      </w:r>
                    </w:p>
                    <w:p/>
                  </w:txbxContent>
                </v:textbox>
              </v:shape>
            </w:pict>
          </mc:Fallback>
        </mc:AlternateContent>
      </w:r>
    </w:p>
    <w:tbl>
      <w:tblPr>
        <w:tblStyle w:val="21"/>
        <w:tblW w:w="7740"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trPr>
        <w:tc>
          <w:tcPr>
            <w:tcW w:w="7740" w:type="dxa"/>
            <w:vAlign w:val="center"/>
          </w:tcPr>
          <w:p>
            <w:pPr>
              <w:spacing w:line="460" w:lineRule="exact"/>
              <w:ind w:right="-85" w:firstLine="589"/>
              <w:jc w:val="center"/>
              <w:rPr>
                <w:rFonts w:ascii="宋体" w:hAnsi="宋体"/>
              </w:rPr>
            </w:pPr>
            <w:r>
              <w:rPr>
                <w:rFonts w:hint="eastAsia" w:ascii="宋体" w:hAnsi="宋体"/>
              </w:rPr>
              <w:t>法人代表身份证复印件（正、反双面）</w:t>
            </w:r>
          </w:p>
        </w:tc>
      </w:tr>
    </w:tbl>
    <w:p>
      <w:pPr>
        <w:spacing w:line="360" w:lineRule="auto"/>
        <w:ind w:left="560" w:hanging="560" w:hangingChars="200"/>
        <w:rPr>
          <w:rFonts w:ascii="宋体" w:hAnsi="宋体"/>
          <w:bCs/>
        </w:rPr>
      </w:pPr>
    </w:p>
    <w:p>
      <w:pPr>
        <w:spacing w:line="360" w:lineRule="auto"/>
        <w:ind w:left="562" w:hanging="562" w:hangingChars="200"/>
        <w:rPr>
          <w:rFonts w:hint="eastAsia" w:ascii="宋体" w:hAnsi="宋体"/>
          <w:b/>
          <w:bCs/>
        </w:rPr>
      </w:pPr>
      <w:r>
        <w:rPr>
          <w:rFonts w:hint="eastAsia" w:ascii="宋体" w:hAnsi="宋体"/>
          <w:b/>
          <w:bCs/>
        </w:rPr>
        <w:t>注：法定代表人的姓名必须与营业执照法定代表人姓名完全一致。</w:t>
      </w:r>
    </w:p>
    <w:p>
      <w:pPr>
        <w:pStyle w:val="20"/>
        <w:rPr>
          <w:rFonts w:hint="eastAsia" w:ascii="宋体" w:hAnsi="宋体"/>
          <w:b/>
          <w:bCs/>
        </w:rPr>
      </w:pPr>
    </w:p>
    <w:p>
      <w:pPr>
        <w:pStyle w:val="20"/>
        <w:rPr>
          <w:rFonts w:hint="eastAsia" w:ascii="宋体" w:hAnsi="宋体"/>
          <w:b/>
          <w:bCs/>
        </w:rPr>
      </w:pPr>
    </w:p>
    <w:p>
      <w:pPr>
        <w:pStyle w:val="20"/>
        <w:rPr>
          <w:rFonts w:hint="eastAsia" w:ascii="宋体" w:hAnsi="宋体"/>
          <w:b/>
          <w:bCs/>
        </w:rPr>
      </w:pPr>
    </w:p>
    <w:p>
      <w:pPr>
        <w:pStyle w:val="20"/>
        <w:rPr>
          <w:rFonts w:hint="eastAsia" w:ascii="宋体" w:hAnsi="宋体"/>
          <w:b/>
          <w:bCs/>
        </w:rPr>
      </w:pPr>
    </w:p>
    <w:p>
      <w:pPr>
        <w:pStyle w:val="20"/>
        <w:rPr>
          <w:rFonts w:hint="eastAsia" w:ascii="宋体" w:hAnsi="宋体"/>
          <w:b/>
          <w:bCs/>
        </w:rPr>
      </w:pPr>
    </w:p>
    <w:p>
      <w:pPr>
        <w:ind w:left="562" w:hanging="482" w:hangingChars="200"/>
        <w:jc w:val="left"/>
        <w:rPr>
          <w:b/>
          <w:bCs/>
          <w:sz w:val="24"/>
          <w:szCs w:val="20"/>
        </w:rPr>
      </w:pPr>
      <w:bookmarkStart w:id="111" w:name="_Toc34535368"/>
      <w:bookmarkStart w:id="112" w:name="_Toc14450848"/>
      <w:bookmarkStart w:id="113" w:name="_Toc109467921"/>
      <w:bookmarkStart w:id="114" w:name="_Toc28489506"/>
      <w:bookmarkStart w:id="115" w:name="_Toc35834922"/>
      <w:r>
        <w:rPr>
          <w:rFonts w:hint="eastAsia" w:cs="Times New Roman"/>
          <w:b/>
          <w:bCs/>
          <w:sz w:val="24"/>
          <w:szCs w:val="20"/>
          <w:lang w:val="en-US" w:eastAsia="zh-CN"/>
        </w:rPr>
        <w:t>七</w:t>
      </w:r>
      <w:r>
        <w:rPr>
          <w:rFonts w:hint="eastAsia" w:ascii="宋体" w:hAnsi="宋体"/>
          <w:b/>
          <w:bCs/>
          <w:sz w:val="32"/>
          <w:szCs w:val="32"/>
          <w:lang w:val="en-US" w:eastAsia="zh-CN"/>
        </w:rPr>
        <w:t>、</w:t>
      </w:r>
      <w:r>
        <w:rPr>
          <w:rFonts w:hint="eastAsia"/>
          <w:b/>
          <w:bCs/>
          <w:sz w:val="24"/>
          <w:szCs w:val="20"/>
        </w:rPr>
        <w:t>法定代表人授权委托书</w:t>
      </w:r>
    </w:p>
    <w:p>
      <w:pPr>
        <w:pStyle w:val="4"/>
        <w:rPr>
          <w:rFonts w:hint="eastAsia"/>
          <w:bCs/>
          <w:sz w:val="24"/>
        </w:rPr>
      </w:pPr>
      <w:r>
        <w:rPr>
          <w:rFonts w:hint="eastAsia"/>
          <w:bCs/>
          <w:sz w:val="24"/>
        </w:rPr>
        <w:t xml:space="preserve">                   </w:t>
      </w:r>
    </w:p>
    <w:p>
      <w:pPr>
        <w:pStyle w:val="4"/>
        <w:jc w:val="center"/>
        <w:rPr>
          <w:rFonts w:hint="eastAsia"/>
          <w:bCs/>
          <w:sz w:val="24"/>
        </w:rPr>
      </w:pPr>
    </w:p>
    <w:p>
      <w:pPr>
        <w:pStyle w:val="4"/>
        <w:jc w:val="center"/>
        <w:rPr>
          <w:bCs/>
          <w:sz w:val="24"/>
        </w:rPr>
      </w:pPr>
      <w:r>
        <w:rPr>
          <w:rFonts w:hint="eastAsia"/>
          <w:bCs/>
          <w:sz w:val="24"/>
        </w:rPr>
        <w:t>法定代表人授权委托书</w:t>
      </w:r>
      <w:bookmarkEnd w:id="111"/>
      <w:bookmarkEnd w:id="112"/>
      <w:bookmarkEnd w:id="113"/>
      <w:bookmarkEnd w:id="114"/>
      <w:bookmarkEnd w:id="115"/>
    </w:p>
    <w:p>
      <w:pPr>
        <w:pStyle w:val="33"/>
        <w:rPr>
          <w:color w:val="auto"/>
        </w:rPr>
      </w:pPr>
    </w:p>
    <w:p>
      <w:pPr>
        <w:spacing w:line="360" w:lineRule="auto"/>
        <w:ind w:left="2" w:firstLine="460" w:firstLineChars="192"/>
        <w:rPr>
          <w:rFonts w:ascii="宋体" w:hAnsi="宋体"/>
          <w:bCs/>
          <w:sz w:val="24"/>
        </w:rPr>
      </w:pPr>
      <w:r>
        <w:rPr>
          <w:rFonts w:hint="eastAsia" w:ascii="宋体" w:hAnsi="宋体"/>
          <w:bCs/>
          <w:sz w:val="24"/>
        </w:rPr>
        <w:t>本授权书声明：注册于</w:t>
      </w:r>
      <w:r>
        <w:rPr>
          <w:rFonts w:hint="eastAsia" w:ascii="宋体" w:hAnsi="宋体"/>
          <w:bCs/>
          <w:sz w:val="24"/>
          <w:u w:val="single"/>
        </w:rPr>
        <w:t>（国家或地区）</w:t>
      </w:r>
      <w:r>
        <w:rPr>
          <w:rFonts w:hint="eastAsia" w:ascii="宋体" w:hAnsi="宋体"/>
          <w:bCs/>
          <w:sz w:val="24"/>
        </w:rPr>
        <w:t>的</w:t>
      </w:r>
      <w:r>
        <w:rPr>
          <w:rFonts w:hint="eastAsia" w:ascii="宋体" w:hAnsi="宋体"/>
          <w:bCs/>
          <w:sz w:val="24"/>
          <w:u w:val="single"/>
        </w:rPr>
        <w:t>（投标人名称）</w:t>
      </w:r>
      <w:r>
        <w:rPr>
          <w:rFonts w:hint="eastAsia" w:ascii="宋体" w:hAnsi="宋体"/>
          <w:bCs/>
          <w:sz w:val="24"/>
        </w:rPr>
        <w:t>在下面签字的</w:t>
      </w:r>
      <w:r>
        <w:rPr>
          <w:rFonts w:hint="eastAsia" w:ascii="宋体" w:hAnsi="宋体"/>
          <w:bCs/>
          <w:sz w:val="24"/>
          <w:u w:val="single"/>
        </w:rPr>
        <w:t>（法定代表人姓名、职务）</w:t>
      </w:r>
      <w:r>
        <w:rPr>
          <w:rFonts w:hint="eastAsia" w:ascii="宋体" w:hAnsi="宋体"/>
          <w:bCs/>
          <w:sz w:val="24"/>
        </w:rPr>
        <w:t>代表本公司授权</w:t>
      </w:r>
      <w:r>
        <w:rPr>
          <w:rFonts w:hint="eastAsia" w:ascii="宋体" w:hAnsi="宋体"/>
          <w:bCs/>
          <w:sz w:val="24"/>
          <w:u w:val="single"/>
        </w:rPr>
        <w:t>（单位名称）</w:t>
      </w:r>
      <w:r>
        <w:rPr>
          <w:rFonts w:hint="eastAsia" w:ascii="宋体" w:hAnsi="宋体"/>
          <w:bCs/>
          <w:sz w:val="24"/>
        </w:rPr>
        <w:t>的在下面签字的</w:t>
      </w:r>
      <w:r>
        <w:rPr>
          <w:rFonts w:hint="eastAsia" w:ascii="宋体" w:hAnsi="宋体"/>
          <w:bCs/>
          <w:sz w:val="24"/>
          <w:u w:val="single"/>
        </w:rPr>
        <w:t>（授权代表姓名、职务）</w:t>
      </w:r>
      <w:r>
        <w:rPr>
          <w:rFonts w:hint="eastAsia" w:ascii="宋体" w:hAnsi="宋体"/>
          <w:bCs/>
          <w:sz w:val="24"/>
        </w:rPr>
        <w:t>为本公司的合法代理人，就项目编号为</w:t>
      </w:r>
      <w:r>
        <w:rPr>
          <w:rFonts w:hint="eastAsia" w:ascii="宋体" w:hAnsi="宋体"/>
          <w:bCs/>
          <w:sz w:val="24"/>
          <w:u w:val="single"/>
        </w:rPr>
        <w:t>　　　　　　</w:t>
      </w:r>
      <w:r>
        <w:rPr>
          <w:rFonts w:hint="eastAsia" w:ascii="宋体" w:hAnsi="宋体"/>
          <w:bCs/>
          <w:sz w:val="24"/>
          <w:shd w:val="clear" w:color="auto" w:fill="FFFFFF"/>
        </w:rPr>
        <w:t>的</w:t>
      </w:r>
      <w:r>
        <w:rPr>
          <w:rFonts w:hint="eastAsia" w:ascii="宋体" w:hAnsi="宋体"/>
          <w:bCs/>
          <w:sz w:val="24"/>
          <w:u w:val="single"/>
          <w:shd w:val="clear" w:color="auto" w:fill="FFFFFF"/>
        </w:rPr>
        <w:t>（采购人名称）</w:t>
      </w:r>
      <w:r>
        <w:rPr>
          <w:rFonts w:hint="eastAsia" w:ascii="宋体" w:hAnsi="宋体"/>
          <w:bCs/>
          <w:sz w:val="24"/>
          <w:shd w:val="clear" w:color="auto" w:fill="FFFFFF"/>
        </w:rPr>
        <w:t>采购</w:t>
      </w:r>
      <w:r>
        <w:rPr>
          <w:rFonts w:hint="eastAsia" w:ascii="宋体" w:hAnsi="宋体"/>
          <w:sz w:val="24"/>
          <w:u w:val="single"/>
        </w:rPr>
        <w:t>　　　</w:t>
      </w:r>
      <w:r>
        <w:rPr>
          <w:rFonts w:hint="eastAsia" w:ascii="宋体" w:hAnsi="宋体"/>
          <w:bCs/>
          <w:sz w:val="24"/>
          <w:u w:val="single"/>
          <w:shd w:val="clear" w:color="auto" w:fill="FFFFFF"/>
        </w:rPr>
        <w:t>项目</w:t>
      </w:r>
      <w:r>
        <w:rPr>
          <w:rFonts w:hint="eastAsia" w:ascii="宋体" w:hAnsi="宋体"/>
          <w:bCs/>
          <w:sz w:val="24"/>
          <w:shd w:val="clear" w:color="auto" w:fill="FFFFFF"/>
        </w:rPr>
        <w:t>的投标和合同执行</w:t>
      </w:r>
      <w:r>
        <w:rPr>
          <w:rFonts w:hint="eastAsia" w:ascii="宋体" w:hAnsi="宋体"/>
          <w:bCs/>
          <w:sz w:val="24"/>
        </w:rPr>
        <w:t>，作为投标人代表以本公司的名义处理一切与之有关的事宜。</w:t>
      </w:r>
    </w:p>
    <w:p>
      <w:pPr>
        <w:spacing w:line="360" w:lineRule="auto"/>
        <w:ind w:left="2" w:firstLine="460" w:firstLineChars="192"/>
        <w:rPr>
          <w:rFonts w:ascii="宋体" w:hAnsi="宋体"/>
          <w:bCs/>
          <w:sz w:val="24"/>
        </w:rPr>
      </w:pPr>
      <w:r>
        <w:rPr>
          <w:rFonts w:hint="eastAsia" w:ascii="宋体" w:hAnsi="宋体"/>
          <w:sz w:val="24"/>
        </w:rPr>
        <w:t>代理人无转委权。</w:t>
      </w:r>
    </w:p>
    <w:p>
      <w:pPr>
        <w:spacing w:line="360" w:lineRule="auto"/>
        <w:ind w:left="2" w:firstLine="460" w:firstLineChars="192"/>
        <w:rPr>
          <w:rFonts w:ascii="宋体" w:hAnsi="宋体"/>
          <w:bCs/>
          <w:sz w:val="24"/>
        </w:rPr>
      </w:pPr>
      <w:r>
        <w:rPr>
          <w:rFonts w:hint="eastAsia" w:ascii="宋体" w:hAnsi="宋体"/>
          <w:bCs/>
          <w:sz w:val="24"/>
        </w:rPr>
        <w:t>本授权书于</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日签字生效，</w:t>
      </w:r>
      <w:r>
        <w:rPr>
          <w:rFonts w:hint="eastAsia" w:ascii="宋体" w:hAnsi="宋体"/>
          <w:sz w:val="24"/>
        </w:rPr>
        <w:t>有效日期：</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sz w:val="24"/>
        </w:rPr>
        <w:t xml:space="preserve">  </w:t>
      </w:r>
      <w:r>
        <w:rPr>
          <w:rFonts w:hint="eastAsia" w:ascii="宋体" w:hAnsi="宋体"/>
          <w:bCs/>
          <w:sz w:val="24"/>
        </w:rPr>
        <w:t>特此声明。</w:t>
      </w:r>
    </w:p>
    <w:p>
      <w:pPr>
        <w:spacing w:line="360" w:lineRule="auto"/>
        <w:rPr>
          <w:rFonts w:ascii="宋体" w:hAnsi="宋体"/>
          <w:bCs/>
          <w:sz w:val="24"/>
        </w:rPr>
      </w:pPr>
    </w:p>
    <w:p>
      <w:pPr>
        <w:spacing w:line="360" w:lineRule="auto"/>
        <w:ind w:firstLine="480" w:firstLineChars="200"/>
        <w:rPr>
          <w:rFonts w:ascii="宋体" w:hAnsi="宋体"/>
          <w:bCs/>
          <w:sz w:val="24"/>
        </w:rPr>
      </w:pPr>
      <w:r>
        <w:rPr>
          <w:rFonts w:hint="eastAsia" w:ascii="宋体" w:hAnsi="宋体"/>
          <w:bCs/>
          <w:sz w:val="24"/>
        </w:rPr>
        <w:t>法定代表人签字或盖章：</w:t>
      </w:r>
      <w:r>
        <w:rPr>
          <w:rFonts w:hint="eastAsia" w:ascii="宋体" w:hAnsi="宋体"/>
          <w:bCs/>
          <w:sz w:val="24"/>
          <w:u w:val="single"/>
        </w:rPr>
        <w:t xml:space="preserve">                                  </w:t>
      </w:r>
    </w:p>
    <w:p>
      <w:pPr>
        <w:spacing w:line="360" w:lineRule="auto"/>
        <w:ind w:firstLine="480" w:firstLineChars="200"/>
        <w:rPr>
          <w:rFonts w:ascii="宋体" w:hAnsi="宋体"/>
          <w:bCs/>
          <w:sz w:val="24"/>
        </w:rPr>
      </w:pPr>
      <w:r>
        <w:rPr>
          <w:rFonts w:hint="eastAsia" w:ascii="宋体" w:hAnsi="宋体"/>
          <w:bCs/>
          <w:sz w:val="24"/>
        </w:rPr>
        <w:t>职                务：</w:t>
      </w:r>
      <w:r>
        <w:rPr>
          <w:rFonts w:hint="eastAsia" w:ascii="宋体" w:hAnsi="宋体"/>
          <w:bCs/>
          <w:sz w:val="24"/>
          <w:u w:val="single"/>
        </w:rPr>
        <w:t xml:space="preserve">                                  </w:t>
      </w:r>
    </w:p>
    <w:p>
      <w:pPr>
        <w:spacing w:line="360" w:lineRule="auto"/>
        <w:rPr>
          <w:rFonts w:ascii="宋体" w:hAnsi="宋体"/>
          <w:bCs/>
          <w:sz w:val="24"/>
        </w:rPr>
      </w:pPr>
    </w:p>
    <w:p>
      <w:pPr>
        <w:spacing w:line="360" w:lineRule="auto"/>
        <w:ind w:firstLine="480" w:firstLineChars="200"/>
        <w:rPr>
          <w:rFonts w:ascii="宋体" w:hAnsi="宋体"/>
          <w:bCs/>
          <w:sz w:val="24"/>
        </w:rPr>
      </w:pPr>
      <w:r>
        <w:rPr>
          <w:rFonts w:hint="eastAsia" w:ascii="宋体" w:hAnsi="宋体"/>
          <w:bCs/>
          <w:sz w:val="24"/>
        </w:rPr>
        <w:t>投标人代表（授权代表）签字或盖章：</w:t>
      </w:r>
      <w:r>
        <w:rPr>
          <w:rFonts w:hint="eastAsia" w:ascii="宋体" w:hAnsi="宋体"/>
          <w:bCs/>
          <w:sz w:val="24"/>
          <w:u w:val="single"/>
        </w:rPr>
        <w:t xml:space="preserve">                    </w:t>
      </w:r>
    </w:p>
    <w:p>
      <w:pPr>
        <w:spacing w:line="360" w:lineRule="auto"/>
        <w:rPr>
          <w:rFonts w:ascii="宋体" w:hAnsi="宋体"/>
          <w:bCs/>
          <w:sz w:val="24"/>
          <w:u w:val="single"/>
        </w:rPr>
      </w:pPr>
      <w:r>
        <w:rPr>
          <w:rFonts w:ascii="宋体" w:hAnsi="宋体"/>
          <w:bCs/>
          <w:sz w:val="20"/>
          <w:u w:val="single"/>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99060</wp:posOffset>
                </wp:positionV>
                <wp:extent cx="1714500" cy="434340"/>
                <wp:effectExtent l="4445" t="4445" r="14605" b="18415"/>
                <wp:wrapNone/>
                <wp:docPr id="13" name="文本框 13"/>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加盖投标人公章</w:t>
                            </w:r>
                          </w:p>
                          <w:p/>
                        </w:txbxContent>
                      </wps:txbx>
                      <wps:bodyPr upright="1"/>
                    </wps:wsp>
                  </a:graphicData>
                </a:graphic>
              </wp:anchor>
            </w:drawing>
          </mc:Choice>
          <mc:Fallback>
            <w:pict>
              <v:shape id="_x0000_s1026" o:spid="_x0000_s1026" o:spt="202" type="#_x0000_t202" style="position:absolute;left:0pt;margin-left:171pt;margin-top:7.8pt;height:34.2pt;width:135pt;z-index:251662336;mso-width-relative:page;mso-height-relative:page;" fillcolor="#FFFFFF" filled="t" stroked="t" coordsize="21600,21600" o:gfxdata="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ZcAHXAAAACQEAAA8AAAAAAAAAAQAgAAAA&#10;IgAAAGRycy9kb3ducmV2LnhtbFBLAQIUABQAAAAIAIdO4kDJ2rgfDAIAADgEAAAOAAAAAAAAAAEA&#10;IAAAACYBAABkcnMvZTJvRG9jLnhtbFBLBQYAAAAABgAGAFkBAACkBQAAAAA=&#10;">
                <v:fill on="t" focussize="0,0"/>
                <v:stroke color="#000000" joinstyle="miter"/>
                <v:imagedata o:title=""/>
                <o:lock v:ext="edit" aspectratio="f"/>
                <v:textbox>
                  <w:txbxContent>
                    <w:p>
                      <w:pPr>
                        <w:jc w:val="center"/>
                      </w:pPr>
                      <w:r>
                        <w:rPr>
                          <w:rFonts w:hint="eastAsia"/>
                        </w:rPr>
                        <w:t>加盖投标人公章</w:t>
                      </w:r>
                    </w:p>
                    <w:p/>
                  </w:txbxContent>
                </v:textbox>
              </v:shape>
            </w:pict>
          </mc:Fallback>
        </mc:AlternateContent>
      </w:r>
    </w:p>
    <w:tbl>
      <w:tblPr>
        <w:tblStyle w:val="21"/>
        <w:tblW w:w="7740"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trPr>
        <w:tc>
          <w:tcPr>
            <w:tcW w:w="7740" w:type="dxa"/>
            <w:vAlign w:val="center"/>
          </w:tcPr>
          <w:p>
            <w:pPr>
              <w:spacing w:line="460" w:lineRule="exact"/>
              <w:ind w:right="-85" w:firstLine="589"/>
              <w:jc w:val="center"/>
              <w:rPr>
                <w:rFonts w:ascii="宋体" w:hAnsi="宋体"/>
              </w:rPr>
            </w:pPr>
            <w:r>
              <w:rPr>
                <w:rFonts w:hint="eastAsia" w:ascii="宋体" w:hAnsi="宋体"/>
              </w:rPr>
              <w:t>投标人代表身份证复印件（正、反双面）</w:t>
            </w:r>
          </w:p>
        </w:tc>
      </w:tr>
    </w:tbl>
    <w:p>
      <w:pPr>
        <w:pStyle w:val="4"/>
        <w:rPr>
          <w:rFonts w:hint="eastAsia"/>
          <w:bCs/>
          <w:sz w:val="24"/>
        </w:rPr>
      </w:pPr>
    </w:p>
    <w:p>
      <w:pPr>
        <w:rPr>
          <w:rFonts w:hint="eastAsia"/>
          <w:bCs/>
          <w:sz w:val="24"/>
        </w:rPr>
      </w:pPr>
    </w:p>
    <w:p>
      <w:pPr>
        <w:pStyle w:val="20"/>
        <w:rPr>
          <w:rFonts w:hint="eastAsia"/>
          <w:bCs/>
          <w:sz w:val="24"/>
        </w:rPr>
      </w:pPr>
    </w:p>
    <w:p>
      <w:pPr>
        <w:pStyle w:val="20"/>
        <w:rPr>
          <w:rFonts w:hint="eastAsia"/>
          <w:bCs/>
          <w:sz w:val="24"/>
        </w:rPr>
      </w:pPr>
    </w:p>
    <w:p>
      <w:pPr>
        <w:pStyle w:val="20"/>
        <w:rPr>
          <w:rFonts w:hint="eastAsia"/>
          <w:bCs/>
          <w:sz w:val="24"/>
        </w:rPr>
      </w:pPr>
    </w:p>
    <w:p>
      <w:pPr>
        <w:pStyle w:val="20"/>
        <w:rPr>
          <w:rFonts w:hint="eastAsia"/>
          <w:bCs/>
          <w:sz w:val="24"/>
        </w:rPr>
      </w:pPr>
    </w:p>
    <w:p>
      <w:pPr>
        <w:pStyle w:val="4"/>
        <w:jc w:val="left"/>
        <w:rPr>
          <w:bCs/>
          <w:sz w:val="24"/>
        </w:rPr>
      </w:pPr>
      <w:r>
        <w:rPr>
          <w:rFonts w:hint="eastAsia" w:cs="Times New Roman"/>
          <w:bCs/>
          <w:sz w:val="24"/>
          <w:lang w:val="en-US" w:eastAsia="zh-CN"/>
        </w:rPr>
        <w:t>八</w:t>
      </w:r>
      <w:r>
        <w:rPr>
          <w:rFonts w:hint="eastAsia" w:ascii="宋体" w:hAnsi="宋体"/>
          <w:b/>
          <w:sz w:val="30"/>
          <w:szCs w:val="30"/>
          <w:lang w:val="en-US" w:eastAsia="zh-CN"/>
        </w:rPr>
        <w:t>、</w:t>
      </w:r>
      <w:r>
        <w:rPr>
          <w:rFonts w:hint="eastAsia"/>
          <w:bCs/>
          <w:sz w:val="24"/>
        </w:rPr>
        <w:t xml:space="preserve"> 投标函</w:t>
      </w:r>
    </w:p>
    <w:p>
      <w:pPr>
        <w:pStyle w:val="4"/>
        <w:rPr>
          <w:bCs/>
          <w:sz w:val="24"/>
        </w:rPr>
      </w:pPr>
      <w:r>
        <w:rPr>
          <w:rFonts w:hint="eastAsia"/>
          <w:bCs/>
          <w:sz w:val="24"/>
        </w:rPr>
        <w:t xml:space="preserve">                           </w:t>
      </w:r>
    </w:p>
    <w:p>
      <w:pPr>
        <w:pStyle w:val="4"/>
        <w:ind w:firstLine="3306" w:firstLineChars="1372"/>
        <w:rPr>
          <w:bCs/>
          <w:sz w:val="24"/>
        </w:rPr>
      </w:pPr>
      <w:r>
        <w:rPr>
          <w:rFonts w:hint="eastAsia"/>
          <w:bCs/>
          <w:sz w:val="24"/>
        </w:rPr>
        <w:t xml:space="preserve">    投标函</w:t>
      </w:r>
    </w:p>
    <w:p>
      <w:pPr>
        <w:pStyle w:val="33"/>
        <w:rPr>
          <w:color w:val="auto"/>
        </w:rPr>
      </w:pPr>
    </w:p>
    <w:p>
      <w:pPr>
        <w:spacing w:line="360" w:lineRule="auto"/>
        <w:rPr>
          <w:rFonts w:hint="eastAsia" w:ascii="宋体" w:hAnsi="宋体" w:eastAsia="宋体"/>
          <w:sz w:val="24"/>
          <w:lang w:eastAsia="zh-CN"/>
        </w:rPr>
      </w:pPr>
      <w:r>
        <w:rPr>
          <w:rFonts w:hint="eastAsia" w:ascii="宋体" w:hAnsi="宋体"/>
          <w:sz w:val="24"/>
        </w:rPr>
        <w:t>致：</w:t>
      </w:r>
      <w:r>
        <w:rPr>
          <w:rFonts w:hint="eastAsia" w:ascii="宋体" w:hAnsi="宋体"/>
          <w:sz w:val="24"/>
          <w:lang w:eastAsia="zh-CN"/>
        </w:rPr>
        <w:t>广州南沙科技投资有限公司</w:t>
      </w:r>
    </w:p>
    <w:p>
      <w:pPr>
        <w:pStyle w:val="10"/>
        <w:spacing w:line="360" w:lineRule="auto"/>
        <w:ind w:firstLine="480" w:firstLineChars="200"/>
        <w:rPr>
          <w:rFonts w:hAnsi="宋体"/>
          <w:sz w:val="24"/>
          <w:szCs w:val="24"/>
        </w:rPr>
      </w:pPr>
      <w:r>
        <w:rPr>
          <w:rFonts w:hint="eastAsia" w:hAnsi="宋体"/>
          <w:sz w:val="24"/>
          <w:szCs w:val="24"/>
        </w:rPr>
        <w:t>为响应你方组织的</w:t>
      </w:r>
      <w:r>
        <w:rPr>
          <w:rFonts w:hint="eastAsia" w:hAnsi="宋体"/>
          <w:sz w:val="24"/>
          <w:szCs w:val="24"/>
          <w:u w:val="single"/>
        </w:rPr>
        <w:t xml:space="preserve">  </w:t>
      </w:r>
      <w:bookmarkStart w:id="116" w:name="fsmingc_6"/>
      <w:r>
        <w:rPr>
          <w:rFonts w:hint="eastAsia" w:hAnsi="宋体"/>
          <w:sz w:val="24"/>
          <w:szCs w:val="24"/>
          <w:u w:val="single"/>
        </w:rPr>
        <w:t>(项目名称)</w:t>
      </w:r>
      <w:bookmarkEnd w:id="116"/>
      <w:r>
        <w:rPr>
          <w:rFonts w:hint="eastAsia" w:hAnsi="宋体"/>
          <w:sz w:val="24"/>
          <w:szCs w:val="24"/>
          <w:u w:val="single"/>
        </w:rPr>
        <w:t xml:space="preserve">  </w:t>
      </w:r>
      <w:r>
        <w:rPr>
          <w:rFonts w:hint="eastAsia" w:hAnsi="宋体"/>
          <w:kern w:val="28"/>
          <w:sz w:val="24"/>
          <w:szCs w:val="24"/>
        </w:rPr>
        <w:t>项目</w:t>
      </w:r>
      <w:r>
        <w:rPr>
          <w:rFonts w:hint="eastAsia" w:hAnsi="宋体"/>
          <w:sz w:val="24"/>
          <w:szCs w:val="24"/>
        </w:rPr>
        <w:t>的采购，我方愿参与投标。</w:t>
      </w:r>
    </w:p>
    <w:p>
      <w:pPr>
        <w:pStyle w:val="10"/>
        <w:spacing w:line="360" w:lineRule="auto"/>
        <w:ind w:firstLine="480" w:firstLineChars="200"/>
        <w:rPr>
          <w:rFonts w:hAnsi="宋体"/>
          <w:sz w:val="24"/>
          <w:szCs w:val="24"/>
        </w:rPr>
      </w:pPr>
      <w:r>
        <w:rPr>
          <w:rFonts w:hint="eastAsia" w:hAnsi="宋体"/>
          <w:sz w:val="24"/>
          <w:szCs w:val="24"/>
        </w:rPr>
        <w:t>我方确认收到贵方提供的</w:t>
      </w:r>
      <w:r>
        <w:rPr>
          <w:rFonts w:hAnsi="宋体"/>
          <w:kern w:val="28"/>
          <w:sz w:val="24"/>
          <w:szCs w:val="24"/>
          <w:u w:val="single"/>
        </w:rPr>
        <w:t xml:space="preserve">  </w:t>
      </w:r>
      <w:bookmarkStart w:id="117" w:name="fsmingc_7"/>
      <w:r>
        <w:rPr>
          <w:rFonts w:hint="eastAsia" w:hAnsi="宋体"/>
          <w:kern w:val="28"/>
          <w:sz w:val="24"/>
          <w:szCs w:val="24"/>
          <w:u w:val="single"/>
        </w:rPr>
        <w:t>(项目名称)</w:t>
      </w:r>
      <w:bookmarkEnd w:id="117"/>
      <w:r>
        <w:rPr>
          <w:rFonts w:hAnsi="宋体"/>
          <w:kern w:val="28"/>
          <w:sz w:val="24"/>
          <w:szCs w:val="24"/>
          <w:u w:val="single"/>
        </w:rPr>
        <w:t xml:space="preserve">  </w:t>
      </w:r>
      <w:r>
        <w:rPr>
          <w:rFonts w:hint="eastAsia" w:hAnsi="宋体"/>
          <w:sz w:val="24"/>
          <w:szCs w:val="24"/>
        </w:rPr>
        <w:t>的采购文件的全部内容。</w:t>
      </w:r>
    </w:p>
    <w:p>
      <w:pPr>
        <w:pStyle w:val="10"/>
        <w:spacing w:line="360" w:lineRule="auto"/>
        <w:ind w:firstLine="480" w:firstLineChars="200"/>
        <w:rPr>
          <w:rFonts w:hAnsi="宋体"/>
          <w:sz w:val="24"/>
          <w:szCs w:val="24"/>
        </w:rPr>
      </w:pPr>
      <w:r>
        <w:rPr>
          <w:rFonts w:hint="eastAsia" w:hAnsi="宋体"/>
          <w:sz w:val="24"/>
          <w:szCs w:val="24"/>
        </w:rPr>
        <w:t>我方在参与投标前已详细研究了采购文件的所有内容，包括澄清、修改文件（如有）和所有已提供的参考资料以及有关附件，我方完全明白并认为此采购文件没有倾向性，也不存在排斥潜在投标人的内容，我方同意采购文件的相关条款，放弃对采购文件提出误解和质疑的一切权力。</w:t>
      </w:r>
    </w:p>
    <w:p>
      <w:pPr>
        <w:spacing w:line="360" w:lineRule="auto"/>
        <w:ind w:firstLine="480" w:firstLineChars="200"/>
        <w:rPr>
          <w:rFonts w:ascii="宋体" w:hAnsi="宋体"/>
          <w:sz w:val="24"/>
        </w:rPr>
      </w:pPr>
      <w:r>
        <w:rPr>
          <w:rFonts w:hint="eastAsia" w:ascii="宋体" w:hAnsi="宋体"/>
          <w:sz w:val="24"/>
          <w:u w:val="single"/>
        </w:rPr>
        <w:t xml:space="preserve">      </w:t>
      </w:r>
      <w:r>
        <w:rPr>
          <w:rFonts w:hint="eastAsia" w:ascii="宋体" w:hAnsi="宋体"/>
          <w:i/>
          <w:sz w:val="24"/>
          <w:u w:val="single"/>
        </w:rPr>
        <w:t>(投标人名称)</w:t>
      </w:r>
      <w:r>
        <w:rPr>
          <w:rFonts w:hint="eastAsia" w:ascii="宋体" w:hAnsi="宋体"/>
          <w:sz w:val="24"/>
          <w:u w:val="single"/>
        </w:rPr>
        <w:t xml:space="preserve">      </w:t>
      </w:r>
      <w:r>
        <w:rPr>
          <w:rFonts w:hint="eastAsia" w:ascii="宋体" w:hAnsi="宋体"/>
          <w:sz w:val="24"/>
        </w:rPr>
        <w:t>作为投标人正式授权</w:t>
      </w:r>
      <w:r>
        <w:rPr>
          <w:rFonts w:hint="eastAsia" w:ascii="宋体" w:hAnsi="宋体"/>
          <w:sz w:val="24"/>
          <w:u w:val="single"/>
        </w:rPr>
        <w:t xml:space="preserve">  </w:t>
      </w:r>
      <w:r>
        <w:rPr>
          <w:rFonts w:hint="eastAsia" w:ascii="宋体" w:hAnsi="宋体"/>
          <w:i/>
          <w:sz w:val="24"/>
          <w:u w:val="single"/>
        </w:rPr>
        <w:t xml:space="preserve">(授权代表全名, 职务)  </w:t>
      </w:r>
      <w:r>
        <w:rPr>
          <w:rFonts w:hint="eastAsia" w:ascii="宋体" w:hAnsi="宋体"/>
          <w:sz w:val="24"/>
        </w:rPr>
        <w:t>代表我方全权处理有关本投标的一切事宜。</w:t>
      </w:r>
    </w:p>
    <w:p>
      <w:pPr>
        <w:spacing w:line="360" w:lineRule="auto"/>
        <w:ind w:firstLine="480" w:firstLineChars="200"/>
        <w:rPr>
          <w:rFonts w:ascii="宋体" w:hAnsi="宋体"/>
          <w:sz w:val="24"/>
        </w:rPr>
      </w:pPr>
      <w:r>
        <w:rPr>
          <w:rFonts w:hint="eastAsia" w:ascii="宋体" w:hAnsi="宋体"/>
          <w:sz w:val="24"/>
        </w:rPr>
        <w:t>在此提交的投标文件，正本壹份，副本肆份。</w:t>
      </w:r>
    </w:p>
    <w:p>
      <w:pPr>
        <w:pStyle w:val="10"/>
        <w:spacing w:line="360" w:lineRule="auto"/>
        <w:ind w:firstLine="480" w:firstLineChars="200"/>
        <w:rPr>
          <w:rFonts w:hAnsi="宋体"/>
          <w:sz w:val="24"/>
          <w:szCs w:val="24"/>
        </w:rPr>
      </w:pPr>
      <w:r>
        <w:rPr>
          <w:rFonts w:hint="eastAsia" w:hAnsi="宋体"/>
          <w:sz w:val="24"/>
          <w:szCs w:val="24"/>
        </w:rPr>
        <w:t>我方已完全明白采购文件的所有条款要求，并申明如下：</w:t>
      </w:r>
    </w:p>
    <w:p>
      <w:pPr>
        <w:pStyle w:val="10"/>
        <w:spacing w:line="360" w:lineRule="auto"/>
        <w:ind w:firstLine="480" w:firstLineChars="200"/>
        <w:rPr>
          <w:rFonts w:hAnsi="宋体"/>
          <w:sz w:val="24"/>
          <w:szCs w:val="24"/>
        </w:rPr>
      </w:pPr>
      <w:r>
        <w:rPr>
          <w:rFonts w:hint="eastAsia" w:hAnsi="宋体"/>
          <w:sz w:val="24"/>
          <w:szCs w:val="24"/>
        </w:rPr>
        <w:t>（一）按采购文件提供的相关服务的投标总价详见《开标一览表(报价表)》。</w:t>
      </w:r>
    </w:p>
    <w:p>
      <w:pPr>
        <w:pStyle w:val="10"/>
        <w:spacing w:line="360" w:lineRule="auto"/>
        <w:ind w:firstLine="480" w:firstLineChars="200"/>
        <w:rPr>
          <w:rFonts w:hAnsi="宋体"/>
          <w:sz w:val="24"/>
          <w:szCs w:val="24"/>
        </w:rPr>
      </w:pPr>
      <w:r>
        <w:rPr>
          <w:rFonts w:hint="eastAsia" w:hAnsi="宋体"/>
          <w:sz w:val="24"/>
          <w:szCs w:val="24"/>
        </w:rPr>
        <w:t>（二）本投标文件的有效期为投标截止时间起90天。如中标，有效期将延至合同终止之日为止。在此提交的资格证明文件均至投标截止日有效，如有在投标有效期内失效的，我方承诺在中标后补齐一切手续，保证所有资格证明文件能在签订采购合同时直至采购合同终止日有效。</w:t>
      </w:r>
    </w:p>
    <w:p>
      <w:pPr>
        <w:pStyle w:val="10"/>
        <w:spacing w:line="360" w:lineRule="auto"/>
        <w:ind w:firstLine="480" w:firstLineChars="200"/>
        <w:rPr>
          <w:rFonts w:hAnsi="宋体"/>
          <w:sz w:val="24"/>
          <w:szCs w:val="24"/>
        </w:rPr>
      </w:pPr>
      <w:r>
        <w:rPr>
          <w:rFonts w:hint="eastAsia" w:hAnsi="宋体"/>
          <w:sz w:val="24"/>
          <w:szCs w:val="24"/>
        </w:rPr>
        <w:t>（三）我方明白并同意，在规定的投标截止日之后，投标有效期之内不得撤回投标。</w:t>
      </w:r>
    </w:p>
    <w:p>
      <w:pPr>
        <w:pStyle w:val="10"/>
        <w:spacing w:line="360" w:lineRule="auto"/>
        <w:ind w:firstLine="480" w:firstLineChars="200"/>
        <w:rPr>
          <w:rFonts w:hAnsi="宋体"/>
          <w:sz w:val="24"/>
          <w:szCs w:val="24"/>
        </w:rPr>
      </w:pPr>
      <w:r>
        <w:rPr>
          <w:rFonts w:hint="eastAsia" w:hAnsi="宋体"/>
          <w:sz w:val="24"/>
          <w:szCs w:val="24"/>
        </w:rPr>
        <w:t>（四）我方同意按照贵方可能提出的要求而提供与投标有关的任何其它数据、信息或资料。</w:t>
      </w:r>
    </w:p>
    <w:p>
      <w:pPr>
        <w:pStyle w:val="10"/>
        <w:spacing w:line="360" w:lineRule="auto"/>
        <w:ind w:firstLine="480" w:firstLineChars="200"/>
        <w:rPr>
          <w:rFonts w:hAnsi="宋体"/>
          <w:sz w:val="24"/>
          <w:szCs w:val="24"/>
        </w:rPr>
      </w:pPr>
      <w:r>
        <w:rPr>
          <w:rFonts w:hint="eastAsia" w:hAnsi="宋体"/>
          <w:sz w:val="24"/>
          <w:szCs w:val="24"/>
        </w:rPr>
        <w:t>（五）我方理解贵方不一定接受最低投标价或任何贵方可能收到的投标。</w:t>
      </w:r>
    </w:p>
    <w:p>
      <w:pPr>
        <w:pStyle w:val="10"/>
        <w:spacing w:line="360" w:lineRule="auto"/>
        <w:ind w:firstLine="480" w:firstLineChars="200"/>
        <w:rPr>
          <w:rFonts w:hAnsi="宋体"/>
          <w:sz w:val="24"/>
          <w:szCs w:val="24"/>
        </w:rPr>
      </w:pPr>
      <w:r>
        <w:rPr>
          <w:rFonts w:hint="eastAsia" w:hAnsi="宋体"/>
          <w:sz w:val="24"/>
          <w:szCs w:val="24"/>
        </w:rPr>
        <w:t>（六）我方如果中标，将保证履行采购文件及其澄清、修改文件（如有）中的全部责任和义务，按质、按量、按期完成《用户需求书》及《合同书》中的全部任务。</w:t>
      </w:r>
    </w:p>
    <w:p>
      <w:pPr>
        <w:pStyle w:val="10"/>
        <w:tabs>
          <w:tab w:val="left" w:pos="9360"/>
        </w:tabs>
        <w:spacing w:line="360" w:lineRule="auto"/>
        <w:ind w:firstLine="480" w:firstLineChars="200"/>
        <w:rPr>
          <w:rFonts w:hAnsi="宋体"/>
          <w:sz w:val="24"/>
          <w:szCs w:val="24"/>
        </w:rPr>
      </w:pPr>
      <w:r>
        <w:rPr>
          <w:rFonts w:hint="eastAsia" w:hAnsi="宋体"/>
          <w:sz w:val="24"/>
          <w:szCs w:val="24"/>
        </w:rPr>
        <w:t>（八）我方是在法律、财务和运作上独立于采购人的投标人，在此保证所提交的所有文件和全部说明是真实的和正确的。</w:t>
      </w:r>
    </w:p>
    <w:p>
      <w:pPr>
        <w:spacing w:line="360" w:lineRule="auto"/>
        <w:ind w:firstLine="410" w:firstLineChars="171"/>
        <w:rPr>
          <w:rFonts w:ascii="宋体" w:hAnsi="宋体"/>
          <w:sz w:val="24"/>
        </w:rPr>
      </w:pPr>
      <w:r>
        <w:rPr>
          <w:rFonts w:hint="eastAsia" w:ascii="宋体" w:hAnsi="宋体"/>
          <w:sz w:val="24"/>
        </w:rPr>
        <w:t>（九）我方投标报价已包含应向知识产权所有权人支付的所有相关税费，并保证采购人在中国使用我方提供的货物或服务时，如有第三方提出侵犯其知识产权主张的，责任由我方承担。</w:t>
      </w:r>
    </w:p>
    <w:p>
      <w:pPr>
        <w:spacing w:line="360" w:lineRule="auto"/>
        <w:ind w:firstLine="480" w:firstLineChars="200"/>
        <w:rPr>
          <w:rFonts w:ascii="宋体" w:hAnsi="宋体"/>
          <w:sz w:val="24"/>
        </w:rPr>
      </w:pPr>
      <w:r>
        <w:rPr>
          <w:rFonts w:hint="eastAsia" w:ascii="宋体" w:hAnsi="宋体"/>
          <w:sz w:val="24"/>
        </w:rPr>
        <w:t>（十）我方对在本函及投标文件中所作的所有承诺承担法律责任。</w:t>
      </w:r>
    </w:p>
    <w:p>
      <w:pPr>
        <w:spacing w:line="360" w:lineRule="auto"/>
        <w:ind w:firstLine="720" w:firstLineChars="300"/>
        <w:rPr>
          <w:rFonts w:ascii="宋体" w:hAnsi="宋体"/>
          <w:sz w:val="24"/>
        </w:rPr>
      </w:pPr>
      <w:r>
        <w:rPr>
          <w:rFonts w:hint="eastAsia" w:ascii="宋体" w:hAnsi="宋体"/>
          <w:sz w:val="24"/>
        </w:rPr>
        <w:t>以上内容如有虚假或与事实不符的，评审委员会可将我方做无效投标处理，我方愿意承担相应的法律责任。</w:t>
      </w:r>
    </w:p>
    <w:p>
      <w:pPr>
        <w:spacing w:line="360" w:lineRule="auto"/>
        <w:rPr>
          <w:rFonts w:ascii="宋体" w:hAnsi="宋体"/>
          <w:sz w:val="24"/>
        </w:rPr>
      </w:pPr>
      <w:r>
        <w:rPr>
          <w:rFonts w:hint="eastAsia" w:ascii="宋体" w:hAnsi="宋体"/>
          <w:sz w:val="24"/>
        </w:rPr>
        <w:t xml:space="preserve">    </w:t>
      </w:r>
    </w:p>
    <w:p>
      <w:pPr>
        <w:spacing w:line="360" w:lineRule="auto"/>
        <w:ind w:firstLine="480" w:firstLineChars="200"/>
        <w:rPr>
          <w:rFonts w:ascii="宋体" w:hAnsi="宋体"/>
          <w:sz w:val="24"/>
          <w:u w:val="single"/>
        </w:rPr>
      </w:pPr>
      <w:r>
        <w:rPr>
          <w:rFonts w:hint="eastAsia" w:ascii="宋体" w:hAnsi="宋体"/>
          <w:sz w:val="24"/>
        </w:rPr>
        <w:t>投 标 人 名 称：</w:t>
      </w:r>
      <w:r>
        <w:rPr>
          <w:rFonts w:ascii="宋体" w:hAnsi="宋体"/>
          <w:sz w:val="24"/>
          <w:u w:val="single"/>
        </w:rPr>
        <w:t xml:space="preserve">      </w:t>
      </w:r>
      <w:r>
        <w:rPr>
          <w:rFonts w:hint="eastAsia" w:ascii="宋体" w:hAnsi="宋体"/>
          <w:sz w:val="24"/>
          <w:u w:val="single"/>
        </w:rPr>
        <w:t xml:space="preserve">                           </w:t>
      </w:r>
    </w:p>
    <w:p>
      <w:pPr>
        <w:pStyle w:val="6"/>
      </w:pPr>
    </w:p>
    <w:p>
      <w:pPr>
        <w:spacing w:line="360" w:lineRule="auto"/>
        <w:ind w:firstLine="480" w:firstLineChars="200"/>
        <w:rPr>
          <w:rFonts w:ascii="宋体" w:hAnsi="宋体"/>
          <w:sz w:val="24"/>
        </w:rPr>
      </w:pPr>
      <w:r>
        <w:rPr>
          <w:rFonts w:hint="eastAsia" w:ascii="宋体" w:hAnsi="宋体"/>
          <w:sz w:val="24"/>
        </w:rPr>
        <w:t>法定代表人或投标授权代表（签字或签章）：</w:t>
      </w:r>
      <w:r>
        <w:rPr>
          <w:rFonts w:hint="eastAsia" w:ascii="宋体" w:hAnsi="宋体"/>
          <w:sz w:val="24"/>
          <w:u w:val="single"/>
        </w:rPr>
        <w:t xml:space="preserve">                            </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投标人（公章）：</w:t>
      </w:r>
    </w:p>
    <w:p>
      <w:pPr>
        <w:spacing w:line="360" w:lineRule="auto"/>
        <w:rPr>
          <w:rFonts w:ascii="宋体" w:hAnsi="宋体"/>
          <w:sz w:val="24"/>
          <w:u w:val="single"/>
        </w:rPr>
      </w:pPr>
    </w:p>
    <w:p>
      <w:pPr>
        <w:spacing w:line="360" w:lineRule="auto"/>
        <w:ind w:firstLine="480" w:firstLineChars="200"/>
        <w:rPr>
          <w:rFonts w:ascii="宋体" w:hAnsi="宋体"/>
          <w:sz w:val="24"/>
        </w:rPr>
      </w:pPr>
      <w:r>
        <w:rPr>
          <w:rFonts w:hint="eastAsia" w:ascii="宋体" w:hAnsi="宋体"/>
          <w:sz w:val="24"/>
        </w:rPr>
        <w:t>电话：</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传真：</w:t>
      </w:r>
    </w:p>
    <w:p>
      <w:pPr>
        <w:pStyle w:val="4"/>
        <w:numPr>
          <w:ilvl w:val="0"/>
          <w:numId w:val="0"/>
        </w:numPr>
        <w:ind w:leftChars="0"/>
        <w:jc w:val="left"/>
        <w:rPr>
          <w:bCs/>
          <w:sz w:val="24"/>
        </w:rPr>
      </w:pPr>
      <w:r>
        <w:br w:type="page"/>
      </w:r>
      <w:bookmarkStart w:id="118" w:name="_Toc86065029"/>
      <w:bookmarkStart w:id="119" w:name="_Toc25224019"/>
      <w:bookmarkStart w:id="120" w:name="_Toc55816096"/>
      <w:bookmarkStart w:id="121" w:name="_Toc109467909"/>
      <w:bookmarkStart w:id="122" w:name="_Toc41448359"/>
      <w:bookmarkStart w:id="123" w:name="_Toc28489497"/>
      <w:bookmarkStart w:id="124" w:name="_Toc35834913"/>
      <w:bookmarkStart w:id="125" w:name="_Toc14450839"/>
      <w:bookmarkStart w:id="126" w:name="_Toc34535359"/>
      <w:r>
        <w:rPr>
          <w:rFonts w:hint="eastAsia" w:cs="Times New Roman"/>
          <w:bCs/>
          <w:sz w:val="24"/>
          <w:lang w:val="en-US" w:eastAsia="zh-CN"/>
        </w:rPr>
        <w:t>九</w:t>
      </w:r>
      <w:r>
        <w:rPr>
          <w:rFonts w:hint="eastAsia" w:ascii="宋体" w:hAnsi="宋体"/>
          <w:b/>
          <w:sz w:val="30"/>
          <w:szCs w:val="30"/>
          <w:lang w:val="en-US" w:eastAsia="zh-CN"/>
        </w:rPr>
        <w:t>、</w:t>
      </w:r>
      <w:r>
        <w:rPr>
          <w:rFonts w:hint="eastAsia"/>
          <w:bCs/>
          <w:sz w:val="24"/>
        </w:rPr>
        <w:t xml:space="preserve"> 投标人基本情况表</w:t>
      </w:r>
    </w:p>
    <w:p>
      <w:pPr>
        <w:pStyle w:val="4"/>
        <w:rPr>
          <w:bCs/>
          <w:sz w:val="24"/>
        </w:rPr>
      </w:pPr>
      <w:r>
        <w:rPr>
          <w:rFonts w:hint="eastAsia"/>
          <w:bCs/>
          <w:sz w:val="24"/>
        </w:rPr>
        <w:t xml:space="preserve">                      </w:t>
      </w:r>
    </w:p>
    <w:p>
      <w:pPr>
        <w:pStyle w:val="4"/>
        <w:ind w:firstLine="3188" w:firstLineChars="1323"/>
        <w:rPr>
          <w:bCs/>
          <w:sz w:val="24"/>
        </w:rPr>
      </w:pPr>
      <w:r>
        <w:rPr>
          <w:rFonts w:hint="eastAsia"/>
          <w:bCs/>
          <w:sz w:val="24"/>
        </w:rPr>
        <w:t>投标人基本情况表</w:t>
      </w:r>
      <w:bookmarkEnd w:id="118"/>
      <w:bookmarkEnd w:id="119"/>
      <w:bookmarkEnd w:id="120"/>
      <w:bookmarkEnd w:id="121"/>
      <w:bookmarkEnd w:id="122"/>
    </w:p>
    <w:p>
      <w:pPr>
        <w:pStyle w:val="33"/>
        <w:rPr>
          <w:color w:val="auto"/>
        </w:rPr>
      </w:pPr>
    </w:p>
    <w:p>
      <w:pPr>
        <w:spacing w:line="360" w:lineRule="auto"/>
        <w:rPr>
          <w:rFonts w:ascii="宋体" w:hAnsi="宋体"/>
          <w:sz w:val="24"/>
          <w:u w:val="single"/>
        </w:rPr>
      </w:pPr>
      <w:r>
        <w:rPr>
          <w:rFonts w:hint="eastAsia" w:ascii="宋体" w:hAnsi="宋体"/>
          <w:sz w:val="24"/>
        </w:rPr>
        <w:t>1、公司名称：</w:t>
      </w:r>
      <w:r>
        <w:rPr>
          <w:rFonts w:hint="eastAsia" w:ascii="宋体" w:hAnsi="宋体"/>
          <w:sz w:val="24"/>
          <w:u w:val="single"/>
        </w:rPr>
        <w:t xml:space="preserve">                    </w:t>
      </w:r>
      <w:r>
        <w:rPr>
          <w:rFonts w:hint="eastAsia" w:ascii="宋体" w:hAnsi="宋体"/>
          <w:sz w:val="24"/>
        </w:rPr>
        <w:t xml:space="preserve">            电话号码：</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2、地    址：</w:t>
      </w:r>
      <w:r>
        <w:rPr>
          <w:rFonts w:hint="eastAsia" w:ascii="宋体" w:hAnsi="宋体"/>
          <w:sz w:val="24"/>
          <w:u w:val="single"/>
        </w:rPr>
        <w:t xml:space="preserve">                    </w:t>
      </w:r>
      <w:r>
        <w:rPr>
          <w:rFonts w:hint="eastAsia" w:ascii="宋体" w:hAnsi="宋体"/>
          <w:sz w:val="24"/>
        </w:rPr>
        <w:t xml:space="preserve">            传    真：</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3、注册资金：</w:t>
      </w:r>
      <w:r>
        <w:rPr>
          <w:rFonts w:hint="eastAsia" w:ascii="宋体" w:hAnsi="宋体"/>
          <w:sz w:val="24"/>
          <w:u w:val="single"/>
        </w:rPr>
        <w:t xml:space="preserve">                    </w:t>
      </w:r>
      <w:r>
        <w:rPr>
          <w:rFonts w:hint="eastAsia" w:ascii="宋体" w:hAnsi="宋体"/>
          <w:sz w:val="24"/>
        </w:rPr>
        <w:t xml:space="preserve">            经济性质：</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4、公司经营及资金状况：</w:t>
      </w:r>
    </w:p>
    <w:p>
      <w:pPr>
        <w:spacing w:line="360" w:lineRule="auto"/>
        <w:rPr>
          <w:rFonts w:ascii="宋体" w:hAnsi="宋体"/>
          <w:sz w:val="24"/>
        </w:rPr>
      </w:pPr>
      <w:r>
        <w:rPr>
          <w:rFonts w:hint="eastAsia" w:ascii="宋体" w:hAnsi="宋体"/>
          <w:sz w:val="24"/>
        </w:rPr>
        <w:t>经营范围：</w:t>
      </w:r>
    </w:p>
    <w:p>
      <w:pPr>
        <w:spacing w:line="360" w:lineRule="auto"/>
        <w:rPr>
          <w:rFonts w:ascii="宋体" w:hAnsi="宋体"/>
          <w:sz w:val="24"/>
        </w:rPr>
      </w:pPr>
      <w:r>
        <w:rPr>
          <w:rFonts w:hint="eastAsia" w:ascii="宋体" w:hAnsi="宋体"/>
          <w:sz w:val="24"/>
        </w:rPr>
        <w:t>5、公司开户银行名称及帐户：                  地    址：</w:t>
      </w:r>
    </w:p>
    <w:p>
      <w:pPr>
        <w:pStyle w:val="33"/>
        <w:rPr>
          <w:color w:val="auto"/>
        </w:rPr>
      </w:pPr>
      <w:r>
        <w:rPr>
          <w:rFonts w:hint="eastAsia"/>
          <w:color w:val="auto"/>
        </w:rPr>
        <w:t xml:space="preserve">   名称：                    </w:t>
      </w:r>
    </w:p>
    <w:p>
      <w:pPr>
        <w:spacing w:line="360" w:lineRule="auto"/>
        <w:ind w:firstLine="420" w:firstLineChars="175"/>
        <w:rPr>
          <w:rFonts w:ascii="宋体" w:hAnsi="宋体"/>
          <w:sz w:val="24"/>
          <w:u w:val="single"/>
        </w:rPr>
      </w:pPr>
      <w:r>
        <w:rPr>
          <w:rFonts w:hint="eastAsia" w:ascii="宋体" w:hAnsi="宋体"/>
          <w:sz w:val="24"/>
        </w:rPr>
        <w:t>帐户：</w:t>
      </w:r>
    </w:p>
    <w:p>
      <w:pPr>
        <w:numPr>
          <w:ilvl w:val="0"/>
          <w:numId w:val="16"/>
        </w:numPr>
        <w:spacing w:line="360" w:lineRule="auto"/>
        <w:rPr>
          <w:rFonts w:ascii="宋体" w:hAnsi="宋体"/>
          <w:sz w:val="24"/>
        </w:rPr>
      </w:pPr>
      <w:r>
        <w:rPr>
          <w:rFonts w:hint="eastAsia" w:ascii="宋体" w:hAnsi="宋体"/>
          <w:sz w:val="24"/>
        </w:rPr>
        <w:t>投标人获得资质和代理权限资格证书复印件一览表</w:t>
      </w:r>
    </w:p>
    <w:tbl>
      <w:tblPr>
        <w:tblStyle w:val="21"/>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vAlign w:val="center"/>
          </w:tcPr>
          <w:p>
            <w:pPr>
              <w:spacing w:line="360" w:lineRule="auto"/>
              <w:jc w:val="center"/>
              <w:rPr>
                <w:rFonts w:ascii="宋体" w:hAnsi="宋体"/>
                <w:sz w:val="24"/>
              </w:rPr>
            </w:pPr>
            <w:r>
              <w:rPr>
                <w:rFonts w:hint="eastAsia" w:ascii="宋体" w:hAnsi="宋体"/>
                <w:sz w:val="24"/>
              </w:rPr>
              <w:t>证书名称</w:t>
            </w:r>
          </w:p>
        </w:tc>
        <w:tc>
          <w:tcPr>
            <w:tcW w:w="2350" w:type="dxa"/>
            <w:vAlign w:val="center"/>
          </w:tcPr>
          <w:p>
            <w:pPr>
              <w:spacing w:line="360" w:lineRule="auto"/>
              <w:jc w:val="center"/>
              <w:rPr>
                <w:rFonts w:ascii="宋体" w:hAnsi="宋体"/>
                <w:sz w:val="24"/>
              </w:rPr>
            </w:pPr>
            <w:r>
              <w:rPr>
                <w:rFonts w:hint="eastAsia" w:ascii="宋体" w:hAnsi="宋体"/>
                <w:sz w:val="24"/>
              </w:rPr>
              <w:t>发证单位</w:t>
            </w:r>
          </w:p>
        </w:tc>
        <w:tc>
          <w:tcPr>
            <w:tcW w:w="2350" w:type="dxa"/>
            <w:vAlign w:val="center"/>
          </w:tcPr>
          <w:p>
            <w:pPr>
              <w:spacing w:line="360" w:lineRule="auto"/>
              <w:jc w:val="center"/>
              <w:rPr>
                <w:rFonts w:ascii="宋体" w:hAnsi="宋体"/>
                <w:sz w:val="24"/>
              </w:rPr>
            </w:pPr>
            <w:r>
              <w:rPr>
                <w:rFonts w:hint="eastAsia" w:ascii="宋体" w:hAnsi="宋体"/>
                <w:sz w:val="24"/>
              </w:rPr>
              <w:t>证书等级</w:t>
            </w:r>
          </w:p>
        </w:tc>
        <w:tc>
          <w:tcPr>
            <w:tcW w:w="2350" w:type="dxa"/>
            <w:vAlign w:val="center"/>
          </w:tcPr>
          <w:p>
            <w:pPr>
              <w:spacing w:line="360" w:lineRule="auto"/>
              <w:jc w:val="center"/>
              <w:rPr>
                <w:rFonts w:ascii="宋体" w:hAnsi="宋体"/>
                <w:sz w:val="24"/>
              </w:rPr>
            </w:pPr>
            <w:r>
              <w:rPr>
                <w:rFonts w:hint="eastAsia" w:ascii="宋体" w:hAnsi="宋体"/>
                <w:sz w:val="24"/>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r>
    </w:tbl>
    <w:p>
      <w:pPr>
        <w:spacing w:line="360" w:lineRule="auto"/>
        <w:rPr>
          <w:rFonts w:ascii="宋体" w:hAnsi="宋体"/>
          <w:sz w:val="24"/>
        </w:rPr>
      </w:pPr>
      <w:r>
        <w:rPr>
          <w:rFonts w:hint="eastAsia" w:ascii="宋体" w:hAnsi="宋体"/>
          <w:sz w:val="24"/>
        </w:rPr>
        <w:t>7、营业执照注册号：</w:t>
      </w:r>
    </w:p>
    <w:p>
      <w:pPr>
        <w:spacing w:line="360" w:lineRule="auto"/>
        <w:rPr>
          <w:rFonts w:ascii="宋体" w:hAnsi="宋体"/>
          <w:sz w:val="24"/>
        </w:rPr>
      </w:pPr>
      <w:r>
        <w:rPr>
          <w:rFonts w:hint="eastAsia" w:ascii="宋体" w:hAnsi="宋体"/>
          <w:sz w:val="24"/>
        </w:rPr>
        <w:t>我/我们声明以上所述准确无误，您有权进行您认为有必要的所有调查。</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投标人全称（盖公章）：</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法定代表人或投标授权代表（签字或签章）：</w:t>
      </w:r>
    </w:p>
    <w:p>
      <w:pPr>
        <w:spacing w:line="360" w:lineRule="auto"/>
        <w:rPr>
          <w:rFonts w:ascii="宋体" w:hAnsi="宋体"/>
          <w:sz w:val="24"/>
        </w:rPr>
      </w:pPr>
    </w:p>
    <w:p>
      <w:pPr>
        <w:jc w:val="left"/>
        <w:rPr>
          <w:rFonts w:hint="eastAsia" w:ascii="宋体" w:hAnsi="宋体"/>
          <w:b/>
          <w:bCs/>
          <w:sz w:val="24"/>
        </w:rPr>
      </w:pPr>
      <w:r>
        <w:rPr>
          <w:rFonts w:hint="eastAsia" w:ascii="宋体" w:hAnsi="宋体"/>
          <w:sz w:val="24"/>
        </w:rPr>
        <w:t>日    期：     年   月   日</w:t>
      </w:r>
      <w:r>
        <w:br w:type="page"/>
      </w:r>
      <w:bookmarkEnd w:id="123"/>
      <w:bookmarkEnd w:id="124"/>
      <w:bookmarkEnd w:id="125"/>
      <w:bookmarkEnd w:id="126"/>
      <w:bookmarkStart w:id="127" w:name="_Toc35834919"/>
      <w:bookmarkStart w:id="128" w:name="_Toc856905"/>
      <w:bookmarkStart w:id="129" w:name="_Toc927365"/>
      <w:bookmarkStart w:id="130" w:name="_Toc34535365"/>
      <w:bookmarkStart w:id="131" w:name="_Toc109467918"/>
      <w:bookmarkStart w:id="132" w:name="_Toc14450845"/>
      <w:bookmarkStart w:id="133" w:name="_Toc28489503"/>
      <w:r>
        <w:rPr>
          <w:rFonts w:hint="eastAsia" w:ascii="宋体" w:hAnsi="宋体"/>
          <w:b/>
          <w:bCs/>
          <w:sz w:val="24"/>
          <w:lang w:val="en-US" w:eastAsia="zh-CN"/>
        </w:rPr>
        <w:t>十、</w:t>
      </w:r>
      <w:r>
        <w:rPr>
          <w:rFonts w:hint="eastAsia" w:ascii="宋体" w:hAnsi="宋体"/>
          <w:b/>
          <w:bCs/>
          <w:sz w:val="24"/>
        </w:rPr>
        <w:t>投标人业绩一览表</w:t>
      </w:r>
    </w:p>
    <w:p>
      <w:pPr>
        <w:pStyle w:val="4"/>
        <w:ind w:firstLine="3318" w:firstLineChars="1377"/>
        <w:rPr>
          <w:rFonts w:hint="eastAsia"/>
          <w:bCs/>
          <w:sz w:val="24"/>
        </w:rPr>
      </w:pPr>
    </w:p>
    <w:p>
      <w:pPr>
        <w:pStyle w:val="4"/>
        <w:ind w:firstLine="3318" w:firstLineChars="1377"/>
      </w:pPr>
      <w:r>
        <w:rPr>
          <w:rFonts w:hint="eastAsia"/>
          <w:bCs/>
          <w:sz w:val="24"/>
        </w:rPr>
        <w:t>投标人业绩一览表</w:t>
      </w:r>
    </w:p>
    <w:p>
      <w:pPr>
        <w:spacing w:line="360" w:lineRule="auto"/>
        <w:ind w:right="-347" w:rightChars="-124" w:firstLine="40" w:firstLineChars="17"/>
        <w:rPr>
          <w:rFonts w:ascii="宋体" w:hAnsi="宋体"/>
          <w:sz w:val="24"/>
        </w:rPr>
      </w:pPr>
      <w:r>
        <w:rPr>
          <w:rFonts w:hint="eastAsia" w:ascii="宋体" w:hAnsi="宋体"/>
          <w:sz w:val="24"/>
        </w:rPr>
        <w:t xml:space="preserve">项目名称：                  </w:t>
      </w:r>
    </w:p>
    <w:p>
      <w:pPr>
        <w:spacing w:line="360" w:lineRule="auto"/>
        <w:ind w:right="-347" w:rightChars="-124" w:firstLine="40" w:firstLineChars="17"/>
        <w:rPr>
          <w:rFonts w:ascii="宋体" w:hAnsi="宋体"/>
          <w:sz w:val="24"/>
        </w:rPr>
      </w:pPr>
      <w:r>
        <w:rPr>
          <w:rFonts w:hint="eastAsia" w:ascii="宋体" w:hAnsi="宋体"/>
          <w:sz w:val="24"/>
        </w:rPr>
        <w:t>项目编号：</w:t>
      </w:r>
    </w:p>
    <w:tbl>
      <w:tblPr>
        <w:tblStyle w:val="21"/>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jc w:val="center"/>
              <w:rPr>
                <w:rFonts w:ascii="宋体" w:hAnsi="宋体"/>
                <w:sz w:val="24"/>
              </w:rPr>
            </w:pPr>
            <w:r>
              <w:rPr>
                <w:rFonts w:hint="eastAsia" w:ascii="宋体" w:hAnsi="宋体"/>
                <w:sz w:val="24"/>
              </w:rPr>
              <w:t>序号</w:t>
            </w:r>
          </w:p>
        </w:tc>
        <w:tc>
          <w:tcPr>
            <w:tcW w:w="1707" w:type="dxa"/>
            <w:vAlign w:val="center"/>
          </w:tcPr>
          <w:p>
            <w:pPr>
              <w:jc w:val="center"/>
              <w:rPr>
                <w:rFonts w:ascii="宋体" w:hAnsi="宋体"/>
                <w:sz w:val="24"/>
              </w:rPr>
            </w:pPr>
            <w:r>
              <w:rPr>
                <w:rFonts w:hint="eastAsia" w:ascii="宋体" w:hAnsi="宋体"/>
                <w:sz w:val="24"/>
              </w:rPr>
              <w:t>项目名称</w:t>
            </w:r>
          </w:p>
        </w:tc>
        <w:tc>
          <w:tcPr>
            <w:tcW w:w="1707" w:type="dxa"/>
            <w:vAlign w:val="center"/>
          </w:tcPr>
          <w:p>
            <w:pPr>
              <w:jc w:val="center"/>
              <w:rPr>
                <w:rFonts w:ascii="宋体" w:hAnsi="宋体"/>
                <w:sz w:val="24"/>
              </w:rPr>
            </w:pPr>
            <w:r>
              <w:rPr>
                <w:rFonts w:hint="eastAsia" w:ascii="宋体" w:hAnsi="宋体"/>
                <w:sz w:val="24"/>
              </w:rPr>
              <w:t>规模</w:t>
            </w:r>
          </w:p>
        </w:tc>
        <w:tc>
          <w:tcPr>
            <w:tcW w:w="1707" w:type="dxa"/>
            <w:vAlign w:val="center"/>
          </w:tcPr>
          <w:p>
            <w:pPr>
              <w:jc w:val="center"/>
              <w:rPr>
                <w:rFonts w:ascii="宋体" w:hAnsi="宋体"/>
                <w:sz w:val="24"/>
              </w:rPr>
            </w:pPr>
            <w:r>
              <w:rPr>
                <w:rFonts w:hint="eastAsia" w:ascii="宋体" w:hAnsi="宋体"/>
                <w:sz w:val="24"/>
              </w:rPr>
              <w:t>合同总价</w:t>
            </w:r>
          </w:p>
        </w:tc>
        <w:tc>
          <w:tcPr>
            <w:tcW w:w="1707" w:type="dxa"/>
            <w:vAlign w:val="center"/>
          </w:tcPr>
          <w:p>
            <w:pPr>
              <w:jc w:val="center"/>
              <w:rPr>
                <w:rFonts w:ascii="宋体" w:hAnsi="宋体"/>
                <w:sz w:val="24"/>
              </w:rPr>
            </w:pPr>
            <w:r>
              <w:rPr>
                <w:rFonts w:hint="eastAsia" w:ascii="宋体" w:hAnsi="宋体"/>
                <w:sz w:val="24"/>
              </w:rPr>
              <w:t>开始时间</w:t>
            </w:r>
          </w:p>
        </w:tc>
        <w:tc>
          <w:tcPr>
            <w:tcW w:w="1708" w:type="dxa"/>
            <w:vAlign w:val="center"/>
          </w:tcPr>
          <w:p>
            <w:pPr>
              <w:jc w:val="center"/>
              <w:rPr>
                <w:rFonts w:ascii="宋体" w:hAnsi="宋体"/>
                <w:sz w:val="24"/>
              </w:rPr>
            </w:pPr>
            <w:r>
              <w:rPr>
                <w:rFonts w:hint="eastAsia" w:ascii="宋体" w:hAnsi="宋体"/>
                <w:sz w:val="24"/>
              </w:rPr>
              <w:t>业主单位、</w:t>
            </w:r>
          </w:p>
          <w:p>
            <w:pPr>
              <w:jc w:val="center"/>
              <w:rPr>
                <w:rFonts w:ascii="宋体" w:hAnsi="宋体"/>
                <w:sz w:val="24"/>
              </w:rPr>
            </w:pPr>
            <w:r>
              <w:rPr>
                <w:rFonts w:hint="eastAsia" w:ascii="宋体" w:hAnsi="宋体"/>
                <w:sz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pStyle w:val="33"/>
              <w:rPr>
                <w:color w:val="auto"/>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bl>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投标人全称（盖公章）：</w:t>
      </w:r>
    </w:p>
    <w:p>
      <w:pPr>
        <w:spacing w:line="360" w:lineRule="auto"/>
        <w:rPr>
          <w:rFonts w:ascii="宋体" w:hAnsi="宋体"/>
          <w:sz w:val="24"/>
        </w:rPr>
      </w:pPr>
      <w:r>
        <w:rPr>
          <w:rFonts w:hint="eastAsia" w:ascii="宋体" w:hAnsi="宋体"/>
          <w:sz w:val="24"/>
        </w:rPr>
        <w:t>法定代表人或投标授权代表（签字或签章）：</w:t>
      </w:r>
    </w:p>
    <w:p>
      <w:pPr>
        <w:spacing w:line="360" w:lineRule="auto"/>
        <w:rPr>
          <w:rFonts w:ascii="宋体" w:hAnsi="宋体"/>
          <w:sz w:val="24"/>
        </w:rPr>
      </w:pPr>
      <w:r>
        <w:rPr>
          <w:rFonts w:hint="eastAsia" w:ascii="宋体" w:hAnsi="宋体"/>
          <w:sz w:val="24"/>
        </w:rPr>
        <w:t>日    期：     年   月   日</w:t>
      </w:r>
    </w:p>
    <w:p>
      <w:pPr>
        <w:pStyle w:val="4"/>
        <w:ind w:left="480"/>
        <w:rPr>
          <w:rFonts w:hint="eastAsia"/>
          <w:sz w:val="21"/>
        </w:rPr>
      </w:pPr>
    </w:p>
    <w:p>
      <w:pPr>
        <w:pStyle w:val="4"/>
        <w:ind w:left="480"/>
        <w:rPr>
          <w:sz w:val="21"/>
        </w:rPr>
      </w:pPr>
      <w:r>
        <w:rPr>
          <w:rFonts w:hint="eastAsia"/>
          <w:sz w:val="21"/>
        </w:rPr>
        <w:t>注：1、本格式仅供参考，投标人可根据实际情况自定。</w:t>
      </w:r>
    </w:p>
    <w:p>
      <w:pPr>
        <w:pStyle w:val="4"/>
        <w:ind w:left="480" w:firstLine="420" w:firstLineChars="200"/>
        <w:rPr>
          <w:b w:val="0"/>
          <w:sz w:val="21"/>
        </w:rPr>
      </w:pPr>
      <w:r>
        <w:rPr>
          <w:rFonts w:hint="eastAsia"/>
          <w:b w:val="0"/>
          <w:sz w:val="21"/>
        </w:rPr>
        <w:t>2、投标人应附上项目合同等相关证明材料，证明材料所需资料评见商务评分要求。</w:t>
      </w:r>
    </w:p>
    <w:p/>
    <w:p/>
    <w:p>
      <w:pPr>
        <w:pStyle w:val="4"/>
        <w:rPr>
          <w:rFonts w:hint="eastAsia"/>
          <w:bCs/>
          <w:sz w:val="24"/>
        </w:rPr>
      </w:pPr>
    </w:p>
    <w:p>
      <w:pPr>
        <w:pStyle w:val="4"/>
        <w:rPr>
          <w:bCs/>
          <w:sz w:val="24"/>
        </w:rPr>
      </w:pPr>
      <w:r>
        <w:rPr>
          <w:rFonts w:hint="eastAsia"/>
          <w:bCs/>
          <w:sz w:val="24"/>
          <w:lang w:val="en-US" w:eastAsia="zh-CN"/>
        </w:rPr>
        <w:t>十一、</w:t>
      </w:r>
      <w:r>
        <w:rPr>
          <w:rFonts w:hint="eastAsia"/>
          <w:bCs/>
          <w:sz w:val="24"/>
        </w:rPr>
        <w:t xml:space="preserve"> 技术文件（格式自定，可另册）</w:t>
      </w:r>
    </w:p>
    <w:bookmarkEnd w:id="127"/>
    <w:bookmarkEnd w:id="128"/>
    <w:bookmarkEnd w:id="129"/>
    <w:bookmarkEnd w:id="130"/>
    <w:bookmarkEnd w:id="131"/>
    <w:bookmarkEnd w:id="132"/>
    <w:bookmarkEnd w:id="133"/>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rPr>
          <w:rFonts w:hint="eastAsia"/>
          <w:bCs/>
          <w:sz w:val="24"/>
        </w:rPr>
      </w:pPr>
    </w:p>
    <w:p>
      <w:pPr>
        <w:pStyle w:val="4"/>
        <w:jc w:val="left"/>
        <w:rPr>
          <w:bCs/>
          <w:sz w:val="24"/>
        </w:rPr>
      </w:pPr>
      <w:r>
        <w:rPr>
          <w:rFonts w:hint="eastAsia"/>
          <w:bCs/>
          <w:sz w:val="24"/>
          <w:lang w:val="en-US" w:eastAsia="zh-CN"/>
        </w:rPr>
        <w:t>十二、</w:t>
      </w:r>
      <w:r>
        <w:rPr>
          <w:rFonts w:hint="eastAsia"/>
          <w:bCs/>
          <w:sz w:val="24"/>
        </w:rPr>
        <w:t>公平竞争承诺书</w:t>
      </w:r>
    </w:p>
    <w:p>
      <w:pPr>
        <w:pStyle w:val="4"/>
        <w:jc w:val="left"/>
      </w:pPr>
    </w:p>
    <w:p>
      <w:pPr>
        <w:pStyle w:val="4"/>
        <w:ind w:firstLine="3424" w:firstLineChars="1421"/>
        <w:rPr>
          <w:bCs/>
          <w:sz w:val="24"/>
        </w:rPr>
      </w:pPr>
      <w:r>
        <w:rPr>
          <w:rFonts w:hint="eastAsia"/>
          <w:bCs/>
          <w:sz w:val="24"/>
        </w:rPr>
        <w:t>公平竞争承诺书</w:t>
      </w:r>
    </w:p>
    <w:p>
      <w:pPr>
        <w:autoSpaceDE w:val="0"/>
        <w:autoSpaceDN w:val="0"/>
        <w:adjustRightInd w:val="0"/>
        <w:spacing w:line="360" w:lineRule="auto"/>
        <w:ind w:firstLine="240" w:firstLineChars="100"/>
        <w:jc w:val="left"/>
        <w:rPr>
          <w:rFonts w:ascii="宋体" w:hAnsi="宋体" w:cs="宋体"/>
          <w:sz w:val="24"/>
        </w:rPr>
      </w:pPr>
    </w:p>
    <w:p>
      <w:pPr>
        <w:autoSpaceDE w:val="0"/>
        <w:autoSpaceDN w:val="0"/>
        <w:adjustRightInd w:val="0"/>
        <w:spacing w:line="360" w:lineRule="auto"/>
        <w:ind w:firstLine="240" w:firstLineChars="100"/>
        <w:jc w:val="left"/>
        <w:rPr>
          <w:rFonts w:ascii="宋体" w:hAnsi="宋体" w:cs="宋体"/>
          <w:sz w:val="24"/>
        </w:rPr>
      </w:pPr>
    </w:p>
    <w:p>
      <w:pPr>
        <w:autoSpaceDE w:val="0"/>
        <w:autoSpaceDN w:val="0"/>
        <w:adjustRightInd w:val="0"/>
        <w:spacing w:line="360" w:lineRule="auto"/>
        <w:ind w:firstLine="240" w:firstLineChars="100"/>
        <w:jc w:val="left"/>
        <w:rPr>
          <w:rFonts w:ascii="宋体" w:hAnsi="宋体" w:cs="宋体"/>
          <w:sz w:val="24"/>
        </w:rPr>
      </w:pP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本公司郑重承诺：本公司保证所提交的相关资质文件和证明材料的真实性，有良好的历史诚信记录，并将依法参与</w:t>
      </w:r>
      <w:r>
        <w:rPr>
          <w:rFonts w:hint="eastAsia" w:ascii="宋体" w:hAnsi="宋体" w:cs="宋体"/>
          <w:sz w:val="24"/>
          <w:u w:val="single"/>
        </w:rPr>
        <w:t xml:space="preserve">                     </w:t>
      </w:r>
      <w:r>
        <w:rPr>
          <w:rFonts w:hint="eastAsia" w:ascii="宋体" w:hAnsi="宋体" w:cs="宋体"/>
          <w:sz w:val="24"/>
        </w:rPr>
        <w:t>项目的公平竞争，不以任何不正当行为谋取不当利益，否则承担相应的法律责任。</w:t>
      </w: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r>
        <w:rPr>
          <w:rFonts w:hint="eastAsia" w:ascii="宋体" w:hAnsi="宋体" w:cs="宋体"/>
          <w:sz w:val="24"/>
        </w:rPr>
        <w:t>（公司名称，加盖公章）</w:t>
      </w:r>
    </w:p>
    <w:p>
      <w:pPr>
        <w:spacing w:line="380" w:lineRule="exact"/>
        <w:ind w:firstLine="120" w:firstLineChars="50"/>
        <w:jc w:val="right"/>
        <w:rPr>
          <w:rFonts w:ascii="宋体" w:hAnsi="宋体" w:cs="宋体"/>
          <w:sz w:val="24"/>
        </w:rPr>
      </w:pPr>
      <w:r>
        <w:rPr>
          <w:rFonts w:hint="eastAsia" w:ascii="宋体" w:hAnsi="宋体" w:cs="宋体"/>
          <w:sz w:val="24"/>
        </w:rPr>
        <w:t xml:space="preserve">时间：  </w:t>
      </w:r>
      <w:r>
        <w:rPr>
          <w:rFonts w:ascii="宋体" w:hAnsi="宋体" w:cs="宋体"/>
          <w:sz w:val="24"/>
        </w:rPr>
        <w:t xml:space="preserve"> </w:t>
      </w:r>
      <w:r>
        <w:rPr>
          <w:rFonts w:hint="eastAsia" w:ascii="宋体" w:hAnsi="宋体" w:cs="宋体"/>
          <w:sz w:val="24"/>
        </w:rPr>
        <w:t xml:space="preserve">年  </w:t>
      </w:r>
      <w:r>
        <w:rPr>
          <w:rFonts w:ascii="宋体" w:hAnsi="宋体" w:cs="宋体"/>
          <w:sz w:val="24"/>
        </w:rPr>
        <w:t xml:space="preserve"> </w:t>
      </w:r>
      <w:r>
        <w:rPr>
          <w:rFonts w:hint="eastAsia" w:ascii="宋体" w:hAnsi="宋体" w:cs="宋体"/>
          <w:sz w:val="24"/>
        </w:rPr>
        <w:t xml:space="preserve">月  </w:t>
      </w:r>
      <w:r>
        <w:rPr>
          <w:rFonts w:ascii="宋体" w:hAnsi="宋体" w:cs="宋体"/>
          <w:sz w:val="24"/>
        </w:rPr>
        <w:t xml:space="preserve"> </w:t>
      </w:r>
      <w:r>
        <w:rPr>
          <w:rFonts w:hint="eastAsia" w:ascii="宋体" w:hAnsi="宋体" w:cs="宋体"/>
          <w:sz w:val="24"/>
        </w:rPr>
        <w:t>日</w:t>
      </w:r>
    </w:p>
    <w:p>
      <w:pPr>
        <w:pStyle w:val="3"/>
        <w:spacing w:before="48" w:after="48"/>
        <w:rPr>
          <w:sz w:val="28"/>
        </w:rPr>
      </w:pPr>
    </w:p>
    <w:p/>
    <w:p>
      <w:pPr>
        <w:pStyle w:val="6"/>
        <w:rPr>
          <w:sz w:val="28"/>
        </w:rPr>
      </w:pPr>
    </w:p>
    <w:p/>
    <w:p>
      <w:pPr>
        <w:pStyle w:val="6"/>
        <w:rPr>
          <w:sz w:val="28"/>
        </w:rPr>
      </w:pPr>
    </w:p>
    <w:p/>
    <w:p>
      <w:pPr>
        <w:pStyle w:val="6"/>
        <w:rPr>
          <w:sz w:val="28"/>
        </w:rPr>
      </w:pPr>
    </w:p>
    <w:p/>
    <w:p>
      <w:pPr>
        <w:pStyle w:val="6"/>
        <w:rPr>
          <w:sz w:val="28"/>
        </w:rPr>
      </w:pPr>
    </w:p>
    <w:p/>
    <w:p>
      <w:pPr>
        <w:pStyle w:val="6"/>
        <w:rPr>
          <w:sz w:val="28"/>
        </w:rPr>
      </w:pPr>
    </w:p>
    <w:p/>
    <w:bookmarkEnd w:id="104"/>
    <w:bookmarkEnd w:id="105"/>
    <w:p>
      <w:pPr>
        <w:spacing w:line="360" w:lineRule="auto"/>
        <w:rPr>
          <w:rFonts w:ascii="宋体" w:hAnsi="宋体"/>
          <w:b/>
          <w:sz w:val="24"/>
        </w:rPr>
      </w:pPr>
    </w:p>
    <w:p>
      <w:pPr>
        <w:rPr>
          <w:rFonts w:ascii="宋体" w:hAnsi="宋体"/>
          <w:b/>
          <w:sz w:val="24"/>
        </w:rPr>
      </w:pPr>
    </w:p>
    <w:p>
      <w:pPr>
        <w:rPr>
          <w:rFonts w:ascii="宋体" w:hAnsi="宋体"/>
          <w:b/>
          <w:sz w:val="24"/>
        </w:rPr>
      </w:pPr>
    </w:p>
    <w:p>
      <w:pPr>
        <w:rPr>
          <w:rFonts w:hint="eastAsia"/>
          <w:b/>
          <w:bCs/>
          <w:sz w:val="44"/>
        </w:rPr>
      </w:pPr>
      <w:bookmarkStart w:id="134" w:name="_Toc14490"/>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p>
    <w:p>
      <w:pPr>
        <w:tabs>
          <w:tab w:val="left" w:pos="344"/>
        </w:tabs>
        <w:bidi w:val="0"/>
        <w:jc w:val="left"/>
        <w:rPr>
          <w:rFonts w:hint="eastAsia" w:ascii="宋体" w:hAnsi="宋体" w:cs="宋体"/>
          <w:b/>
          <w:kern w:val="0"/>
          <w:sz w:val="24"/>
          <w:szCs w:val="24"/>
        </w:rPr>
      </w:pPr>
      <w:r>
        <w:rPr>
          <w:rFonts w:hint="eastAsia" w:ascii="宋体" w:hAnsi="宋体" w:cs="宋体"/>
          <w:b/>
          <w:kern w:val="0"/>
          <w:sz w:val="24"/>
          <w:szCs w:val="24"/>
          <w:lang w:val="en-US" w:eastAsia="zh-CN"/>
        </w:rPr>
        <w:t>十三、现场勘查</w:t>
      </w:r>
      <w:r>
        <w:rPr>
          <w:rFonts w:hint="eastAsia" w:ascii="宋体" w:hAnsi="宋体" w:cs="宋体"/>
          <w:b/>
          <w:kern w:val="0"/>
          <w:sz w:val="24"/>
          <w:szCs w:val="24"/>
        </w:rPr>
        <w:t>回执</w:t>
      </w:r>
    </w:p>
    <w:p>
      <w:pPr>
        <w:spacing w:line="360" w:lineRule="auto"/>
        <w:rPr>
          <w:rFonts w:hint="eastAsia" w:ascii="宋体" w:hAnsi="宋体" w:cs="宋体"/>
          <w:b/>
          <w:kern w:val="0"/>
          <w:sz w:val="24"/>
          <w:szCs w:val="24"/>
        </w:rPr>
      </w:pPr>
    </w:p>
    <w:p>
      <w:pPr>
        <w:pStyle w:val="20"/>
        <w:spacing w:after="0" w:line="360" w:lineRule="auto"/>
        <w:jc w:val="right"/>
        <w:rPr>
          <w:rFonts w:hint="eastAsia" w:cs="宋体"/>
          <w:szCs w:val="24"/>
        </w:rPr>
      </w:pPr>
    </w:p>
    <w:p>
      <w:pPr>
        <w:widowControl/>
        <w:adjustRightInd w:val="0"/>
        <w:snapToGrid w:val="0"/>
        <w:spacing w:line="360" w:lineRule="auto"/>
        <w:jc w:val="center"/>
        <w:rPr>
          <w:rFonts w:hint="eastAsia" w:ascii="宋体" w:hAnsi="宋体" w:cs="宋体"/>
          <w:b/>
          <w:sz w:val="32"/>
          <w:szCs w:val="32"/>
        </w:rPr>
      </w:pPr>
      <w:r>
        <w:rPr>
          <w:rFonts w:hint="eastAsia" w:ascii="宋体" w:hAnsi="宋体" w:cs="宋体"/>
          <w:b/>
          <w:sz w:val="32"/>
          <w:szCs w:val="32"/>
          <w:lang w:val="en-US" w:eastAsia="zh-CN"/>
        </w:rPr>
        <w:t>现场勘查</w:t>
      </w:r>
      <w:r>
        <w:rPr>
          <w:rFonts w:hint="eastAsia" w:ascii="宋体" w:hAnsi="宋体" w:cs="宋体"/>
          <w:b/>
          <w:sz w:val="32"/>
          <w:szCs w:val="32"/>
        </w:rPr>
        <w:t>回执</w:t>
      </w:r>
    </w:p>
    <w:p>
      <w:pPr>
        <w:pStyle w:val="20"/>
        <w:spacing w:after="0" w:line="360" w:lineRule="auto"/>
        <w:ind w:left="0" w:leftChars="0" w:firstLine="490" w:firstLineChars="175"/>
        <w:rPr>
          <w:rFonts w:hint="eastAsia" w:cs="宋体"/>
          <w:bCs/>
          <w:szCs w:val="24"/>
        </w:rPr>
      </w:pPr>
    </w:p>
    <w:p>
      <w:pPr>
        <w:pStyle w:val="20"/>
        <w:spacing w:after="0" w:line="360" w:lineRule="auto"/>
        <w:ind w:left="0" w:leftChars="0" w:firstLine="490" w:firstLineChars="175"/>
        <w:rPr>
          <w:rFonts w:hint="eastAsia" w:cs="宋体"/>
          <w:bCs/>
          <w:szCs w:val="24"/>
          <w:u w:val="single"/>
        </w:rPr>
      </w:pPr>
      <w:r>
        <w:rPr>
          <w:rFonts w:hint="eastAsia" w:cs="宋体"/>
          <w:bCs/>
          <w:szCs w:val="24"/>
        </w:rPr>
        <w:t>我方已获取并知悉</w:t>
      </w:r>
      <w:r>
        <w:rPr>
          <w:rFonts w:hint="eastAsia" w:cs="宋体"/>
          <w:bCs/>
          <w:szCs w:val="24"/>
          <w:u w:val="single"/>
        </w:rPr>
        <w:t xml:space="preserve">          </w:t>
      </w:r>
      <w:r>
        <w:rPr>
          <w:rFonts w:hint="eastAsia" w:cs="宋体"/>
          <w:bCs/>
          <w:szCs w:val="24"/>
          <w:u w:val="single"/>
          <w:lang w:val="en-US" w:eastAsia="zh-CN"/>
        </w:rPr>
        <w:t xml:space="preserve">        </w:t>
      </w:r>
      <w:r>
        <w:rPr>
          <w:rFonts w:hint="eastAsia" w:cs="宋体"/>
          <w:bCs/>
          <w:szCs w:val="24"/>
          <w:u w:val="single"/>
        </w:rPr>
        <w:t>采购项目</w:t>
      </w:r>
      <w:r>
        <w:rPr>
          <w:rFonts w:hint="eastAsia" w:cs="宋体"/>
          <w:bCs/>
          <w:szCs w:val="24"/>
        </w:rPr>
        <w:t>招标文件内容并完成现场勘查，确定：</w:t>
      </w:r>
    </w:p>
    <w:p>
      <w:pPr>
        <w:widowControl/>
        <w:numPr>
          <w:ilvl w:val="0"/>
          <w:numId w:val="17"/>
        </w:numPr>
        <w:adjustRightInd w:val="0"/>
        <w:snapToGrid w:val="0"/>
        <w:spacing w:line="360" w:lineRule="auto"/>
        <w:rPr>
          <w:rFonts w:hint="eastAsia" w:ascii="宋体" w:hAnsi="宋体" w:cs="宋体"/>
          <w:bCs/>
          <w:sz w:val="24"/>
          <w:szCs w:val="24"/>
        </w:rPr>
      </w:pPr>
      <w:r>
        <w:rPr>
          <w:rFonts w:hint="eastAsia" w:ascii="宋体" w:hAnsi="宋体" w:cs="宋体"/>
          <w:bCs/>
          <w:sz w:val="24"/>
          <w:szCs w:val="24"/>
        </w:rPr>
        <w:t xml:space="preserve"> 参加本项目投标。  </w:t>
      </w:r>
    </w:p>
    <w:p>
      <w:pPr>
        <w:widowControl/>
        <w:numPr>
          <w:ilvl w:val="0"/>
          <w:numId w:val="17"/>
        </w:numPr>
        <w:adjustRightInd w:val="0"/>
        <w:snapToGrid w:val="0"/>
        <w:spacing w:line="360" w:lineRule="auto"/>
        <w:rPr>
          <w:rFonts w:hint="eastAsia" w:ascii="宋体" w:hAnsi="宋体" w:cs="宋体"/>
          <w:bCs/>
          <w:sz w:val="24"/>
          <w:szCs w:val="24"/>
        </w:rPr>
      </w:pPr>
      <w:r>
        <w:rPr>
          <w:rFonts w:hint="eastAsia" w:ascii="宋体" w:hAnsi="宋体" w:cs="宋体"/>
          <w:bCs/>
          <w:sz w:val="24"/>
          <w:szCs w:val="24"/>
        </w:rPr>
        <w:t xml:space="preserve"> 不参加本项目投标。</w:t>
      </w:r>
    </w:p>
    <w:p>
      <w:pPr>
        <w:widowControl/>
        <w:adjustRightInd w:val="0"/>
        <w:snapToGrid w:val="0"/>
        <w:spacing w:line="360" w:lineRule="auto"/>
        <w:ind w:firstLine="480" w:firstLineChars="200"/>
        <w:rPr>
          <w:rFonts w:hint="eastAsia" w:ascii="宋体" w:hAnsi="宋体" w:cs="宋体"/>
          <w:bCs/>
          <w:sz w:val="24"/>
          <w:szCs w:val="24"/>
        </w:rPr>
      </w:pPr>
      <w:r>
        <w:rPr>
          <w:rFonts w:hint="eastAsia" w:ascii="宋体" w:hAnsi="宋体" w:cs="宋体"/>
          <w:bCs/>
          <w:sz w:val="24"/>
          <w:szCs w:val="24"/>
        </w:rPr>
        <w:t>（请在□划√并盖章确认再回传）</w:t>
      </w:r>
    </w:p>
    <w:p>
      <w:pPr>
        <w:pStyle w:val="20"/>
        <w:spacing w:after="0" w:line="360" w:lineRule="auto"/>
        <w:ind w:left="0" w:leftChars="0" w:firstLine="0"/>
        <w:rPr>
          <w:rFonts w:hint="eastAsia" w:cs="宋体"/>
          <w:bCs/>
          <w:szCs w:val="24"/>
        </w:rPr>
      </w:pPr>
      <w:r>
        <w:rPr>
          <w:rFonts w:hint="eastAsia" w:cs="宋体"/>
          <w:bCs/>
          <w:szCs w:val="24"/>
        </w:rPr>
        <w:t xml:space="preserve">投标单位联系人：                   </w:t>
      </w:r>
    </w:p>
    <w:p>
      <w:pPr>
        <w:pStyle w:val="20"/>
        <w:spacing w:after="0" w:line="360" w:lineRule="auto"/>
        <w:ind w:left="0" w:leftChars="0" w:firstLine="0"/>
        <w:rPr>
          <w:rFonts w:hint="eastAsia" w:cs="宋体"/>
          <w:bCs/>
          <w:szCs w:val="24"/>
        </w:rPr>
      </w:pPr>
      <w:r>
        <w:rPr>
          <w:rFonts w:hint="eastAsia" w:cs="宋体"/>
          <w:bCs/>
          <w:szCs w:val="24"/>
        </w:rPr>
        <w:t>联系电话：</w:t>
      </w:r>
    </w:p>
    <w:p>
      <w:pPr>
        <w:pStyle w:val="20"/>
        <w:spacing w:after="0" w:line="360" w:lineRule="auto"/>
        <w:ind w:left="0" w:leftChars="0" w:firstLine="0"/>
        <w:rPr>
          <w:rFonts w:hint="eastAsia" w:cs="宋体"/>
          <w:bCs/>
          <w:szCs w:val="24"/>
        </w:rPr>
      </w:pPr>
    </w:p>
    <w:p>
      <w:pPr>
        <w:pStyle w:val="20"/>
        <w:spacing w:after="0" w:line="360" w:lineRule="auto"/>
        <w:ind w:left="0" w:leftChars="0" w:firstLine="0"/>
        <w:rPr>
          <w:rFonts w:hint="eastAsia" w:cs="宋体"/>
          <w:bCs/>
          <w:szCs w:val="24"/>
        </w:rPr>
      </w:pPr>
    </w:p>
    <w:p>
      <w:pPr>
        <w:pStyle w:val="20"/>
        <w:spacing w:after="0" w:line="360" w:lineRule="auto"/>
        <w:ind w:left="0" w:leftChars="0" w:firstLine="0"/>
        <w:rPr>
          <w:rFonts w:hint="eastAsia" w:cs="宋体"/>
          <w:bCs/>
          <w:szCs w:val="24"/>
        </w:rPr>
      </w:pPr>
      <w:r>
        <w:rPr>
          <w:rFonts w:hint="eastAsia" w:cs="宋体"/>
          <w:bCs/>
          <w:szCs w:val="24"/>
        </w:rPr>
        <w:t xml:space="preserve">招标单位现场负责人（签名）：                         </w:t>
      </w:r>
    </w:p>
    <w:p>
      <w:pPr>
        <w:pStyle w:val="20"/>
        <w:spacing w:after="0" w:line="360" w:lineRule="auto"/>
        <w:ind w:left="0" w:leftChars="0" w:firstLine="0"/>
        <w:rPr>
          <w:rFonts w:hint="eastAsia" w:cs="宋体"/>
          <w:bCs/>
          <w:szCs w:val="24"/>
        </w:rPr>
      </w:pPr>
      <w:r>
        <w:rPr>
          <w:rFonts w:hint="eastAsia" w:cs="宋体"/>
          <w:bCs/>
          <w:szCs w:val="24"/>
        </w:rPr>
        <w:t>联系电话：</w:t>
      </w:r>
    </w:p>
    <w:p>
      <w:pPr>
        <w:pStyle w:val="20"/>
        <w:spacing w:after="0" w:line="360" w:lineRule="auto"/>
        <w:ind w:left="0" w:leftChars="0" w:firstLine="0"/>
        <w:rPr>
          <w:rFonts w:hint="eastAsia" w:cs="宋体"/>
          <w:bCs/>
          <w:szCs w:val="24"/>
        </w:rPr>
      </w:pPr>
    </w:p>
    <w:p>
      <w:pPr>
        <w:pStyle w:val="20"/>
        <w:spacing w:after="0" w:line="360" w:lineRule="auto"/>
        <w:ind w:left="0" w:leftChars="0" w:firstLine="0"/>
        <w:rPr>
          <w:rFonts w:hint="eastAsia" w:cs="宋体"/>
          <w:bCs/>
          <w:szCs w:val="24"/>
        </w:rPr>
      </w:pPr>
    </w:p>
    <w:p>
      <w:pPr>
        <w:pStyle w:val="20"/>
        <w:spacing w:after="0" w:line="360" w:lineRule="auto"/>
        <w:ind w:left="0" w:leftChars="0" w:firstLine="0"/>
        <w:rPr>
          <w:rFonts w:hint="eastAsia" w:cs="宋体"/>
          <w:bCs/>
          <w:szCs w:val="24"/>
        </w:rPr>
      </w:pPr>
    </w:p>
    <w:p>
      <w:pPr>
        <w:pStyle w:val="20"/>
        <w:spacing w:after="0" w:line="360" w:lineRule="auto"/>
        <w:ind w:left="0" w:leftChars="0" w:firstLine="0"/>
        <w:rPr>
          <w:rFonts w:hint="eastAsia" w:cs="宋体"/>
          <w:bCs/>
          <w:szCs w:val="24"/>
        </w:rPr>
      </w:pPr>
    </w:p>
    <w:p>
      <w:pPr>
        <w:widowControl/>
        <w:adjustRightInd w:val="0"/>
        <w:snapToGrid w:val="0"/>
        <w:spacing w:line="360" w:lineRule="auto"/>
        <w:ind w:firstLine="5520" w:firstLineChars="2300"/>
        <w:rPr>
          <w:rFonts w:hint="eastAsia" w:ascii="宋体" w:hAnsi="宋体" w:cs="宋体"/>
          <w:bCs/>
          <w:sz w:val="24"/>
          <w:szCs w:val="24"/>
          <w:lang w:val="en-US" w:eastAsia="zh-CN"/>
        </w:rPr>
      </w:pPr>
      <w:r>
        <w:rPr>
          <w:rFonts w:hint="eastAsia" w:ascii="宋体" w:hAnsi="宋体" w:cs="宋体"/>
          <w:bCs/>
          <w:sz w:val="24"/>
          <w:szCs w:val="24"/>
          <w:lang w:val="en-US" w:eastAsia="zh-CN"/>
        </w:rPr>
        <w:t>投标人（盖章）：</w:t>
      </w:r>
    </w:p>
    <w:p>
      <w:pPr>
        <w:pStyle w:val="20"/>
        <w:spacing w:after="0" w:line="360" w:lineRule="auto"/>
        <w:ind w:left="0" w:leftChars="0" w:firstLine="0"/>
        <w:jc w:val="center"/>
        <w:rPr>
          <w:rFonts w:hint="default" w:cs="宋体"/>
          <w:bCs/>
          <w:szCs w:val="24"/>
          <w:lang w:val="en-US" w:eastAsia="zh-CN"/>
        </w:rPr>
      </w:pPr>
      <w:r>
        <w:rPr>
          <w:rFonts w:hint="eastAsia" w:cs="宋体"/>
          <w:bCs/>
          <w:szCs w:val="24"/>
          <w:lang w:val="en-US" w:eastAsia="zh-CN"/>
        </w:rPr>
        <w:t xml:space="preserve">                    日期：</w:t>
      </w:r>
    </w:p>
    <w:p>
      <w:pPr>
        <w:rPr>
          <w:rFonts w:hint="eastAsia"/>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spacing w:after="0"/>
        <w:rPr>
          <w:rFonts w:hint="eastAsia" w:ascii="仿宋_GB2312" w:hAnsi="仿宋_GB2312" w:eastAsia="仿宋_GB2312" w:cs="仿宋_GB2312"/>
          <w:color w:val="000000"/>
          <w:sz w:val="28"/>
          <w:szCs w:val="28"/>
          <w:lang w:val="en-US" w:eastAsia="zh-CN"/>
        </w:rPr>
      </w:pPr>
    </w:p>
    <w:p>
      <w:pP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pStyle w:val="20"/>
        <w:ind w:firstLine="0" w:firstLineChars="0"/>
        <w:jc w:val="center"/>
        <w:rPr>
          <w:rFonts w:hint="eastAsia"/>
          <w:lang w:val="en-US" w:eastAsia="zh-CN"/>
        </w:rPr>
      </w:pPr>
    </w:p>
    <w:p>
      <w:pPr>
        <w:ind w:firstLine="2650" w:firstLineChars="600"/>
        <w:jc w:val="both"/>
        <w:rPr>
          <w:rFonts w:ascii="宋体" w:hAnsi="宋体"/>
          <w:b/>
          <w:bCs/>
          <w:sz w:val="84"/>
        </w:rPr>
      </w:pPr>
      <w:r>
        <w:rPr>
          <w:rFonts w:hint="eastAsia"/>
          <w:b/>
          <w:bCs/>
          <w:sz w:val="44"/>
        </w:rPr>
        <w:t>第六章 评标细则</w:t>
      </w:r>
      <w:bookmarkEnd w:id="134"/>
    </w:p>
    <w:p>
      <w:pPr>
        <w:spacing w:line="360" w:lineRule="auto"/>
        <w:jc w:val="center"/>
        <w:rPr>
          <w:rFonts w:ascii="宋体" w:hAnsi="宋体"/>
          <w:b/>
          <w:sz w:val="84"/>
        </w:rPr>
      </w:pPr>
    </w:p>
    <w:p>
      <w:pPr>
        <w:spacing w:line="360" w:lineRule="auto"/>
        <w:jc w:val="center"/>
        <w:rPr>
          <w:rFonts w:ascii="宋体" w:hAnsi="宋体"/>
          <w:b/>
          <w:sz w:val="32"/>
        </w:rPr>
      </w:pPr>
    </w:p>
    <w:p>
      <w:pPr>
        <w:spacing w:line="360" w:lineRule="auto"/>
        <w:jc w:val="center"/>
        <w:rPr>
          <w:rFonts w:ascii="宋体" w:hAnsi="宋体"/>
          <w:b/>
          <w:sz w:val="32"/>
        </w:rPr>
      </w:pPr>
    </w:p>
    <w:p>
      <w:pPr>
        <w:spacing w:line="360" w:lineRule="auto"/>
        <w:ind w:left="562" w:hanging="562" w:hangingChars="200"/>
        <w:jc w:val="center"/>
        <w:rPr>
          <w:rFonts w:ascii="宋体" w:hAnsi="宋体"/>
          <w:b/>
          <w:bCs/>
          <w:szCs w:val="28"/>
        </w:rPr>
      </w:pPr>
    </w:p>
    <w:p>
      <w:pPr>
        <w:spacing w:line="360" w:lineRule="auto"/>
        <w:jc w:val="center"/>
        <w:rPr>
          <w:rFonts w:ascii="宋体" w:hAnsi="宋体"/>
          <w:b/>
        </w:rPr>
      </w:pPr>
    </w:p>
    <w:p>
      <w:pPr>
        <w:pStyle w:val="4"/>
        <w:adjustRightInd/>
        <w:spacing w:before="0" w:after="0" w:line="440" w:lineRule="exact"/>
        <w:rPr>
          <w:sz w:val="24"/>
          <w:szCs w:val="24"/>
        </w:rPr>
      </w:pPr>
      <w:r>
        <w:rPr>
          <w:sz w:val="24"/>
        </w:rPr>
        <w:br w:type="page"/>
      </w:r>
      <w:bookmarkStart w:id="135" w:name="_Toc131904924"/>
      <w:bookmarkStart w:id="136" w:name="_Toc107460006"/>
      <w:bookmarkStart w:id="137" w:name="_Toc148420064"/>
      <w:bookmarkStart w:id="138" w:name="_Toc107385313"/>
      <w:bookmarkStart w:id="139" w:name="_Toc138506086"/>
      <w:bookmarkStart w:id="140" w:name="_Toc148060900"/>
      <w:bookmarkStart w:id="141" w:name="_Toc169334810"/>
      <w:bookmarkStart w:id="142" w:name="_Toc150050896"/>
      <w:bookmarkStart w:id="143" w:name="_Toc131922497"/>
      <w:bookmarkStart w:id="144" w:name="_Toc109467926"/>
      <w:bookmarkStart w:id="145" w:name="_Toc107383641"/>
      <w:bookmarkStart w:id="146" w:name="_Toc138568666"/>
      <w:bookmarkStart w:id="147" w:name="_Toc61327422"/>
      <w:r>
        <w:rPr>
          <w:rFonts w:hint="eastAsia"/>
          <w:sz w:val="24"/>
          <w:szCs w:val="24"/>
        </w:rPr>
        <w:t>一.说明</w:t>
      </w:r>
      <w:bookmarkEnd w:id="135"/>
      <w:bookmarkEnd w:id="136"/>
      <w:bookmarkEnd w:id="137"/>
      <w:bookmarkEnd w:id="138"/>
      <w:bookmarkEnd w:id="139"/>
      <w:bookmarkEnd w:id="140"/>
      <w:bookmarkEnd w:id="141"/>
      <w:bookmarkEnd w:id="142"/>
      <w:bookmarkEnd w:id="143"/>
      <w:bookmarkEnd w:id="144"/>
      <w:bookmarkEnd w:id="145"/>
      <w:bookmarkEnd w:id="146"/>
      <w:bookmarkEnd w:id="147"/>
    </w:p>
    <w:p>
      <w:pPr>
        <w:spacing w:line="440" w:lineRule="exact"/>
        <w:rPr>
          <w:rFonts w:ascii="宋体" w:hAnsi="宋体"/>
          <w:b/>
          <w:bCs/>
          <w:sz w:val="24"/>
          <w:szCs w:val="24"/>
        </w:rPr>
      </w:pPr>
      <w:bookmarkStart w:id="148" w:name="_Toc61327423"/>
      <w:r>
        <w:rPr>
          <w:rFonts w:hint="eastAsia" w:ascii="宋体" w:hAnsi="宋体"/>
          <w:b/>
          <w:bCs/>
          <w:sz w:val="24"/>
          <w:szCs w:val="24"/>
        </w:rPr>
        <w:t>1.概述</w:t>
      </w:r>
      <w:bookmarkEnd w:id="148"/>
    </w:p>
    <w:p>
      <w:pPr>
        <w:pStyle w:val="9"/>
        <w:spacing w:line="440" w:lineRule="exact"/>
        <w:ind w:firstLine="476"/>
        <w:rPr>
          <w:rFonts w:ascii="宋体" w:hAnsi="宋体"/>
          <w:sz w:val="24"/>
          <w:szCs w:val="24"/>
        </w:rPr>
      </w:pPr>
      <w:r>
        <w:rPr>
          <w:rFonts w:hint="eastAsia" w:ascii="宋体" w:hAnsi="宋体"/>
          <w:sz w:val="24"/>
          <w:szCs w:val="24"/>
        </w:rPr>
        <w:t>根据《中华人民共和国招标投标法》和国家及地方采购有关文件精神，在保证</w:t>
      </w:r>
      <w:r>
        <w:rPr>
          <w:rFonts w:hint="eastAsia" w:ascii="宋体" w:hAnsi="宋体"/>
          <w:sz w:val="24"/>
          <w:szCs w:val="24"/>
          <w:lang w:val="en-US" w:eastAsia="zh-CN"/>
        </w:rPr>
        <w:t>广州南沙</w:t>
      </w:r>
      <w:r>
        <w:rPr>
          <w:rFonts w:hint="eastAsia" w:ascii="宋体" w:hAnsi="宋体"/>
          <w:sz w:val="24"/>
          <w:szCs w:val="24"/>
        </w:rPr>
        <w:t>前锋水乡项目启动区（一期）厨房设备采购</w:t>
      </w:r>
      <w:r>
        <w:rPr>
          <w:rFonts w:hint="eastAsia" w:ascii="宋体" w:hAnsi="宋体"/>
          <w:sz w:val="24"/>
          <w:szCs w:val="24"/>
          <w:lang w:val="en-US" w:eastAsia="zh-CN"/>
        </w:rPr>
        <w:t>项目（</w:t>
      </w:r>
      <w:r>
        <w:rPr>
          <w:rFonts w:hint="eastAsia" w:ascii="宋体" w:hAnsi="宋体"/>
          <w:sz w:val="24"/>
          <w:szCs w:val="24"/>
        </w:rPr>
        <w:t>以下简称项目）招标公开、公平、公正的基础上，结合项目的技术和商务需求，编制本评标文件。</w:t>
      </w:r>
    </w:p>
    <w:p>
      <w:pPr>
        <w:spacing w:line="440" w:lineRule="exact"/>
        <w:rPr>
          <w:rFonts w:ascii="宋体" w:hAnsi="宋体"/>
          <w:b/>
          <w:bCs/>
          <w:sz w:val="24"/>
          <w:szCs w:val="24"/>
        </w:rPr>
      </w:pPr>
      <w:bookmarkStart w:id="149" w:name="_Toc61327424"/>
      <w:r>
        <w:rPr>
          <w:rFonts w:hint="eastAsia" w:ascii="宋体" w:hAnsi="宋体"/>
          <w:b/>
          <w:bCs/>
          <w:sz w:val="24"/>
          <w:szCs w:val="24"/>
        </w:rPr>
        <w:t>2.定义</w:t>
      </w:r>
      <w:bookmarkEnd w:id="149"/>
    </w:p>
    <w:p>
      <w:pPr>
        <w:spacing w:line="360" w:lineRule="auto"/>
        <w:ind w:firstLine="482" w:firstLineChars="200"/>
        <w:rPr>
          <w:rFonts w:ascii="宋体" w:hAnsi="宋体"/>
          <w:sz w:val="24"/>
          <w:szCs w:val="24"/>
        </w:rPr>
      </w:pPr>
      <w:r>
        <w:rPr>
          <w:rFonts w:hint="eastAsia" w:ascii="宋体" w:hAnsi="宋体"/>
          <w:b/>
          <w:bCs/>
          <w:sz w:val="24"/>
          <w:szCs w:val="24"/>
        </w:rPr>
        <w:t>采 购 人</w:t>
      </w:r>
      <w:r>
        <w:rPr>
          <w:rFonts w:hint="eastAsia" w:ascii="宋体" w:hAnsi="宋体"/>
          <w:sz w:val="24"/>
          <w:szCs w:val="24"/>
        </w:rPr>
        <w:t>：系指</w:t>
      </w:r>
      <w:r>
        <w:rPr>
          <w:rFonts w:hint="eastAsia" w:ascii="宋体" w:hAnsi="宋体"/>
          <w:sz w:val="24"/>
          <w:szCs w:val="24"/>
          <w:lang w:eastAsia="zh-CN"/>
        </w:rPr>
        <w:t>广州南沙科技投资有限公司</w:t>
      </w:r>
      <w:r>
        <w:rPr>
          <w:rFonts w:hint="eastAsia" w:ascii="宋体" w:hAnsi="宋体"/>
          <w:sz w:val="24"/>
          <w:szCs w:val="24"/>
        </w:rPr>
        <w:t xml:space="preserve">                              </w:t>
      </w:r>
    </w:p>
    <w:p>
      <w:pPr>
        <w:spacing w:line="360" w:lineRule="auto"/>
        <w:ind w:firstLine="482" w:firstLineChars="200"/>
        <w:rPr>
          <w:rFonts w:ascii="宋体" w:hAnsi="宋体"/>
          <w:sz w:val="24"/>
          <w:szCs w:val="24"/>
        </w:rPr>
      </w:pPr>
      <w:r>
        <w:rPr>
          <w:rFonts w:hint="eastAsia" w:ascii="宋体" w:hAnsi="宋体"/>
          <w:b/>
          <w:bCs/>
          <w:sz w:val="24"/>
          <w:szCs w:val="24"/>
        </w:rPr>
        <w:t>业主/用户</w:t>
      </w:r>
      <w:r>
        <w:rPr>
          <w:rFonts w:hint="eastAsia" w:ascii="宋体" w:hAnsi="宋体"/>
          <w:sz w:val="24"/>
          <w:szCs w:val="24"/>
        </w:rPr>
        <w:t>：系指本项目的最终使用单位。</w:t>
      </w:r>
    </w:p>
    <w:p>
      <w:pPr>
        <w:spacing w:line="440" w:lineRule="exact"/>
        <w:rPr>
          <w:rFonts w:ascii="宋体" w:hAnsi="宋体"/>
          <w:b/>
          <w:bCs/>
          <w:sz w:val="24"/>
          <w:szCs w:val="24"/>
        </w:rPr>
      </w:pPr>
      <w:bookmarkStart w:id="150" w:name="_Toc61327425"/>
      <w:r>
        <w:rPr>
          <w:rFonts w:hint="eastAsia" w:ascii="宋体" w:hAnsi="宋体"/>
          <w:b/>
          <w:bCs/>
          <w:sz w:val="24"/>
          <w:szCs w:val="24"/>
        </w:rPr>
        <w:t>3.评标委员会组成</w:t>
      </w:r>
      <w:bookmarkEnd w:id="150"/>
    </w:p>
    <w:p>
      <w:pPr>
        <w:pStyle w:val="9"/>
        <w:spacing w:line="440" w:lineRule="exact"/>
        <w:ind w:firstLine="480" w:firstLineChars="200"/>
        <w:rPr>
          <w:rFonts w:ascii="宋体" w:hAnsi="宋体"/>
          <w:sz w:val="24"/>
          <w:szCs w:val="24"/>
        </w:rPr>
      </w:pPr>
      <w:r>
        <w:rPr>
          <w:rFonts w:hint="eastAsia" w:ascii="宋体" w:hAnsi="宋体"/>
          <w:sz w:val="24"/>
        </w:rPr>
        <w:t>本次招标依法组建评标委员会。本次评标的评委会依法由5位评委组成。评委会负责全部的评审工作，任何人不得干预评委会的工作。</w:t>
      </w:r>
    </w:p>
    <w:p>
      <w:pPr>
        <w:pStyle w:val="4"/>
        <w:adjustRightInd/>
        <w:spacing w:before="0" w:after="0" w:line="440" w:lineRule="exact"/>
        <w:rPr>
          <w:sz w:val="24"/>
          <w:szCs w:val="24"/>
        </w:rPr>
      </w:pPr>
      <w:bookmarkStart w:id="151" w:name="_Toc107385314"/>
      <w:bookmarkStart w:id="152" w:name="_Toc138568667"/>
      <w:bookmarkStart w:id="153" w:name="_Toc107460007"/>
      <w:bookmarkStart w:id="154" w:name="_Toc148060901"/>
      <w:bookmarkStart w:id="155" w:name="_Toc150050897"/>
      <w:bookmarkStart w:id="156" w:name="_Toc107383642"/>
      <w:bookmarkStart w:id="157" w:name="_Toc169334811"/>
      <w:bookmarkStart w:id="158" w:name="_Toc131904925"/>
      <w:bookmarkStart w:id="159" w:name="_Toc109467927"/>
      <w:bookmarkStart w:id="160" w:name="_Toc138506087"/>
      <w:bookmarkStart w:id="161" w:name="_Toc61327427"/>
      <w:bookmarkStart w:id="162" w:name="_Toc148420065"/>
      <w:bookmarkStart w:id="163" w:name="_Toc131922498"/>
      <w:r>
        <w:rPr>
          <w:rFonts w:hint="eastAsia"/>
          <w:sz w:val="24"/>
          <w:szCs w:val="24"/>
        </w:rPr>
        <w:t>二.评标须知</w:t>
      </w:r>
      <w:bookmarkEnd w:id="151"/>
      <w:bookmarkEnd w:id="152"/>
      <w:bookmarkEnd w:id="153"/>
      <w:bookmarkEnd w:id="154"/>
      <w:bookmarkEnd w:id="155"/>
      <w:bookmarkEnd w:id="156"/>
      <w:bookmarkEnd w:id="157"/>
      <w:bookmarkEnd w:id="158"/>
      <w:bookmarkEnd w:id="159"/>
      <w:bookmarkEnd w:id="160"/>
      <w:bookmarkEnd w:id="161"/>
      <w:bookmarkEnd w:id="162"/>
      <w:bookmarkEnd w:id="163"/>
    </w:p>
    <w:p>
      <w:pPr>
        <w:spacing w:line="440" w:lineRule="exact"/>
        <w:rPr>
          <w:rFonts w:ascii="宋体" w:hAnsi="宋体"/>
          <w:b/>
          <w:bCs/>
          <w:sz w:val="24"/>
          <w:szCs w:val="24"/>
        </w:rPr>
      </w:pPr>
      <w:bookmarkStart w:id="164" w:name="_Toc61327428"/>
      <w:r>
        <w:rPr>
          <w:rFonts w:hint="eastAsia" w:ascii="宋体" w:hAnsi="宋体"/>
          <w:b/>
          <w:bCs/>
          <w:sz w:val="24"/>
          <w:szCs w:val="24"/>
        </w:rPr>
        <w:t>1.关于评标方案</w:t>
      </w:r>
      <w:bookmarkEnd w:id="164"/>
    </w:p>
    <w:p>
      <w:pPr>
        <w:spacing w:line="440" w:lineRule="exact"/>
        <w:rPr>
          <w:rFonts w:ascii="宋体" w:hAnsi="宋体"/>
          <w:sz w:val="24"/>
          <w:szCs w:val="24"/>
        </w:rPr>
      </w:pPr>
      <w:r>
        <w:rPr>
          <w:rFonts w:hint="eastAsia" w:ascii="宋体" w:hAnsi="宋体"/>
          <w:sz w:val="24"/>
          <w:szCs w:val="24"/>
        </w:rPr>
        <w:t>（1）评标委员会的每位成员（简称评委）应认真地阅读并确认已经正确理解了评标方案；</w:t>
      </w:r>
    </w:p>
    <w:p>
      <w:pPr>
        <w:spacing w:line="440" w:lineRule="exact"/>
        <w:rPr>
          <w:rFonts w:ascii="宋体" w:hAnsi="宋体"/>
          <w:sz w:val="24"/>
          <w:szCs w:val="24"/>
        </w:rPr>
      </w:pPr>
      <w:r>
        <w:rPr>
          <w:rFonts w:hint="eastAsia" w:ascii="宋体" w:hAnsi="宋体"/>
          <w:sz w:val="24"/>
          <w:szCs w:val="24"/>
        </w:rPr>
        <w:t>（2）评委如对评标方案有异议，应在评标开始前提出。</w:t>
      </w:r>
    </w:p>
    <w:p>
      <w:pPr>
        <w:spacing w:line="440" w:lineRule="exact"/>
        <w:rPr>
          <w:rFonts w:ascii="宋体" w:hAnsi="宋体"/>
          <w:b/>
          <w:bCs/>
          <w:sz w:val="24"/>
          <w:szCs w:val="24"/>
        </w:rPr>
      </w:pPr>
      <w:bookmarkStart w:id="165" w:name="_Toc61327429"/>
      <w:r>
        <w:rPr>
          <w:rFonts w:hint="eastAsia" w:ascii="宋体" w:hAnsi="宋体"/>
          <w:b/>
          <w:bCs/>
          <w:sz w:val="24"/>
          <w:szCs w:val="24"/>
        </w:rPr>
        <w:t>2.关于评标纪律</w:t>
      </w:r>
      <w:bookmarkEnd w:id="165"/>
    </w:p>
    <w:p>
      <w:pPr>
        <w:spacing w:line="440" w:lineRule="exact"/>
        <w:ind w:left="588" w:hanging="588" w:hangingChars="245"/>
        <w:rPr>
          <w:rFonts w:ascii="宋体" w:hAnsi="宋体"/>
          <w:sz w:val="24"/>
          <w:szCs w:val="24"/>
        </w:rPr>
      </w:pPr>
      <w:r>
        <w:rPr>
          <w:rFonts w:hint="eastAsia" w:ascii="宋体" w:hAnsi="宋体"/>
          <w:sz w:val="24"/>
          <w:szCs w:val="24"/>
        </w:rPr>
        <w:t>（1）评标委员会成员不得与任何投标人或者与招标结果有利害关系的人进行私下接触，不得收受投标人、中介人、其他利害关系人的财物或者其他好处；</w:t>
      </w:r>
    </w:p>
    <w:p>
      <w:pPr>
        <w:spacing w:line="440" w:lineRule="exact"/>
        <w:rPr>
          <w:rFonts w:ascii="宋体" w:hAnsi="宋体"/>
          <w:sz w:val="24"/>
          <w:szCs w:val="24"/>
        </w:rPr>
      </w:pPr>
      <w:r>
        <w:rPr>
          <w:rFonts w:hint="eastAsia" w:ascii="宋体" w:hAnsi="宋体"/>
          <w:sz w:val="24"/>
          <w:szCs w:val="24"/>
        </w:rPr>
        <w:t>（2）评委应本着客观、公正的原则独立给出评价意见；</w:t>
      </w:r>
    </w:p>
    <w:p>
      <w:pPr>
        <w:spacing w:line="440" w:lineRule="exact"/>
        <w:rPr>
          <w:rFonts w:ascii="宋体" w:hAnsi="宋体"/>
          <w:sz w:val="24"/>
          <w:szCs w:val="24"/>
        </w:rPr>
      </w:pPr>
      <w:r>
        <w:rPr>
          <w:rFonts w:hint="eastAsia" w:ascii="宋体" w:hAnsi="宋体"/>
          <w:sz w:val="24"/>
          <w:szCs w:val="24"/>
        </w:rPr>
        <w:t>（3）评委之间不得相互串通进行评分；</w:t>
      </w:r>
    </w:p>
    <w:p>
      <w:pPr>
        <w:spacing w:line="440" w:lineRule="exact"/>
        <w:rPr>
          <w:rFonts w:ascii="宋体" w:hAnsi="宋体"/>
          <w:sz w:val="24"/>
          <w:szCs w:val="24"/>
        </w:rPr>
      </w:pPr>
      <w:r>
        <w:rPr>
          <w:rFonts w:hint="eastAsia" w:ascii="宋体" w:hAnsi="宋体"/>
          <w:sz w:val="24"/>
          <w:szCs w:val="24"/>
        </w:rPr>
        <w:t>（4）评委不得试图影响其他评委的评价意见。</w:t>
      </w:r>
    </w:p>
    <w:p>
      <w:pPr>
        <w:spacing w:line="440" w:lineRule="exact"/>
        <w:rPr>
          <w:rFonts w:ascii="宋体" w:hAnsi="宋体"/>
          <w:b/>
          <w:bCs/>
          <w:sz w:val="24"/>
          <w:szCs w:val="24"/>
        </w:rPr>
      </w:pPr>
      <w:bookmarkStart w:id="166" w:name="_Toc61327430"/>
      <w:r>
        <w:rPr>
          <w:rFonts w:hint="eastAsia" w:ascii="宋体" w:hAnsi="宋体"/>
          <w:b/>
          <w:bCs/>
          <w:sz w:val="24"/>
          <w:szCs w:val="24"/>
        </w:rPr>
        <w:t>3.关于评标责任</w:t>
      </w:r>
      <w:bookmarkEnd w:id="166"/>
    </w:p>
    <w:p>
      <w:pPr>
        <w:spacing w:line="440" w:lineRule="exact"/>
        <w:rPr>
          <w:rFonts w:ascii="宋体" w:hAnsi="宋体"/>
          <w:sz w:val="24"/>
          <w:szCs w:val="24"/>
        </w:rPr>
      </w:pPr>
      <w:r>
        <w:rPr>
          <w:rFonts w:hint="eastAsia" w:ascii="宋体" w:hAnsi="宋体"/>
          <w:sz w:val="24"/>
          <w:szCs w:val="24"/>
        </w:rPr>
        <w:t>（1）评委应在其书面评审意见上签字确认；</w:t>
      </w:r>
    </w:p>
    <w:p>
      <w:pPr>
        <w:spacing w:line="440" w:lineRule="exact"/>
        <w:rPr>
          <w:rFonts w:ascii="宋体" w:hAnsi="宋体"/>
          <w:sz w:val="24"/>
          <w:szCs w:val="24"/>
        </w:rPr>
      </w:pPr>
      <w:r>
        <w:rPr>
          <w:rFonts w:hint="eastAsia" w:ascii="宋体" w:hAnsi="宋体"/>
          <w:sz w:val="24"/>
          <w:szCs w:val="24"/>
        </w:rPr>
        <w:t>（2）评委对其所提出的评审意见承担个人责任。</w:t>
      </w:r>
    </w:p>
    <w:p>
      <w:pPr>
        <w:spacing w:line="440" w:lineRule="exact"/>
        <w:rPr>
          <w:rFonts w:ascii="宋体" w:hAnsi="宋体"/>
          <w:b/>
          <w:bCs/>
          <w:sz w:val="24"/>
          <w:szCs w:val="24"/>
        </w:rPr>
      </w:pPr>
      <w:bookmarkStart w:id="167" w:name="_Toc61327431"/>
      <w:r>
        <w:rPr>
          <w:rFonts w:hint="eastAsia" w:ascii="宋体" w:hAnsi="宋体"/>
          <w:b/>
          <w:bCs/>
          <w:sz w:val="24"/>
          <w:szCs w:val="24"/>
        </w:rPr>
        <w:t>4.关于回避</w:t>
      </w:r>
      <w:bookmarkEnd w:id="167"/>
    </w:p>
    <w:p>
      <w:pPr>
        <w:spacing w:line="440" w:lineRule="exact"/>
        <w:ind w:firstLine="480" w:firstLineChars="200"/>
        <w:rPr>
          <w:rFonts w:ascii="宋体" w:hAnsi="宋体"/>
          <w:sz w:val="24"/>
          <w:szCs w:val="24"/>
        </w:rPr>
      </w:pPr>
      <w:r>
        <w:rPr>
          <w:rFonts w:hint="eastAsia" w:ascii="宋体" w:hAnsi="宋体"/>
          <w:sz w:val="24"/>
          <w:szCs w:val="24"/>
        </w:rPr>
        <w:t>有下列情形之一的，不得担任评标委员会成员，如事先不知情的，应在采购人宣读投标人名单及评标纪律后主动提出回避：</w:t>
      </w:r>
    </w:p>
    <w:p>
      <w:pPr>
        <w:spacing w:line="440" w:lineRule="exact"/>
        <w:rPr>
          <w:rFonts w:ascii="宋体" w:hAnsi="宋体"/>
          <w:sz w:val="24"/>
          <w:szCs w:val="24"/>
        </w:rPr>
      </w:pPr>
      <w:r>
        <w:rPr>
          <w:rFonts w:hint="eastAsia" w:ascii="宋体" w:hAnsi="宋体"/>
          <w:sz w:val="24"/>
          <w:szCs w:val="24"/>
        </w:rPr>
        <w:t>（1）是投标人或者投标人主要负责人的近亲属；</w:t>
      </w:r>
    </w:p>
    <w:p>
      <w:pPr>
        <w:spacing w:line="440" w:lineRule="exact"/>
        <w:rPr>
          <w:rFonts w:ascii="宋体" w:hAnsi="宋体"/>
          <w:sz w:val="24"/>
          <w:szCs w:val="24"/>
        </w:rPr>
      </w:pPr>
      <w:r>
        <w:rPr>
          <w:rFonts w:hint="eastAsia" w:ascii="宋体" w:hAnsi="宋体"/>
          <w:sz w:val="24"/>
          <w:szCs w:val="24"/>
        </w:rPr>
        <w:t>（2）项目主管部门或行政监督部门的人员；</w:t>
      </w:r>
    </w:p>
    <w:p>
      <w:pPr>
        <w:spacing w:line="440" w:lineRule="exact"/>
        <w:rPr>
          <w:rFonts w:ascii="宋体" w:hAnsi="宋体"/>
          <w:sz w:val="24"/>
          <w:szCs w:val="24"/>
        </w:rPr>
      </w:pPr>
      <w:r>
        <w:rPr>
          <w:rFonts w:hint="eastAsia" w:ascii="宋体" w:hAnsi="宋体"/>
          <w:sz w:val="24"/>
          <w:szCs w:val="24"/>
        </w:rPr>
        <w:t>（3）与投标人有经济利益关系，可能影响对投标公正评审的；</w:t>
      </w:r>
    </w:p>
    <w:p>
      <w:pPr>
        <w:spacing w:line="440" w:lineRule="exact"/>
        <w:ind w:left="600" w:hanging="600" w:hangingChars="250"/>
        <w:rPr>
          <w:rFonts w:ascii="宋体" w:hAnsi="宋体"/>
          <w:sz w:val="24"/>
          <w:szCs w:val="24"/>
        </w:rPr>
      </w:pPr>
      <w:r>
        <w:rPr>
          <w:rFonts w:hint="eastAsia" w:ascii="宋体" w:hAnsi="宋体"/>
          <w:sz w:val="24"/>
          <w:szCs w:val="24"/>
        </w:rPr>
        <w:t>（4）曾因在招标、评标以及其他与招标投标有关活动中从事违法行为而受过行政处罚或刑事处罚的。</w:t>
      </w:r>
    </w:p>
    <w:p>
      <w:pPr>
        <w:spacing w:line="440" w:lineRule="exact"/>
        <w:rPr>
          <w:rFonts w:ascii="宋体" w:hAnsi="宋体"/>
          <w:b/>
          <w:bCs/>
          <w:sz w:val="24"/>
          <w:szCs w:val="24"/>
        </w:rPr>
      </w:pPr>
      <w:bookmarkStart w:id="168" w:name="_Toc61327432"/>
      <w:r>
        <w:rPr>
          <w:rFonts w:hint="eastAsia" w:ascii="宋体" w:hAnsi="宋体"/>
          <w:b/>
          <w:bCs/>
          <w:sz w:val="24"/>
          <w:szCs w:val="24"/>
        </w:rPr>
        <w:t>5.关于保密</w:t>
      </w:r>
      <w:bookmarkEnd w:id="168"/>
    </w:p>
    <w:p>
      <w:pPr>
        <w:spacing w:line="440" w:lineRule="exact"/>
        <w:ind w:firstLine="480" w:firstLineChars="200"/>
        <w:rPr>
          <w:rFonts w:ascii="宋体" w:hAnsi="宋体"/>
          <w:sz w:val="24"/>
          <w:szCs w:val="24"/>
        </w:rPr>
      </w:pPr>
      <w:r>
        <w:rPr>
          <w:rFonts w:hint="eastAsia" w:ascii="宋体" w:hAnsi="宋体"/>
          <w:sz w:val="24"/>
          <w:szCs w:val="24"/>
        </w:rPr>
        <w:t>评标委员会成员和与评标活动有关的工作人员不得透露对投标文件的评审和比较、中标候选人的推荐情况以及评标有关的其他情况。</w:t>
      </w:r>
    </w:p>
    <w:p>
      <w:pPr>
        <w:pStyle w:val="8"/>
        <w:spacing w:line="440" w:lineRule="exact"/>
        <w:ind w:firstLine="480" w:firstLineChars="200"/>
        <w:rPr>
          <w:rFonts w:ascii="宋体" w:hAnsi="宋体" w:eastAsia="宋体"/>
          <w:sz w:val="24"/>
          <w:szCs w:val="24"/>
        </w:rPr>
      </w:pPr>
      <w:r>
        <w:rPr>
          <w:rFonts w:hint="eastAsia" w:ascii="宋体" w:hAnsi="宋体" w:eastAsia="宋体"/>
          <w:b w:val="0"/>
          <w:sz w:val="24"/>
          <w:szCs w:val="24"/>
        </w:rPr>
        <w:t>前款所称与评标活动有关的工作人员，是指评标委员会成员以外的因参与评标监督工作或者事务性工作而知悉有关评标情况的所有人员。</w:t>
      </w:r>
    </w:p>
    <w:p>
      <w:pPr>
        <w:spacing w:line="440" w:lineRule="exact"/>
        <w:rPr>
          <w:rFonts w:ascii="宋体" w:hAnsi="宋体"/>
          <w:b/>
          <w:bCs/>
          <w:sz w:val="24"/>
          <w:szCs w:val="24"/>
        </w:rPr>
      </w:pPr>
      <w:bookmarkStart w:id="169" w:name="_Toc61327433"/>
      <w:r>
        <w:rPr>
          <w:rFonts w:hint="eastAsia" w:ascii="宋体" w:hAnsi="宋体"/>
          <w:b/>
          <w:bCs/>
          <w:sz w:val="24"/>
          <w:szCs w:val="24"/>
        </w:rPr>
        <w:t>6.罚则</w:t>
      </w:r>
      <w:bookmarkEnd w:id="169"/>
    </w:p>
    <w:p>
      <w:pPr>
        <w:spacing w:line="440" w:lineRule="exact"/>
        <w:ind w:left="600" w:hanging="600" w:hangingChars="250"/>
        <w:rPr>
          <w:rFonts w:ascii="宋体" w:hAnsi="宋体"/>
          <w:sz w:val="24"/>
          <w:szCs w:val="24"/>
        </w:rPr>
      </w:pPr>
      <w:r>
        <w:rPr>
          <w:rFonts w:hint="eastAsia" w:ascii="宋体" w:hAnsi="宋体"/>
          <w:sz w:val="24"/>
          <w:szCs w:val="24"/>
        </w:rPr>
        <w:t>（1）评标委员会成员在评标过程中擅离职守，影响评标程序正常进行，或者在评标过程中不能客观公正地履行职责的，给予警告；情节严重的，取消担任评标委员会成员的资格，不得再参加任何依法必须进行招标项目的评标，并处一万元以下的罚款；</w:t>
      </w:r>
    </w:p>
    <w:p>
      <w:pPr>
        <w:spacing w:line="440" w:lineRule="exact"/>
        <w:ind w:left="600" w:hanging="600" w:hangingChars="250"/>
        <w:rPr>
          <w:rFonts w:ascii="宋体" w:hAnsi="宋体"/>
          <w:sz w:val="24"/>
          <w:szCs w:val="24"/>
        </w:rPr>
      </w:pPr>
      <w:r>
        <w:rPr>
          <w:rFonts w:hint="eastAsia" w:ascii="宋体" w:hAnsi="宋体"/>
          <w:sz w:val="24"/>
          <w:szCs w:val="24"/>
        </w:rPr>
        <w:t>（2）评标委员会成员收受投标人、其他利害关系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p>
      <w:pPr>
        <w:pStyle w:val="4"/>
        <w:adjustRightInd/>
        <w:spacing w:before="0" w:after="0" w:line="440" w:lineRule="exact"/>
        <w:rPr>
          <w:sz w:val="24"/>
          <w:szCs w:val="24"/>
        </w:rPr>
      </w:pPr>
      <w:bookmarkStart w:id="170" w:name="_Toc150050898"/>
      <w:bookmarkStart w:id="171" w:name="_Toc148060902"/>
      <w:bookmarkStart w:id="172" w:name="_Toc169334812"/>
      <w:bookmarkStart w:id="173" w:name="_Toc148420066"/>
      <w:bookmarkStart w:id="174" w:name="_Toc131922499"/>
      <w:bookmarkStart w:id="175" w:name="_Toc138506088"/>
      <w:bookmarkStart w:id="176" w:name="_Toc107385315"/>
      <w:bookmarkStart w:id="177" w:name="_Toc61327434"/>
      <w:bookmarkStart w:id="178" w:name="_Toc109467928"/>
      <w:bookmarkStart w:id="179" w:name="_Toc131904926"/>
      <w:bookmarkStart w:id="180" w:name="_Toc138568668"/>
      <w:bookmarkStart w:id="181" w:name="_Toc107460008"/>
      <w:bookmarkStart w:id="182" w:name="_Toc107383643"/>
      <w:r>
        <w:rPr>
          <w:rFonts w:hint="eastAsia"/>
          <w:sz w:val="24"/>
          <w:szCs w:val="24"/>
        </w:rPr>
        <w:t>三.评标原则</w:t>
      </w:r>
      <w:bookmarkEnd w:id="170"/>
      <w:bookmarkEnd w:id="171"/>
      <w:bookmarkEnd w:id="172"/>
      <w:bookmarkEnd w:id="173"/>
      <w:bookmarkEnd w:id="174"/>
      <w:bookmarkEnd w:id="175"/>
      <w:bookmarkEnd w:id="176"/>
      <w:bookmarkEnd w:id="177"/>
      <w:bookmarkEnd w:id="178"/>
      <w:bookmarkEnd w:id="179"/>
      <w:bookmarkEnd w:id="180"/>
      <w:bookmarkEnd w:id="181"/>
      <w:bookmarkEnd w:id="182"/>
    </w:p>
    <w:p>
      <w:pPr>
        <w:pStyle w:val="9"/>
        <w:spacing w:line="440" w:lineRule="exact"/>
        <w:ind w:firstLine="476"/>
        <w:rPr>
          <w:rFonts w:ascii="宋体" w:hAnsi="宋体"/>
          <w:sz w:val="24"/>
          <w:szCs w:val="24"/>
        </w:rPr>
      </w:pPr>
      <w:r>
        <w:rPr>
          <w:rFonts w:hint="eastAsia" w:ascii="宋体" w:hAnsi="宋体"/>
          <w:sz w:val="24"/>
          <w:szCs w:val="24"/>
        </w:rPr>
        <w:t>评标工作应依据《中华人民共和国招标投标法》以及《评标委员会和评标方法暂行规定》和地方政府关于政府招投标的有关规定，遵循“公平、公正、科学、择优”的原则进行。评标委员会将按照规定只对通过符合性检查的投标文件进行评价和比较。</w:t>
      </w:r>
    </w:p>
    <w:p>
      <w:pPr>
        <w:pStyle w:val="4"/>
        <w:adjustRightInd/>
        <w:spacing w:before="0" w:after="0" w:line="440" w:lineRule="exact"/>
        <w:rPr>
          <w:b w:val="0"/>
          <w:bCs/>
          <w:sz w:val="24"/>
          <w:szCs w:val="24"/>
        </w:rPr>
      </w:pPr>
      <w:bookmarkStart w:id="183" w:name="_Toc108243613"/>
      <w:bookmarkStart w:id="184" w:name="_Toc138506089"/>
      <w:bookmarkStart w:id="185" w:name="_Toc68620009"/>
      <w:bookmarkStart w:id="186" w:name="_Toc101553553"/>
      <w:bookmarkStart w:id="187" w:name="_Toc131922500"/>
      <w:bookmarkStart w:id="188" w:name="_Toc102211721"/>
      <w:bookmarkStart w:id="189" w:name="_Toc28489525"/>
      <w:bookmarkStart w:id="190" w:name="_Toc148420067"/>
      <w:bookmarkStart w:id="191" w:name="_Toc104874462"/>
      <w:bookmarkStart w:id="192" w:name="_Toc148060903"/>
      <w:bookmarkStart w:id="193" w:name="_Toc169334813"/>
      <w:bookmarkStart w:id="194" w:name="_Toc108001797"/>
      <w:bookmarkStart w:id="195" w:name="_Toc138568669"/>
      <w:bookmarkStart w:id="196" w:name="_Toc67911939"/>
      <w:bookmarkStart w:id="197" w:name="_Toc150050899"/>
      <w:bookmarkStart w:id="198" w:name="_Toc66722109"/>
      <w:bookmarkStart w:id="199" w:name="_Toc104902926"/>
      <w:bookmarkStart w:id="200" w:name="_Toc131904927"/>
      <w:bookmarkStart w:id="201" w:name="_Toc95304220"/>
      <w:bookmarkStart w:id="202" w:name="_Toc113277289"/>
      <w:bookmarkStart w:id="203" w:name="_Toc124646431"/>
      <w:bookmarkStart w:id="204" w:name="_Toc35834931"/>
      <w:bookmarkStart w:id="205" w:name="_Toc124401379"/>
      <w:bookmarkStart w:id="206" w:name="_Toc101553658"/>
      <w:bookmarkStart w:id="207" w:name="_Toc34535377"/>
      <w:bookmarkStart w:id="208" w:name="_Toc124570684"/>
      <w:bookmarkStart w:id="209" w:name="_Toc95249604"/>
      <w:bookmarkStart w:id="210" w:name="_Toc125770205"/>
      <w:r>
        <w:rPr>
          <w:rFonts w:hint="eastAsia"/>
          <w:sz w:val="24"/>
          <w:szCs w:val="24"/>
        </w:rPr>
        <w:t>四.评标方法及流程</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spacing w:line="440" w:lineRule="exact"/>
        <w:ind w:firstLine="480" w:firstLineChars="200"/>
        <w:rPr>
          <w:rFonts w:ascii="宋体" w:hAnsi="宋体"/>
          <w:bCs/>
          <w:sz w:val="24"/>
          <w:szCs w:val="24"/>
        </w:rPr>
      </w:pPr>
      <w:r>
        <w:rPr>
          <w:rFonts w:hint="eastAsia" w:ascii="宋体" w:hAnsi="宋体"/>
          <w:bCs/>
          <w:sz w:val="24"/>
          <w:szCs w:val="24"/>
        </w:rPr>
        <w:t>本次招标的评标方法采用综合评分方法。评标分三个阶段进行：投标文件资格性审查</w:t>
      </w:r>
      <w:r>
        <w:rPr>
          <w:rFonts w:hint="eastAsia" w:ascii="宋体" w:hAnsi="宋体"/>
          <w:bCs/>
          <w:sz w:val="24"/>
          <w:szCs w:val="24"/>
          <w:lang w:eastAsia="zh-CN"/>
        </w:rPr>
        <w:t>、</w:t>
      </w:r>
      <w:r>
        <w:rPr>
          <w:rFonts w:hint="eastAsia" w:ascii="宋体" w:hAnsi="宋体"/>
          <w:bCs/>
          <w:sz w:val="24"/>
          <w:szCs w:val="24"/>
        </w:rPr>
        <w:t>投标文件符合性检查和投标文件详细评审。具体方法及流程如下：</w:t>
      </w:r>
    </w:p>
    <w:p>
      <w:pPr>
        <w:numPr>
          <w:ilvl w:val="0"/>
          <w:numId w:val="18"/>
        </w:numPr>
        <w:spacing w:line="440" w:lineRule="exact"/>
        <w:rPr>
          <w:rFonts w:ascii="宋体" w:hAnsi="宋体"/>
          <w:bCs/>
          <w:sz w:val="24"/>
          <w:szCs w:val="24"/>
        </w:rPr>
      </w:pPr>
      <w:r>
        <w:rPr>
          <w:rFonts w:hint="eastAsia" w:ascii="宋体" w:hAnsi="宋体"/>
          <w:bCs/>
          <w:sz w:val="24"/>
          <w:szCs w:val="24"/>
        </w:rPr>
        <w:t>投标文件资格性审查</w:t>
      </w:r>
    </w:p>
    <w:p>
      <w:pPr>
        <w:spacing w:line="440" w:lineRule="exact"/>
        <w:ind w:firstLine="480" w:firstLineChars="200"/>
        <w:rPr>
          <w:rFonts w:ascii="宋体" w:hAnsi="宋体"/>
          <w:bCs/>
          <w:sz w:val="24"/>
          <w:szCs w:val="24"/>
        </w:rPr>
      </w:pPr>
      <w:r>
        <w:rPr>
          <w:rFonts w:hint="eastAsia" w:ascii="宋体" w:hAnsi="宋体"/>
          <w:bCs/>
          <w:sz w:val="24"/>
          <w:szCs w:val="24"/>
        </w:rPr>
        <w:t>评标委员会按照《符合性审查表》内容对投标人进行资格审查。合格投标人不足3家的，不得评标。未通过符合性审查的投标人不进入下一步评标</w:t>
      </w:r>
      <w:r>
        <w:rPr>
          <w:rFonts w:hint="eastAsia" w:ascii="宋体" w:hAnsi="宋体"/>
          <w:sz w:val="24"/>
          <w:szCs w:val="24"/>
        </w:rPr>
        <w:t>。</w:t>
      </w:r>
    </w:p>
    <w:p>
      <w:pPr>
        <w:spacing w:line="440" w:lineRule="exact"/>
        <w:rPr>
          <w:rFonts w:ascii="宋体" w:hAnsi="宋体"/>
          <w:bCs/>
          <w:sz w:val="24"/>
          <w:szCs w:val="24"/>
        </w:rPr>
      </w:pPr>
      <w:r>
        <w:rPr>
          <w:rFonts w:hint="eastAsia" w:ascii="宋体" w:hAnsi="宋体"/>
          <w:bCs/>
          <w:sz w:val="24"/>
          <w:szCs w:val="24"/>
        </w:rPr>
        <w:t>（2）投标文件符合性检查</w:t>
      </w:r>
    </w:p>
    <w:p>
      <w:pPr>
        <w:spacing w:line="440" w:lineRule="exact"/>
        <w:ind w:firstLine="480" w:firstLineChars="200"/>
        <w:rPr>
          <w:rFonts w:ascii="宋体" w:hAnsi="宋体"/>
          <w:bCs/>
          <w:sz w:val="24"/>
          <w:szCs w:val="24"/>
        </w:rPr>
      </w:pPr>
      <w:r>
        <w:rPr>
          <w:rFonts w:hint="eastAsia" w:ascii="宋体" w:hAnsi="宋体"/>
          <w:bCs/>
          <w:sz w:val="24"/>
          <w:szCs w:val="24"/>
        </w:rPr>
        <w:t>1）各评委对各投标文件按照采购文件要求的响应情况进行符合性检查。符合性检查必须根据采购文件中对投标人的要求和投标文件中的响应进行。</w:t>
      </w:r>
    </w:p>
    <w:p>
      <w:pPr>
        <w:spacing w:line="440" w:lineRule="exact"/>
        <w:ind w:left="-3" w:leftChars="-1" w:firstLine="480" w:firstLineChars="200"/>
        <w:jc w:val="left"/>
        <w:rPr>
          <w:rFonts w:ascii="宋体" w:hAnsi="宋体"/>
          <w:bCs/>
          <w:sz w:val="24"/>
          <w:szCs w:val="24"/>
        </w:rPr>
      </w:pPr>
      <w:r>
        <w:rPr>
          <w:rFonts w:hint="eastAsia" w:ascii="宋体" w:hAnsi="宋体"/>
          <w:bCs/>
          <w:sz w:val="24"/>
          <w:szCs w:val="24"/>
        </w:rPr>
        <w:t>2）评标委员会可以书面方式要求投标人对投标文件中含义不明确、对同类问题表述不一致或者有明显文字和计算错误的内容作必要的澄清、说明或者补正。澄清、说明或者补正应以书面方式进行并不得超出投标文件的范围或者改变投标文件的实质性内容。</w:t>
      </w:r>
    </w:p>
    <w:p>
      <w:pPr>
        <w:spacing w:line="440" w:lineRule="exact"/>
        <w:ind w:left="-3" w:leftChars="-1" w:firstLine="480" w:firstLineChars="200"/>
        <w:jc w:val="left"/>
        <w:rPr>
          <w:rFonts w:ascii="宋体" w:hAnsi="宋体"/>
          <w:bCs/>
          <w:sz w:val="24"/>
          <w:szCs w:val="24"/>
        </w:rPr>
      </w:pPr>
      <w:r>
        <w:rPr>
          <w:rFonts w:hint="eastAsia" w:ascii="宋体" w:hAnsi="宋体"/>
          <w:bCs/>
          <w:sz w:val="24"/>
          <w:szCs w:val="24"/>
        </w:rPr>
        <w:t>3）在评审中发现关键指标/服务要求等未能达到采购文件中的规定或有虚假情况时，评标委员会有权取消其评审资格。</w:t>
      </w:r>
    </w:p>
    <w:p>
      <w:pPr>
        <w:spacing w:line="440" w:lineRule="exact"/>
        <w:ind w:left="-3" w:leftChars="-1" w:firstLine="480" w:firstLineChars="200"/>
        <w:jc w:val="left"/>
        <w:rPr>
          <w:rFonts w:ascii="宋体" w:hAnsi="宋体"/>
          <w:bCs/>
          <w:sz w:val="24"/>
          <w:szCs w:val="24"/>
        </w:rPr>
      </w:pPr>
      <w:r>
        <w:rPr>
          <w:rFonts w:hint="eastAsia" w:ascii="宋体" w:hAnsi="宋体"/>
          <w:bCs/>
          <w:sz w:val="24"/>
          <w:szCs w:val="24"/>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ind w:firstLine="480" w:firstLineChars="200"/>
        <w:rPr>
          <w:rFonts w:ascii="宋体" w:hAnsi="宋体"/>
          <w:bCs/>
          <w:sz w:val="24"/>
          <w:szCs w:val="24"/>
        </w:rPr>
      </w:pPr>
      <w:r>
        <w:rPr>
          <w:rFonts w:hint="eastAsia" w:ascii="宋体" w:hAnsi="宋体"/>
          <w:bCs/>
          <w:sz w:val="24"/>
          <w:szCs w:val="24"/>
        </w:rPr>
        <w:t>5）投标人只有完全通过符合性检查，才能进入下一阶段的详细评审，否则视为无效投标。（详见符合性检查表）</w:t>
      </w:r>
    </w:p>
    <w:p>
      <w:pPr>
        <w:spacing w:line="440" w:lineRule="exact"/>
        <w:rPr>
          <w:rFonts w:ascii="宋体" w:hAnsi="宋体"/>
          <w:bCs/>
          <w:sz w:val="24"/>
          <w:szCs w:val="24"/>
        </w:rPr>
      </w:pPr>
      <w:r>
        <w:rPr>
          <w:rFonts w:hint="eastAsia" w:ascii="宋体" w:hAnsi="宋体"/>
          <w:bCs/>
          <w:sz w:val="24"/>
          <w:szCs w:val="24"/>
        </w:rPr>
        <w:t>（3）投标文件详细评审</w:t>
      </w:r>
    </w:p>
    <w:p>
      <w:pPr>
        <w:spacing w:line="440" w:lineRule="exact"/>
        <w:ind w:firstLine="480" w:firstLineChars="200"/>
        <w:rPr>
          <w:rFonts w:ascii="宋体" w:hAnsi="宋体"/>
          <w:bCs/>
          <w:sz w:val="24"/>
          <w:szCs w:val="24"/>
        </w:rPr>
      </w:pPr>
      <w:r>
        <w:rPr>
          <w:rFonts w:hint="eastAsia" w:ascii="宋体" w:hAnsi="宋体"/>
          <w:bCs/>
          <w:sz w:val="24"/>
          <w:szCs w:val="24"/>
        </w:rPr>
        <w:t>当通过资格性审查及符合性检查的投标人多于或等于三家时，按照评标程序的规定和依据评分标准以及各项权重、资格性审查及符合性检查结果，各位评委单独就每个投标人的技术状况、商务状况进行评审和比较，评出其技术评分和商务评分。将技术得分、商务得分和价格得分相加得出综合得分，并按综合得分由高至低排出名次（出现并列得分时，价格低者排名在前）。评标委员会依据得分情况推荐出综合得分排名前两名分别作为第一中标候选人和第二中标候选人。</w:t>
      </w:r>
    </w:p>
    <w:p>
      <w:pPr>
        <w:spacing w:line="440" w:lineRule="exact"/>
        <w:ind w:firstLine="480" w:firstLineChars="200"/>
        <w:rPr>
          <w:rFonts w:ascii="宋体" w:hAnsi="宋体"/>
          <w:bCs/>
          <w:sz w:val="24"/>
          <w:szCs w:val="24"/>
        </w:rPr>
      </w:pPr>
      <w:r>
        <w:rPr>
          <w:rFonts w:hint="eastAsia" w:ascii="宋体" w:hAnsi="宋体"/>
          <w:bCs/>
          <w:sz w:val="24"/>
          <w:szCs w:val="24"/>
        </w:rPr>
        <w:t>当通过资格性审查或符合性检查的投标人少于三家时，否决所有投标文件，提请依法重新招标。</w:t>
      </w:r>
    </w:p>
    <w:p>
      <w:pPr>
        <w:pStyle w:val="4"/>
        <w:adjustRightInd/>
        <w:spacing w:before="0" w:after="0" w:line="440" w:lineRule="exact"/>
        <w:rPr>
          <w:b w:val="0"/>
          <w:bCs/>
          <w:sz w:val="24"/>
          <w:szCs w:val="24"/>
        </w:rPr>
      </w:pPr>
      <w:bookmarkStart w:id="211" w:name="_Toc95249605"/>
      <w:bookmarkStart w:id="212" w:name="_Toc35834932"/>
      <w:bookmarkStart w:id="213" w:name="_Toc68620010"/>
      <w:bookmarkStart w:id="214" w:name="_Toc28489528"/>
      <w:bookmarkStart w:id="215" w:name="_Toc113277290"/>
      <w:bookmarkStart w:id="216" w:name="_Toc104874463"/>
      <w:bookmarkStart w:id="217" w:name="_Toc28142596"/>
      <w:bookmarkStart w:id="218" w:name="_Toc95304221"/>
      <w:bookmarkStart w:id="219" w:name="_Toc101553554"/>
      <w:bookmarkStart w:id="220" w:name="_Toc138568670"/>
      <w:bookmarkStart w:id="221" w:name="_Toc131904928"/>
      <w:bookmarkStart w:id="222" w:name="_Toc148060904"/>
      <w:bookmarkStart w:id="223" w:name="_Toc124401380"/>
      <w:bookmarkStart w:id="224" w:name="_Toc138506090"/>
      <w:bookmarkStart w:id="225" w:name="_Toc102211722"/>
      <w:bookmarkStart w:id="226" w:name="_Toc67911940"/>
      <w:bookmarkStart w:id="227" w:name="_Toc148420068"/>
      <w:bookmarkStart w:id="228" w:name="_Toc104902927"/>
      <w:bookmarkStart w:id="229" w:name="_Toc108243614"/>
      <w:bookmarkStart w:id="230" w:name="_Toc34535378"/>
      <w:bookmarkStart w:id="231" w:name="_Toc150050900"/>
      <w:bookmarkStart w:id="232" w:name="_Toc125770206"/>
      <w:bookmarkStart w:id="233" w:name="_Toc66722110"/>
      <w:bookmarkStart w:id="234" w:name="_Toc131922501"/>
      <w:bookmarkStart w:id="235" w:name="_Toc169334814"/>
      <w:bookmarkStart w:id="236" w:name="_Toc124570685"/>
      <w:bookmarkStart w:id="237" w:name="_Toc108001798"/>
      <w:bookmarkStart w:id="238" w:name="_Toc101553659"/>
      <w:bookmarkStart w:id="239" w:name="_Toc124646432"/>
      <w:r>
        <w:rPr>
          <w:rFonts w:hint="eastAsia"/>
          <w:sz w:val="24"/>
          <w:szCs w:val="24"/>
        </w:rPr>
        <w:t>五.评分标准和权重</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spacing w:line="440" w:lineRule="exact"/>
        <w:rPr>
          <w:rFonts w:ascii="宋体" w:hAnsi="宋体"/>
          <w:b/>
          <w:sz w:val="24"/>
          <w:szCs w:val="24"/>
        </w:rPr>
      </w:pPr>
      <w:bookmarkStart w:id="240" w:name="_Toc26163628"/>
      <w:bookmarkStart w:id="241" w:name="_Toc28142597"/>
      <w:bookmarkStart w:id="242" w:name="_Toc28489529"/>
      <w:bookmarkStart w:id="243" w:name="_Toc31424230"/>
      <w:r>
        <w:rPr>
          <w:rFonts w:hint="eastAsia" w:ascii="宋体" w:hAnsi="宋体"/>
          <w:b/>
          <w:sz w:val="24"/>
          <w:szCs w:val="24"/>
        </w:rPr>
        <w:t>1.评分标准</w:t>
      </w:r>
      <w:bookmarkEnd w:id="240"/>
      <w:bookmarkEnd w:id="241"/>
      <w:bookmarkEnd w:id="242"/>
      <w:bookmarkEnd w:id="243"/>
    </w:p>
    <w:p>
      <w:pPr>
        <w:spacing w:line="440" w:lineRule="exact"/>
        <w:ind w:left="1" w:firstLine="460" w:firstLineChars="192"/>
        <w:jc w:val="left"/>
        <w:rPr>
          <w:rFonts w:ascii="宋体" w:hAnsi="宋体"/>
          <w:bCs/>
          <w:sz w:val="24"/>
          <w:szCs w:val="24"/>
        </w:rPr>
      </w:pPr>
      <w:r>
        <w:rPr>
          <w:rFonts w:hint="eastAsia" w:ascii="宋体" w:hAnsi="宋体"/>
          <w:bCs/>
          <w:sz w:val="24"/>
          <w:szCs w:val="24"/>
        </w:rPr>
        <w:t>评委根据各通过资格性审查及符合性检查投标人的投标文件，并逐项列出投标文件的全部投标偏差。</w:t>
      </w:r>
    </w:p>
    <w:p>
      <w:pPr>
        <w:spacing w:line="440" w:lineRule="exact"/>
        <w:ind w:left="1" w:firstLine="460" w:firstLineChars="192"/>
        <w:jc w:val="left"/>
        <w:rPr>
          <w:rFonts w:ascii="宋体" w:hAnsi="宋体"/>
          <w:bCs/>
          <w:sz w:val="24"/>
          <w:szCs w:val="24"/>
        </w:rPr>
      </w:pPr>
      <w:r>
        <w:rPr>
          <w:rFonts w:hint="eastAsia" w:ascii="宋体" w:hAnsi="宋体"/>
          <w:bCs/>
          <w:sz w:val="24"/>
          <w:szCs w:val="24"/>
        </w:rPr>
        <w:t>评分应考虑到投标文件与采购文件之间的细微偏差。细微偏差是指投标文件在实质上响应采购文件要求，但在个别地方存在漏项或者提供了不完整的技术信息和数据等情况，并且补正这些遗漏或者不完整不会对其他投标人造成不公平的结果。细微偏差不影响投标文件的有效性。在详细评审时对细微偏差作不利于该投标人的量化。</w:t>
      </w:r>
    </w:p>
    <w:p>
      <w:pPr>
        <w:spacing w:line="440" w:lineRule="exact"/>
        <w:ind w:firstLine="480" w:firstLineChars="200"/>
        <w:rPr>
          <w:rFonts w:ascii="宋体" w:hAnsi="宋体"/>
          <w:bCs/>
          <w:sz w:val="24"/>
          <w:szCs w:val="24"/>
        </w:rPr>
      </w:pPr>
      <w:r>
        <w:rPr>
          <w:rFonts w:hint="eastAsia" w:ascii="宋体" w:hAnsi="宋体"/>
          <w:bCs/>
          <w:sz w:val="24"/>
          <w:szCs w:val="24"/>
        </w:rPr>
        <w:t>评委对投标文件的技术及商务响应情况进行评分。评分采用量化方法。</w:t>
      </w:r>
    </w:p>
    <w:p>
      <w:pPr>
        <w:spacing w:line="440" w:lineRule="exact"/>
        <w:ind w:firstLine="403" w:firstLineChars="168"/>
        <w:rPr>
          <w:rFonts w:ascii="宋体" w:hAnsi="宋体"/>
          <w:bCs/>
          <w:sz w:val="24"/>
          <w:szCs w:val="24"/>
        </w:rPr>
      </w:pPr>
      <w:r>
        <w:rPr>
          <w:rFonts w:hint="eastAsia" w:ascii="宋体" w:hAnsi="宋体"/>
          <w:bCs/>
          <w:sz w:val="24"/>
          <w:szCs w:val="24"/>
        </w:rPr>
        <w:t>技术、商务、价格评分应分别考虑下列因素：</w:t>
      </w:r>
    </w:p>
    <w:p>
      <w:pPr>
        <w:spacing w:line="440" w:lineRule="exact"/>
        <w:ind w:left="540"/>
        <w:rPr>
          <w:rFonts w:ascii="宋体" w:hAnsi="宋体"/>
          <w:bCs/>
          <w:sz w:val="24"/>
          <w:szCs w:val="24"/>
        </w:rPr>
      </w:pPr>
      <w:r>
        <w:rPr>
          <w:rFonts w:hint="eastAsia" w:ascii="宋体" w:hAnsi="宋体"/>
          <w:bCs/>
          <w:sz w:val="24"/>
          <w:szCs w:val="24"/>
        </w:rPr>
        <w:t>（1）技术评分（见技术评分标准）</w:t>
      </w:r>
    </w:p>
    <w:p>
      <w:pPr>
        <w:spacing w:line="440" w:lineRule="exact"/>
        <w:ind w:left="540"/>
        <w:rPr>
          <w:rFonts w:ascii="宋体" w:hAnsi="宋体"/>
          <w:bCs/>
          <w:sz w:val="24"/>
          <w:szCs w:val="24"/>
        </w:rPr>
      </w:pPr>
      <w:r>
        <w:rPr>
          <w:rFonts w:hint="eastAsia" w:ascii="宋体" w:hAnsi="宋体"/>
          <w:bCs/>
          <w:sz w:val="24"/>
          <w:szCs w:val="24"/>
        </w:rPr>
        <w:t>（2）商务评分（见商务评分标准）</w:t>
      </w:r>
    </w:p>
    <w:p>
      <w:pPr>
        <w:spacing w:line="440" w:lineRule="exact"/>
        <w:ind w:left="1" w:firstLine="460" w:firstLineChars="192"/>
        <w:jc w:val="left"/>
        <w:rPr>
          <w:rFonts w:ascii="宋体" w:hAnsi="宋体"/>
          <w:bCs/>
          <w:sz w:val="24"/>
          <w:szCs w:val="24"/>
        </w:rPr>
      </w:pPr>
      <w:r>
        <w:rPr>
          <w:rFonts w:hint="eastAsia" w:ascii="宋体" w:hAnsi="宋体"/>
          <w:bCs/>
          <w:sz w:val="24"/>
          <w:szCs w:val="24"/>
        </w:rPr>
        <w:t>（3）价格的开启和评分</w:t>
      </w:r>
    </w:p>
    <w:p>
      <w:pPr>
        <w:spacing w:line="440" w:lineRule="exact"/>
        <w:ind w:firstLine="480" w:firstLineChars="200"/>
        <w:rPr>
          <w:rFonts w:hint="eastAsia" w:ascii="宋体" w:hAnsi="宋体"/>
          <w:bCs/>
          <w:sz w:val="24"/>
          <w:szCs w:val="24"/>
          <w:highlight w:val="none"/>
        </w:rPr>
      </w:pPr>
      <w:r>
        <w:rPr>
          <w:rFonts w:hint="eastAsia" w:ascii="宋体" w:hAnsi="宋体"/>
          <w:bCs/>
          <w:sz w:val="24"/>
          <w:szCs w:val="24"/>
          <w:highlight w:val="none"/>
        </w:rPr>
        <w:t>以所有投标人有效投标价的</w:t>
      </w:r>
      <w:r>
        <w:rPr>
          <w:rFonts w:hint="eastAsia" w:ascii="宋体" w:hAnsi="宋体"/>
          <w:bCs/>
          <w:sz w:val="24"/>
          <w:szCs w:val="24"/>
          <w:highlight w:val="none"/>
          <w:lang w:val="en-US" w:eastAsia="zh-CN"/>
        </w:rPr>
        <w:t>最低报价</w:t>
      </w:r>
      <w:r>
        <w:rPr>
          <w:rFonts w:hint="eastAsia" w:ascii="宋体" w:hAnsi="宋体"/>
          <w:bCs/>
          <w:sz w:val="24"/>
          <w:szCs w:val="24"/>
          <w:highlight w:val="none"/>
        </w:rPr>
        <w:t>为评标基准价，</w:t>
      </w:r>
      <w:bookmarkStart w:id="244" w:name="_Toc28142598"/>
      <w:bookmarkStart w:id="245" w:name="_Toc26163629"/>
      <w:bookmarkStart w:id="246" w:name="_Toc28489530"/>
      <w:r>
        <w:rPr>
          <w:rFonts w:hint="eastAsia" w:ascii="宋体" w:hAnsi="宋体"/>
          <w:bCs/>
          <w:sz w:val="24"/>
          <w:szCs w:val="24"/>
          <w:highlight w:val="none"/>
        </w:rPr>
        <w:t>其价格分为满分</w:t>
      </w:r>
      <w:r>
        <w:rPr>
          <w:rFonts w:hint="eastAsia" w:ascii="宋体" w:hAnsi="宋体"/>
          <w:bCs/>
          <w:sz w:val="24"/>
          <w:szCs w:val="24"/>
          <w:highlight w:val="none"/>
          <w:lang w:eastAsia="zh-CN"/>
        </w:rPr>
        <w:t>，</w:t>
      </w:r>
      <w:r>
        <w:rPr>
          <w:rFonts w:hint="eastAsia" w:ascii="宋体" w:hAnsi="宋体"/>
          <w:bCs/>
          <w:sz w:val="24"/>
          <w:szCs w:val="24"/>
          <w:highlight w:val="none"/>
        </w:rPr>
        <w:t>其他投标人的价格分统一按照下列公式计算：投标报价得分=(评标基准价／投标报价)×100×</w:t>
      </w:r>
      <w:r>
        <w:rPr>
          <w:rFonts w:hint="eastAsia" w:ascii="宋体" w:hAnsi="宋体"/>
          <w:bCs/>
          <w:sz w:val="24"/>
          <w:szCs w:val="24"/>
          <w:highlight w:val="none"/>
          <w:lang w:val="en-US" w:eastAsia="zh-CN"/>
        </w:rPr>
        <w:t>4</w:t>
      </w:r>
      <w:r>
        <w:rPr>
          <w:rFonts w:hint="eastAsia" w:ascii="宋体" w:hAnsi="宋体"/>
          <w:bCs/>
          <w:sz w:val="24"/>
          <w:szCs w:val="24"/>
          <w:highlight w:val="none"/>
        </w:rPr>
        <w:t>0%</w:t>
      </w:r>
      <w:r>
        <w:rPr>
          <w:rFonts w:hint="eastAsia" w:ascii="宋体" w:hAnsi="宋体"/>
          <w:bCs/>
          <w:sz w:val="24"/>
          <w:szCs w:val="24"/>
          <w:highlight w:val="none"/>
          <w:lang w:eastAsia="zh-CN"/>
        </w:rPr>
        <w:t>，数字均保留两位小数，第三位“四舍五入”</w:t>
      </w:r>
      <w:r>
        <w:rPr>
          <w:rFonts w:hint="eastAsia" w:ascii="宋体" w:hAnsi="宋体"/>
          <w:bCs/>
          <w:sz w:val="24"/>
          <w:szCs w:val="24"/>
          <w:highlight w:val="none"/>
        </w:rPr>
        <w:t>。</w:t>
      </w:r>
    </w:p>
    <w:p>
      <w:pPr>
        <w:spacing w:line="440" w:lineRule="exact"/>
        <w:rPr>
          <w:highlight w:val="none"/>
        </w:rPr>
      </w:pPr>
      <w:r>
        <w:rPr>
          <w:rFonts w:hint="eastAsia" w:ascii="宋体" w:hAnsi="宋体" w:eastAsia="宋体"/>
          <w:b/>
          <w:sz w:val="24"/>
          <w:szCs w:val="24"/>
          <w:highlight w:val="none"/>
          <w:lang w:val="en-US" w:eastAsia="zh-CN"/>
        </w:rPr>
        <w:t>2</w:t>
      </w:r>
      <w:r>
        <w:rPr>
          <w:rFonts w:hint="eastAsia" w:ascii="宋体" w:hAnsi="宋体"/>
          <w:b/>
          <w:sz w:val="24"/>
          <w:szCs w:val="24"/>
          <w:highlight w:val="none"/>
          <w:lang w:val="en-US" w:eastAsia="zh-CN"/>
        </w:rPr>
        <w:t>.</w:t>
      </w:r>
      <w:r>
        <w:rPr>
          <w:rFonts w:hint="eastAsia" w:ascii="宋体" w:hAnsi="宋体" w:eastAsia="宋体"/>
          <w:b/>
          <w:sz w:val="24"/>
          <w:szCs w:val="24"/>
          <w:highlight w:val="none"/>
        </w:rPr>
        <w:t>权重分配</w:t>
      </w:r>
      <w:bookmarkEnd w:id="244"/>
      <w:bookmarkEnd w:id="245"/>
      <w:bookmarkEnd w:id="246"/>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spacing w:line="440" w:lineRule="exact"/>
              <w:jc w:val="center"/>
              <w:rPr>
                <w:rFonts w:ascii="宋体" w:hAnsi="宋体"/>
                <w:bCs/>
                <w:sz w:val="24"/>
                <w:szCs w:val="24"/>
                <w:highlight w:val="none"/>
              </w:rPr>
            </w:pPr>
            <w:r>
              <w:rPr>
                <w:rFonts w:hint="eastAsia" w:ascii="宋体" w:hAnsi="宋体"/>
                <w:bCs/>
                <w:sz w:val="24"/>
                <w:szCs w:val="24"/>
                <w:highlight w:val="none"/>
              </w:rPr>
              <w:t>评分项目</w:t>
            </w:r>
          </w:p>
        </w:tc>
        <w:tc>
          <w:tcPr>
            <w:tcW w:w="2130" w:type="dxa"/>
            <w:vAlign w:val="center"/>
          </w:tcPr>
          <w:p>
            <w:pPr>
              <w:spacing w:line="440" w:lineRule="exact"/>
              <w:jc w:val="center"/>
              <w:rPr>
                <w:rFonts w:ascii="宋体" w:hAnsi="宋体"/>
                <w:bCs/>
                <w:sz w:val="24"/>
                <w:szCs w:val="24"/>
                <w:highlight w:val="none"/>
              </w:rPr>
            </w:pPr>
            <w:r>
              <w:rPr>
                <w:rFonts w:hint="eastAsia" w:ascii="宋体" w:hAnsi="宋体"/>
                <w:bCs/>
                <w:sz w:val="24"/>
                <w:szCs w:val="24"/>
                <w:highlight w:val="none"/>
              </w:rPr>
              <w:t>技术部分</w:t>
            </w:r>
          </w:p>
        </w:tc>
        <w:tc>
          <w:tcPr>
            <w:tcW w:w="2131" w:type="dxa"/>
            <w:vAlign w:val="center"/>
          </w:tcPr>
          <w:p>
            <w:pPr>
              <w:spacing w:line="440" w:lineRule="exact"/>
              <w:jc w:val="center"/>
              <w:rPr>
                <w:rFonts w:ascii="宋体" w:hAnsi="宋体"/>
                <w:bCs/>
                <w:sz w:val="24"/>
                <w:szCs w:val="24"/>
                <w:highlight w:val="none"/>
              </w:rPr>
            </w:pPr>
            <w:r>
              <w:rPr>
                <w:rFonts w:hint="eastAsia" w:ascii="宋体" w:hAnsi="宋体"/>
                <w:bCs/>
                <w:sz w:val="24"/>
                <w:szCs w:val="24"/>
                <w:highlight w:val="none"/>
              </w:rPr>
              <w:t>商务部分</w:t>
            </w:r>
          </w:p>
        </w:tc>
        <w:tc>
          <w:tcPr>
            <w:tcW w:w="2131" w:type="dxa"/>
            <w:vAlign w:val="center"/>
          </w:tcPr>
          <w:p>
            <w:pPr>
              <w:spacing w:line="440" w:lineRule="exact"/>
              <w:jc w:val="center"/>
              <w:rPr>
                <w:rFonts w:ascii="宋体" w:hAnsi="宋体"/>
                <w:bCs/>
                <w:sz w:val="24"/>
                <w:szCs w:val="24"/>
                <w:highlight w:val="none"/>
              </w:rPr>
            </w:pPr>
            <w:r>
              <w:rPr>
                <w:rFonts w:hint="eastAsia" w:ascii="宋体" w:hAnsi="宋体"/>
                <w:bCs/>
                <w:sz w:val="24"/>
                <w:szCs w:val="24"/>
                <w:highlight w:val="none"/>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30" w:type="dxa"/>
            <w:vAlign w:val="center"/>
          </w:tcPr>
          <w:p>
            <w:pPr>
              <w:spacing w:line="440" w:lineRule="exact"/>
              <w:jc w:val="center"/>
              <w:rPr>
                <w:rFonts w:ascii="宋体" w:hAnsi="宋体"/>
                <w:bCs/>
                <w:sz w:val="24"/>
                <w:szCs w:val="24"/>
                <w:highlight w:val="none"/>
              </w:rPr>
            </w:pPr>
            <w:r>
              <w:rPr>
                <w:rFonts w:hint="eastAsia" w:ascii="宋体" w:hAnsi="宋体"/>
                <w:bCs/>
                <w:sz w:val="24"/>
                <w:szCs w:val="24"/>
                <w:highlight w:val="none"/>
              </w:rPr>
              <w:t>权重</w:t>
            </w:r>
          </w:p>
        </w:tc>
        <w:tc>
          <w:tcPr>
            <w:tcW w:w="2130" w:type="dxa"/>
            <w:vAlign w:val="center"/>
          </w:tcPr>
          <w:p>
            <w:pPr>
              <w:spacing w:line="440" w:lineRule="exact"/>
              <w:jc w:val="center"/>
              <w:rPr>
                <w:rFonts w:ascii="宋体" w:hAnsi="宋体"/>
                <w:bCs/>
                <w:sz w:val="24"/>
                <w:szCs w:val="24"/>
                <w:highlight w:val="none"/>
              </w:rPr>
            </w:pPr>
            <w:r>
              <w:rPr>
                <w:rFonts w:hint="eastAsia" w:ascii="宋体" w:hAnsi="宋体"/>
                <w:bCs/>
                <w:sz w:val="24"/>
                <w:szCs w:val="24"/>
                <w:highlight w:val="none"/>
                <w:lang w:val="en-US" w:eastAsia="zh-CN"/>
              </w:rPr>
              <w:t>40</w:t>
            </w:r>
            <w:r>
              <w:rPr>
                <w:rFonts w:hint="eastAsia" w:ascii="宋体" w:hAnsi="宋体"/>
                <w:bCs/>
                <w:sz w:val="24"/>
                <w:szCs w:val="24"/>
                <w:highlight w:val="none"/>
              </w:rPr>
              <w:t>%</w:t>
            </w:r>
          </w:p>
        </w:tc>
        <w:tc>
          <w:tcPr>
            <w:tcW w:w="2131" w:type="dxa"/>
            <w:vAlign w:val="center"/>
          </w:tcPr>
          <w:p>
            <w:pPr>
              <w:spacing w:line="440" w:lineRule="exact"/>
              <w:jc w:val="center"/>
              <w:rPr>
                <w:rFonts w:ascii="宋体" w:hAnsi="宋体"/>
                <w:bCs/>
                <w:sz w:val="24"/>
                <w:szCs w:val="24"/>
                <w:highlight w:val="none"/>
              </w:rPr>
            </w:pPr>
            <w:r>
              <w:rPr>
                <w:rFonts w:hint="eastAsia" w:ascii="宋体" w:hAnsi="宋体"/>
                <w:bCs/>
                <w:sz w:val="24"/>
                <w:szCs w:val="24"/>
                <w:highlight w:val="none"/>
                <w:lang w:val="en-US" w:eastAsia="zh-CN"/>
              </w:rPr>
              <w:t>20</w:t>
            </w:r>
            <w:r>
              <w:rPr>
                <w:rFonts w:hint="eastAsia" w:ascii="宋体" w:hAnsi="宋体"/>
                <w:bCs/>
                <w:sz w:val="24"/>
                <w:szCs w:val="24"/>
                <w:highlight w:val="none"/>
              </w:rPr>
              <w:t>%</w:t>
            </w:r>
          </w:p>
        </w:tc>
        <w:tc>
          <w:tcPr>
            <w:tcW w:w="2131" w:type="dxa"/>
            <w:vAlign w:val="center"/>
          </w:tcPr>
          <w:p>
            <w:pPr>
              <w:spacing w:line="440" w:lineRule="exact"/>
              <w:jc w:val="center"/>
              <w:rPr>
                <w:rFonts w:ascii="宋体" w:hAnsi="宋体"/>
                <w:bCs/>
                <w:sz w:val="24"/>
                <w:szCs w:val="24"/>
                <w:highlight w:val="none"/>
              </w:rPr>
            </w:pPr>
            <w:r>
              <w:rPr>
                <w:rFonts w:hint="eastAsia" w:ascii="宋体" w:hAnsi="宋体"/>
                <w:bCs/>
                <w:sz w:val="24"/>
                <w:szCs w:val="24"/>
                <w:highlight w:val="none"/>
                <w:lang w:val="en-US" w:eastAsia="zh-CN"/>
              </w:rPr>
              <w:t>4</w:t>
            </w:r>
            <w:r>
              <w:rPr>
                <w:rFonts w:hint="eastAsia" w:ascii="宋体" w:hAnsi="宋体"/>
                <w:bCs/>
                <w:sz w:val="24"/>
                <w:szCs w:val="24"/>
                <w:highlight w:val="none"/>
              </w:rPr>
              <w:t>0%</w:t>
            </w:r>
          </w:p>
        </w:tc>
      </w:tr>
    </w:tbl>
    <w:p>
      <w:pPr>
        <w:spacing w:line="440" w:lineRule="exact"/>
        <w:rPr>
          <w:rFonts w:ascii="宋体" w:hAnsi="宋体"/>
          <w:b/>
          <w:sz w:val="24"/>
          <w:szCs w:val="24"/>
          <w:highlight w:val="none"/>
        </w:rPr>
      </w:pPr>
      <w:bookmarkStart w:id="247" w:name="_Toc28489531"/>
      <w:bookmarkStart w:id="248" w:name="_Toc26163630"/>
      <w:bookmarkStart w:id="249" w:name="_Toc28142599"/>
    </w:p>
    <w:p>
      <w:pPr>
        <w:spacing w:line="440" w:lineRule="exact"/>
        <w:rPr>
          <w:rFonts w:hint="eastAsia" w:ascii="宋体" w:hAnsi="宋体"/>
          <w:b/>
          <w:sz w:val="24"/>
          <w:szCs w:val="24"/>
        </w:rPr>
      </w:pPr>
    </w:p>
    <w:p>
      <w:pPr>
        <w:spacing w:line="440" w:lineRule="exact"/>
        <w:rPr>
          <w:rFonts w:hint="eastAsia" w:ascii="宋体" w:hAnsi="宋体"/>
          <w:b/>
          <w:sz w:val="24"/>
          <w:szCs w:val="24"/>
        </w:rPr>
      </w:pPr>
    </w:p>
    <w:p>
      <w:pPr>
        <w:spacing w:line="440" w:lineRule="exact"/>
        <w:rPr>
          <w:rFonts w:ascii="宋体" w:hAnsi="宋体"/>
          <w:b/>
          <w:sz w:val="24"/>
          <w:szCs w:val="24"/>
        </w:rPr>
      </w:pPr>
      <w:r>
        <w:rPr>
          <w:rFonts w:hint="eastAsia" w:ascii="宋体" w:hAnsi="宋体"/>
          <w:b/>
          <w:sz w:val="24"/>
          <w:szCs w:val="24"/>
        </w:rPr>
        <w:t>3.综合得分</w:t>
      </w:r>
      <w:bookmarkEnd w:id="247"/>
      <w:bookmarkEnd w:id="248"/>
      <w:bookmarkEnd w:id="249"/>
    </w:p>
    <w:p>
      <w:pPr>
        <w:spacing w:line="440" w:lineRule="exact"/>
        <w:ind w:left="540"/>
        <w:rPr>
          <w:rFonts w:ascii="宋体" w:hAnsi="宋体"/>
          <w:bCs/>
          <w:sz w:val="24"/>
          <w:szCs w:val="24"/>
        </w:rPr>
      </w:pPr>
      <w:r>
        <w:rPr>
          <w:rFonts w:hint="eastAsia" w:ascii="宋体" w:hAnsi="宋体"/>
          <w:sz w:val="24"/>
          <w:szCs w:val="24"/>
        </w:rPr>
        <w:t>综合得分=技术部分得分+商务部分得分+价格部分得分</w:t>
      </w:r>
    </w:p>
    <w:p>
      <w:pPr>
        <w:spacing w:line="440" w:lineRule="exact"/>
        <w:ind w:firstLine="540" w:firstLineChars="225"/>
        <w:rPr>
          <w:rFonts w:ascii="宋体" w:hAnsi="宋体"/>
          <w:bCs/>
          <w:sz w:val="24"/>
          <w:szCs w:val="24"/>
        </w:rPr>
      </w:pPr>
      <w:r>
        <w:rPr>
          <w:rFonts w:hint="eastAsia" w:ascii="宋体" w:hAnsi="宋体"/>
          <w:bCs/>
          <w:sz w:val="24"/>
          <w:szCs w:val="24"/>
        </w:rPr>
        <w:t>评标委员会根据投标人</w:t>
      </w:r>
      <w:r>
        <w:rPr>
          <w:rFonts w:hint="eastAsia" w:ascii="宋体" w:hAnsi="宋体"/>
          <w:sz w:val="24"/>
          <w:szCs w:val="24"/>
        </w:rPr>
        <w:t>综合得分</w:t>
      </w:r>
      <w:r>
        <w:rPr>
          <w:rFonts w:hint="eastAsia" w:ascii="宋体" w:hAnsi="宋体"/>
          <w:bCs/>
          <w:sz w:val="24"/>
          <w:szCs w:val="24"/>
        </w:rPr>
        <w:t>高低排定名次</w:t>
      </w:r>
      <w:r>
        <w:rPr>
          <w:rFonts w:hint="eastAsia"/>
          <w:sz w:val="24"/>
          <w:szCs w:val="24"/>
        </w:rPr>
        <w:t>，如果综合得分相同时，以有效投标报价低者排前，评标委员会编写评标报告，并全体签字确认</w:t>
      </w:r>
      <w:r>
        <w:rPr>
          <w:rFonts w:hint="eastAsia"/>
          <w:sz w:val="24"/>
          <w:szCs w:val="24"/>
          <w:lang w:eastAsia="zh-CN"/>
        </w:rPr>
        <w:t>。</w:t>
      </w:r>
    </w:p>
    <w:p>
      <w:pPr>
        <w:pStyle w:val="4"/>
        <w:adjustRightInd/>
        <w:spacing w:before="0" w:after="0" w:line="440" w:lineRule="exact"/>
        <w:rPr>
          <w:b w:val="0"/>
          <w:bCs/>
          <w:sz w:val="24"/>
          <w:szCs w:val="24"/>
        </w:rPr>
      </w:pPr>
      <w:bookmarkStart w:id="250" w:name="_Toc150050901"/>
      <w:bookmarkStart w:id="251" w:name="_Toc125770207"/>
      <w:bookmarkStart w:id="252" w:name="_Toc28489532"/>
      <w:bookmarkStart w:id="253" w:name="_Toc35834933"/>
      <w:bookmarkStart w:id="254" w:name="_Toc95304222"/>
      <w:bookmarkStart w:id="255" w:name="_Toc104902928"/>
      <w:bookmarkStart w:id="256" w:name="_Toc95249606"/>
      <w:bookmarkStart w:id="257" w:name="_Toc124570686"/>
      <w:bookmarkStart w:id="258" w:name="_Toc102211723"/>
      <w:bookmarkStart w:id="259" w:name="_Toc138506091"/>
      <w:bookmarkStart w:id="260" w:name="_Toc148420069"/>
      <w:bookmarkStart w:id="261" w:name="_Toc148060905"/>
      <w:bookmarkStart w:id="262" w:name="_Toc34535379"/>
      <w:bookmarkStart w:id="263" w:name="_Toc169334815"/>
      <w:bookmarkStart w:id="264" w:name="_Toc101553555"/>
      <w:bookmarkStart w:id="265" w:name="_Toc113277291"/>
      <w:bookmarkStart w:id="266" w:name="_Toc124401381"/>
      <w:bookmarkStart w:id="267" w:name="_Toc108001799"/>
      <w:bookmarkStart w:id="268" w:name="_Toc66722111"/>
      <w:bookmarkStart w:id="269" w:name="_Toc101553660"/>
      <w:bookmarkStart w:id="270" w:name="_Toc138568671"/>
      <w:bookmarkStart w:id="271" w:name="_Toc68620011"/>
      <w:bookmarkStart w:id="272" w:name="_Toc131922502"/>
      <w:bookmarkStart w:id="273" w:name="_Toc124646433"/>
      <w:bookmarkStart w:id="274" w:name="_Toc104874464"/>
      <w:bookmarkStart w:id="275" w:name="_Toc28142600"/>
      <w:bookmarkStart w:id="276" w:name="_Toc131904929"/>
      <w:bookmarkStart w:id="277" w:name="_Toc108243615"/>
      <w:bookmarkStart w:id="278" w:name="_Toc67911941"/>
      <w:r>
        <w:rPr>
          <w:rFonts w:hint="eastAsia"/>
          <w:sz w:val="24"/>
          <w:szCs w:val="24"/>
        </w:rPr>
        <w:t>六.定标和授标</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pPr>
        <w:spacing w:line="440" w:lineRule="exact"/>
        <w:ind w:left="1" w:firstLine="460" w:firstLineChars="192"/>
        <w:jc w:val="left"/>
        <w:rPr>
          <w:rFonts w:ascii="宋体" w:hAnsi="宋体"/>
          <w:bCs/>
          <w:sz w:val="24"/>
          <w:szCs w:val="24"/>
        </w:rPr>
      </w:pPr>
      <w:r>
        <w:rPr>
          <w:rFonts w:hint="eastAsia" w:ascii="宋体" w:hAnsi="宋体"/>
          <w:bCs/>
          <w:sz w:val="24"/>
          <w:szCs w:val="24"/>
        </w:rPr>
        <w:t>评标委员会</w:t>
      </w:r>
      <w:r>
        <w:rPr>
          <w:rFonts w:hint="eastAsia"/>
          <w:sz w:val="24"/>
          <w:szCs w:val="24"/>
        </w:rPr>
        <w:t>推荐满足采购文件要求且综合得分排序的名次最高者为第一中标候选人，推荐满足采购文件要求且综合得分排序的名次次高者为第二中标候选人</w:t>
      </w:r>
      <w:r>
        <w:rPr>
          <w:rFonts w:hint="eastAsia" w:ascii="宋体" w:hAnsi="宋体"/>
          <w:bCs/>
          <w:sz w:val="24"/>
          <w:szCs w:val="24"/>
        </w:rPr>
        <w:t>。第一中标候选人未能通过资格后审或放弃中标、或因不可抗力提出不能履行合同的，采购人可以确定排名次高的第二中标候选人为中标人。</w:t>
      </w:r>
    </w:p>
    <w:p>
      <w:pPr>
        <w:spacing w:line="440" w:lineRule="exact"/>
        <w:ind w:firstLine="480" w:firstLineChars="200"/>
        <w:rPr>
          <w:rFonts w:ascii="宋体" w:hAnsi="宋体"/>
          <w:bCs/>
          <w:sz w:val="24"/>
          <w:szCs w:val="24"/>
        </w:rPr>
      </w:pPr>
      <w:r>
        <w:rPr>
          <w:rFonts w:hint="eastAsia" w:ascii="宋体" w:hAnsi="宋体"/>
          <w:bCs/>
          <w:sz w:val="24"/>
          <w:szCs w:val="24"/>
        </w:rPr>
        <w:t>评标委员会提出评标书面报告和推荐候选中标意见报采购人确认，确认后由采购人与对投标人的资格和履约能力进行再次审查，形成最终合同的基础文件。发现预中标人存在重大问题造成其履约能力不能满足要求的，可以取消其中标资格。</w:t>
      </w:r>
    </w:p>
    <w:p>
      <w:pPr>
        <w:spacing w:line="440" w:lineRule="exact"/>
        <w:ind w:firstLine="480" w:firstLineChars="200"/>
        <w:rPr>
          <w:rFonts w:ascii="宋体" w:hAnsi="宋体"/>
          <w:bCs/>
          <w:sz w:val="24"/>
          <w:szCs w:val="24"/>
        </w:rPr>
      </w:pPr>
      <w:r>
        <w:rPr>
          <w:rFonts w:hint="eastAsia" w:ascii="宋体" w:hAnsi="宋体"/>
          <w:bCs/>
          <w:sz w:val="24"/>
          <w:szCs w:val="24"/>
        </w:rPr>
        <w:t>由采购人确认的结果发出中标通知书。中标人应按采购文件规定向采购人提交相应文件，并在规定时间内与采购人签订合同。</w:t>
      </w:r>
    </w:p>
    <w:p>
      <w:pPr>
        <w:pStyle w:val="4"/>
        <w:adjustRightInd/>
        <w:spacing w:before="0" w:after="0" w:line="440" w:lineRule="exact"/>
        <w:rPr>
          <w:bCs/>
          <w:sz w:val="24"/>
          <w:szCs w:val="24"/>
        </w:rPr>
      </w:pPr>
      <w:bookmarkStart w:id="279" w:name="_Toc95304223"/>
      <w:bookmarkStart w:id="280" w:name="_Toc35834934"/>
      <w:bookmarkStart w:id="281" w:name="_Toc124646434"/>
      <w:bookmarkStart w:id="282" w:name="_Toc101553661"/>
      <w:bookmarkStart w:id="283" w:name="_Toc138568672"/>
      <w:bookmarkStart w:id="284" w:name="_Toc124401382"/>
      <w:bookmarkStart w:id="285" w:name="_Toc95249607"/>
      <w:bookmarkStart w:id="286" w:name="_Toc150050902"/>
      <w:bookmarkStart w:id="287" w:name="_Toc101553556"/>
      <w:bookmarkStart w:id="288" w:name="_Toc169334816"/>
      <w:bookmarkStart w:id="289" w:name="_Toc148060906"/>
      <w:bookmarkStart w:id="290" w:name="_Toc28489533"/>
      <w:bookmarkStart w:id="291" w:name="_Toc108243616"/>
      <w:bookmarkStart w:id="292" w:name="_Toc131904930"/>
      <w:bookmarkStart w:id="293" w:name="_Toc67911942"/>
      <w:bookmarkStart w:id="294" w:name="_Toc66722112"/>
      <w:bookmarkStart w:id="295" w:name="_Toc108001800"/>
      <w:bookmarkStart w:id="296" w:name="_Toc148420070"/>
      <w:bookmarkStart w:id="297" w:name="_Toc125770208"/>
      <w:bookmarkStart w:id="298" w:name="_Toc104874465"/>
      <w:bookmarkStart w:id="299" w:name="_Toc34535380"/>
      <w:bookmarkStart w:id="300" w:name="_Toc68620012"/>
      <w:bookmarkStart w:id="301" w:name="_Toc102211724"/>
      <w:bookmarkStart w:id="302" w:name="_Toc124570687"/>
      <w:bookmarkStart w:id="303" w:name="_Toc104902929"/>
      <w:bookmarkStart w:id="304" w:name="_Toc113277292"/>
      <w:bookmarkStart w:id="305" w:name="_Toc138506092"/>
      <w:bookmarkStart w:id="306" w:name="_Toc28142601"/>
      <w:bookmarkStart w:id="307" w:name="_Toc131922503"/>
      <w:r>
        <w:rPr>
          <w:rFonts w:hint="eastAsia"/>
          <w:sz w:val="24"/>
          <w:szCs w:val="24"/>
        </w:rPr>
        <w:t>七.附件</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spacing w:line="440" w:lineRule="exact"/>
        <w:ind w:firstLine="460" w:firstLineChars="192"/>
        <w:rPr>
          <w:rFonts w:ascii="宋体" w:hAnsi="宋体"/>
          <w:bCs/>
          <w:sz w:val="24"/>
          <w:szCs w:val="24"/>
        </w:rPr>
      </w:pPr>
      <w:r>
        <w:rPr>
          <w:rFonts w:hint="eastAsia" w:ascii="宋体" w:hAnsi="宋体"/>
          <w:bCs/>
          <w:sz w:val="24"/>
          <w:szCs w:val="24"/>
        </w:rPr>
        <w:t>本评标文件包括以下评标过程中所需文件附件：</w:t>
      </w:r>
    </w:p>
    <w:p>
      <w:pPr>
        <w:spacing w:line="440" w:lineRule="exact"/>
        <w:ind w:firstLine="960" w:firstLineChars="400"/>
        <w:rPr>
          <w:rFonts w:ascii="宋体" w:hAnsi="宋体"/>
          <w:bCs/>
          <w:sz w:val="24"/>
          <w:szCs w:val="24"/>
        </w:rPr>
      </w:pPr>
      <w:r>
        <w:rPr>
          <w:rFonts w:hint="eastAsia" w:ascii="宋体" w:hAnsi="宋体"/>
          <w:bCs/>
          <w:sz w:val="24"/>
          <w:szCs w:val="24"/>
        </w:rPr>
        <w:t>附件1       符合性审查表</w:t>
      </w:r>
    </w:p>
    <w:p>
      <w:pPr>
        <w:spacing w:line="440" w:lineRule="exact"/>
        <w:ind w:firstLine="960" w:firstLineChars="400"/>
        <w:rPr>
          <w:rFonts w:ascii="宋体" w:hAnsi="宋体"/>
          <w:bCs/>
          <w:sz w:val="24"/>
          <w:szCs w:val="24"/>
        </w:rPr>
      </w:pPr>
      <w:r>
        <w:rPr>
          <w:rFonts w:hint="eastAsia" w:ascii="宋体" w:hAnsi="宋体"/>
          <w:bCs/>
          <w:sz w:val="24"/>
          <w:szCs w:val="24"/>
        </w:rPr>
        <w:t>附件2       技术评分标准</w:t>
      </w:r>
    </w:p>
    <w:p>
      <w:pPr>
        <w:spacing w:line="440" w:lineRule="exact"/>
        <w:ind w:left="960" w:leftChars="343"/>
        <w:rPr>
          <w:rFonts w:ascii="宋体" w:hAnsi="宋体"/>
          <w:bCs/>
          <w:sz w:val="24"/>
          <w:szCs w:val="24"/>
        </w:rPr>
      </w:pPr>
      <w:r>
        <w:rPr>
          <w:rFonts w:hint="eastAsia" w:ascii="宋体" w:hAnsi="宋体"/>
          <w:bCs/>
          <w:sz w:val="24"/>
          <w:szCs w:val="24"/>
        </w:rPr>
        <w:t>附件3       商务评分标准</w:t>
      </w:r>
    </w:p>
    <w:p>
      <w:pPr>
        <w:spacing w:line="440" w:lineRule="exact"/>
        <w:ind w:left="960" w:leftChars="343"/>
        <w:rPr>
          <w:rFonts w:ascii="宋体" w:hAnsi="宋体"/>
          <w:bCs/>
          <w:sz w:val="24"/>
          <w:szCs w:val="24"/>
        </w:rPr>
      </w:pPr>
      <w:r>
        <w:rPr>
          <w:rFonts w:hint="eastAsia" w:ascii="宋体" w:hAnsi="宋体"/>
          <w:bCs/>
          <w:sz w:val="24"/>
          <w:szCs w:val="24"/>
        </w:rPr>
        <w:t xml:space="preserve">附件4       价格响应性评审表  </w:t>
      </w: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hint="eastAsia" w:ascii="宋体" w:hAnsi="宋体"/>
          <w:b/>
          <w:sz w:val="24"/>
        </w:rPr>
      </w:pPr>
    </w:p>
    <w:p>
      <w:pPr>
        <w:spacing w:before="240" w:beforeLines="100" w:after="240" w:afterLines="100"/>
        <w:rPr>
          <w:rFonts w:ascii="宋体" w:hAnsi="宋体"/>
          <w:b/>
          <w:sz w:val="24"/>
        </w:rPr>
      </w:pPr>
      <w:r>
        <w:rPr>
          <w:rFonts w:hint="eastAsia" w:ascii="宋体" w:hAnsi="宋体"/>
          <w:b/>
          <w:sz w:val="24"/>
        </w:rPr>
        <w:t xml:space="preserve">附件1                                 </w:t>
      </w:r>
    </w:p>
    <w:p>
      <w:pPr>
        <w:spacing w:before="240" w:beforeLines="100" w:after="240" w:afterLines="100"/>
        <w:jc w:val="center"/>
        <w:rPr>
          <w:rFonts w:ascii="宋体" w:hAnsi="宋体"/>
          <w:b/>
          <w:sz w:val="24"/>
        </w:rPr>
      </w:pPr>
      <w:r>
        <w:rPr>
          <w:rFonts w:hint="eastAsia" w:ascii="宋体" w:hAnsi="宋体"/>
          <w:b/>
          <w:sz w:val="24"/>
        </w:rPr>
        <w:t>符合性审查表</w:t>
      </w:r>
    </w:p>
    <w:tbl>
      <w:tblPr>
        <w:tblStyle w:val="21"/>
        <w:tblW w:w="100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87"/>
        <w:gridCol w:w="1091"/>
        <w:gridCol w:w="138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704" w:type="dxa"/>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4687" w:type="dxa"/>
            <w:tcBorders>
              <w:tl2br w:val="single" w:color="auto" w:sz="4" w:space="0"/>
            </w:tcBorders>
          </w:tcPr>
          <w:p>
            <w:p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 xml:space="preserve">                 投标人名称</w:t>
            </w:r>
          </w:p>
          <w:p>
            <w:pPr>
              <w:rPr>
                <w:rFonts w:hint="eastAsia" w:asciiTheme="minorEastAsia" w:hAnsiTheme="minorEastAsia" w:eastAsiaTheme="minorEastAsia" w:cstheme="minorEastAsia"/>
                <w:b/>
                <w:bCs/>
                <w:sz w:val="21"/>
                <w:szCs w:val="21"/>
              </w:rPr>
            </w:pPr>
          </w:p>
          <w:p>
            <w:p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符合性审查内容</w:t>
            </w:r>
          </w:p>
        </w:tc>
        <w:tc>
          <w:tcPr>
            <w:tcW w:w="1091" w:type="dxa"/>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投标人1</w:t>
            </w:r>
          </w:p>
        </w:tc>
        <w:tc>
          <w:tcPr>
            <w:tcW w:w="1380" w:type="dxa"/>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投标人2</w:t>
            </w:r>
          </w:p>
        </w:tc>
        <w:tc>
          <w:tcPr>
            <w:tcW w:w="2160" w:type="dxa"/>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投标人3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704" w:type="dxa"/>
            <w:vAlign w:val="center"/>
          </w:tcPr>
          <w:p>
            <w:pPr>
              <w:pStyle w:val="32"/>
              <w:adjustRightInd w:val="0"/>
              <w:spacing w:line="360" w:lineRule="auto"/>
              <w:ind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4687" w:type="dxa"/>
            <w:vAlign w:val="center"/>
          </w:tcPr>
          <w:p>
            <w:pPr>
              <w:adjustRightInd w:val="0"/>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投标文件密封性</w:t>
            </w:r>
          </w:p>
        </w:tc>
        <w:tc>
          <w:tcPr>
            <w:tcW w:w="1091" w:type="dxa"/>
            <w:vAlign w:val="center"/>
          </w:tcPr>
          <w:p>
            <w:pPr>
              <w:jc w:val="center"/>
              <w:rPr>
                <w:rFonts w:hint="eastAsia" w:asciiTheme="minorEastAsia" w:hAnsiTheme="minorEastAsia" w:eastAsiaTheme="minorEastAsia" w:cstheme="minorEastAsia"/>
                <w:b w:val="0"/>
                <w:bCs w:val="0"/>
                <w:sz w:val="24"/>
                <w:szCs w:val="24"/>
              </w:rPr>
            </w:pPr>
          </w:p>
        </w:tc>
        <w:tc>
          <w:tcPr>
            <w:tcW w:w="1380" w:type="dxa"/>
            <w:vAlign w:val="center"/>
          </w:tcPr>
          <w:p>
            <w:pPr>
              <w:jc w:val="center"/>
              <w:rPr>
                <w:rFonts w:hint="eastAsia" w:asciiTheme="minorEastAsia" w:hAnsiTheme="minorEastAsia" w:eastAsiaTheme="minorEastAsia" w:cstheme="minorEastAsia"/>
                <w:b w:val="0"/>
                <w:bCs w:val="0"/>
                <w:sz w:val="24"/>
                <w:szCs w:val="24"/>
              </w:rPr>
            </w:pPr>
          </w:p>
        </w:tc>
        <w:tc>
          <w:tcPr>
            <w:tcW w:w="2160" w:type="dxa"/>
            <w:vAlign w:val="center"/>
          </w:tcPr>
          <w:p>
            <w:pPr>
              <w:jc w:val="center"/>
              <w:rPr>
                <w:rFonts w:hint="eastAsia" w:asciiTheme="minorEastAsia" w:hAnsiTheme="minorEastAsia" w:eastAsiaTheme="minorEastAsia" w:cstheme="minorEastAsia"/>
                <w:b w:val="0"/>
                <w:bCs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8" w:hRule="atLeast"/>
          <w:jc w:val="center"/>
        </w:trPr>
        <w:tc>
          <w:tcPr>
            <w:tcW w:w="704" w:type="dxa"/>
            <w:vAlign w:val="center"/>
          </w:tcPr>
          <w:p>
            <w:pPr>
              <w:pStyle w:val="32"/>
              <w:adjustRightInd w:val="0"/>
              <w:spacing w:line="360" w:lineRule="auto"/>
              <w:ind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4687" w:type="dxa"/>
            <w:vAlign w:val="center"/>
          </w:tcPr>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按采购文件规定，有投标人盖章及其法定代表人（或法定代表人委托的投标授权代表）的签字或签章</w:t>
            </w:r>
            <w:r>
              <w:rPr>
                <w:rFonts w:hint="eastAsia" w:asciiTheme="minorEastAsia" w:hAnsiTheme="minorEastAsia" w:eastAsiaTheme="minorEastAsia" w:cstheme="minorEastAsia"/>
                <w:sz w:val="24"/>
                <w:szCs w:val="24"/>
                <w:lang w:eastAsia="zh-CN"/>
              </w:rPr>
              <w:t>。</w:t>
            </w:r>
          </w:p>
        </w:tc>
        <w:tc>
          <w:tcPr>
            <w:tcW w:w="1091" w:type="dxa"/>
          </w:tcPr>
          <w:p>
            <w:pPr>
              <w:rPr>
                <w:rFonts w:hint="eastAsia" w:asciiTheme="minorEastAsia" w:hAnsiTheme="minorEastAsia" w:eastAsiaTheme="minorEastAsia" w:cstheme="minorEastAsia"/>
                <w:sz w:val="24"/>
                <w:szCs w:val="24"/>
              </w:rPr>
            </w:pPr>
          </w:p>
        </w:tc>
        <w:tc>
          <w:tcPr>
            <w:tcW w:w="1380" w:type="dxa"/>
          </w:tcPr>
          <w:p>
            <w:pPr>
              <w:rPr>
                <w:rFonts w:hint="eastAsia" w:asciiTheme="minorEastAsia" w:hAnsiTheme="minorEastAsia" w:eastAsiaTheme="minorEastAsia" w:cstheme="minorEastAsia"/>
                <w:sz w:val="24"/>
                <w:szCs w:val="24"/>
              </w:rPr>
            </w:pPr>
          </w:p>
        </w:tc>
        <w:tc>
          <w:tcPr>
            <w:tcW w:w="2160" w:type="dxa"/>
          </w:tcPr>
          <w:p>
            <w:pPr>
              <w:rPr>
                <w:rFonts w:hint="eastAsia" w:asciiTheme="minorEastAsia" w:hAnsiTheme="minorEastAsia" w:eastAsiaTheme="minorEastAsia" w:cstheme="minorEastAsia"/>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5" w:hRule="atLeast"/>
          <w:jc w:val="center"/>
        </w:trPr>
        <w:tc>
          <w:tcPr>
            <w:tcW w:w="704" w:type="dxa"/>
            <w:vAlign w:val="center"/>
          </w:tcPr>
          <w:p>
            <w:pPr>
              <w:pStyle w:val="32"/>
              <w:adjustRightInd w:val="0"/>
              <w:spacing w:line="360" w:lineRule="auto"/>
              <w:ind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4687" w:type="dxa"/>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投标函已提交并符合采购文件要求，且投标有效期满足采购文件要求</w:t>
            </w:r>
            <w:r>
              <w:rPr>
                <w:rFonts w:hint="eastAsia" w:asciiTheme="minorEastAsia" w:hAnsiTheme="minorEastAsia" w:eastAsiaTheme="minorEastAsia" w:cstheme="minorEastAsia"/>
                <w:sz w:val="24"/>
                <w:szCs w:val="24"/>
                <w:lang w:eastAsia="zh-CN"/>
              </w:rPr>
              <w:t>。</w:t>
            </w:r>
          </w:p>
        </w:tc>
        <w:tc>
          <w:tcPr>
            <w:tcW w:w="1091" w:type="dxa"/>
          </w:tcPr>
          <w:p>
            <w:pPr>
              <w:rPr>
                <w:rFonts w:hint="eastAsia" w:asciiTheme="minorEastAsia" w:hAnsiTheme="minorEastAsia" w:eastAsiaTheme="minorEastAsia" w:cstheme="minorEastAsia"/>
                <w:sz w:val="24"/>
                <w:szCs w:val="24"/>
              </w:rPr>
            </w:pPr>
          </w:p>
        </w:tc>
        <w:tc>
          <w:tcPr>
            <w:tcW w:w="1380" w:type="dxa"/>
          </w:tcPr>
          <w:p>
            <w:pPr>
              <w:rPr>
                <w:rFonts w:hint="eastAsia" w:asciiTheme="minorEastAsia" w:hAnsiTheme="minorEastAsia" w:eastAsiaTheme="minorEastAsia" w:cstheme="minorEastAsia"/>
                <w:sz w:val="24"/>
                <w:szCs w:val="24"/>
              </w:rPr>
            </w:pPr>
          </w:p>
        </w:tc>
        <w:tc>
          <w:tcPr>
            <w:tcW w:w="2160" w:type="dxa"/>
          </w:tcPr>
          <w:p>
            <w:pPr>
              <w:rPr>
                <w:rFonts w:hint="eastAsia" w:asciiTheme="minorEastAsia" w:hAnsiTheme="minorEastAsia" w:eastAsiaTheme="minorEastAsia" w:cstheme="minorEastAsia"/>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1" w:hRule="atLeast"/>
          <w:jc w:val="center"/>
        </w:trPr>
        <w:tc>
          <w:tcPr>
            <w:tcW w:w="704" w:type="dxa"/>
            <w:vAlign w:val="center"/>
          </w:tcPr>
          <w:p>
            <w:pPr>
              <w:pStyle w:val="32"/>
              <w:adjustRightInd w:val="0"/>
              <w:spacing w:line="360" w:lineRule="auto"/>
              <w:ind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4687" w:type="dxa"/>
            <w:vAlign w:val="center"/>
          </w:tcPr>
          <w:p>
            <w:pPr>
              <w:numPr>
                <w:ilvl w:val="0"/>
                <w:numId w:val="0"/>
              </w:numPr>
              <w:tabs>
                <w:tab w:val="left" w:pos="425"/>
              </w:tabs>
              <w:autoSpaceDE w:val="0"/>
              <w:autoSpaceDN w:val="0"/>
              <w:adjustRightInd w:val="0"/>
              <w:snapToGrid w:val="0"/>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Cs w:val="0"/>
                <w:sz w:val="24"/>
                <w:szCs w:val="24"/>
              </w:rPr>
              <w:t>具有独立承担民事责任能力的在中华人民共和国境内注册的法人或其他组织，并取得合法企业工商营业执照且具有</w:t>
            </w:r>
            <w:r>
              <w:rPr>
                <w:rFonts w:hint="eastAsia" w:asciiTheme="minorEastAsia" w:hAnsiTheme="minorEastAsia" w:eastAsiaTheme="minorEastAsia" w:cstheme="minorEastAsia"/>
                <w:bCs w:val="0"/>
                <w:sz w:val="24"/>
                <w:szCs w:val="24"/>
                <w:lang w:eastAsia="zh-CN"/>
              </w:rPr>
              <w:t>厨具卫具及日用杂品零售;厨具卫具及日用杂品批发;金属制日用品制造;五金产品制造;燃气燃烧器具安装、维修</w:t>
            </w:r>
            <w:r>
              <w:rPr>
                <w:rFonts w:hint="eastAsia" w:asciiTheme="minorEastAsia" w:hAnsiTheme="minorEastAsia" w:eastAsiaTheme="minorEastAsia" w:cstheme="minorEastAsia"/>
                <w:bCs w:val="0"/>
                <w:sz w:val="24"/>
                <w:szCs w:val="24"/>
                <w:lang w:val="en-US" w:eastAsia="zh-CN"/>
              </w:rPr>
              <w:t>等相关</w:t>
            </w:r>
            <w:r>
              <w:rPr>
                <w:rFonts w:hint="eastAsia" w:asciiTheme="minorEastAsia" w:hAnsiTheme="minorEastAsia" w:eastAsiaTheme="minorEastAsia" w:cstheme="minorEastAsia"/>
                <w:bCs w:val="0"/>
                <w:sz w:val="24"/>
                <w:szCs w:val="24"/>
              </w:rPr>
              <w:t>经营范围（以上经营范围任一满足即可）</w:t>
            </w:r>
            <w:r>
              <w:rPr>
                <w:rFonts w:hint="eastAsia" w:asciiTheme="minorEastAsia" w:hAnsiTheme="minorEastAsia" w:eastAsiaTheme="minorEastAsia" w:cstheme="minorEastAsia"/>
                <w:bCs w:val="0"/>
                <w:sz w:val="24"/>
                <w:szCs w:val="24"/>
                <w:lang w:eastAsia="zh-CN"/>
              </w:rPr>
              <w:t>。</w:t>
            </w:r>
          </w:p>
        </w:tc>
        <w:tc>
          <w:tcPr>
            <w:tcW w:w="1091" w:type="dxa"/>
          </w:tcPr>
          <w:p>
            <w:pPr>
              <w:rPr>
                <w:rFonts w:hint="eastAsia" w:asciiTheme="minorEastAsia" w:hAnsiTheme="minorEastAsia" w:eastAsiaTheme="minorEastAsia" w:cstheme="minorEastAsia"/>
                <w:sz w:val="24"/>
                <w:szCs w:val="24"/>
              </w:rPr>
            </w:pPr>
          </w:p>
        </w:tc>
        <w:tc>
          <w:tcPr>
            <w:tcW w:w="1380" w:type="dxa"/>
          </w:tcPr>
          <w:p>
            <w:pPr>
              <w:rPr>
                <w:rFonts w:hint="eastAsia" w:asciiTheme="minorEastAsia" w:hAnsiTheme="minorEastAsia" w:eastAsiaTheme="minorEastAsia" w:cstheme="minorEastAsia"/>
                <w:sz w:val="24"/>
                <w:szCs w:val="24"/>
              </w:rPr>
            </w:pPr>
          </w:p>
        </w:tc>
        <w:tc>
          <w:tcPr>
            <w:tcW w:w="2160" w:type="dxa"/>
          </w:tcPr>
          <w:p>
            <w:pPr>
              <w:rPr>
                <w:rFonts w:hint="eastAsia" w:asciiTheme="minorEastAsia" w:hAnsiTheme="minorEastAsia" w:eastAsiaTheme="minorEastAsia" w:cstheme="minorEastAsia"/>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jc w:val="center"/>
        </w:trPr>
        <w:tc>
          <w:tcPr>
            <w:tcW w:w="704" w:type="dxa"/>
            <w:vAlign w:val="center"/>
          </w:tcPr>
          <w:p>
            <w:pPr>
              <w:pStyle w:val="32"/>
              <w:adjustRightInd w:val="0"/>
              <w:spacing w:line="264" w:lineRule="auto"/>
              <w:ind w:firstLine="0" w:firstLineChars="0"/>
              <w:jc w:val="center"/>
              <w:rPr>
                <w:rFonts w:hint="eastAsia" w:asciiTheme="minorEastAsia" w:hAnsiTheme="minorEastAsia" w:eastAsiaTheme="minorEastAsia" w:cstheme="minorEastAsia"/>
                <w:bCs w:val="0"/>
                <w:sz w:val="24"/>
                <w:szCs w:val="24"/>
                <w:lang w:eastAsia="zh-CN"/>
              </w:rPr>
            </w:pPr>
            <w:r>
              <w:rPr>
                <w:rFonts w:hint="eastAsia" w:asciiTheme="minorEastAsia" w:hAnsiTheme="minorEastAsia" w:eastAsiaTheme="minorEastAsia" w:cstheme="minorEastAsia"/>
                <w:bCs w:val="0"/>
                <w:sz w:val="24"/>
                <w:szCs w:val="24"/>
                <w:lang w:val="en-US" w:eastAsia="zh-CN"/>
              </w:rPr>
              <w:t>5</w:t>
            </w:r>
          </w:p>
        </w:tc>
        <w:tc>
          <w:tcPr>
            <w:tcW w:w="4687" w:type="dxa"/>
            <w:vAlign w:val="center"/>
          </w:tcPr>
          <w:p>
            <w:pPr>
              <w:adjustRightInd w:val="0"/>
              <w:spacing w:line="264" w:lineRule="auto"/>
              <w:rPr>
                <w:rFonts w:hint="eastAsia" w:asciiTheme="minorEastAsia" w:hAnsiTheme="minorEastAsia" w:eastAsiaTheme="minorEastAsia" w:cstheme="minorEastAsia"/>
                <w:bCs w:val="0"/>
                <w:sz w:val="24"/>
                <w:szCs w:val="24"/>
              </w:rPr>
            </w:pPr>
            <w:r>
              <w:rPr>
                <w:rFonts w:hint="eastAsia" w:asciiTheme="minorEastAsia" w:hAnsiTheme="minorEastAsia" w:eastAsiaTheme="minorEastAsia" w:cstheme="minorEastAsia"/>
                <w:sz w:val="24"/>
                <w:szCs w:val="24"/>
              </w:rPr>
              <w:t>本项目不拆分，不接受联合体投标。</w:t>
            </w:r>
          </w:p>
        </w:tc>
        <w:tc>
          <w:tcPr>
            <w:tcW w:w="1091" w:type="dxa"/>
          </w:tcPr>
          <w:p>
            <w:pPr>
              <w:rPr>
                <w:rFonts w:hint="eastAsia" w:asciiTheme="minorEastAsia" w:hAnsiTheme="minorEastAsia" w:eastAsiaTheme="minorEastAsia" w:cstheme="minorEastAsia"/>
                <w:sz w:val="24"/>
                <w:szCs w:val="24"/>
              </w:rPr>
            </w:pPr>
          </w:p>
        </w:tc>
        <w:tc>
          <w:tcPr>
            <w:tcW w:w="1380" w:type="dxa"/>
          </w:tcPr>
          <w:p>
            <w:pPr>
              <w:rPr>
                <w:rFonts w:hint="eastAsia" w:asciiTheme="minorEastAsia" w:hAnsiTheme="minorEastAsia" w:eastAsiaTheme="minorEastAsia" w:cstheme="minorEastAsia"/>
                <w:sz w:val="24"/>
                <w:szCs w:val="24"/>
              </w:rPr>
            </w:pPr>
          </w:p>
        </w:tc>
        <w:tc>
          <w:tcPr>
            <w:tcW w:w="2160" w:type="dxa"/>
          </w:tcPr>
          <w:p>
            <w:pPr>
              <w:rPr>
                <w:rFonts w:hint="eastAsia" w:asciiTheme="minorEastAsia" w:hAnsiTheme="minorEastAsia" w:eastAsiaTheme="minorEastAsia" w:cstheme="minorEastAsia"/>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7" w:hRule="atLeast"/>
          <w:jc w:val="center"/>
        </w:trPr>
        <w:tc>
          <w:tcPr>
            <w:tcW w:w="704" w:type="dxa"/>
            <w:vAlign w:val="center"/>
          </w:tcPr>
          <w:p>
            <w:pPr>
              <w:pStyle w:val="32"/>
              <w:adjustRightInd w:val="0"/>
              <w:spacing w:line="264" w:lineRule="auto"/>
              <w:ind w:firstLine="0" w:firstLineChars="0"/>
              <w:jc w:val="center"/>
              <w:rPr>
                <w:rFonts w:hint="eastAsia" w:asciiTheme="minorEastAsia" w:hAnsiTheme="minorEastAsia" w:eastAsiaTheme="minorEastAsia" w:cstheme="minorEastAsia"/>
                <w:bCs w:val="0"/>
                <w:sz w:val="24"/>
                <w:szCs w:val="24"/>
                <w:lang w:eastAsia="zh-CN"/>
              </w:rPr>
            </w:pPr>
            <w:r>
              <w:rPr>
                <w:rFonts w:hint="eastAsia" w:asciiTheme="minorEastAsia" w:hAnsiTheme="minorEastAsia" w:eastAsiaTheme="minorEastAsia" w:cstheme="minorEastAsia"/>
                <w:bCs w:val="0"/>
                <w:sz w:val="24"/>
                <w:szCs w:val="24"/>
                <w:lang w:val="en-US" w:eastAsia="zh-CN"/>
              </w:rPr>
              <w:t>6</w:t>
            </w:r>
          </w:p>
        </w:tc>
        <w:tc>
          <w:tcPr>
            <w:tcW w:w="4687" w:type="dxa"/>
            <w:vAlign w:val="center"/>
          </w:tcPr>
          <w:p>
            <w:pPr>
              <w:adjustRightInd w:val="0"/>
              <w:spacing w:line="264"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投标人在参加本次采购活动前三年内，在经营活动中（公司或法人）无重大违法记录；，通过“信用中国”网站（www.creditchina.gov.cn）等渠道查询相关主体信用记录，对列入失信被执行人、重大税收违法案件当事人名单的投标人</w:t>
            </w:r>
            <w:r>
              <w:rPr>
                <w:rFonts w:hint="eastAsia" w:asciiTheme="minorEastAsia" w:hAnsiTheme="minorEastAsia" w:eastAsiaTheme="minorEastAsia" w:cstheme="minorEastAsia"/>
                <w:sz w:val="24"/>
                <w:szCs w:val="24"/>
                <w:lang w:eastAsia="zh-CN"/>
              </w:rPr>
              <w:t>。</w:t>
            </w:r>
          </w:p>
        </w:tc>
        <w:tc>
          <w:tcPr>
            <w:tcW w:w="1091" w:type="dxa"/>
          </w:tcPr>
          <w:p>
            <w:pPr>
              <w:rPr>
                <w:rFonts w:hint="eastAsia" w:asciiTheme="minorEastAsia" w:hAnsiTheme="minorEastAsia" w:eastAsiaTheme="minorEastAsia" w:cstheme="minorEastAsia"/>
                <w:sz w:val="24"/>
                <w:szCs w:val="24"/>
              </w:rPr>
            </w:pPr>
          </w:p>
        </w:tc>
        <w:tc>
          <w:tcPr>
            <w:tcW w:w="1380" w:type="dxa"/>
          </w:tcPr>
          <w:p>
            <w:pPr>
              <w:rPr>
                <w:rFonts w:hint="eastAsia" w:asciiTheme="minorEastAsia" w:hAnsiTheme="minorEastAsia" w:eastAsiaTheme="minorEastAsia" w:cstheme="minorEastAsia"/>
                <w:sz w:val="24"/>
                <w:szCs w:val="24"/>
              </w:rPr>
            </w:pPr>
          </w:p>
        </w:tc>
        <w:tc>
          <w:tcPr>
            <w:tcW w:w="2160" w:type="dxa"/>
          </w:tcPr>
          <w:p>
            <w:pPr>
              <w:rPr>
                <w:rFonts w:hint="eastAsia" w:asciiTheme="minorEastAsia" w:hAnsiTheme="minorEastAsia" w:eastAsiaTheme="minorEastAsia" w:cstheme="minorEastAsia"/>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32"/>
              <w:adjustRightInd w:val="0"/>
              <w:spacing w:line="264" w:lineRule="auto"/>
              <w:ind w:firstLine="0" w:firstLineChars="0"/>
              <w:jc w:val="center"/>
              <w:rPr>
                <w:rFonts w:hint="eastAsia" w:asciiTheme="minorEastAsia" w:hAnsiTheme="minorEastAsia" w:eastAsiaTheme="minorEastAsia" w:cstheme="minorEastAsia"/>
                <w:bCs w:val="0"/>
                <w:sz w:val="24"/>
                <w:szCs w:val="24"/>
                <w:lang w:eastAsia="zh-CN"/>
              </w:rPr>
            </w:pPr>
            <w:r>
              <w:rPr>
                <w:rFonts w:hint="eastAsia" w:asciiTheme="minorEastAsia" w:hAnsiTheme="minorEastAsia" w:eastAsiaTheme="minorEastAsia" w:cstheme="minorEastAsia"/>
                <w:bCs w:val="0"/>
                <w:sz w:val="24"/>
                <w:szCs w:val="24"/>
                <w:lang w:val="en-US" w:eastAsia="zh-CN"/>
              </w:rPr>
              <w:t>7</w:t>
            </w:r>
          </w:p>
        </w:tc>
        <w:tc>
          <w:tcPr>
            <w:tcW w:w="4687" w:type="dxa"/>
            <w:vAlign w:val="center"/>
          </w:tcPr>
          <w:p>
            <w:pPr>
              <w:adjustRightInd w:val="0"/>
              <w:spacing w:line="26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单位负责人为同一人或者存在直接控股、管理关系的不同供应商，不得同时参加本项采购投标。</w:t>
            </w:r>
          </w:p>
        </w:tc>
        <w:tc>
          <w:tcPr>
            <w:tcW w:w="1091" w:type="dxa"/>
          </w:tcPr>
          <w:p>
            <w:pPr>
              <w:rPr>
                <w:rFonts w:hint="eastAsia" w:asciiTheme="minorEastAsia" w:hAnsiTheme="minorEastAsia" w:eastAsiaTheme="minorEastAsia" w:cstheme="minorEastAsia"/>
                <w:sz w:val="24"/>
                <w:szCs w:val="24"/>
              </w:rPr>
            </w:pPr>
          </w:p>
        </w:tc>
        <w:tc>
          <w:tcPr>
            <w:tcW w:w="1380" w:type="dxa"/>
          </w:tcPr>
          <w:p>
            <w:pPr>
              <w:rPr>
                <w:rFonts w:hint="eastAsia" w:asciiTheme="minorEastAsia" w:hAnsiTheme="minorEastAsia" w:eastAsiaTheme="minorEastAsia" w:cstheme="minorEastAsia"/>
                <w:sz w:val="24"/>
                <w:szCs w:val="24"/>
              </w:rPr>
            </w:pPr>
          </w:p>
        </w:tc>
        <w:tc>
          <w:tcPr>
            <w:tcW w:w="2160" w:type="dxa"/>
          </w:tcPr>
          <w:p>
            <w:pPr>
              <w:rPr>
                <w:rFonts w:hint="eastAsia" w:asciiTheme="minorEastAsia" w:hAnsiTheme="minorEastAsia" w:eastAsiaTheme="minorEastAsia" w:cstheme="minorEastAsia"/>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704" w:type="dxa"/>
            <w:vAlign w:val="center"/>
          </w:tcPr>
          <w:p>
            <w:pPr>
              <w:pStyle w:val="32"/>
              <w:adjustRightInd w:val="0"/>
              <w:spacing w:line="360" w:lineRule="auto"/>
              <w:ind w:firstLine="0" w:firstLineChars="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4687" w:type="dxa"/>
            <w:vAlign w:val="center"/>
          </w:tcPr>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投标保证金符合采购文件规定</w:t>
            </w:r>
            <w:r>
              <w:rPr>
                <w:rFonts w:hint="eastAsia" w:asciiTheme="minorEastAsia" w:hAnsiTheme="minorEastAsia" w:eastAsiaTheme="minorEastAsia" w:cstheme="minorEastAsia"/>
                <w:sz w:val="24"/>
                <w:szCs w:val="24"/>
                <w:lang w:eastAsia="zh-CN"/>
              </w:rPr>
              <w:t>。</w:t>
            </w:r>
          </w:p>
        </w:tc>
        <w:tc>
          <w:tcPr>
            <w:tcW w:w="1091" w:type="dxa"/>
          </w:tcPr>
          <w:p>
            <w:pPr>
              <w:rPr>
                <w:rFonts w:hint="eastAsia" w:asciiTheme="minorEastAsia" w:hAnsiTheme="minorEastAsia" w:eastAsiaTheme="minorEastAsia" w:cstheme="minorEastAsia"/>
                <w:sz w:val="24"/>
                <w:szCs w:val="24"/>
              </w:rPr>
            </w:pPr>
          </w:p>
        </w:tc>
        <w:tc>
          <w:tcPr>
            <w:tcW w:w="1380" w:type="dxa"/>
          </w:tcPr>
          <w:p>
            <w:pPr>
              <w:rPr>
                <w:rFonts w:hint="eastAsia" w:asciiTheme="minorEastAsia" w:hAnsiTheme="minorEastAsia" w:eastAsiaTheme="minorEastAsia" w:cstheme="minorEastAsia"/>
                <w:sz w:val="24"/>
                <w:szCs w:val="24"/>
              </w:rPr>
            </w:pPr>
          </w:p>
        </w:tc>
        <w:tc>
          <w:tcPr>
            <w:tcW w:w="2160" w:type="dxa"/>
          </w:tcPr>
          <w:p>
            <w:pPr>
              <w:rPr>
                <w:rFonts w:hint="eastAsia" w:asciiTheme="minorEastAsia" w:hAnsiTheme="minorEastAsia" w:eastAsiaTheme="minorEastAsia" w:cstheme="minorEastAsia"/>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704" w:type="dxa"/>
            <w:vAlign w:val="center"/>
          </w:tcPr>
          <w:p>
            <w:pPr>
              <w:pStyle w:val="32"/>
              <w:adjustRightInd w:val="0"/>
              <w:spacing w:line="360" w:lineRule="auto"/>
              <w:ind w:firstLine="0" w:firstLine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w:t>
            </w:r>
          </w:p>
        </w:tc>
        <w:tc>
          <w:tcPr>
            <w:tcW w:w="4687" w:type="dxa"/>
            <w:vAlign w:val="center"/>
          </w:tcPr>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不超过本项目最高限价</w:t>
            </w:r>
            <w:r>
              <w:rPr>
                <w:rFonts w:hint="eastAsia" w:asciiTheme="minorEastAsia" w:hAnsiTheme="minorEastAsia" w:eastAsiaTheme="minorEastAsia" w:cstheme="minorEastAsia"/>
                <w:sz w:val="24"/>
                <w:szCs w:val="24"/>
                <w:lang w:eastAsia="zh-CN"/>
              </w:rPr>
              <w:t>。</w:t>
            </w:r>
          </w:p>
        </w:tc>
        <w:tc>
          <w:tcPr>
            <w:tcW w:w="1091" w:type="dxa"/>
          </w:tcPr>
          <w:p>
            <w:pPr>
              <w:rPr>
                <w:rFonts w:hint="eastAsia" w:asciiTheme="minorEastAsia" w:hAnsiTheme="minorEastAsia" w:eastAsiaTheme="minorEastAsia" w:cstheme="minorEastAsia"/>
                <w:sz w:val="24"/>
                <w:szCs w:val="24"/>
              </w:rPr>
            </w:pPr>
          </w:p>
        </w:tc>
        <w:tc>
          <w:tcPr>
            <w:tcW w:w="1380" w:type="dxa"/>
          </w:tcPr>
          <w:p>
            <w:pPr>
              <w:rPr>
                <w:rFonts w:hint="eastAsia" w:asciiTheme="minorEastAsia" w:hAnsiTheme="minorEastAsia" w:eastAsiaTheme="minorEastAsia" w:cstheme="minorEastAsia"/>
                <w:sz w:val="24"/>
                <w:szCs w:val="24"/>
              </w:rPr>
            </w:pPr>
          </w:p>
        </w:tc>
        <w:tc>
          <w:tcPr>
            <w:tcW w:w="2160" w:type="dxa"/>
          </w:tcPr>
          <w:p>
            <w:pPr>
              <w:rPr>
                <w:rFonts w:hint="eastAsia" w:asciiTheme="minorEastAsia" w:hAnsiTheme="minorEastAsia" w:eastAsiaTheme="minorEastAsia" w:cstheme="minorEastAsia"/>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4" w:type="dxa"/>
            <w:vAlign w:val="center"/>
          </w:tcPr>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结论</w:t>
            </w:r>
          </w:p>
        </w:tc>
        <w:tc>
          <w:tcPr>
            <w:tcW w:w="4687" w:type="dxa"/>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是否通过符合性审查，进入下一阶段</w:t>
            </w:r>
            <w:r>
              <w:rPr>
                <w:rFonts w:hint="eastAsia" w:asciiTheme="minorEastAsia" w:hAnsiTheme="minorEastAsia" w:eastAsiaTheme="minorEastAsia" w:cstheme="minorEastAsia"/>
                <w:sz w:val="24"/>
                <w:szCs w:val="24"/>
                <w:lang w:eastAsia="zh-CN"/>
              </w:rPr>
              <w:t>。</w:t>
            </w:r>
          </w:p>
        </w:tc>
        <w:tc>
          <w:tcPr>
            <w:tcW w:w="1091" w:type="dxa"/>
          </w:tcPr>
          <w:p>
            <w:pPr>
              <w:spacing w:line="360" w:lineRule="auto"/>
              <w:rPr>
                <w:rFonts w:hint="eastAsia" w:asciiTheme="minorEastAsia" w:hAnsiTheme="minorEastAsia" w:eastAsiaTheme="minorEastAsia" w:cstheme="minorEastAsia"/>
                <w:sz w:val="24"/>
                <w:szCs w:val="24"/>
              </w:rPr>
            </w:pPr>
          </w:p>
        </w:tc>
        <w:tc>
          <w:tcPr>
            <w:tcW w:w="1380" w:type="dxa"/>
          </w:tcPr>
          <w:p>
            <w:pPr>
              <w:spacing w:line="360" w:lineRule="auto"/>
              <w:rPr>
                <w:rFonts w:hint="eastAsia" w:asciiTheme="minorEastAsia" w:hAnsiTheme="minorEastAsia" w:eastAsiaTheme="minorEastAsia" w:cstheme="minorEastAsia"/>
                <w:sz w:val="24"/>
                <w:szCs w:val="24"/>
              </w:rPr>
            </w:pPr>
          </w:p>
        </w:tc>
        <w:tc>
          <w:tcPr>
            <w:tcW w:w="2160" w:type="dxa"/>
          </w:tcPr>
          <w:p>
            <w:pPr>
              <w:spacing w:line="360" w:lineRule="auto"/>
              <w:rPr>
                <w:rFonts w:hint="eastAsia" w:asciiTheme="minorEastAsia" w:hAnsiTheme="minorEastAsia" w:eastAsiaTheme="minorEastAsia" w:cstheme="minorEastAsia"/>
                <w:sz w:val="24"/>
                <w:szCs w:val="24"/>
              </w:rPr>
            </w:pPr>
          </w:p>
        </w:tc>
      </w:tr>
    </w:tbl>
    <w:p>
      <w:pPr>
        <w:tabs>
          <w:tab w:val="left" w:pos="720"/>
        </w:tabs>
        <w:snapToGrid w:val="0"/>
        <w:rPr>
          <w:rFonts w:hint="eastAsia" w:ascii="宋体"/>
          <w:sz w:val="21"/>
          <w:szCs w:val="21"/>
        </w:rPr>
      </w:pPr>
    </w:p>
    <w:p>
      <w:pPr>
        <w:tabs>
          <w:tab w:val="left" w:pos="720"/>
        </w:tabs>
        <w:snapToGrid w:val="0"/>
        <w:rPr>
          <w:rFonts w:ascii="宋体"/>
          <w:sz w:val="24"/>
          <w:szCs w:val="24"/>
        </w:rPr>
      </w:pPr>
      <w:r>
        <w:rPr>
          <w:rFonts w:hint="eastAsia" w:ascii="宋体"/>
          <w:sz w:val="24"/>
          <w:szCs w:val="24"/>
        </w:rPr>
        <w:t>备注：1、“是否通过并进入下一阶段评审”一栏应写“通过”或“不通过”。</w:t>
      </w:r>
    </w:p>
    <w:p>
      <w:pPr>
        <w:tabs>
          <w:tab w:val="left" w:pos="720"/>
        </w:tabs>
        <w:snapToGrid w:val="0"/>
        <w:spacing w:before="0" w:beforeLines="-2147483648" w:after="0" w:afterLines="-2147483648"/>
        <w:ind w:firstLine="720" w:firstLineChars="300"/>
        <w:rPr>
          <w:rFonts w:hint="eastAsia" w:ascii="宋体" w:hAnsi="宋体"/>
          <w:b/>
          <w:sz w:val="24"/>
        </w:rPr>
      </w:pPr>
      <w:r>
        <w:rPr>
          <w:rFonts w:hint="eastAsia" w:ascii="宋体"/>
          <w:sz w:val="24"/>
          <w:szCs w:val="24"/>
        </w:rPr>
        <w:t>2、满足以上任何一种情形用“</w:t>
      </w:r>
      <w:r>
        <w:rPr>
          <w:rFonts w:hint="eastAsia" w:ascii="宋体" w:hAnsi="宋体"/>
          <w:sz w:val="24"/>
          <w:szCs w:val="24"/>
        </w:rPr>
        <w:t>○</w:t>
      </w:r>
      <w:r>
        <w:rPr>
          <w:rFonts w:hint="eastAsia" w:ascii="宋体"/>
          <w:sz w:val="24"/>
          <w:szCs w:val="24"/>
        </w:rPr>
        <w:t>”表示，不满足用“×”表示。出现一个“×”的结论为“不通过”。表中全部为“</w:t>
      </w:r>
      <w:r>
        <w:rPr>
          <w:rFonts w:hint="eastAsia" w:ascii="宋体" w:hAnsi="宋体"/>
          <w:sz w:val="24"/>
          <w:szCs w:val="24"/>
        </w:rPr>
        <w:t>○</w:t>
      </w:r>
      <w:r>
        <w:rPr>
          <w:rFonts w:hint="eastAsia" w:ascii="宋体"/>
          <w:sz w:val="24"/>
          <w:szCs w:val="24"/>
        </w:rPr>
        <w:t>”，结论为：“通过”方可进入下一阶段评审。</w:t>
      </w:r>
    </w:p>
    <w:p>
      <w:pPr>
        <w:spacing w:before="240" w:beforeLines="100" w:after="240" w:afterLines="100"/>
        <w:rPr>
          <w:rFonts w:ascii="宋体" w:hAnsi="宋体"/>
          <w:b/>
          <w:sz w:val="24"/>
        </w:rPr>
      </w:pPr>
      <w:r>
        <w:rPr>
          <w:rFonts w:hint="eastAsia" w:ascii="宋体" w:hAnsi="宋体"/>
          <w:b/>
          <w:sz w:val="24"/>
        </w:rPr>
        <w:t xml:space="preserve">附件2                        </w:t>
      </w:r>
    </w:p>
    <w:p>
      <w:pPr>
        <w:spacing w:line="360" w:lineRule="auto"/>
        <w:jc w:val="center"/>
        <w:rPr>
          <w:rFonts w:ascii="宋体" w:hAnsi="宋体"/>
          <w:b/>
          <w:szCs w:val="28"/>
        </w:rPr>
      </w:pPr>
      <w:r>
        <w:rPr>
          <w:rFonts w:hint="eastAsia" w:ascii="宋体" w:hAnsi="宋体"/>
          <w:b/>
          <w:szCs w:val="28"/>
        </w:rPr>
        <w:t>技术评分标准</w:t>
      </w:r>
    </w:p>
    <w:tbl>
      <w:tblPr>
        <w:tblStyle w:val="21"/>
        <w:tblW w:w="10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929"/>
        <w:gridCol w:w="597"/>
        <w:gridCol w:w="8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19" w:type="dxa"/>
            <w:vAlign w:val="center"/>
          </w:tcPr>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序号</w:t>
            </w:r>
          </w:p>
        </w:tc>
        <w:tc>
          <w:tcPr>
            <w:tcW w:w="929" w:type="dxa"/>
            <w:vAlign w:val="center"/>
          </w:tcPr>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评审分项</w:t>
            </w:r>
          </w:p>
        </w:tc>
        <w:tc>
          <w:tcPr>
            <w:tcW w:w="597" w:type="dxa"/>
            <w:vAlign w:val="center"/>
          </w:tcPr>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得分</w:t>
            </w:r>
          </w:p>
        </w:tc>
        <w:tc>
          <w:tcPr>
            <w:tcW w:w="8149" w:type="dxa"/>
            <w:vAlign w:val="center"/>
          </w:tcPr>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19" w:type="dxa"/>
            <w:vMerge w:val="restart"/>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8"/>
                <w:szCs w:val="28"/>
              </w:rPr>
              <w:t>1</w:t>
            </w:r>
          </w:p>
        </w:tc>
        <w:tc>
          <w:tcPr>
            <w:tcW w:w="929" w:type="dxa"/>
            <w:textDirection w:val="tbRlV"/>
            <w:vAlign w:val="center"/>
          </w:tcPr>
          <w:p>
            <w:pPr>
              <w:keepNext w:val="0"/>
              <w:keepLines w:val="0"/>
              <w:pageBreakBefore w:val="0"/>
              <w:kinsoku/>
              <w:wordWrap/>
              <w:overflowPunct/>
              <w:topLinePunct w:val="0"/>
              <w:autoSpaceDE/>
              <w:autoSpaceDN/>
              <w:bidi w:val="0"/>
              <w:adjustRightInd/>
              <w:snapToGrid/>
              <w:spacing w:line="360" w:lineRule="auto"/>
              <w:ind w:left="113" w:right="113"/>
              <w:jc w:val="center"/>
              <w:textAlignment w:val="auto"/>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4"/>
                <w:szCs w:val="24"/>
              </w:rPr>
              <w:t>产品质量</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15</w:t>
            </w:r>
          </w:p>
        </w:tc>
        <w:tc>
          <w:tcPr>
            <w:tcW w:w="8149" w:type="dxa"/>
            <w:vAlign w:val="center"/>
          </w:tcPr>
          <w:p>
            <w:pPr>
              <w:keepNext w:val="0"/>
              <w:keepLines w:val="0"/>
              <w:pageBreakBefore w:val="0"/>
              <w:kinsoku/>
              <w:wordWrap/>
              <w:overflowPunct/>
              <w:topLinePunct w:val="0"/>
              <w:autoSpaceDE/>
              <w:autoSpaceDN/>
              <w:bidi w:val="0"/>
              <w:adjustRightInd/>
              <w:snapToGrid/>
              <w:spacing w:line="288" w:lineRule="auto"/>
              <w:textAlignment w:val="auto"/>
              <w:rPr>
                <w:rFonts w:asciiTheme="majorEastAsia" w:hAnsiTheme="majorEastAsia" w:eastAsiaTheme="majorEastAsia" w:cstheme="majorEastAsia"/>
                <w:bCs/>
                <w:kern w:val="2"/>
                <w:sz w:val="24"/>
                <w:szCs w:val="24"/>
              </w:rPr>
            </w:pPr>
            <w:r>
              <w:rPr>
                <w:rFonts w:hint="eastAsia" w:asciiTheme="majorEastAsia" w:hAnsiTheme="majorEastAsia" w:eastAsiaTheme="majorEastAsia" w:cstheme="majorEastAsia"/>
                <w:bCs/>
                <w:sz w:val="24"/>
                <w:szCs w:val="24"/>
                <w:lang w:val="en-US" w:eastAsia="zh-CN"/>
              </w:rPr>
              <w:t>项目需求清单中，凡标注</w:t>
            </w:r>
            <w:r>
              <w:rPr>
                <w:rFonts w:hint="eastAsia" w:asciiTheme="majorEastAsia" w:hAnsiTheme="majorEastAsia" w:eastAsiaTheme="majorEastAsia" w:cstheme="majorEastAsia"/>
                <w:bCs/>
                <w:sz w:val="24"/>
                <w:szCs w:val="24"/>
              </w:rPr>
              <w:t>▲</w:t>
            </w:r>
            <w:r>
              <w:rPr>
                <w:rFonts w:hint="eastAsia" w:asciiTheme="majorEastAsia" w:hAnsiTheme="majorEastAsia" w:eastAsiaTheme="majorEastAsia" w:cstheme="majorEastAsia"/>
                <w:bCs/>
                <w:sz w:val="24"/>
                <w:szCs w:val="24"/>
                <w:lang w:val="en-US" w:eastAsia="zh-CN"/>
              </w:rPr>
              <w:t>的产品，每满足或优于需求表中参数一栏的数据的，每项得3分，</w:t>
            </w:r>
            <w:r>
              <w:rPr>
                <w:rFonts w:hint="eastAsia" w:asciiTheme="majorEastAsia" w:hAnsiTheme="majorEastAsia" w:eastAsiaTheme="majorEastAsia" w:cstheme="majorEastAsia"/>
                <w:bCs/>
                <w:sz w:val="24"/>
                <w:szCs w:val="24"/>
              </w:rPr>
              <w:t>最高</w:t>
            </w:r>
            <w:r>
              <w:rPr>
                <w:rFonts w:hint="eastAsia" w:asciiTheme="majorEastAsia" w:hAnsiTheme="majorEastAsia" w:eastAsiaTheme="majorEastAsia" w:cstheme="majorEastAsia"/>
                <w:bCs/>
                <w:sz w:val="24"/>
                <w:szCs w:val="24"/>
                <w:lang w:val="en-US" w:eastAsia="zh-CN"/>
              </w:rPr>
              <w:t>15</w:t>
            </w:r>
            <w:r>
              <w:rPr>
                <w:rFonts w:hint="eastAsia" w:asciiTheme="majorEastAsia" w:hAnsiTheme="majorEastAsia" w:eastAsiaTheme="majorEastAsia" w:cstheme="majorEastAsia"/>
                <w:bCs/>
                <w:sz w:val="24"/>
                <w:szCs w:val="24"/>
              </w:rPr>
              <w:t>分。 （注：参数中有要求提供证明文件的需按要求提供 ，不能提供或供应商所提供的佐证材料不足以佐证参数要求的，不得分。）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419" w:type="dxa"/>
            <w:vMerge w:val="continue"/>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p>
        </w:tc>
        <w:tc>
          <w:tcPr>
            <w:tcW w:w="92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inorEastAsia" w:hAnsiTheme="minorEastAsia" w:eastAsiaTheme="minorEastAsia" w:cstheme="minorEastAsia"/>
                <w:sz w:val="24"/>
                <w:szCs w:val="24"/>
                <w:lang w:val="zh-CN"/>
              </w:rPr>
              <w:t>项目实施计划</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8</w:t>
            </w:r>
          </w:p>
        </w:tc>
        <w:tc>
          <w:tcPr>
            <w:tcW w:w="8149" w:type="dxa"/>
            <w:vAlign w:val="center"/>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en-US" w:eastAsia="zh-CN"/>
              </w:rPr>
              <w:t>1、项目实施计划方案</w:t>
            </w:r>
            <w:r>
              <w:rPr>
                <w:rFonts w:hint="eastAsia" w:asciiTheme="majorEastAsia" w:hAnsiTheme="majorEastAsia" w:eastAsiaTheme="majorEastAsia" w:cstheme="majorEastAsia"/>
                <w:bCs/>
                <w:sz w:val="24"/>
                <w:szCs w:val="24"/>
                <w:lang w:val="zh-CN"/>
              </w:rPr>
              <w:t>内容详细、切实可行，得</w:t>
            </w:r>
            <w:r>
              <w:rPr>
                <w:rFonts w:hint="eastAsia" w:asciiTheme="majorEastAsia" w:hAnsiTheme="majorEastAsia" w:eastAsiaTheme="majorEastAsia" w:cstheme="majorEastAsia"/>
                <w:bCs/>
                <w:sz w:val="24"/>
                <w:szCs w:val="24"/>
                <w:lang w:val="en-US" w:eastAsia="zh-CN"/>
              </w:rPr>
              <w:t>6-8</w:t>
            </w:r>
            <w:r>
              <w:rPr>
                <w:rFonts w:hint="eastAsia" w:asciiTheme="majorEastAsia" w:hAnsiTheme="majorEastAsia" w:eastAsiaTheme="majorEastAsia" w:cstheme="majorEastAsia"/>
                <w:bCs/>
                <w:sz w:val="24"/>
                <w:szCs w:val="24"/>
                <w:lang w:val="zh-CN"/>
              </w:rPr>
              <w:t>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en-US" w:eastAsia="zh-CN"/>
              </w:rPr>
              <w:t>2、项目实施计划方案</w:t>
            </w:r>
            <w:r>
              <w:rPr>
                <w:rFonts w:hint="eastAsia" w:asciiTheme="majorEastAsia" w:hAnsiTheme="majorEastAsia" w:eastAsiaTheme="majorEastAsia" w:cstheme="majorEastAsia"/>
                <w:bCs/>
                <w:sz w:val="24"/>
                <w:szCs w:val="24"/>
                <w:lang w:val="zh-CN"/>
              </w:rPr>
              <w:t>内容比较详细、</w:t>
            </w:r>
            <w:r>
              <w:rPr>
                <w:rFonts w:hint="eastAsia" w:asciiTheme="majorEastAsia" w:hAnsiTheme="majorEastAsia" w:eastAsiaTheme="majorEastAsia" w:cstheme="majorEastAsia"/>
                <w:bCs/>
                <w:sz w:val="24"/>
                <w:szCs w:val="24"/>
                <w:lang w:val="en-US" w:eastAsia="zh-CN"/>
              </w:rPr>
              <w:t>较</w:t>
            </w:r>
            <w:r>
              <w:rPr>
                <w:rFonts w:hint="eastAsia" w:asciiTheme="majorEastAsia" w:hAnsiTheme="majorEastAsia" w:eastAsiaTheme="majorEastAsia" w:cstheme="majorEastAsia"/>
                <w:bCs/>
                <w:sz w:val="24"/>
                <w:szCs w:val="24"/>
                <w:lang w:val="zh-CN"/>
              </w:rPr>
              <w:t>切实可行，得</w:t>
            </w:r>
            <w:r>
              <w:rPr>
                <w:rFonts w:hint="eastAsia" w:asciiTheme="majorEastAsia" w:hAnsiTheme="majorEastAsia" w:eastAsiaTheme="majorEastAsia" w:cstheme="majorEastAsia"/>
                <w:bCs/>
                <w:sz w:val="24"/>
                <w:szCs w:val="24"/>
                <w:lang w:val="en-US" w:eastAsia="zh-CN"/>
              </w:rPr>
              <w:t>3-5</w:t>
            </w:r>
            <w:r>
              <w:rPr>
                <w:rFonts w:hint="eastAsia" w:asciiTheme="majorEastAsia" w:hAnsiTheme="majorEastAsia" w:eastAsiaTheme="majorEastAsia" w:cstheme="majorEastAsia"/>
                <w:bCs/>
                <w:sz w:val="24"/>
                <w:szCs w:val="24"/>
                <w:lang w:val="zh-CN"/>
              </w:rPr>
              <w:t>分。</w:t>
            </w:r>
          </w:p>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en-US" w:eastAsia="zh-CN"/>
              </w:rPr>
              <w:t>3、项目实施计划方案</w:t>
            </w:r>
            <w:r>
              <w:rPr>
                <w:rFonts w:hint="eastAsia" w:asciiTheme="majorEastAsia" w:hAnsiTheme="majorEastAsia" w:eastAsiaTheme="majorEastAsia" w:cstheme="majorEastAsia"/>
                <w:bCs/>
                <w:sz w:val="24"/>
                <w:szCs w:val="24"/>
                <w:lang w:val="zh-CN"/>
              </w:rPr>
              <w:t>内容基本详细、</w:t>
            </w:r>
            <w:r>
              <w:rPr>
                <w:rFonts w:hint="eastAsia" w:asciiTheme="majorEastAsia" w:hAnsiTheme="majorEastAsia" w:eastAsiaTheme="majorEastAsia" w:cstheme="majorEastAsia"/>
                <w:bCs/>
                <w:sz w:val="24"/>
                <w:szCs w:val="24"/>
                <w:lang w:val="en-US" w:eastAsia="zh-CN"/>
              </w:rPr>
              <w:t>基本</w:t>
            </w:r>
            <w:r>
              <w:rPr>
                <w:rFonts w:hint="eastAsia" w:asciiTheme="majorEastAsia" w:hAnsiTheme="majorEastAsia" w:eastAsiaTheme="majorEastAsia" w:cstheme="majorEastAsia"/>
                <w:bCs/>
                <w:sz w:val="24"/>
                <w:szCs w:val="24"/>
                <w:lang w:val="zh-CN"/>
              </w:rPr>
              <w:t>切实可行，得</w:t>
            </w:r>
            <w:r>
              <w:rPr>
                <w:rFonts w:hint="eastAsia" w:asciiTheme="majorEastAsia" w:hAnsiTheme="majorEastAsia" w:eastAsiaTheme="majorEastAsia" w:cstheme="majorEastAsia"/>
                <w:bCs/>
                <w:sz w:val="24"/>
                <w:szCs w:val="24"/>
                <w:lang w:val="en-US" w:eastAsia="zh-CN"/>
              </w:rPr>
              <w:t>1-2</w:t>
            </w:r>
            <w:r>
              <w:rPr>
                <w:rFonts w:hint="eastAsia" w:asciiTheme="majorEastAsia" w:hAnsiTheme="majorEastAsia" w:eastAsiaTheme="majorEastAsia" w:cstheme="majorEastAsia"/>
                <w:bCs/>
                <w:sz w:val="24"/>
                <w:szCs w:val="24"/>
                <w:lang w:val="zh-CN"/>
              </w:rPr>
              <w:t>分。</w:t>
            </w:r>
          </w:p>
          <w:p>
            <w:pPr>
              <w:keepNext w:val="0"/>
              <w:keepLines w:val="0"/>
              <w:pageBreakBefore w:val="0"/>
              <w:kinsoku/>
              <w:wordWrap/>
              <w:overflowPunct/>
              <w:topLinePunct w:val="0"/>
              <w:autoSpaceDE/>
              <w:autoSpaceDN/>
              <w:bidi w:val="0"/>
              <w:adjustRightInd/>
              <w:snapToGrid/>
              <w:spacing w:line="288" w:lineRule="auto"/>
              <w:textAlignment w:val="auto"/>
              <w:rPr>
                <w:rFonts w:hint="default" w:asciiTheme="majorEastAsia" w:hAnsiTheme="majorEastAsia" w:eastAsiaTheme="minorEastAsia" w:cstheme="majorEastAsia"/>
                <w:b/>
                <w:sz w:val="24"/>
                <w:szCs w:val="24"/>
                <w:lang w:val="en-US" w:eastAsia="zh-CN"/>
              </w:rPr>
            </w:pPr>
            <w:r>
              <w:rPr>
                <w:rFonts w:hint="eastAsia" w:asciiTheme="majorEastAsia" w:hAnsiTheme="majorEastAsia" w:eastAsiaTheme="majorEastAsia" w:cstheme="majorEastAsia"/>
                <w:bCs/>
                <w:sz w:val="24"/>
                <w:szCs w:val="24"/>
                <w:lang w:val="en-US" w:eastAsia="zh-CN"/>
              </w:rPr>
              <w:t>4、项目实施计划方案</w:t>
            </w:r>
            <w:r>
              <w:rPr>
                <w:rFonts w:hint="eastAsia" w:asciiTheme="majorEastAsia" w:hAnsiTheme="majorEastAsia" w:eastAsiaTheme="majorEastAsia" w:cstheme="majorEastAsia"/>
                <w:bCs/>
                <w:sz w:val="24"/>
                <w:szCs w:val="24"/>
                <w:lang w:val="zh-CN"/>
              </w:rPr>
              <w:t>无可行性或</w:t>
            </w:r>
            <w:r>
              <w:rPr>
                <w:rFonts w:hint="eastAsia" w:asciiTheme="majorEastAsia" w:hAnsiTheme="majorEastAsia" w:eastAsiaTheme="majorEastAsia" w:cstheme="majorEastAsia"/>
                <w:bCs/>
                <w:sz w:val="24"/>
                <w:szCs w:val="24"/>
                <w:lang w:val="en-US" w:eastAsia="zh-CN"/>
              </w:rPr>
              <w:t>不提供的</w:t>
            </w:r>
            <w:r>
              <w:rPr>
                <w:rFonts w:hint="eastAsia" w:asciiTheme="majorEastAsia" w:hAnsiTheme="majorEastAsia" w:eastAsiaTheme="majorEastAsia" w:cstheme="majorEastAsia"/>
                <w:bCs/>
                <w:sz w:val="24"/>
                <w:szCs w:val="24"/>
                <w:lang w:val="zh-CN"/>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419" w:type="dxa"/>
            <w:vMerge w:val="continue"/>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p>
        </w:tc>
        <w:tc>
          <w:tcPr>
            <w:tcW w:w="92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项目</w:t>
            </w:r>
            <w:r>
              <w:rPr>
                <w:rFonts w:hint="eastAsia" w:asciiTheme="majorEastAsia" w:hAnsiTheme="majorEastAsia" w:eastAsiaTheme="majorEastAsia" w:cstheme="majorEastAsia"/>
                <w:sz w:val="24"/>
                <w:szCs w:val="24"/>
                <w:lang w:val="en-US" w:eastAsia="zh-CN"/>
              </w:rPr>
              <w:t>技术方案</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9</w:t>
            </w:r>
          </w:p>
        </w:tc>
        <w:tc>
          <w:tcPr>
            <w:tcW w:w="8149" w:type="dxa"/>
            <w:vAlign w:val="center"/>
          </w:tcPr>
          <w:p>
            <w:pPr>
              <w:spacing w:line="288" w:lineRule="auto"/>
              <w:ind w:firstLine="0" w:firstLineChars="0"/>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zh-CN"/>
              </w:rPr>
              <w:t>对投标人的整体技术方案（</w:t>
            </w:r>
            <w:r>
              <w:rPr>
                <w:rFonts w:hint="eastAsia" w:asciiTheme="majorEastAsia" w:hAnsiTheme="majorEastAsia" w:eastAsiaTheme="majorEastAsia" w:cstheme="majorEastAsia"/>
                <w:bCs/>
                <w:sz w:val="24"/>
                <w:szCs w:val="24"/>
                <w:lang w:val="en-US" w:eastAsia="zh-CN"/>
              </w:rPr>
              <w:t>包括但不限于</w:t>
            </w:r>
            <w:r>
              <w:rPr>
                <w:rFonts w:hint="eastAsia" w:asciiTheme="majorEastAsia" w:hAnsiTheme="majorEastAsia" w:eastAsiaTheme="majorEastAsia" w:cstheme="majorEastAsia"/>
                <w:bCs/>
                <w:sz w:val="24"/>
                <w:szCs w:val="24"/>
                <w:lang w:val="zh-CN"/>
              </w:rPr>
              <w:t>技术可行性分析、功能和架构建议</w:t>
            </w:r>
            <w:r>
              <w:rPr>
                <w:rFonts w:hint="eastAsia" w:asciiTheme="majorEastAsia" w:hAnsiTheme="majorEastAsia" w:eastAsiaTheme="majorEastAsia" w:cstheme="majorEastAsia"/>
                <w:bCs/>
                <w:sz w:val="24"/>
                <w:szCs w:val="24"/>
                <w:lang w:val="en-US" w:eastAsia="zh-CN"/>
              </w:rPr>
              <w:t>等</w:t>
            </w:r>
            <w:r>
              <w:rPr>
                <w:rFonts w:hint="eastAsia" w:asciiTheme="majorEastAsia" w:hAnsiTheme="majorEastAsia" w:eastAsiaTheme="majorEastAsia" w:cstheme="majorEastAsia"/>
                <w:bCs/>
                <w:sz w:val="24"/>
                <w:szCs w:val="24"/>
                <w:lang w:val="zh-CN"/>
              </w:rPr>
              <w:t>）以及外部对接、方案的评价:</w:t>
            </w:r>
          </w:p>
          <w:p>
            <w:pPr>
              <w:spacing w:line="288" w:lineRule="auto"/>
              <w:ind w:firstLine="0" w:firstLineChars="0"/>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zh-CN"/>
              </w:rPr>
              <w:t>1、方案内容非常完整详细、能完全满足或优于本项目的要求、具有非常高的可操作性，方案资料非常齐全准确，得</w:t>
            </w:r>
            <w:r>
              <w:rPr>
                <w:rFonts w:hint="eastAsia" w:asciiTheme="majorEastAsia" w:hAnsiTheme="majorEastAsia" w:eastAsiaTheme="majorEastAsia" w:cstheme="majorEastAsia"/>
                <w:bCs/>
                <w:sz w:val="24"/>
                <w:szCs w:val="24"/>
                <w:lang w:val="en-US" w:eastAsia="zh-CN"/>
              </w:rPr>
              <w:t>7-9</w:t>
            </w:r>
            <w:r>
              <w:rPr>
                <w:rFonts w:hint="eastAsia" w:asciiTheme="majorEastAsia" w:hAnsiTheme="majorEastAsia" w:eastAsiaTheme="majorEastAsia" w:cstheme="majorEastAsia"/>
                <w:bCs/>
                <w:sz w:val="24"/>
                <w:szCs w:val="24"/>
                <w:lang w:val="zh-CN"/>
              </w:rPr>
              <w:t>分;</w:t>
            </w:r>
          </w:p>
          <w:p>
            <w:pPr>
              <w:spacing w:line="288" w:lineRule="auto"/>
              <w:ind w:firstLine="0" w:firstLineChars="0"/>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zh-CN"/>
              </w:rPr>
              <w:t>2、方案内容较完整详细、较能满足本项目的要求、具有较高的可操作性，方案资料较齐全准确，得</w:t>
            </w:r>
            <w:r>
              <w:rPr>
                <w:rFonts w:hint="eastAsia" w:asciiTheme="majorEastAsia" w:hAnsiTheme="majorEastAsia" w:eastAsiaTheme="majorEastAsia" w:cstheme="majorEastAsia"/>
                <w:bCs/>
                <w:sz w:val="24"/>
                <w:szCs w:val="24"/>
                <w:lang w:val="en-US" w:eastAsia="zh-CN"/>
              </w:rPr>
              <w:t>4-6</w:t>
            </w:r>
            <w:r>
              <w:rPr>
                <w:rFonts w:hint="eastAsia" w:asciiTheme="majorEastAsia" w:hAnsiTheme="majorEastAsia" w:eastAsiaTheme="majorEastAsia" w:cstheme="majorEastAsia"/>
                <w:bCs/>
                <w:sz w:val="24"/>
                <w:szCs w:val="24"/>
                <w:lang w:val="zh-CN"/>
              </w:rPr>
              <w:t>分;</w:t>
            </w:r>
          </w:p>
          <w:p>
            <w:pPr>
              <w:spacing w:line="288" w:lineRule="auto"/>
              <w:ind w:firstLine="0" w:firstLineChars="0"/>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zh-CN"/>
              </w:rPr>
              <w:t>3、方案内容基本完整详细、基本满足项目的要求、具有基本的可操作性，方案资料基本齐全准确，得</w:t>
            </w:r>
            <w:r>
              <w:rPr>
                <w:rFonts w:hint="eastAsia" w:asciiTheme="majorEastAsia" w:hAnsiTheme="majorEastAsia" w:eastAsiaTheme="majorEastAsia" w:cstheme="majorEastAsia"/>
                <w:bCs/>
                <w:sz w:val="24"/>
                <w:szCs w:val="24"/>
                <w:lang w:val="en-US" w:eastAsia="zh-CN"/>
              </w:rPr>
              <w:t>1-3</w:t>
            </w:r>
            <w:r>
              <w:rPr>
                <w:rFonts w:hint="eastAsia" w:asciiTheme="majorEastAsia" w:hAnsiTheme="majorEastAsia" w:eastAsiaTheme="majorEastAsia" w:cstheme="majorEastAsia"/>
                <w:bCs/>
                <w:sz w:val="24"/>
                <w:szCs w:val="24"/>
                <w:lang w:val="zh-CN"/>
              </w:rPr>
              <w:t>分;</w:t>
            </w:r>
          </w:p>
          <w:p>
            <w:pPr>
              <w:spacing w:line="288" w:lineRule="auto"/>
              <w:ind w:firstLine="0" w:firstLineChars="0"/>
            </w:pPr>
            <w:r>
              <w:rPr>
                <w:rFonts w:hint="eastAsia" w:asciiTheme="majorEastAsia" w:hAnsiTheme="majorEastAsia" w:eastAsiaTheme="majorEastAsia" w:cstheme="majorEastAsia"/>
                <w:bCs/>
                <w:sz w:val="24"/>
                <w:szCs w:val="24"/>
                <w:lang w:val="zh-CN"/>
              </w:rPr>
              <w:t>4、</w:t>
            </w:r>
            <w:r>
              <w:rPr>
                <w:rFonts w:hint="eastAsia" w:asciiTheme="majorEastAsia" w:hAnsiTheme="majorEastAsia" w:eastAsiaTheme="majorEastAsia" w:cstheme="majorEastAsia"/>
                <w:bCs/>
                <w:sz w:val="24"/>
                <w:szCs w:val="24"/>
                <w:lang w:val="en-US" w:eastAsia="zh-CN"/>
              </w:rPr>
              <w:t>未提供方案的，</w:t>
            </w:r>
            <w:r>
              <w:rPr>
                <w:rFonts w:hint="eastAsia" w:asciiTheme="majorEastAsia" w:hAnsiTheme="majorEastAsia" w:eastAsiaTheme="majorEastAsia" w:cstheme="majorEastAsia"/>
                <w:bCs/>
                <w:sz w:val="24"/>
                <w:szCs w:val="24"/>
                <w:lang w:val="zh-CN"/>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19" w:type="dxa"/>
            <w:vMerge w:val="continue"/>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p>
        </w:tc>
        <w:tc>
          <w:tcPr>
            <w:tcW w:w="92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zh-CN"/>
              </w:rPr>
              <w:t>售后服务</w:t>
            </w:r>
            <w:r>
              <w:rPr>
                <w:rFonts w:hint="eastAsia" w:asciiTheme="minorEastAsia" w:hAnsiTheme="minorEastAsia" w:eastAsiaTheme="minorEastAsia" w:cstheme="minorEastAsia"/>
                <w:sz w:val="24"/>
                <w:szCs w:val="24"/>
                <w:lang w:val="en-US" w:eastAsia="zh-CN"/>
              </w:rPr>
              <w:t>方案</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p>
        </w:tc>
        <w:tc>
          <w:tcPr>
            <w:tcW w:w="8149" w:type="dxa"/>
            <w:vAlign w:val="center"/>
          </w:tcPr>
          <w:p>
            <w:pPr>
              <w:keepNext w:val="0"/>
              <w:keepLines w:val="0"/>
              <w:pageBreakBefore w:val="0"/>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zh-CN"/>
              </w:rPr>
              <w:t>投标人根据本项目提供质保及</w:t>
            </w:r>
            <w:r>
              <w:rPr>
                <w:rFonts w:hint="eastAsia" w:asciiTheme="majorEastAsia" w:hAnsiTheme="majorEastAsia" w:eastAsiaTheme="majorEastAsia" w:cstheme="majorEastAsia"/>
                <w:bCs/>
                <w:sz w:val="24"/>
                <w:szCs w:val="24"/>
                <w:lang w:val="en-US" w:eastAsia="zh-CN"/>
              </w:rPr>
              <w:t>售后</w:t>
            </w:r>
            <w:r>
              <w:rPr>
                <w:rFonts w:hint="eastAsia" w:asciiTheme="majorEastAsia" w:hAnsiTheme="majorEastAsia" w:eastAsiaTheme="majorEastAsia" w:cstheme="majorEastAsia"/>
                <w:bCs/>
                <w:sz w:val="24"/>
                <w:szCs w:val="24"/>
                <w:lang w:val="zh-CN"/>
              </w:rPr>
              <w:t xml:space="preserve">服务方案（包括但不限于培训服务、质保期内服务、质保期后服务）：  </w:t>
            </w:r>
          </w:p>
          <w:p>
            <w:pPr>
              <w:keepNext w:val="0"/>
              <w:keepLines w:val="0"/>
              <w:pageBreakBefore w:val="0"/>
              <w:numPr>
                <w:ilvl w:val="0"/>
                <w:numId w:val="19"/>
              </w:numPr>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en-US" w:eastAsia="zh-CN"/>
              </w:rPr>
              <w:t>售</w:t>
            </w:r>
            <w:r>
              <w:rPr>
                <w:rFonts w:hint="eastAsia" w:asciiTheme="majorEastAsia" w:hAnsiTheme="majorEastAsia" w:eastAsiaTheme="majorEastAsia" w:cstheme="majorEastAsia"/>
                <w:bCs/>
                <w:sz w:val="24"/>
                <w:szCs w:val="24"/>
                <w:lang w:val="zh-CN"/>
              </w:rPr>
              <w:t>后服务方案完整、详细，方案可行性强的，得</w:t>
            </w:r>
            <w:r>
              <w:rPr>
                <w:rFonts w:hint="eastAsia" w:asciiTheme="majorEastAsia" w:hAnsiTheme="majorEastAsia" w:eastAsiaTheme="majorEastAsia" w:cstheme="majorEastAsia"/>
                <w:bCs/>
                <w:sz w:val="24"/>
                <w:szCs w:val="24"/>
                <w:lang w:val="en-US" w:eastAsia="zh-CN"/>
              </w:rPr>
              <w:t>6-8</w:t>
            </w:r>
            <w:r>
              <w:rPr>
                <w:rFonts w:hint="eastAsia" w:asciiTheme="majorEastAsia" w:hAnsiTheme="majorEastAsia" w:eastAsiaTheme="majorEastAsia" w:cstheme="majorEastAsia"/>
                <w:bCs/>
                <w:sz w:val="24"/>
                <w:szCs w:val="24"/>
                <w:lang w:val="zh-CN"/>
              </w:rPr>
              <w:t xml:space="preserve">分； </w:t>
            </w:r>
          </w:p>
          <w:p>
            <w:pPr>
              <w:keepNext w:val="0"/>
              <w:keepLines w:val="0"/>
              <w:pageBreakBefore w:val="0"/>
              <w:numPr>
                <w:ilvl w:val="0"/>
                <w:numId w:val="19"/>
              </w:numPr>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en-US" w:eastAsia="zh-CN"/>
              </w:rPr>
              <w:t>售</w:t>
            </w:r>
            <w:r>
              <w:rPr>
                <w:rFonts w:hint="eastAsia" w:asciiTheme="majorEastAsia" w:hAnsiTheme="majorEastAsia" w:eastAsiaTheme="majorEastAsia" w:cstheme="majorEastAsia"/>
                <w:bCs/>
                <w:sz w:val="24"/>
                <w:szCs w:val="24"/>
                <w:lang w:val="zh-CN"/>
              </w:rPr>
              <w:t>后服务方案基本完整、详细，方案可行性一般的，得</w:t>
            </w:r>
            <w:r>
              <w:rPr>
                <w:rFonts w:hint="eastAsia" w:asciiTheme="majorEastAsia" w:hAnsiTheme="majorEastAsia" w:eastAsiaTheme="majorEastAsia" w:cstheme="majorEastAsia"/>
                <w:bCs/>
                <w:sz w:val="24"/>
                <w:szCs w:val="24"/>
                <w:lang w:val="en-US" w:eastAsia="zh-CN"/>
              </w:rPr>
              <w:t>3-5</w:t>
            </w:r>
            <w:r>
              <w:rPr>
                <w:rFonts w:hint="eastAsia" w:asciiTheme="majorEastAsia" w:hAnsiTheme="majorEastAsia" w:eastAsiaTheme="majorEastAsia" w:cstheme="majorEastAsia"/>
                <w:bCs/>
                <w:sz w:val="24"/>
                <w:szCs w:val="24"/>
                <w:lang w:val="zh-CN"/>
              </w:rPr>
              <w:t xml:space="preserve">分； </w:t>
            </w:r>
          </w:p>
          <w:p>
            <w:pPr>
              <w:keepNext w:val="0"/>
              <w:keepLines w:val="0"/>
              <w:pageBreakBefore w:val="0"/>
              <w:numPr>
                <w:ilvl w:val="0"/>
                <w:numId w:val="19"/>
              </w:numPr>
              <w:kinsoku/>
              <w:wordWrap/>
              <w:overflowPunct/>
              <w:topLinePunct w:val="0"/>
              <w:autoSpaceDE/>
              <w:autoSpaceDN/>
              <w:bidi w:val="0"/>
              <w:adjustRightInd/>
              <w:snapToGrid/>
              <w:spacing w:line="288" w:lineRule="auto"/>
              <w:textAlignment w:val="auto"/>
              <w:rPr>
                <w:rFonts w:hint="eastAsia" w:asciiTheme="majorEastAsia" w:hAnsiTheme="majorEastAsia" w:eastAsiaTheme="majorEastAsia" w:cstheme="majorEastAsia"/>
                <w:bCs/>
                <w:sz w:val="24"/>
                <w:szCs w:val="24"/>
                <w:lang w:val="zh-CN"/>
              </w:rPr>
            </w:pPr>
            <w:r>
              <w:rPr>
                <w:rFonts w:hint="eastAsia" w:asciiTheme="majorEastAsia" w:hAnsiTheme="majorEastAsia" w:eastAsiaTheme="majorEastAsia" w:cstheme="majorEastAsia"/>
                <w:bCs/>
                <w:sz w:val="24"/>
                <w:szCs w:val="24"/>
                <w:lang w:val="en-US" w:eastAsia="zh-CN"/>
              </w:rPr>
              <w:t>售</w:t>
            </w:r>
            <w:r>
              <w:rPr>
                <w:rFonts w:hint="eastAsia" w:asciiTheme="majorEastAsia" w:hAnsiTheme="majorEastAsia" w:eastAsiaTheme="majorEastAsia" w:cstheme="majorEastAsia"/>
                <w:bCs/>
                <w:sz w:val="24"/>
                <w:szCs w:val="24"/>
                <w:lang w:val="zh-CN"/>
              </w:rPr>
              <w:t>后服务方案不完整、详细，方案可行性差的，得</w:t>
            </w:r>
            <w:r>
              <w:rPr>
                <w:rFonts w:hint="eastAsia" w:asciiTheme="majorEastAsia" w:hAnsiTheme="majorEastAsia" w:eastAsiaTheme="majorEastAsia" w:cstheme="majorEastAsia"/>
                <w:bCs/>
                <w:sz w:val="24"/>
                <w:szCs w:val="24"/>
                <w:lang w:val="en-US" w:eastAsia="zh-CN"/>
              </w:rPr>
              <w:t>1-2</w:t>
            </w:r>
            <w:r>
              <w:rPr>
                <w:rFonts w:hint="eastAsia" w:asciiTheme="majorEastAsia" w:hAnsiTheme="majorEastAsia" w:eastAsiaTheme="majorEastAsia" w:cstheme="majorEastAsia"/>
                <w:bCs/>
                <w:sz w:val="24"/>
                <w:szCs w:val="24"/>
                <w:lang w:val="zh-CN"/>
              </w:rPr>
              <w:t>分；</w:t>
            </w:r>
          </w:p>
          <w:p>
            <w:pPr>
              <w:keepNext w:val="0"/>
              <w:keepLines w:val="0"/>
              <w:pageBreakBefore w:val="0"/>
              <w:numPr>
                <w:ilvl w:val="-1"/>
                <w:numId w:val="0"/>
              </w:numPr>
              <w:kinsoku/>
              <w:wordWrap/>
              <w:overflowPunct/>
              <w:topLinePunct w:val="0"/>
              <w:autoSpaceDE/>
              <w:autoSpaceDN/>
              <w:bidi w:val="0"/>
              <w:adjustRightInd/>
              <w:snapToGrid/>
              <w:spacing w:line="288" w:lineRule="auto"/>
              <w:textAlignment w:val="auto"/>
              <w:rPr>
                <w:rFonts w:asciiTheme="minorEastAsia" w:hAnsiTheme="minorEastAsia" w:eastAsiaTheme="minorEastAsia" w:cstheme="minorEastAsia"/>
                <w:sz w:val="24"/>
                <w:szCs w:val="24"/>
              </w:rPr>
            </w:pPr>
            <w:r>
              <w:rPr>
                <w:rFonts w:hint="eastAsia" w:asciiTheme="majorEastAsia" w:hAnsiTheme="majorEastAsia" w:eastAsiaTheme="majorEastAsia" w:cstheme="majorEastAsia"/>
                <w:bCs/>
                <w:sz w:val="24"/>
                <w:szCs w:val="24"/>
                <w:lang w:val="en-US" w:eastAsia="zh-CN"/>
              </w:rPr>
              <w:t>4、</w:t>
            </w:r>
            <w:r>
              <w:rPr>
                <w:rFonts w:hint="eastAsia" w:asciiTheme="majorEastAsia" w:hAnsiTheme="majorEastAsia" w:eastAsiaTheme="majorEastAsia" w:cstheme="majorEastAsia"/>
                <w:bCs/>
                <w:sz w:val="24"/>
                <w:szCs w:val="24"/>
                <w:lang w:val="zh-CN"/>
              </w:rPr>
              <w:t>未提供</w:t>
            </w:r>
            <w:r>
              <w:rPr>
                <w:rFonts w:hint="eastAsia" w:asciiTheme="majorEastAsia" w:hAnsiTheme="majorEastAsia" w:eastAsiaTheme="majorEastAsia" w:cstheme="majorEastAsia"/>
                <w:bCs/>
                <w:sz w:val="24"/>
                <w:szCs w:val="24"/>
                <w:lang w:val="en-US" w:eastAsia="zh-CN"/>
              </w:rPr>
              <w:t>方案的，</w:t>
            </w:r>
            <w:r>
              <w:rPr>
                <w:rFonts w:hint="eastAsia" w:asciiTheme="majorEastAsia" w:hAnsiTheme="majorEastAsia" w:eastAsiaTheme="majorEastAsia" w:cstheme="majorEastAsia"/>
                <w:bCs/>
                <w:sz w:val="24"/>
                <w:szCs w:val="24"/>
                <w:lang w:val="zh-CN"/>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48" w:type="dxa"/>
            <w:gridSpan w:val="2"/>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技术得分合计</w:t>
            </w:r>
          </w:p>
        </w:tc>
        <w:tc>
          <w:tcPr>
            <w:tcW w:w="597"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40</w:t>
            </w:r>
          </w:p>
        </w:tc>
        <w:tc>
          <w:tcPr>
            <w:tcW w:w="8149"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Theme="majorEastAsia" w:hAnsiTheme="majorEastAsia" w:eastAsiaTheme="majorEastAsia" w:cstheme="majorEastAsia"/>
                <w:sz w:val="24"/>
                <w:szCs w:val="24"/>
              </w:rPr>
            </w:pPr>
          </w:p>
        </w:tc>
      </w:tr>
    </w:tbl>
    <w:p>
      <w:pPr>
        <w:tabs>
          <w:tab w:val="left" w:pos="560"/>
        </w:tabs>
        <w:spacing w:line="360" w:lineRule="auto"/>
        <w:ind w:left="0" w:firstLine="0" w:firstLineChars="0"/>
        <w:jc w:val="left"/>
        <w:rPr>
          <w:rFonts w:ascii="宋体"/>
          <w:sz w:val="24"/>
          <w:szCs w:val="24"/>
        </w:rPr>
      </w:pPr>
      <w:r>
        <w:rPr>
          <w:rFonts w:hint="eastAsia" w:ascii="宋体"/>
          <w:sz w:val="24"/>
          <w:szCs w:val="24"/>
        </w:rPr>
        <w:t>备注：1.采购文件要求提交的与评价指标体系相关的各类有效资料，供应商如未按要求提交的，该项评分为零分；</w:t>
      </w:r>
    </w:p>
    <w:p>
      <w:pPr>
        <w:tabs>
          <w:tab w:val="left" w:pos="560"/>
        </w:tabs>
        <w:snapToGrid w:val="0"/>
        <w:spacing w:line="360" w:lineRule="auto"/>
        <w:ind w:left="560" w:leftChars="200"/>
        <w:jc w:val="left"/>
        <w:rPr>
          <w:rFonts w:ascii="宋体"/>
          <w:color w:val="auto"/>
          <w:sz w:val="24"/>
          <w:szCs w:val="24"/>
        </w:rPr>
      </w:pPr>
      <w:r>
        <w:rPr>
          <w:rFonts w:hint="eastAsia" w:ascii="宋体"/>
          <w:color w:val="auto"/>
          <w:sz w:val="24"/>
          <w:szCs w:val="24"/>
        </w:rPr>
        <w:t>2.技术评分：将每个评委的评分汇总，各评委评分的算术平均值，即为该投标人的最终技术得分。（四舍五入后，小数点后保留两位有效数）。</w:t>
      </w:r>
    </w:p>
    <w:p>
      <w:pPr>
        <w:jc w:val="left"/>
        <w:rPr>
          <w:rFonts w:ascii="宋体" w:hAnsi="宋体"/>
          <w:b/>
          <w:sz w:val="24"/>
        </w:rPr>
      </w:pPr>
      <w:r>
        <w:rPr>
          <w:rFonts w:ascii="宋体" w:hAnsi="宋体"/>
          <w:b/>
          <w:sz w:val="24"/>
        </w:rPr>
        <w:br w:type="page"/>
      </w:r>
      <w:r>
        <w:rPr>
          <w:rFonts w:hint="eastAsia" w:ascii="宋体" w:hAnsi="宋体"/>
          <w:b/>
          <w:sz w:val="24"/>
        </w:rPr>
        <w:t xml:space="preserve">附件3  </w:t>
      </w:r>
    </w:p>
    <w:p>
      <w:pPr>
        <w:spacing w:line="360" w:lineRule="auto"/>
        <w:jc w:val="center"/>
        <w:rPr>
          <w:rFonts w:ascii="宋体" w:hAnsi="宋体"/>
          <w:b/>
          <w:szCs w:val="28"/>
        </w:rPr>
      </w:pPr>
      <w:r>
        <w:rPr>
          <w:rFonts w:hint="eastAsia" w:ascii="宋体" w:hAnsi="宋体"/>
          <w:b/>
          <w:szCs w:val="28"/>
        </w:rPr>
        <w:t>商务评分标准</w:t>
      </w:r>
    </w:p>
    <w:tbl>
      <w:tblPr>
        <w:tblStyle w:val="21"/>
        <w:tblW w:w="9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577"/>
        <w:gridCol w:w="6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34" w:type="dxa"/>
            <w:tcBorders>
              <w:top w:val="single" w:color="auto" w:sz="4" w:space="0"/>
              <w:left w:val="single" w:color="auto" w:sz="4" w:space="0"/>
              <w:bottom w:val="single" w:color="auto" w:sz="4" w:space="0"/>
              <w:right w:val="single" w:color="auto" w:sz="4" w:space="0"/>
            </w:tcBorders>
            <w:vAlign w:val="center"/>
          </w:tcPr>
          <w:p>
            <w:pPr>
              <w:numPr>
                <w:ilvl w:val="0"/>
                <w:numId w:val="0"/>
              </w:numPr>
              <w:snapToGrid/>
              <w:spacing w:line="360" w:lineRule="auto"/>
              <w:jc w:val="left"/>
              <w:rPr>
                <w:rFonts w:hint="eastAsia" w:ascii="宋体" w:hAnsi="宋体" w:eastAsia="宋体" w:cs="宋体"/>
                <w:b/>
                <w:bCs/>
                <w:sz w:val="24"/>
                <w:szCs w:val="24"/>
                <w:lang w:val="zh-CN"/>
              </w:rPr>
            </w:pPr>
            <w:r>
              <w:rPr>
                <w:rFonts w:hint="eastAsia" w:ascii="宋体" w:hAnsi="宋体" w:eastAsia="宋体" w:cs="宋体"/>
                <w:b/>
                <w:bCs/>
                <w:sz w:val="24"/>
                <w:szCs w:val="24"/>
                <w:lang w:val="zh-CN"/>
              </w:rPr>
              <w:t>序号</w:t>
            </w:r>
          </w:p>
        </w:tc>
        <w:tc>
          <w:tcPr>
            <w:tcW w:w="1417" w:type="dxa"/>
            <w:tcBorders>
              <w:top w:val="single" w:color="auto" w:sz="4" w:space="0"/>
              <w:left w:val="single" w:color="auto" w:sz="4" w:space="0"/>
              <w:bottom w:val="single" w:color="auto" w:sz="4" w:space="0"/>
              <w:right w:val="single" w:color="auto" w:sz="6" w:space="0"/>
            </w:tcBorders>
            <w:vAlign w:val="center"/>
          </w:tcPr>
          <w:p>
            <w:pPr>
              <w:numPr>
                <w:ilvl w:val="0"/>
                <w:numId w:val="0"/>
              </w:numPr>
              <w:snapToGrid/>
              <w:spacing w:line="360" w:lineRule="auto"/>
              <w:jc w:val="left"/>
              <w:rPr>
                <w:rFonts w:hint="eastAsia" w:ascii="宋体" w:hAnsi="宋体" w:eastAsia="宋体" w:cs="宋体"/>
                <w:b/>
                <w:bCs/>
                <w:sz w:val="24"/>
                <w:szCs w:val="24"/>
                <w:lang w:val="zh-CN"/>
              </w:rPr>
            </w:pPr>
            <w:r>
              <w:rPr>
                <w:rFonts w:hint="eastAsia" w:ascii="宋体" w:hAnsi="宋体" w:eastAsia="宋体" w:cs="宋体"/>
                <w:b/>
                <w:bCs/>
                <w:sz w:val="24"/>
                <w:szCs w:val="24"/>
                <w:lang w:val="zh-CN"/>
              </w:rPr>
              <w:t>评审分项</w:t>
            </w:r>
          </w:p>
        </w:tc>
        <w:tc>
          <w:tcPr>
            <w:tcW w:w="577" w:type="dxa"/>
            <w:tcBorders>
              <w:top w:val="single" w:color="auto" w:sz="4" w:space="0"/>
              <w:left w:val="single" w:color="auto" w:sz="6" w:space="0"/>
              <w:bottom w:val="single" w:color="auto" w:sz="4" w:space="0"/>
              <w:right w:val="single" w:color="auto" w:sz="4" w:space="0"/>
            </w:tcBorders>
            <w:vAlign w:val="center"/>
          </w:tcPr>
          <w:p>
            <w:pPr>
              <w:numPr>
                <w:ilvl w:val="0"/>
                <w:numId w:val="0"/>
              </w:numPr>
              <w:snapToGrid/>
              <w:spacing w:line="360" w:lineRule="auto"/>
              <w:jc w:val="left"/>
              <w:rPr>
                <w:rFonts w:hint="eastAsia" w:ascii="宋体" w:hAnsi="宋体" w:eastAsia="宋体" w:cs="宋体"/>
                <w:b/>
                <w:bCs/>
                <w:sz w:val="24"/>
                <w:szCs w:val="24"/>
                <w:lang w:val="zh-CN"/>
              </w:rPr>
            </w:pPr>
            <w:r>
              <w:rPr>
                <w:rFonts w:hint="eastAsia" w:ascii="宋体" w:hAnsi="宋体" w:eastAsia="宋体" w:cs="宋体"/>
                <w:b/>
                <w:bCs/>
                <w:sz w:val="24"/>
                <w:szCs w:val="24"/>
                <w:lang w:val="zh-CN"/>
              </w:rPr>
              <w:t>得分</w:t>
            </w:r>
          </w:p>
        </w:tc>
        <w:tc>
          <w:tcPr>
            <w:tcW w:w="6895" w:type="dxa"/>
            <w:tcBorders>
              <w:top w:val="single" w:color="auto" w:sz="4" w:space="0"/>
              <w:left w:val="single" w:color="auto" w:sz="4" w:space="0"/>
              <w:bottom w:val="single" w:color="auto" w:sz="4" w:space="0"/>
              <w:right w:val="single" w:color="auto" w:sz="4" w:space="0"/>
            </w:tcBorders>
            <w:vAlign w:val="center"/>
          </w:tcPr>
          <w:p>
            <w:pPr>
              <w:numPr>
                <w:ilvl w:val="0"/>
                <w:numId w:val="0"/>
              </w:numPr>
              <w:snapToGrid/>
              <w:spacing w:line="360" w:lineRule="auto"/>
              <w:jc w:val="left"/>
              <w:rPr>
                <w:rFonts w:hint="eastAsia" w:ascii="宋体" w:hAnsi="宋体" w:eastAsia="宋体" w:cs="宋体"/>
                <w:b/>
                <w:bCs/>
                <w:sz w:val="24"/>
                <w:szCs w:val="24"/>
                <w:lang w:val="zh-CN"/>
              </w:rPr>
            </w:pPr>
            <w:r>
              <w:rPr>
                <w:rFonts w:hint="eastAsia" w:ascii="宋体" w:hAnsi="宋体" w:eastAsia="宋体" w:cs="宋体"/>
                <w:b/>
                <w:bCs/>
                <w:sz w:val="24"/>
                <w:szCs w:val="24"/>
                <w:lang w:val="zh-CN"/>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534" w:type="dxa"/>
            <w:tcBorders>
              <w:top w:val="single" w:color="auto" w:sz="4" w:space="0"/>
              <w:left w:val="single" w:color="auto" w:sz="4" w:space="0"/>
              <w:bottom w:val="single" w:color="auto" w:sz="4" w:space="0"/>
              <w:right w:val="single" w:color="auto" w:sz="4" w:space="0"/>
            </w:tcBorders>
            <w:vAlign w:val="center"/>
          </w:tcPr>
          <w:p>
            <w:pPr>
              <w:numPr>
                <w:ilvl w:val="0"/>
                <w:numId w:val="0"/>
              </w:numPr>
              <w:snapToGrid/>
              <w:spacing w:line="360" w:lineRule="auto"/>
              <w:jc w:val="center"/>
              <w:rPr>
                <w:rFonts w:hint="eastAsia" w:ascii="宋体" w:hAnsi="宋体" w:eastAsia="宋体" w:cs="宋体"/>
                <w:bCs w:val="0"/>
                <w:sz w:val="24"/>
                <w:szCs w:val="24"/>
                <w:lang w:val="zh-CN"/>
              </w:rPr>
            </w:pPr>
            <w:r>
              <w:rPr>
                <w:rFonts w:hint="eastAsia" w:ascii="宋体" w:hAnsi="宋体" w:eastAsia="宋体" w:cs="宋体"/>
                <w:bCs w:val="0"/>
                <w:sz w:val="24"/>
                <w:szCs w:val="24"/>
                <w:lang w:val="zh-CN"/>
              </w:rPr>
              <w:t>1</w:t>
            </w:r>
          </w:p>
        </w:tc>
        <w:tc>
          <w:tcPr>
            <w:tcW w:w="1417" w:type="dxa"/>
            <w:tcBorders>
              <w:top w:val="single" w:color="auto" w:sz="4" w:space="0"/>
              <w:left w:val="single" w:color="auto" w:sz="4" w:space="0"/>
              <w:bottom w:val="single" w:color="auto" w:sz="4" w:space="0"/>
              <w:right w:val="single" w:color="auto" w:sz="6" w:space="0"/>
            </w:tcBorders>
            <w:vAlign w:val="center"/>
          </w:tcPr>
          <w:p>
            <w:pPr>
              <w:numPr>
                <w:ilvl w:val="0"/>
                <w:numId w:val="0"/>
              </w:numPr>
              <w:snapToGrid/>
              <w:spacing w:line="360" w:lineRule="auto"/>
              <w:jc w:val="center"/>
              <w:rPr>
                <w:rFonts w:hint="eastAsia" w:ascii="宋体" w:hAnsi="宋体" w:eastAsia="宋体" w:cs="宋体"/>
                <w:bCs w:val="0"/>
                <w:sz w:val="24"/>
                <w:szCs w:val="24"/>
                <w:lang w:val="zh-CN"/>
              </w:rPr>
            </w:pPr>
            <w:r>
              <w:rPr>
                <w:rFonts w:hint="eastAsia" w:ascii="宋体" w:hAnsi="宋体" w:eastAsia="宋体" w:cs="宋体"/>
                <w:bCs w:val="0"/>
                <w:sz w:val="24"/>
                <w:szCs w:val="24"/>
                <w:lang w:val="zh-CN"/>
              </w:rPr>
              <w:t>业绩</w:t>
            </w:r>
          </w:p>
        </w:tc>
        <w:tc>
          <w:tcPr>
            <w:tcW w:w="577" w:type="dxa"/>
            <w:tcBorders>
              <w:top w:val="single" w:color="auto" w:sz="4" w:space="0"/>
              <w:left w:val="single" w:color="auto" w:sz="6" w:space="0"/>
              <w:bottom w:val="single" w:color="auto" w:sz="4" w:space="0"/>
              <w:right w:val="single" w:color="auto" w:sz="4" w:space="0"/>
            </w:tcBorders>
            <w:vAlign w:val="center"/>
          </w:tcPr>
          <w:p>
            <w:pPr>
              <w:numPr>
                <w:ilvl w:val="0"/>
                <w:numId w:val="0"/>
              </w:numPr>
              <w:snapToGrid/>
              <w:spacing w:line="360" w:lineRule="auto"/>
              <w:jc w:val="center"/>
              <w:rPr>
                <w:rFonts w:hint="default" w:ascii="宋体" w:hAnsi="宋体" w:eastAsia="宋体" w:cs="宋体"/>
                <w:bCs w:val="0"/>
                <w:sz w:val="24"/>
                <w:szCs w:val="24"/>
                <w:lang w:val="en-US" w:eastAsia="zh-CN"/>
              </w:rPr>
            </w:pPr>
            <w:r>
              <w:rPr>
                <w:rFonts w:hint="eastAsia" w:ascii="宋体" w:hAnsi="宋体" w:cs="宋体"/>
                <w:bCs w:val="0"/>
                <w:sz w:val="24"/>
                <w:szCs w:val="24"/>
                <w:lang w:val="en-US" w:eastAsia="zh-CN"/>
              </w:rPr>
              <w:t>10</w:t>
            </w:r>
          </w:p>
        </w:tc>
        <w:tc>
          <w:tcPr>
            <w:tcW w:w="6895" w:type="dxa"/>
            <w:tcBorders>
              <w:top w:val="single" w:color="auto" w:sz="4" w:space="0"/>
              <w:left w:val="single" w:color="auto" w:sz="4" w:space="0"/>
              <w:bottom w:val="single" w:color="auto" w:sz="4" w:space="0"/>
              <w:right w:val="single" w:color="auto" w:sz="4" w:space="0"/>
            </w:tcBorders>
            <w:vAlign w:val="center"/>
          </w:tcPr>
          <w:p>
            <w:pPr>
              <w:numPr>
                <w:ilvl w:val="0"/>
                <w:numId w:val="0"/>
              </w:numPr>
              <w:snapToGrid/>
              <w:spacing w:line="288" w:lineRule="auto"/>
              <w:jc w:val="left"/>
              <w:rPr>
                <w:rFonts w:hint="eastAsia" w:ascii="宋体" w:hAnsi="宋体" w:eastAsia="宋体" w:cs="宋体"/>
                <w:bCs w:val="0"/>
                <w:sz w:val="24"/>
                <w:szCs w:val="24"/>
                <w:highlight w:val="none"/>
                <w:lang w:val="zh-CN"/>
              </w:rPr>
            </w:pPr>
            <w:r>
              <w:rPr>
                <w:rFonts w:hint="eastAsia" w:ascii="宋体" w:hAnsi="宋体" w:eastAsia="宋体" w:cs="宋体"/>
                <w:bCs w:val="0"/>
                <w:sz w:val="24"/>
                <w:szCs w:val="24"/>
                <w:highlight w:val="none"/>
                <w:lang w:val="zh-CN"/>
              </w:rPr>
              <w:t>投标人提供2021年1月1日至投标截止时间签署的业绩合同累计金额：</w:t>
            </w:r>
            <w:r>
              <w:rPr>
                <w:rFonts w:hint="eastAsia" w:ascii="宋体" w:hAnsi="宋体" w:cs="宋体"/>
                <w:bCs w:val="0"/>
                <w:sz w:val="24"/>
                <w:szCs w:val="24"/>
                <w:highlight w:val="none"/>
                <w:lang w:val="en-US" w:eastAsia="zh-CN"/>
              </w:rPr>
              <w:t>2</w:t>
            </w:r>
            <w:r>
              <w:rPr>
                <w:rFonts w:hint="eastAsia" w:ascii="宋体" w:hAnsi="宋体" w:eastAsia="宋体" w:cs="宋体"/>
                <w:bCs w:val="0"/>
                <w:sz w:val="24"/>
                <w:szCs w:val="24"/>
                <w:highlight w:val="none"/>
                <w:lang w:val="zh-CN"/>
              </w:rPr>
              <w:t>0万（含）以上，每提供一个得2分，</w:t>
            </w:r>
            <w:r>
              <w:rPr>
                <w:rFonts w:hint="eastAsia" w:ascii="宋体" w:hAnsi="宋体" w:cs="宋体"/>
                <w:bCs w:val="0"/>
                <w:sz w:val="24"/>
                <w:szCs w:val="24"/>
                <w:highlight w:val="none"/>
                <w:lang w:val="en-US" w:eastAsia="zh-CN"/>
              </w:rPr>
              <w:t>满分10</w:t>
            </w:r>
            <w:r>
              <w:rPr>
                <w:rFonts w:hint="eastAsia" w:ascii="宋体" w:hAnsi="宋体" w:eastAsia="宋体" w:cs="宋体"/>
                <w:bCs w:val="0"/>
                <w:sz w:val="24"/>
                <w:szCs w:val="24"/>
                <w:highlight w:val="none"/>
                <w:lang w:val="zh-CN"/>
              </w:rPr>
              <w:t>分。</w:t>
            </w:r>
          </w:p>
          <w:p>
            <w:pPr>
              <w:numPr>
                <w:ilvl w:val="0"/>
                <w:numId w:val="0"/>
              </w:numPr>
              <w:snapToGrid/>
              <w:spacing w:line="288" w:lineRule="auto"/>
              <w:jc w:val="left"/>
              <w:rPr>
                <w:rFonts w:hint="eastAsia" w:ascii="宋体" w:hAnsi="宋体" w:eastAsia="宋体" w:cs="宋体"/>
                <w:bCs w:val="0"/>
                <w:sz w:val="24"/>
                <w:szCs w:val="24"/>
                <w:lang w:val="zh-CN"/>
              </w:rPr>
            </w:pPr>
            <w:r>
              <w:rPr>
                <w:rFonts w:hint="eastAsia" w:ascii="宋体" w:hAnsi="宋体" w:eastAsia="宋体" w:cs="宋体"/>
                <w:bCs w:val="0"/>
                <w:sz w:val="24"/>
                <w:szCs w:val="24"/>
                <w:highlight w:val="none"/>
                <w:lang w:val="zh-CN"/>
              </w:rPr>
              <w:t>注：提供合同关键页复印件并加盖公章(关键页应包括体现合同封面、合同金额、签字盖章页)，以合同签订时间为准，不提供或证明材料不清晰评委无法辨认的不得分。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4" w:hRule="atLeast"/>
        </w:trPr>
        <w:tc>
          <w:tcPr>
            <w:tcW w:w="534" w:type="dxa"/>
            <w:tcBorders>
              <w:top w:val="single" w:color="auto" w:sz="4" w:space="0"/>
              <w:left w:val="single" w:color="auto" w:sz="4" w:space="0"/>
              <w:right w:val="single" w:color="auto" w:sz="4" w:space="0"/>
            </w:tcBorders>
            <w:vAlign w:val="center"/>
          </w:tcPr>
          <w:p>
            <w:pPr>
              <w:numPr>
                <w:ilvl w:val="0"/>
                <w:numId w:val="0"/>
              </w:numPr>
              <w:snapToGrid/>
              <w:spacing w:line="360" w:lineRule="auto"/>
              <w:jc w:val="center"/>
              <w:rPr>
                <w:rFonts w:hint="eastAsia" w:ascii="宋体" w:hAnsi="宋体" w:eastAsia="宋体" w:cs="宋体"/>
                <w:bCs w:val="0"/>
                <w:sz w:val="24"/>
                <w:szCs w:val="24"/>
                <w:lang w:val="zh-CN"/>
              </w:rPr>
            </w:pPr>
            <w:r>
              <w:rPr>
                <w:rFonts w:hint="eastAsia" w:ascii="宋体" w:hAnsi="宋体" w:eastAsia="宋体" w:cs="宋体"/>
                <w:bCs w:val="0"/>
                <w:sz w:val="24"/>
                <w:szCs w:val="24"/>
                <w:lang w:val="zh-CN"/>
              </w:rPr>
              <w:t>2</w:t>
            </w:r>
          </w:p>
        </w:tc>
        <w:tc>
          <w:tcPr>
            <w:tcW w:w="1417" w:type="dxa"/>
            <w:tcBorders>
              <w:top w:val="single" w:color="auto" w:sz="4" w:space="0"/>
              <w:left w:val="single" w:color="auto" w:sz="4" w:space="0"/>
              <w:right w:val="single" w:color="auto" w:sz="6" w:space="0"/>
            </w:tcBorders>
            <w:vAlign w:val="center"/>
          </w:tcPr>
          <w:p>
            <w:pPr>
              <w:numPr>
                <w:ilvl w:val="0"/>
                <w:numId w:val="0"/>
              </w:numPr>
              <w:snapToGrid/>
              <w:spacing w:line="360" w:lineRule="auto"/>
              <w:jc w:val="center"/>
              <w:rPr>
                <w:rFonts w:hint="eastAsia" w:ascii="宋体" w:hAnsi="宋体" w:eastAsia="宋体" w:cs="宋体"/>
                <w:bCs w:val="0"/>
                <w:sz w:val="24"/>
                <w:szCs w:val="24"/>
                <w:lang w:val="zh-CN"/>
              </w:rPr>
            </w:pPr>
            <w:r>
              <w:rPr>
                <w:rFonts w:hint="eastAsia" w:ascii="宋体" w:hAnsi="宋体" w:eastAsia="宋体" w:cs="宋体"/>
                <w:bCs w:val="0"/>
                <w:sz w:val="24"/>
                <w:szCs w:val="24"/>
                <w:lang w:val="zh-CN"/>
              </w:rPr>
              <w:t>人员配备</w:t>
            </w:r>
          </w:p>
        </w:tc>
        <w:tc>
          <w:tcPr>
            <w:tcW w:w="577" w:type="dxa"/>
            <w:tcBorders>
              <w:top w:val="single" w:color="auto" w:sz="4" w:space="0"/>
              <w:left w:val="single" w:color="auto" w:sz="6" w:space="0"/>
              <w:bottom w:val="single" w:color="auto" w:sz="4" w:space="0"/>
              <w:right w:val="single" w:color="auto" w:sz="4" w:space="0"/>
            </w:tcBorders>
            <w:vAlign w:val="center"/>
          </w:tcPr>
          <w:p>
            <w:pPr>
              <w:numPr>
                <w:ilvl w:val="0"/>
                <w:numId w:val="0"/>
              </w:numPr>
              <w:spacing w:line="360" w:lineRule="auto"/>
              <w:jc w:val="center"/>
              <w:rPr>
                <w:rFonts w:hint="eastAsia" w:ascii="宋体" w:hAnsi="宋体" w:eastAsia="宋体" w:cs="宋体"/>
                <w:bCs w:val="0"/>
                <w:sz w:val="24"/>
                <w:szCs w:val="24"/>
                <w:lang w:val="zh-CN" w:eastAsia="zh-CN"/>
              </w:rPr>
            </w:pPr>
            <w:r>
              <w:rPr>
                <w:rFonts w:hint="eastAsia" w:ascii="宋体" w:hAnsi="宋体" w:cs="宋体"/>
                <w:bCs w:val="0"/>
                <w:sz w:val="24"/>
                <w:szCs w:val="24"/>
                <w:lang w:val="en-US" w:eastAsia="zh-CN"/>
              </w:rPr>
              <w:t>5</w:t>
            </w:r>
          </w:p>
        </w:tc>
        <w:tc>
          <w:tcPr>
            <w:tcW w:w="6895" w:type="dxa"/>
            <w:tcBorders>
              <w:top w:val="single" w:color="auto" w:sz="4" w:space="0"/>
              <w:left w:val="single" w:color="auto" w:sz="4" w:space="0"/>
              <w:bottom w:val="single" w:color="auto" w:sz="4" w:space="0"/>
              <w:right w:val="single" w:color="auto" w:sz="4" w:space="0"/>
            </w:tcBorders>
            <w:vAlign w:val="center"/>
          </w:tcPr>
          <w:p>
            <w:pPr>
              <w:numPr>
                <w:ilvl w:val="-1"/>
                <w:numId w:val="0"/>
              </w:numPr>
              <w:snapToGrid/>
              <w:spacing w:line="288" w:lineRule="auto"/>
              <w:jc w:val="left"/>
              <w:rPr>
                <w:rFonts w:hint="eastAsia" w:ascii="宋体" w:hAnsi="宋体" w:eastAsia="宋体" w:cs="宋体"/>
                <w:sz w:val="24"/>
                <w:szCs w:val="24"/>
                <w:lang w:val="zh-CN"/>
              </w:rPr>
            </w:pPr>
            <w:r>
              <w:rPr>
                <w:rFonts w:hint="eastAsia" w:ascii="宋体" w:hAnsi="宋体" w:eastAsia="宋体" w:cs="宋体"/>
                <w:bCs w:val="0"/>
                <w:sz w:val="24"/>
                <w:szCs w:val="24"/>
                <w:lang w:val="zh-CN"/>
              </w:rPr>
              <w:t>本项目技术人员配备情况：  1、具有聘用于投标人本单位的持有特种作业操作证（高处安装、维护、拆除作业）技术人员的，每提供一人，得</w:t>
            </w:r>
            <w:r>
              <w:rPr>
                <w:rFonts w:hint="eastAsia" w:ascii="宋体" w:hAnsi="宋体" w:cs="宋体"/>
                <w:bCs w:val="0"/>
                <w:sz w:val="24"/>
                <w:szCs w:val="24"/>
                <w:lang w:val="en-US" w:eastAsia="zh-CN"/>
              </w:rPr>
              <w:t>3</w:t>
            </w:r>
            <w:r>
              <w:rPr>
                <w:rFonts w:hint="eastAsia" w:ascii="宋体" w:hAnsi="宋体" w:eastAsia="宋体" w:cs="宋体"/>
                <w:bCs w:val="0"/>
                <w:sz w:val="24"/>
                <w:szCs w:val="24"/>
                <w:lang w:val="zh-CN"/>
              </w:rPr>
              <w:t>分，最高</w:t>
            </w:r>
            <w:r>
              <w:rPr>
                <w:rFonts w:hint="eastAsia" w:ascii="宋体" w:hAnsi="宋体" w:cs="宋体"/>
                <w:bCs w:val="0"/>
                <w:sz w:val="24"/>
                <w:szCs w:val="24"/>
                <w:lang w:val="en-US" w:eastAsia="zh-CN"/>
              </w:rPr>
              <w:t>3</w:t>
            </w:r>
            <w:r>
              <w:rPr>
                <w:rFonts w:hint="eastAsia" w:ascii="宋体" w:hAnsi="宋体" w:eastAsia="宋体" w:cs="宋体"/>
                <w:bCs w:val="0"/>
                <w:sz w:val="24"/>
                <w:szCs w:val="24"/>
                <w:lang w:val="zh-CN"/>
              </w:rPr>
              <w:t>分；2、具有聘用于投标人本单位的作业操作证（电工）技术人员的，每提供一人，得2分，最高得2分；  注：（以上技术人员需提供证书复印件及“特种作业操作证及安全生产知识和管理能力考核合格信息查询平台”系统（http://cx.mem.gov.cn/）证书查询截图，并加盖投标人公章。同时还需提供投标人近3个月任意一月为上述人员缴纳记录的社保资金的有效社保证明材料，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trPr>
        <w:tc>
          <w:tcPr>
            <w:tcW w:w="534" w:type="dxa"/>
            <w:tcBorders>
              <w:left w:val="single" w:color="auto" w:sz="4" w:space="0"/>
              <w:right w:val="single" w:color="auto" w:sz="4" w:space="0"/>
            </w:tcBorders>
            <w:vAlign w:val="center"/>
          </w:tcPr>
          <w:p>
            <w:pPr>
              <w:numPr>
                <w:ilvl w:val="0"/>
                <w:numId w:val="0"/>
              </w:numPr>
              <w:snapToGrid/>
              <w:spacing w:line="360" w:lineRule="auto"/>
              <w:jc w:val="center"/>
              <w:rPr>
                <w:rFonts w:hint="eastAsia" w:ascii="宋体" w:hAnsi="宋体" w:eastAsia="宋体" w:cs="宋体"/>
                <w:bCs w:val="0"/>
                <w:sz w:val="24"/>
                <w:szCs w:val="24"/>
                <w:lang w:val="zh-CN"/>
              </w:rPr>
            </w:pPr>
            <w:r>
              <w:rPr>
                <w:rFonts w:hint="eastAsia" w:ascii="宋体" w:hAnsi="宋体" w:eastAsia="宋体" w:cs="宋体"/>
                <w:bCs w:val="0"/>
                <w:sz w:val="24"/>
                <w:szCs w:val="24"/>
                <w:lang w:val="zh-CN"/>
              </w:rPr>
              <w:t>3</w:t>
            </w:r>
          </w:p>
        </w:tc>
        <w:tc>
          <w:tcPr>
            <w:tcW w:w="1417" w:type="dxa"/>
            <w:tcBorders>
              <w:left w:val="single" w:color="auto" w:sz="4" w:space="0"/>
              <w:right w:val="single" w:color="auto" w:sz="6" w:space="0"/>
            </w:tcBorders>
            <w:vAlign w:val="center"/>
          </w:tcPr>
          <w:p>
            <w:pPr>
              <w:numPr>
                <w:ilvl w:val="0"/>
                <w:numId w:val="0"/>
              </w:numPr>
              <w:snapToGrid/>
              <w:spacing w:line="360" w:lineRule="auto"/>
              <w:jc w:val="center"/>
              <w:rPr>
                <w:rFonts w:hint="eastAsia" w:ascii="宋体" w:hAnsi="宋体" w:eastAsia="宋体" w:cs="宋体"/>
                <w:bCs w:val="0"/>
                <w:sz w:val="24"/>
                <w:szCs w:val="24"/>
                <w:lang w:val="zh-CN"/>
              </w:rPr>
            </w:pPr>
            <w:r>
              <w:rPr>
                <w:rFonts w:hint="eastAsia" w:ascii="宋体" w:hAnsi="宋体" w:eastAsia="宋体" w:cs="宋体"/>
                <w:bCs w:val="0"/>
                <w:sz w:val="24"/>
                <w:szCs w:val="24"/>
                <w:lang w:val="zh-CN"/>
              </w:rPr>
              <w:t>投标人企业实力</w:t>
            </w:r>
          </w:p>
        </w:tc>
        <w:tc>
          <w:tcPr>
            <w:tcW w:w="577" w:type="dxa"/>
            <w:tcBorders>
              <w:top w:val="single" w:color="auto" w:sz="4" w:space="0"/>
              <w:left w:val="single" w:color="auto" w:sz="6" w:space="0"/>
              <w:bottom w:val="single" w:color="auto" w:sz="4" w:space="0"/>
              <w:right w:val="single" w:color="auto" w:sz="4" w:space="0"/>
            </w:tcBorders>
            <w:vAlign w:val="center"/>
          </w:tcPr>
          <w:p>
            <w:pPr>
              <w:numPr>
                <w:ilvl w:val="0"/>
                <w:numId w:val="0"/>
              </w:numPr>
              <w:snapToGrid/>
              <w:spacing w:line="360" w:lineRule="auto"/>
              <w:jc w:val="center"/>
              <w:rPr>
                <w:rFonts w:hint="eastAsia" w:ascii="宋体" w:hAnsi="宋体" w:eastAsia="宋体" w:cs="宋体"/>
                <w:bCs w:val="0"/>
                <w:sz w:val="24"/>
                <w:szCs w:val="24"/>
                <w:lang w:val="en-US" w:eastAsia="zh-CN"/>
              </w:rPr>
            </w:pPr>
            <w:r>
              <w:rPr>
                <w:rFonts w:hint="eastAsia" w:ascii="宋体" w:hAnsi="宋体" w:cs="宋体"/>
                <w:bCs w:val="0"/>
                <w:sz w:val="24"/>
                <w:szCs w:val="24"/>
                <w:lang w:val="en-US" w:eastAsia="zh-CN"/>
              </w:rPr>
              <w:t>5</w:t>
            </w:r>
          </w:p>
        </w:tc>
        <w:tc>
          <w:tcPr>
            <w:tcW w:w="6895" w:type="dxa"/>
            <w:tcBorders>
              <w:top w:val="single" w:color="auto" w:sz="4" w:space="0"/>
              <w:left w:val="single" w:color="auto" w:sz="4" w:space="0"/>
              <w:bottom w:val="single" w:color="auto" w:sz="4" w:space="0"/>
              <w:right w:val="single" w:color="auto" w:sz="4" w:space="0"/>
            </w:tcBorders>
            <w:vAlign w:val="center"/>
          </w:tcPr>
          <w:p>
            <w:pPr>
              <w:numPr>
                <w:ilvl w:val="-1"/>
                <w:numId w:val="0"/>
              </w:numPr>
              <w:snapToGrid/>
              <w:spacing w:line="288" w:lineRule="auto"/>
              <w:jc w:val="left"/>
              <w:rPr>
                <w:rFonts w:hint="eastAsia" w:ascii="宋体" w:hAnsi="宋体" w:eastAsia="宋体" w:cs="宋体"/>
                <w:bCs w:val="0"/>
                <w:sz w:val="24"/>
                <w:szCs w:val="24"/>
                <w:lang w:val="zh-CN"/>
              </w:rPr>
            </w:pPr>
            <w:r>
              <w:rPr>
                <w:rFonts w:hint="eastAsia" w:ascii="宋体" w:hAnsi="宋体" w:eastAsia="宋体" w:cs="宋体"/>
                <w:b w:val="0"/>
                <w:bCs w:val="0"/>
                <w:sz w:val="24"/>
                <w:szCs w:val="24"/>
                <w:lang w:val="zh-CN"/>
              </w:rPr>
              <w:t>通过国家认可的认证机构认证的资格证书</w:t>
            </w:r>
            <w:r>
              <w:rPr>
                <w:rFonts w:hint="eastAsia" w:ascii="宋体" w:hAnsi="宋体" w:cs="宋体"/>
                <w:b w:val="0"/>
                <w:bCs w:val="0"/>
                <w:sz w:val="24"/>
                <w:szCs w:val="24"/>
                <w:lang w:val="zh-CN"/>
              </w:rPr>
              <w:t>：</w:t>
            </w:r>
            <w:r>
              <w:rPr>
                <w:rFonts w:hint="eastAsia" w:ascii="宋体" w:hAnsi="宋体" w:eastAsia="宋体" w:cs="宋体"/>
                <w:b w:val="0"/>
                <w:bCs w:val="0"/>
                <w:sz w:val="24"/>
                <w:szCs w:val="24"/>
                <w:lang w:val="zh-CN"/>
              </w:rPr>
              <w:t>ISO9001质量管理体系认证、ISO9001环境管理体系认证、ISO9001职业健康管理体系认证、“企业</w:t>
            </w:r>
            <w:r>
              <w:rPr>
                <w:rFonts w:hint="eastAsia" w:ascii="宋体" w:hAnsi="宋体" w:eastAsia="宋体" w:cs="宋体"/>
                <w:b w:val="0"/>
                <w:bCs w:val="0"/>
                <w:sz w:val="24"/>
                <w:szCs w:val="24"/>
                <w:lang w:val="en-US" w:eastAsia="zh-CN"/>
              </w:rPr>
              <w:t>资信</w:t>
            </w:r>
            <w:r>
              <w:rPr>
                <w:rFonts w:hint="eastAsia" w:ascii="宋体" w:hAnsi="宋体" w:eastAsia="宋体" w:cs="宋体"/>
                <w:b w:val="0"/>
                <w:bCs w:val="0"/>
                <w:sz w:val="24"/>
                <w:szCs w:val="24"/>
                <w:lang w:val="zh-CN"/>
              </w:rPr>
              <w:t>等级证书”、“</w:t>
            </w:r>
            <w:r>
              <w:rPr>
                <w:rFonts w:hint="eastAsia" w:ascii="宋体" w:hAnsi="宋体" w:eastAsia="宋体" w:cs="宋体"/>
                <w:b w:val="0"/>
                <w:bCs w:val="0"/>
                <w:sz w:val="24"/>
                <w:szCs w:val="24"/>
                <w:lang w:val="en-US" w:eastAsia="zh-CN"/>
              </w:rPr>
              <w:t>AAA级诚信供应商</w:t>
            </w:r>
            <w:r>
              <w:rPr>
                <w:rFonts w:hint="eastAsia" w:ascii="宋体" w:hAnsi="宋体" w:eastAsia="宋体" w:cs="宋体"/>
                <w:b w:val="0"/>
                <w:bCs w:val="0"/>
                <w:sz w:val="24"/>
                <w:szCs w:val="24"/>
                <w:lang w:val="zh-CN"/>
              </w:rPr>
              <w:t>”</w:t>
            </w:r>
            <w:r>
              <w:rPr>
                <w:rFonts w:hint="eastAsia" w:ascii="宋体" w:hAnsi="宋体" w:cs="宋体"/>
                <w:b w:val="0"/>
                <w:bCs w:val="0"/>
                <w:sz w:val="24"/>
                <w:szCs w:val="24"/>
                <w:lang w:val="zh-CN"/>
              </w:rPr>
              <w:t>，</w:t>
            </w:r>
            <w:r>
              <w:rPr>
                <w:rFonts w:hint="eastAsia" w:ascii="宋体" w:hAnsi="宋体" w:eastAsia="宋体" w:cs="宋体"/>
                <w:b w:val="0"/>
                <w:bCs w:val="0"/>
                <w:sz w:val="24"/>
                <w:szCs w:val="24"/>
                <w:lang w:val="zh-CN"/>
              </w:rPr>
              <w:t>每提供一个得</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zh-CN"/>
              </w:rPr>
              <w:t>分，满分</w:t>
            </w: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951" w:type="dxa"/>
            <w:gridSpan w:val="2"/>
            <w:tcBorders>
              <w:left w:val="single" w:color="auto" w:sz="4" w:space="0"/>
              <w:bottom w:val="single" w:color="auto" w:sz="4" w:space="0"/>
              <w:right w:val="single" w:color="auto" w:sz="4" w:space="0"/>
            </w:tcBorders>
            <w:vAlign w:val="center"/>
          </w:tcPr>
          <w:p>
            <w:pPr>
              <w:snapToGrid/>
              <w:spacing w:line="360" w:lineRule="auto"/>
              <w:jc w:val="left"/>
              <w:rPr>
                <w:rFonts w:hint="eastAsia" w:ascii="宋体" w:hAnsi="宋体" w:eastAsia="宋体" w:cs="宋体"/>
                <w:bCs w:val="0"/>
                <w:sz w:val="24"/>
                <w:szCs w:val="24"/>
                <w:lang w:val="zh-CN"/>
              </w:rPr>
            </w:pPr>
            <w:r>
              <w:rPr>
                <w:rFonts w:hint="eastAsia" w:ascii="宋体" w:hAnsi="宋体" w:eastAsia="宋体" w:cs="宋体"/>
                <w:bCs w:val="0"/>
                <w:sz w:val="24"/>
                <w:szCs w:val="24"/>
                <w:lang w:val="zh-CN"/>
              </w:rPr>
              <w:t>商务得分合计</w:t>
            </w:r>
          </w:p>
        </w:tc>
        <w:tc>
          <w:tcPr>
            <w:tcW w:w="577" w:type="dxa"/>
            <w:tcBorders>
              <w:left w:val="single" w:color="auto" w:sz="4" w:space="0"/>
              <w:bottom w:val="single" w:color="auto" w:sz="4" w:space="0"/>
              <w:right w:val="single" w:color="auto" w:sz="4" w:space="0"/>
            </w:tcBorders>
            <w:vAlign w:val="center"/>
          </w:tcPr>
          <w:p>
            <w:pPr>
              <w:snapToGrid/>
              <w:spacing w:line="360" w:lineRule="auto"/>
              <w:jc w:val="left"/>
              <w:rPr>
                <w:rFonts w:hint="eastAsia" w:ascii="宋体" w:hAnsi="宋体" w:eastAsia="宋体" w:cs="宋体"/>
                <w:bCs w:val="0"/>
                <w:sz w:val="24"/>
                <w:szCs w:val="24"/>
                <w:lang w:val="en-US" w:eastAsia="zh-CN"/>
              </w:rPr>
            </w:pPr>
            <w:r>
              <w:rPr>
                <w:rFonts w:hint="eastAsia" w:ascii="宋体" w:hAnsi="宋体" w:eastAsia="宋体" w:cs="宋体"/>
                <w:bCs w:val="0"/>
                <w:sz w:val="24"/>
                <w:szCs w:val="24"/>
                <w:lang w:val="en-US" w:eastAsia="zh-CN"/>
              </w:rPr>
              <w:t>2</w:t>
            </w:r>
            <w:r>
              <w:rPr>
                <w:rFonts w:hint="eastAsia" w:ascii="宋体" w:hAnsi="宋体" w:cs="宋体"/>
                <w:bCs w:val="0"/>
                <w:sz w:val="24"/>
                <w:szCs w:val="24"/>
                <w:lang w:val="en-US" w:eastAsia="zh-CN"/>
              </w:rPr>
              <w:t>0</w:t>
            </w:r>
          </w:p>
        </w:tc>
        <w:tc>
          <w:tcPr>
            <w:tcW w:w="6895" w:type="dxa"/>
            <w:tcBorders>
              <w:top w:val="single" w:color="auto" w:sz="4" w:space="0"/>
              <w:left w:val="single" w:color="auto" w:sz="4" w:space="0"/>
              <w:bottom w:val="single" w:color="auto" w:sz="4" w:space="0"/>
              <w:right w:val="single" w:color="auto" w:sz="4" w:space="0"/>
            </w:tcBorders>
            <w:vAlign w:val="center"/>
          </w:tcPr>
          <w:p>
            <w:pPr>
              <w:snapToGrid/>
              <w:spacing w:line="360" w:lineRule="auto"/>
              <w:rPr>
                <w:rFonts w:hint="eastAsia" w:ascii="宋体" w:hAnsi="宋体" w:eastAsia="宋体" w:cs="宋体"/>
                <w:bCs w:val="0"/>
                <w:sz w:val="24"/>
                <w:szCs w:val="24"/>
                <w:lang w:val="zh-CN"/>
              </w:rPr>
            </w:pPr>
          </w:p>
        </w:tc>
      </w:tr>
    </w:tbl>
    <w:p>
      <w:pPr>
        <w:rPr>
          <w:rFonts w:hint="eastAsia" w:ascii="宋体" w:hAnsi="宋体" w:eastAsia="宋体" w:cs="宋体"/>
          <w:sz w:val="24"/>
          <w:szCs w:val="24"/>
        </w:rPr>
      </w:pPr>
    </w:p>
    <w:p>
      <w:pPr>
        <w:tabs>
          <w:tab w:val="left" w:pos="560"/>
        </w:tabs>
        <w:spacing w:line="360" w:lineRule="auto"/>
        <w:ind w:left="638" w:hanging="638" w:hangingChars="266"/>
        <w:jc w:val="left"/>
        <w:rPr>
          <w:rFonts w:hint="eastAsia" w:ascii="宋体" w:hAnsi="宋体" w:eastAsia="宋体" w:cs="宋体"/>
          <w:sz w:val="24"/>
          <w:szCs w:val="24"/>
        </w:rPr>
      </w:pPr>
      <w:r>
        <w:rPr>
          <w:rFonts w:hint="eastAsia" w:ascii="宋体" w:hAnsi="宋体" w:eastAsia="宋体" w:cs="宋体"/>
          <w:sz w:val="24"/>
          <w:szCs w:val="24"/>
        </w:rPr>
        <w:t>备注：1.采购文件要求提交的与评价指标体系相关的各类有效资料，供应商如未按要求提交的，该项评分为零分；</w:t>
      </w:r>
    </w:p>
    <w:p>
      <w:pPr>
        <w:tabs>
          <w:tab w:val="left" w:pos="560"/>
        </w:tabs>
        <w:snapToGrid w:val="0"/>
        <w:spacing w:line="360" w:lineRule="auto"/>
        <w:ind w:left="560" w:leftChars="200"/>
        <w:jc w:val="left"/>
        <w:rPr>
          <w:rFonts w:hint="eastAsia" w:ascii="宋体" w:hAnsi="宋体" w:eastAsia="宋体" w:cs="宋体"/>
          <w:sz w:val="24"/>
          <w:szCs w:val="24"/>
        </w:rPr>
      </w:pPr>
      <w:r>
        <w:rPr>
          <w:rFonts w:hint="eastAsia" w:ascii="宋体" w:hAnsi="宋体" w:eastAsia="宋体" w:cs="宋体"/>
          <w:sz w:val="24"/>
          <w:szCs w:val="24"/>
        </w:rPr>
        <w:t>2.商务评分：将每个评委的评分汇总，各评委评分的算术平均值，即为该投标人的最终商务得分。（四舍五入后，小数点后保留两位有效数）。</w:t>
      </w:r>
    </w:p>
    <w:p>
      <w:pPr>
        <w:pStyle w:val="20"/>
        <w:ind w:firstLine="560"/>
      </w:pPr>
    </w:p>
    <w:p>
      <w:pPr>
        <w:pStyle w:val="8"/>
        <w:rPr>
          <w:rFonts w:ascii="宋体" w:hAnsi="宋体"/>
          <w:sz w:val="28"/>
          <w:szCs w:val="28"/>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ascii="宋体" w:hAnsi="宋体"/>
          <w:b/>
          <w:sz w:val="24"/>
        </w:rPr>
      </w:pPr>
      <w:r>
        <w:rPr>
          <w:rFonts w:hint="eastAsia" w:ascii="宋体" w:hAnsi="宋体"/>
          <w:b/>
          <w:sz w:val="24"/>
        </w:rPr>
        <w:t xml:space="preserve">附件4                         </w:t>
      </w:r>
    </w:p>
    <w:p>
      <w:pPr>
        <w:jc w:val="center"/>
        <w:rPr>
          <w:rFonts w:hint="eastAsia" w:ascii="宋体" w:hAnsi="宋体"/>
          <w:b/>
          <w:sz w:val="24"/>
        </w:rPr>
      </w:pPr>
    </w:p>
    <w:p>
      <w:pPr>
        <w:jc w:val="center"/>
        <w:rPr>
          <w:rFonts w:ascii="宋体" w:hAnsi="宋体"/>
        </w:rPr>
      </w:pPr>
      <w:r>
        <w:rPr>
          <w:rFonts w:hint="eastAsia" w:ascii="宋体" w:hAnsi="宋体"/>
          <w:b/>
          <w:sz w:val="24"/>
        </w:rPr>
        <w:t>价格响应性评审表</w:t>
      </w:r>
    </w:p>
    <w:p>
      <w:pPr>
        <w:spacing w:line="360" w:lineRule="auto"/>
        <w:rPr>
          <w:rFonts w:ascii="宋体" w:hAnsi="宋体"/>
          <w:bCs/>
          <w:sz w:val="24"/>
        </w:rPr>
      </w:pPr>
      <w:r>
        <w:rPr>
          <w:rFonts w:hint="eastAsia" w:ascii="宋体" w:hAnsi="宋体"/>
          <w:bCs/>
          <w:sz w:val="24"/>
        </w:rPr>
        <w:t>　　　　　　　　　　　　　　　　　　　　　　</w:t>
      </w:r>
    </w:p>
    <w:tbl>
      <w:tblPr>
        <w:tblStyle w:val="21"/>
        <w:tblW w:w="92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68"/>
        <w:gridCol w:w="1892"/>
        <w:gridCol w:w="2486"/>
        <w:gridCol w:w="327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5" w:hRule="atLeast"/>
          <w:jc w:val="center"/>
        </w:trPr>
        <w:tc>
          <w:tcPr>
            <w:tcW w:w="1568"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ascii="宋体" w:hAnsi="宋体" w:cs="宋体"/>
                <w:sz w:val="24"/>
                <w:szCs w:val="24"/>
              </w:rPr>
            </w:pPr>
            <w:r>
              <w:rPr>
                <w:rFonts w:hint="eastAsia" w:ascii="宋体" w:hAnsi="宋体" w:cs="宋体"/>
                <w:sz w:val="24"/>
                <w:szCs w:val="24"/>
              </w:rPr>
              <w:t>有效投标人</w:t>
            </w:r>
          </w:p>
          <w:p>
            <w:pPr>
              <w:widowControl/>
              <w:spacing w:line="360" w:lineRule="auto"/>
              <w:jc w:val="center"/>
              <w:rPr>
                <w:rFonts w:ascii="宋体" w:hAnsi="宋体" w:cs="宋体"/>
                <w:sz w:val="24"/>
                <w:szCs w:val="24"/>
              </w:rPr>
            </w:pPr>
            <w:r>
              <w:rPr>
                <w:rFonts w:hint="eastAsia" w:ascii="宋体" w:hAnsi="宋体" w:cs="宋体"/>
                <w:sz w:val="24"/>
                <w:szCs w:val="24"/>
              </w:rPr>
              <w:t>序号及简称</w:t>
            </w:r>
          </w:p>
        </w:tc>
        <w:tc>
          <w:tcPr>
            <w:tcW w:w="4378"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szCs w:val="24"/>
              </w:rPr>
            </w:pPr>
            <w:r>
              <w:rPr>
                <w:rFonts w:hint="eastAsia" w:ascii="宋体" w:hAnsi="宋体" w:cs="宋体"/>
                <w:sz w:val="24"/>
                <w:szCs w:val="24"/>
              </w:rPr>
              <w:t>评审分项</w:t>
            </w:r>
          </w:p>
        </w:tc>
        <w:tc>
          <w:tcPr>
            <w:tcW w:w="3273"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ascii="宋体" w:hAnsi="宋体" w:cs="宋体"/>
                <w:sz w:val="24"/>
                <w:szCs w:val="24"/>
              </w:rPr>
            </w:pPr>
            <w:r>
              <w:rPr>
                <w:rFonts w:hint="eastAsia" w:ascii="宋体" w:hAnsi="宋体" w:cs="宋体"/>
                <w:sz w:val="24"/>
                <w:szCs w:val="24"/>
              </w:rPr>
              <w:t>价格得分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7" w:hRule="atLeast"/>
          <w:jc w:val="center"/>
        </w:trPr>
        <w:tc>
          <w:tcPr>
            <w:tcW w:w="1568" w:type="dxa"/>
            <w:vMerge w:val="continue"/>
            <w:tcBorders>
              <w:left w:val="single" w:color="auto" w:sz="4" w:space="0"/>
              <w:right w:val="single" w:color="auto" w:sz="4" w:space="0"/>
            </w:tcBorders>
            <w:vAlign w:val="center"/>
          </w:tcPr>
          <w:p>
            <w:pPr>
              <w:widowControl/>
              <w:spacing w:line="360" w:lineRule="auto"/>
              <w:jc w:val="left"/>
              <w:rPr>
                <w:rFonts w:ascii="宋体" w:hAnsi="宋体" w:cs="宋体"/>
                <w:sz w:val="24"/>
                <w:szCs w:val="24"/>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r>
              <w:rPr>
                <w:rFonts w:hint="eastAsia" w:ascii="宋体" w:hAnsi="宋体" w:cs="宋体"/>
                <w:sz w:val="24"/>
                <w:szCs w:val="24"/>
              </w:rPr>
              <w:t>投标报价</w:t>
            </w:r>
          </w:p>
        </w:tc>
        <w:tc>
          <w:tcPr>
            <w:tcW w:w="24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r>
              <w:rPr>
                <w:rFonts w:hint="eastAsia" w:ascii="宋体" w:hAnsi="宋体" w:cs="宋体"/>
                <w:sz w:val="24"/>
                <w:szCs w:val="24"/>
              </w:rPr>
              <w:t>评标基准价</w:t>
            </w:r>
          </w:p>
        </w:tc>
        <w:tc>
          <w:tcPr>
            <w:tcW w:w="3273"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szCs w:val="24"/>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2486" w:type="dxa"/>
            <w:vMerge w:val="restart"/>
            <w:tcBorders>
              <w:top w:val="single" w:color="auto" w:sz="4" w:space="0"/>
              <w:left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szCs w:val="24"/>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2486" w:type="dxa"/>
            <w:vMerge w:val="continue"/>
            <w:tcBorders>
              <w:left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szCs w:val="24"/>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2486" w:type="dxa"/>
            <w:vMerge w:val="continue"/>
            <w:tcBorders>
              <w:left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szCs w:val="24"/>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2486" w:type="dxa"/>
            <w:vMerge w:val="continue"/>
            <w:tcBorders>
              <w:left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szCs w:val="24"/>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2486" w:type="dxa"/>
            <w:vMerge w:val="continue"/>
            <w:tcBorders>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4"/>
                <w:szCs w:val="24"/>
              </w:rPr>
            </w:pPr>
          </w:p>
        </w:tc>
      </w:tr>
    </w:tbl>
    <w:p>
      <w:pPr>
        <w:spacing w:line="440" w:lineRule="exact"/>
        <w:ind w:left="1" w:firstLine="523" w:firstLineChars="218"/>
        <w:rPr>
          <w:rFonts w:ascii="宋体" w:hAnsi="宋体"/>
          <w:bCs/>
          <w:sz w:val="24"/>
          <w:szCs w:val="24"/>
        </w:rPr>
      </w:pPr>
    </w:p>
    <w:p>
      <w:pPr>
        <w:widowControl/>
        <w:spacing w:line="360" w:lineRule="auto"/>
        <w:jc w:val="left"/>
        <w:rPr>
          <w:rFonts w:ascii="宋体" w:hAnsi="宋体" w:cs="宋体"/>
          <w:sz w:val="24"/>
          <w:szCs w:val="24"/>
        </w:rPr>
      </w:pPr>
      <w:r>
        <w:rPr>
          <w:rFonts w:hint="eastAsia" w:ascii="宋体" w:hAnsi="宋体" w:cs="宋体"/>
          <w:sz w:val="24"/>
          <w:szCs w:val="24"/>
        </w:rPr>
        <w:t>注：1、价格核准；评标委员会详细分析、核准价格表，检查其是否存在计算上或累加上算术错误，修正错误的原则详见采购相关条款。</w:t>
      </w:r>
    </w:p>
    <w:p>
      <w:pPr>
        <w:spacing w:line="440" w:lineRule="exact"/>
        <w:ind w:left="-2"/>
        <w:rPr>
          <w:sz w:val="24"/>
          <w:szCs w:val="24"/>
        </w:rPr>
      </w:pPr>
      <w:r>
        <w:rPr>
          <w:rFonts w:hint="eastAsia" w:ascii="宋体" w:hAnsi="宋体" w:cs="宋体"/>
          <w:sz w:val="24"/>
          <w:szCs w:val="24"/>
        </w:rPr>
        <w:t>2、以所有投标人有效投标价的</w:t>
      </w:r>
      <w:r>
        <w:rPr>
          <w:rFonts w:hint="eastAsia" w:ascii="宋体" w:hAnsi="宋体" w:cs="宋体"/>
          <w:sz w:val="24"/>
          <w:szCs w:val="24"/>
          <w:lang w:val="en-US" w:eastAsia="zh-CN"/>
        </w:rPr>
        <w:t>最低报价</w:t>
      </w:r>
      <w:r>
        <w:rPr>
          <w:rFonts w:hint="eastAsia" w:ascii="宋体" w:hAnsi="宋体" w:cs="宋体"/>
          <w:sz w:val="24"/>
          <w:szCs w:val="24"/>
        </w:rPr>
        <w:t>为评标基准价，其价格分为满分</w:t>
      </w:r>
      <w:r>
        <w:rPr>
          <w:rFonts w:hint="eastAsia" w:ascii="宋体" w:hAnsi="宋体" w:cs="宋体"/>
          <w:sz w:val="24"/>
          <w:szCs w:val="24"/>
          <w:lang w:eastAsia="zh-CN"/>
        </w:rPr>
        <w:t>，</w:t>
      </w:r>
      <w:r>
        <w:rPr>
          <w:rFonts w:hint="eastAsia" w:ascii="宋体" w:hAnsi="宋体" w:cs="宋体"/>
          <w:sz w:val="24"/>
          <w:szCs w:val="24"/>
        </w:rPr>
        <w:t>其他投标人的价格分统一按照下列公式计算：投标报价得分=(评标基准价／投标报价)×100×</w:t>
      </w:r>
      <w:r>
        <w:rPr>
          <w:rFonts w:hint="eastAsia" w:ascii="宋体" w:hAnsi="宋体" w:cs="宋体"/>
          <w:sz w:val="24"/>
          <w:szCs w:val="24"/>
          <w:lang w:val="en-US" w:eastAsia="zh-CN"/>
        </w:rPr>
        <w:t>4</w:t>
      </w:r>
      <w:r>
        <w:rPr>
          <w:rFonts w:hint="eastAsia" w:ascii="宋体" w:hAnsi="宋体" w:cs="宋体"/>
          <w:sz w:val="24"/>
          <w:szCs w:val="24"/>
        </w:rPr>
        <w:t>0%</w:t>
      </w:r>
      <w:r>
        <w:rPr>
          <w:rFonts w:hint="eastAsia" w:ascii="宋体" w:hAnsi="宋体" w:cs="宋体"/>
          <w:sz w:val="24"/>
          <w:szCs w:val="24"/>
          <w:lang w:eastAsia="zh-CN"/>
        </w:rPr>
        <w:t>，数字均保留两位小数，第三位“四舍五入”</w:t>
      </w:r>
      <w:r>
        <w:rPr>
          <w:rFonts w:hint="eastAsia" w:ascii="宋体" w:hAnsi="宋体" w:cs="宋体"/>
          <w:sz w:val="24"/>
          <w:szCs w:val="24"/>
        </w:rPr>
        <w:t>。。</w:t>
      </w:r>
    </w:p>
    <w:p>
      <w:pPr>
        <w:spacing w:line="440" w:lineRule="exact"/>
        <w:ind w:left="960" w:leftChars="343"/>
        <w:rPr>
          <w:rFonts w:hint="eastAsia" w:ascii="宋体" w:hAnsi="宋体" w:cs="宋体"/>
          <w:sz w:val="24"/>
          <w:szCs w:val="24"/>
        </w:rPr>
      </w:pPr>
    </w:p>
    <w:p>
      <w:pPr>
        <w:spacing w:line="440" w:lineRule="exact"/>
        <w:ind w:left="960" w:leftChars="343"/>
        <w:rPr>
          <w:rFonts w:hint="eastAsia" w:ascii="宋体" w:hAnsi="宋体" w:cs="宋体"/>
          <w:sz w:val="24"/>
          <w:szCs w:val="24"/>
        </w:rPr>
      </w:pPr>
    </w:p>
    <w:p>
      <w:pPr>
        <w:spacing w:line="440" w:lineRule="exact"/>
        <w:ind w:left="960" w:leftChars="343"/>
        <w:rPr>
          <w:rFonts w:hint="eastAsia" w:ascii="宋体" w:hAnsi="宋体" w:cs="宋体"/>
          <w:sz w:val="24"/>
          <w:szCs w:val="24"/>
          <w:lang w:val="en-US" w:eastAsia="zh-CN"/>
        </w:rPr>
      </w:pPr>
      <w:r>
        <w:rPr>
          <w:rFonts w:hint="eastAsia" w:ascii="宋体" w:hAnsi="宋体" w:cs="宋体"/>
          <w:sz w:val="24"/>
          <w:szCs w:val="24"/>
        </w:rPr>
        <w:t>评委签名：</w:t>
      </w:r>
      <w:r>
        <w:rPr>
          <w:rFonts w:hint="eastAsia" w:ascii="宋体" w:hAnsi="宋体" w:cs="宋体"/>
          <w:sz w:val="24"/>
          <w:szCs w:val="24"/>
          <w:lang w:val="en-US" w:eastAsia="zh-CN"/>
        </w:rPr>
        <w:t xml:space="preserve">                                                                                  </w:t>
      </w:r>
    </w:p>
    <w:p>
      <w:pPr>
        <w:spacing w:line="440" w:lineRule="exact"/>
        <w:ind w:left="960" w:leftChars="343"/>
        <w:rPr>
          <w:rFonts w:hint="eastAsia" w:ascii="宋体" w:hAnsi="宋体" w:cs="宋体"/>
          <w:sz w:val="24"/>
          <w:szCs w:val="24"/>
          <w:lang w:val="en-US" w:eastAsia="zh-CN"/>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月 </w:t>
      </w:r>
      <w:r>
        <w:rPr>
          <w:rFonts w:hint="eastAsia" w:ascii="宋体" w:hAnsi="宋体" w:cs="宋体"/>
          <w:sz w:val="24"/>
          <w:szCs w:val="24"/>
          <w:lang w:val="en-US" w:eastAsia="zh-CN"/>
        </w:rPr>
        <w:t xml:space="preserve">   日</w:t>
      </w:r>
    </w:p>
    <w:p>
      <w:pPr>
        <w:pStyle w:val="20"/>
        <w:ind w:firstLine="0" w:firstLineChars="0"/>
        <w:rPr>
          <w:rFonts w:hint="eastAsia" w:ascii="宋体" w:hAnsi="宋体" w:cs="宋体"/>
          <w:sz w:val="21"/>
          <w:szCs w:val="21"/>
          <w:lang w:val="en-US" w:eastAsia="zh-CN"/>
        </w:rPr>
      </w:pPr>
    </w:p>
    <w:sectPr>
      <w:headerReference r:id="rId10" w:type="default"/>
      <w:pgSz w:w="11906" w:h="16838"/>
      <w:pgMar w:top="567" w:right="1134" w:bottom="289" w:left="1588" w:header="567" w:footer="73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E81C148-3AD8-494D-8E15-FA1D91921F6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03C95396-BB3F-49A1-BBD1-C2B4F2A042C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embedRegular r:id="rId3" w:fontKey="{B518BE58-641A-491E-AF3A-022C8C255304}"/>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2F5C8D01-1768-4E27-BCA3-3F57AFA3F408}"/>
  </w:font>
  <w:font w:name="微软雅黑">
    <w:panose1 w:val="020B0503020204020204"/>
    <w:charset w:val="86"/>
    <w:family w:val="swiss"/>
    <w:pitch w:val="default"/>
    <w:sig w:usb0="80000287" w:usb1="2ACF3C50" w:usb2="00000016" w:usb3="00000000" w:csb0="0004001F" w:csb1="00000000"/>
  </w:font>
  <w:font w:name="font-weight : 400">
    <w:altName w:val="Times New Roman"/>
    <w:panose1 w:val="00000000000000000000"/>
    <w:charset w:val="00"/>
    <w:family w:val="auto"/>
    <w:pitch w:val="default"/>
    <w:sig w:usb0="00000000" w:usb1="00000000" w:usb2="00000000" w:usb3="00000000" w:csb0="00000000" w:csb1="00000000"/>
  </w:font>
  <w:font w:name="方正公文小标宋">
    <w:panose1 w:val="02000500000000000000"/>
    <w:charset w:val="86"/>
    <w:family w:val="auto"/>
    <w:pitch w:val="default"/>
    <w:sig w:usb0="A00002BF" w:usb1="38CF7CFA" w:usb2="00000016" w:usb3="00000000" w:csb0="00040001" w:csb1="00000000"/>
    <w:embedRegular r:id="rId5" w:fontKey="{2A7589A3-FE31-46CA-BFCB-E08FBF5487F8}"/>
  </w:font>
  <w:font w:name="仿宋_GB2312">
    <w:panose1 w:val="02010609030101010101"/>
    <w:charset w:val="86"/>
    <w:family w:val="modern"/>
    <w:pitch w:val="default"/>
    <w:sig w:usb0="00000001" w:usb1="080E0000" w:usb2="00000000" w:usb3="00000000" w:csb0="00040000" w:csb1="00000000"/>
    <w:embedRegular r:id="rId6" w:fontKey="{E36734F8-55A3-4C5B-8155-6610B8553ADD}"/>
  </w:font>
  <w:font w:name="华文新魏">
    <w:panose1 w:val="02010800040101010101"/>
    <w:charset w:val="86"/>
    <w:family w:val="auto"/>
    <w:pitch w:val="default"/>
    <w:sig w:usb0="00000001" w:usb1="080F0000" w:usb2="00000000" w:usb3="00000000" w:csb0="00040000" w:csb1="00000000"/>
    <w:embedRegular r:id="rId7" w:fontKey="{1C1538CD-1D4D-422D-A437-110F22E4F081}"/>
  </w:font>
  <w:font w:name="隶书">
    <w:panose1 w:val="02010509060101010101"/>
    <w:charset w:val="86"/>
    <w:family w:val="modern"/>
    <w:pitch w:val="default"/>
    <w:sig w:usb0="00000001" w:usb1="080E0000" w:usb2="00000000" w:usb3="00000000" w:csb0="00040000" w:csb1="00000000"/>
    <w:embedRegular r:id="rId8" w:fontKey="{36C664CF-4CD6-4008-B190-57E7BF4E3AB9}"/>
  </w:font>
  <w:font w:name="楷体">
    <w:panose1 w:val="02010609060101010101"/>
    <w:charset w:val="86"/>
    <w:family w:val="auto"/>
    <w:pitch w:val="default"/>
    <w:sig w:usb0="800002BF" w:usb1="38CF7CFA" w:usb2="00000016" w:usb3="00000000" w:csb0="00040001" w:csb1="00000000"/>
    <w:embedRegular r:id="rId9" w:fontKey="{A98BDAF3-243E-4E3D-B845-81DA77551F49}"/>
  </w:font>
  <w:font w:name="Tahoma">
    <w:panose1 w:val="020B0604030504040204"/>
    <w:charset w:val="00"/>
    <w:family w:val="auto"/>
    <w:pitch w:val="default"/>
    <w:sig w:usb0="E1002EFF" w:usb1="C000605B" w:usb2="00000029" w:usb3="00000000" w:csb0="200101FF" w:csb1="20280000"/>
    <w:embedRegular r:id="rId10" w:fontKey="{C7E5F9FC-CC34-443F-A9C0-2B484AE33E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page" w:x="1581" w:y="34"/>
      <w:rPr>
        <w:rStyle w:val="24"/>
      </w:rPr>
    </w:pPr>
    <w:r>
      <w:rPr>
        <w:rFonts w:hint="eastAsia" w:ascii="宋体" w:hAnsi="宋体"/>
      </w:rPr>
      <w:t xml:space="preserve">黄埔区2017年度老旧小区微改造项目改造实施方案                                                     </w:t>
    </w:r>
    <w:r>
      <w:fldChar w:fldCharType="begin"/>
    </w:r>
    <w:r>
      <w:rPr>
        <w:rStyle w:val="24"/>
      </w:rPr>
      <w:instrText xml:space="preserve">PAGE  </w:instrText>
    </w:r>
    <w:r>
      <w:fldChar w:fldCharType="separate"/>
    </w:r>
    <w:r>
      <w:rPr>
        <w:rStyle w:val="24"/>
      </w:rPr>
      <w:t>22</w:t>
    </w:r>
    <w:r>
      <w:fldChar w:fldCharType="end"/>
    </w:r>
  </w:p>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270" w:firstLineChars="150"/>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p>
    <w:pPr>
      <w:pStyle w:val="13"/>
    </w:pP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GjeyTLAQAAl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rORyoO/PURsIXeWUCeouRjOK3ObdystxL9+znr8n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ho3skywEAAJcDAAAOAAAAAAAAAAEAIAAAACIBAABkcnMv&#10;ZTJvRG9jLnhtbFBLBQYAAAAABgAGAFkBAABfBQAAAAA=&#10;">
              <v:fill on="f" focussize="0,0"/>
              <v:stroke on="f" weight="1.2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r>
      <w:rPr>
        <w:rFonts w:hint="eastAsia"/>
      </w:rPr>
      <w:t>项目编号：GX17513124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both"/>
    </w:pPr>
  </w:p>
  <w:p>
    <w:pPr>
      <w:pStyle w:val="14"/>
      <w:pBdr>
        <w:bottom w:val="none" w:color="auto" w:sz="0" w:space="0"/>
      </w:pBdr>
      <w:jc w:val="both"/>
    </w:pPr>
  </w:p>
  <w:p>
    <w:pPr>
      <w:pStyle w:val="14"/>
      <w:pBdr>
        <w:bottom w:val="none" w:color="auto" w:sz="0" w:space="0"/>
      </w:pBdr>
      <w:jc w:val="both"/>
    </w:pPr>
  </w:p>
  <w:p>
    <w:pPr>
      <w:pStyle w:val="14"/>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94987"/>
    <w:multiLevelType w:val="singleLevel"/>
    <w:tmpl w:val="8B794987"/>
    <w:lvl w:ilvl="0" w:tentative="0">
      <w:start w:val="1"/>
      <w:numFmt w:val="decimal"/>
      <w:suff w:val="nothing"/>
      <w:lvlText w:val="%1、"/>
      <w:lvlJc w:val="left"/>
    </w:lvl>
  </w:abstractNum>
  <w:abstractNum w:abstractNumId="1">
    <w:nsid w:val="9218F98C"/>
    <w:multiLevelType w:val="singleLevel"/>
    <w:tmpl w:val="9218F98C"/>
    <w:lvl w:ilvl="0" w:tentative="0">
      <w:start w:val="4"/>
      <w:numFmt w:val="decimal"/>
      <w:suff w:val="nothing"/>
      <w:lvlText w:val="%1、"/>
      <w:lvlJc w:val="left"/>
    </w:lvl>
  </w:abstractNum>
  <w:abstractNum w:abstractNumId="2">
    <w:nsid w:val="A83BEFA5"/>
    <w:multiLevelType w:val="singleLevel"/>
    <w:tmpl w:val="A83BEFA5"/>
    <w:lvl w:ilvl="0" w:tentative="0">
      <w:start w:val="1"/>
      <w:numFmt w:val="chineseCounting"/>
      <w:suff w:val="nothing"/>
      <w:lvlText w:val="%1、"/>
      <w:lvlJc w:val="left"/>
      <w:rPr>
        <w:rFonts w:hint="eastAsia"/>
      </w:rPr>
    </w:lvl>
  </w:abstractNum>
  <w:abstractNum w:abstractNumId="3">
    <w:nsid w:val="F49C965F"/>
    <w:multiLevelType w:val="singleLevel"/>
    <w:tmpl w:val="F49C965F"/>
    <w:lvl w:ilvl="0" w:tentative="0">
      <w:start w:val="1"/>
      <w:numFmt w:val="decimal"/>
      <w:suff w:val="nothing"/>
      <w:lvlText w:val="%1、"/>
      <w:lvlJc w:val="left"/>
      <w:pPr>
        <w:ind w:left="1"/>
      </w:pPr>
      <w:rPr>
        <w:rFonts w:hint="default"/>
        <w:b w:val="0"/>
        <w:bCs w:val="0"/>
        <w:highlight w:val="none"/>
      </w:rPr>
    </w:lvl>
  </w:abstractNum>
  <w:abstractNum w:abstractNumId="4">
    <w:nsid w:val="00000002"/>
    <w:multiLevelType w:val="multilevel"/>
    <w:tmpl w:val="00000002"/>
    <w:lvl w:ilvl="0" w:tentative="0">
      <w:start w:val="2"/>
      <w:numFmt w:val="bullet"/>
      <w:lvlText w:val="□"/>
      <w:lvlJc w:val="left"/>
      <w:pPr>
        <w:tabs>
          <w:tab w:val="left" w:pos="962"/>
        </w:tabs>
        <w:ind w:left="962" w:hanging="360"/>
      </w:pPr>
      <w:rPr>
        <w:rFonts w:hint="eastAsia" w:ascii="宋体" w:hAnsi="宋体" w:eastAsia="宋体" w:cs="Times New Roman"/>
      </w:rPr>
    </w:lvl>
    <w:lvl w:ilvl="1" w:tentative="0">
      <w:start w:val="1"/>
      <w:numFmt w:val="bullet"/>
      <w:lvlText w:val=""/>
      <w:lvlJc w:val="left"/>
      <w:pPr>
        <w:tabs>
          <w:tab w:val="left" w:pos="1442"/>
        </w:tabs>
        <w:ind w:left="1442" w:hanging="420"/>
      </w:pPr>
      <w:rPr>
        <w:rFonts w:hint="default" w:ascii="Wingdings" w:hAnsi="Wingdings"/>
      </w:rPr>
    </w:lvl>
    <w:lvl w:ilvl="2" w:tentative="0">
      <w:start w:val="1"/>
      <w:numFmt w:val="bullet"/>
      <w:lvlText w:val=""/>
      <w:lvlJc w:val="left"/>
      <w:pPr>
        <w:tabs>
          <w:tab w:val="left" w:pos="1862"/>
        </w:tabs>
        <w:ind w:left="1862" w:hanging="420"/>
      </w:pPr>
      <w:rPr>
        <w:rFonts w:hint="default" w:ascii="Wingdings" w:hAnsi="Wingdings"/>
      </w:rPr>
    </w:lvl>
    <w:lvl w:ilvl="3" w:tentative="0">
      <w:start w:val="1"/>
      <w:numFmt w:val="bullet"/>
      <w:lvlText w:val=""/>
      <w:lvlJc w:val="left"/>
      <w:pPr>
        <w:tabs>
          <w:tab w:val="left" w:pos="2282"/>
        </w:tabs>
        <w:ind w:left="2282" w:hanging="420"/>
      </w:pPr>
      <w:rPr>
        <w:rFonts w:hint="default" w:ascii="Wingdings" w:hAnsi="Wingdings"/>
      </w:rPr>
    </w:lvl>
    <w:lvl w:ilvl="4" w:tentative="0">
      <w:start w:val="1"/>
      <w:numFmt w:val="bullet"/>
      <w:lvlText w:val=""/>
      <w:lvlJc w:val="left"/>
      <w:pPr>
        <w:tabs>
          <w:tab w:val="left" w:pos="2702"/>
        </w:tabs>
        <w:ind w:left="2702" w:hanging="420"/>
      </w:pPr>
      <w:rPr>
        <w:rFonts w:hint="default" w:ascii="Wingdings" w:hAnsi="Wingdings"/>
      </w:rPr>
    </w:lvl>
    <w:lvl w:ilvl="5" w:tentative="0">
      <w:start w:val="1"/>
      <w:numFmt w:val="bullet"/>
      <w:lvlText w:val=""/>
      <w:lvlJc w:val="left"/>
      <w:pPr>
        <w:tabs>
          <w:tab w:val="left" w:pos="3122"/>
        </w:tabs>
        <w:ind w:left="3122" w:hanging="420"/>
      </w:pPr>
      <w:rPr>
        <w:rFonts w:hint="default" w:ascii="Wingdings" w:hAnsi="Wingdings"/>
      </w:rPr>
    </w:lvl>
    <w:lvl w:ilvl="6" w:tentative="0">
      <w:start w:val="1"/>
      <w:numFmt w:val="bullet"/>
      <w:lvlText w:val=""/>
      <w:lvlJc w:val="left"/>
      <w:pPr>
        <w:tabs>
          <w:tab w:val="left" w:pos="3542"/>
        </w:tabs>
        <w:ind w:left="3542" w:hanging="420"/>
      </w:pPr>
      <w:rPr>
        <w:rFonts w:hint="default" w:ascii="Wingdings" w:hAnsi="Wingdings"/>
      </w:rPr>
    </w:lvl>
    <w:lvl w:ilvl="7" w:tentative="0">
      <w:start w:val="1"/>
      <w:numFmt w:val="bullet"/>
      <w:lvlText w:val=""/>
      <w:lvlJc w:val="left"/>
      <w:pPr>
        <w:tabs>
          <w:tab w:val="left" w:pos="3962"/>
        </w:tabs>
        <w:ind w:left="3962" w:hanging="420"/>
      </w:pPr>
      <w:rPr>
        <w:rFonts w:hint="default" w:ascii="Wingdings" w:hAnsi="Wingdings"/>
      </w:rPr>
    </w:lvl>
    <w:lvl w:ilvl="8" w:tentative="0">
      <w:start w:val="1"/>
      <w:numFmt w:val="bullet"/>
      <w:lvlText w:val=""/>
      <w:lvlJc w:val="left"/>
      <w:pPr>
        <w:tabs>
          <w:tab w:val="left" w:pos="4382"/>
        </w:tabs>
        <w:ind w:left="4382" w:hanging="420"/>
      </w:pPr>
      <w:rPr>
        <w:rFonts w:hint="default" w:ascii="Wingdings" w:hAnsi="Wingdings"/>
      </w:rPr>
    </w:lvl>
  </w:abstractNum>
  <w:abstractNum w:abstractNumId="5">
    <w:nsid w:val="0000000F"/>
    <w:multiLevelType w:val="multilevel"/>
    <w:tmpl w:val="0000000F"/>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6">
    <w:nsid w:val="00000012"/>
    <w:multiLevelType w:val="multilevel"/>
    <w:tmpl w:val="00000012"/>
    <w:lvl w:ilvl="0" w:tentative="0">
      <w:start w:val="1"/>
      <w:numFmt w:val="decimalEnclosedCircle"/>
      <w:suff w:val="space"/>
      <w:lvlText w:val="%1"/>
      <w:lvlJc w:val="left"/>
      <w:pPr>
        <w:ind w:left="1634" w:hanging="794"/>
      </w:pPr>
      <w:rPr>
        <w:rFonts w:ascii="宋体" w:hAnsi="宋体" w:eastAsia="宋体" w:cs="Times New Roman"/>
      </w:rPr>
    </w:lvl>
    <w:lvl w:ilvl="1" w:tentative="0">
      <w:start w:val="1"/>
      <w:numFmt w:val="lowerLetter"/>
      <w:lvlText w:val="%2)"/>
      <w:lvlJc w:val="left"/>
      <w:pPr>
        <w:tabs>
          <w:tab w:val="left" w:pos="1680"/>
        </w:tabs>
        <w:ind w:left="1680" w:hanging="420"/>
      </w:pPr>
      <w:rPr>
        <w:rFonts w:hint="eastAsia"/>
      </w:rPr>
    </w:lvl>
    <w:lvl w:ilvl="2" w:tentative="0">
      <w:start w:val="1"/>
      <w:numFmt w:val="lowerRoman"/>
      <w:lvlText w:val="%3."/>
      <w:lvlJc w:val="right"/>
      <w:pPr>
        <w:tabs>
          <w:tab w:val="left" w:pos="2100"/>
        </w:tabs>
        <w:ind w:left="2100" w:hanging="420"/>
      </w:pPr>
      <w:rPr>
        <w:rFonts w:hint="eastAsia"/>
      </w:rPr>
    </w:lvl>
    <w:lvl w:ilvl="3" w:tentative="0">
      <w:start w:val="1"/>
      <w:numFmt w:val="decimal"/>
      <w:lvlText w:val="%4."/>
      <w:lvlJc w:val="left"/>
      <w:pPr>
        <w:tabs>
          <w:tab w:val="left" w:pos="2520"/>
        </w:tabs>
        <w:ind w:left="2520" w:hanging="420"/>
      </w:pPr>
      <w:rPr>
        <w:rFonts w:hint="eastAsia"/>
      </w:rPr>
    </w:lvl>
    <w:lvl w:ilvl="4" w:tentative="0">
      <w:start w:val="1"/>
      <w:numFmt w:val="lowerLetter"/>
      <w:lvlText w:val="%5)"/>
      <w:lvlJc w:val="left"/>
      <w:pPr>
        <w:tabs>
          <w:tab w:val="left" w:pos="2940"/>
        </w:tabs>
        <w:ind w:left="2940" w:hanging="420"/>
      </w:pPr>
      <w:rPr>
        <w:rFonts w:hint="eastAsia"/>
      </w:rPr>
    </w:lvl>
    <w:lvl w:ilvl="5" w:tentative="0">
      <w:start w:val="1"/>
      <w:numFmt w:val="lowerRoman"/>
      <w:lvlText w:val="%6."/>
      <w:lvlJc w:val="right"/>
      <w:pPr>
        <w:tabs>
          <w:tab w:val="left" w:pos="3360"/>
        </w:tabs>
        <w:ind w:left="3360" w:hanging="420"/>
      </w:pPr>
      <w:rPr>
        <w:rFonts w:hint="eastAsia"/>
      </w:rPr>
    </w:lvl>
    <w:lvl w:ilvl="6" w:tentative="0">
      <w:start w:val="1"/>
      <w:numFmt w:val="decimal"/>
      <w:lvlText w:val="%7."/>
      <w:lvlJc w:val="left"/>
      <w:pPr>
        <w:tabs>
          <w:tab w:val="left" w:pos="3780"/>
        </w:tabs>
        <w:ind w:left="3780" w:hanging="420"/>
      </w:pPr>
      <w:rPr>
        <w:rFonts w:hint="eastAsia"/>
      </w:rPr>
    </w:lvl>
    <w:lvl w:ilvl="7" w:tentative="0">
      <w:start w:val="1"/>
      <w:numFmt w:val="lowerLetter"/>
      <w:lvlText w:val="%8)"/>
      <w:lvlJc w:val="left"/>
      <w:pPr>
        <w:tabs>
          <w:tab w:val="left" w:pos="4200"/>
        </w:tabs>
        <w:ind w:left="4200" w:hanging="420"/>
      </w:pPr>
      <w:rPr>
        <w:rFonts w:hint="eastAsia"/>
      </w:rPr>
    </w:lvl>
    <w:lvl w:ilvl="8" w:tentative="0">
      <w:start w:val="1"/>
      <w:numFmt w:val="lowerRoman"/>
      <w:lvlText w:val="%9."/>
      <w:lvlJc w:val="right"/>
      <w:pPr>
        <w:tabs>
          <w:tab w:val="left" w:pos="4620"/>
        </w:tabs>
        <w:ind w:left="4620" w:hanging="420"/>
      </w:pPr>
      <w:rPr>
        <w:rFonts w:hint="eastAsia"/>
      </w:rPr>
    </w:lvl>
  </w:abstractNum>
  <w:abstractNum w:abstractNumId="7">
    <w:nsid w:val="00000013"/>
    <w:multiLevelType w:val="multilevel"/>
    <w:tmpl w:val="0000001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6"/>
    <w:multiLevelType w:val="multilevel"/>
    <w:tmpl w:val="00000016"/>
    <w:lvl w:ilvl="0" w:tentative="0">
      <w:start w:val="1"/>
      <w:numFmt w:val="upp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9">
    <w:nsid w:val="00000018"/>
    <w:multiLevelType w:val="multilevel"/>
    <w:tmpl w:val="00000018"/>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10">
    <w:nsid w:val="0000001D"/>
    <w:multiLevelType w:val="multilevel"/>
    <w:tmpl w:val="0000001D"/>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11">
    <w:nsid w:val="00000021"/>
    <w:multiLevelType w:val="multilevel"/>
    <w:tmpl w:val="00000021"/>
    <w:lvl w:ilvl="0" w:tentative="0">
      <w:start w:val="1"/>
      <w:numFmt w:val="japaneseCounting"/>
      <w:lvlText w:val="%1、"/>
      <w:lvlJc w:val="left"/>
      <w:pPr>
        <w:tabs>
          <w:tab w:val="left" w:pos="1905"/>
        </w:tabs>
        <w:ind w:left="1905" w:hanging="855"/>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23"/>
    <w:multiLevelType w:val="multilevel"/>
    <w:tmpl w:val="00000023"/>
    <w:lvl w:ilvl="0" w:tentative="0">
      <w:start w:val="1"/>
      <w:numFmt w:val="bullet"/>
      <w:lvlText w:val=""/>
      <w:lvlJc w:val="left"/>
      <w:pPr>
        <w:tabs>
          <w:tab w:val="left" w:pos="1440"/>
        </w:tabs>
        <w:ind w:left="1440" w:hanging="720"/>
      </w:pPr>
      <w:rPr>
        <w:rFonts w:hint="default" w:ascii="Wingdings" w:hAnsi="Wingdings"/>
      </w:r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3">
    <w:nsid w:val="00000027"/>
    <w:multiLevelType w:val="multilevel"/>
    <w:tmpl w:val="00000027"/>
    <w:lvl w:ilvl="0" w:tentative="0">
      <w:start w:val="12"/>
      <w:numFmt w:val="decimal"/>
      <w:lvlText w:val="（%1）"/>
      <w:lvlJc w:val="left"/>
      <w:pPr>
        <w:tabs>
          <w:tab w:val="left" w:pos="845"/>
        </w:tabs>
        <w:ind w:left="845" w:hanging="420"/>
      </w:pPr>
      <w:rPr>
        <w:rFonts w:hint="eastAsia"/>
      </w:rPr>
    </w:lvl>
    <w:lvl w:ilvl="1" w:tentative="0">
      <w:start w:val="1"/>
      <w:numFmt w:val="chineseCountingThousand"/>
      <w:suff w:val="space"/>
      <w:lvlText w:val="(%2)"/>
      <w:lvlJc w:val="left"/>
      <w:pPr>
        <w:ind w:left="1981" w:hanging="720"/>
      </w:pPr>
      <w:rPr>
        <w:rFonts w:hint="eastAsia"/>
        <w:b/>
        <w:i w:val="0"/>
      </w:rPr>
    </w:lvl>
    <w:lvl w:ilvl="2" w:tentative="0">
      <w:start w:val="1"/>
      <w:numFmt w:val="decimal"/>
      <w:suff w:val="space"/>
      <w:lvlText w:val="%3、"/>
      <w:lvlJc w:val="left"/>
      <w:pPr>
        <w:ind w:left="780" w:hanging="360"/>
      </w:pPr>
      <w:rPr>
        <w:rFonts w:hint="eastAsia" w:ascii="宋体" w:hAnsi="宋体" w:eastAsia="宋体" w:cs="Times New Roman"/>
      </w:rPr>
    </w:lvl>
    <w:lvl w:ilvl="3" w:tentative="0">
      <w:start w:val="1"/>
      <w:numFmt w:val="decimal"/>
      <w:lvlText w:val="%4."/>
      <w:lvlJc w:val="left"/>
      <w:pPr>
        <w:tabs>
          <w:tab w:val="left" w:pos="2521"/>
        </w:tabs>
        <w:ind w:left="2521" w:hanging="420"/>
      </w:pPr>
      <w:rPr>
        <w:rFonts w:hint="eastAsia"/>
      </w:rPr>
    </w:lvl>
    <w:lvl w:ilvl="4" w:tentative="0">
      <w:start w:val="1"/>
      <w:numFmt w:val="lowerLetter"/>
      <w:lvlText w:val="%5)"/>
      <w:lvlJc w:val="left"/>
      <w:pPr>
        <w:tabs>
          <w:tab w:val="left" w:pos="2941"/>
        </w:tabs>
        <w:ind w:left="2941" w:hanging="420"/>
      </w:pPr>
      <w:rPr>
        <w:rFonts w:hint="eastAsia"/>
      </w:rPr>
    </w:lvl>
    <w:lvl w:ilvl="5" w:tentative="0">
      <w:start w:val="1"/>
      <w:numFmt w:val="lowerRoman"/>
      <w:lvlText w:val="%6."/>
      <w:lvlJc w:val="right"/>
      <w:pPr>
        <w:tabs>
          <w:tab w:val="left" w:pos="3361"/>
        </w:tabs>
        <w:ind w:left="3361" w:hanging="420"/>
      </w:pPr>
      <w:rPr>
        <w:rFonts w:hint="eastAsia"/>
      </w:rPr>
    </w:lvl>
    <w:lvl w:ilvl="6" w:tentative="0">
      <w:start w:val="1"/>
      <w:numFmt w:val="decimal"/>
      <w:lvlText w:val="%7."/>
      <w:lvlJc w:val="left"/>
      <w:pPr>
        <w:tabs>
          <w:tab w:val="left" w:pos="3781"/>
        </w:tabs>
        <w:ind w:left="3781" w:hanging="420"/>
      </w:pPr>
      <w:rPr>
        <w:rFonts w:hint="eastAsia"/>
      </w:rPr>
    </w:lvl>
    <w:lvl w:ilvl="7" w:tentative="0">
      <w:start w:val="1"/>
      <w:numFmt w:val="lowerLetter"/>
      <w:lvlText w:val="%8)"/>
      <w:lvlJc w:val="left"/>
      <w:pPr>
        <w:tabs>
          <w:tab w:val="left" w:pos="4201"/>
        </w:tabs>
        <w:ind w:left="4201" w:hanging="420"/>
      </w:pPr>
      <w:rPr>
        <w:rFonts w:hint="eastAsia"/>
      </w:rPr>
    </w:lvl>
    <w:lvl w:ilvl="8" w:tentative="0">
      <w:start w:val="1"/>
      <w:numFmt w:val="lowerRoman"/>
      <w:lvlText w:val="%9."/>
      <w:lvlJc w:val="right"/>
      <w:pPr>
        <w:tabs>
          <w:tab w:val="left" w:pos="4621"/>
        </w:tabs>
        <w:ind w:left="4621" w:hanging="420"/>
      </w:pPr>
      <w:rPr>
        <w:rFonts w:hint="eastAsia"/>
      </w:rPr>
    </w:lvl>
  </w:abstractNum>
  <w:abstractNum w:abstractNumId="14">
    <w:nsid w:val="4D44C717"/>
    <w:multiLevelType w:val="singleLevel"/>
    <w:tmpl w:val="4D44C717"/>
    <w:lvl w:ilvl="0" w:tentative="0">
      <w:start w:val="1"/>
      <w:numFmt w:val="chineseCounting"/>
      <w:suff w:val="nothing"/>
      <w:lvlText w:val="%1、"/>
      <w:lvlJc w:val="left"/>
      <w:rPr>
        <w:rFonts w:hint="eastAsia"/>
      </w:rPr>
    </w:lvl>
  </w:abstractNum>
  <w:abstractNum w:abstractNumId="15">
    <w:nsid w:val="57936100"/>
    <w:multiLevelType w:val="singleLevel"/>
    <w:tmpl w:val="57936100"/>
    <w:lvl w:ilvl="0" w:tentative="0">
      <w:start w:val="1"/>
      <w:numFmt w:val="decimal"/>
      <w:suff w:val="nothing"/>
      <w:lvlText w:val="%1、"/>
      <w:lvlJc w:val="left"/>
    </w:lvl>
  </w:abstractNum>
  <w:abstractNum w:abstractNumId="16">
    <w:nsid w:val="59DDFFAA"/>
    <w:multiLevelType w:val="singleLevel"/>
    <w:tmpl w:val="59DDFFAA"/>
    <w:lvl w:ilvl="0" w:tentative="0">
      <w:start w:val="1"/>
      <w:numFmt w:val="decimal"/>
      <w:suff w:val="nothing"/>
      <w:lvlText w:val="（%1）"/>
      <w:lvlJc w:val="left"/>
    </w:lvl>
  </w:abstractNum>
  <w:abstractNum w:abstractNumId="17">
    <w:nsid w:val="59EC7344"/>
    <w:multiLevelType w:val="multilevel"/>
    <w:tmpl w:val="59EC7344"/>
    <w:lvl w:ilvl="0" w:tentative="0">
      <w:start w:val="1"/>
      <w:numFmt w:val="decimal"/>
      <w:suff w:val="nothing"/>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8">
    <w:nsid w:val="7CE61B8F"/>
    <w:multiLevelType w:val="singleLevel"/>
    <w:tmpl w:val="7CE61B8F"/>
    <w:lvl w:ilvl="0" w:tentative="0">
      <w:start w:val="9"/>
      <w:numFmt w:val="chineseCounting"/>
      <w:suff w:val="space"/>
      <w:lvlText w:val="第%1条"/>
      <w:lvlJc w:val="left"/>
      <w:rPr>
        <w:rFonts w:hint="eastAsia"/>
      </w:rPr>
    </w:lvl>
  </w:abstractNum>
  <w:num w:numId="1">
    <w:abstractNumId w:val="11"/>
  </w:num>
  <w:num w:numId="2">
    <w:abstractNumId w:val="2"/>
  </w:num>
  <w:num w:numId="3">
    <w:abstractNumId w:val="3"/>
  </w:num>
  <w:num w:numId="4">
    <w:abstractNumId w:val="1"/>
  </w:num>
  <w:num w:numId="5">
    <w:abstractNumId w:val="13"/>
  </w:num>
  <w:num w:numId="6">
    <w:abstractNumId w:val="15"/>
  </w:num>
  <w:num w:numId="7">
    <w:abstractNumId w:val="12"/>
  </w:num>
  <w:num w:numId="8">
    <w:abstractNumId w:val="9"/>
  </w:num>
  <w:num w:numId="9">
    <w:abstractNumId w:val="5"/>
  </w:num>
  <w:num w:numId="10">
    <w:abstractNumId w:val="6"/>
  </w:num>
  <w:num w:numId="11">
    <w:abstractNumId w:val="8"/>
  </w:num>
  <w:num w:numId="12">
    <w:abstractNumId w:val="10"/>
  </w:num>
  <w:num w:numId="13">
    <w:abstractNumId w:val="18"/>
  </w:num>
  <w:num w:numId="14">
    <w:abstractNumId w:val="14"/>
  </w:num>
  <w:num w:numId="15">
    <w:abstractNumId w:val="17"/>
  </w:num>
  <w:num w:numId="16">
    <w:abstractNumId w:val="7"/>
  </w:num>
  <w:num w:numId="17">
    <w:abstractNumId w:val="4"/>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TrueTypeFonts/>
  <w:saveSubsetFonts/>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kZGQwOTE0YmU2ZTA1YmE4YzliMzgzOWI5ZDZmZTQifQ=="/>
    <w:docVar w:name="KSO_WPS_MARK_KEY" w:val="d291d7ca-f6c2-43dd-beb4-c18cdbe1a32b"/>
  </w:docVars>
  <w:rsids>
    <w:rsidRoot w:val="3F113C6B"/>
    <w:rsid w:val="00064B71"/>
    <w:rsid w:val="00156260"/>
    <w:rsid w:val="00184F2E"/>
    <w:rsid w:val="001E1698"/>
    <w:rsid w:val="001F01ED"/>
    <w:rsid w:val="00260799"/>
    <w:rsid w:val="00274D1E"/>
    <w:rsid w:val="002B0824"/>
    <w:rsid w:val="00334ABE"/>
    <w:rsid w:val="00334C24"/>
    <w:rsid w:val="00376014"/>
    <w:rsid w:val="003A1812"/>
    <w:rsid w:val="0042583F"/>
    <w:rsid w:val="004768F9"/>
    <w:rsid w:val="004F0665"/>
    <w:rsid w:val="0050394A"/>
    <w:rsid w:val="00565040"/>
    <w:rsid w:val="00582406"/>
    <w:rsid w:val="005A0847"/>
    <w:rsid w:val="005A61A9"/>
    <w:rsid w:val="00642B71"/>
    <w:rsid w:val="00661237"/>
    <w:rsid w:val="00687020"/>
    <w:rsid w:val="00693F9B"/>
    <w:rsid w:val="006C356E"/>
    <w:rsid w:val="006F559C"/>
    <w:rsid w:val="006F699D"/>
    <w:rsid w:val="0076520A"/>
    <w:rsid w:val="007F5CFF"/>
    <w:rsid w:val="00826741"/>
    <w:rsid w:val="008C04C5"/>
    <w:rsid w:val="008C2FA5"/>
    <w:rsid w:val="008E464D"/>
    <w:rsid w:val="0091437B"/>
    <w:rsid w:val="00935345"/>
    <w:rsid w:val="009407AC"/>
    <w:rsid w:val="00972D14"/>
    <w:rsid w:val="00993F17"/>
    <w:rsid w:val="00A60346"/>
    <w:rsid w:val="00AA10F0"/>
    <w:rsid w:val="00AC4C15"/>
    <w:rsid w:val="00AD55F9"/>
    <w:rsid w:val="00B00F5C"/>
    <w:rsid w:val="00B162B1"/>
    <w:rsid w:val="00B643D5"/>
    <w:rsid w:val="00B67C82"/>
    <w:rsid w:val="00B9340A"/>
    <w:rsid w:val="00BA1FAA"/>
    <w:rsid w:val="00BA6AEF"/>
    <w:rsid w:val="00BE2469"/>
    <w:rsid w:val="00C22288"/>
    <w:rsid w:val="00C622B9"/>
    <w:rsid w:val="00C6563A"/>
    <w:rsid w:val="00C7191C"/>
    <w:rsid w:val="00C9505C"/>
    <w:rsid w:val="00CB43B1"/>
    <w:rsid w:val="00CD2671"/>
    <w:rsid w:val="00CD5A17"/>
    <w:rsid w:val="00D64197"/>
    <w:rsid w:val="00D87458"/>
    <w:rsid w:val="00DA51AF"/>
    <w:rsid w:val="00DA549D"/>
    <w:rsid w:val="00DA659F"/>
    <w:rsid w:val="00DE4126"/>
    <w:rsid w:val="00DE634E"/>
    <w:rsid w:val="00E02907"/>
    <w:rsid w:val="00E039FA"/>
    <w:rsid w:val="00E46AD2"/>
    <w:rsid w:val="00E5037D"/>
    <w:rsid w:val="00E85A85"/>
    <w:rsid w:val="00EB2132"/>
    <w:rsid w:val="00EC141A"/>
    <w:rsid w:val="00EC1863"/>
    <w:rsid w:val="00F30A72"/>
    <w:rsid w:val="00F6794D"/>
    <w:rsid w:val="00FD5121"/>
    <w:rsid w:val="014F2FA0"/>
    <w:rsid w:val="015A5132"/>
    <w:rsid w:val="01E7687A"/>
    <w:rsid w:val="046B3C9E"/>
    <w:rsid w:val="04B0790D"/>
    <w:rsid w:val="06042115"/>
    <w:rsid w:val="061B4D44"/>
    <w:rsid w:val="063356E0"/>
    <w:rsid w:val="065E786E"/>
    <w:rsid w:val="075740AA"/>
    <w:rsid w:val="077A57DA"/>
    <w:rsid w:val="079440E8"/>
    <w:rsid w:val="08E02152"/>
    <w:rsid w:val="0904523F"/>
    <w:rsid w:val="0A1432C0"/>
    <w:rsid w:val="0A191188"/>
    <w:rsid w:val="0A63200F"/>
    <w:rsid w:val="0B1504CB"/>
    <w:rsid w:val="0BC67500"/>
    <w:rsid w:val="0D441184"/>
    <w:rsid w:val="0D7C480A"/>
    <w:rsid w:val="0D824B30"/>
    <w:rsid w:val="0E2A0E3A"/>
    <w:rsid w:val="0FBA469C"/>
    <w:rsid w:val="108D0D26"/>
    <w:rsid w:val="10AF557E"/>
    <w:rsid w:val="112120CE"/>
    <w:rsid w:val="11655B47"/>
    <w:rsid w:val="11EF2AC8"/>
    <w:rsid w:val="13392CAD"/>
    <w:rsid w:val="139525D9"/>
    <w:rsid w:val="139B14EF"/>
    <w:rsid w:val="13D672AF"/>
    <w:rsid w:val="14133E2F"/>
    <w:rsid w:val="14177DA3"/>
    <w:rsid w:val="15DC4B92"/>
    <w:rsid w:val="162E30E7"/>
    <w:rsid w:val="16337E88"/>
    <w:rsid w:val="16930926"/>
    <w:rsid w:val="178A7F7B"/>
    <w:rsid w:val="18C721E5"/>
    <w:rsid w:val="199A25F6"/>
    <w:rsid w:val="19F17E3E"/>
    <w:rsid w:val="1AE55437"/>
    <w:rsid w:val="1B1A6260"/>
    <w:rsid w:val="1C5D5574"/>
    <w:rsid w:val="1D4F1A4B"/>
    <w:rsid w:val="1D7E5E8C"/>
    <w:rsid w:val="1DDF4451"/>
    <w:rsid w:val="1DF779ED"/>
    <w:rsid w:val="1E552791"/>
    <w:rsid w:val="1E99361A"/>
    <w:rsid w:val="20B00A53"/>
    <w:rsid w:val="210321E1"/>
    <w:rsid w:val="21B81285"/>
    <w:rsid w:val="22A75E85"/>
    <w:rsid w:val="22CC61DC"/>
    <w:rsid w:val="237C10C0"/>
    <w:rsid w:val="24BA4B20"/>
    <w:rsid w:val="25D22E06"/>
    <w:rsid w:val="26211AAB"/>
    <w:rsid w:val="26B40B71"/>
    <w:rsid w:val="27AF30E6"/>
    <w:rsid w:val="29132F9E"/>
    <w:rsid w:val="2919115F"/>
    <w:rsid w:val="29A103D9"/>
    <w:rsid w:val="29AF73CD"/>
    <w:rsid w:val="29EB5198"/>
    <w:rsid w:val="2A2C2DA1"/>
    <w:rsid w:val="2AAA06AC"/>
    <w:rsid w:val="2B2A105D"/>
    <w:rsid w:val="2B6F3101"/>
    <w:rsid w:val="2BA5678A"/>
    <w:rsid w:val="2BDD2CA6"/>
    <w:rsid w:val="2C581F9E"/>
    <w:rsid w:val="2C7212B2"/>
    <w:rsid w:val="2C986395"/>
    <w:rsid w:val="2CB258BB"/>
    <w:rsid w:val="2CD5539D"/>
    <w:rsid w:val="2D41716A"/>
    <w:rsid w:val="2D6B7861"/>
    <w:rsid w:val="2DDF1166"/>
    <w:rsid w:val="2E4F7B33"/>
    <w:rsid w:val="2ECC0450"/>
    <w:rsid w:val="2F48425B"/>
    <w:rsid w:val="2FC17D63"/>
    <w:rsid w:val="30E25AA3"/>
    <w:rsid w:val="31061745"/>
    <w:rsid w:val="3159659D"/>
    <w:rsid w:val="3245226E"/>
    <w:rsid w:val="326D2A59"/>
    <w:rsid w:val="337C6572"/>
    <w:rsid w:val="34FB5BBD"/>
    <w:rsid w:val="354E1761"/>
    <w:rsid w:val="35A42022"/>
    <w:rsid w:val="35B013E8"/>
    <w:rsid w:val="35F72828"/>
    <w:rsid w:val="36162CAE"/>
    <w:rsid w:val="36567719"/>
    <w:rsid w:val="36941047"/>
    <w:rsid w:val="37121106"/>
    <w:rsid w:val="37CB1876"/>
    <w:rsid w:val="37DF3574"/>
    <w:rsid w:val="393851F5"/>
    <w:rsid w:val="39CE2F32"/>
    <w:rsid w:val="3A0255FE"/>
    <w:rsid w:val="3A8D375B"/>
    <w:rsid w:val="3B3F4F42"/>
    <w:rsid w:val="3C0B55D3"/>
    <w:rsid w:val="3C7652B5"/>
    <w:rsid w:val="3D5666D4"/>
    <w:rsid w:val="3D7E72DC"/>
    <w:rsid w:val="3D8C5F4C"/>
    <w:rsid w:val="3EC268EC"/>
    <w:rsid w:val="3F113C6B"/>
    <w:rsid w:val="3F410725"/>
    <w:rsid w:val="3FBA347C"/>
    <w:rsid w:val="40354588"/>
    <w:rsid w:val="417E2F77"/>
    <w:rsid w:val="41DA2BA0"/>
    <w:rsid w:val="424C03F8"/>
    <w:rsid w:val="451707F1"/>
    <w:rsid w:val="45213A51"/>
    <w:rsid w:val="45785AF3"/>
    <w:rsid w:val="464A2D69"/>
    <w:rsid w:val="468C0D6B"/>
    <w:rsid w:val="470152B5"/>
    <w:rsid w:val="47333582"/>
    <w:rsid w:val="47DA3929"/>
    <w:rsid w:val="48C22822"/>
    <w:rsid w:val="492E3BB7"/>
    <w:rsid w:val="4A163B16"/>
    <w:rsid w:val="4B166CC7"/>
    <w:rsid w:val="4BC06D80"/>
    <w:rsid w:val="4C186197"/>
    <w:rsid w:val="4E2C7E95"/>
    <w:rsid w:val="4EC10F13"/>
    <w:rsid w:val="4F245FE4"/>
    <w:rsid w:val="4F396B6A"/>
    <w:rsid w:val="4F3F758A"/>
    <w:rsid w:val="4FA567EF"/>
    <w:rsid w:val="50706D32"/>
    <w:rsid w:val="509178C2"/>
    <w:rsid w:val="51414759"/>
    <w:rsid w:val="51ED6B61"/>
    <w:rsid w:val="526851D4"/>
    <w:rsid w:val="527F6F1C"/>
    <w:rsid w:val="53F148F2"/>
    <w:rsid w:val="547D07EB"/>
    <w:rsid w:val="54ED6E78"/>
    <w:rsid w:val="555C7B5A"/>
    <w:rsid w:val="56714C95"/>
    <w:rsid w:val="57D27B1A"/>
    <w:rsid w:val="587C0C3F"/>
    <w:rsid w:val="5910647B"/>
    <w:rsid w:val="593C4093"/>
    <w:rsid w:val="59745548"/>
    <w:rsid w:val="5974611D"/>
    <w:rsid w:val="59E92304"/>
    <w:rsid w:val="5A3966BC"/>
    <w:rsid w:val="5A9D56D7"/>
    <w:rsid w:val="5B0311A3"/>
    <w:rsid w:val="5B1156F9"/>
    <w:rsid w:val="5C08753B"/>
    <w:rsid w:val="5C537E25"/>
    <w:rsid w:val="5D017E00"/>
    <w:rsid w:val="5D234E41"/>
    <w:rsid w:val="5D250410"/>
    <w:rsid w:val="5D57259D"/>
    <w:rsid w:val="5D6E5D79"/>
    <w:rsid w:val="5E0C2E92"/>
    <w:rsid w:val="5E591D7A"/>
    <w:rsid w:val="5E6D7F2C"/>
    <w:rsid w:val="5EDC168D"/>
    <w:rsid w:val="5F771ACA"/>
    <w:rsid w:val="5F8748E3"/>
    <w:rsid w:val="5FE05E97"/>
    <w:rsid w:val="600734E4"/>
    <w:rsid w:val="6076415A"/>
    <w:rsid w:val="60B60A66"/>
    <w:rsid w:val="61074728"/>
    <w:rsid w:val="613C540F"/>
    <w:rsid w:val="61EB56C3"/>
    <w:rsid w:val="625436C8"/>
    <w:rsid w:val="62AF17A5"/>
    <w:rsid w:val="6370314E"/>
    <w:rsid w:val="64FF0C2E"/>
    <w:rsid w:val="65537CA4"/>
    <w:rsid w:val="67A12CDC"/>
    <w:rsid w:val="67FA56DC"/>
    <w:rsid w:val="690A4C18"/>
    <w:rsid w:val="694C650C"/>
    <w:rsid w:val="69E228CC"/>
    <w:rsid w:val="6A0B61C3"/>
    <w:rsid w:val="6AA95602"/>
    <w:rsid w:val="6AD40467"/>
    <w:rsid w:val="6B055F87"/>
    <w:rsid w:val="6B090FF4"/>
    <w:rsid w:val="6B0E5664"/>
    <w:rsid w:val="6C303DC2"/>
    <w:rsid w:val="6C705F6D"/>
    <w:rsid w:val="6C724C3D"/>
    <w:rsid w:val="6C8C115F"/>
    <w:rsid w:val="6D512242"/>
    <w:rsid w:val="6DA6721C"/>
    <w:rsid w:val="6EB32A89"/>
    <w:rsid w:val="6F301BED"/>
    <w:rsid w:val="6F4B2CC1"/>
    <w:rsid w:val="6FBE67A5"/>
    <w:rsid w:val="70180DCE"/>
    <w:rsid w:val="701E2184"/>
    <w:rsid w:val="705341E0"/>
    <w:rsid w:val="711517D9"/>
    <w:rsid w:val="712E7EB0"/>
    <w:rsid w:val="71837C2C"/>
    <w:rsid w:val="72451C4A"/>
    <w:rsid w:val="730B4CAD"/>
    <w:rsid w:val="73332EEE"/>
    <w:rsid w:val="733C026E"/>
    <w:rsid w:val="73A11102"/>
    <w:rsid w:val="745700E3"/>
    <w:rsid w:val="74B22B0E"/>
    <w:rsid w:val="75750A98"/>
    <w:rsid w:val="76D637B8"/>
    <w:rsid w:val="771C3E67"/>
    <w:rsid w:val="7772528F"/>
    <w:rsid w:val="77B676B7"/>
    <w:rsid w:val="77FE4D75"/>
    <w:rsid w:val="78524BEE"/>
    <w:rsid w:val="785951BA"/>
    <w:rsid w:val="78B95DBF"/>
    <w:rsid w:val="78EF1936"/>
    <w:rsid w:val="792A305D"/>
    <w:rsid w:val="79CF4373"/>
    <w:rsid w:val="79DF0BD6"/>
    <w:rsid w:val="7A401AA6"/>
    <w:rsid w:val="7B494559"/>
    <w:rsid w:val="7C690023"/>
    <w:rsid w:val="7D48786D"/>
    <w:rsid w:val="7DC45D95"/>
    <w:rsid w:val="7DEE3196"/>
    <w:rsid w:val="7ED86ED3"/>
    <w:rsid w:val="7F525FCB"/>
    <w:rsid w:val="7F837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8"/>
      <w:lang w:val="en-US" w:eastAsia="zh-CN" w:bidi="ar-SA"/>
    </w:rPr>
  </w:style>
  <w:style w:type="paragraph" w:styleId="2">
    <w:name w:val="heading 1"/>
    <w:basedOn w:val="1"/>
    <w:next w:val="1"/>
    <w:qFormat/>
    <w:uiPriority w:val="0"/>
    <w:pPr>
      <w:keepNext/>
      <w:spacing w:line="360" w:lineRule="auto"/>
      <w:ind w:right="-441" w:rightChars="-210"/>
      <w:jc w:val="center"/>
      <w:outlineLvl w:val="0"/>
    </w:pPr>
    <w:rPr>
      <w:rFonts w:ascii="宋体" w:hAnsi="宋体"/>
      <w:b/>
      <w:bCs/>
      <w:sz w:val="48"/>
    </w:rPr>
  </w:style>
  <w:style w:type="paragraph" w:styleId="3">
    <w:name w:val="heading 2"/>
    <w:basedOn w:val="1"/>
    <w:next w:val="1"/>
    <w:qFormat/>
    <w:uiPriority w:val="0"/>
    <w:pPr>
      <w:keepNext/>
      <w:keepLines/>
      <w:adjustRightInd w:val="0"/>
      <w:spacing w:before="62" w:beforeLines="20" w:after="62" w:afterLines="20" w:line="360" w:lineRule="auto"/>
      <w:textAlignment w:val="baseline"/>
      <w:outlineLvl w:val="1"/>
    </w:pPr>
    <w:rPr>
      <w:rFonts w:ascii="宋体" w:hAnsi="宋体"/>
      <w:b/>
      <w:sz w:val="30"/>
    </w:rPr>
  </w:style>
  <w:style w:type="paragraph" w:styleId="4">
    <w:name w:val="heading 3"/>
    <w:basedOn w:val="1"/>
    <w:next w:val="1"/>
    <w:qFormat/>
    <w:uiPriority w:val="0"/>
    <w:pPr>
      <w:keepNext/>
      <w:keepLines/>
      <w:adjustRightInd w:val="0"/>
      <w:spacing w:before="40" w:after="40" w:line="360" w:lineRule="auto"/>
      <w:textAlignment w:val="baseline"/>
      <w:outlineLvl w:val="2"/>
    </w:pPr>
    <w:rPr>
      <w:rFonts w:ascii="宋体" w:hAnsi="宋体"/>
      <w:b/>
    </w:rPr>
  </w:style>
  <w:style w:type="character" w:default="1" w:styleId="22">
    <w:name w:val="Default Paragraph Font"/>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rPr>
      <w:rFonts w:ascii="等线 Light" w:hAnsi="等线 Light" w:eastAsia="黑体"/>
      <w:sz w:val="20"/>
    </w:rPr>
  </w:style>
  <w:style w:type="paragraph" w:styleId="6">
    <w:name w:val="toa heading"/>
    <w:basedOn w:val="1"/>
    <w:next w:val="1"/>
    <w:autoRedefine/>
    <w:semiHidden/>
    <w:qFormat/>
    <w:uiPriority w:val="99"/>
    <w:pPr>
      <w:spacing w:before="120"/>
    </w:pPr>
    <w:rPr>
      <w:rFonts w:ascii="Cambria" w:hAnsi="Cambria" w:cs="Cambria"/>
      <w:sz w:val="24"/>
      <w:szCs w:val="24"/>
    </w:rPr>
  </w:style>
  <w:style w:type="paragraph" w:styleId="7">
    <w:name w:val="annotation text"/>
    <w:basedOn w:val="1"/>
    <w:autoRedefine/>
    <w:qFormat/>
    <w:uiPriority w:val="0"/>
    <w:pPr>
      <w:jc w:val="left"/>
    </w:pPr>
  </w:style>
  <w:style w:type="paragraph" w:styleId="8">
    <w:name w:val="Body Text"/>
    <w:basedOn w:val="1"/>
    <w:next w:val="1"/>
    <w:autoRedefine/>
    <w:qFormat/>
    <w:uiPriority w:val="99"/>
    <w:pPr>
      <w:spacing w:line="480" w:lineRule="atLeast"/>
    </w:pPr>
    <w:rPr>
      <w:rFonts w:ascii="楷体_GB2312" w:eastAsia="楷体_GB2312"/>
      <w:b/>
      <w:kern w:val="2"/>
      <w:sz w:val="30"/>
    </w:rPr>
  </w:style>
  <w:style w:type="paragraph" w:styleId="9">
    <w:name w:val="Body Text Indent"/>
    <w:basedOn w:val="1"/>
    <w:autoRedefine/>
    <w:qFormat/>
    <w:uiPriority w:val="0"/>
    <w:pPr>
      <w:ind w:firstLine="360"/>
    </w:pPr>
    <w:rPr>
      <w:rFonts w:ascii="Arial" w:hAnsi="Arial"/>
    </w:rPr>
  </w:style>
  <w:style w:type="paragraph" w:styleId="10">
    <w:name w:val="Plain Text"/>
    <w:basedOn w:val="1"/>
    <w:next w:val="1"/>
    <w:autoRedefine/>
    <w:qFormat/>
    <w:uiPriority w:val="0"/>
    <w:rPr>
      <w:rFonts w:ascii="宋体" w:hAnsi="Courier New"/>
      <w:kern w:val="2"/>
      <w:sz w:val="21"/>
    </w:rPr>
  </w:style>
  <w:style w:type="paragraph" w:styleId="11">
    <w:name w:val="Date"/>
    <w:basedOn w:val="1"/>
    <w:next w:val="1"/>
    <w:autoRedefine/>
    <w:qFormat/>
    <w:uiPriority w:val="0"/>
    <w:pPr>
      <w:autoSpaceDE w:val="0"/>
      <w:autoSpaceDN w:val="0"/>
      <w:adjustRightInd w:val="0"/>
      <w:spacing w:line="312" w:lineRule="atLeast"/>
      <w:textAlignment w:val="baseline"/>
    </w:pPr>
    <w:rPr>
      <w:kern w:val="0"/>
      <w:sz w:val="32"/>
      <w:szCs w:val="20"/>
    </w:rPr>
  </w:style>
  <w:style w:type="paragraph" w:styleId="12">
    <w:name w:val="Balloon Text"/>
    <w:basedOn w:val="1"/>
    <w:link w:val="40"/>
    <w:autoRedefine/>
    <w:qFormat/>
    <w:uiPriority w:val="0"/>
    <w:rPr>
      <w:sz w:val="18"/>
      <w:szCs w:val="18"/>
    </w:rPr>
  </w:style>
  <w:style w:type="paragraph" w:styleId="13">
    <w:name w:val="footer"/>
    <w:basedOn w:val="1"/>
    <w:autoRedefine/>
    <w:qFormat/>
    <w:uiPriority w:val="0"/>
    <w:pPr>
      <w:tabs>
        <w:tab w:val="center" w:pos="4153"/>
        <w:tab w:val="right" w:pos="8306"/>
      </w:tabs>
      <w:adjustRightInd w:val="0"/>
      <w:spacing w:line="240" w:lineRule="atLeast"/>
      <w:jc w:val="left"/>
      <w:textAlignment w:val="baseline"/>
    </w:pPr>
    <w:rPr>
      <w:sz w:val="18"/>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kern w:val="2"/>
      <w:sz w:val="18"/>
      <w:szCs w:val="18"/>
    </w:rPr>
  </w:style>
  <w:style w:type="paragraph" w:styleId="15">
    <w:name w:val="toc 1"/>
    <w:basedOn w:val="1"/>
    <w:next w:val="1"/>
    <w:autoRedefine/>
    <w:qFormat/>
    <w:uiPriority w:val="39"/>
    <w:pPr>
      <w:spacing w:before="120" w:after="120"/>
      <w:jc w:val="left"/>
    </w:pPr>
    <w:rPr>
      <w:b/>
      <w:bCs/>
      <w:caps/>
      <w:sz w:val="20"/>
    </w:rPr>
  </w:style>
  <w:style w:type="paragraph" w:styleId="16">
    <w:name w:val="index heading"/>
    <w:basedOn w:val="1"/>
    <w:next w:val="17"/>
    <w:autoRedefine/>
    <w:semiHidden/>
    <w:qFormat/>
    <w:uiPriority w:val="0"/>
  </w:style>
  <w:style w:type="paragraph" w:styleId="17">
    <w:name w:val="index 1"/>
    <w:basedOn w:val="1"/>
    <w:next w:val="1"/>
    <w:autoRedefine/>
    <w:semiHidden/>
    <w:qFormat/>
    <w:uiPriority w:val="0"/>
    <w:pPr>
      <w:tabs>
        <w:tab w:val="left" w:pos="7740"/>
      </w:tabs>
      <w:jc w:val="center"/>
    </w:pPr>
    <w:rPr>
      <w:rFonts w:ascii="仿宋" w:hAnsi="仿宋" w:eastAsia="仿宋"/>
      <w:b/>
      <w:szCs w:val="28"/>
    </w:rPr>
  </w:style>
  <w:style w:type="paragraph" w:styleId="18">
    <w:name w:val="Body Text 2"/>
    <w:basedOn w:val="1"/>
    <w:autoRedefine/>
    <w:qFormat/>
    <w:uiPriority w:val="0"/>
    <w:rPr>
      <w:sz w:val="18"/>
    </w:rPr>
  </w:style>
  <w:style w:type="paragraph" w:styleId="1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0">
    <w:name w:val="Body Text First Indent 2"/>
    <w:basedOn w:val="9"/>
    <w:autoRedefine/>
    <w:qFormat/>
    <w:uiPriority w:val="0"/>
    <w:pPr>
      <w:ind w:firstLine="420" w:firstLineChars="200"/>
    </w:pPr>
  </w:style>
  <w:style w:type="character" w:styleId="23">
    <w:name w:val="Strong"/>
    <w:autoRedefine/>
    <w:qFormat/>
    <w:uiPriority w:val="22"/>
    <w:rPr>
      <w:b/>
      <w:bCs/>
    </w:rPr>
  </w:style>
  <w:style w:type="character" w:styleId="24">
    <w:name w:val="page number"/>
    <w:autoRedefine/>
    <w:qFormat/>
    <w:uiPriority w:val="0"/>
  </w:style>
  <w:style w:type="character" w:styleId="25">
    <w:name w:val="Hyperlink"/>
    <w:autoRedefine/>
    <w:qFormat/>
    <w:uiPriority w:val="99"/>
    <w:rPr>
      <w:rFonts w:ascii="宋体" w:hAnsi="宋体"/>
      <w:b/>
      <w:color w:val="000000"/>
      <w:sz w:val="28"/>
      <w:szCs w:val="28"/>
      <w:u w:val="none"/>
    </w:rPr>
  </w:style>
  <w:style w:type="paragraph" w:customStyle="1" w:styleId="26">
    <w:name w:val="列出段落1"/>
    <w:basedOn w:val="1"/>
    <w:autoRedefine/>
    <w:qFormat/>
    <w:uiPriority w:val="0"/>
    <w:pPr>
      <w:widowControl/>
      <w:ind w:firstLine="420" w:firstLineChars="200"/>
      <w:jc w:val="left"/>
    </w:pPr>
    <w:rPr>
      <w:rFonts w:ascii="Cambria" w:hAnsi="Cambria" w:eastAsia="微软雅黑"/>
      <w:color w:val="595959"/>
      <w:kern w:val="20"/>
      <w:lang w:val="zh-CN"/>
    </w:rPr>
  </w:style>
  <w:style w:type="character" w:customStyle="1" w:styleId="27">
    <w:name w:val="p141"/>
    <w:autoRedefine/>
    <w:qFormat/>
    <w:uiPriority w:val="0"/>
    <w:rPr>
      <w:sz w:val="21"/>
      <w:szCs w:val="21"/>
    </w:rPr>
  </w:style>
  <w:style w:type="paragraph" w:customStyle="1" w:styleId="28">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9">
    <w:name w:val="xl29"/>
    <w:basedOn w:val="1"/>
    <w:qFormat/>
    <w:uiPriority w:val="0"/>
    <w:pPr>
      <w:widowControl/>
      <w:spacing w:before="100" w:beforeAutospacing="1" w:after="100" w:afterAutospacing="1"/>
      <w:jc w:val="center"/>
    </w:pPr>
    <w:rPr>
      <w:rFonts w:ascii="宋体" w:hAnsi="宋体"/>
      <w:szCs w:val="28"/>
    </w:rPr>
  </w:style>
  <w:style w:type="paragraph" w:customStyle="1" w:styleId="30">
    <w:name w:val="正文_2"/>
    <w:basedOn w:val="31"/>
    <w:autoRedefine/>
    <w:qFormat/>
    <w:uiPriority w:val="0"/>
    <w:pPr>
      <w:widowControl w:val="0"/>
      <w:jc w:val="both"/>
    </w:pPr>
    <w:rPr>
      <w:kern w:val="2"/>
      <w:szCs w:val="21"/>
    </w:rPr>
  </w:style>
  <w:style w:type="paragraph" w:customStyle="1" w:styleId="31">
    <w:name w:val="正文_3"/>
    <w:autoRedefine/>
    <w:qFormat/>
    <w:uiPriority w:val="0"/>
    <w:rPr>
      <w:rFonts w:ascii="Times New Roman" w:hAnsi="Times New Roman" w:eastAsia="宋体" w:cs="Times New Roman"/>
      <w:sz w:val="21"/>
      <w:szCs w:val="22"/>
      <w:lang w:val="en-US" w:eastAsia="zh-CN" w:bidi="ar-SA"/>
    </w:rPr>
  </w:style>
  <w:style w:type="paragraph" w:customStyle="1" w:styleId="32">
    <w:name w:val="_Style 4"/>
    <w:basedOn w:val="1"/>
    <w:autoRedefine/>
    <w:qFormat/>
    <w:uiPriority w:val="34"/>
    <w:pPr>
      <w:ind w:firstLine="420" w:firstLineChars="200"/>
    </w:pPr>
  </w:style>
  <w:style w:type="paragraph" w:customStyle="1" w:styleId="33">
    <w:name w:val="样式 小四 段前: 5 磅 段后: 5 磅 首行缩进:  2 字符"/>
    <w:basedOn w:val="1"/>
    <w:autoRedefine/>
    <w:qFormat/>
    <w:uiPriority w:val="0"/>
    <w:pPr>
      <w:spacing w:line="360" w:lineRule="auto"/>
    </w:pPr>
    <w:rPr>
      <w:rFonts w:ascii="宋体" w:hAnsi="宋体"/>
      <w:color w:val="000000"/>
      <w:sz w:val="24"/>
    </w:rPr>
  </w:style>
  <w:style w:type="paragraph" w:customStyle="1" w:styleId="34">
    <w:name w:val="图"/>
    <w:basedOn w:val="1"/>
    <w:autoRedefine/>
    <w:qFormat/>
    <w:uiPriority w:val="0"/>
    <w:pPr>
      <w:keepNext/>
      <w:adjustRightInd w:val="0"/>
      <w:spacing w:before="60" w:after="60" w:line="300" w:lineRule="auto"/>
      <w:jc w:val="center"/>
      <w:textAlignment w:val="center"/>
    </w:pPr>
    <w:rPr>
      <w:snapToGrid w:val="0"/>
      <w:spacing w:val="20"/>
      <w:sz w:val="24"/>
    </w:rPr>
  </w:style>
  <w:style w:type="paragraph" w:customStyle="1" w:styleId="35">
    <w:name w:val="题注5"/>
    <w:basedOn w:val="1"/>
    <w:next w:val="5"/>
    <w:autoRedefine/>
    <w:qFormat/>
    <w:uiPriority w:val="0"/>
    <w:pPr>
      <w:jc w:val="center"/>
    </w:pPr>
    <w:rPr>
      <w:b/>
      <w:color w:val="000000"/>
      <w:sz w:val="24"/>
      <w:szCs w:val="21"/>
    </w:rPr>
  </w:style>
  <w:style w:type="character" w:customStyle="1" w:styleId="36">
    <w:name w:val="font31"/>
    <w:basedOn w:val="22"/>
    <w:qFormat/>
    <w:uiPriority w:val="0"/>
    <w:rPr>
      <w:rFonts w:hint="eastAsia" w:ascii="宋体" w:hAnsi="宋体" w:eastAsia="宋体" w:cs="宋体"/>
      <w:color w:val="000000"/>
      <w:sz w:val="20"/>
      <w:szCs w:val="20"/>
      <w:u w:val="single"/>
    </w:rPr>
  </w:style>
  <w:style w:type="character" w:customStyle="1" w:styleId="37">
    <w:name w:val="font01"/>
    <w:basedOn w:val="22"/>
    <w:autoRedefine/>
    <w:qFormat/>
    <w:uiPriority w:val="0"/>
    <w:rPr>
      <w:rFonts w:hint="eastAsia" w:ascii="宋体" w:hAnsi="宋体" w:eastAsia="宋体" w:cs="宋体"/>
      <w:color w:val="000000"/>
      <w:sz w:val="20"/>
      <w:szCs w:val="20"/>
      <w:u w:val="none"/>
    </w:rPr>
  </w:style>
  <w:style w:type="character" w:customStyle="1" w:styleId="38">
    <w:name w:val="font41"/>
    <w:basedOn w:val="22"/>
    <w:autoRedefine/>
    <w:qFormat/>
    <w:uiPriority w:val="0"/>
    <w:rPr>
      <w:rFonts w:ascii="font-weight : 400" w:hAnsi="font-weight : 400" w:eastAsia="font-weight : 400" w:cs="font-weight : 400"/>
      <w:color w:val="000000"/>
      <w:sz w:val="20"/>
      <w:szCs w:val="20"/>
      <w:u w:val="none"/>
    </w:rPr>
  </w:style>
  <w:style w:type="character" w:customStyle="1" w:styleId="39">
    <w:name w:val="font21"/>
    <w:basedOn w:val="22"/>
    <w:qFormat/>
    <w:uiPriority w:val="0"/>
    <w:rPr>
      <w:rFonts w:ascii="Calibri" w:hAnsi="Calibri" w:cs="Calibri"/>
      <w:color w:val="000000"/>
      <w:sz w:val="20"/>
      <w:szCs w:val="20"/>
      <w:u w:val="none"/>
    </w:rPr>
  </w:style>
  <w:style w:type="character" w:customStyle="1" w:styleId="40">
    <w:name w:val="批注框文本 Char"/>
    <w:basedOn w:val="22"/>
    <w:link w:val="12"/>
    <w:autoRedefine/>
    <w:qFormat/>
    <w:uiPriority w:val="0"/>
    <w:rPr>
      <w:sz w:val="18"/>
      <w:szCs w:val="18"/>
    </w:rPr>
  </w:style>
  <w:style w:type="paragraph" w:styleId="41">
    <w:name w:val="List Paragraph"/>
    <w:basedOn w:val="1"/>
    <w:autoRedefine/>
    <w:unhideWhenUsed/>
    <w:qFormat/>
    <w:uiPriority w:val="99"/>
    <w:pPr>
      <w:ind w:firstLine="420" w:firstLineChars="200"/>
    </w:pPr>
  </w:style>
  <w:style w:type="paragraph" w:customStyle="1" w:styleId="42">
    <w:name w:val="样式2"/>
    <w:basedOn w:val="14"/>
    <w:autoRedefine/>
    <w:qFormat/>
    <w:uiPriority w:val="0"/>
    <w:rPr>
      <w:szCs w:val="24"/>
    </w:rPr>
  </w:style>
  <w:style w:type="paragraph" w:customStyle="1" w:styleId="43">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9.pn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NULL" TargetMode="Externa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潮州市饶平县机关及下属单位</Company>
  <Pages>59</Pages>
  <Words>25149</Words>
  <Characters>27497</Characters>
  <Lines>226</Lines>
  <Paragraphs>63</Paragraphs>
  <TotalTime>52</TotalTime>
  <ScaleCrop>false</ScaleCrop>
  <LinksUpToDate>false</LinksUpToDate>
  <CharactersWithSpaces>30039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2023-04-24T07:53:00Z</dcterms:created>
  <dc:creator>Administrator</dc:creator>
  <cp:lastModifiedBy>旅游公司办文</cp:lastModifiedBy>
  <cp:lastPrinted>2024-09-03T08:26:48Z</cp:lastPrinted>
  <dcterms:modified xsi:type="dcterms:W3CDTF">2024-09-03T08:40:08Z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B7A5DFD8F93240D78A44F703EDB0A700_13</vt:lpwstr>
  </property>
  <property fmtid="{D5CDD505-2E9C-101B-9397-08002B2CF9AE}" pid="4" name="commondata">
    <vt:lpwstr>eyJoZGlkIjoiYWFjMWI1YmE3MmUyYWJiZGJhNjM2ZDczNDk0YjkwNTIifQ==</vt:lpwstr>
  </property>
</Properties>
</file>