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EE2291">
      <w:pPr>
        <w:spacing w:line="360" w:lineRule="exact"/>
        <w:rPr>
          <w:rFonts w:ascii="宋体" w:hAnsi="宋体" w:eastAsia="宋体" w:cs="宋体"/>
          <w:color w:val="auto"/>
          <w:szCs w:val="21"/>
          <w:highlight w:val="none"/>
        </w:rPr>
      </w:pPr>
    </w:p>
    <w:p w14:paraId="3D526AB1">
      <w:pPr>
        <w:jc w:val="center"/>
        <w:rPr>
          <w:rFonts w:hint="eastAsia" w:eastAsia="宋体"/>
          <w:color w:val="auto"/>
          <w:highlight w:val="none"/>
          <w:lang w:eastAsia="zh-CN"/>
        </w:rPr>
      </w:pPr>
      <w:r>
        <w:rPr>
          <w:rFonts w:hint="eastAsia" w:ascii="宋体" w:hAnsi="宋体" w:eastAsia="宋体" w:cs="宋体"/>
          <w:b/>
          <w:color w:val="auto"/>
          <w:sz w:val="44"/>
          <w:szCs w:val="44"/>
          <w:highlight w:val="none"/>
          <w:lang w:eastAsia="zh-CN"/>
        </w:rPr>
        <w:t>海湾小区N地块项目（领航科技大楼）专用电房高低压配电工程施工</w:t>
      </w:r>
    </w:p>
    <w:p w14:paraId="4E239269">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14:paraId="171A6C1D">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14:paraId="71912089">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15E5FD18">
      <w:pPr>
        <w:jc w:val="center"/>
        <w:rPr>
          <w:rFonts w:hint="eastAsia" w:ascii="宋体" w:hAnsi="宋体" w:eastAsia="宋体" w:cs="宋体"/>
          <w:color w:val="auto"/>
          <w:sz w:val="32"/>
          <w:szCs w:val="32"/>
          <w:highlight w:val="none"/>
          <w:lang w:val="en-US" w:eastAsia="zh-CN"/>
        </w:rPr>
      </w:pPr>
    </w:p>
    <w:p w14:paraId="353879DB">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386C306C">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5C310DC2">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2E941F63">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0F34CFDE">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6B55D304">
      <w:pPr>
        <w:ind w:firstLine="0" w:firstLineChars="0"/>
        <w:jc w:val="center"/>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广州南沙经济技术开发区港宏房地产开发有限公司</w:t>
      </w:r>
    </w:p>
    <w:p w14:paraId="0D71B967">
      <w:pPr>
        <w:spacing w:line="520" w:lineRule="exact"/>
        <w:ind w:right="-101" w:rightChars="-48" w:firstLine="0" w:firstLineChars="0"/>
        <w:jc w:val="center"/>
        <w:rPr>
          <w:rFonts w:ascii="宋体" w:hAnsi="宋体" w:eastAsia="宋体" w:cs="宋体"/>
          <w:color w:val="auto"/>
          <w:spacing w:val="28"/>
          <w:position w:val="8"/>
          <w:sz w:val="28"/>
          <w:szCs w:val="28"/>
          <w:highlight w:val="none"/>
        </w:rPr>
      </w:pPr>
      <w:bookmarkStart w:id="1" w:name="OLE_LINK4"/>
      <w:bookmarkEnd w:id="1"/>
      <w:r>
        <w:rPr>
          <w:rFonts w:hint="eastAsia" w:ascii="宋体" w:hAnsi="宋体" w:eastAsia="宋体" w:cs="宋体"/>
          <w:b/>
          <w:color w:val="auto"/>
          <w:sz w:val="32"/>
          <w:szCs w:val="32"/>
          <w:highlight w:val="none"/>
        </w:rPr>
        <w:t>日  期：</w:t>
      </w:r>
      <w:r>
        <w:rPr>
          <w:rFonts w:hint="eastAsia" w:ascii="宋体" w:hAnsi="宋体" w:eastAsia="宋体" w:cs="宋体"/>
          <w:b/>
          <w:color w:val="auto"/>
          <w:sz w:val="32"/>
          <w:szCs w:val="32"/>
          <w:highlight w:val="none"/>
          <w:lang w:eastAsia="zh-CN"/>
        </w:rPr>
        <w:t>2024</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9</w:t>
      </w:r>
      <w:r>
        <w:rPr>
          <w:rFonts w:hint="eastAsia" w:ascii="宋体" w:hAnsi="宋体" w:eastAsia="宋体" w:cs="宋体"/>
          <w:b/>
          <w:color w:val="auto"/>
          <w:sz w:val="32"/>
          <w:szCs w:val="32"/>
          <w:highlight w:val="none"/>
        </w:rPr>
        <w:t>月</w:t>
      </w:r>
    </w:p>
    <w:p w14:paraId="4E210640">
      <w:pPr>
        <w:jc w:val="cente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14:paraId="238E5A5E">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14:paraId="1567D868">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14:paraId="6B48C69C">
          <w:pPr>
            <w:pStyle w:val="15"/>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14:paraId="075BCC19">
          <w:pPr>
            <w:pStyle w:val="15"/>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3D617955">
          <w:pPr>
            <w:pStyle w:val="15"/>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18627ABB">
          <w:pPr>
            <w:pStyle w:val="15"/>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2A7AE500">
          <w:pPr>
            <w:pStyle w:val="15"/>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2D33CF18">
          <w:pPr>
            <w:pStyle w:val="15"/>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38</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2B286FF3">
          <w:pPr>
            <w:rPr>
              <w:color w:val="auto"/>
              <w:highlight w:val="none"/>
            </w:rPr>
          </w:pPr>
          <w:r>
            <w:rPr>
              <w:rFonts w:hint="eastAsia" w:asciiTheme="minorEastAsia" w:hAnsiTheme="minorEastAsia" w:cstheme="minorEastAsia"/>
              <w:color w:val="auto"/>
              <w:sz w:val="24"/>
              <w:highlight w:val="none"/>
            </w:rPr>
            <w:fldChar w:fldCharType="end"/>
          </w:r>
        </w:p>
      </w:sdtContent>
    </w:sdt>
    <w:p w14:paraId="498F7F24">
      <w:pPr>
        <w:pStyle w:val="16"/>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14:paraId="0D51939C">
      <w:pPr>
        <w:pStyle w:val="2"/>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3302"/>
      <w:r>
        <w:rPr>
          <w:rFonts w:hint="eastAsia" w:ascii="黑体" w:hAnsi="宋体" w:cs="黑体"/>
          <w:b/>
          <w:color w:val="auto"/>
          <w:kern w:val="44"/>
          <w:sz w:val="44"/>
          <w:szCs w:val="44"/>
          <w:highlight w:val="none"/>
        </w:rPr>
        <w:t>第1章 投标须知及前附表</w:t>
      </w:r>
      <w:bookmarkEnd w:id="2"/>
      <w:bookmarkEnd w:id="3"/>
    </w:p>
    <w:p w14:paraId="4F301F1B">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9"/>
        <w:tblW w:w="9709" w:type="dxa"/>
        <w:jc w:val="center"/>
        <w:tblLayout w:type="fixed"/>
        <w:tblCellMar>
          <w:top w:w="0" w:type="dxa"/>
          <w:left w:w="108" w:type="dxa"/>
          <w:bottom w:w="0" w:type="dxa"/>
          <w:right w:w="108" w:type="dxa"/>
        </w:tblCellMar>
      </w:tblPr>
      <w:tblGrid>
        <w:gridCol w:w="720"/>
        <w:gridCol w:w="990"/>
        <w:gridCol w:w="1706"/>
        <w:gridCol w:w="6293"/>
      </w:tblGrid>
      <w:tr w14:paraId="19C0BBE0">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14:paraId="3F947A49">
            <w:pPr>
              <w:pStyle w:val="16"/>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14:paraId="54582FBE">
            <w:pPr>
              <w:pStyle w:val="16"/>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14:paraId="3D52F468">
            <w:pPr>
              <w:pStyle w:val="16"/>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14:paraId="793F4362">
            <w:pPr>
              <w:pStyle w:val="16"/>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14:paraId="1D82BDA7">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6171C2FF">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1C89177">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C2F90BF">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B372A1B">
            <w:pPr>
              <w:pStyle w:val="16"/>
              <w:widowControl/>
              <w:spacing w:after="0" w:line="360" w:lineRule="auto"/>
              <w:ind w:firstLine="0"/>
              <w:rPr>
                <w:rFonts w:hint="eastAsia" w:ascii="宋体" w:hAnsi="宋体" w:eastAsia="宋体" w:cs="宋体"/>
                <w:color w:val="auto"/>
                <w:highlight w:val="none"/>
                <w:lang w:eastAsia="zh-CN"/>
              </w:rPr>
            </w:pPr>
            <w:r>
              <w:rPr>
                <w:rFonts w:hint="eastAsia" w:ascii="宋体" w:hAnsi="宋体" w:cs="宋体"/>
                <w:color w:val="auto"/>
                <w:highlight w:val="none"/>
                <w:lang w:eastAsia="zh-CN"/>
              </w:rPr>
              <w:t>海湾小区N地块项目（领航科技大楼）专用电房高低压配电工程施工</w:t>
            </w:r>
          </w:p>
        </w:tc>
      </w:tr>
      <w:tr w14:paraId="6F52454A">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14:paraId="30614715">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p w14:paraId="219E23AE">
            <w:pPr>
              <w:pStyle w:val="16"/>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19CD84E">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31F9533">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75DF20C">
            <w:pPr>
              <w:spacing w:line="360" w:lineRule="auto"/>
              <w:rPr>
                <w:rFonts w:hint="eastAsia" w:ascii="宋体" w:hAnsi="宋体" w:eastAsia="宋体" w:cs="宋体"/>
                <w:color w:val="auto"/>
                <w:szCs w:val="21"/>
                <w:highlight w:val="none"/>
                <w:lang w:eastAsia="zh-CN"/>
              </w:rPr>
            </w:pPr>
            <w:r>
              <w:rPr>
                <w:rFonts w:hint="eastAsia" w:ascii="宋体" w:hAnsi="宋体" w:eastAsia="宋体" w:cs="宋体"/>
                <w:bCs/>
                <w:color w:val="auto"/>
                <w:kern w:val="2"/>
                <w:position w:val="0"/>
                <w:sz w:val="21"/>
                <w:szCs w:val="21"/>
                <w:highlight w:val="none"/>
                <w:lang w:val="en-US" w:eastAsia="zh-CN"/>
              </w:rPr>
              <w:t>广州市南沙区进港大道与港前北交界处</w:t>
            </w:r>
          </w:p>
        </w:tc>
      </w:tr>
      <w:tr w14:paraId="3989058A">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14:paraId="631D1B34">
            <w:pPr>
              <w:pStyle w:val="16"/>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3ABD546">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12E648F">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6DC9E9C">
            <w:pPr>
              <w:pStyle w:val="16"/>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bCs/>
                <w:color w:val="auto"/>
                <w:kern w:val="2"/>
                <w:position w:val="0"/>
                <w:sz w:val="21"/>
                <w:szCs w:val="21"/>
                <w:highlight w:val="none"/>
                <w:lang w:val="en-US" w:eastAsia="zh-CN"/>
              </w:rPr>
              <w:t>本项目设置高压室1间、专变房3间、低压室2间；供电电源及电压等级采用10KV回路电源供电，用电性质属商业用电</w:t>
            </w:r>
            <w:r>
              <w:rPr>
                <w:rFonts w:hint="eastAsia" w:ascii="宋体" w:hAnsi="宋体" w:cs="宋体"/>
                <w:bCs/>
                <w:color w:val="auto"/>
                <w:kern w:val="2"/>
                <w:position w:val="0"/>
                <w:sz w:val="21"/>
                <w:szCs w:val="21"/>
                <w:highlight w:val="none"/>
                <w:lang w:val="en-US" w:eastAsia="zh-CN"/>
              </w:rPr>
              <w:t>，</w:t>
            </w:r>
            <w:r>
              <w:rPr>
                <w:rFonts w:hint="eastAsia" w:ascii="宋体" w:hAnsi="宋体" w:eastAsia="宋体" w:cs="宋体"/>
                <w:bCs/>
                <w:color w:val="auto"/>
                <w:kern w:val="2"/>
                <w:position w:val="0"/>
                <w:sz w:val="21"/>
                <w:szCs w:val="21"/>
                <w:highlight w:val="none"/>
                <w:lang w:val="en-US" w:eastAsia="zh-CN"/>
              </w:rPr>
              <w:t>SCB14-1600kVA干式电力变压器(带IP20外壳)</w:t>
            </w:r>
            <w:r>
              <w:rPr>
                <w:rFonts w:hint="eastAsia" w:ascii="宋体" w:hAnsi="宋体" w:cs="宋体"/>
                <w:bCs/>
                <w:color w:val="auto"/>
                <w:kern w:val="2"/>
                <w:position w:val="0"/>
                <w:sz w:val="21"/>
                <w:szCs w:val="21"/>
                <w:highlight w:val="none"/>
                <w:lang w:val="en-US" w:eastAsia="zh-CN"/>
              </w:rPr>
              <w:t>2</w:t>
            </w:r>
            <w:r>
              <w:rPr>
                <w:rFonts w:hint="eastAsia" w:ascii="宋体" w:hAnsi="宋体" w:eastAsia="宋体" w:cs="宋体"/>
                <w:bCs/>
                <w:color w:val="auto"/>
                <w:kern w:val="2"/>
                <w:position w:val="0"/>
                <w:sz w:val="21"/>
                <w:szCs w:val="21"/>
                <w:highlight w:val="none"/>
                <w:lang w:val="en-US" w:eastAsia="zh-CN"/>
              </w:rPr>
              <w:t>台,SCB14-630kVA干式电力变压器(带IP20外壳)1台</w:t>
            </w:r>
            <w:r>
              <w:rPr>
                <w:rFonts w:hint="eastAsia" w:ascii="宋体" w:hAnsi="宋体" w:eastAsia="宋体" w:cs="宋体"/>
                <w:bCs/>
                <w:color w:val="auto"/>
                <w:kern w:val="2"/>
                <w:sz w:val="21"/>
                <w:szCs w:val="21"/>
                <w:highlight w:val="none"/>
                <w:u w:val="none"/>
                <w:lang w:val="en-US" w:eastAsia="zh-CN"/>
              </w:rPr>
              <w:t>。</w:t>
            </w:r>
          </w:p>
        </w:tc>
      </w:tr>
      <w:tr w14:paraId="316CD6AA">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63A1979">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8A50581">
            <w:pPr>
              <w:pStyle w:val="16"/>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BD3B29E">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6C02F81">
            <w:pPr>
              <w:pStyle w:val="16"/>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综合单价包干，工程量按实结算，</w:t>
            </w:r>
            <w:r>
              <w:rPr>
                <w:rFonts w:hint="eastAsia" w:ascii="宋体" w:hAnsi="宋体" w:eastAsia="宋体" w:cs="宋体"/>
                <w:b w:val="0"/>
                <w:bCs/>
                <w:color w:val="auto"/>
                <w:sz w:val="21"/>
                <w:szCs w:val="21"/>
                <w:highlight w:val="none"/>
                <w:lang w:eastAsia="zh-CN"/>
              </w:rPr>
              <w:t>绿色施工安全防护措施费</w:t>
            </w:r>
            <w:r>
              <w:rPr>
                <w:rFonts w:hint="eastAsia" w:ascii="宋体" w:hAnsi="宋体" w:eastAsia="宋体" w:cs="宋体"/>
                <w:color w:val="auto"/>
                <w:highlight w:val="none"/>
              </w:rPr>
              <w:t>固定总价包干。</w:t>
            </w:r>
          </w:p>
        </w:tc>
      </w:tr>
      <w:tr w14:paraId="26BACA80">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00302D8">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10FAFE6">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08E5D3F">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40F7EC5">
            <w:pPr>
              <w:pStyle w:val="16"/>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工程投资</w:t>
            </w:r>
            <w:r>
              <w:rPr>
                <w:rFonts w:hint="eastAsia" w:ascii="宋体" w:hAnsi="宋体" w:eastAsia="宋体" w:cs="宋体"/>
                <w:color w:val="auto"/>
                <w:highlight w:val="none"/>
              </w:rPr>
              <w:t>约</w:t>
            </w:r>
            <w:r>
              <w:rPr>
                <w:rFonts w:hint="eastAsia" w:ascii="宋体" w:hAnsi="宋体" w:eastAsia="宋体" w:cs="宋体"/>
                <w:color w:val="auto"/>
                <w:highlight w:val="none"/>
                <w:lang w:val="en-US" w:eastAsia="zh-CN"/>
              </w:rPr>
              <w:t>3</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万元。</w:t>
            </w:r>
          </w:p>
        </w:tc>
      </w:tr>
      <w:tr w14:paraId="2D523262">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ECF3AC4">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BC36EF5">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9FFDD5B">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AFBE56A">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工程质量符合国家验收规范，达到合格标准。</w:t>
            </w:r>
          </w:p>
        </w:tc>
      </w:tr>
      <w:tr w14:paraId="6427805C">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B1491E3">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7223C92">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6570852">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49A540F">
            <w:pPr>
              <w:pStyle w:val="25"/>
              <w:widowControl/>
              <w:spacing w:line="360" w:lineRule="auto"/>
              <w:ind w:firstLine="0" w:firstLineChars="0"/>
              <w:rPr>
                <w:rFonts w:hint="eastAsia" w:ascii="宋体" w:hAnsi="宋体" w:eastAsia="宋体" w:cs="宋体"/>
                <w:color w:val="auto"/>
                <w:szCs w:val="21"/>
                <w:highlight w:val="none"/>
              </w:rPr>
            </w:pPr>
            <w:r>
              <w:rPr>
                <w:rFonts w:hint="eastAsia" w:ascii="宋体" w:hAnsi="宋体" w:eastAsia="宋体" w:cs="宋体"/>
                <w:b w:val="0"/>
                <w:bCs/>
                <w:color w:val="auto"/>
                <w:sz w:val="21"/>
                <w:szCs w:val="21"/>
                <w:highlight w:val="none"/>
                <w:lang w:eastAsia="zh-CN"/>
              </w:rPr>
              <w:t>项目建设内容包括但不限于：高压配电、低压配电、防雷工程、智能设备工程、电房土建基础、电缆土建等，详见工程技术要求（另附），最终以实际工程量清单和图纸为准</w:t>
            </w:r>
            <w:r>
              <w:rPr>
                <w:rFonts w:hint="eastAsia" w:ascii="宋体" w:hAnsi="宋体" w:eastAsia="宋体" w:cs="宋体"/>
                <w:b w:val="0"/>
                <w:bCs/>
                <w:color w:val="auto"/>
                <w:sz w:val="21"/>
                <w:szCs w:val="21"/>
                <w:highlight w:val="none"/>
                <w:lang w:val="en-US" w:eastAsia="zh-CN"/>
              </w:rPr>
              <w:t>。</w:t>
            </w:r>
          </w:p>
        </w:tc>
      </w:tr>
      <w:tr w14:paraId="250FCF63">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842D66F">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90B7F41">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4F835ED">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A3B0756">
            <w:pPr>
              <w:widowControl/>
              <w:spacing w:line="360" w:lineRule="auto"/>
              <w:ind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b w:val="0"/>
                <w:bCs/>
                <w:color w:val="auto"/>
                <w:sz w:val="21"/>
                <w:szCs w:val="21"/>
                <w:highlight w:val="none"/>
                <w:lang w:val="en-US" w:eastAsia="zh-CN"/>
              </w:rPr>
              <w:t>90日历天内完工并通电，开工时间以开工通知为准。</w:t>
            </w:r>
          </w:p>
        </w:tc>
      </w:tr>
      <w:tr w14:paraId="1D4317A2">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CE62E2F">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49BE404">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FB0BB7F">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B2EBA65">
            <w:pPr>
              <w:pStyle w:val="16"/>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自筹资金</w:t>
            </w:r>
          </w:p>
        </w:tc>
      </w:tr>
      <w:tr w14:paraId="050ED3C0">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1A29BD2">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8F5A81C">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F9D546C">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9DC6692">
            <w:pPr>
              <w:pStyle w:val="16"/>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b w:val="0"/>
                <w:bCs/>
                <w:color w:val="auto"/>
                <w:sz w:val="21"/>
                <w:szCs w:val="21"/>
                <w:highlight w:val="none"/>
              </w:rPr>
              <w:t>投标人具有承接本工程所需的</w:t>
            </w:r>
            <w:r>
              <w:rPr>
                <w:rFonts w:hint="eastAsia" w:ascii="宋体" w:hAnsi="宋体" w:cs="宋体"/>
                <w:b w:val="0"/>
                <w:bCs/>
                <w:color w:val="auto"/>
                <w:sz w:val="21"/>
                <w:szCs w:val="21"/>
                <w:highlight w:val="none"/>
                <w:lang w:eastAsia="zh-CN"/>
              </w:rPr>
              <w:t>承装（修、试）电力设施许可证四级或以上资质</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Cs/>
                <w:color w:val="auto"/>
                <w:sz w:val="21"/>
                <w:szCs w:val="21"/>
                <w:highlight w:val="none"/>
                <w:u w:val="none"/>
              </w:rPr>
              <w:t>并</w:t>
            </w:r>
            <w:r>
              <w:rPr>
                <w:rFonts w:hint="eastAsia" w:ascii="宋体" w:hAnsi="宋体" w:eastAsia="宋体" w:cs="宋体"/>
                <w:bCs/>
                <w:color w:val="auto"/>
                <w:sz w:val="21"/>
                <w:szCs w:val="21"/>
                <w:highlight w:val="none"/>
                <w:u w:val="none"/>
                <w:lang w:val="en-US" w:eastAsia="zh-CN"/>
              </w:rPr>
              <w:t>持</w:t>
            </w:r>
            <w:r>
              <w:rPr>
                <w:rFonts w:hint="eastAsia" w:ascii="宋体" w:hAnsi="宋体" w:eastAsia="宋体" w:cs="宋体"/>
                <w:bCs/>
                <w:color w:val="auto"/>
                <w:sz w:val="21"/>
                <w:szCs w:val="21"/>
                <w:highlight w:val="none"/>
                <w:u w:val="none"/>
              </w:rPr>
              <w:t>有建设行政主管部门颁发的安全生产许可证</w:t>
            </w:r>
          </w:p>
        </w:tc>
      </w:tr>
      <w:tr w14:paraId="52B960AA">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9E050D0">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4395446">
            <w:pPr>
              <w:pStyle w:val="16"/>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2A859D4">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483BFA0">
            <w:pPr>
              <w:pStyle w:val="11"/>
              <w:spacing w:line="360" w:lineRule="auto"/>
              <w:rPr>
                <w:rFonts w:hint="eastAsia" w:ascii="宋体" w:hAnsi="宋体" w:eastAsia="宋体" w:cs="宋体"/>
                <w:color w:val="auto"/>
                <w:highlight w:val="none"/>
              </w:rPr>
            </w:pPr>
            <w:r>
              <w:rPr>
                <w:rFonts w:ascii="宋体" w:hAnsi="宋体" w:eastAsia="宋体" w:cs="宋体"/>
                <w:color w:val="auto"/>
                <w:highlight w:val="none"/>
              </w:rPr>
              <w:t>不接受联合体投标。</w:t>
            </w:r>
          </w:p>
        </w:tc>
      </w:tr>
      <w:tr w14:paraId="5603BBB8">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D4BDD70">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C36D937">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B9E7A3F">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14:paraId="7F08A314">
            <w:pPr>
              <w:pStyle w:val="16"/>
              <w:widowControl/>
              <w:spacing w:after="0" w:line="360" w:lineRule="auto"/>
              <w:ind w:firstLine="0"/>
              <w:jc w:val="center"/>
              <w:rPr>
                <w:rFonts w:hint="eastAsia" w:ascii="宋体" w:hAnsi="宋体" w:eastAsia="宋体" w:cs="宋体"/>
                <w:color w:val="auto"/>
                <w:highlight w:val="none"/>
              </w:rPr>
            </w:pP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AE8C41B">
            <w:pPr>
              <w:keepNext w:val="0"/>
              <w:keepLines w:val="0"/>
              <w:pageBreakBefore w:val="0"/>
              <w:widowControl/>
              <w:numPr>
                <w:ilvl w:val="-1"/>
                <w:numId w:val="0"/>
              </w:numPr>
              <w:kinsoku/>
              <w:wordWrap/>
              <w:overflowPunct/>
              <w:bidi w:val="0"/>
              <w:spacing w:line="360" w:lineRule="auto"/>
              <w:ind w:left="0" w:right="0" w:firstLine="0" w:firstLineChars="0"/>
              <w:textAlignment w:val="auto"/>
              <w:rPr>
                <w:rFonts w:hint="eastAsia" w:ascii="宋体" w:hAnsi="宋体" w:eastAsia="宋体" w:cs="宋体"/>
                <w:b w:val="0"/>
                <w:bCs/>
                <w:color w:val="auto"/>
                <w:sz w:val="21"/>
                <w:szCs w:val="21"/>
                <w:highlight w:val="none"/>
                <w:u w:val="none"/>
              </w:rPr>
            </w:pPr>
            <w:r>
              <w:rPr>
                <w:rFonts w:hint="eastAsia" w:ascii="宋体" w:hAnsi="宋体" w:eastAsia="宋体" w:cs="宋体"/>
                <w:b w:val="0"/>
                <w:bCs/>
                <w:color w:val="auto"/>
                <w:sz w:val="21"/>
                <w:szCs w:val="21"/>
                <w:highlight w:val="none"/>
                <w:u w:val="none"/>
                <w:lang w:val="en-US" w:eastAsia="zh-CN"/>
              </w:rPr>
              <w:t>1、</w:t>
            </w:r>
            <w:r>
              <w:rPr>
                <w:rFonts w:hint="eastAsia" w:ascii="宋体" w:hAnsi="宋体" w:eastAsia="宋体" w:cs="宋体"/>
                <w:b w:val="0"/>
                <w:bCs/>
                <w:color w:val="auto"/>
                <w:sz w:val="21"/>
                <w:szCs w:val="21"/>
                <w:highlight w:val="none"/>
                <w:u w:val="none"/>
              </w:rPr>
              <w:t>投标人拟担任本工程项目负责人的人员为：</w:t>
            </w:r>
            <w:r>
              <w:rPr>
                <w:rFonts w:hint="eastAsia" w:ascii="宋体" w:hAnsi="宋体" w:eastAsia="宋体" w:cs="宋体"/>
                <w:bCs/>
                <w:color w:val="auto"/>
                <w:sz w:val="21"/>
                <w:szCs w:val="21"/>
                <w:highlight w:val="none"/>
                <w:u w:val="none"/>
              </w:rPr>
              <w:t>机电工程专业二级（或以上）注册建造师</w:t>
            </w:r>
            <w:r>
              <w:rPr>
                <w:rFonts w:hint="eastAsia" w:ascii="宋体" w:hAnsi="宋体" w:eastAsia="宋体" w:cs="宋体"/>
                <w:b w:val="0"/>
                <w:bCs/>
                <w:color w:val="auto"/>
                <w:sz w:val="21"/>
                <w:szCs w:val="21"/>
                <w:highlight w:val="none"/>
                <w:u w:val="none"/>
              </w:rPr>
              <w:t>。</w:t>
            </w:r>
          </w:p>
          <w:p w14:paraId="1811147D">
            <w:pPr>
              <w:widowControl/>
              <w:spacing w:line="360" w:lineRule="auto"/>
              <w:ind w:firstLine="0" w:firstLineChars="0"/>
              <w:rPr>
                <w:rFonts w:hint="eastAsia" w:ascii="宋体" w:hAnsi="宋体" w:eastAsia="宋体" w:cs="宋体"/>
                <w:color w:val="auto"/>
                <w:szCs w:val="21"/>
                <w:highlight w:val="none"/>
              </w:rPr>
            </w:pP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专职安全员须具有安全生产考核合格证（C证）或能够提供广东省建筑施工企业管理人员安全生产考核信息系统安全生产管理人员证书信息的网页截图</w:t>
            </w:r>
            <w:r>
              <w:rPr>
                <w:rFonts w:hint="eastAsia" w:ascii="宋体" w:hAnsi="宋体" w:eastAsia="宋体" w:cs="宋体"/>
                <w:b w:val="0"/>
                <w:bCs/>
                <w:color w:val="auto"/>
                <w:sz w:val="21"/>
                <w:szCs w:val="21"/>
                <w:highlight w:val="none"/>
                <w:lang w:eastAsia="zh-CN"/>
              </w:rPr>
              <w:t>。</w:t>
            </w:r>
          </w:p>
        </w:tc>
      </w:tr>
      <w:tr w14:paraId="4FD151E8">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73D6CA4">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53B0213">
            <w:pPr>
              <w:pStyle w:val="16"/>
              <w:widowControl/>
              <w:spacing w:beforeAutospacing="0"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F2DB346">
            <w:pPr>
              <w:pStyle w:val="16"/>
              <w:widowControl/>
              <w:spacing w:beforeAutospacing="0" w:after="0" w:line="360" w:lineRule="auto"/>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C43BBF5">
            <w:pPr>
              <w:pStyle w:val="16"/>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资格后审</w:t>
            </w:r>
          </w:p>
        </w:tc>
      </w:tr>
      <w:tr w14:paraId="7BD13E23">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26B585A">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173483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A63918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B7DEE5C">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14:paraId="5CC5BEA5">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87CF866">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C52FCE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470CCE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D9950B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r>
      <w:tr w14:paraId="6D664C5B">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DFA0138">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59D0003">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868DA13">
            <w:pPr>
              <w:pStyle w:val="16"/>
              <w:widowControl/>
              <w:spacing w:before="100" w:beforeAutospacing="0" w:after="0" w:line="360" w:lineRule="auto"/>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招标控制价及报价方式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C68CC92">
            <w:pPr>
              <w:pStyle w:val="11"/>
              <w:keepNext w:val="0"/>
              <w:keepLines w:val="0"/>
              <w:pageBreakBefore w:val="0"/>
              <w:widowControl/>
              <w:kinsoku/>
              <w:wordWrap/>
              <w:overflowPunct/>
              <w:bidi w:val="0"/>
              <w:spacing w:line="360" w:lineRule="auto"/>
              <w:ind w:left="0" w:right="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招标控制价为</w:t>
            </w:r>
            <w:r>
              <w:rPr>
                <w:rFonts w:hint="eastAsia" w:ascii="宋体" w:hAnsi="宋体" w:eastAsia="宋体" w:cs="宋体"/>
                <w:b w:val="0"/>
                <w:bCs/>
                <w:color w:val="auto"/>
                <w:sz w:val="21"/>
                <w:szCs w:val="21"/>
                <w:highlight w:val="none"/>
                <w:lang w:val="en-US" w:eastAsia="zh-CN"/>
              </w:rPr>
              <w:t>¥3356228.81</w:t>
            </w:r>
            <w:r>
              <w:rPr>
                <w:rFonts w:hint="eastAsia" w:ascii="宋体" w:hAnsi="宋体" w:eastAsia="宋体" w:cs="宋体"/>
                <w:b w:val="0"/>
                <w:bCs/>
                <w:color w:val="auto"/>
                <w:sz w:val="21"/>
                <w:szCs w:val="21"/>
                <w:highlight w:val="none"/>
              </w:rPr>
              <w:t>元</w:t>
            </w:r>
            <w:r>
              <w:rPr>
                <w:rFonts w:hint="eastAsia" w:ascii="宋体" w:hAnsi="宋体" w:eastAsia="宋体" w:cs="宋体"/>
                <w:b w:val="0"/>
                <w:bCs/>
                <w:color w:val="auto"/>
                <w:sz w:val="21"/>
                <w:szCs w:val="21"/>
                <w:highlight w:val="none"/>
                <w:lang w:eastAsia="zh-CN"/>
              </w:rPr>
              <w:t>，其中，绿色施工安全防护措施费</w:t>
            </w:r>
            <w:r>
              <w:rPr>
                <w:rFonts w:hint="eastAsia" w:ascii="宋体" w:hAnsi="宋体" w:eastAsia="宋体" w:cs="宋体"/>
                <w:b w:val="0"/>
                <w:bCs/>
                <w:color w:val="auto"/>
                <w:sz w:val="21"/>
                <w:szCs w:val="21"/>
                <w:highlight w:val="none"/>
                <w:lang w:val="en-US" w:eastAsia="zh-CN"/>
              </w:rPr>
              <w:t>为¥64939.24</w:t>
            </w:r>
            <w:r>
              <w:rPr>
                <w:rFonts w:hint="eastAsia" w:ascii="宋体" w:hAnsi="宋体" w:eastAsia="宋体" w:cs="宋体"/>
                <w:b w:val="0"/>
                <w:bCs/>
                <w:color w:val="auto"/>
                <w:sz w:val="21"/>
                <w:szCs w:val="21"/>
                <w:highlight w:val="none"/>
              </w:rPr>
              <w:t>元</w:t>
            </w:r>
            <w:r>
              <w:rPr>
                <w:rFonts w:hint="eastAsia" w:ascii="宋体" w:hAnsi="宋体" w:eastAsia="宋体" w:cs="宋体"/>
                <w:b w:val="0"/>
                <w:bCs/>
                <w:color w:val="auto"/>
                <w:sz w:val="21"/>
                <w:szCs w:val="21"/>
                <w:highlight w:val="none"/>
                <w:lang w:eastAsia="zh-CN"/>
              </w:rPr>
              <w:t>（固定值）。</w:t>
            </w:r>
          </w:p>
          <w:p w14:paraId="09789576">
            <w:pPr>
              <w:pStyle w:val="11"/>
              <w:widowControl/>
              <w:spacing w:line="360" w:lineRule="auto"/>
              <w:ind w:firstLine="420" w:firstLineChars="200"/>
              <w:rPr>
                <w:rFonts w:hint="eastAsia" w:ascii="宋体" w:hAnsi="宋体" w:eastAsia="宋体" w:cs="宋体"/>
                <w:color w:val="auto"/>
                <w:highlight w:val="none"/>
              </w:rPr>
            </w:pPr>
            <w:r>
              <w:rPr>
                <w:rFonts w:ascii="宋体" w:hAnsi="宋体" w:eastAsia="宋体" w:cs="宋体"/>
                <w:color w:val="auto"/>
                <w:highlight w:val="none"/>
              </w:rPr>
              <w:t>投标单位自行报价，投标报价不能超过招标控制价，否则按废标处理）。（小数点后保留二位小数，第三位小数四舍五入）</w:t>
            </w:r>
          </w:p>
        </w:tc>
      </w:tr>
      <w:tr w14:paraId="4D385F22">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E677AAA">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33BF94C">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452C1AD">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D0AC8EA">
            <w:pPr>
              <w:pStyle w:val="16"/>
              <w:widowControl/>
              <w:spacing w:after="0" w:line="360" w:lineRule="auto"/>
              <w:ind w:firstLine="0"/>
              <w:rPr>
                <w:rFonts w:hint="eastAsia" w:ascii="宋体" w:hAnsi="宋体" w:eastAsia="宋体" w:cs="宋体"/>
                <w:color w:val="auto"/>
                <w:highlight w:val="none"/>
              </w:rPr>
            </w:pPr>
            <w:r>
              <w:rPr>
                <w:rFonts w:hint="eastAsia" w:ascii="宋体" w:hAnsi="宋体" w:cs="宋体"/>
                <w:color w:val="auto"/>
                <w:highlight w:val="none"/>
                <w:lang w:eastAsia="zh-CN"/>
              </w:rPr>
              <w:t>75日历天</w:t>
            </w:r>
            <w:r>
              <w:rPr>
                <w:rFonts w:hint="eastAsia" w:ascii="宋体" w:hAnsi="宋体" w:eastAsia="宋体" w:cs="宋体"/>
                <w:color w:val="auto"/>
                <w:highlight w:val="none"/>
              </w:rPr>
              <w:t>（从投标截止之日算起）。</w:t>
            </w:r>
          </w:p>
        </w:tc>
      </w:tr>
      <w:tr w14:paraId="2E616740">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A0DF4F1">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8EFE717">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86F0B36">
            <w:pPr>
              <w:pStyle w:val="16"/>
              <w:widowControl/>
              <w:spacing w:after="0" w:line="360" w:lineRule="auto"/>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D08F219">
            <w:pPr>
              <w:numPr>
                <w:ilvl w:val="-1"/>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1、金额：人民币壹万元。</w:t>
            </w:r>
          </w:p>
          <w:p w14:paraId="48607BDC">
            <w:pPr>
              <w:numPr>
                <w:ilvl w:val="-1"/>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2、缴纳方式：银行转账。</w:t>
            </w:r>
          </w:p>
          <w:p w14:paraId="57F34DC6">
            <w:pPr>
              <w:pStyle w:val="3"/>
              <w:numPr>
                <w:ilvl w:val="0"/>
                <w:numId w:val="0"/>
              </w:numPr>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账户名称：</w:t>
            </w:r>
            <w:r>
              <w:rPr>
                <w:rFonts w:hint="eastAsia" w:ascii="宋体" w:hAnsi="宋体" w:eastAsia="宋体" w:cs="宋体"/>
                <w:color w:val="auto"/>
                <w:sz w:val="21"/>
                <w:szCs w:val="21"/>
                <w:highlight w:val="none"/>
              </w:rPr>
              <w:t>广州</w:t>
            </w:r>
            <w:r>
              <w:rPr>
                <w:rFonts w:hint="eastAsia" w:ascii="宋体" w:hAnsi="宋体" w:eastAsia="宋体" w:cs="宋体"/>
                <w:color w:val="auto"/>
                <w:sz w:val="21"/>
                <w:szCs w:val="21"/>
                <w:highlight w:val="none"/>
                <w:lang w:eastAsia="zh-CN"/>
              </w:rPr>
              <w:t>南沙经济技术开发区港宏房地产开发有限公司</w:t>
            </w:r>
          </w:p>
          <w:p w14:paraId="0AB0DC00">
            <w:pPr>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r>
              <w:rPr>
                <w:rFonts w:hint="eastAsia" w:ascii="宋体" w:hAnsi="宋体" w:eastAsia="宋体" w:cs="宋体"/>
                <w:color w:val="auto"/>
                <w:sz w:val="21"/>
                <w:szCs w:val="21"/>
                <w:highlight w:val="none"/>
                <w:lang w:eastAsia="zh-CN"/>
              </w:rPr>
              <w:t>广州农村商业银行南沙金洲支行</w:t>
            </w:r>
            <w:r>
              <w:rPr>
                <w:rFonts w:hint="eastAsia" w:ascii="宋体" w:hAnsi="宋体" w:eastAsia="宋体" w:cs="宋体"/>
                <w:color w:val="auto"/>
                <w:szCs w:val="21"/>
                <w:highlight w:val="none"/>
              </w:rPr>
              <w:t xml:space="preserve"> </w:t>
            </w:r>
          </w:p>
          <w:p w14:paraId="16E71D86">
            <w:pPr>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w:t>
            </w:r>
            <w:r>
              <w:rPr>
                <w:rFonts w:hint="eastAsia" w:ascii="宋体" w:hAnsi="宋体" w:eastAsia="宋体" w:cs="宋体"/>
                <w:color w:val="auto"/>
                <w:sz w:val="21"/>
                <w:szCs w:val="21"/>
                <w:highlight w:val="none"/>
                <w:lang w:val="en-US" w:eastAsia="zh-CN"/>
              </w:rPr>
              <w:t>369609001000004724</w:t>
            </w:r>
          </w:p>
          <w:p w14:paraId="6D1385B3">
            <w:pPr>
              <w:numPr>
                <w:ilvl w:val="0"/>
                <w:numId w:val="0"/>
              </w:numPr>
              <w:adjustRightInd w:val="0"/>
              <w:snapToGrid w:val="0"/>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缴纳时间：投标单位须在</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11</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三</w:t>
            </w:r>
            <w:r>
              <w:rPr>
                <w:rFonts w:hint="eastAsia" w:ascii="宋体" w:hAnsi="宋体" w:eastAsia="宋体" w:cs="宋体"/>
                <w:color w:val="auto"/>
                <w:szCs w:val="21"/>
                <w:highlight w:val="none"/>
              </w:rPr>
              <w:t>）17时00分前以投标人转出【汇款时</w:t>
            </w:r>
            <w:r>
              <w:rPr>
                <w:rFonts w:hint="eastAsia" w:ascii="宋体" w:hAnsi="宋体" w:eastAsia="宋体" w:cs="宋体"/>
                <w:color w:val="auto"/>
                <w:szCs w:val="21"/>
                <w:highlight w:val="none"/>
                <w:lang w:eastAsia="zh-CN"/>
              </w:rPr>
              <w:t>注明</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海湾小区N地块项目（领航科技大楼）专用电房高低压配电工程施工</w:t>
            </w:r>
            <w:r>
              <w:rPr>
                <w:rFonts w:hint="eastAsia" w:ascii="宋体" w:hAnsi="宋体" w:eastAsia="宋体" w:cs="宋体"/>
                <w:color w:val="auto"/>
                <w:szCs w:val="21"/>
                <w:highlight w:val="none"/>
              </w:rPr>
              <w:t>投标保证金】</w:t>
            </w:r>
            <w:bookmarkStart w:id="80" w:name="_GoBack"/>
            <w:bookmarkEnd w:id="80"/>
          </w:p>
        </w:tc>
      </w:tr>
      <w:tr w14:paraId="1D119349">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36CABB8">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AAA835E">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088D8CA">
            <w:pPr>
              <w:pStyle w:val="16"/>
              <w:widowControl/>
              <w:spacing w:before="100" w:beforeAutospacing="0" w:after="0" w:line="360" w:lineRule="auto"/>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BB9D4F4">
            <w:pPr>
              <w:pStyle w:val="16"/>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投标文件：1份正本（含电子文件一套），4份副本。</w:t>
            </w:r>
          </w:p>
        </w:tc>
      </w:tr>
      <w:tr w14:paraId="739D9109">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CFE15DC">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EBF944F">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A773D23">
            <w:pPr>
              <w:pStyle w:val="16"/>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14:paraId="2CD72F2F">
            <w:pPr>
              <w:pStyle w:val="16"/>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14:paraId="6F6B947C">
            <w:pPr>
              <w:pStyle w:val="16"/>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39E34F7">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收件人：李工，66806279</w:t>
            </w:r>
          </w:p>
          <w:p w14:paraId="3D839783">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提交地点：</w:t>
            </w:r>
            <w:r>
              <w:rPr>
                <w:rFonts w:hint="eastAsia" w:ascii="宋体" w:hAnsi="宋体" w:eastAsia="宋体" w:cs="宋体"/>
                <w:b w:val="0"/>
                <w:bCs/>
                <w:color w:val="auto"/>
                <w:sz w:val="21"/>
                <w:szCs w:val="21"/>
                <w:highlight w:val="none"/>
              </w:rPr>
              <w:t>广州</w:t>
            </w:r>
            <w:r>
              <w:rPr>
                <w:rFonts w:hint="eastAsia" w:ascii="宋体" w:hAnsi="宋体" w:eastAsia="宋体" w:cs="宋体"/>
                <w:b w:val="0"/>
                <w:bCs/>
                <w:color w:val="auto"/>
                <w:sz w:val="21"/>
                <w:szCs w:val="21"/>
                <w:highlight w:val="none"/>
                <w:lang w:eastAsia="zh-CN"/>
              </w:rPr>
              <w:t>市</w:t>
            </w:r>
            <w:r>
              <w:rPr>
                <w:rFonts w:hint="eastAsia" w:ascii="宋体" w:hAnsi="宋体" w:eastAsia="宋体" w:cs="宋体"/>
                <w:b w:val="0"/>
                <w:bCs/>
                <w:color w:val="auto"/>
                <w:sz w:val="21"/>
                <w:szCs w:val="21"/>
                <w:highlight w:val="none"/>
              </w:rPr>
              <w:t>南沙区</w:t>
            </w:r>
            <w:r>
              <w:rPr>
                <w:rFonts w:hint="eastAsia" w:ascii="宋体" w:hAnsi="宋体" w:eastAsia="宋体" w:cs="宋体"/>
                <w:b w:val="0"/>
                <w:bCs/>
                <w:color w:val="auto"/>
                <w:sz w:val="21"/>
                <w:szCs w:val="21"/>
                <w:highlight w:val="none"/>
                <w:lang w:eastAsia="zh-CN"/>
              </w:rPr>
              <w:t>环市大道中富汇街</w:t>
            </w:r>
            <w:r>
              <w:rPr>
                <w:rFonts w:hint="eastAsia" w:ascii="宋体" w:hAnsi="宋体" w:eastAsia="宋体" w:cs="宋体"/>
                <w:b w:val="0"/>
                <w:bCs/>
                <w:color w:val="auto"/>
                <w:sz w:val="21"/>
                <w:szCs w:val="21"/>
                <w:highlight w:val="none"/>
                <w:lang w:val="en-US" w:eastAsia="zh-CN"/>
              </w:rPr>
              <w:t>3号楼7楼会议</w:t>
            </w:r>
            <w:r>
              <w:rPr>
                <w:rFonts w:hint="eastAsia" w:ascii="宋体" w:hAnsi="宋体" w:eastAsia="宋体" w:cs="宋体"/>
                <w:b w:val="0"/>
                <w:bCs/>
                <w:color w:val="auto"/>
                <w:sz w:val="21"/>
                <w:szCs w:val="21"/>
                <w:highlight w:val="none"/>
              </w:rPr>
              <w:t>室</w:t>
            </w:r>
          </w:p>
          <w:p w14:paraId="1199290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投标时间：</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时00分至</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时30分前。</w:t>
            </w:r>
          </w:p>
          <w:p w14:paraId="1A654B1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14:paraId="7A7464B5">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9C3F860">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45408A8">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257E13E">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06ABC8B">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时30分</w:t>
            </w:r>
          </w:p>
          <w:p w14:paraId="01824C0A">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w:t>
            </w:r>
            <w:r>
              <w:rPr>
                <w:rFonts w:hint="eastAsia" w:ascii="宋体" w:hAnsi="宋体" w:eastAsia="宋体" w:cs="宋体"/>
                <w:b w:val="0"/>
                <w:bCs/>
                <w:color w:val="auto"/>
                <w:sz w:val="21"/>
                <w:szCs w:val="21"/>
                <w:highlight w:val="none"/>
              </w:rPr>
              <w:t>广州</w:t>
            </w:r>
            <w:r>
              <w:rPr>
                <w:rFonts w:hint="eastAsia" w:ascii="宋体" w:hAnsi="宋体" w:eastAsia="宋体" w:cs="宋体"/>
                <w:b w:val="0"/>
                <w:bCs/>
                <w:color w:val="auto"/>
                <w:sz w:val="21"/>
                <w:szCs w:val="21"/>
                <w:highlight w:val="none"/>
                <w:lang w:eastAsia="zh-CN"/>
              </w:rPr>
              <w:t>市</w:t>
            </w:r>
            <w:r>
              <w:rPr>
                <w:rFonts w:hint="eastAsia" w:ascii="宋体" w:hAnsi="宋体" w:eastAsia="宋体" w:cs="宋体"/>
                <w:b w:val="0"/>
                <w:bCs/>
                <w:color w:val="auto"/>
                <w:sz w:val="21"/>
                <w:szCs w:val="21"/>
                <w:highlight w:val="none"/>
              </w:rPr>
              <w:t>南沙区</w:t>
            </w:r>
            <w:r>
              <w:rPr>
                <w:rFonts w:hint="eastAsia" w:ascii="宋体" w:hAnsi="宋体" w:eastAsia="宋体" w:cs="宋体"/>
                <w:b w:val="0"/>
                <w:bCs/>
                <w:color w:val="auto"/>
                <w:sz w:val="21"/>
                <w:szCs w:val="21"/>
                <w:highlight w:val="none"/>
                <w:lang w:eastAsia="zh-CN"/>
              </w:rPr>
              <w:t>环市大道中富汇街</w:t>
            </w:r>
            <w:r>
              <w:rPr>
                <w:rFonts w:hint="eastAsia" w:ascii="宋体" w:hAnsi="宋体" w:eastAsia="宋体" w:cs="宋体"/>
                <w:b w:val="0"/>
                <w:bCs/>
                <w:color w:val="auto"/>
                <w:sz w:val="21"/>
                <w:szCs w:val="21"/>
                <w:highlight w:val="none"/>
                <w:lang w:val="en-US" w:eastAsia="zh-CN"/>
              </w:rPr>
              <w:t>3号楼7楼会议</w:t>
            </w:r>
            <w:r>
              <w:rPr>
                <w:rFonts w:hint="eastAsia" w:ascii="宋体" w:hAnsi="宋体" w:eastAsia="宋体" w:cs="宋体"/>
                <w:b w:val="0"/>
                <w:bCs/>
                <w:color w:val="auto"/>
                <w:sz w:val="21"/>
                <w:szCs w:val="21"/>
                <w:highlight w:val="none"/>
              </w:rPr>
              <w:t>室</w:t>
            </w:r>
          </w:p>
          <w:p w14:paraId="7164422D">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14:paraId="0D6CC3FC">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14:paraId="12BA0C26">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14:paraId="6C67EFCA">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14:paraId="6676C773">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14:paraId="57236A3C">
            <w:pPr>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综合评分法</w:t>
            </w:r>
            <w:r>
              <w:rPr>
                <w:rFonts w:hint="eastAsia" w:ascii="宋体" w:hAnsi="宋体" w:eastAsia="宋体" w:cs="宋体"/>
                <w:color w:val="auto"/>
                <w:szCs w:val="21"/>
                <w:highlight w:val="none"/>
                <w:lang w:eastAsia="zh-CN"/>
              </w:rPr>
              <w:t>，总得分</w:t>
            </w:r>
            <w:r>
              <w:rPr>
                <w:rFonts w:hint="eastAsia" w:ascii="宋体" w:hAnsi="宋体" w:eastAsia="宋体" w:cs="宋体"/>
                <w:color w:val="auto"/>
                <w:szCs w:val="21"/>
                <w:highlight w:val="none"/>
                <w:lang w:val="en-US" w:eastAsia="zh-CN"/>
              </w:rPr>
              <w:t>=（商务部分得分+技术部分得分）（满分100分）×权重20%+经济部分得分（满分100分）×权重80%</w:t>
            </w:r>
          </w:p>
        </w:tc>
      </w:tr>
    </w:tbl>
    <w:p w14:paraId="782D58A7">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3473478E">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2EC219C8">
      <w:pPr>
        <w:jc w:val="center"/>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14:paraId="11082843">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14:paraId="6E2BCC45">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14:paraId="780EA87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14:paraId="73AE0198">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广州南沙经济技术开发区港宏房地产开发有限公司</w:t>
      </w:r>
      <w:r>
        <w:rPr>
          <w:rFonts w:hint="eastAsia" w:ascii="宋体" w:hAnsi="宋体" w:eastAsia="宋体" w:cs="宋体"/>
          <w:color w:val="auto"/>
          <w:sz w:val="24"/>
          <w:highlight w:val="none"/>
          <w:u w:val="single"/>
        </w:rPr>
        <w:t>。</w:t>
      </w:r>
    </w:p>
    <w:p w14:paraId="02F0670B">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1580109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14:paraId="6F0F4CB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14:paraId="73EBC1F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14:paraId="3DB5F848">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14:paraId="500DF87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14:paraId="16FC9CB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14:paraId="1EE4DD5E">
      <w:pPr>
        <w:pStyle w:val="16"/>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14:paraId="5AE2E113">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 招标说明</w:t>
      </w:r>
    </w:p>
    <w:p w14:paraId="68377214">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14:paraId="21B68BE3">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14:paraId="3553E67F">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14:paraId="33A6E885">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14:paraId="5B015A6B">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14:paraId="37B751C7">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2.2.4项目总投资：见投标须知前附表第4项。</w:t>
      </w:r>
    </w:p>
    <w:p w14:paraId="6DC8A3F7">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2.2.5质量目标：见投标须知前附表第5项。</w:t>
      </w:r>
    </w:p>
    <w:p w14:paraId="700C758A">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14:paraId="6D09CDD6">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14:paraId="058646B4">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14:paraId="680FB8FB">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2.3.3投标要求：见投标须知前附表第10项。</w:t>
      </w:r>
    </w:p>
    <w:p w14:paraId="198A2C08">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14:paraId="6426468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14:paraId="2E461240">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14:paraId="279611BA">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14:paraId="48BD7718">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14:paraId="38D59A38">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14:paraId="382C72F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14:paraId="03AAB8A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14:paraId="41CCA1E2">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14:paraId="02617D7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14:paraId="55F9539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14:paraId="340DAC26">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14:paraId="2CC92C77">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14:paraId="64885143">
      <w:pPr>
        <w:pStyle w:val="16"/>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14:paraId="0421E800">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14:paraId="32C93E84">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14:paraId="4BE80356">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14:paraId="4A58780B">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14:paraId="266E441B">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14:paraId="2EE5B3C3">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14:paraId="23A7050F">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14:paraId="7F29DF2F">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14:paraId="0E0034CF">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14:paraId="6DF028C0">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14:paraId="6C851A6C">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14:paraId="330A5567">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14:paraId="260BE0D7">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14:paraId="29C29798">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14:paraId="1E6FFB20">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日前，招标人可对招标文件进行必要的澄清或修改。</w:t>
      </w:r>
    </w:p>
    <w:p w14:paraId="12A7A3DD">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14:paraId="1D49E814">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14:paraId="33CEB968">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14:paraId="64B68ED3">
      <w:pPr>
        <w:pStyle w:val="16"/>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14:paraId="7263CC26">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14:paraId="68137D1B">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14:paraId="49351AFE">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14:paraId="2E53F090">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14:paraId="5B70CF6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14:paraId="3CD1BC7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14:paraId="61F2176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14:paraId="2ACCAC1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14:paraId="41867E6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14:paraId="273EA73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11.6项目负责人证书复印件。</w:t>
      </w:r>
    </w:p>
    <w:p w14:paraId="655EE8E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p>
    <w:p w14:paraId="5839290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p>
    <w:p w14:paraId="25D7B12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11.9参与本项目的人员一览表及证明文件（按招标文件第3章格式填写）。</w:t>
      </w:r>
    </w:p>
    <w:p w14:paraId="67A49A4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11.10项目负责人相关经验及业绩（按招标文件第3章格式填写）。</w:t>
      </w:r>
    </w:p>
    <w:p w14:paraId="60CE8DF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11.11报价表（含报价清单）。</w:t>
      </w:r>
    </w:p>
    <w:p w14:paraId="46EEE47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11.12</w:t>
      </w:r>
      <w:r>
        <w:rPr>
          <w:rFonts w:hAnsi="宋体" w:cs="宋体"/>
          <w:color w:val="auto"/>
          <w:sz w:val="24"/>
          <w:highlight w:val="none"/>
        </w:rPr>
        <w:t>投标申请人声明</w:t>
      </w:r>
      <w:r>
        <w:rPr>
          <w:rFonts w:hint="eastAsia" w:ascii="宋体" w:hAnsi="宋体" w:eastAsia="宋体" w:cs="宋体"/>
          <w:color w:val="auto"/>
          <w:sz w:val="24"/>
          <w:highlight w:val="none"/>
        </w:rPr>
        <w:t>。</w:t>
      </w:r>
    </w:p>
    <w:p w14:paraId="18A3FBDF">
      <w:pPr>
        <w:pStyle w:val="11"/>
        <w:ind w:firstLine="480" w:firstLineChars="200"/>
        <w:rPr>
          <w:rFonts w:hint="default" w:hAnsi="宋体" w:cs="宋体"/>
          <w:color w:val="auto"/>
          <w:sz w:val="24"/>
          <w:highlight w:val="none"/>
        </w:rPr>
      </w:pPr>
      <w:r>
        <w:rPr>
          <w:rFonts w:hAnsi="宋体" w:cs="宋体"/>
          <w:color w:val="auto"/>
          <w:sz w:val="24"/>
          <w:highlight w:val="none"/>
        </w:rPr>
        <w:t>11.13 投标文件电子版（刻录光盘或提供U盘，需为公司盖章版本</w:t>
      </w:r>
      <w:r>
        <w:rPr>
          <w:rFonts w:hint="eastAsia" w:hAnsi="宋体" w:cs="宋体"/>
          <w:color w:val="auto"/>
          <w:sz w:val="24"/>
          <w:highlight w:val="none"/>
          <w:lang w:eastAsia="zh-CN"/>
        </w:rPr>
        <w:t>；</w:t>
      </w:r>
      <w:r>
        <w:rPr>
          <w:rFonts w:hint="eastAsia" w:ascii="宋体" w:hAnsi="宋体" w:eastAsia="宋体" w:cs="宋体"/>
          <w:color w:val="auto"/>
          <w:sz w:val="24"/>
          <w:highlight w:val="none"/>
        </w:rPr>
        <w:t>含报价清单</w:t>
      </w:r>
      <w:r>
        <w:rPr>
          <w:rFonts w:hint="eastAsia" w:ascii="宋体" w:hAnsi="宋体" w:eastAsia="宋体" w:cs="宋体"/>
          <w:color w:val="auto"/>
          <w:sz w:val="24"/>
          <w:highlight w:val="none"/>
          <w:lang w:eastAsia="zh-CN"/>
        </w:rPr>
        <w:t>软件版</w:t>
      </w:r>
      <w:r>
        <w:rPr>
          <w:rFonts w:hAnsi="宋体" w:cs="宋体"/>
          <w:color w:val="auto"/>
          <w:sz w:val="24"/>
          <w:highlight w:val="none"/>
        </w:rPr>
        <w:t>）。</w:t>
      </w:r>
    </w:p>
    <w:p w14:paraId="1DCF0552">
      <w:pPr>
        <w:pStyle w:val="11"/>
        <w:ind w:firstLine="480" w:firstLineChars="200"/>
        <w:rPr>
          <w:rFonts w:hint="default" w:hAnsi="宋体" w:cs="宋体"/>
          <w:color w:val="auto"/>
          <w:sz w:val="24"/>
          <w:highlight w:val="none"/>
        </w:rPr>
      </w:pPr>
      <w:r>
        <w:rPr>
          <w:rFonts w:hAnsi="宋体" w:cs="宋体"/>
          <w:color w:val="auto"/>
          <w:sz w:val="24"/>
          <w:highlight w:val="none"/>
        </w:rPr>
        <w:t>11.14</w:t>
      </w:r>
      <w:r>
        <w:rPr>
          <w:rFonts w:hint="eastAsia" w:ascii="宋体" w:hAnsi="宋体" w:eastAsia="宋体" w:cs="宋体"/>
          <w:color w:val="auto"/>
          <w:sz w:val="24"/>
          <w:highlight w:val="none"/>
        </w:rPr>
        <w:t>技术标文件（独立成册）</w:t>
      </w:r>
      <w:r>
        <w:rPr>
          <w:rFonts w:hAnsi="宋体" w:cs="宋体"/>
          <w:color w:val="auto"/>
          <w:sz w:val="24"/>
          <w:highlight w:val="none"/>
        </w:rPr>
        <w:t>。</w:t>
      </w:r>
    </w:p>
    <w:p w14:paraId="0404EF58">
      <w:pPr>
        <w:pStyle w:val="11"/>
        <w:ind w:firstLine="480" w:firstLineChars="200"/>
        <w:rPr>
          <w:rFonts w:hint="eastAsia" w:hAnsi="宋体" w:eastAsia="宋体" w:cs="宋体"/>
          <w:color w:val="auto"/>
          <w:sz w:val="24"/>
          <w:highlight w:val="none"/>
          <w:lang w:val="en-US" w:eastAsia="zh-CN"/>
        </w:rPr>
      </w:pPr>
      <w:r>
        <w:rPr>
          <w:rFonts w:hAnsi="宋体" w:cs="宋体"/>
          <w:color w:val="auto"/>
          <w:sz w:val="24"/>
          <w:highlight w:val="none"/>
        </w:rPr>
        <w:t>11.15施工组织方案</w:t>
      </w:r>
      <w:r>
        <w:rPr>
          <w:rFonts w:hint="eastAsia" w:hAnsi="宋体" w:cs="宋体"/>
          <w:color w:val="auto"/>
          <w:sz w:val="24"/>
          <w:highlight w:val="none"/>
          <w:lang w:eastAsia="zh-CN"/>
        </w:rPr>
        <w:t>。</w:t>
      </w:r>
    </w:p>
    <w:p w14:paraId="58200770">
      <w:pPr>
        <w:pStyle w:val="11"/>
        <w:ind w:firstLine="480" w:firstLineChars="200"/>
        <w:rPr>
          <w:rFonts w:hint="default" w:hAnsi="宋体" w:cs="宋体"/>
          <w:color w:val="auto"/>
          <w:sz w:val="24"/>
          <w:highlight w:val="none"/>
        </w:rPr>
      </w:pPr>
      <w:r>
        <w:rPr>
          <w:rFonts w:hAnsi="宋体" w:cs="宋体"/>
          <w:color w:val="auto"/>
          <w:sz w:val="24"/>
          <w:highlight w:val="none"/>
        </w:rPr>
        <w:t>11.16投标人认为需要提供的其他文件。</w:t>
      </w:r>
    </w:p>
    <w:p w14:paraId="0E73F8E0">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14:paraId="2942553A">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14:paraId="71917971">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14:paraId="1688ACB3">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14:paraId="5B9C6319">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14:paraId="425510CA">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13.3投标报价方式：投标单位自行报价，投标报价不能超过招标控制价，否则按废标处理。（小数点后保留二位小数，第三位小数四舍五入）</w:t>
      </w:r>
    </w:p>
    <w:p w14:paraId="6F4C6D05">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14:paraId="4251AC83">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14:paraId="7181CFE4">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14:paraId="592400A6">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14:paraId="523A9620">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14:paraId="2AF567B6">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14:paraId="2615BB22">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本项目要求递交投标保证金，详见投标须知前附表要求。</w:t>
      </w:r>
    </w:p>
    <w:p w14:paraId="630719F3">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14:paraId="548DE069">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14:paraId="29391369">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14:paraId="3D73481C">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14:paraId="7C033878">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14:paraId="47455AC5">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14:paraId="77895D4F">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14:paraId="4905805F">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14:paraId="4356F41F">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14:paraId="695067D5">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14:paraId="6DE89C8E">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14:paraId="45A54057">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14:paraId="7C60F1FC">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14:paraId="1402E26A">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项目</w:t>
      </w:r>
    </w:p>
    <w:p w14:paraId="6848A0BE">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前不得开封</w:t>
      </w:r>
    </w:p>
    <w:p w14:paraId="172BAA0D">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14:paraId="55442FB3">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14:paraId="77663A2E">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14:paraId="09D31A5C">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14:paraId="342EAC67">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14:paraId="02220D1A">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14:paraId="49EC7D3C">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14:paraId="434542D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14:paraId="56863E1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14:paraId="04EF1854">
      <w:pPr>
        <w:pStyle w:val="16"/>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14:paraId="543028C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14:paraId="3E076AFA">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14:paraId="217C82C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14:paraId="0D995F7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14:paraId="24184C2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14:paraId="26425DF9">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14:paraId="1AF4B511">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14:paraId="336756EC">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14:paraId="4E1A0EB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14:paraId="0C6C511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14:paraId="56E71BD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14:paraId="0571F38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14:paraId="70B0359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14:paraId="258BDA9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14:paraId="3E18A86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14:paraId="5A3EA48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14:paraId="3E64A77A">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14:paraId="08CA0A9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14:paraId="06DF57D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14:paraId="6AD3046F">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14:paraId="1BB867C2">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六、评标</w:t>
      </w:r>
    </w:p>
    <w:p w14:paraId="0634B429">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14:paraId="5954358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14:paraId="3947209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14:paraId="7E49158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14:paraId="2E877016">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14:paraId="096571C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14:paraId="259526F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14:paraId="22F68A0B">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14:paraId="7E73C13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14:paraId="529DD83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14:paraId="6192AB4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综合得分由高至低排序的前一～三名为第一、第二和第三中标候选人。招标人根据评标小组提出的书面评标报告和推荐的中标候选人中，按排序依法确定中标人。</w:t>
      </w:r>
    </w:p>
    <w:p w14:paraId="5C277DBD">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14:paraId="274DFF29">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14:paraId="28FCF3CC">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14:paraId="1CEA5A0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14:paraId="4E61B794">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14:paraId="692EFCC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14:paraId="1460BA14">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14:paraId="6E11CDAC">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14:paraId="279515B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14:paraId="13AFE87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14:paraId="644E8869">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14:paraId="7C61888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14:paraId="5CB1E36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一年内拒绝其对招标人其他招标项目的投标文件。给招标人的损失超过投标保证金数额的，中标人应当对超过部分予以赔偿；没有提交投标保证金的，应当对招标人的损失承担赔偿责任。</w:t>
      </w:r>
    </w:p>
    <w:p w14:paraId="1DCEE6B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14:paraId="2916D1F6">
      <w:pPr>
        <w:pStyle w:val="16"/>
        <w:widowControl/>
        <w:numPr>
          <w:ilvl w:val="0"/>
          <w:numId w:val="3"/>
        </w:numPr>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合同生效</w:t>
      </w:r>
    </w:p>
    <w:p w14:paraId="3FC4424F">
      <w:pPr>
        <w:pStyle w:val="16"/>
        <w:widowControl/>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cs="宋体"/>
          <w:color w:val="auto"/>
          <w:sz w:val="24"/>
          <w:highlight w:val="none"/>
        </w:rPr>
        <w:t>33.1在合同双方全权代表在合同协议书上签字，并分别加盖双方单位的公章，合同正式生效。</w:t>
      </w:r>
      <w:bookmarkStart w:id="4" w:name="_Toc1632"/>
      <w:bookmarkStart w:id="5" w:name="_Toc27492"/>
    </w:p>
    <w:p w14:paraId="45D42B50">
      <w:pPr>
        <w:pStyle w:val="2"/>
        <w:widowControl/>
        <w:spacing w:before="0" w:after="0" w:line="360" w:lineRule="auto"/>
        <w:jc w:val="center"/>
        <w:rPr>
          <w:rFonts w:ascii="黑体" w:hAnsi="宋体" w:cs="黑体"/>
          <w:b/>
          <w:color w:val="auto"/>
          <w:kern w:val="44"/>
          <w:sz w:val="44"/>
          <w:szCs w:val="44"/>
          <w:highlight w:val="none"/>
        </w:rPr>
      </w:pPr>
    </w:p>
    <w:p w14:paraId="497FE565">
      <w:pPr>
        <w:pStyle w:val="2"/>
        <w:widowControl/>
        <w:spacing w:before="0" w:after="0" w:line="360" w:lineRule="auto"/>
        <w:jc w:val="center"/>
        <w:rPr>
          <w:rFonts w:ascii="黑体" w:hAnsi="宋体" w:cs="黑体"/>
          <w:b/>
          <w:color w:val="auto"/>
          <w:kern w:val="44"/>
          <w:sz w:val="44"/>
          <w:szCs w:val="44"/>
          <w:highlight w:val="none"/>
        </w:rPr>
      </w:pPr>
    </w:p>
    <w:p w14:paraId="046E9AC4">
      <w:pPr>
        <w:pStyle w:val="2"/>
        <w:widowControl/>
        <w:spacing w:before="0" w:after="0" w:line="360" w:lineRule="auto"/>
        <w:jc w:val="center"/>
        <w:rPr>
          <w:rFonts w:ascii="黑体" w:hAnsi="宋体" w:cs="黑体"/>
          <w:b/>
          <w:color w:val="auto"/>
          <w:kern w:val="44"/>
          <w:sz w:val="44"/>
          <w:szCs w:val="44"/>
          <w:highlight w:val="none"/>
        </w:rPr>
      </w:pPr>
    </w:p>
    <w:p w14:paraId="7CC3CEB2">
      <w:pPr>
        <w:pStyle w:val="2"/>
        <w:widowControl/>
        <w:spacing w:before="0" w:after="0" w:line="360" w:lineRule="auto"/>
        <w:jc w:val="center"/>
        <w:rPr>
          <w:rFonts w:ascii="黑体" w:hAnsi="宋体" w:cs="黑体"/>
          <w:b/>
          <w:color w:val="auto"/>
          <w:kern w:val="44"/>
          <w:sz w:val="44"/>
          <w:szCs w:val="44"/>
          <w:highlight w:val="none"/>
        </w:rPr>
      </w:pPr>
    </w:p>
    <w:p w14:paraId="3E2097B2">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14:paraId="481A3689">
      <w:pPr>
        <w:rPr>
          <w:color w:val="auto"/>
          <w:highlight w:val="none"/>
        </w:rPr>
      </w:pPr>
    </w:p>
    <w:p w14:paraId="28E6CE08">
      <w:pPr>
        <w:pStyle w:val="2"/>
        <w:widowControl/>
        <w:spacing w:before="0" w:after="0" w:line="360" w:lineRule="auto"/>
        <w:jc w:val="center"/>
        <w:rPr>
          <w:rFonts w:ascii="黑体" w:hAnsi="宋体" w:cs="黑体"/>
          <w:b/>
          <w:color w:val="auto"/>
          <w:kern w:val="44"/>
          <w:sz w:val="44"/>
          <w:szCs w:val="44"/>
          <w:highlight w:val="none"/>
        </w:rPr>
      </w:pPr>
    </w:p>
    <w:p w14:paraId="6F3498A0">
      <w:pPr>
        <w:pStyle w:val="2"/>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4"/>
    </w:p>
    <w:p w14:paraId="041323ED">
      <w:pPr>
        <w:rPr>
          <w:rFonts w:ascii="宋体" w:hAnsi="宋体" w:eastAsia="宋体" w:cs="宋体"/>
          <w:b/>
          <w:color w:val="auto"/>
          <w:sz w:val="30"/>
          <w:szCs w:val="30"/>
          <w:highlight w:val="none"/>
        </w:rPr>
      </w:pPr>
    </w:p>
    <w:p w14:paraId="2C3475E7">
      <w:pPr>
        <w:numPr>
          <w:ilvl w:val="0"/>
          <w:numId w:val="4"/>
        </w:numPr>
        <w:jc w:val="left"/>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项目概况</w:t>
      </w:r>
    </w:p>
    <w:p w14:paraId="7AD49924">
      <w:pPr>
        <w:ind w:firstLine="614" w:firstLineChars="192"/>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bCs/>
          <w:color w:val="auto"/>
          <w:kern w:val="2"/>
          <w:position w:val="0"/>
          <w:sz w:val="32"/>
          <w:szCs w:val="32"/>
          <w:highlight w:val="none"/>
          <w:lang w:val="en-US" w:eastAsia="zh-CN"/>
        </w:rPr>
        <w:t>本项目电房位于广州市南沙区进港大道与港前北交界处，根据本项目的建筑平面情况，综合考虑运输通道、与周边建筑物的间距、地形地质条件，防洪防涝、景观协调、环境燥音控制因素，本项目设置高压室1间、专变房3间、低压室2间；供电电源及电压等级采用10KV回路电源供电，用电性质属商业用电，SCB14-1600kVA干式电力变压器(带IP20外壳)2台,SCB14-630kVA干式电力变压器(带IP20外壳)1台</w:t>
      </w:r>
      <w:r>
        <w:rPr>
          <w:rFonts w:hint="eastAsia" w:ascii="仿宋_GB2312" w:hAnsi="仿宋_GB2312" w:eastAsia="仿宋_GB2312" w:cs="仿宋_GB2312"/>
          <w:b w:val="0"/>
          <w:bCs/>
          <w:color w:val="auto"/>
          <w:sz w:val="32"/>
          <w:szCs w:val="32"/>
          <w:highlight w:val="none"/>
          <w:lang w:val="en-US" w:eastAsia="zh-CN"/>
        </w:rPr>
        <w:t>。</w:t>
      </w:r>
    </w:p>
    <w:p w14:paraId="64FD6886">
      <w:pPr>
        <w:ind w:firstLine="643" w:firstLineChars="200"/>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二、招标范围</w:t>
      </w:r>
    </w:p>
    <w:p w14:paraId="6B00F5F5">
      <w:pPr>
        <w:pStyle w:val="25"/>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b w:val="0"/>
          <w:bCs/>
          <w:color w:val="auto"/>
          <w:sz w:val="32"/>
          <w:szCs w:val="32"/>
          <w:highlight w:val="none"/>
          <w:lang w:eastAsia="zh-CN"/>
        </w:rPr>
        <w:t>项目建设内容包括但不限于：高压配电、低压配电、防雷工程、智能设备工程、电房土建基础、电缆土建等，详见工程技术要求（另附），最终以实际工程量清单和图纸为准</w:t>
      </w:r>
      <w:r>
        <w:rPr>
          <w:rFonts w:hint="eastAsia" w:ascii="仿宋_GB2312" w:hAnsi="仿宋_GB2312" w:eastAsia="仿宋_GB2312" w:cs="仿宋_GB2312"/>
          <w:color w:val="auto"/>
          <w:sz w:val="32"/>
          <w:szCs w:val="32"/>
          <w:highlight w:val="none"/>
        </w:rPr>
        <w:t>。</w:t>
      </w:r>
    </w:p>
    <w:p w14:paraId="5671C331">
      <w:pPr>
        <w:pStyle w:val="25"/>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投标人需按招标文件、图纸规范等要求进行施工，如设计图纸有调整时，必须服从要求调整</w:t>
      </w:r>
      <w:r>
        <w:rPr>
          <w:rFonts w:hint="eastAsia" w:ascii="仿宋_GB2312" w:hAnsi="仿宋_GB2312" w:eastAsia="仿宋_GB2312" w:cs="仿宋_GB2312"/>
          <w:color w:val="auto"/>
          <w:sz w:val="32"/>
          <w:szCs w:val="32"/>
          <w:highlight w:val="none"/>
        </w:rPr>
        <w:t>。</w:t>
      </w:r>
    </w:p>
    <w:p w14:paraId="548E8A45">
      <w:pPr>
        <w:ind w:firstLine="480" w:firstLineChars="200"/>
        <w:rPr>
          <w:rFonts w:asciiTheme="minorEastAsia" w:hAnsiTheme="minorEastAsia" w:cstheme="minorEastAsia"/>
          <w:color w:val="auto"/>
          <w:kern w:val="0"/>
          <w:sz w:val="24"/>
          <w:highlight w:val="none"/>
        </w:rPr>
      </w:pPr>
    </w:p>
    <w:p w14:paraId="7CAB8357">
      <w:pPr>
        <w:rPr>
          <w:rFonts w:ascii="黑体" w:hAnsi="宋体" w:cs="黑体"/>
          <w:b/>
          <w:color w:val="auto"/>
          <w:kern w:val="44"/>
          <w:sz w:val="44"/>
          <w:szCs w:val="44"/>
          <w:highlight w:val="none"/>
        </w:rPr>
      </w:pPr>
    </w:p>
    <w:p w14:paraId="13761F16">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14:paraId="6E7CEFDC">
      <w:pPr>
        <w:pStyle w:val="2"/>
        <w:widowControl/>
        <w:spacing w:before="0" w:after="0" w:line="360" w:lineRule="auto"/>
        <w:jc w:val="center"/>
        <w:rPr>
          <w:rFonts w:ascii="黑体" w:hAnsi="宋体" w:cs="黑体"/>
          <w:b/>
          <w:color w:val="auto"/>
          <w:kern w:val="44"/>
          <w:sz w:val="44"/>
          <w:szCs w:val="44"/>
          <w:highlight w:val="none"/>
        </w:rPr>
      </w:pPr>
    </w:p>
    <w:p w14:paraId="060B39E8">
      <w:pPr>
        <w:pStyle w:val="2"/>
        <w:widowControl/>
        <w:spacing w:before="0" w:after="0" w:line="360" w:lineRule="auto"/>
        <w:jc w:val="center"/>
        <w:rPr>
          <w:rFonts w:ascii="黑体" w:hAnsi="宋体" w:cs="黑体"/>
          <w:b/>
          <w:color w:val="auto"/>
          <w:kern w:val="44"/>
          <w:sz w:val="44"/>
          <w:szCs w:val="44"/>
          <w:highlight w:val="none"/>
        </w:rPr>
      </w:pPr>
    </w:p>
    <w:p w14:paraId="28E1F0D0">
      <w:pPr>
        <w:pStyle w:val="2"/>
        <w:widowControl/>
        <w:spacing w:before="0" w:after="0" w:line="360" w:lineRule="auto"/>
        <w:jc w:val="center"/>
        <w:rPr>
          <w:rFonts w:ascii="黑体" w:hAnsi="宋体" w:cs="黑体"/>
          <w:b/>
          <w:color w:val="auto"/>
          <w:kern w:val="44"/>
          <w:sz w:val="44"/>
          <w:szCs w:val="44"/>
          <w:highlight w:val="none"/>
        </w:rPr>
      </w:pPr>
    </w:p>
    <w:p w14:paraId="5BA206A8">
      <w:pPr>
        <w:pStyle w:val="2"/>
        <w:widowControl/>
        <w:spacing w:before="0" w:after="0" w:line="360" w:lineRule="auto"/>
        <w:jc w:val="center"/>
        <w:rPr>
          <w:rFonts w:ascii="黑体" w:hAnsi="宋体" w:cs="黑体"/>
          <w:b/>
          <w:color w:val="auto"/>
          <w:kern w:val="44"/>
          <w:sz w:val="44"/>
          <w:szCs w:val="44"/>
          <w:highlight w:val="none"/>
        </w:rPr>
      </w:pPr>
    </w:p>
    <w:p w14:paraId="147ED15A">
      <w:pPr>
        <w:pStyle w:val="2"/>
        <w:widowControl/>
        <w:spacing w:before="0" w:after="0" w:line="360" w:lineRule="auto"/>
        <w:jc w:val="center"/>
        <w:rPr>
          <w:rFonts w:ascii="黑体" w:hAnsi="宋体" w:cs="黑体"/>
          <w:b/>
          <w:color w:val="auto"/>
          <w:kern w:val="44"/>
          <w:sz w:val="44"/>
          <w:szCs w:val="44"/>
          <w:highlight w:val="none"/>
        </w:rPr>
      </w:pPr>
    </w:p>
    <w:p w14:paraId="363D6F53">
      <w:pPr>
        <w:pStyle w:val="2"/>
        <w:widowControl/>
        <w:spacing w:before="0" w:after="0" w:line="360" w:lineRule="auto"/>
        <w:jc w:val="center"/>
        <w:rPr>
          <w:rFonts w:ascii="黑体" w:hAnsi="宋体" w:cs="黑体"/>
          <w:b/>
          <w:color w:val="auto"/>
          <w:kern w:val="44"/>
          <w:sz w:val="44"/>
          <w:szCs w:val="44"/>
          <w:highlight w:val="none"/>
        </w:rPr>
      </w:pPr>
    </w:p>
    <w:p w14:paraId="40D79692">
      <w:pPr>
        <w:pStyle w:val="2"/>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14:paraId="005CCBEA">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14:paraId="61A8E00E">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14:paraId="0CEDB3F9">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14:paraId="5405E2DA">
      <w:pPr>
        <w:rPr>
          <w:rFonts w:ascii="宋体" w:hAnsi="宋体" w:eastAsia="宋体" w:cs="宋体"/>
          <w:color w:val="auto"/>
          <w:sz w:val="24"/>
          <w:highlight w:val="none"/>
        </w:rPr>
      </w:pPr>
    </w:p>
    <w:p w14:paraId="2D0A13D3">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广州南沙经济技术开发区港宏房地产开发有限公司</w:t>
      </w:r>
      <w:r>
        <w:rPr>
          <w:rFonts w:hint="eastAsia" w:ascii="宋体" w:hAnsi="宋体" w:eastAsia="宋体" w:cs="Times New Roman"/>
          <w:color w:val="auto"/>
          <w:spacing w:val="20"/>
          <w:sz w:val="24"/>
          <w:highlight w:val="none"/>
          <w:u w:val="single"/>
        </w:rPr>
        <w:t>：</w:t>
      </w:r>
    </w:p>
    <w:p w14:paraId="0FA2E764">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海湾小区N地块项目（领航科技大楼）专用电房高低压配电工程施工</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14:paraId="3C1F44B7">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海湾小区N地块项目（领航科技大楼）专用电房高低压配电工程施工</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14:paraId="4700103D">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14:paraId="633763D9">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90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14:paraId="0A2CBDE0">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14:paraId="2E1A34E6">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14:paraId="2D2FEDFF">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14:paraId="52A05A73">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14:paraId="3942D199">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14:paraId="602AE08C">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4DCC906D">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14:paraId="6CE2DD36">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4D897BAD">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67F4FD9C">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14:paraId="27899E10">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1E5F0676">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14:paraId="6B59AFE1">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14:paraId="67C17EAF">
      <w:pPr>
        <w:snapToGrid w:val="0"/>
        <w:spacing w:line="480" w:lineRule="auto"/>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广州南沙经济技术开发区港宏房地产开发有限公司</w:t>
      </w:r>
    </w:p>
    <w:p w14:paraId="04520703">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18A27556">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14:paraId="7053523E">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14:paraId="54C1B308">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14:paraId="59FFEE30">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14:paraId="6F8F5E7B">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7D18EC61">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67E708E0">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19E0549">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14:paraId="2A64073B">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14:paraId="6E0BA282">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2A4B37F3">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14:paraId="57AB04E3">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14:paraId="7A3B6263">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110256DC">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5CC8FA70">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77290B6F">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2F7054E9">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59FDECAB">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66A3D687">
      <w:pPr>
        <w:pStyle w:val="2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16145749"/>
      <w:bookmarkEnd w:id="6"/>
      <w:bookmarkStart w:id="7" w:name="_Toc223342668"/>
      <w:bookmarkEnd w:id="7"/>
      <w:r>
        <w:rPr>
          <w:rFonts w:hint="eastAsia" w:ascii="宋体" w:hAnsi="宋体" w:eastAsia="宋体" w:cs="黑体"/>
          <w:color w:val="auto"/>
          <w:sz w:val="28"/>
          <w:szCs w:val="28"/>
          <w:highlight w:val="none"/>
        </w:rPr>
        <w:t>格式三：</w:t>
      </w:r>
    </w:p>
    <w:p w14:paraId="61DD1E8F">
      <w:pPr>
        <w:pStyle w:val="31"/>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14:paraId="2E50F44B">
      <w:pPr>
        <w:pStyle w:val="31"/>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14:paraId="2336688F">
      <w:pPr>
        <w:pStyle w:val="31"/>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14:paraId="6A93391F">
      <w:pPr>
        <w:pStyle w:val="31"/>
        <w:widowControl/>
        <w:ind w:firstLine="618"/>
        <w:rPr>
          <w:b/>
          <w:color w:val="auto"/>
          <w:sz w:val="30"/>
          <w:szCs w:val="30"/>
          <w:highlight w:val="none"/>
        </w:rPr>
      </w:pPr>
      <w:r>
        <w:rPr>
          <w:b/>
          <w:color w:val="auto"/>
          <w:sz w:val="30"/>
          <w:szCs w:val="30"/>
          <w:highlight w:val="none"/>
        </w:rPr>
        <w:t xml:space="preserve"> </w:t>
      </w:r>
    </w:p>
    <w:p w14:paraId="44EAF6E1">
      <w:pPr>
        <w:pStyle w:val="31"/>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14:paraId="353CB1E1">
      <w:pPr>
        <w:pStyle w:val="31"/>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14:paraId="32F818D3">
      <w:pPr>
        <w:pStyle w:val="31"/>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14:paraId="36D28F07">
      <w:pPr>
        <w:pStyle w:val="29"/>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14:paraId="01AD4A27">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14:paraId="58BAF8E3">
      <w:pPr>
        <w:pStyle w:val="2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14:paraId="2AD915BB">
      <w:pPr>
        <w:pStyle w:val="31"/>
        <w:widowControl/>
        <w:ind w:firstLine="0" w:firstLineChars="0"/>
        <w:jc w:val="center"/>
        <w:rPr>
          <w:b/>
          <w:color w:val="auto"/>
          <w:sz w:val="28"/>
          <w:szCs w:val="28"/>
          <w:highlight w:val="none"/>
        </w:rPr>
      </w:pPr>
      <w:r>
        <w:rPr>
          <w:b/>
          <w:color w:val="auto"/>
          <w:sz w:val="28"/>
          <w:szCs w:val="28"/>
          <w:highlight w:val="none"/>
        </w:rPr>
        <w:t xml:space="preserve"> </w:t>
      </w:r>
    </w:p>
    <w:p w14:paraId="6CC92C3E">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14:paraId="274F26F9">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2702C6E">
      <w:pPr>
        <w:spacing w:line="560" w:lineRule="exact"/>
        <w:jc w:val="lef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广州南沙经济技术开发区港宏房地产开发有限公司</w:t>
      </w:r>
    </w:p>
    <w:p w14:paraId="6A7CA106">
      <w:pPr>
        <w:spacing w:line="560" w:lineRule="exact"/>
        <w:jc w:val="lef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海湾小区N地块项目（领航科技大楼）专用电房高低压配电工程施工</w:t>
      </w:r>
    </w:p>
    <w:p w14:paraId="7CE6A812">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51CC09D">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我方如果中标，承诺实际人员均按投标文件人员名单配备。</w:t>
      </w:r>
    </w:p>
    <w:p w14:paraId="48761B36">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14:paraId="37F690A1">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14:paraId="19345F71">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1F264727">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14:paraId="4799C4E9">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7D02CAB9">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14:paraId="598F5C9F">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33CC650">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459403394"/>
      <w:bookmarkEnd w:id="11"/>
      <w:bookmarkStart w:id="12" w:name="_Toc196130013"/>
      <w:bookmarkEnd w:id="12"/>
      <w:bookmarkStart w:id="13" w:name="_Toc197235848"/>
      <w:bookmarkEnd w:id="13"/>
      <w:bookmarkStart w:id="14" w:name="_Toc196130110"/>
      <w:bookmarkEnd w:id="14"/>
      <w:bookmarkStart w:id="15" w:name="_Toc41822703"/>
      <w:bookmarkEnd w:id="15"/>
      <w:bookmarkStart w:id="16" w:name="_Toc199647675"/>
      <w:bookmarkEnd w:id="16"/>
      <w:bookmarkStart w:id="17" w:name="_Toc196036941"/>
      <w:bookmarkEnd w:id="17"/>
      <w:bookmarkStart w:id="18" w:name="_Toc326909213"/>
      <w:bookmarkEnd w:id="18"/>
      <w:bookmarkStart w:id="19" w:name="_Toc415833503"/>
      <w:bookmarkEnd w:id="19"/>
      <w:bookmarkStart w:id="20" w:name="_Toc196037097"/>
      <w:bookmarkEnd w:id="20"/>
      <w:bookmarkStart w:id="21" w:name="_Toc415728297"/>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14:paraId="25E837FB">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9"/>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14:paraId="7305EE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14:paraId="3119848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14:paraId="61AD240C">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042FE23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14:paraId="4E2AD382">
            <w:pPr>
              <w:spacing w:line="360" w:lineRule="auto"/>
              <w:jc w:val="center"/>
              <w:rPr>
                <w:rFonts w:ascii="仿宋" w:hAnsi="仿宋" w:eastAsia="仿宋" w:cs="仿宋"/>
                <w:color w:val="auto"/>
                <w:sz w:val="24"/>
                <w:highlight w:val="none"/>
              </w:rPr>
            </w:pPr>
          </w:p>
        </w:tc>
      </w:tr>
      <w:tr w14:paraId="065724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14:paraId="65B32B8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14:paraId="4460A6F1">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5DAF492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14:paraId="460A04B9">
            <w:pPr>
              <w:spacing w:line="360" w:lineRule="auto"/>
              <w:jc w:val="center"/>
              <w:rPr>
                <w:rFonts w:ascii="仿宋" w:hAnsi="仿宋" w:eastAsia="仿宋" w:cs="仿宋"/>
                <w:color w:val="auto"/>
                <w:sz w:val="24"/>
                <w:highlight w:val="none"/>
              </w:rPr>
            </w:pPr>
          </w:p>
        </w:tc>
      </w:tr>
      <w:tr w14:paraId="374390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5B7D6DA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14:paraId="4749556B">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6EF829AD">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14:paraId="39697850">
            <w:pPr>
              <w:spacing w:line="360" w:lineRule="auto"/>
              <w:jc w:val="center"/>
              <w:rPr>
                <w:rFonts w:ascii="仿宋" w:hAnsi="仿宋" w:eastAsia="仿宋" w:cs="仿宋"/>
                <w:color w:val="auto"/>
                <w:sz w:val="24"/>
                <w:highlight w:val="none"/>
              </w:rPr>
            </w:pPr>
          </w:p>
        </w:tc>
      </w:tr>
      <w:tr w14:paraId="6115B6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3C5A310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14:paraId="640E2B13">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16F9C9C2">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14:paraId="194BF1C1">
            <w:pPr>
              <w:spacing w:line="360" w:lineRule="auto"/>
              <w:jc w:val="center"/>
              <w:rPr>
                <w:rFonts w:ascii="仿宋" w:hAnsi="仿宋" w:eastAsia="仿宋" w:cs="仿宋"/>
                <w:color w:val="auto"/>
                <w:sz w:val="24"/>
                <w:highlight w:val="none"/>
              </w:rPr>
            </w:pPr>
          </w:p>
        </w:tc>
      </w:tr>
      <w:tr w14:paraId="735F4F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6941D43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14:paraId="1F8270CE">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0BF3BE0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14:paraId="242E5E6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14:paraId="0C9BEB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14:paraId="20DD956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14:paraId="213B8878">
            <w:pPr>
              <w:spacing w:line="360" w:lineRule="auto"/>
              <w:jc w:val="center"/>
              <w:rPr>
                <w:rFonts w:ascii="仿宋" w:hAnsi="仿宋" w:eastAsia="仿宋" w:cs="仿宋"/>
                <w:color w:val="auto"/>
                <w:sz w:val="24"/>
                <w:highlight w:val="none"/>
              </w:rPr>
            </w:pPr>
          </w:p>
        </w:tc>
      </w:tr>
      <w:tr w14:paraId="42C2ED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14:paraId="29297EC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14:paraId="30F2967A">
            <w:pPr>
              <w:spacing w:line="360" w:lineRule="auto"/>
              <w:jc w:val="center"/>
              <w:rPr>
                <w:rFonts w:ascii="仿宋" w:hAnsi="仿宋" w:eastAsia="仿宋" w:cs="仿宋"/>
                <w:color w:val="auto"/>
                <w:sz w:val="24"/>
                <w:highlight w:val="none"/>
              </w:rPr>
            </w:pPr>
          </w:p>
        </w:tc>
      </w:tr>
      <w:tr w14:paraId="798713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14:paraId="3B950D9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14:paraId="0F68E02C">
            <w:pPr>
              <w:spacing w:line="360" w:lineRule="auto"/>
              <w:jc w:val="center"/>
              <w:rPr>
                <w:rFonts w:ascii="仿宋" w:hAnsi="仿宋" w:eastAsia="仿宋" w:cs="仿宋"/>
                <w:color w:val="auto"/>
                <w:sz w:val="24"/>
                <w:highlight w:val="none"/>
              </w:rPr>
            </w:pPr>
          </w:p>
        </w:tc>
      </w:tr>
      <w:tr w14:paraId="733162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14:paraId="77033E82">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14:paraId="0499C2E2">
            <w:pPr>
              <w:spacing w:line="360" w:lineRule="auto"/>
              <w:jc w:val="center"/>
              <w:rPr>
                <w:rFonts w:ascii="仿宋" w:hAnsi="仿宋" w:eastAsia="仿宋" w:cs="仿宋"/>
                <w:color w:val="auto"/>
                <w:sz w:val="24"/>
                <w:highlight w:val="none"/>
              </w:rPr>
            </w:pPr>
          </w:p>
        </w:tc>
      </w:tr>
      <w:tr w14:paraId="1D0129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14:paraId="0AC624FB">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14:paraId="2EF464BE">
            <w:pPr>
              <w:spacing w:line="360" w:lineRule="auto"/>
              <w:jc w:val="center"/>
              <w:rPr>
                <w:rFonts w:ascii="仿宋" w:hAnsi="仿宋" w:eastAsia="仿宋" w:cs="仿宋"/>
                <w:color w:val="auto"/>
                <w:sz w:val="24"/>
                <w:highlight w:val="none"/>
              </w:rPr>
            </w:pPr>
          </w:p>
        </w:tc>
      </w:tr>
      <w:tr w14:paraId="676CB3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14:paraId="5D6D92B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14:paraId="3585675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14:paraId="0A5839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6FE0E85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14:paraId="69A71A47">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1C33C36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14:paraId="49EF8859">
            <w:pPr>
              <w:spacing w:line="360" w:lineRule="auto"/>
              <w:jc w:val="center"/>
              <w:rPr>
                <w:rFonts w:ascii="仿宋" w:hAnsi="仿宋" w:eastAsia="仿宋" w:cs="仿宋"/>
                <w:color w:val="auto"/>
                <w:sz w:val="24"/>
                <w:highlight w:val="none"/>
              </w:rPr>
            </w:pPr>
          </w:p>
        </w:tc>
      </w:tr>
      <w:tr w14:paraId="658ECF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4A34648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14:paraId="16EDE9BA">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18D0A80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14:paraId="3C1851BE">
            <w:pPr>
              <w:spacing w:line="360" w:lineRule="auto"/>
              <w:jc w:val="center"/>
              <w:rPr>
                <w:rFonts w:ascii="仿宋" w:hAnsi="仿宋" w:eastAsia="仿宋" w:cs="仿宋"/>
                <w:color w:val="auto"/>
                <w:sz w:val="24"/>
                <w:highlight w:val="none"/>
              </w:rPr>
            </w:pPr>
          </w:p>
        </w:tc>
      </w:tr>
      <w:tr w14:paraId="3B6B48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14:paraId="3C595E1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14:paraId="37E2AA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14:paraId="4C5178E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14:paraId="2422E2BC">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6E6BC6F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14:paraId="4AD1FD57">
            <w:pPr>
              <w:spacing w:line="360" w:lineRule="auto"/>
              <w:jc w:val="center"/>
              <w:rPr>
                <w:rFonts w:ascii="仿宋" w:hAnsi="仿宋" w:eastAsia="仿宋" w:cs="仿宋"/>
                <w:color w:val="auto"/>
                <w:sz w:val="24"/>
                <w:highlight w:val="none"/>
              </w:rPr>
            </w:pPr>
          </w:p>
        </w:tc>
      </w:tr>
      <w:tr w14:paraId="4F1BC8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14:paraId="2FBB39B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14:paraId="339E27EB">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67D6FF4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14:paraId="0EA779B6">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14:paraId="4D8D1E4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14:paraId="1BDC8018">
            <w:pPr>
              <w:spacing w:line="360" w:lineRule="auto"/>
              <w:jc w:val="center"/>
              <w:rPr>
                <w:rFonts w:ascii="仿宋" w:hAnsi="仿宋" w:eastAsia="仿宋" w:cs="仿宋"/>
                <w:color w:val="auto"/>
                <w:sz w:val="24"/>
                <w:highlight w:val="none"/>
              </w:rPr>
            </w:pPr>
          </w:p>
        </w:tc>
      </w:tr>
      <w:tr w14:paraId="18F137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14:paraId="373B6E5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14:paraId="6DBF4FDD">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14:paraId="14F9DB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14:paraId="2A68779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14:paraId="39A96C3B">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14:paraId="103A8DAA">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14:paraId="5B491B13">
      <w:pPr>
        <w:outlineLvl w:val="1"/>
        <w:rPr>
          <w:rFonts w:ascii="宋体" w:hAnsi="宋体" w:eastAsia="宋体" w:cs="黑体"/>
          <w:b/>
          <w:color w:val="auto"/>
          <w:spacing w:val="4"/>
          <w:kern w:val="0"/>
          <w:sz w:val="28"/>
          <w:szCs w:val="28"/>
          <w:highlight w:val="none"/>
        </w:rPr>
      </w:pPr>
      <w:bookmarkStart w:id="24" w:name="_Toc196130111"/>
      <w:bookmarkEnd w:id="24"/>
      <w:bookmarkStart w:id="25" w:name="_Toc415728298"/>
      <w:bookmarkEnd w:id="25"/>
      <w:bookmarkStart w:id="26" w:name="_Toc196037098"/>
      <w:bookmarkEnd w:id="26"/>
      <w:bookmarkStart w:id="27" w:name="_Toc196130014"/>
      <w:bookmarkEnd w:id="27"/>
      <w:bookmarkStart w:id="28" w:name="_Toc326909214"/>
      <w:bookmarkEnd w:id="28"/>
      <w:bookmarkStart w:id="29" w:name="_Toc415833504"/>
      <w:bookmarkEnd w:id="29"/>
      <w:bookmarkStart w:id="30" w:name="_Toc459403395"/>
      <w:bookmarkEnd w:id="30"/>
      <w:bookmarkStart w:id="31" w:name="_Toc197235849"/>
      <w:bookmarkEnd w:id="31"/>
      <w:bookmarkStart w:id="32" w:name="_Toc199647676"/>
      <w:bookmarkEnd w:id="32"/>
      <w:bookmarkStart w:id="33" w:name="_Toc196036942"/>
      <w:bookmarkEnd w:id="33"/>
      <w:bookmarkStart w:id="34" w:name="_Toc462911099"/>
    </w:p>
    <w:bookmarkEnd w:id="34"/>
    <w:p w14:paraId="0656EAC3">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14:paraId="55B8DBB1">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格式六</w:t>
      </w:r>
      <w:r>
        <w:rPr>
          <w:rFonts w:hint="eastAsia" w:ascii="仿宋" w:hAnsi="仿宋" w:eastAsia="仿宋" w:cs="宋体"/>
          <w:color w:val="auto"/>
          <w:sz w:val="28"/>
          <w:szCs w:val="28"/>
          <w:highlight w:val="none"/>
        </w:rPr>
        <w:t>：</w:t>
      </w:r>
    </w:p>
    <w:p w14:paraId="148EA4D9">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14:paraId="74ED3AC0">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9"/>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14:paraId="2012805D">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2B50489">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14:paraId="05C8D672">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4432CB0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CD937B8">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3B2C447B">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14:paraId="2F6B80F0">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14:paraId="7E92FEA7">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582237A9">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14:paraId="76D5D4E3">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36CF7080">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14:paraId="65260C04">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3BE5C49">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075E2345">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BFE9F62">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F5F6F29">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62358EDD">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015EB42F">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3B552F80">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0D363A2F">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393252C8">
            <w:pPr>
              <w:snapToGrid w:val="0"/>
              <w:spacing w:line="360" w:lineRule="auto"/>
              <w:jc w:val="center"/>
              <w:rPr>
                <w:rFonts w:ascii="仿宋" w:hAnsi="仿宋" w:eastAsia="仿宋" w:cs="仿宋"/>
                <w:color w:val="auto"/>
                <w:sz w:val="24"/>
                <w:highlight w:val="none"/>
              </w:rPr>
            </w:pPr>
          </w:p>
        </w:tc>
      </w:tr>
      <w:tr w14:paraId="1FD12A57">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70065D1">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EFC730A">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597E835">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4BB0DC8">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414CF954">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63C1D2C1">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15B2B45E">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133CF151">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0C8F6E97">
            <w:pPr>
              <w:snapToGrid w:val="0"/>
              <w:spacing w:line="360" w:lineRule="auto"/>
              <w:jc w:val="center"/>
              <w:rPr>
                <w:rFonts w:ascii="仿宋" w:hAnsi="仿宋" w:eastAsia="仿宋" w:cs="仿宋"/>
                <w:color w:val="auto"/>
                <w:sz w:val="24"/>
                <w:highlight w:val="none"/>
              </w:rPr>
            </w:pPr>
          </w:p>
        </w:tc>
      </w:tr>
      <w:tr w14:paraId="4F94A6BD">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173599F">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6BF2FBDB">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43E3FB1F">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06480F0">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01562177">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0E433057">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552F099C">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02A70155">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77D4A2A4">
            <w:pPr>
              <w:snapToGrid w:val="0"/>
              <w:spacing w:line="360" w:lineRule="auto"/>
              <w:jc w:val="center"/>
              <w:rPr>
                <w:rFonts w:ascii="仿宋" w:hAnsi="仿宋" w:eastAsia="仿宋" w:cs="仿宋"/>
                <w:color w:val="auto"/>
                <w:sz w:val="24"/>
                <w:highlight w:val="none"/>
              </w:rPr>
            </w:pPr>
          </w:p>
        </w:tc>
      </w:tr>
      <w:tr w14:paraId="3D94A83B">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8F22BEA">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628E79FE">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C584261">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806F1F8">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55259BB2">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60E6634D">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1168CF1A">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7D6825DB">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59122C91">
            <w:pPr>
              <w:snapToGrid w:val="0"/>
              <w:spacing w:line="360" w:lineRule="auto"/>
              <w:jc w:val="center"/>
              <w:rPr>
                <w:rFonts w:ascii="仿宋" w:hAnsi="仿宋" w:eastAsia="仿宋" w:cs="仿宋"/>
                <w:color w:val="auto"/>
                <w:sz w:val="24"/>
                <w:highlight w:val="none"/>
              </w:rPr>
            </w:pPr>
          </w:p>
        </w:tc>
      </w:tr>
      <w:tr w14:paraId="6F8B66B1">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1680BFC">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0FEEB0CF">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ACFAD05">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27CB098">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6EB23736">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3531C238">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5F9379D5">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4F831E92">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7823C801">
            <w:pPr>
              <w:snapToGrid w:val="0"/>
              <w:spacing w:line="360" w:lineRule="auto"/>
              <w:jc w:val="center"/>
              <w:rPr>
                <w:rFonts w:ascii="仿宋" w:hAnsi="仿宋" w:eastAsia="仿宋" w:cs="仿宋"/>
                <w:color w:val="auto"/>
                <w:sz w:val="24"/>
                <w:highlight w:val="none"/>
              </w:rPr>
            </w:pPr>
          </w:p>
        </w:tc>
      </w:tr>
      <w:tr w14:paraId="1B6EF544">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949F565">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5F01B93F">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0C664F9">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DEB2F73">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15B670AB">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15ACC9BC">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4963F0F4">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7E7E2501">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20E517AF">
            <w:pPr>
              <w:snapToGrid w:val="0"/>
              <w:spacing w:line="360" w:lineRule="auto"/>
              <w:jc w:val="center"/>
              <w:rPr>
                <w:rFonts w:ascii="仿宋" w:hAnsi="仿宋" w:eastAsia="仿宋" w:cs="仿宋"/>
                <w:color w:val="auto"/>
                <w:sz w:val="24"/>
                <w:highlight w:val="none"/>
              </w:rPr>
            </w:pPr>
          </w:p>
        </w:tc>
      </w:tr>
      <w:tr w14:paraId="34DB9178">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06B7CDE">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C84CC2A">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DABD223">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D7B3D46">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4D9E0EDB">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6F2167F3">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6DFD5738">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1CDDB5E4">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258010D3">
            <w:pPr>
              <w:snapToGrid w:val="0"/>
              <w:spacing w:line="360" w:lineRule="auto"/>
              <w:jc w:val="center"/>
              <w:rPr>
                <w:rFonts w:ascii="仿宋" w:hAnsi="仿宋" w:eastAsia="仿宋" w:cs="仿宋"/>
                <w:color w:val="auto"/>
                <w:sz w:val="24"/>
                <w:highlight w:val="none"/>
              </w:rPr>
            </w:pPr>
          </w:p>
        </w:tc>
      </w:tr>
      <w:tr w14:paraId="1265E02A">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935B074">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AC20114">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43078A35">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5828334B">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5210B51D">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074BE273">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3ABE9DD2">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5B5B4C83">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0C25D2B5">
            <w:pPr>
              <w:snapToGrid w:val="0"/>
              <w:spacing w:line="360" w:lineRule="auto"/>
              <w:jc w:val="center"/>
              <w:rPr>
                <w:rFonts w:ascii="仿宋" w:hAnsi="仿宋" w:eastAsia="仿宋" w:cs="仿宋"/>
                <w:color w:val="auto"/>
                <w:sz w:val="24"/>
                <w:highlight w:val="none"/>
              </w:rPr>
            </w:pPr>
          </w:p>
        </w:tc>
      </w:tr>
      <w:tr w14:paraId="5A02453D">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14:paraId="60D2115C">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14:paraId="35FA60EA">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76438765">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6BF83FD8">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14:paraId="1C88BB1C">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14:paraId="117F4E60">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14:paraId="462803B4">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14:paraId="0A13EA8B">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14:paraId="3D81E680">
            <w:pPr>
              <w:snapToGrid w:val="0"/>
              <w:spacing w:line="360" w:lineRule="auto"/>
              <w:jc w:val="center"/>
              <w:rPr>
                <w:rFonts w:ascii="仿宋" w:hAnsi="仿宋" w:eastAsia="仿宋" w:cs="仿宋"/>
                <w:color w:val="auto"/>
                <w:sz w:val="24"/>
                <w:highlight w:val="none"/>
              </w:rPr>
            </w:pPr>
          </w:p>
        </w:tc>
      </w:tr>
    </w:tbl>
    <w:p w14:paraId="355C75D4">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14:paraId="001C6EBE">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2、人员应附上个人注册执业资格证、职称证等文件（复印件，加盖单位公章）。</w:t>
      </w:r>
    </w:p>
    <w:p w14:paraId="692FBA7E">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2DE186D0">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14:paraId="1BE6291B">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4A3A519">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28C64E38">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14:paraId="0A1FBB05">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14:paraId="415195E1">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14:paraId="2ACEA582">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14:paraId="6E081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69993B63">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14:paraId="39C200E3">
            <w:pPr>
              <w:spacing w:line="460" w:lineRule="exact"/>
              <w:jc w:val="left"/>
              <w:rPr>
                <w:rFonts w:ascii="宋体" w:hAnsi="宋体" w:eastAsia="宋体" w:cs="宋体"/>
                <w:color w:val="auto"/>
                <w:szCs w:val="21"/>
                <w:highlight w:val="none"/>
              </w:rPr>
            </w:pPr>
          </w:p>
        </w:tc>
        <w:tc>
          <w:tcPr>
            <w:tcW w:w="927" w:type="dxa"/>
            <w:vAlign w:val="center"/>
          </w:tcPr>
          <w:p w14:paraId="21D341D3">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14:paraId="2A839800">
            <w:pPr>
              <w:spacing w:line="460" w:lineRule="exact"/>
              <w:jc w:val="left"/>
              <w:rPr>
                <w:rFonts w:ascii="宋体" w:hAnsi="宋体" w:eastAsia="宋体" w:cs="宋体"/>
                <w:color w:val="auto"/>
                <w:szCs w:val="21"/>
                <w:highlight w:val="none"/>
              </w:rPr>
            </w:pPr>
          </w:p>
        </w:tc>
        <w:tc>
          <w:tcPr>
            <w:tcW w:w="2130" w:type="dxa"/>
            <w:gridSpan w:val="3"/>
            <w:vAlign w:val="center"/>
          </w:tcPr>
          <w:p w14:paraId="35A649A4">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14:paraId="49E9F66C">
            <w:pPr>
              <w:spacing w:line="460" w:lineRule="exact"/>
              <w:jc w:val="left"/>
              <w:rPr>
                <w:rFonts w:ascii="宋体" w:hAnsi="宋体" w:eastAsia="宋体" w:cs="宋体"/>
                <w:color w:val="auto"/>
                <w:szCs w:val="21"/>
                <w:highlight w:val="none"/>
              </w:rPr>
            </w:pPr>
          </w:p>
        </w:tc>
      </w:tr>
      <w:tr w14:paraId="1754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7E6ECF8D">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14:paraId="2BB0F263">
            <w:pPr>
              <w:spacing w:line="460" w:lineRule="exact"/>
              <w:jc w:val="left"/>
              <w:rPr>
                <w:rFonts w:ascii="宋体" w:hAnsi="宋体" w:eastAsia="宋体" w:cs="宋体"/>
                <w:color w:val="auto"/>
                <w:szCs w:val="21"/>
                <w:highlight w:val="none"/>
              </w:rPr>
            </w:pPr>
          </w:p>
        </w:tc>
        <w:tc>
          <w:tcPr>
            <w:tcW w:w="927" w:type="dxa"/>
            <w:vAlign w:val="center"/>
          </w:tcPr>
          <w:p w14:paraId="2B16997D">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14:paraId="70A480D1">
            <w:pPr>
              <w:spacing w:line="460" w:lineRule="exact"/>
              <w:jc w:val="left"/>
              <w:rPr>
                <w:rFonts w:ascii="宋体" w:hAnsi="宋体" w:eastAsia="宋体" w:cs="宋体"/>
                <w:color w:val="auto"/>
                <w:szCs w:val="21"/>
                <w:highlight w:val="none"/>
              </w:rPr>
            </w:pPr>
          </w:p>
        </w:tc>
        <w:tc>
          <w:tcPr>
            <w:tcW w:w="2130" w:type="dxa"/>
            <w:gridSpan w:val="3"/>
            <w:vAlign w:val="center"/>
          </w:tcPr>
          <w:p w14:paraId="06CC4A60">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拟在本项目任职</w:t>
            </w:r>
          </w:p>
        </w:tc>
        <w:tc>
          <w:tcPr>
            <w:tcW w:w="2135" w:type="dxa"/>
            <w:vAlign w:val="center"/>
          </w:tcPr>
          <w:p w14:paraId="7202C331">
            <w:pPr>
              <w:spacing w:line="460" w:lineRule="exact"/>
              <w:jc w:val="left"/>
              <w:rPr>
                <w:rFonts w:ascii="宋体" w:hAnsi="宋体" w:eastAsia="宋体" w:cs="宋体"/>
                <w:color w:val="auto"/>
                <w:szCs w:val="21"/>
                <w:highlight w:val="none"/>
              </w:rPr>
            </w:pPr>
          </w:p>
        </w:tc>
      </w:tr>
      <w:tr w14:paraId="5233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37B09506">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14:paraId="43649422">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14:paraId="3C2D0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14:paraId="782C2C3F">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14:paraId="2E71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14:paraId="166AB5FE">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14:paraId="393631BA">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14:paraId="7CBBAA3D">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14:paraId="6B28BDDB">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14:paraId="477F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1414E539">
            <w:pPr>
              <w:spacing w:line="460" w:lineRule="exact"/>
              <w:jc w:val="left"/>
              <w:rPr>
                <w:rFonts w:ascii="宋体" w:hAnsi="宋体" w:eastAsia="宋体" w:cs="宋体"/>
                <w:color w:val="auto"/>
                <w:szCs w:val="21"/>
                <w:highlight w:val="none"/>
              </w:rPr>
            </w:pPr>
          </w:p>
        </w:tc>
        <w:tc>
          <w:tcPr>
            <w:tcW w:w="3420" w:type="dxa"/>
            <w:gridSpan w:val="4"/>
          </w:tcPr>
          <w:p w14:paraId="6C42326D">
            <w:pPr>
              <w:spacing w:line="460" w:lineRule="exact"/>
              <w:jc w:val="left"/>
              <w:rPr>
                <w:rFonts w:ascii="宋体" w:hAnsi="宋体" w:eastAsia="宋体" w:cs="宋体"/>
                <w:color w:val="auto"/>
                <w:szCs w:val="21"/>
                <w:highlight w:val="none"/>
              </w:rPr>
            </w:pPr>
          </w:p>
        </w:tc>
        <w:tc>
          <w:tcPr>
            <w:tcW w:w="1261" w:type="dxa"/>
          </w:tcPr>
          <w:p w14:paraId="13924AFD">
            <w:pPr>
              <w:spacing w:line="460" w:lineRule="exact"/>
              <w:jc w:val="left"/>
              <w:rPr>
                <w:rFonts w:ascii="宋体" w:hAnsi="宋体" w:eastAsia="宋体" w:cs="宋体"/>
                <w:color w:val="auto"/>
                <w:szCs w:val="21"/>
                <w:highlight w:val="none"/>
              </w:rPr>
            </w:pPr>
          </w:p>
        </w:tc>
        <w:tc>
          <w:tcPr>
            <w:tcW w:w="2296" w:type="dxa"/>
            <w:gridSpan w:val="2"/>
          </w:tcPr>
          <w:p w14:paraId="5CF0BA99">
            <w:pPr>
              <w:spacing w:line="460" w:lineRule="exact"/>
              <w:jc w:val="left"/>
              <w:rPr>
                <w:rFonts w:ascii="宋体" w:hAnsi="宋体" w:eastAsia="宋体" w:cs="宋体"/>
                <w:color w:val="auto"/>
                <w:szCs w:val="21"/>
                <w:highlight w:val="none"/>
              </w:rPr>
            </w:pPr>
          </w:p>
        </w:tc>
      </w:tr>
      <w:tr w14:paraId="612EE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653A3F86">
            <w:pPr>
              <w:spacing w:line="460" w:lineRule="exact"/>
              <w:jc w:val="left"/>
              <w:rPr>
                <w:rFonts w:ascii="宋体" w:hAnsi="宋体" w:eastAsia="宋体" w:cs="宋体"/>
                <w:color w:val="auto"/>
                <w:szCs w:val="21"/>
                <w:highlight w:val="none"/>
              </w:rPr>
            </w:pPr>
          </w:p>
        </w:tc>
        <w:tc>
          <w:tcPr>
            <w:tcW w:w="3420" w:type="dxa"/>
            <w:gridSpan w:val="4"/>
          </w:tcPr>
          <w:p w14:paraId="259D62AF">
            <w:pPr>
              <w:spacing w:line="460" w:lineRule="exact"/>
              <w:jc w:val="left"/>
              <w:rPr>
                <w:rFonts w:ascii="宋体" w:hAnsi="宋体" w:eastAsia="宋体" w:cs="宋体"/>
                <w:color w:val="auto"/>
                <w:szCs w:val="21"/>
                <w:highlight w:val="none"/>
              </w:rPr>
            </w:pPr>
          </w:p>
        </w:tc>
        <w:tc>
          <w:tcPr>
            <w:tcW w:w="1261" w:type="dxa"/>
          </w:tcPr>
          <w:p w14:paraId="5996057C">
            <w:pPr>
              <w:spacing w:line="460" w:lineRule="exact"/>
              <w:jc w:val="left"/>
              <w:rPr>
                <w:rFonts w:ascii="宋体" w:hAnsi="宋体" w:eastAsia="宋体" w:cs="宋体"/>
                <w:color w:val="auto"/>
                <w:szCs w:val="21"/>
                <w:highlight w:val="none"/>
              </w:rPr>
            </w:pPr>
          </w:p>
        </w:tc>
        <w:tc>
          <w:tcPr>
            <w:tcW w:w="2296" w:type="dxa"/>
            <w:gridSpan w:val="2"/>
          </w:tcPr>
          <w:p w14:paraId="5ABC9ADF">
            <w:pPr>
              <w:spacing w:line="460" w:lineRule="exact"/>
              <w:jc w:val="left"/>
              <w:rPr>
                <w:rFonts w:ascii="宋体" w:hAnsi="宋体" w:eastAsia="宋体" w:cs="宋体"/>
                <w:color w:val="auto"/>
                <w:szCs w:val="21"/>
                <w:highlight w:val="none"/>
              </w:rPr>
            </w:pPr>
          </w:p>
        </w:tc>
      </w:tr>
      <w:tr w14:paraId="1697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04F45603">
            <w:pPr>
              <w:spacing w:line="460" w:lineRule="exact"/>
              <w:jc w:val="left"/>
              <w:rPr>
                <w:rFonts w:ascii="宋体" w:hAnsi="宋体" w:eastAsia="宋体" w:cs="宋体"/>
                <w:color w:val="auto"/>
                <w:szCs w:val="21"/>
                <w:highlight w:val="none"/>
              </w:rPr>
            </w:pPr>
          </w:p>
        </w:tc>
        <w:tc>
          <w:tcPr>
            <w:tcW w:w="3420" w:type="dxa"/>
            <w:gridSpan w:val="4"/>
          </w:tcPr>
          <w:p w14:paraId="676E95A2">
            <w:pPr>
              <w:spacing w:line="460" w:lineRule="exact"/>
              <w:jc w:val="left"/>
              <w:rPr>
                <w:rFonts w:ascii="宋体" w:hAnsi="宋体" w:eastAsia="宋体" w:cs="宋体"/>
                <w:color w:val="auto"/>
                <w:szCs w:val="21"/>
                <w:highlight w:val="none"/>
              </w:rPr>
            </w:pPr>
          </w:p>
        </w:tc>
        <w:tc>
          <w:tcPr>
            <w:tcW w:w="1261" w:type="dxa"/>
          </w:tcPr>
          <w:p w14:paraId="7440B819">
            <w:pPr>
              <w:spacing w:line="460" w:lineRule="exact"/>
              <w:jc w:val="left"/>
              <w:rPr>
                <w:rFonts w:ascii="宋体" w:hAnsi="宋体" w:eastAsia="宋体" w:cs="宋体"/>
                <w:color w:val="auto"/>
                <w:szCs w:val="21"/>
                <w:highlight w:val="none"/>
              </w:rPr>
            </w:pPr>
          </w:p>
        </w:tc>
        <w:tc>
          <w:tcPr>
            <w:tcW w:w="2296" w:type="dxa"/>
            <w:gridSpan w:val="2"/>
          </w:tcPr>
          <w:p w14:paraId="733705C2">
            <w:pPr>
              <w:spacing w:line="460" w:lineRule="exact"/>
              <w:jc w:val="left"/>
              <w:rPr>
                <w:rFonts w:ascii="宋体" w:hAnsi="宋体" w:eastAsia="宋体" w:cs="宋体"/>
                <w:color w:val="auto"/>
                <w:szCs w:val="21"/>
                <w:highlight w:val="none"/>
              </w:rPr>
            </w:pPr>
          </w:p>
        </w:tc>
      </w:tr>
      <w:tr w14:paraId="2CA0F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14:paraId="49BD41FD">
            <w:pPr>
              <w:spacing w:line="460" w:lineRule="exact"/>
              <w:jc w:val="left"/>
              <w:rPr>
                <w:rFonts w:ascii="宋体" w:hAnsi="宋体" w:eastAsia="宋体" w:cs="宋体"/>
                <w:color w:val="auto"/>
                <w:szCs w:val="21"/>
                <w:highlight w:val="none"/>
              </w:rPr>
            </w:pPr>
          </w:p>
        </w:tc>
        <w:tc>
          <w:tcPr>
            <w:tcW w:w="3420" w:type="dxa"/>
            <w:gridSpan w:val="4"/>
            <w:vAlign w:val="center"/>
          </w:tcPr>
          <w:p w14:paraId="66F09B2E">
            <w:pPr>
              <w:spacing w:line="460" w:lineRule="exact"/>
              <w:jc w:val="left"/>
              <w:rPr>
                <w:rFonts w:ascii="宋体" w:hAnsi="宋体" w:eastAsia="宋体" w:cs="宋体"/>
                <w:color w:val="auto"/>
                <w:szCs w:val="21"/>
                <w:highlight w:val="none"/>
              </w:rPr>
            </w:pPr>
          </w:p>
        </w:tc>
        <w:tc>
          <w:tcPr>
            <w:tcW w:w="1261" w:type="dxa"/>
            <w:vAlign w:val="center"/>
          </w:tcPr>
          <w:p w14:paraId="09FCB966">
            <w:pPr>
              <w:spacing w:line="460" w:lineRule="exact"/>
              <w:jc w:val="left"/>
              <w:rPr>
                <w:rFonts w:ascii="宋体" w:hAnsi="宋体" w:eastAsia="宋体" w:cs="宋体"/>
                <w:color w:val="auto"/>
                <w:szCs w:val="21"/>
                <w:highlight w:val="none"/>
              </w:rPr>
            </w:pPr>
          </w:p>
        </w:tc>
        <w:tc>
          <w:tcPr>
            <w:tcW w:w="2296" w:type="dxa"/>
            <w:gridSpan w:val="2"/>
            <w:vAlign w:val="center"/>
          </w:tcPr>
          <w:p w14:paraId="22882BCC">
            <w:pPr>
              <w:spacing w:line="460" w:lineRule="exact"/>
              <w:jc w:val="left"/>
              <w:rPr>
                <w:rFonts w:ascii="宋体" w:hAnsi="宋体" w:eastAsia="宋体" w:cs="宋体"/>
                <w:color w:val="auto"/>
                <w:szCs w:val="21"/>
                <w:highlight w:val="none"/>
              </w:rPr>
            </w:pPr>
          </w:p>
        </w:tc>
      </w:tr>
    </w:tbl>
    <w:p w14:paraId="425EB3C8">
      <w:pPr>
        <w:rPr>
          <w:rFonts w:ascii="仿宋" w:hAnsi="仿宋" w:eastAsia="仿宋" w:cs="仿宋"/>
          <w:color w:val="auto"/>
          <w:szCs w:val="21"/>
          <w:highlight w:val="none"/>
        </w:rPr>
      </w:pPr>
    </w:p>
    <w:p w14:paraId="38BF892A">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14:paraId="764E245E">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2、项目负责人必须附执业证书及资格证书、身份证、职称证书及业绩等证明材料（复印件，加盖单位公章）。</w:t>
      </w:r>
    </w:p>
    <w:p w14:paraId="1E6BFFA2">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14:paraId="703062E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5E682D23">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03BC4479">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14:paraId="4095F9BF">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997D5E1">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6D823E4">
      <w:pPr>
        <w:pStyle w:val="31"/>
        <w:widowControl/>
        <w:ind w:firstLine="0" w:firstLineChars="0"/>
        <w:rPr>
          <w:color w:val="auto"/>
          <w:spacing w:val="18"/>
          <w:highlight w:val="none"/>
        </w:rPr>
      </w:pPr>
      <w:r>
        <w:rPr>
          <w:color w:val="auto"/>
          <w:spacing w:val="18"/>
          <w:highlight w:val="none"/>
        </w:rPr>
        <w:t xml:space="preserve"> </w:t>
      </w:r>
    </w:p>
    <w:p w14:paraId="01D2A821">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2B4A8FF">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B020499">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14:paraId="3EBFA5E0">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格式八：</w:t>
      </w:r>
    </w:p>
    <w:p w14:paraId="27098FD3">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rPr>
        <w:t>投标</w:t>
      </w:r>
      <w:r>
        <w:rPr>
          <w:rFonts w:hint="eastAsia" w:ascii="黑体" w:hAnsi="黑体" w:eastAsia="黑体" w:cs="黑体"/>
          <w:b/>
          <w:bCs/>
          <w:color w:val="auto"/>
          <w:sz w:val="32"/>
          <w:szCs w:val="32"/>
          <w:highlight w:val="none"/>
          <w:lang w:val="zh-CN"/>
        </w:rPr>
        <w:t>报价表</w:t>
      </w:r>
    </w:p>
    <w:p w14:paraId="345555D7">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9"/>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14:paraId="2700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14:paraId="37D7ACCD">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14:paraId="65461AFB">
            <w:pPr>
              <w:autoSpaceDE w:val="0"/>
              <w:autoSpaceDN w:val="0"/>
              <w:adjustRightInd w:val="0"/>
              <w:snapToGrid w:val="0"/>
              <w:spacing w:line="360" w:lineRule="auto"/>
              <w:jc w:val="center"/>
              <w:rPr>
                <w:rFonts w:hint="eastAsia" w:ascii="宋体" w:hAnsi="宋体" w:cs="宋体" w:eastAsiaTheme="minorEastAsia"/>
                <w:bCs/>
                <w:color w:val="auto"/>
                <w:szCs w:val="21"/>
                <w:highlight w:val="none"/>
                <w:lang w:val="zh-CN" w:eastAsia="zh-CN"/>
              </w:rPr>
            </w:pPr>
            <w:r>
              <w:rPr>
                <w:rFonts w:hint="eastAsia" w:ascii="宋体" w:hAnsi="宋体" w:cs="宋体"/>
                <w:bCs/>
                <w:color w:val="auto"/>
                <w:szCs w:val="21"/>
                <w:highlight w:val="none"/>
                <w:lang w:eastAsia="zh-CN"/>
              </w:rPr>
              <w:t>海湾小区N地块项目（领航科技大楼）专用电房高低压配电工程施工</w:t>
            </w:r>
          </w:p>
        </w:tc>
      </w:tr>
      <w:tr w14:paraId="6354D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14:paraId="3F24D010">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14:paraId="18F5F1EE">
            <w:pPr>
              <w:autoSpaceDE w:val="0"/>
              <w:autoSpaceDN w:val="0"/>
              <w:adjustRightInd w:val="0"/>
              <w:snapToGrid w:val="0"/>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lang w:val="zh-CN"/>
              </w:rPr>
              <w:t>（人民币）</w:t>
            </w:r>
          </w:p>
        </w:tc>
        <w:tc>
          <w:tcPr>
            <w:tcW w:w="6699" w:type="dxa"/>
            <w:vAlign w:val="center"/>
          </w:tcPr>
          <w:p w14:paraId="1DF68018">
            <w:pPr>
              <w:autoSpaceDE w:val="0"/>
              <w:autoSpaceDN w:val="0"/>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小写：                                      元</w:t>
            </w:r>
          </w:p>
        </w:tc>
      </w:tr>
      <w:tr w14:paraId="3BB2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14:paraId="072F0D98">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14:paraId="147D325D">
            <w:pPr>
              <w:autoSpaceDE w:val="0"/>
              <w:autoSpaceDN w:val="0"/>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大写：                                      元</w:t>
            </w:r>
          </w:p>
        </w:tc>
      </w:tr>
      <w:tr w14:paraId="4A1B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14:paraId="6538BB8A">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14:paraId="748FA104">
            <w:pPr>
              <w:autoSpaceDE w:val="0"/>
              <w:autoSpaceDN w:val="0"/>
              <w:adjustRightInd w:val="0"/>
              <w:snapToGrid w:val="0"/>
              <w:spacing w:line="360" w:lineRule="auto"/>
              <w:jc w:val="left"/>
              <w:rPr>
                <w:color w:val="auto"/>
                <w:highlight w:val="none"/>
              </w:rPr>
            </w:pPr>
            <w:r>
              <w:rPr>
                <w:rFonts w:hint="eastAsia"/>
                <w:color w:val="auto"/>
                <w:highlight w:val="none"/>
              </w:rPr>
              <w:t>下浮率：         %</w:t>
            </w:r>
          </w:p>
        </w:tc>
      </w:tr>
      <w:tr w14:paraId="6C8BB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14:paraId="51DF7D18">
            <w:pPr>
              <w:autoSpaceDE w:val="0"/>
              <w:autoSpaceDN w:val="0"/>
              <w:adjustRightInd w:val="0"/>
              <w:snapToGrid w:val="0"/>
              <w:spacing w:line="360" w:lineRule="auto"/>
              <w:jc w:val="center"/>
              <w:rPr>
                <w:rFonts w:ascii="宋体" w:hAnsi="宋体" w:cs="宋体"/>
                <w:bCs/>
                <w:color w:val="auto"/>
                <w:szCs w:val="21"/>
                <w:highlight w:val="none"/>
              </w:rPr>
            </w:pPr>
          </w:p>
        </w:tc>
        <w:tc>
          <w:tcPr>
            <w:tcW w:w="6699" w:type="dxa"/>
            <w:vAlign w:val="center"/>
          </w:tcPr>
          <w:p w14:paraId="36AE128F">
            <w:pPr>
              <w:autoSpaceDE w:val="0"/>
              <w:autoSpaceDN w:val="0"/>
              <w:adjustRightInd w:val="0"/>
              <w:snapToGrid w:val="0"/>
              <w:spacing w:line="360" w:lineRule="auto"/>
              <w:jc w:val="left"/>
              <w:rPr>
                <w:rFonts w:hint="eastAsia" w:ascii="宋体" w:hAnsi="宋体" w:cs="宋体" w:eastAsiaTheme="minorEastAsia"/>
                <w:bCs/>
                <w:color w:val="auto"/>
                <w:szCs w:val="21"/>
                <w:highlight w:val="none"/>
              </w:rPr>
            </w:pPr>
            <w:r>
              <w:rPr>
                <w:rFonts w:hint="eastAsia" w:ascii="宋体" w:hAnsi="宋体" w:cs="宋体"/>
                <w:bCs/>
                <w:color w:val="auto"/>
                <w:szCs w:val="21"/>
                <w:highlight w:val="none"/>
              </w:rPr>
              <w:t>其中：</w:t>
            </w:r>
            <w:r>
              <w:rPr>
                <w:rFonts w:hint="eastAsia" w:ascii="宋体" w:hAnsi="宋体" w:cs="宋体"/>
                <w:b w:val="0"/>
                <w:bCs/>
                <w:color w:val="auto"/>
                <w:sz w:val="21"/>
                <w:szCs w:val="21"/>
                <w:highlight w:val="none"/>
                <w:lang w:eastAsia="zh-CN"/>
              </w:rPr>
              <w:t>绿色施工安全防护措施费</w:t>
            </w:r>
            <w:r>
              <w:rPr>
                <w:rFonts w:hint="eastAsia" w:ascii="宋体" w:hAnsi="宋体" w:cs="宋体"/>
                <w:bCs/>
                <w:color w:val="auto"/>
                <w:szCs w:val="21"/>
                <w:highlight w:val="none"/>
              </w:rPr>
              <w:t>为</w:t>
            </w:r>
            <w:r>
              <w:rPr>
                <w:rFonts w:hint="eastAsia" w:ascii="宋体" w:hAnsi="宋体" w:cs="宋体" w:eastAsiaTheme="minorEastAsia"/>
                <w:b w:val="0"/>
                <w:bCs/>
                <w:color w:val="auto"/>
                <w:sz w:val="21"/>
                <w:szCs w:val="21"/>
                <w:highlight w:val="none"/>
                <w:lang w:val="en-US" w:eastAsia="zh-CN"/>
              </w:rPr>
              <w:t>64939.24</w:t>
            </w:r>
            <w:r>
              <w:rPr>
                <w:rFonts w:hint="eastAsia" w:ascii="宋体" w:hAnsi="宋体" w:cs="宋体"/>
                <w:bCs/>
                <w:color w:val="auto"/>
                <w:szCs w:val="21"/>
                <w:highlight w:val="none"/>
              </w:rPr>
              <w:t>元</w:t>
            </w:r>
          </w:p>
        </w:tc>
      </w:tr>
      <w:tr w14:paraId="3C9C3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14:paraId="39405CF4">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14:paraId="57E244A4">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14:paraId="7E94B1AB">
            <w:pPr>
              <w:autoSpaceDE w:val="0"/>
              <w:autoSpaceDN w:val="0"/>
              <w:adjustRightInd w:val="0"/>
              <w:snapToGrid w:val="0"/>
              <w:spacing w:line="360" w:lineRule="auto"/>
              <w:jc w:val="center"/>
              <w:rPr>
                <w:rFonts w:ascii="宋体" w:hAnsi="宋体" w:cs="宋体"/>
                <w:bCs/>
                <w:color w:val="auto"/>
                <w:szCs w:val="21"/>
                <w:highlight w:val="none"/>
                <w:lang w:val="zh-CN"/>
              </w:rPr>
            </w:pPr>
          </w:p>
        </w:tc>
      </w:tr>
      <w:tr w14:paraId="09AC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14:paraId="6DD76EF3">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14:paraId="29F023FD">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14:paraId="0C52EDE0">
            <w:pPr>
              <w:autoSpaceDE w:val="0"/>
              <w:autoSpaceDN w:val="0"/>
              <w:adjustRightInd w:val="0"/>
              <w:snapToGrid w:val="0"/>
              <w:spacing w:line="360" w:lineRule="auto"/>
              <w:jc w:val="center"/>
              <w:rPr>
                <w:rFonts w:ascii="宋体" w:hAnsi="宋体" w:cs="宋体"/>
                <w:bCs/>
                <w:color w:val="auto"/>
                <w:szCs w:val="21"/>
                <w:highlight w:val="none"/>
                <w:lang w:val="zh-CN"/>
              </w:rPr>
            </w:pPr>
          </w:p>
        </w:tc>
      </w:tr>
      <w:tr w14:paraId="6106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14:paraId="587DAB31">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14:paraId="6E7AA376">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14:paraId="2B739405">
            <w:pPr>
              <w:autoSpaceDE w:val="0"/>
              <w:autoSpaceDN w:val="0"/>
              <w:adjustRightInd w:val="0"/>
              <w:snapToGrid w:val="0"/>
              <w:spacing w:line="360" w:lineRule="auto"/>
              <w:jc w:val="center"/>
              <w:rPr>
                <w:rFonts w:ascii="宋体" w:hAnsi="宋体" w:cs="宋体"/>
                <w:bCs/>
                <w:color w:val="auto"/>
                <w:szCs w:val="21"/>
                <w:highlight w:val="none"/>
                <w:lang w:val="zh-CN"/>
              </w:rPr>
            </w:pPr>
          </w:p>
        </w:tc>
      </w:tr>
    </w:tbl>
    <w:p w14:paraId="7C2431AA">
      <w:pPr>
        <w:pStyle w:val="11"/>
        <w:spacing w:line="360" w:lineRule="auto"/>
        <w:ind w:firstLine="210" w:firstLineChars="100"/>
        <w:rPr>
          <w:rFonts w:hint="default"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14:paraId="41E5E5B9">
      <w:pPr>
        <w:pStyle w:val="11"/>
        <w:widowControl/>
        <w:spacing w:line="360" w:lineRule="auto"/>
        <w:ind w:firstLine="210" w:firstLineChars="100"/>
        <w:rPr>
          <w:rFonts w:hint="default" w:hAnsi="宋体" w:cs="宋体"/>
          <w:bCs/>
          <w:color w:val="auto"/>
          <w:highlight w:val="none"/>
        </w:rPr>
      </w:pPr>
      <w:r>
        <w:rPr>
          <w:rFonts w:hAnsi="宋体" w:cs="宋体"/>
          <w:bCs/>
          <w:color w:val="auto"/>
          <w:highlight w:val="none"/>
        </w:rPr>
        <w:t>（2）投标单位自行报价，投标总报价不能超过招标控制价，否则按废标处理。小数点后保留二位小数，第三位小数四舍五入。</w:t>
      </w:r>
    </w:p>
    <w:p w14:paraId="66D7594B">
      <w:pPr>
        <w:spacing w:line="360" w:lineRule="auto"/>
        <w:rPr>
          <w:rFonts w:hAnsi="宋体"/>
          <w:b/>
          <w:color w:val="auto"/>
          <w:highlight w:val="none"/>
        </w:rPr>
      </w:pPr>
      <w:r>
        <w:rPr>
          <w:rFonts w:hAnsi="宋体"/>
          <w:b/>
          <w:color w:val="auto"/>
          <w:highlight w:val="none"/>
        </w:rPr>
        <w:br w:type="page"/>
      </w:r>
    </w:p>
    <w:p w14:paraId="205D7535">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14:paraId="77489BA5">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14:paraId="05596174">
      <w:pPr>
        <w:jc w:val="center"/>
        <w:rPr>
          <w:rFonts w:ascii="宋体"/>
          <w:b/>
          <w:color w:val="auto"/>
          <w:sz w:val="32"/>
          <w:szCs w:val="32"/>
          <w:highlight w:val="none"/>
        </w:rPr>
      </w:pPr>
    </w:p>
    <w:p w14:paraId="3FBF3E30">
      <w:pPr>
        <w:jc w:val="center"/>
        <w:rPr>
          <w:rFonts w:ascii="宋体"/>
          <w:b/>
          <w:color w:val="auto"/>
          <w:sz w:val="32"/>
          <w:szCs w:val="32"/>
          <w:highlight w:val="none"/>
        </w:rPr>
      </w:pPr>
    </w:p>
    <w:p w14:paraId="4FC4A7BB">
      <w:pPr>
        <w:jc w:val="center"/>
        <w:rPr>
          <w:rFonts w:ascii="宋体"/>
          <w:b/>
          <w:color w:val="auto"/>
          <w:sz w:val="32"/>
          <w:szCs w:val="32"/>
          <w:highlight w:val="none"/>
        </w:rPr>
      </w:pPr>
    </w:p>
    <w:p w14:paraId="18FD4F0F">
      <w:pPr>
        <w:jc w:val="center"/>
        <w:rPr>
          <w:rFonts w:ascii="宋体"/>
          <w:b/>
          <w:color w:val="auto"/>
          <w:sz w:val="32"/>
          <w:szCs w:val="32"/>
          <w:highlight w:val="none"/>
        </w:rPr>
      </w:pPr>
    </w:p>
    <w:p w14:paraId="303DCC00">
      <w:pPr>
        <w:jc w:val="center"/>
        <w:rPr>
          <w:b/>
          <w:color w:val="auto"/>
          <w:sz w:val="44"/>
          <w:szCs w:val="44"/>
          <w:highlight w:val="none"/>
        </w:rPr>
      </w:pPr>
      <w:r>
        <w:rPr>
          <w:rFonts w:hint="eastAsia" w:ascii="宋体" w:hAnsi="宋体"/>
          <w:b/>
          <w:color w:val="auto"/>
          <w:sz w:val="44"/>
          <w:szCs w:val="44"/>
          <w:highlight w:val="none"/>
        </w:rPr>
        <w:t>项目名称</w:t>
      </w:r>
    </w:p>
    <w:p w14:paraId="4DD303CE">
      <w:pPr>
        <w:jc w:val="center"/>
        <w:rPr>
          <w:b/>
          <w:color w:val="auto"/>
          <w:sz w:val="48"/>
          <w:szCs w:val="48"/>
          <w:highlight w:val="none"/>
        </w:rPr>
      </w:pPr>
    </w:p>
    <w:p w14:paraId="0625E0B4">
      <w:pPr>
        <w:rPr>
          <w:rFonts w:eastAsia="黑体"/>
          <w:color w:val="auto"/>
          <w:sz w:val="20"/>
          <w:szCs w:val="20"/>
          <w:highlight w:val="none"/>
        </w:rPr>
      </w:pPr>
    </w:p>
    <w:p w14:paraId="66C858DE">
      <w:pPr>
        <w:rPr>
          <w:rFonts w:eastAsia="黑体"/>
          <w:color w:val="auto"/>
          <w:sz w:val="20"/>
          <w:szCs w:val="20"/>
          <w:highlight w:val="none"/>
        </w:rPr>
      </w:pPr>
    </w:p>
    <w:p w14:paraId="0875AEEB">
      <w:pPr>
        <w:rPr>
          <w:rFonts w:eastAsia="黑体"/>
          <w:color w:val="auto"/>
          <w:sz w:val="20"/>
          <w:szCs w:val="20"/>
          <w:highlight w:val="none"/>
        </w:rPr>
      </w:pPr>
    </w:p>
    <w:p w14:paraId="6025816E">
      <w:pPr>
        <w:rPr>
          <w:rFonts w:eastAsia="黑体"/>
          <w:color w:val="auto"/>
          <w:sz w:val="20"/>
          <w:szCs w:val="20"/>
          <w:highlight w:val="none"/>
        </w:rPr>
      </w:pPr>
    </w:p>
    <w:p w14:paraId="37BA88C8">
      <w:pPr>
        <w:jc w:val="center"/>
        <w:rPr>
          <w:rFonts w:eastAsia="黑体"/>
          <w:color w:val="auto"/>
          <w:sz w:val="28"/>
          <w:szCs w:val="28"/>
          <w:highlight w:val="none"/>
        </w:rPr>
      </w:pPr>
      <w:r>
        <w:rPr>
          <w:rFonts w:hint="eastAsia" w:eastAsia="黑体"/>
          <w:color w:val="auto"/>
          <w:sz w:val="52"/>
          <w:szCs w:val="52"/>
          <w:highlight w:val="none"/>
        </w:rPr>
        <w:t>商务文件</w:t>
      </w:r>
    </w:p>
    <w:p w14:paraId="63EBF41A">
      <w:pPr>
        <w:rPr>
          <w:rFonts w:eastAsia="黑体"/>
          <w:color w:val="auto"/>
          <w:sz w:val="28"/>
          <w:szCs w:val="28"/>
          <w:highlight w:val="none"/>
        </w:rPr>
      </w:pPr>
    </w:p>
    <w:p w14:paraId="0B0A0E10">
      <w:pPr>
        <w:rPr>
          <w:rFonts w:eastAsia="黑体"/>
          <w:color w:val="auto"/>
          <w:sz w:val="28"/>
          <w:szCs w:val="28"/>
          <w:highlight w:val="none"/>
        </w:rPr>
      </w:pPr>
    </w:p>
    <w:p w14:paraId="3CB56CA8">
      <w:pPr>
        <w:rPr>
          <w:rFonts w:eastAsia="黑体"/>
          <w:color w:val="auto"/>
          <w:sz w:val="28"/>
          <w:szCs w:val="28"/>
          <w:highlight w:val="none"/>
        </w:rPr>
      </w:pPr>
    </w:p>
    <w:p w14:paraId="11337A46">
      <w:pPr>
        <w:rPr>
          <w:rFonts w:eastAsia="黑体"/>
          <w:color w:val="auto"/>
          <w:sz w:val="28"/>
          <w:szCs w:val="28"/>
          <w:highlight w:val="none"/>
        </w:rPr>
      </w:pPr>
    </w:p>
    <w:p w14:paraId="65E5C901">
      <w:pPr>
        <w:spacing w:line="720" w:lineRule="auto"/>
        <w:rPr>
          <w:rFonts w:eastAsia="黑体"/>
          <w:color w:val="auto"/>
          <w:sz w:val="28"/>
          <w:szCs w:val="28"/>
          <w:highlight w:val="none"/>
        </w:rPr>
      </w:pPr>
    </w:p>
    <w:p w14:paraId="412D82A1">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14:paraId="00BA8E16">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14:paraId="021E556C">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14:paraId="5C277D7C">
      <w:pPr>
        <w:widowControl/>
        <w:jc w:val="left"/>
        <w:rPr>
          <w:b/>
          <w:color w:val="auto"/>
          <w:sz w:val="24"/>
          <w:highlight w:val="none"/>
        </w:rPr>
      </w:pPr>
      <w:r>
        <w:rPr>
          <w:b/>
          <w:color w:val="auto"/>
          <w:sz w:val="24"/>
          <w:highlight w:val="none"/>
        </w:rPr>
        <w:br w:type="page"/>
      </w:r>
    </w:p>
    <w:p w14:paraId="11BBD3DE">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14:paraId="246B3C04">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14:paraId="1F524567">
      <w:pPr>
        <w:jc w:val="center"/>
        <w:rPr>
          <w:rFonts w:ascii="宋体"/>
          <w:b/>
          <w:color w:val="auto"/>
          <w:sz w:val="32"/>
          <w:szCs w:val="32"/>
          <w:highlight w:val="none"/>
        </w:rPr>
      </w:pPr>
    </w:p>
    <w:p w14:paraId="58EF5A3D">
      <w:pPr>
        <w:jc w:val="center"/>
        <w:rPr>
          <w:rFonts w:ascii="宋体"/>
          <w:b/>
          <w:color w:val="auto"/>
          <w:sz w:val="32"/>
          <w:szCs w:val="32"/>
          <w:highlight w:val="none"/>
        </w:rPr>
      </w:pPr>
    </w:p>
    <w:p w14:paraId="60374CC6">
      <w:pPr>
        <w:jc w:val="center"/>
        <w:rPr>
          <w:rFonts w:ascii="宋体"/>
          <w:b/>
          <w:color w:val="auto"/>
          <w:sz w:val="32"/>
          <w:szCs w:val="32"/>
          <w:highlight w:val="none"/>
        </w:rPr>
      </w:pPr>
    </w:p>
    <w:p w14:paraId="4A6BCF71">
      <w:pPr>
        <w:jc w:val="center"/>
        <w:rPr>
          <w:rFonts w:ascii="宋体"/>
          <w:b/>
          <w:color w:val="auto"/>
          <w:sz w:val="32"/>
          <w:szCs w:val="32"/>
          <w:highlight w:val="none"/>
        </w:rPr>
      </w:pPr>
    </w:p>
    <w:p w14:paraId="3291DE0A">
      <w:pPr>
        <w:jc w:val="center"/>
        <w:rPr>
          <w:b/>
          <w:color w:val="auto"/>
          <w:sz w:val="44"/>
          <w:szCs w:val="44"/>
          <w:highlight w:val="none"/>
        </w:rPr>
      </w:pPr>
      <w:r>
        <w:rPr>
          <w:rFonts w:hint="eastAsia" w:ascii="宋体" w:hAnsi="宋体"/>
          <w:b/>
          <w:color w:val="auto"/>
          <w:sz w:val="44"/>
          <w:szCs w:val="44"/>
          <w:highlight w:val="none"/>
        </w:rPr>
        <w:t>项目名称</w:t>
      </w:r>
    </w:p>
    <w:p w14:paraId="31783176">
      <w:pPr>
        <w:jc w:val="center"/>
        <w:rPr>
          <w:b/>
          <w:color w:val="auto"/>
          <w:sz w:val="48"/>
          <w:szCs w:val="48"/>
          <w:highlight w:val="none"/>
        </w:rPr>
      </w:pPr>
    </w:p>
    <w:p w14:paraId="598D3C95">
      <w:pPr>
        <w:rPr>
          <w:rFonts w:eastAsia="黑体"/>
          <w:color w:val="auto"/>
          <w:sz w:val="20"/>
          <w:szCs w:val="20"/>
          <w:highlight w:val="none"/>
        </w:rPr>
      </w:pPr>
    </w:p>
    <w:p w14:paraId="4B864AF0">
      <w:pPr>
        <w:rPr>
          <w:rFonts w:eastAsia="黑体"/>
          <w:color w:val="auto"/>
          <w:sz w:val="20"/>
          <w:szCs w:val="20"/>
          <w:highlight w:val="none"/>
        </w:rPr>
      </w:pPr>
    </w:p>
    <w:p w14:paraId="225CB6E2">
      <w:pPr>
        <w:rPr>
          <w:rFonts w:eastAsia="黑体"/>
          <w:color w:val="auto"/>
          <w:sz w:val="20"/>
          <w:szCs w:val="20"/>
          <w:highlight w:val="none"/>
        </w:rPr>
      </w:pPr>
    </w:p>
    <w:p w14:paraId="07C00877">
      <w:pPr>
        <w:rPr>
          <w:rFonts w:eastAsia="黑体"/>
          <w:color w:val="auto"/>
          <w:sz w:val="20"/>
          <w:szCs w:val="20"/>
          <w:highlight w:val="none"/>
        </w:rPr>
      </w:pPr>
    </w:p>
    <w:p w14:paraId="0A4E5136">
      <w:pPr>
        <w:jc w:val="center"/>
        <w:rPr>
          <w:rFonts w:eastAsia="黑体"/>
          <w:color w:val="auto"/>
          <w:sz w:val="52"/>
          <w:szCs w:val="52"/>
          <w:highlight w:val="none"/>
        </w:rPr>
      </w:pPr>
      <w:r>
        <w:rPr>
          <w:rFonts w:hint="eastAsia" w:eastAsia="黑体"/>
          <w:color w:val="auto"/>
          <w:sz w:val="52"/>
          <w:szCs w:val="52"/>
          <w:highlight w:val="none"/>
        </w:rPr>
        <w:t>技术文件</w:t>
      </w:r>
    </w:p>
    <w:p w14:paraId="6D7C4CA2">
      <w:pPr>
        <w:autoSpaceDE w:val="0"/>
        <w:autoSpaceDN w:val="0"/>
        <w:adjustRightInd w:val="0"/>
        <w:spacing w:line="480" w:lineRule="auto"/>
        <w:rPr>
          <w:rFonts w:eastAsia="黑体"/>
          <w:color w:val="auto"/>
          <w:sz w:val="28"/>
          <w:szCs w:val="28"/>
          <w:highlight w:val="none"/>
        </w:rPr>
      </w:pPr>
    </w:p>
    <w:p w14:paraId="676CC6D8">
      <w:pPr>
        <w:spacing w:line="480" w:lineRule="auto"/>
        <w:rPr>
          <w:color w:val="auto"/>
          <w:highlight w:val="none"/>
        </w:rPr>
      </w:pPr>
    </w:p>
    <w:p w14:paraId="4EC5F0A8">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14:paraId="587768D6">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14:paraId="465AC611">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14:paraId="3C55F74B">
      <w:pPr>
        <w:pStyle w:val="11"/>
        <w:rPr>
          <w:rFonts w:hint="default"/>
          <w:color w:val="auto"/>
          <w:highlight w:val="none"/>
        </w:rPr>
      </w:pPr>
    </w:p>
    <w:p w14:paraId="12167F71">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705021DF">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6FC83B50">
      <w:pPr>
        <w:pStyle w:val="2"/>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14:paraId="25DF9F85">
      <w:pPr>
        <w:pStyle w:val="2"/>
        <w:widowControl/>
        <w:spacing w:before="0" w:after="0" w:line="360" w:lineRule="auto"/>
        <w:jc w:val="center"/>
        <w:rPr>
          <w:rFonts w:ascii="黑体" w:hAnsi="宋体" w:cs="黑体"/>
          <w:b/>
          <w:color w:val="auto"/>
          <w:kern w:val="44"/>
          <w:sz w:val="44"/>
          <w:szCs w:val="44"/>
          <w:highlight w:val="none"/>
        </w:rPr>
      </w:pPr>
    </w:p>
    <w:p w14:paraId="01E83D49">
      <w:pPr>
        <w:pStyle w:val="2"/>
        <w:widowControl/>
        <w:spacing w:before="0" w:after="0" w:line="360" w:lineRule="auto"/>
        <w:jc w:val="center"/>
        <w:rPr>
          <w:rFonts w:ascii="黑体" w:hAnsi="宋体" w:cs="黑体"/>
          <w:b/>
          <w:color w:val="auto"/>
          <w:kern w:val="44"/>
          <w:sz w:val="44"/>
          <w:szCs w:val="44"/>
          <w:highlight w:val="none"/>
        </w:rPr>
      </w:pPr>
    </w:p>
    <w:p w14:paraId="247D0602">
      <w:pPr>
        <w:pStyle w:val="2"/>
        <w:widowControl/>
        <w:spacing w:before="0" w:after="0" w:line="360" w:lineRule="auto"/>
        <w:jc w:val="center"/>
        <w:rPr>
          <w:rFonts w:ascii="黑体" w:hAnsi="宋体" w:cs="黑体"/>
          <w:b/>
          <w:color w:val="auto"/>
          <w:kern w:val="44"/>
          <w:sz w:val="44"/>
          <w:szCs w:val="44"/>
          <w:highlight w:val="none"/>
        </w:rPr>
      </w:pPr>
    </w:p>
    <w:p w14:paraId="24BB20D0">
      <w:pPr>
        <w:pStyle w:val="2"/>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14:paraId="02AABEF8">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14:paraId="38622C9C">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14:paraId="0D136F88">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14:paraId="53FA927F">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14:paraId="07439B5B">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14:paraId="15FB9808">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14:paraId="6673EB9D">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14:paraId="534B1014">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14:paraId="26AD20CB">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14:paraId="72BE1B2E">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14:paraId="0D95BB44">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14:paraId="182C60D4">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14:paraId="23B9EF33">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14:paraId="7C2D30FB">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14:paraId="03DFBC7B">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14:paraId="1F1893C7">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14:paraId="23165748">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14:paraId="3A64F3BA">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14:paraId="5BFCFA3E">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广州市公共资源交易中心备案；情节严重，构成犯罪的，由司法机关依法追究其刑事责任。</w:t>
      </w:r>
    </w:p>
    <w:p w14:paraId="2A2105DC">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14:paraId="27D9D10F">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14:paraId="27ED0C83">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14:paraId="5FAB1570">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14:paraId="09B23B4D">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14:paraId="21813E4F">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14:paraId="7AE917BA">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14:paraId="47580BC6">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14:paraId="4D0EAE65">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14:paraId="79E0BB65">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14:paraId="3ED3CDF8">
      <w:pPr>
        <w:pStyle w:val="11"/>
        <w:widowControl/>
        <w:spacing w:line="360" w:lineRule="auto"/>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  评标小组</w:t>
      </w:r>
    </w:p>
    <w:p w14:paraId="58A84EAC">
      <w:pPr>
        <w:pStyle w:val="11"/>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14:paraId="0E00F3B9">
      <w:pPr>
        <w:pStyle w:val="11"/>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14:paraId="17109B10">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14:paraId="59B48D23">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14:paraId="3DE69BA0">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14:paraId="43005931">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14:paraId="20017077">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14:paraId="24B3B81C">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14:paraId="180CD4F3">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14:paraId="125DD32D">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14:paraId="6433DE09">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14:paraId="0573D711">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14:paraId="0FFBDB71">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14:paraId="32FCDA19">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14:paraId="4E3367B4">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14:paraId="7F8BB9DC">
      <w:p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14:paraId="771087D9">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（2）评标小组专家计算各投标人的综合得分。</w:t>
      </w:r>
    </w:p>
    <w:p w14:paraId="0AE432E3">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14:paraId="35814C1A">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14:paraId="2F61A267">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14:paraId="5504B80C">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14:paraId="3BA6DAD8">
      <w:pPr>
        <w:spacing w:line="360" w:lineRule="auto"/>
        <w:ind w:left="956" w:leftChars="266" w:hanging="397" w:hangingChars="1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□（1）招标人委托评标小组直接确定中标人；</w:t>
      </w:r>
    </w:p>
    <w:p w14:paraId="110AC82B">
      <w:pPr>
        <w:spacing w:line="360" w:lineRule="auto"/>
        <w:ind w:firstLine="562" w:firstLineChars="200"/>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bCs/>
          <w:color w:val="auto"/>
          <w:kern w:val="0"/>
          <w:sz w:val="28"/>
          <w:szCs w:val="28"/>
          <w:highlight w:val="none"/>
        </w:rPr>
        <w:t>（2）</w:t>
      </w:r>
      <w:r>
        <w:rPr>
          <w:rFonts w:hint="eastAsia" w:ascii="仿宋" w:hAnsi="仿宋" w:eastAsia="仿宋" w:cs="仿宋"/>
          <w:color w:val="auto"/>
          <w:sz w:val="28"/>
          <w:szCs w:val="28"/>
          <w:highlight w:val="none"/>
        </w:rPr>
        <w:t>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也可以重新招标。以此类推，如所有中标候选人均出现前款所列的情形，为招标失败，招标人依法重新招标。</w:t>
      </w:r>
    </w:p>
    <w:p w14:paraId="1BFA7155">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14:paraId="04B758DE">
      <w:pPr>
        <w:pStyle w:val="11"/>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14:paraId="7D3FC8B1">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14:paraId="30546508">
      <w:pPr>
        <w:pStyle w:val="11"/>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14:paraId="0A17C2C6">
      <w:pPr>
        <w:pStyle w:val="11"/>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14:paraId="5132AB2B">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14:paraId="186CB257">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14:paraId="3A3F14B1">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14:paraId="3B3E3DB5">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14:paraId="4457ADFE">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14:paraId="1E911656">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14:paraId="64918DF8">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14:paraId="1DC6E50B">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14:paraId="189197B5">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14:paraId="4B11CD18">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14:paraId="68E5FF5F">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7.1.1 第一步：进行投标文件符合性审查；</w:t>
      </w:r>
    </w:p>
    <w:p w14:paraId="6D369EBC">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14:paraId="6640532E">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7.1.2 第二步：专家对综合评分表进行打分；</w:t>
      </w:r>
    </w:p>
    <w:p w14:paraId="60888D12">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7.1.3 第三步：评标小组完成评标报告，向招标人推荐中标候选人。</w:t>
      </w:r>
    </w:p>
    <w:p w14:paraId="0F18062C">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14:paraId="7390A3B0">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14:paraId="47C617CB">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14:paraId="285D58F7">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14:paraId="68B6C0FF">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14:paraId="312A4F0A">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14:paraId="2E45EB37">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14:paraId="6F122C30">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7.5.2若出现得分相同的单位，按报价低者排前的原则，若报价亦一致的，由评标小组采用记名投票方式，确定其排序。</w:t>
      </w:r>
    </w:p>
    <w:p w14:paraId="738428C4">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14:paraId="323428FE">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7.6.1  招标人依据评标报告审定本项目的中标人。</w:t>
      </w:r>
    </w:p>
    <w:p w14:paraId="1665574C">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7.6.2  虽然经招标人审定为中标人，但在签订合同前的任何时候，招标人、评标专家以及其他人员发现投标人在招标投标过程有弄虚作假行为、虚报资料情况，一经查实，立即取消其中标人资格。</w:t>
      </w:r>
    </w:p>
    <w:p w14:paraId="25A9B544">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14:paraId="7FF301A3">
      <w:pPr>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7.7.1 若中标人在实际工作中服务质量存在问题，未能表现出符合要求的水平，经招标人研究确定，可解除与中标人的合同关系，并按照中标候选人顺序依次选取新的中标人，或重新招标。</w:t>
      </w:r>
    </w:p>
    <w:p w14:paraId="2729E234">
      <w:pPr>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7.7.2当中标人以正式的书面函件形式申请放弃中标资格时，招标人可取消其中标人资格，解除与中标人的合同关系，并按照中标候选人顺序依次选取新的中标人，或重新招标。</w:t>
      </w:r>
    </w:p>
    <w:p w14:paraId="0C2AC6D6">
      <w:pPr>
        <w:jc w:val="left"/>
        <w:rPr>
          <w:rFonts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14:paraId="201976B9">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14:paraId="188B203C">
      <w:pPr>
        <w:pStyle w:val="2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14:paraId="6986005A">
      <w:pPr>
        <w:pStyle w:val="28"/>
        <w:widowControl/>
        <w:ind w:firstLine="562"/>
        <w:rPr>
          <w:rFonts w:hint="default"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14:paraId="2A553BB1">
      <w:pPr>
        <w:pStyle w:val="2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14:paraId="217E8F68">
      <w:pPr>
        <w:pStyle w:val="28"/>
        <w:widowControl/>
        <w:ind w:firstLine="562"/>
        <w:rPr>
          <w:rFonts w:hint="eastAsia" w:ascii="仿宋" w:hAnsi="仿宋" w:eastAsia="仿宋" w:cs="仿宋"/>
          <w:b/>
          <w:color w:val="auto"/>
          <w:sz w:val="28"/>
          <w:szCs w:val="28"/>
          <w:highlight w:val="none"/>
          <w:u w:val="single"/>
          <w:lang w:eastAsia="zh-CN"/>
        </w:rPr>
      </w:pPr>
      <w:r>
        <w:rPr>
          <w:rFonts w:ascii="仿宋" w:hAnsi="仿宋" w:eastAsia="仿宋" w:cs="仿宋"/>
          <w:b/>
          <w:color w:val="auto"/>
          <w:sz w:val="28"/>
          <w:szCs w:val="28"/>
          <w:highlight w:val="none"/>
          <w:u w:val="single"/>
        </w:rPr>
        <w:t xml:space="preserve">附件4 </w:t>
      </w:r>
      <w:r>
        <w:rPr>
          <w:rFonts w:hint="eastAsia" w:ascii="仿宋" w:hAnsi="仿宋" w:eastAsia="仿宋" w:cs="仿宋"/>
          <w:b/>
          <w:color w:val="auto"/>
          <w:sz w:val="28"/>
          <w:szCs w:val="28"/>
          <w:highlight w:val="none"/>
          <w:u w:val="single"/>
          <w:lang w:eastAsia="zh-CN"/>
        </w:rPr>
        <w:t>品牌表</w:t>
      </w:r>
    </w:p>
    <w:p w14:paraId="1B8CA0DA">
      <w:pPr>
        <w:pStyle w:val="28"/>
        <w:widowControl/>
        <w:ind w:firstLine="562"/>
        <w:rPr>
          <w:rFonts w:hint="default"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5 工程技术要求</w:t>
      </w:r>
    </w:p>
    <w:p w14:paraId="558F1BDF">
      <w:pPr>
        <w:pStyle w:val="28"/>
        <w:widowControl/>
        <w:ind w:firstLine="562"/>
        <w:rPr>
          <w:rFonts w:hint="default" w:ascii="仿宋" w:hAnsi="仿宋" w:eastAsia="仿宋" w:cs="仿宋"/>
          <w:b/>
          <w:color w:val="auto"/>
          <w:sz w:val="28"/>
          <w:szCs w:val="28"/>
          <w:highlight w:val="none"/>
          <w:u w:val="single"/>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 xml:space="preserve">5 </w:t>
      </w:r>
      <w:r>
        <w:rPr>
          <w:rFonts w:ascii="仿宋" w:hAnsi="仿宋" w:eastAsia="仿宋" w:cs="仿宋"/>
          <w:b/>
          <w:color w:val="auto"/>
          <w:sz w:val="28"/>
          <w:szCs w:val="28"/>
          <w:highlight w:val="none"/>
          <w:u w:val="single"/>
        </w:rPr>
        <w:t>图纸（另附）</w:t>
      </w:r>
    </w:p>
    <w:p w14:paraId="571285AD">
      <w:pPr>
        <w:pStyle w:val="2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w:t>
      </w:r>
      <w:r>
        <w:rPr>
          <w:rFonts w:hint="eastAsia" w:ascii="仿宋" w:hAnsi="仿宋" w:eastAsia="仿宋" w:cs="仿宋"/>
          <w:b/>
          <w:color w:val="auto"/>
          <w:sz w:val="28"/>
          <w:szCs w:val="28"/>
          <w:highlight w:val="none"/>
          <w:u w:val="single"/>
          <w:lang w:val="en-US" w:eastAsia="zh-CN"/>
        </w:rPr>
        <w:t>6</w:t>
      </w:r>
      <w:r>
        <w:rPr>
          <w:rFonts w:ascii="仿宋" w:hAnsi="仿宋" w:eastAsia="仿宋" w:cs="仿宋"/>
          <w:b/>
          <w:color w:val="auto"/>
          <w:sz w:val="28"/>
          <w:szCs w:val="28"/>
          <w:highlight w:val="none"/>
          <w:u w:val="single"/>
        </w:rPr>
        <w:t xml:space="preserve"> 工程量清单（另附）</w:t>
      </w:r>
    </w:p>
    <w:p w14:paraId="6B4B13A8">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14:paraId="72FA1217">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9"/>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14:paraId="05D504B1">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AA02D83">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14:paraId="47473830">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14:paraId="3275E8C1">
            <w:pPr>
              <w:spacing w:before="120" w:beforeLines="50" w:after="120" w:afterLines="50" w:line="240" w:lineRule="exact"/>
              <w:ind w:left="105" w:leftChars="50" w:right="105" w:rightChars="50"/>
              <w:jc w:val="center"/>
              <w:rPr>
                <w:rFonts w:ascii="仿宋" w:hAnsi="仿宋" w:eastAsia="仿宋" w:cs="仿宋"/>
                <w:b/>
                <w:color w:val="auto"/>
                <w:highlight w:val="none"/>
              </w:rPr>
            </w:pPr>
          </w:p>
          <w:p w14:paraId="3BE68DF2">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14:paraId="40560DB3">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14:paraId="67827AA9">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14:paraId="274F957C">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14:paraId="30EAFEE9">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AB22B15">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14:paraId="0775DD0C">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14:paraId="3F276924">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529950B9">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7023039E">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3859109D">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C8C608A">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14:paraId="365DA449">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14:paraId="23306B80">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67D7009D">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4508C017">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6E42B7AF">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4BF50E0">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3</w:t>
            </w:r>
          </w:p>
        </w:tc>
        <w:tc>
          <w:tcPr>
            <w:tcW w:w="3533" w:type="dxa"/>
            <w:tcBorders>
              <w:top w:val="single" w:color="auto" w:sz="4" w:space="0"/>
              <w:left w:val="nil"/>
              <w:bottom w:val="single" w:color="auto" w:sz="4" w:space="0"/>
              <w:right w:val="single" w:color="auto" w:sz="4" w:space="0"/>
            </w:tcBorders>
            <w:shd w:val="clear" w:color="auto" w:fill="auto"/>
            <w:vAlign w:val="center"/>
          </w:tcPr>
          <w:p w14:paraId="04306F37">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14:paraId="3C6E5095">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468FA73B">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450B33DF">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7E909D71">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959FAF4">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4</w:t>
            </w:r>
          </w:p>
        </w:tc>
        <w:tc>
          <w:tcPr>
            <w:tcW w:w="3533" w:type="dxa"/>
            <w:tcBorders>
              <w:top w:val="single" w:color="auto" w:sz="4" w:space="0"/>
              <w:left w:val="nil"/>
              <w:bottom w:val="single" w:color="auto" w:sz="4" w:space="0"/>
              <w:right w:val="single" w:color="auto" w:sz="4" w:space="0"/>
            </w:tcBorders>
            <w:shd w:val="clear" w:color="auto" w:fill="auto"/>
            <w:vAlign w:val="center"/>
          </w:tcPr>
          <w:p w14:paraId="18F1606F">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投标报价不超过招标控制价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14:paraId="01171384">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7D675E03">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5C4ACA09">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5EC4BEA7">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6286B8C">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14:paraId="6598E0F1">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14:paraId="15EDFBBF">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502E9347">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21999AF2">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14:paraId="0DFB93CF">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14:paraId="1FD4943E">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14:paraId="510EB637">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14:paraId="241A5DA8">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14:paraId="5DB27C06">
      <w:pPr>
        <w:snapToGrid w:val="0"/>
        <w:ind w:left="74"/>
        <w:rPr>
          <w:rFonts w:ascii="仿宋" w:hAnsi="仿宋" w:eastAsia="仿宋" w:cs="Courier New"/>
          <w:color w:val="auto"/>
          <w:sz w:val="28"/>
          <w:szCs w:val="28"/>
          <w:highlight w:val="none"/>
        </w:rPr>
      </w:pPr>
    </w:p>
    <w:p w14:paraId="473D9F2B">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14:paraId="009BAAA2">
      <w:pPr>
        <w:snapToGrid w:val="0"/>
        <w:ind w:left="74"/>
        <w:outlineLvl w:val="0"/>
        <w:rPr>
          <w:rFonts w:hint="eastAsia"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20"/>
        <w:tblW w:w="12556" w:type="dxa"/>
        <w:tblInd w:w="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2943"/>
        <w:gridCol w:w="529"/>
        <w:gridCol w:w="7778"/>
        <w:gridCol w:w="667"/>
      </w:tblGrid>
      <w:tr w14:paraId="48E20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0" w:type="auto"/>
            <w:vAlign w:val="center"/>
          </w:tcPr>
          <w:p w14:paraId="39E436DB">
            <w:pPr>
              <w:spacing w:line="360" w:lineRule="exact"/>
              <w:jc w:val="center"/>
              <w:rPr>
                <w:rFonts w:ascii="宋体" w:hAnsi="宋体"/>
                <w:b/>
                <w:color w:val="auto"/>
                <w:sz w:val="28"/>
                <w:szCs w:val="28"/>
                <w:highlight w:val="none"/>
                <w:vertAlign w:val="baseline"/>
              </w:rPr>
            </w:pPr>
            <w:r>
              <w:rPr>
                <w:rFonts w:hint="eastAsia"/>
                <w:color w:val="auto"/>
                <w:szCs w:val="21"/>
                <w:highlight w:val="none"/>
              </w:rPr>
              <w:t>评分项目</w:t>
            </w:r>
          </w:p>
        </w:tc>
        <w:tc>
          <w:tcPr>
            <w:tcW w:w="0" w:type="auto"/>
            <w:vAlign w:val="center"/>
          </w:tcPr>
          <w:p w14:paraId="14F9F3F5">
            <w:pPr>
              <w:spacing w:line="360" w:lineRule="exact"/>
              <w:jc w:val="center"/>
              <w:rPr>
                <w:rFonts w:ascii="宋体" w:hAnsi="宋体"/>
                <w:b/>
                <w:color w:val="auto"/>
                <w:sz w:val="28"/>
                <w:szCs w:val="28"/>
                <w:highlight w:val="none"/>
                <w:vertAlign w:val="baseline"/>
              </w:rPr>
            </w:pPr>
            <w:r>
              <w:rPr>
                <w:rFonts w:hint="eastAsia"/>
                <w:color w:val="auto"/>
                <w:szCs w:val="21"/>
                <w:highlight w:val="none"/>
              </w:rPr>
              <w:t>评分内容</w:t>
            </w:r>
          </w:p>
        </w:tc>
        <w:tc>
          <w:tcPr>
            <w:tcW w:w="0" w:type="auto"/>
            <w:vAlign w:val="center"/>
          </w:tcPr>
          <w:p w14:paraId="7454B78A">
            <w:pPr>
              <w:spacing w:line="360" w:lineRule="exact"/>
              <w:jc w:val="center"/>
              <w:rPr>
                <w:rFonts w:ascii="宋体" w:hAnsi="宋体"/>
                <w:b/>
                <w:color w:val="auto"/>
                <w:sz w:val="28"/>
                <w:szCs w:val="28"/>
                <w:highlight w:val="none"/>
                <w:vertAlign w:val="baseline"/>
              </w:rPr>
            </w:pPr>
            <w:r>
              <w:rPr>
                <w:rFonts w:hint="eastAsia"/>
                <w:color w:val="auto"/>
                <w:szCs w:val="21"/>
                <w:highlight w:val="none"/>
              </w:rPr>
              <w:t>分值</w:t>
            </w:r>
          </w:p>
        </w:tc>
        <w:tc>
          <w:tcPr>
            <w:tcW w:w="7778" w:type="dxa"/>
            <w:vAlign w:val="center"/>
          </w:tcPr>
          <w:p w14:paraId="7B1CD1AE">
            <w:pPr>
              <w:spacing w:line="360" w:lineRule="exact"/>
              <w:jc w:val="center"/>
              <w:rPr>
                <w:rFonts w:ascii="宋体" w:hAnsi="宋体"/>
                <w:b/>
                <w:color w:val="auto"/>
                <w:sz w:val="28"/>
                <w:szCs w:val="28"/>
                <w:highlight w:val="none"/>
                <w:vertAlign w:val="baseline"/>
              </w:rPr>
            </w:pPr>
            <w:r>
              <w:rPr>
                <w:rFonts w:hint="eastAsia"/>
                <w:color w:val="auto"/>
                <w:szCs w:val="21"/>
                <w:highlight w:val="none"/>
              </w:rPr>
              <w:t>评审标准</w:t>
            </w:r>
          </w:p>
        </w:tc>
        <w:tc>
          <w:tcPr>
            <w:tcW w:w="667" w:type="dxa"/>
            <w:vAlign w:val="center"/>
          </w:tcPr>
          <w:p w14:paraId="5957EA78">
            <w:pPr>
              <w:spacing w:line="360" w:lineRule="exact"/>
              <w:jc w:val="center"/>
              <w:rPr>
                <w:rFonts w:hint="eastAsia" w:eastAsia="宋体"/>
                <w:color w:val="auto"/>
                <w:szCs w:val="21"/>
                <w:highlight w:val="none"/>
                <w:lang w:val="en-US" w:eastAsia="zh-CN"/>
              </w:rPr>
            </w:pPr>
            <w:r>
              <w:rPr>
                <w:rFonts w:hint="eastAsia"/>
                <w:color w:val="auto"/>
                <w:szCs w:val="21"/>
                <w:highlight w:val="none"/>
                <w:lang w:val="en-US" w:eastAsia="zh-CN"/>
              </w:rPr>
              <w:t>得分</w:t>
            </w:r>
          </w:p>
        </w:tc>
      </w:tr>
      <w:tr w14:paraId="66206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0" w:type="auto"/>
            <w:vMerge w:val="restart"/>
            <w:vAlign w:val="center"/>
          </w:tcPr>
          <w:p w14:paraId="1C5C39DA">
            <w:pPr>
              <w:spacing w:line="360" w:lineRule="exact"/>
              <w:jc w:val="center"/>
              <w:rPr>
                <w:rFonts w:hint="eastAsia" w:ascii="宋体" w:hAnsi="宋体" w:cs="宋体"/>
                <w:b w:val="0"/>
                <w:color w:val="auto"/>
                <w:sz w:val="21"/>
                <w:szCs w:val="21"/>
                <w:highlight w:val="none"/>
                <w:vertAlign w:val="baseline"/>
                <w:lang w:eastAsia="zh-CN"/>
              </w:rPr>
            </w:pPr>
            <w:r>
              <w:rPr>
                <w:rFonts w:hint="eastAsia" w:ascii="宋体" w:hAnsi="宋体" w:cs="宋体"/>
                <w:b w:val="0"/>
                <w:color w:val="auto"/>
                <w:sz w:val="21"/>
                <w:szCs w:val="21"/>
                <w:highlight w:val="none"/>
                <w:vertAlign w:val="baseline"/>
                <w:lang w:eastAsia="zh-CN"/>
              </w:rPr>
              <w:t>商务部分</w:t>
            </w:r>
          </w:p>
          <w:p w14:paraId="3FC32240">
            <w:pPr>
              <w:spacing w:line="360" w:lineRule="exact"/>
              <w:jc w:val="center"/>
              <w:rPr>
                <w:rFonts w:hint="eastAsia" w:ascii="Calibri" w:hAnsi="Calibri"/>
                <w:b w:val="0"/>
                <w:color w:val="auto"/>
                <w:sz w:val="21"/>
                <w:szCs w:val="21"/>
                <w:highlight w:val="none"/>
                <w:vertAlign w:val="baseline"/>
              </w:rPr>
            </w:pPr>
            <w:r>
              <w:rPr>
                <w:rFonts w:hint="eastAsia" w:ascii="宋体" w:hAnsi="宋体" w:cs="宋体"/>
                <w:b w:val="0"/>
                <w:color w:val="auto"/>
                <w:sz w:val="21"/>
                <w:szCs w:val="21"/>
                <w:highlight w:val="none"/>
                <w:vertAlign w:val="baseline"/>
              </w:rPr>
              <w:t>（</w:t>
            </w:r>
            <w:r>
              <w:rPr>
                <w:rFonts w:hint="eastAsia" w:ascii="宋体" w:hAnsi="宋体" w:cs="宋体"/>
                <w:b w:val="0"/>
                <w:color w:val="auto"/>
                <w:sz w:val="21"/>
                <w:szCs w:val="21"/>
                <w:highlight w:val="none"/>
                <w:vertAlign w:val="baseline"/>
                <w:lang w:val="en-US" w:eastAsia="zh-CN"/>
              </w:rPr>
              <w:t>50</w:t>
            </w:r>
            <w:r>
              <w:rPr>
                <w:rFonts w:hint="eastAsia" w:ascii="宋体" w:hAnsi="宋体" w:cs="宋体"/>
                <w:b w:val="0"/>
                <w:color w:val="auto"/>
                <w:sz w:val="21"/>
                <w:szCs w:val="21"/>
                <w:highlight w:val="none"/>
                <w:vertAlign w:val="baseline"/>
              </w:rPr>
              <w:t>分）</w:t>
            </w:r>
          </w:p>
        </w:tc>
        <w:tc>
          <w:tcPr>
            <w:tcW w:w="0" w:type="auto"/>
            <w:vAlign w:val="center"/>
          </w:tcPr>
          <w:p w14:paraId="7EF98747">
            <w:pPr>
              <w:spacing w:line="360" w:lineRule="exact"/>
              <w:jc w:val="center"/>
              <w:rPr>
                <w:rFonts w:hint="eastAsia" w:ascii="Calibri" w:hAnsi="Calibri"/>
                <w:b w:val="0"/>
                <w:color w:val="auto"/>
                <w:sz w:val="21"/>
                <w:szCs w:val="21"/>
                <w:highlight w:val="none"/>
                <w:vertAlign w:val="baseline"/>
              </w:rPr>
            </w:pPr>
            <w:r>
              <w:rPr>
                <w:rFonts w:hint="eastAsia"/>
                <w:b w:val="0"/>
                <w:color w:val="auto"/>
                <w:sz w:val="21"/>
                <w:szCs w:val="21"/>
                <w:highlight w:val="none"/>
                <w:vertAlign w:val="baseline"/>
                <w:lang w:val="en-US" w:eastAsia="zh-CN"/>
              </w:rPr>
              <w:t>认证体系</w:t>
            </w:r>
          </w:p>
        </w:tc>
        <w:tc>
          <w:tcPr>
            <w:tcW w:w="0" w:type="auto"/>
            <w:vAlign w:val="center"/>
          </w:tcPr>
          <w:p w14:paraId="5B10E0F1">
            <w:pPr>
              <w:spacing w:line="360" w:lineRule="exact"/>
              <w:jc w:val="center"/>
              <w:rPr>
                <w:rFonts w:hint="eastAsia" w:ascii="宋体" w:hAnsi="宋体" w:cs="宋体"/>
                <w:b w:val="0"/>
                <w:color w:val="auto"/>
                <w:sz w:val="21"/>
                <w:szCs w:val="21"/>
                <w:highlight w:val="none"/>
                <w:vertAlign w:val="baseline"/>
              </w:rPr>
            </w:pPr>
            <w:r>
              <w:rPr>
                <w:rFonts w:hint="eastAsia" w:ascii="宋体" w:hAnsi="宋体" w:eastAsia="宋体" w:cs="宋体"/>
                <w:b w:val="0"/>
                <w:color w:val="auto"/>
                <w:sz w:val="21"/>
                <w:szCs w:val="21"/>
                <w:highlight w:val="none"/>
                <w:vertAlign w:val="baseline"/>
                <w:lang w:val="en-US" w:eastAsia="zh-CN"/>
              </w:rPr>
              <w:t>6</w:t>
            </w:r>
          </w:p>
        </w:tc>
        <w:tc>
          <w:tcPr>
            <w:tcW w:w="7778" w:type="dxa"/>
            <w:vAlign w:val="center"/>
          </w:tcPr>
          <w:p w14:paraId="2F007ABD">
            <w:pPr>
              <w:pStyle w:val="46"/>
              <w:wordWrap w:val="0"/>
              <w:topLinePunct/>
              <w:adjustRightInd w:val="0"/>
              <w:spacing w:line="360" w:lineRule="exact"/>
              <w:rPr>
                <w:rFonts w:hint="eastAsia" w:ascii="宋体" w:hAnsi="宋体" w:eastAsia="宋体" w:cs="宋体"/>
                <w:b w:val="0"/>
                <w:bCs w:val="0"/>
                <w:color w:val="auto"/>
                <w:kern w:val="0"/>
                <w:szCs w:val="21"/>
                <w:highlight w:val="none"/>
              </w:rPr>
            </w:pPr>
            <w:r>
              <w:rPr>
                <w:rFonts w:hint="eastAsia" w:ascii="宋体" w:hAnsi="宋体" w:eastAsia="宋体" w:cs="宋体"/>
                <w:color w:val="auto"/>
                <w:kern w:val="0"/>
                <w:szCs w:val="21"/>
                <w:highlight w:val="none"/>
              </w:rPr>
              <w:t>投标人具有有效的质量管理体系认证证书、环境管理体系认证证书、职业健康安全管理体系认证证书，每</w:t>
            </w:r>
            <w:r>
              <w:rPr>
                <w:rFonts w:hint="eastAsia" w:ascii="宋体" w:hAnsi="宋体" w:cs="宋体"/>
                <w:color w:val="auto"/>
                <w:kern w:val="0"/>
                <w:szCs w:val="21"/>
                <w:highlight w:val="none"/>
                <w:lang w:val="en-US" w:eastAsia="zh-CN"/>
              </w:rPr>
              <w:t>提供</w:t>
            </w:r>
            <w:r>
              <w:rPr>
                <w:rFonts w:hint="eastAsia" w:ascii="宋体" w:hAnsi="宋体" w:eastAsia="宋体" w:cs="宋体"/>
                <w:color w:val="auto"/>
                <w:kern w:val="0"/>
                <w:szCs w:val="21"/>
                <w:highlight w:val="none"/>
              </w:rPr>
              <w:t>一</w:t>
            </w:r>
            <w:r>
              <w:rPr>
                <w:rFonts w:hint="eastAsia" w:ascii="宋体" w:hAnsi="宋体" w:eastAsia="宋体" w:cs="宋体"/>
                <w:b w:val="0"/>
                <w:bCs w:val="0"/>
                <w:color w:val="auto"/>
                <w:kern w:val="0"/>
                <w:szCs w:val="21"/>
                <w:highlight w:val="none"/>
              </w:rPr>
              <w:t>个证书</w:t>
            </w:r>
            <w:r>
              <w:rPr>
                <w:rFonts w:hint="eastAsia" w:ascii="宋体" w:hAnsi="宋体" w:eastAsia="宋体" w:cs="宋体"/>
                <w:b w:val="0"/>
                <w:bCs w:val="0"/>
                <w:color w:val="auto"/>
                <w:kern w:val="0"/>
                <w:szCs w:val="21"/>
                <w:highlight w:val="none"/>
                <w:shd w:val="clear"/>
                <w:lang w:val="en-US" w:eastAsia="zh-CN"/>
              </w:rPr>
              <w:t>得</w:t>
            </w:r>
            <w:r>
              <w:rPr>
                <w:rFonts w:hint="eastAsia" w:ascii="宋体" w:hAnsi="宋体" w:cs="宋体"/>
                <w:b w:val="0"/>
                <w:bCs w:val="0"/>
                <w:color w:val="auto"/>
                <w:kern w:val="0"/>
                <w:szCs w:val="21"/>
                <w:highlight w:val="none"/>
                <w:shd w:val="clear"/>
                <w:lang w:val="en-US" w:eastAsia="zh-CN"/>
              </w:rPr>
              <w:t>2</w:t>
            </w:r>
            <w:r>
              <w:rPr>
                <w:rFonts w:hint="eastAsia" w:ascii="宋体" w:hAnsi="宋体" w:eastAsia="宋体" w:cs="宋体"/>
                <w:b w:val="0"/>
                <w:bCs w:val="0"/>
                <w:color w:val="auto"/>
                <w:kern w:val="0"/>
                <w:szCs w:val="21"/>
                <w:highlight w:val="none"/>
                <w:shd w:val="clear"/>
              </w:rPr>
              <w:t>分</w:t>
            </w:r>
            <w:r>
              <w:rPr>
                <w:rFonts w:hint="eastAsia" w:ascii="宋体" w:hAnsi="宋体" w:eastAsia="宋体" w:cs="宋体"/>
                <w:b w:val="0"/>
                <w:bCs w:val="0"/>
                <w:color w:val="auto"/>
                <w:kern w:val="0"/>
                <w:szCs w:val="21"/>
                <w:highlight w:val="none"/>
              </w:rPr>
              <w:t>。本项最高</w:t>
            </w:r>
            <w:r>
              <w:rPr>
                <w:rFonts w:hint="eastAsia" w:ascii="宋体" w:hAnsi="宋体" w:eastAsia="宋体" w:cs="宋体"/>
                <w:b w:val="0"/>
                <w:bCs w:val="0"/>
                <w:color w:val="auto"/>
                <w:kern w:val="0"/>
                <w:szCs w:val="21"/>
                <w:highlight w:val="none"/>
                <w:shd w:val="clear"/>
              </w:rPr>
              <w:t>得</w:t>
            </w:r>
            <w:r>
              <w:rPr>
                <w:rFonts w:hint="eastAsia" w:ascii="宋体" w:hAnsi="宋体" w:cs="宋体"/>
                <w:b w:val="0"/>
                <w:bCs w:val="0"/>
                <w:color w:val="auto"/>
                <w:kern w:val="0"/>
                <w:szCs w:val="21"/>
                <w:highlight w:val="none"/>
                <w:shd w:val="clear"/>
                <w:lang w:val="en-US" w:eastAsia="zh-CN"/>
              </w:rPr>
              <w:t>6</w:t>
            </w:r>
            <w:r>
              <w:rPr>
                <w:rFonts w:hint="eastAsia" w:ascii="宋体" w:hAnsi="宋体" w:eastAsia="宋体" w:cs="宋体"/>
                <w:b w:val="0"/>
                <w:bCs w:val="0"/>
                <w:color w:val="auto"/>
                <w:kern w:val="0"/>
                <w:szCs w:val="21"/>
                <w:highlight w:val="none"/>
                <w:shd w:val="clear"/>
              </w:rPr>
              <w:t>分</w:t>
            </w:r>
            <w:r>
              <w:rPr>
                <w:rFonts w:hint="eastAsia" w:ascii="宋体" w:hAnsi="宋体" w:eastAsia="宋体" w:cs="宋体"/>
                <w:b w:val="0"/>
                <w:bCs w:val="0"/>
                <w:color w:val="auto"/>
                <w:kern w:val="0"/>
                <w:szCs w:val="21"/>
                <w:highlight w:val="none"/>
              </w:rPr>
              <w:t>。</w:t>
            </w:r>
          </w:p>
          <w:p w14:paraId="7C5FDD1A">
            <w:pPr>
              <w:pStyle w:val="46"/>
              <w:wordWrap w:val="0"/>
              <w:topLinePunct/>
              <w:autoSpaceDE w:val="0"/>
              <w:autoSpaceDN w:val="0"/>
              <w:adjustRightInd w:val="0"/>
              <w:rPr>
                <w:rFonts w:hint="eastAsia" w:ascii="宋体" w:hAnsi="宋体" w:cs="宋体"/>
                <w:b w:val="0"/>
                <w:color w:val="auto"/>
                <w:kern w:val="0"/>
                <w:sz w:val="21"/>
                <w:szCs w:val="21"/>
                <w:highlight w:val="none"/>
                <w:vertAlign w:val="baseline"/>
              </w:rPr>
            </w:pPr>
            <w:r>
              <w:rPr>
                <w:rFonts w:hint="eastAsia" w:ascii="宋体" w:hAnsi="宋体" w:eastAsia="宋体" w:cs="宋体"/>
                <w:b w:val="0"/>
                <w:bCs w:val="0"/>
                <w:color w:val="auto"/>
                <w:kern w:val="0"/>
                <w:szCs w:val="21"/>
                <w:highlight w:val="none"/>
              </w:rPr>
              <w:t>注：</w:t>
            </w:r>
            <w:r>
              <w:rPr>
                <w:rFonts w:hint="eastAsia" w:ascii="宋体" w:hAnsi="宋体" w:eastAsia="宋体" w:cs="宋体"/>
                <w:b w:val="0"/>
                <w:bCs w:val="0"/>
                <w:color w:val="auto"/>
                <w:kern w:val="0"/>
                <w:sz w:val="21"/>
                <w:szCs w:val="21"/>
                <w:highlight w:val="none"/>
              </w:rPr>
              <w:t>（须提供</w:t>
            </w:r>
            <w:r>
              <w:rPr>
                <w:rFonts w:hint="eastAsia" w:ascii="宋体" w:hAnsi="宋体" w:eastAsia="宋体" w:cs="宋体"/>
                <w:b w:val="0"/>
                <w:bCs w:val="0"/>
                <w:color w:val="auto"/>
                <w:kern w:val="0"/>
                <w:sz w:val="21"/>
                <w:szCs w:val="21"/>
                <w:highlight w:val="none"/>
                <w:lang w:val="en-US" w:eastAsia="zh-CN"/>
              </w:rPr>
              <w:t>以上有效期内的</w:t>
            </w:r>
            <w:r>
              <w:rPr>
                <w:rFonts w:hint="eastAsia" w:ascii="宋体" w:hAnsi="宋体" w:eastAsia="宋体" w:cs="宋体"/>
                <w:b w:val="0"/>
                <w:bCs w:val="0"/>
                <w:color w:val="auto"/>
                <w:kern w:val="0"/>
                <w:sz w:val="21"/>
                <w:szCs w:val="21"/>
                <w:highlight w:val="none"/>
              </w:rPr>
              <w:t>证书复印件以及在全国认证认可信息公共服务平台上http://cx.cnca.cn查询结果的截图，证书状态必须为“有效”</w:t>
            </w:r>
            <w:r>
              <w:rPr>
                <w:rFonts w:hint="eastAsia" w:ascii="宋体" w:hAnsi="宋体" w:eastAsia="宋体" w:cs="宋体"/>
                <w:b w:val="0"/>
                <w:bCs w:val="0"/>
                <w:color w:val="auto"/>
                <w:kern w:val="0"/>
                <w:sz w:val="21"/>
                <w:szCs w:val="21"/>
                <w:highlight w:val="none"/>
                <w:lang w:eastAsia="zh-CN"/>
              </w:rPr>
              <w:t>，</w:t>
            </w:r>
            <w:r>
              <w:rPr>
                <w:rFonts w:hint="eastAsia" w:ascii="宋体" w:hAnsi="宋体" w:eastAsia="宋体" w:cs="宋体"/>
                <w:b w:val="0"/>
                <w:bCs w:val="0"/>
                <w:color w:val="auto"/>
                <w:kern w:val="0"/>
                <w:sz w:val="21"/>
                <w:szCs w:val="21"/>
                <w:highlight w:val="none"/>
                <w:lang w:val="en-US" w:eastAsia="zh-CN"/>
              </w:rPr>
              <w:t>否则不得分。</w:t>
            </w:r>
            <w:r>
              <w:rPr>
                <w:rFonts w:hint="eastAsia" w:ascii="宋体" w:hAnsi="宋体" w:eastAsia="宋体" w:cs="宋体"/>
                <w:b w:val="0"/>
                <w:bCs w:val="0"/>
                <w:color w:val="auto"/>
                <w:kern w:val="0"/>
                <w:sz w:val="21"/>
                <w:szCs w:val="21"/>
                <w:highlight w:val="none"/>
              </w:rPr>
              <w:t>）</w:t>
            </w:r>
          </w:p>
        </w:tc>
        <w:tc>
          <w:tcPr>
            <w:tcW w:w="667" w:type="dxa"/>
            <w:vAlign w:val="center"/>
          </w:tcPr>
          <w:p w14:paraId="7CD8CF05">
            <w:pPr>
              <w:pStyle w:val="46"/>
              <w:wordWrap w:val="0"/>
              <w:topLinePunct/>
              <w:autoSpaceDE w:val="0"/>
              <w:autoSpaceDN w:val="0"/>
              <w:adjustRightInd w:val="0"/>
              <w:rPr>
                <w:rFonts w:hint="eastAsia" w:ascii="宋体" w:hAnsi="宋体" w:eastAsia="宋体" w:cs="宋体"/>
                <w:b w:val="0"/>
                <w:bCs w:val="0"/>
                <w:color w:val="auto"/>
                <w:kern w:val="0"/>
                <w:szCs w:val="21"/>
                <w:highlight w:val="none"/>
              </w:rPr>
            </w:pPr>
          </w:p>
        </w:tc>
      </w:tr>
      <w:tr w14:paraId="39E5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0" w:type="auto"/>
            <w:vMerge w:val="continue"/>
            <w:vAlign w:val="center"/>
          </w:tcPr>
          <w:p w14:paraId="65588D3E">
            <w:pPr>
              <w:spacing w:line="360" w:lineRule="exact"/>
              <w:jc w:val="center"/>
              <w:rPr>
                <w:rFonts w:hint="eastAsia" w:ascii="Calibri" w:hAnsi="Calibri"/>
                <w:b w:val="0"/>
                <w:color w:val="auto"/>
                <w:sz w:val="21"/>
                <w:szCs w:val="21"/>
                <w:highlight w:val="none"/>
                <w:vertAlign w:val="baseline"/>
              </w:rPr>
            </w:pPr>
          </w:p>
        </w:tc>
        <w:tc>
          <w:tcPr>
            <w:tcW w:w="0" w:type="auto"/>
            <w:vAlign w:val="center"/>
          </w:tcPr>
          <w:p w14:paraId="3BE73F34">
            <w:pPr>
              <w:spacing w:line="360" w:lineRule="exact"/>
              <w:jc w:val="center"/>
              <w:rPr>
                <w:rFonts w:hint="eastAsia" w:ascii="Calibri" w:hAnsi="Calibri"/>
                <w:b w:val="0"/>
                <w:color w:val="auto"/>
                <w:sz w:val="21"/>
                <w:szCs w:val="21"/>
                <w:highlight w:val="none"/>
                <w:vertAlign w:val="baseline"/>
              </w:rPr>
            </w:pPr>
            <w:r>
              <w:rPr>
                <w:rFonts w:hint="eastAsia" w:ascii="Calibri" w:hAnsi="Calibri"/>
                <w:b w:val="0"/>
                <w:color w:val="auto"/>
                <w:sz w:val="21"/>
                <w:szCs w:val="21"/>
                <w:highlight w:val="none"/>
                <w:vertAlign w:val="baseline"/>
              </w:rPr>
              <w:t>企业业绩</w:t>
            </w:r>
          </w:p>
        </w:tc>
        <w:tc>
          <w:tcPr>
            <w:tcW w:w="0" w:type="auto"/>
            <w:vAlign w:val="center"/>
          </w:tcPr>
          <w:p w14:paraId="4E29D53B">
            <w:pPr>
              <w:spacing w:line="360" w:lineRule="exact"/>
              <w:jc w:val="center"/>
              <w:rPr>
                <w:rFonts w:hint="default" w:ascii="宋体" w:hAnsi="宋体" w:cs="宋体"/>
                <w:b w:val="0"/>
                <w:color w:val="auto"/>
                <w:sz w:val="21"/>
                <w:szCs w:val="21"/>
                <w:highlight w:val="none"/>
                <w:vertAlign w:val="baseline"/>
                <w:lang w:val="en-US"/>
              </w:rPr>
            </w:pPr>
            <w:r>
              <w:rPr>
                <w:rFonts w:hint="eastAsia" w:ascii="宋体" w:hAnsi="宋体" w:cs="宋体"/>
                <w:color w:val="auto"/>
                <w:sz w:val="21"/>
                <w:szCs w:val="21"/>
                <w:highlight w:val="none"/>
                <w:lang w:val="en-US" w:eastAsia="zh-CN"/>
              </w:rPr>
              <w:t>15</w:t>
            </w:r>
          </w:p>
        </w:tc>
        <w:tc>
          <w:tcPr>
            <w:tcW w:w="7778" w:type="dxa"/>
            <w:vAlign w:val="center"/>
          </w:tcPr>
          <w:p w14:paraId="27866A9F">
            <w:pPr>
              <w:pStyle w:val="46"/>
              <w:numPr>
                <w:ilvl w:val="-1"/>
                <w:numId w:val="0"/>
              </w:numPr>
              <w:wordWrap w:val="0"/>
              <w:topLinePunct/>
              <w:autoSpaceDE w:val="0"/>
              <w:autoSpaceDN w:val="0"/>
              <w:adjustRightInd w:val="0"/>
              <w:spacing w:line="3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投标人</w:t>
            </w:r>
            <w:r>
              <w:rPr>
                <w:rFonts w:hint="eastAsia" w:ascii="宋体" w:hAnsi="宋体" w:cs="宋体"/>
                <w:color w:val="auto"/>
                <w:kern w:val="0"/>
                <w:szCs w:val="21"/>
                <w:highlight w:val="none"/>
                <w:lang w:eastAsia="zh-CN"/>
              </w:rPr>
              <w:t>提供</w:t>
            </w:r>
            <w:r>
              <w:rPr>
                <w:rFonts w:hint="eastAsia" w:ascii="宋体" w:hAnsi="宋体" w:cs="宋体"/>
                <w:color w:val="auto"/>
                <w:kern w:val="0"/>
                <w:szCs w:val="21"/>
                <w:highlight w:val="none"/>
              </w:rPr>
              <w:t>201</w:t>
            </w:r>
            <w:r>
              <w:rPr>
                <w:rFonts w:hint="eastAsia" w:ascii="宋体" w:hAnsi="宋体" w:cs="宋体"/>
                <w:color w:val="auto"/>
                <w:kern w:val="0"/>
                <w:szCs w:val="21"/>
                <w:highlight w:val="none"/>
                <w:lang w:val="en-US" w:eastAsia="zh-CN"/>
              </w:rPr>
              <w:t>9</w:t>
            </w:r>
            <w:r>
              <w:rPr>
                <w:rFonts w:hint="eastAsia" w:ascii="宋体" w:hAnsi="宋体" w:cs="宋体"/>
                <w:color w:val="auto"/>
                <w:kern w:val="0"/>
                <w:szCs w:val="21"/>
                <w:highlight w:val="none"/>
              </w:rPr>
              <w:t>年1月1日以来承接的</w:t>
            </w:r>
            <w:r>
              <w:rPr>
                <w:rFonts w:hint="eastAsia" w:ascii="宋体" w:hAnsi="宋体" w:cs="宋体"/>
                <w:color w:val="auto"/>
                <w:kern w:val="0"/>
                <w:szCs w:val="21"/>
                <w:highlight w:val="none"/>
                <w:lang w:val="en-US" w:eastAsia="zh-CN"/>
              </w:rPr>
              <w:t>200万元或以上电力建筑</w:t>
            </w:r>
            <w:r>
              <w:rPr>
                <w:rFonts w:hint="eastAsia" w:ascii="宋体" w:hAnsi="宋体" w:cs="宋体"/>
                <w:color w:val="auto"/>
                <w:kern w:val="0"/>
                <w:szCs w:val="21"/>
                <w:highlight w:val="none"/>
              </w:rPr>
              <w:t>工程</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或电气工程专业</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类项目业绩，每提供一项得</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分，最高得</w:t>
            </w:r>
            <w:r>
              <w:rPr>
                <w:rFonts w:hint="eastAsia" w:ascii="宋体" w:hAnsi="宋体" w:cs="宋体"/>
                <w:color w:val="auto"/>
                <w:kern w:val="0"/>
                <w:szCs w:val="21"/>
                <w:highlight w:val="none"/>
                <w:lang w:val="en-US" w:eastAsia="zh-CN"/>
              </w:rPr>
              <w:t>15</w:t>
            </w:r>
            <w:r>
              <w:rPr>
                <w:rFonts w:hint="eastAsia" w:ascii="宋体" w:hAnsi="宋体" w:cs="宋体"/>
                <w:color w:val="auto"/>
                <w:kern w:val="0"/>
                <w:szCs w:val="21"/>
                <w:highlight w:val="none"/>
              </w:rPr>
              <w:t>分。</w:t>
            </w:r>
          </w:p>
          <w:p w14:paraId="13AFFFB7">
            <w:pPr>
              <w:pStyle w:val="46"/>
              <w:numPr>
                <w:ilvl w:val="-1"/>
                <w:numId w:val="0"/>
              </w:numPr>
              <w:wordWrap w:val="0"/>
              <w:topLinePunct/>
              <w:autoSpaceDE w:val="0"/>
              <w:autoSpaceDN w:val="0"/>
              <w:adjustRightInd w:val="0"/>
              <w:spacing w:line="360" w:lineRule="exact"/>
              <w:jc w:val="left"/>
              <w:rPr>
                <w:rFonts w:hint="eastAsia" w:ascii="Calibri" w:hAnsi="Calibri" w:eastAsia="宋体" w:cs="Times New Roman"/>
                <w:b w:val="0"/>
                <w:color w:val="auto"/>
                <w:sz w:val="21"/>
                <w:szCs w:val="21"/>
                <w:highlight w:val="none"/>
                <w:vertAlign w:val="baseline"/>
                <w:lang w:eastAsia="zh-CN"/>
              </w:rPr>
            </w:pPr>
            <w:r>
              <w:rPr>
                <w:rFonts w:hint="eastAsia" w:ascii="宋体" w:hAnsi="宋体" w:cs="宋体"/>
                <w:color w:val="auto"/>
                <w:kern w:val="0"/>
                <w:szCs w:val="21"/>
                <w:highlight w:val="none"/>
                <w:lang w:val="en-US" w:eastAsia="zh-CN"/>
              </w:rPr>
              <w:t>注：业绩</w:t>
            </w:r>
            <w:r>
              <w:rPr>
                <w:rFonts w:hint="eastAsia" w:ascii="宋体" w:hAnsi="宋体" w:cs="宋体"/>
                <w:color w:val="auto"/>
                <w:kern w:val="0"/>
                <w:szCs w:val="21"/>
                <w:highlight w:val="none"/>
              </w:rPr>
              <w:t>以合同签订时间为准，</w:t>
            </w:r>
            <w:r>
              <w:rPr>
                <w:rFonts w:hint="eastAsia" w:ascii="宋体" w:hAnsi="宋体" w:cs="宋体"/>
                <w:color w:val="auto"/>
                <w:kern w:val="0"/>
                <w:szCs w:val="21"/>
                <w:highlight w:val="none"/>
                <w:lang w:eastAsia="zh-CN"/>
              </w:rPr>
              <w:t>需</w:t>
            </w:r>
            <w:r>
              <w:rPr>
                <w:rFonts w:hint="eastAsia" w:ascii="宋体" w:hAnsi="宋体" w:cs="宋体"/>
                <w:color w:val="auto"/>
                <w:kern w:val="0"/>
                <w:szCs w:val="21"/>
                <w:highlight w:val="none"/>
              </w:rPr>
              <w:t>提供合同</w:t>
            </w:r>
            <w:r>
              <w:rPr>
                <w:rFonts w:hint="eastAsia" w:ascii="宋体" w:hAnsi="宋体" w:cs="宋体"/>
                <w:color w:val="auto"/>
                <w:kern w:val="0"/>
                <w:szCs w:val="21"/>
                <w:highlight w:val="none"/>
                <w:lang w:val="en-US" w:eastAsia="zh-CN"/>
              </w:rPr>
              <w:t>关键页</w:t>
            </w:r>
            <w:r>
              <w:rPr>
                <w:rFonts w:hint="eastAsia" w:ascii="宋体" w:hAnsi="宋体" w:cs="宋体"/>
                <w:color w:val="auto"/>
                <w:kern w:val="0"/>
                <w:szCs w:val="21"/>
                <w:highlight w:val="none"/>
              </w:rPr>
              <w:t>复印件加盖投标人公章</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不提供、提供不全的不得分</w:t>
            </w:r>
            <w:r>
              <w:rPr>
                <w:rFonts w:hint="eastAsia" w:ascii="宋体" w:hAnsi="宋体" w:cs="宋体"/>
                <w:color w:val="auto"/>
                <w:kern w:val="0"/>
                <w:szCs w:val="21"/>
                <w:highlight w:val="none"/>
                <w:lang w:eastAsia="zh-CN"/>
              </w:rPr>
              <w:t>。</w:t>
            </w:r>
          </w:p>
        </w:tc>
        <w:tc>
          <w:tcPr>
            <w:tcW w:w="667" w:type="dxa"/>
            <w:vAlign w:val="center"/>
          </w:tcPr>
          <w:p w14:paraId="700FCAB1">
            <w:pPr>
              <w:pStyle w:val="46"/>
              <w:wordWrap w:val="0"/>
              <w:topLinePunct/>
              <w:autoSpaceDE w:val="0"/>
              <w:autoSpaceDN w:val="0"/>
              <w:adjustRightInd w:val="0"/>
              <w:spacing w:line="360" w:lineRule="exact"/>
              <w:jc w:val="left"/>
              <w:rPr>
                <w:rFonts w:hint="eastAsia" w:ascii="宋体" w:hAnsi="宋体" w:cs="宋体"/>
                <w:color w:val="auto"/>
                <w:kern w:val="0"/>
                <w:szCs w:val="21"/>
                <w:highlight w:val="none"/>
              </w:rPr>
            </w:pPr>
          </w:p>
        </w:tc>
      </w:tr>
      <w:tr w14:paraId="157F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0" w:type="auto"/>
            <w:vMerge w:val="continue"/>
            <w:vAlign w:val="center"/>
          </w:tcPr>
          <w:p w14:paraId="14000596">
            <w:pPr>
              <w:spacing w:line="360" w:lineRule="exact"/>
              <w:jc w:val="center"/>
              <w:rPr>
                <w:rFonts w:hint="eastAsia" w:ascii="Calibri" w:hAnsi="Calibri"/>
                <w:b w:val="0"/>
                <w:color w:val="auto"/>
                <w:sz w:val="21"/>
                <w:szCs w:val="21"/>
                <w:highlight w:val="none"/>
                <w:vertAlign w:val="baseline"/>
              </w:rPr>
            </w:pPr>
          </w:p>
        </w:tc>
        <w:tc>
          <w:tcPr>
            <w:tcW w:w="2943" w:type="dxa"/>
            <w:vAlign w:val="center"/>
          </w:tcPr>
          <w:p w14:paraId="3B9A4718">
            <w:pPr>
              <w:snapToGrid w:val="0"/>
              <w:spacing w:line="360" w:lineRule="auto"/>
              <w:ind w:left="-2" w:leftChars="-1"/>
              <w:jc w:val="center"/>
              <w:rPr>
                <w:rFonts w:hint="eastAsia" w:ascii="Calibri" w:hAnsi="Calibri" w:cs="Times New Roman"/>
                <w:b w:val="0"/>
                <w:color w:val="auto"/>
                <w:sz w:val="21"/>
                <w:szCs w:val="21"/>
                <w:highlight w:val="none"/>
                <w:vertAlign w:val="baseline"/>
              </w:rPr>
            </w:pPr>
            <w:r>
              <w:rPr>
                <w:rFonts w:hint="eastAsia" w:ascii="宋体" w:hAnsi="宋体" w:eastAsia="宋体" w:cs="宋体"/>
                <w:color w:val="auto"/>
                <w:szCs w:val="21"/>
                <w:highlight w:val="none"/>
              </w:rPr>
              <w:t>纳税信用</w:t>
            </w:r>
          </w:p>
        </w:tc>
        <w:tc>
          <w:tcPr>
            <w:tcW w:w="529" w:type="dxa"/>
            <w:vAlign w:val="center"/>
          </w:tcPr>
          <w:p w14:paraId="509A2382">
            <w:pPr>
              <w:spacing w:line="360" w:lineRule="auto"/>
              <w:ind w:left="-2" w:leftChars="-1"/>
              <w:jc w:val="center"/>
              <w:rPr>
                <w:rFonts w:hint="eastAsia" w:ascii="宋体" w:hAnsi="宋体" w:cs="宋体"/>
                <w:color w:val="auto"/>
                <w:szCs w:val="21"/>
                <w:highlight w:val="none"/>
                <w:lang w:val="en-US" w:eastAsia="zh-CN"/>
              </w:rPr>
            </w:pPr>
            <w:r>
              <w:rPr>
                <w:rFonts w:hint="eastAsia" w:ascii="宋体" w:hAnsi="宋体" w:eastAsia="宋体" w:cs="宋体"/>
                <w:color w:val="auto"/>
                <w:szCs w:val="21"/>
                <w:highlight w:val="none"/>
                <w:lang w:val="en-US" w:eastAsia="zh-CN"/>
              </w:rPr>
              <w:t>10</w:t>
            </w:r>
          </w:p>
        </w:tc>
        <w:tc>
          <w:tcPr>
            <w:tcW w:w="7778" w:type="dxa"/>
            <w:vAlign w:val="center"/>
          </w:tcPr>
          <w:p w14:paraId="1EDDCF74">
            <w:pPr>
              <w:spacing w:line="30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投标人201</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年1月1日至今获得纳税信用等级A级称号的，每有1次得</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分，最多得</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分；</w:t>
            </w:r>
          </w:p>
          <w:p w14:paraId="6E16DBF3">
            <w:pPr>
              <w:pStyle w:val="11"/>
              <w:spacing w:line="360" w:lineRule="auto"/>
              <w:rPr>
                <w:rFonts w:ascii="宋体" w:hAnsi="宋体" w:cs="宋体"/>
                <w:color w:val="auto"/>
                <w:highlight w:val="none"/>
              </w:rPr>
            </w:pPr>
            <w:r>
              <w:rPr>
                <w:rFonts w:hAnsi="宋体" w:cs="宋体"/>
                <w:color w:val="auto"/>
                <w:highlight w:val="none"/>
              </w:rPr>
              <w:t>【注：“A级纳税人称号”以“国家税务总局”官网（http://www.chinatax.gov.cn/index.html）查询结果为准，纳税人等级只计算投标人自身（不计算投标人的分公司和子公司）。投标人须提供在上述官网网站的有效查询路径及查询结果网页截图（不符合条件或未提交截图的不计分）。时间以国家税务总局官网公布的获奖年度（评价年度）为准，没有提供或不符合要求的不得分。】</w:t>
            </w:r>
          </w:p>
        </w:tc>
        <w:tc>
          <w:tcPr>
            <w:tcW w:w="667" w:type="dxa"/>
            <w:vAlign w:val="center"/>
          </w:tcPr>
          <w:p w14:paraId="1A39479A">
            <w:pPr>
              <w:spacing w:line="360" w:lineRule="exact"/>
              <w:jc w:val="left"/>
              <w:rPr>
                <w:rFonts w:ascii="宋体" w:hAnsi="宋体" w:cs="宋体"/>
                <w:color w:val="auto"/>
                <w:highlight w:val="none"/>
              </w:rPr>
            </w:pPr>
          </w:p>
        </w:tc>
      </w:tr>
      <w:tr w14:paraId="411CB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0" w:type="auto"/>
            <w:vMerge w:val="continue"/>
            <w:vAlign w:val="center"/>
          </w:tcPr>
          <w:p w14:paraId="75F07F96">
            <w:pPr>
              <w:spacing w:line="360" w:lineRule="exact"/>
              <w:jc w:val="center"/>
              <w:rPr>
                <w:rFonts w:hint="eastAsia" w:ascii="Calibri" w:hAnsi="Calibri"/>
                <w:b w:val="0"/>
                <w:color w:val="auto"/>
                <w:sz w:val="21"/>
                <w:szCs w:val="21"/>
                <w:highlight w:val="none"/>
                <w:vertAlign w:val="baseline"/>
              </w:rPr>
            </w:pPr>
          </w:p>
        </w:tc>
        <w:tc>
          <w:tcPr>
            <w:tcW w:w="2943" w:type="dxa"/>
            <w:vAlign w:val="center"/>
          </w:tcPr>
          <w:p w14:paraId="6CE6DC39">
            <w:pPr>
              <w:spacing w:line="360" w:lineRule="auto"/>
              <w:ind w:left="42" w:leftChars="20" w:right="42" w:rightChars="20"/>
              <w:jc w:val="center"/>
              <w:rPr>
                <w:rFonts w:hint="eastAsia" w:ascii="Calibri" w:hAnsi="Calibri" w:cs="Times New Roman"/>
                <w:b w:val="0"/>
                <w:color w:val="auto"/>
                <w:sz w:val="21"/>
                <w:szCs w:val="21"/>
                <w:highlight w:val="none"/>
                <w:vertAlign w:val="baseline"/>
              </w:rPr>
            </w:pPr>
            <w:r>
              <w:rPr>
                <w:rFonts w:hint="eastAsia" w:ascii="宋体" w:hAnsi="宋体" w:eastAsia="宋体" w:cs="宋体"/>
                <w:color w:val="auto"/>
                <w:szCs w:val="21"/>
                <w:highlight w:val="none"/>
              </w:rPr>
              <w:t>获奖情况</w:t>
            </w:r>
          </w:p>
        </w:tc>
        <w:tc>
          <w:tcPr>
            <w:tcW w:w="529" w:type="dxa"/>
            <w:vAlign w:val="center"/>
          </w:tcPr>
          <w:p w14:paraId="577031C7">
            <w:pPr>
              <w:spacing w:line="360" w:lineRule="auto"/>
              <w:jc w:val="center"/>
              <w:rPr>
                <w:rFonts w:hint="eastAsia" w:ascii="宋体" w:hAnsi="宋体" w:cs="宋体"/>
                <w:color w:val="auto"/>
                <w:szCs w:val="21"/>
                <w:highlight w:val="none"/>
                <w:lang w:val="en-US" w:eastAsia="zh-CN"/>
              </w:rPr>
            </w:pPr>
            <w:r>
              <w:rPr>
                <w:rFonts w:hint="eastAsia" w:ascii="宋体" w:hAnsi="宋体" w:eastAsia="宋体" w:cs="宋体"/>
                <w:color w:val="auto"/>
                <w:position w:val="8"/>
                <w:szCs w:val="21"/>
                <w:highlight w:val="none"/>
                <w:lang w:val="en-US" w:eastAsia="zh-CN"/>
              </w:rPr>
              <w:t>9</w:t>
            </w:r>
          </w:p>
        </w:tc>
        <w:tc>
          <w:tcPr>
            <w:tcW w:w="7778" w:type="dxa"/>
            <w:vAlign w:val="center"/>
          </w:tcPr>
          <w:p w14:paraId="1856FEE2">
            <w:pPr>
              <w:adjustRightInd w:val="0"/>
              <w:snapToGrid w:val="0"/>
              <w:spacing w:line="360" w:lineRule="auto"/>
              <w:rPr>
                <w:rFonts w:ascii="宋体" w:hAnsi="宋体" w:cs="宋体"/>
                <w:color w:val="auto"/>
                <w:highlight w:val="none"/>
              </w:rPr>
            </w:pPr>
            <w:r>
              <w:rPr>
                <w:rFonts w:hint="eastAsia" w:ascii="宋体" w:hAnsi="宋体" w:eastAsia="宋体" w:cs="宋体"/>
                <w:color w:val="auto"/>
                <w:szCs w:val="21"/>
                <w:highlight w:val="none"/>
              </w:rPr>
              <w:t>投标人自 201</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 xml:space="preserve"> 年 1 月 1 日至今，获得国家级、省级、市级建设行政主管部门或行业协会颁发奖项的，国家级的每项得3分，省级的每项得2分，市级的每项得1分，本项最高得</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 xml:space="preserve">分。注：①颁发单位包括行政区政府、建设行政主管部门或行业协会；②获奖时间以获奖证书颁发时间或网上公示获奖时间为准；③需提供获奖证书复印件或网上公示获奖页面截图凭证、得奖项目不重复记分。 </w:t>
            </w:r>
          </w:p>
        </w:tc>
        <w:tc>
          <w:tcPr>
            <w:tcW w:w="667" w:type="dxa"/>
            <w:vAlign w:val="center"/>
          </w:tcPr>
          <w:p w14:paraId="2E8C382F">
            <w:pPr>
              <w:spacing w:line="360" w:lineRule="exact"/>
              <w:jc w:val="left"/>
              <w:rPr>
                <w:rFonts w:ascii="宋体" w:hAnsi="宋体" w:cs="宋体"/>
                <w:color w:val="auto"/>
                <w:highlight w:val="none"/>
              </w:rPr>
            </w:pPr>
          </w:p>
        </w:tc>
      </w:tr>
      <w:tr w14:paraId="5D5E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trPr>
        <w:tc>
          <w:tcPr>
            <w:tcW w:w="0" w:type="auto"/>
            <w:vMerge w:val="continue"/>
            <w:vAlign w:val="center"/>
          </w:tcPr>
          <w:p w14:paraId="7AE62982">
            <w:pPr>
              <w:spacing w:line="360" w:lineRule="exact"/>
              <w:jc w:val="center"/>
              <w:rPr>
                <w:rFonts w:hint="eastAsia" w:ascii="Calibri" w:hAnsi="Calibri"/>
                <w:b w:val="0"/>
                <w:color w:val="auto"/>
                <w:sz w:val="21"/>
                <w:szCs w:val="21"/>
                <w:highlight w:val="none"/>
                <w:vertAlign w:val="baseline"/>
              </w:rPr>
            </w:pPr>
          </w:p>
        </w:tc>
        <w:tc>
          <w:tcPr>
            <w:tcW w:w="0" w:type="auto"/>
            <w:vAlign w:val="center"/>
          </w:tcPr>
          <w:p w14:paraId="4525FE04">
            <w:pPr>
              <w:spacing w:line="360" w:lineRule="exact"/>
              <w:jc w:val="center"/>
              <w:rPr>
                <w:rFonts w:hint="eastAsia" w:ascii="Calibri" w:hAnsi="Calibri"/>
                <w:b w:val="0"/>
                <w:color w:val="auto"/>
                <w:sz w:val="21"/>
                <w:szCs w:val="21"/>
                <w:highlight w:val="none"/>
                <w:vertAlign w:val="baseline"/>
              </w:rPr>
            </w:pPr>
            <w:r>
              <w:rPr>
                <w:rFonts w:hint="eastAsia" w:ascii="Calibri" w:hAnsi="Calibri" w:cs="Times New Roman"/>
                <w:b w:val="0"/>
                <w:color w:val="auto"/>
                <w:sz w:val="21"/>
                <w:szCs w:val="21"/>
                <w:highlight w:val="none"/>
                <w:vertAlign w:val="baseline"/>
                <w:lang w:eastAsia="zh-CN"/>
              </w:rPr>
              <w:t>负责人</w:t>
            </w:r>
            <w:r>
              <w:rPr>
                <w:rFonts w:hint="eastAsia" w:ascii="Calibri" w:hAnsi="Calibri" w:cs="Times New Roman"/>
                <w:b w:val="0"/>
                <w:color w:val="auto"/>
                <w:sz w:val="21"/>
                <w:szCs w:val="21"/>
                <w:highlight w:val="none"/>
                <w:vertAlign w:val="baseline"/>
              </w:rPr>
              <w:t>情况</w:t>
            </w:r>
          </w:p>
        </w:tc>
        <w:tc>
          <w:tcPr>
            <w:tcW w:w="0" w:type="auto"/>
            <w:vAlign w:val="center"/>
          </w:tcPr>
          <w:p w14:paraId="107A0C7A">
            <w:pPr>
              <w:spacing w:line="360" w:lineRule="exact"/>
              <w:jc w:val="center"/>
              <w:rPr>
                <w:rFonts w:hint="default" w:ascii="宋体" w:hAnsi="宋体" w:cs="宋体"/>
                <w:b w:val="0"/>
                <w:color w:val="auto"/>
                <w:sz w:val="21"/>
                <w:szCs w:val="21"/>
                <w:highlight w:val="none"/>
                <w:vertAlign w:val="baseline"/>
                <w:lang w:val="en-US"/>
              </w:rPr>
            </w:pPr>
            <w:r>
              <w:rPr>
                <w:rFonts w:hint="eastAsia" w:ascii="宋体" w:hAnsi="宋体" w:eastAsia="宋体" w:cs="宋体"/>
                <w:color w:val="auto"/>
                <w:sz w:val="21"/>
                <w:szCs w:val="21"/>
                <w:highlight w:val="none"/>
                <w:lang w:val="en-US" w:eastAsia="zh-CN"/>
              </w:rPr>
              <w:t>10</w:t>
            </w:r>
          </w:p>
        </w:tc>
        <w:tc>
          <w:tcPr>
            <w:tcW w:w="7778" w:type="dxa"/>
            <w:vAlign w:val="center"/>
          </w:tcPr>
          <w:p w14:paraId="0BC40DB9">
            <w:pPr>
              <w:jc w:val="left"/>
              <w:rPr>
                <w:rFonts w:hint="eastAsia" w:ascii="宋体" w:hAnsi="宋体" w:cs="宋体" w:eastAsiaTheme="minorEastAsia"/>
                <w:color w:val="auto"/>
                <w:szCs w:val="21"/>
                <w:highlight w:val="none"/>
                <w:lang w:val="en-US"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）项目</w:t>
            </w:r>
            <w:r>
              <w:rPr>
                <w:rFonts w:hint="eastAsia" w:ascii="宋体" w:hAnsi="宋体" w:cs="宋体"/>
                <w:color w:val="auto"/>
                <w:szCs w:val="21"/>
                <w:highlight w:val="none"/>
              </w:rPr>
              <w:t>负责人：具有</w:t>
            </w:r>
            <w:r>
              <w:rPr>
                <w:rFonts w:hint="eastAsia" w:ascii="宋体" w:hAnsi="宋体" w:cs="宋体" w:eastAsiaTheme="minorEastAsia"/>
                <w:bCs w:val="0"/>
                <w:color w:val="auto"/>
                <w:sz w:val="21"/>
                <w:szCs w:val="21"/>
                <w:highlight w:val="none"/>
                <w:u w:val="none"/>
              </w:rPr>
              <w:t>机电工程专业</w:t>
            </w:r>
            <w:r>
              <w:rPr>
                <w:rFonts w:hint="eastAsia" w:ascii="宋体" w:hAnsi="宋体" w:cs="宋体" w:eastAsiaTheme="minorEastAsia"/>
                <w:bCs w:val="0"/>
                <w:color w:val="auto"/>
                <w:sz w:val="21"/>
                <w:szCs w:val="21"/>
                <w:highlight w:val="none"/>
                <w:u w:val="none"/>
                <w:lang w:eastAsia="zh-CN"/>
              </w:rPr>
              <w:t>一</w:t>
            </w:r>
            <w:r>
              <w:rPr>
                <w:rFonts w:hint="eastAsia" w:ascii="宋体" w:hAnsi="宋体" w:cs="宋体" w:eastAsiaTheme="minorEastAsia"/>
                <w:bCs w:val="0"/>
                <w:color w:val="auto"/>
                <w:sz w:val="21"/>
                <w:szCs w:val="21"/>
                <w:highlight w:val="none"/>
                <w:u w:val="none"/>
              </w:rPr>
              <w:t>级注册建造师</w:t>
            </w:r>
            <w:r>
              <w:rPr>
                <w:rFonts w:hint="eastAsia" w:ascii="宋体" w:hAnsi="宋体" w:cs="宋体" w:eastAsiaTheme="minorEastAsia"/>
                <w:bCs w:val="0"/>
                <w:color w:val="auto"/>
                <w:sz w:val="21"/>
                <w:szCs w:val="21"/>
                <w:highlight w:val="none"/>
                <w:u w:val="none"/>
                <w:lang w:eastAsia="zh-CN"/>
              </w:rPr>
              <w:t>的，得</w:t>
            </w:r>
            <w:r>
              <w:rPr>
                <w:rFonts w:hint="eastAsia" w:ascii="宋体" w:hAnsi="宋体" w:cs="宋体"/>
                <w:bCs w:val="0"/>
                <w:color w:val="auto"/>
                <w:sz w:val="21"/>
                <w:szCs w:val="21"/>
                <w:highlight w:val="none"/>
                <w:u w:val="none"/>
                <w:lang w:val="en-US" w:eastAsia="zh-CN"/>
              </w:rPr>
              <w:t>4</w:t>
            </w:r>
            <w:r>
              <w:rPr>
                <w:rFonts w:hint="eastAsia" w:ascii="宋体" w:hAnsi="宋体" w:cs="宋体" w:eastAsiaTheme="minorEastAsia"/>
                <w:bCs w:val="0"/>
                <w:color w:val="auto"/>
                <w:sz w:val="21"/>
                <w:szCs w:val="21"/>
                <w:highlight w:val="none"/>
                <w:u w:val="none"/>
                <w:lang w:val="en-US" w:eastAsia="zh-CN"/>
              </w:rPr>
              <w:t>分；具有</w:t>
            </w:r>
            <w:r>
              <w:rPr>
                <w:rFonts w:hint="eastAsia" w:ascii="宋体" w:hAnsi="宋体" w:cs="宋体"/>
                <w:color w:val="auto"/>
                <w:szCs w:val="21"/>
                <w:highlight w:val="none"/>
              </w:rPr>
              <w:t>工程类</w:t>
            </w:r>
            <w:r>
              <w:rPr>
                <w:rFonts w:hint="eastAsia" w:ascii="宋体" w:hAnsi="宋体" w:cs="宋体"/>
                <w:color w:val="auto"/>
                <w:szCs w:val="21"/>
                <w:highlight w:val="none"/>
                <w:lang w:val="en-US" w:eastAsia="zh-CN"/>
              </w:rPr>
              <w:t>高</w:t>
            </w:r>
            <w:r>
              <w:rPr>
                <w:rFonts w:hint="eastAsia" w:ascii="宋体" w:hAnsi="宋体" w:cs="宋体"/>
                <w:color w:val="auto"/>
                <w:szCs w:val="21"/>
                <w:highlight w:val="none"/>
              </w:rPr>
              <w:t>级工程师职称证书的，得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r>
              <w:rPr>
                <w:rFonts w:hint="eastAsia" w:ascii="宋体" w:hAnsi="宋体" w:cs="宋体"/>
                <w:color w:val="auto"/>
                <w:szCs w:val="21"/>
                <w:highlight w:val="none"/>
                <w:lang w:eastAsia="zh-CN"/>
              </w:rPr>
              <w:t>。本项最多得</w:t>
            </w:r>
            <w:r>
              <w:rPr>
                <w:rFonts w:hint="eastAsia" w:ascii="宋体" w:hAnsi="宋体" w:cs="宋体"/>
                <w:color w:val="auto"/>
                <w:szCs w:val="21"/>
                <w:highlight w:val="none"/>
                <w:lang w:val="en-US" w:eastAsia="zh-CN"/>
              </w:rPr>
              <w:t>7分。</w:t>
            </w:r>
          </w:p>
          <w:p w14:paraId="7529E40A">
            <w:pPr>
              <w:spacing w:line="240" w:lineRule="auto"/>
              <w:jc w:val="left"/>
              <w:rPr>
                <w:rFonts w:hint="eastAsia" w:ascii="宋体" w:hAnsi="宋体" w:cs="宋体"/>
                <w:color w:val="auto"/>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rPr>
              <w:t>技术负责人：具有工程类</w:t>
            </w:r>
            <w:r>
              <w:rPr>
                <w:rFonts w:hint="eastAsia" w:ascii="宋体" w:hAnsi="宋体" w:cs="宋体"/>
                <w:color w:val="auto"/>
                <w:szCs w:val="21"/>
                <w:highlight w:val="none"/>
                <w:lang w:eastAsia="zh-CN"/>
              </w:rPr>
              <w:t>高级</w:t>
            </w:r>
            <w:r>
              <w:rPr>
                <w:rFonts w:hint="eastAsia" w:ascii="宋体" w:hAnsi="宋体" w:cs="宋体"/>
                <w:color w:val="auto"/>
                <w:szCs w:val="21"/>
                <w:highlight w:val="none"/>
              </w:rPr>
              <w:t>工程师职称证书的，得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p>
          <w:p w14:paraId="6C07E36A">
            <w:pPr>
              <w:spacing w:line="240" w:lineRule="auto"/>
              <w:jc w:val="left"/>
              <w:rPr>
                <w:rFonts w:hint="eastAsia" w:ascii="Calibri" w:hAnsi="Calibri"/>
                <w:b w:val="0"/>
                <w:color w:val="auto"/>
                <w:sz w:val="21"/>
                <w:szCs w:val="21"/>
                <w:highlight w:val="none"/>
                <w:vertAlign w:val="baseline"/>
              </w:rPr>
            </w:pPr>
            <w:r>
              <w:rPr>
                <w:rFonts w:hint="eastAsia" w:ascii="宋体" w:hAnsi="宋体" w:cs="宋体"/>
                <w:color w:val="auto"/>
                <w:highlight w:val="none"/>
              </w:rPr>
              <w:t>注：</w:t>
            </w:r>
            <w:r>
              <w:rPr>
                <w:rFonts w:hint="eastAsia" w:ascii="宋体" w:hAnsi="宋体" w:eastAsia="宋体" w:cs="宋体"/>
                <w:b w:val="0"/>
                <w:bCs w:val="0"/>
                <w:color w:val="auto"/>
                <w:sz w:val="21"/>
                <w:szCs w:val="21"/>
                <w:highlight w:val="none"/>
              </w:rPr>
              <w:t>须提供</w:t>
            </w:r>
            <w:r>
              <w:rPr>
                <w:rFonts w:hint="eastAsia" w:ascii="宋体" w:hAnsi="宋体" w:eastAsia="宋体" w:cs="宋体"/>
                <w:b w:val="0"/>
                <w:bCs w:val="0"/>
                <w:color w:val="auto"/>
                <w:sz w:val="21"/>
                <w:szCs w:val="21"/>
                <w:highlight w:val="none"/>
                <w:lang w:val="en-US" w:eastAsia="zh-CN"/>
              </w:rPr>
              <w:t>人员相关</w:t>
            </w:r>
            <w:r>
              <w:rPr>
                <w:rFonts w:hint="eastAsia" w:ascii="宋体" w:hAnsi="宋体" w:eastAsia="宋体" w:cs="宋体"/>
                <w:b w:val="0"/>
                <w:bCs w:val="0"/>
                <w:color w:val="auto"/>
                <w:kern w:val="2"/>
                <w:sz w:val="21"/>
                <w:szCs w:val="21"/>
                <w:highlight w:val="none"/>
              </w:rPr>
              <w:t>证书、 身份证复印件</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及投标人为其购买至投标截止日期近</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个月</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2024年8月</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有效的社会保险证明文件</w:t>
            </w:r>
            <w:r>
              <w:rPr>
                <w:rFonts w:hint="eastAsia" w:ascii="宋体" w:hAnsi="宋体" w:eastAsia="宋体" w:cs="宋体"/>
                <w:b w:val="0"/>
                <w:bCs w:val="0"/>
                <w:color w:val="auto"/>
                <w:sz w:val="21"/>
                <w:szCs w:val="21"/>
                <w:highlight w:val="none"/>
                <w:lang w:val="en-US" w:eastAsia="zh-CN"/>
              </w:rPr>
              <w:t>复印</w:t>
            </w:r>
            <w:r>
              <w:rPr>
                <w:rFonts w:hint="eastAsia" w:ascii="宋体" w:hAnsi="宋体" w:eastAsia="宋体" w:cs="宋体"/>
                <w:b w:val="0"/>
                <w:bCs w:val="0"/>
                <w:color w:val="auto"/>
                <w:sz w:val="21"/>
                <w:szCs w:val="21"/>
                <w:highlight w:val="none"/>
              </w:rPr>
              <w:t>件，</w:t>
            </w:r>
            <w:r>
              <w:rPr>
                <w:rFonts w:hint="eastAsia" w:ascii="宋体" w:hAnsi="宋体" w:eastAsia="宋体" w:cs="宋体"/>
                <w:b w:val="0"/>
                <w:bCs w:val="0"/>
                <w:color w:val="auto"/>
                <w:kern w:val="2"/>
                <w:sz w:val="21"/>
                <w:szCs w:val="21"/>
                <w:highlight w:val="none"/>
                <w:lang w:eastAsia="zh-CN"/>
              </w:rPr>
              <w:t>以上所有文件加盖公章，</w:t>
            </w:r>
            <w:r>
              <w:rPr>
                <w:rFonts w:hint="eastAsia" w:ascii="宋体" w:hAnsi="宋体" w:eastAsia="宋体" w:cs="宋体"/>
                <w:b w:val="0"/>
                <w:bCs w:val="0"/>
                <w:color w:val="auto"/>
                <w:sz w:val="21"/>
                <w:szCs w:val="21"/>
                <w:highlight w:val="none"/>
                <w:lang w:val="en-US" w:eastAsia="zh-CN"/>
              </w:rPr>
              <w:t>不提供</w:t>
            </w:r>
            <w:r>
              <w:rPr>
                <w:rFonts w:hint="eastAsia" w:ascii="宋体" w:hAnsi="宋体" w:eastAsia="宋体" w:cs="宋体"/>
                <w:b w:val="0"/>
                <w:bCs w:val="0"/>
                <w:color w:val="auto"/>
                <w:sz w:val="21"/>
                <w:szCs w:val="21"/>
                <w:highlight w:val="none"/>
              </w:rPr>
              <w:t>不得分。</w:t>
            </w:r>
          </w:p>
        </w:tc>
        <w:tc>
          <w:tcPr>
            <w:tcW w:w="667" w:type="dxa"/>
            <w:vAlign w:val="center"/>
          </w:tcPr>
          <w:p w14:paraId="725483E0">
            <w:pPr>
              <w:spacing w:line="240" w:lineRule="auto"/>
              <w:jc w:val="left"/>
              <w:rPr>
                <w:rFonts w:hint="eastAsia" w:ascii="宋体" w:hAnsi="宋体" w:cs="宋体"/>
                <w:color w:val="auto"/>
                <w:szCs w:val="21"/>
                <w:highlight w:val="none"/>
                <w:lang w:eastAsia="zh-CN"/>
              </w:rPr>
            </w:pPr>
          </w:p>
        </w:tc>
      </w:tr>
      <w:tr w14:paraId="3742A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0" w:type="auto"/>
            <w:vMerge w:val="restart"/>
            <w:vAlign w:val="center"/>
          </w:tcPr>
          <w:p w14:paraId="03688DC5">
            <w:pPr>
              <w:spacing w:line="360" w:lineRule="exact"/>
              <w:jc w:val="center"/>
              <w:rPr>
                <w:rFonts w:hint="eastAsia"/>
                <w:color w:val="auto"/>
                <w:highlight w:val="none"/>
                <w:lang w:eastAsia="zh-CN"/>
              </w:rPr>
            </w:pPr>
            <w:r>
              <w:rPr>
                <w:rFonts w:hint="eastAsia"/>
                <w:color w:val="auto"/>
                <w:highlight w:val="none"/>
                <w:lang w:eastAsia="zh-CN"/>
              </w:rPr>
              <w:t>技术部分</w:t>
            </w:r>
          </w:p>
          <w:p w14:paraId="27E9556D">
            <w:pPr>
              <w:spacing w:line="360" w:lineRule="exact"/>
              <w:jc w:val="center"/>
              <w:rPr>
                <w:rFonts w:hint="eastAsia"/>
                <w:color w:val="auto"/>
                <w:highlight w:val="none"/>
              </w:rPr>
            </w:pPr>
            <w:r>
              <w:rPr>
                <w:rFonts w:hint="eastAsia"/>
                <w:color w:val="auto"/>
                <w:highlight w:val="none"/>
              </w:rPr>
              <w:t>（</w:t>
            </w:r>
            <w:r>
              <w:rPr>
                <w:rFonts w:hint="eastAsia"/>
                <w:color w:val="auto"/>
                <w:highlight w:val="none"/>
                <w:lang w:val="en-US" w:eastAsia="zh-CN"/>
              </w:rPr>
              <w:t>50</w:t>
            </w:r>
            <w:r>
              <w:rPr>
                <w:rFonts w:hint="eastAsia"/>
                <w:color w:val="auto"/>
                <w:highlight w:val="none"/>
              </w:rPr>
              <w:t>分）</w:t>
            </w:r>
          </w:p>
          <w:p w14:paraId="51A7F7D4">
            <w:pPr>
              <w:pStyle w:val="25"/>
              <w:rPr>
                <w:rFonts w:hint="eastAsia"/>
                <w:color w:val="auto"/>
                <w:highlight w:val="none"/>
              </w:rPr>
            </w:pPr>
          </w:p>
        </w:tc>
        <w:tc>
          <w:tcPr>
            <w:tcW w:w="2943" w:type="dxa"/>
            <w:vAlign w:val="center"/>
          </w:tcPr>
          <w:p w14:paraId="76AC2478">
            <w:pPr>
              <w:autoSpaceDE w:val="0"/>
              <w:autoSpaceDN w:val="0"/>
              <w:adjustRightInd w:val="0"/>
              <w:snapToGrid w:val="0"/>
              <w:jc w:val="center"/>
              <w:rPr>
                <w:rFonts w:hint="eastAsia" w:ascii="Calibri" w:hAnsi="Calibri" w:eastAsia="宋体" w:cs="Times New Roman"/>
                <w:b w:val="0"/>
                <w:color w:val="auto"/>
                <w:sz w:val="21"/>
                <w:szCs w:val="21"/>
                <w:highlight w:val="none"/>
                <w:vertAlign w:val="baseline"/>
                <w:lang w:eastAsia="zh-CN"/>
              </w:rPr>
            </w:pPr>
            <w:r>
              <w:rPr>
                <w:rFonts w:hint="eastAsia" w:ascii="宋体" w:hAnsi="宋体" w:eastAsia="宋体" w:cs="宋体"/>
                <w:color w:val="auto"/>
                <w:spacing w:val="-5"/>
                <w:szCs w:val="21"/>
                <w:highlight w:val="none"/>
              </w:rPr>
              <w:t>项目实施方案</w:t>
            </w:r>
          </w:p>
        </w:tc>
        <w:tc>
          <w:tcPr>
            <w:tcW w:w="529" w:type="dxa"/>
            <w:vAlign w:val="center"/>
          </w:tcPr>
          <w:p w14:paraId="28AE6139">
            <w:pPr>
              <w:autoSpaceDE w:val="0"/>
              <w:autoSpaceDN w:val="0"/>
              <w:adjustRightInd w:val="0"/>
              <w:snapToGrid w:val="0"/>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5"/>
                <w:szCs w:val="21"/>
                <w:highlight w:val="none"/>
                <w:lang w:val="en-US" w:eastAsia="zh-CN"/>
              </w:rPr>
              <w:t>10</w:t>
            </w:r>
          </w:p>
        </w:tc>
        <w:tc>
          <w:tcPr>
            <w:tcW w:w="7778" w:type="dxa"/>
            <w:vAlign w:val="center"/>
          </w:tcPr>
          <w:p w14:paraId="79143430">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综合评价投标人实施方案（包括但不限于现场作业管理方案及措施、安全生产管理方案及措施、现场文明施工方案及措施、工期保证方案及措施、方案及承诺、施工现场的清运方案及措施、现场工作人员操作规范实施方案等）：</w:t>
            </w:r>
          </w:p>
          <w:p w14:paraId="4D3F1BAF">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1.优：方案内容齐全，措施有效可行、具有针对性，承诺详细具体，能满足本项目需求，得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zCs w:val="21"/>
                <w:highlight w:val="none"/>
              </w:rPr>
              <w:t>分；</w:t>
            </w:r>
          </w:p>
          <w:p w14:paraId="2C77509C">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2.良：方案内容较齐全，措施较有效可行、具有针对性，承诺较详细具体，基本满足本项目需求，得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zCs w:val="21"/>
                <w:highlight w:val="none"/>
              </w:rPr>
              <w:t>分；</w:t>
            </w:r>
          </w:p>
          <w:p w14:paraId="711A9552">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3.差：方案内容有缺漏，措施较有效可行、针对性一般，承诺较详细，较能满足本项目需求，得</w:t>
            </w:r>
            <w:r>
              <w:rPr>
                <w:rFonts w:hint="eastAsia" w:ascii="宋体" w:hAnsi="宋体" w:eastAsia="宋体" w:cs="宋体"/>
                <w:color w:val="auto"/>
                <w:spacing w:val="-5"/>
                <w:szCs w:val="21"/>
                <w:highlight w:val="none"/>
              </w:rPr>
              <w:t>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zCs w:val="21"/>
                <w:highlight w:val="none"/>
              </w:rPr>
              <w:t>分；</w:t>
            </w:r>
          </w:p>
          <w:p w14:paraId="2620FFCB">
            <w:pPr>
              <w:autoSpaceDE w:val="0"/>
              <w:autoSpaceDN w:val="0"/>
              <w:adjustRightInd w:val="0"/>
              <w:snapToGrid w:val="0"/>
              <w:rPr>
                <w:rFonts w:hint="eastAsia" w:ascii="宋体" w:hAnsi="宋体" w:eastAsia="宋体" w:cs="宋体"/>
                <w:color w:val="auto"/>
                <w:highlight w:val="none"/>
                <w:lang w:eastAsia="zh-CN"/>
              </w:rPr>
            </w:pPr>
            <w:r>
              <w:rPr>
                <w:rFonts w:hint="eastAsia" w:ascii="宋体" w:hAnsi="宋体" w:eastAsia="宋体" w:cs="宋体"/>
                <w:color w:val="auto"/>
                <w:szCs w:val="21"/>
                <w:highlight w:val="none"/>
              </w:rPr>
              <w:t>不提供方案不得分。</w:t>
            </w:r>
          </w:p>
        </w:tc>
        <w:tc>
          <w:tcPr>
            <w:tcW w:w="667" w:type="dxa"/>
            <w:vAlign w:val="center"/>
          </w:tcPr>
          <w:p w14:paraId="769060A3">
            <w:pPr>
              <w:spacing w:line="360" w:lineRule="exact"/>
              <w:jc w:val="left"/>
              <w:rPr>
                <w:rFonts w:hint="eastAsia" w:ascii="宋体" w:hAnsi="宋体" w:cs="宋体"/>
                <w:color w:val="auto"/>
                <w:highlight w:val="none"/>
              </w:rPr>
            </w:pPr>
          </w:p>
        </w:tc>
      </w:tr>
      <w:tr w14:paraId="60C47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0" w:type="auto"/>
            <w:vMerge w:val="continue"/>
            <w:vAlign w:val="center"/>
          </w:tcPr>
          <w:p w14:paraId="6B525A12">
            <w:pPr>
              <w:spacing w:line="360" w:lineRule="exact"/>
              <w:jc w:val="left"/>
              <w:rPr>
                <w:rFonts w:hint="eastAsia" w:ascii="宋体" w:hAnsi="宋体" w:cs="宋体"/>
                <w:b w:val="0"/>
                <w:color w:val="auto"/>
                <w:sz w:val="21"/>
                <w:szCs w:val="21"/>
                <w:highlight w:val="none"/>
                <w:vertAlign w:val="baseline"/>
              </w:rPr>
            </w:pPr>
          </w:p>
        </w:tc>
        <w:tc>
          <w:tcPr>
            <w:tcW w:w="2943" w:type="dxa"/>
            <w:vAlign w:val="center"/>
          </w:tcPr>
          <w:p w14:paraId="0742D70B">
            <w:pPr>
              <w:autoSpaceDE w:val="0"/>
              <w:autoSpaceDN w:val="0"/>
              <w:adjustRightInd w:val="0"/>
              <w:snapToGrid w:val="0"/>
              <w:jc w:val="center"/>
              <w:rPr>
                <w:rFonts w:hint="eastAsia" w:ascii="宋体" w:hAnsi="宋体" w:eastAsia="宋体" w:cs="宋体"/>
                <w:b w:val="0"/>
                <w:color w:val="auto"/>
                <w:sz w:val="21"/>
                <w:szCs w:val="21"/>
                <w:highlight w:val="none"/>
                <w:vertAlign w:val="baseline"/>
                <w:lang w:eastAsia="zh-CN"/>
              </w:rPr>
            </w:pPr>
            <w:r>
              <w:rPr>
                <w:rFonts w:hint="eastAsia" w:ascii="宋体" w:hAnsi="宋体" w:eastAsia="宋体" w:cs="宋体"/>
                <w:color w:val="auto"/>
                <w:spacing w:val="-5"/>
                <w:szCs w:val="21"/>
                <w:highlight w:val="none"/>
              </w:rPr>
              <w:t>对项目的理解程度、重点难点分析情况</w:t>
            </w:r>
          </w:p>
        </w:tc>
        <w:tc>
          <w:tcPr>
            <w:tcW w:w="529" w:type="dxa"/>
            <w:vAlign w:val="center"/>
          </w:tcPr>
          <w:p w14:paraId="3B2F4A72">
            <w:pPr>
              <w:autoSpaceDE w:val="0"/>
              <w:autoSpaceDN w:val="0"/>
              <w:adjustRightInd w:val="0"/>
              <w:snapToGrid w:val="0"/>
              <w:rPr>
                <w:rFonts w:hint="default" w:ascii="宋体" w:hAnsi="宋体" w:cs="宋体"/>
                <w:b w:val="0"/>
                <w:color w:val="auto"/>
                <w:sz w:val="21"/>
                <w:szCs w:val="21"/>
                <w:highlight w:val="none"/>
                <w:vertAlign w:val="baseline"/>
              </w:rPr>
            </w:pPr>
            <w:r>
              <w:rPr>
                <w:rFonts w:hint="eastAsia" w:ascii="宋体" w:hAnsi="宋体" w:eastAsia="宋体" w:cs="宋体"/>
                <w:color w:val="auto"/>
                <w:spacing w:val="-5"/>
                <w:szCs w:val="21"/>
                <w:highlight w:val="none"/>
                <w:lang w:val="en-US" w:eastAsia="zh-CN"/>
              </w:rPr>
              <w:t>10</w:t>
            </w:r>
          </w:p>
        </w:tc>
        <w:tc>
          <w:tcPr>
            <w:tcW w:w="7778" w:type="dxa"/>
            <w:vAlign w:val="center"/>
          </w:tcPr>
          <w:p w14:paraId="472769F2">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1、优：对项目的理解程度、特点、实施难点、易损多发维修点清楚，有针对性，得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pacing w:val="-5"/>
                <w:szCs w:val="21"/>
                <w:highlight w:val="none"/>
              </w:rPr>
              <w:t xml:space="preserve">分； </w:t>
            </w:r>
          </w:p>
          <w:p w14:paraId="6C749379">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2、中：对项目的理解程度、特点、实施难点、易损多发维修点较清楚，较有针对性，得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分； </w:t>
            </w:r>
          </w:p>
          <w:p w14:paraId="5E9C91AF">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3、差：对项目的理解程度、特点、实施难点、易损多发维修点了解一般，针对性一般，得0-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 xml:space="preserve">分。 </w:t>
            </w:r>
          </w:p>
          <w:p w14:paraId="19FECAAB">
            <w:pPr>
              <w:autoSpaceDE w:val="0"/>
              <w:autoSpaceDN w:val="0"/>
              <w:adjustRightInd w:val="0"/>
              <w:snapToGrid w:val="0"/>
              <w:rPr>
                <w:rFonts w:hint="eastAsia" w:ascii="宋体" w:hAnsi="宋体" w:cs="宋体"/>
                <w:b w:val="0"/>
                <w:color w:val="auto"/>
                <w:sz w:val="21"/>
                <w:szCs w:val="21"/>
                <w:highlight w:val="none"/>
                <w:vertAlign w:val="baseline"/>
              </w:rPr>
            </w:pPr>
            <w:r>
              <w:rPr>
                <w:rFonts w:hint="eastAsia" w:ascii="宋体" w:hAnsi="宋体" w:eastAsia="宋体" w:cs="宋体"/>
                <w:color w:val="auto"/>
                <w:spacing w:val="-5"/>
                <w:szCs w:val="21"/>
                <w:highlight w:val="none"/>
              </w:rPr>
              <w:t>无提供方案则不得分。</w:t>
            </w:r>
          </w:p>
        </w:tc>
        <w:tc>
          <w:tcPr>
            <w:tcW w:w="667" w:type="dxa"/>
            <w:vAlign w:val="center"/>
          </w:tcPr>
          <w:p w14:paraId="22E86F28">
            <w:pPr>
              <w:spacing w:line="240" w:lineRule="auto"/>
              <w:jc w:val="left"/>
              <w:rPr>
                <w:rFonts w:hint="default" w:ascii="宋体" w:hAnsi="宋体" w:cs="宋体"/>
                <w:color w:val="auto"/>
                <w:szCs w:val="21"/>
                <w:highlight w:val="none"/>
              </w:rPr>
            </w:pPr>
          </w:p>
        </w:tc>
      </w:tr>
      <w:tr w14:paraId="3363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0" w:type="auto"/>
            <w:vMerge w:val="continue"/>
            <w:vAlign w:val="center"/>
          </w:tcPr>
          <w:p w14:paraId="54D1CE6E">
            <w:pPr>
              <w:spacing w:line="240" w:lineRule="auto"/>
              <w:jc w:val="left"/>
              <w:rPr>
                <w:rFonts w:hint="eastAsia" w:ascii="宋体" w:hAnsi="宋体" w:cs="宋体"/>
                <w:b w:val="0"/>
                <w:color w:val="auto"/>
                <w:sz w:val="21"/>
                <w:szCs w:val="21"/>
                <w:highlight w:val="none"/>
                <w:vertAlign w:val="baseline"/>
              </w:rPr>
            </w:pPr>
          </w:p>
        </w:tc>
        <w:tc>
          <w:tcPr>
            <w:tcW w:w="2943" w:type="dxa"/>
            <w:vAlign w:val="center"/>
          </w:tcPr>
          <w:p w14:paraId="555D42A6">
            <w:pPr>
              <w:autoSpaceDE w:val="0"/>
              <w:autoSpaceDN w:val="0"/>
              <w:adjustRightInd w:val="0"/>
              <w:snapToGrid w:val="0"/>
              <w:jc w:val="center"/>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安全生产管理</w:t>
            </w:r>
          </w:p>
          <w:p w14:paraId="4E08D318">
            <w:pPr>
              <w:autoSpaceDE w:val="0"/>
              <w:autoSpaceDN w:val="0"/>
              <w:adjustRightInd w:val="0"/>
              <w:snapToGrid w:val="0"/>
              <w:jc w:val="center"/>
              <w:rPr>
                <w:rFonts w:hint="eastAsia" w:ascii="宋体" w:hAnsi="宋体" w:cs="宋体"/>
                <w:color w:val="auto"/>
                <w:szCs w:val="21"/>
                <w:highlight w:val="none"/>
              </w:rPr>
            </w:pPr>
          </w:p>
        </w:tc>
        <w:tc>
          <w:tcPr>
            <w:tcW w:w="529" w:type="dxa"/>
            <w:vAlign w:val="center"/>
          </w:tcPr>
          <w:p w14:paraId="6B69B809">
            <w:pPr>
              <w:autoSpaceDE w:val="0"/>
              <w:autoSpaceDN w:val="0"/>
              <w:adjustRightInd w:val="0"/>
              <w:snapToGrid w:val="0"/>
              <w:rPr>
                <w:rFonts w:hint="default" w:ascii="宋体" w:hAnsi="宋体" w:eastAsia="宋体" w:cs="宋体"/>
                <w:b w:val="0"/>
                <w:color w:val="auto"/>
                <w:sz w:val="21"/>
                <w:szCs w:val="21"/>
                <w:highlight w:val="none"/>
                <w:vertAlign w:val="baseline"/>
                <w:lang w:val="en-US" w:eastAsia="zh-CN"/>
              </w:rPr>
            </w:pPr>
            <w:r>
              <w:rPr>
                <w:rFonts w:hint="eastAsia" w:ascii="宋体" w:hAnsi="宋体" w:eastAsia="宋体" w:cs="宋体"/>
                <w:color w:val="auto"/>
                <w:spacing w:val="-5"/>
                <w:szCs w:val="21"/>
                <w:highlight w:val="none"/>
                <w:lang w:val="en-US" w:eastAsia="zh-CN"/>
              </w:rPr>
              <w:t>10</w:t>
            </w:r>
          </w:p>
        </w:tc>
        <w:tc>
          <w:tcPr>
            <w:tcW w:w="7778" w:type="dxa"/>
            <w:vAlign w:val="center"/>
          </w:tcPr>
          <w:p w14:paraId="5918AA0E">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1、优：对项目安全生产工作提出具体管理方案，安全防护制度健全，可行性高，能有效保障本服务项目的安全实施，得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pacing w:val="-5"/>
                <w:szCs w:val="21"/>
                <w:highlight w:val="none"/>
              </w:rPr>
              <w:t>分。</w:t>
            </w:r>
          </w:p>
          <w:p w14:paraId="70D972F1">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2、中：对项目安全生产工作提出具体管理方案，安全防护制度可行性较高，基本保障本服务项目的安全实施，得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分。 </w:t>
            </w:r>
          </w:p>
          <w:p w14:paraId="31AD2BD4">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3、差：对项目安全生产工作提出具体管理方案， 安全防护制度可行性较低，得0-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 xml:space="preserve">分。 </w:t>
            </w:r>
          </w:p>
          <w:p w14:paraId="276E7BB5">
            <w:pPr>
              <w:autoSpaceDE w:val="0"/>
              <w:autoSpaceDN w:val="0"/>
              <w:adjustRightInd w:val="0"/>
              <w:snapToGrid w:val="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5"/>
                <w:szCs w:val="21"/>
                <w:highlight w:val="none"/>
              </w:rPr>
              <w:t xml:space="preserve">无提供方案则不得分。 </w:t>
            </w:r>
          </w:p>
        </w:tc>
        <w:tc>
          <w:tcPr>
            <w:tcW w:w="667" w:type="dxa"/>
            <w:vAlign w:val="center"/>
          </w:tcPr>
          <w:p w14:paraId="3E5A70B9">
            <w:pPr>
              <w:spacing w:line="240" w:lineRule="auto"/>
              <w:jc w:val="left"/>
              <w:rPr>
                <w:rFonts w:hint="eastAsia" w:ascii="宋体" w:hAnsi="宋体" w:eastAsia="宋体" w:cs="宋体"/>
                <w:color w:val="auto"/>
                <w:kern w:val="2"/>
                <w:szCs w:val="21"/>
                <w:highlight w:val="none"/>
              </w:rPr>
            </w:pPr>
          </w:p>
        </w:tc>
      </w:tr>
      <w:tr w14:paraId="063C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0" w:type="auto"/>
            <w:vMerge w:val="continue"/>
            <w:vAlign w:val="center"/>
          </w:tcPr>
          <w:p w14:paraId="49D786B0">
            <w:pPr>
              <w:spacing w:line="240" w:lineRule="auto"/>
              <w:jc w:val="left"/>
              <w:rPr>
                <w:rFonts w:hint="eastAsia" w:ascii="宋体" w:hAnsi="宋体" w:cs="宋体"/>
                <w:b w:val="0"/>
                <w:color w:val="auto"/>
                <w:sz w:val="21"/>
                <w:szCs w:val="21"/>
                <w:highlight w:val="none"/>
                <w:vertAlign w:val="baseline"/>
              </w:rPr>
            </w:pPr>
          </w:p>
        </w:tc>
        <w:tc>
          <w:tcPr>
            <w:tcW w:w="2943" w:type="dxa"/>
            <w:vAlign w:val="center"/>
          </w:tcPr>
          <w:p w14:paraId="784A956F">
            <w:pPr>
              <w:autoSpaceDE w:val="0"/>
              <w:autoSpaceDN w:val="0"/>
              <w:adjustRightInd w:val="0"/>
              <w:snapToGrid w:val="0"/>
              <w:jc w:val="center"/>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质量保障措施</w:t>
            </w:r>
          </w:p>
          <w:p w14:paraId="21B44DF9">
            <w:pPr>
              <w:autoSpaceDE w:val="0"/>
              <w:autoSpaceDN w:val="0"/>
              <w:adjustRightInd w:val="0"/>
              <w:snapToGrid w:val="0"/>
              <w:jc w:val="center"/>
              <w:rPr>
                <w:rFonts w:hint="eastAsia" w:ascii="宋体" w:hAnsi="宋体" w:cs="宋体"/>
                <w:color w:val="auto"/>
                <w:szCs w:val="21"/>
                <w:highlight w:val="none"/>
              </w:rPr>
            </w:pPr>
          </w:p>
        </w:tc>
        <w:tc>
          <w:tcPr>
            <w:tcW w:w="529" w:type="dxa"/>
            <w:vAlign w:val="center"/>
          </w:tcPr>
          <w:p w14:paraId="7AA8F410">
            <w:pPr>
              <w:autoSpaceDE w:val="0"/>
              <w:autoSpaceDN w:val="0"/>
              <w:adjustRightInd w:val="0"/>
              <w:snapToGrid w:val="0"/>
              <w:rPr>
                <w:rFonts w:hint="eastAsia" w:ascii="宋体" w:hAnsi="宋体" w:cs="宋体"/>
                <w:b w:val="0"/>
                <w:color w:val="auto"/>
                <w:sz w:val="21"/>
                <w:szCs w:val="21"/>
                <w:highlight w:val="none"/>
                <w:vertAlign w:val="baseline"/>
                <w:lang w:val="en-US" w:eastAsia="zh-CN"/>
              </w:rPr>
            </w:pPr>
            <w:r>
              <w:rPr>
                <w:rFonts w:hint="eastAsia" w:ascii="宋体" w:hAnsi="宋体" w:eastAsia="宋体" w:cs="宋体"/>
                <w:color w:val="auto"/>
                <w:spacing w:val="-5"/>
                <w:szCs w:val="21"/>
                <w:highlight w:val="none"/>
                <w:lang w:val="en-US" w:eastAsia="zh-CN"/>
              </w:rPr>
              <w:t>10</w:t>
            </w:r>
          </w:p>
        </w:tc>
        <w:tc>
          <w:tcPr>
            <w:tcW w:w="7778" w:type="dxa"/>
            <w:vAlign w:val="center"/>
          </w:tcPr>
          <w:p w14:paraId="4C058C21">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1、优：项目质量措施保证目标明确、方案详细，可行性强，有明确的质量承诺， 表述清晰、完整、合理，得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pacing w:val="-5"/>
                <w:szCs w:val="21"/>
                <w:highlight w:val="none"/>
              </w:rPr>
              <w:t xml:space="preserve">分； </w:t>
            </w:r>
          </w:p>
          <w:p w14:paraId="5858BE8E">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2、中：项目质量措施保证目标较明确、方案较 详细、可行较强，有较明确的质量承诺，表述较清晰、较完整、较合理， 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分； </w:t>
            </w:r>
          </w:p>
          <w:p w14:paraId="23CAC349">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3、差：项目质量措施保证目标不明确、方案简单、可行性较低，质量承诺表述不够清晰、不够合理，得0-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 xml:space="preserve">分。 </w:t>
            </w:r>
          </w:p>
          <w:p w14:paraId="308A2FA3">
            <w:pPr>
              <w:autoSpaceDE w:val="0"/>
              <w:autoSpaceDN w:val="0"/>
              <w:adjustRightInd w:val="0"/>
              <w:snapToGrid w:val="0"/>
              <w:rPr>
                <w:rFonts w:hint="default" w:ascii="宋体" w:hAnsi="宋体" w:cs="宋体"/>
                <w:color w:val="auto"/>
                <w:szCs w:val="21"/>
                <w:highlight w:val="none"/>
              </w:rPr>
            </w:pPr>
            <w:r>
              <w:rPr>
                <w:rFonts w:hint="eastAsia" w:ascii="宋体" w:hAnsi="宋体" w:eastAsia="宋体" w:cs="宋体"/>
                <w:color w:val="auto"/>
                <w:spacing w:val="-5"/>
                <w:szCs w:val="21"/>
                <w:highlight w:val="none"/>
              </w:rPr>
              <w:t>无提供方案则不得分。</w:t>
            </w:r>
          </w:p>
        </w:tc>
        <w:tc>
          <w:tcPr>
            <w:tcW w:w="667" w:type="dxa"/>
            <w:vAlign w:val="center"/>
          </w:tcPr>
          <w:p w14:paraId="3012D7F9">
            <w:pPr>
              <w:spacing w:line="240" w:lineRule="auto"/>
              <w:jc w:val="left"/>
              <w:rPr>
                <w:rFonts w:hint="eastAsia" w:ascii="宋体" w:hAnsi="宋体" w:eastAsia="宋体" w:cs="宋体"/>
                <w:color w:val="auto"/>
                <w:kern w:val="2"/>
                <w:szCs w:val="21"/>
                <w:highlight w:val="none"/>
              </w:rPr>
            </w:pPr>
          </w:p>
        </w:tc>
      </w:tr>
      <w:tr w14:paraId="74C0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0" w:type="auto"/>
            <w:vMerge w:val="continue"/>
            <w:vAlign w:val="center"/>
          </w:tcPr>
          <w:p w14:paraId="4BC8498F">
            <w:pPr>
              <w:spacing w:line="240" w:lineRule="auto"/>
              <w:jc w:val="left"/>
              <w:rPr>
                <w:rFonts w:hint="eastAsia" w:ascii="宋体" w:hAnsi="宋体" w:cs="宋体"/>
                <w:b w:val="0"/>
                <w:color w:val="auto"/>
                <w:sz w:val="21"/>
                <w:szCs w:val="21"/>
                <w:highlight w:val="none"/>
                <w:vertAlign w:val="baseline"/>
              </w:rPr>
            </w:pPr>
          </w:p>
        </w:tc>
        <w:tc>
          <w:tcPr>
            <w:tcW w:w="0" w:type="auto"/>
            <w:vAlign w:val="center"/>
          </w:tcPr>
          <w:p w14:paraId="2C22698C">
            <w:pPr>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项目工期</w:t>
            </w:r>
          </w:p>
        </w:tc>
        <w:tc>
          <w:tcPr>
            <w:tcW w:w="0" w:type="auto"/>
            <w:vAlign w:val="center"/>
          </w:tcPr>
          <w:p w14:paraId="1445860D">
            <w:pPr>
              <w:spacing w:line="360" w:lineRule="exact"/>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10</w:t>
            </w:r>
          </w:p>
        </w:tc>
        <w:tc>
          <w:tcPr>
            <w:tcW w:w="7778" w:type="dxa"/>
            <w:vAlign w:val="center"/>
          </w:tcPr>
          <w:p w14:paraId="0ACC9C79">
            <w:pPr>
              <w:spacing w:line="240" w:lineRule="auto"/>
              <w:jc w:val="left"/>
              <w:rPr>
                <w:rFonts w:hint="default" w:ascii="宋体" w:hAnsi="宋体" w:eastAsia="宋体" w:cs="宋体"/>
                <w:color w:val="auto"/>
                <w:kern w:val="2"/>
                <w:szCs w:val="21"/>
                <w:highlight w:val="none"/>
                <w:lang w:val="en-US" w:eastAsia="zh-CN"/>
              </w:rPr>
            </w:pPr>
            <w:r>
              <w:rPr>
                <w:rFonts w:hint="eastAsia" w:ascii="宋体" w:hAnsi="宋体" w:cs="宋体"/>
                <w:color w:val="auto"/>
                <w:kern w:val="2"/>
                <w:szCs w:val="21"/>
                <w:highlight w:val="none"/>
                <w:lang w:val="en-US" w:eastAsia="zh-CN"/>
              </w:rPr>
              <w:t>本项目工期为90日历天内</w:t>
            </w:r>
            <w:r>
              <w:rPr>
                <w:rFonts w:hint="eastAsia" w:ascii="宋体" w:hAnsi="宋体" w:eastAsia="宋体" w:cs="宋体"/>
                <w:b w:val="0"/>
                <w:bCs/>
                <w:color w:val="auto"/>
                <w:sz w:val="21"/>
                <w:szCs w:val="21"/>
                <w:highlight w:val="none"/>
                <w:lang w:val="en-US" w:eastAsia="zh-CN"/>
              </w:rPr>
              <w:t>完工并通电</w:t>
            </w:r>
            <w:r>
              <w:rPr>
                <w:rFonts w:hint="eastAsia" w:ascii="宋体" w:hAnsi="宋体" w:cs="宋体"/>
                <w:color w:val="auto"/>
                <w:kern w:val="2"/>
                <w:szCs w:val="21"/>
                <w:highlight w:val="none"/>
                <w:lang w:val="en-US" w:eastAsia="zh-CN"/>
              </w:rPr>
              <w:t>。投标人承诺项目工期提前的，每提前一天加1分，以此累加，</w:t>
            </w:r>
            <w:r>
              <w:rPr>
                <w:rFonts w:hint="eastAsia" w:ascii="宋体" w:hAnsi="宋体" w:cs="宋体"/>
                <w:color w:val="auto"/>
                <w:szCs w:val="21"/>
                <w:highlight w:val="none"/>
                <w:lang w:eastAsia="zh-CN"/>
              </w:rPr>
              <w:t>最多得</w:t>
            </w:r>
            <w:r>
              <w:rPr>
                <w:rFonts w:hint="eastAsia" w:ascii="宋体" w:hAnsi="宋体" w:cs="宋体"/>
                <w:color w:val="auto"/>
                <w:szCs w:val="21"/>
                <w:highlight w:val="none"/>
                <w:lang w:val="en-US" w:eastAsia="zh-CN"/>
              </w:rPr>
              <w:t>10分</w:t>
            </w:r>
            <w:r>
              <w:rPr>
                <w:rFonts w:hint="default" w:ascii="宋体" w:hAnsi="宋体" w:cs="宋体"/>
                <w:color w:val="auto"/>
                <w:szCs w:val="21"/>
                <w:highlight w:val="none"/>
              </w:rPr>
              <w:t>。</w:t>
            </w:r>
            <w:r>
              <w:rPr>
                <w:rFonts w:hint="eastAsia" w:ascii="宋体" w:hAnsi="宋体" w:eastAsia="宋体" w:cs="宋体"/>
                <w:color w:val="auto"/>
                <w:szCs w:val="21"/>
                <w:highlight w:val="none"/>
                <w:lang w:val="en-US" w:eastAsia="zh-CN"/>
              </w:rPr>
              <w:t>需提供</w:t>
            </w:r>
            <w:r>
              <w:rPr>
                <w:rFonts w:hint="eastAsia" w:ascii="宋体" w:hAnsi="宋体" w:cs="宋体"/>
                <w:color w:val="auto"/>
                <w:szCs w:val="21"/>
                <w:highlight w:val="none"/>
                <w:lang w:val="en-US" w:eastAsia="zh-CN"/>
              </w:rPr>
              <w:t>项目工期承诺函，否则</w:t>
            </w:r>
            <w:r>
              <w:rPr>
                <w:rFonts w:hint="eastAsia" w:ascii="宋体" w:hAnsi="宋体" w:eastAsia="宋体" w:cs="宋体"/>
                <w:color w:val="auto"/>
                <w:szCs w:val="21"/>
                <w:highlight w:val="none"/>
                <w:lang w:val="en-US" w:eastAsia="zh-CN"/>
              </w:rPr>
              <w:t>不得分</w:t>
            </w:r>
            <w:r>
              <w:rPr>
                <w:rFonts w:hint="eastAsia" w:ascii="宋体" w:hAnsi="宋体" w:cs="宋体"/>
                <w:color w:val="auto"/>
                <w:sz w:val="18"/>
                <w:szCs w:val="18"/>
                <w:highlight w:val="none"/>
                <w:lang w:val="en-US" w:eastAsia="zh-CN"/>
              </w:rPr>
              <w:t>。</w:t>
            </w:r>
          </w:p>
        </w:tc>
        <w:tc>
          <w:tcPr>
            <w:tcW w:w="667" w:type="dxa"/>
            <w:vAlign w:val="center"/>
          </w:tcPr>
          <w:p w14:paraId="4BA3F11B">
            <w:pPr>
              <w:spacing w:line="240" w:lineRule="auto"/>
              <w:jc w:val="left"/>
              <w:rPr>
                <w:rFonts w:hint="eastAsia" w:ascii="宋体" w:hAnsi="宋体" w:eastAsia="宋体" w:cs="宋体"/>
                <w:color w:val="auto"/>
                <w:kern w:val="2"/>
                <w:szCs w:val="21"/>
                <w:highlight w:val="none"/>
              </w:rPr>
            </w:pPr>
          </w:p>
        </w:tc>
      </w:tr>
      <w:tr w14:paraId="0778C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3582" w:type="dxa"/>
            <w:gridSpan w:val="2"/>
            <w:vAlign w:val="center"/>
          </w:tcPr>
          <w:p w14:paraId="294C8E5B">
            <w:pPr>
              <w:jc w:val="center"/>
              <w:rPr>
                <w:rFonts w:hint="eastAsia"/>
                <w:color w:val="auto"/>
                <w:szCs w:val="21"/>
                <w:highlight w:val="none"/>
                <w:lang w:val="en-US" w:eastAsia="zh-CN"/>
              </w:rPr>
            </w:pPr>
            <w:r>
              <w:rPr>
                <w:rFonts w:hint="eastAsia" w:ascii="宋体" w:hAnsi="宋体" w:eastAsia="宋体" w:cs="宋体"/>
                <w:color w:val="auto"/>
                <w:szCs w:val="21"/>
                <w:highlight w:val="none"/>
              </w:rPr>
              <w:t>合计</w:t>
            </w:r>
          </w:p>
        </w:tc>
        <w:tc>
          <w:tcPr>
            <w:tcW w:w="529" w:type="dxa"/>
            <w:vAlign w:val="center"/>
          </w:tcPr>
          <w:p w14:paraId="2B774800">
            <w:pPr>
              <w:spacing w:line="220" w:lineRule="exact"/>
              <w:ind w:left="-2" w:leftChars="-1"/>
              <w:jc w:val="center"/>
              <w:rPr>
                <w:rFonts w:hint="eastAsia"/>
                <w:color w:val="auto"/>
                <w:szCs w:val="21"/>
                <w:highlight w:val="none"/>
                <w:lang w:val="en-US" w:eastAsia="zh-CN"/>
              </w:rPr>
            </w:pPr>
            <w:r>
              <w:rPr>
                <w:rFonts w:hint="eastAsia" w:ascii="宋体" w:hAnsi="宋体" w:eastAsia="宋体" w:cs="宋体"/>
                <w:color w:val="auto"/>
                <w:szCs w:val="21"/>
                <w:highlight w:val="none"/>
              </w:rPr>
              <w:t>100</w:t>
            </w:r>
          </w:p>
        </w:tc>
        <w:tc>
          <w:tcPr>
            <w:tcW w:w="7778" w:type="dxa"/>
            <w:vAlign w:val="center"/>
          </w:tcPr>
          <w:p w14:paraId="45DB4459">
            <w:pPr>
              <w:spacing w:line="220" w:lineRule="exact"/>
              <w:ind w:left="-2" w:leftChars="-1"/>
              <w:rPr>
                <w:rFonts w:hint="eastAsia" w:ascii="宋体" w:hAnsi="宋体" w:cs="宋体"/>
                <w:color w:val="auto"/>
                <w:kern w:val="2"/>
                <w:szCs w:val="21"/>
                <w:highlight w:val="none"/>
                <w:lang w:val="en-US" w:eastAsia="zh-CN"/>
              </w:rPr>
            </w:pPr>
          </w:p>
        </w:tc>
        <w:tc>
          <w:tcPr>
            <w:tcW w:w="667" w:type="dxa"/>
            <w:vAlign w:val="center"/>
          </w:tcPr>
          <w:p w14:paraId="4EAF1EA0">
            <w:pPr>
              <w:spacing w:line="240" w:lineRule="auto"/>
              <w:jc w:val="left"/>
              <w:rPr>
                <w:rFonts w:hint="eastAsia" w:ascii="宋体" w:hAnsi="宋体" w:eastAsia="宋体" w:cs="宋体"/>
                <w:color w:val="auto"/>
                <w:kern w:val="2"/>
                <w:szCs w:val="21"/>
                <w:highlight w:val="none"/>
              </w:rPr>
            </w:pPr>
          </w:p>
        </w:tc>
      </w:tr>
    </w:tbl>
    <w:p w14:paraId="11587295">
      <w:pPr>
        <w:snapToGrid/>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21"/>
          <w:highlight w:val="none"/>
        </w:rPr>
        <w:t>说明：</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p>
    <w:p w14:paraId="2A575E59">
      <w:pP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br w:type="page"/>
      </w:r>
    </w:p>
    <w:p w14:paraId="2CC58605">
      <w:pPr>
        <w:pStyle w:val="27"/>
        <w:jc w:val="center"/>
        <w:rPr>
          <w:rFonts w:hint="default"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经济部分评分表</w:t>
      </w:r>
    </w:p>
    <w:tbl>
      <w:tblPr>
        <w:tblStyle w:val="19"/>
        <w:tblW w:w="1288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0"/>
        <w:gridCol w:w="1562"/>
        <w:gridCol w:w="1770"/>
        <w:gridCol w:w="1440"/>
        <w:gridCol w:w="5115"/>
        <w:gridCol w:w="1110"/>
        <w:gridCol w:w="1230"/>
      </w:tblGrid>
      <w:tr w14:paraId="71114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EC39E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15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044F4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投标人名称</w:t>
            </w:r>
          </w:p>
        </w:tc>
        <w:tc>
          <w:tcPr>
            <w:tcW w:w="1770" w:type="dxa"/>
            <w:vMerge w:val="restart"/>
            <w:tcBorders>
              <w:top w:val="single" w:color="000000" w:sz="4" w:space="0"/>
              <w:left w:val="single" w:color="000000" w:sz="4" w:space="0"/>
              <w:bottom w:val="single" w:color="000000" w:sz="4" w:space="0"/>
              <w:right w:val="nil"/>
            </w:tcBorders>
            <w:shd w:val="clear" w:color="auto" w:fill="auto"/>
            <w:vAlign w:val="center"/>
          </w:tcPr>
          <w:p w14:paraId="7425DF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报价（元）</w:t>
            </w:r>
          </w:p>
        </w:tc>
        <w:tc>
          <w:tcPr>
            <w:tcW w:w="1440" w:type="dxa"/>
            <w:vMerge w:val="restart"/>
            <w:tcBorders>
              <w:top w:val="single" w:color="000000" w:sz="4" w:space="0"/>
              <w:left w:val="single" w:color="000000" w:sz="4" w:space="0"/>
              <w:bottom w:val="single" w:color="000000" w:sz="4" w:space="0"/>
              <w:right w:val="nil"/>
            </w:tcBorders>
            <w:shd w:val="clear" w:color="auto" w:fill="auto"/>
            <w:vAlign w:val="center"/>
          </w:tcPr>
          <w:p w14:paraId="0E5630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评标基准价（元）</w:t>
            </w:r>
          </w:p>
        </w:tc>
        <w:tc>
          <w:tcPr>
            <w:tcW w:w="5115" w:type="dxa"/>
            <w:vMerge w:val="restart"/>
            <w:tcBorders>
              <w:top w:val="single" w:color="000000" w:sz="4" w:space="0"/>
              <w:left w:val="single" w:color="000000" w:sz="4" w:space="0"/>
              <w:bottom w:val="nil"/>
              <w:right w:val="nil"/>
            </w:tcBorders>
            <w:shd w:val="clear" w:color="auto" w:fill="auto"/>
            <w:vAlign w:val="center"/>
          </w:tcPr>
          <w:p w14:paraId="563AF6B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评分内容</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B6BD5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基准分</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6231C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得分</w:t>
            </w:r>
          </w:p>
        </w:tc>
      </w:tr>
      <w:tr w14:paraId="76C84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A156E8">
            <w:pPr>
              <w:jc w:val="center"/>
              <w:rPr>
                <w:rFonts w:hint="eastAsia" w:ascii="宋体" w:hAnsi="宋体" w:eastAsia="宋体" w:cs="宋体"/>
                <w:i w:val="0"/>
                <w:iCs w:val="0"/>
                <w:color w:val="auto"/>
                <w:sz w:val="24"/>
                <w:szCs w:val="24"/>
                <w:highlight w:val="none"/>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4D513">
            <w:pPr>
              <w:jc w:val="center"/>
              <w:rPr>
                <w:rFonts w:hint="eastAsia" w:ascii="宋体" w:hAnsi="宋体" w:eastAsia="宋体" w:cs="宋体"/>
                <w:i w:val="0"/>
                <w:iCs w:val="0"/>
                <w:color w:val="auto"/>
                <w:sz w:val="24"/>
                <w:szCs w:val="24"/>
                <w:highlight w:val="none"/>
                <w:u w:val="none"/>
              </w:rPr>
            </w:pPr>
          </w:p>
        </w:tc>
        <w:tc>
          <w:tcPr>
            <w:tcW w:w="1770" w:type="dxa"/>
            <w:vMerge w:val="continue"/>
            <w:tcBorders>
              <w:top w:val="single" w:color="000000" w:sz="4" w:space="0"/>
              <w:left w:val="single" w:color="000000" w:sz="4" w:space="0"/>
              <w:bottom w:val="single" w:color="000000" w:sz="4" w:space="0"/>
              <w:right w:val="nil"/>
            </w:tcBorders>
            <w:shd w:val="clear" w:color="auto" w:fill="auto"/>
            <w:vAlign w:val="center"/>
          </w:tcPr>
          <w:p w14:paraId="6AFAE357">
            <w:pPr>
              <w:jc w:val="center"/>
              <w:rPr>
                <w:rFonts w:hint="eastAsia" w:ascii="宋体" w:hAnsi="宋体" w:eastAsia="宋体" w:cs="宋体"/>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nil"/>
            </w:tcBorders>
            <w:shd w:val="clear" w:color="auto" w:fill="auto"/>
            <w:vAlign w:val="center"/>
          </w:tcPr>
          <w:p w14:paraId="298FE814">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nil"/>
              <w:right w:val="nil"/>
            </w:tcBorders>
            <w:shd w:val="clear" w:color="auto" w:fill="auto"/>
            <w:vAlign w:val="center"/>
          </w:tcPr>
          <w:p w14:paraId="7ABF5117">
            <w:pPr>
              <w:jc w:val="center"/>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38A5E">
            <w:pPr>
              <w:jc w:val="center"/>
              <w:rPr>
                <w:rFonts w:hint="eastAsia" w:ascii="宋体" w:hAnsi="宋体" w:eastAsia="宋体" w:cs="宋体"/>
                <w:i w:val="0"/>
                <w:iCs w:val="0"/>
                <w:color w:val="auto"/>
                <w:sz w:val="24"/>
                <w:szCs w:val="24"/>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8EF3A">
            <w:pPr>
              <w:jc w:val="center"/>
              <w:rPr>
                <w:rFonts w:hint="eastAsia" w:ascii="宋体" w:hAnsi="宋体" w:eastAsia="宋体" w:cs="宋体"/>
                <w:i w:val="0"/>
                <w:iCs w:val="0"/>
                <w:color w:val="auto"/>
                <w:sz w:val="24"/>
                <w:szCs w:val="24"/>
                <w:highlight w:val="none"/>
                <w:u w:val="none"/>
              </w:rPr>
            </w:pPr>
          </w:p>
        </w:tc>
      </w:tr>
      <w:tr w14:paraId="34412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8004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3DD59">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0B9BA">
            <w:pPr>
              <w:jc w:val="center"/>
              <w:rPr>
                <w:rFonts w:hint="eastAsia" w:ascii="Calibri" w:hAnsi="Calibri" w:eastAsia="宋体" w:cs="Calibri"/>
                <w:i w:val="0"/>
                <w:iCs w:val="0"/>
                <w:color w:val="auto"/>
                <w:sz w:val="24"/>
                <w:szCs w:val="24"/>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659425">
            <w:pPr>
              <w:jc w:val="center"/>
              <w:rPr>
                <w:rFonts w:hint="eastAsia" w:ascii="宋体" w:hAnsi="宋体" w:eastAsia="宋体" w:cs="宋体"/>
                <w:i w:val="0"/>
                <w:iCs w:val="0"/>
                <w:color w:val="auto"/>
                <w:sz w:val="24"/>
                <w:szCs w:val="24"/>
                <w:highlight w:val="none"/>
                <w:u w:val="none"/>
              </w:rPr>
            </w:pPr>
          </w:p>
        </w:tc>
        <w:tc>
          <w:tcPr>
            <w:tcW w:w="5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EC935F">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若经过符合性审查，（1）入围投标单位为3至5家的，则经济标报价部分以入围投标单位的有效总报价的算术平均值作为基准价；（2）入围投标单位为6家或以上的，则去掉一家最高报价、一家最低报价后，经济标报价部分以剩余入围投标单位有效报价的算术平均值作为基准价。</w:t>
            </w:r>
          </w:p>
          <w:p w14:paraId="552972EE">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投标报价等于基准价为满分100分，高于基准价的1%扣1分，低于基准价的1%扣0.5分，以此类推。最低得分0分。得分保留两位小数。计算公式如下：</w:t>
            </w:r>
          </w:p>
          <w:p w14:paraId="5286776A">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1、报价等于基准价的，得分=100。</w:t>
            </w:r>
          </w:p>
          <w:p w14:paraId="46059A23">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2、报价高于基准价的，得分=100-[（报价-基准价）/基准价]×100×1</w:t>
            </w:r>
          </w:p>
          <w:p w14:paraId="54D1E2E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3、报价低于基准价的，得分=100-[（基准价-报价）/基准价]×100×0.5</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17AC24">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100</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2F94C">
            <w:pPr>
              <w:jc w:val="center"/>
              <w:rPr>
                <w:rFonts w:hint="eastAsia" w:ascii="宋体" w:hAnsi="宋体" w:eastAsia="宋体" w:cs="宋体"/>
                <w:i w:val="0"/>
                <w:iCs w:val="0"/>
                <w:color w:val="auto"/>
                <w:sz w:val="24"/>
                <w:szCs w:val="24"/>
                <w:highlight w:val="none"/>
                <w:u w:val="none"/>
              </w:rPr>
            </w:pPr>
          </w:p>
        </w:tc>
      </w:tr>
      <w:tr w14:paraId="2F7FC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2F9A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94813">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2C531">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2B978">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502E3">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D2FD5">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1789B">
            <w:pPr>
              <w:jc w:val="center"/>
              <w:rPr>
                <w:rFonts w:hint="eastAsia" w:ascii="宋体" w:hAnsi="宋体" w:eastAsia="宋体" w:cs="宋体"/>
                <w:i w:val="0"/>
                <w:iCs w:val="0"/>
                <w:color w:val="auto"/>
                <w:sz w:val="24"/>
                <w:szCs w:val="24"/>
                <w:highlight w:val="none"/>
                <w:u w:val="none"/>
              </w:rPr>
            </w:pPr>
          </w:p>
        </w:tc>
      </w:tr>
      <w:tr w14:paraId="45CDD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7C0F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AA223">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05EA8">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9F00E">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9065F">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C978D">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6B777">
            <w:pPr>
              <w:jc w:val="center"/>
              <w:rPr>
                <w:rFonts w:hint="eastAsia" w:ascii="宋体" w:hAnsi="宋体" w:eastAsia="宋体" w:cs="宋体"/>
                <w:i w:val="0"/>
                <w:iCs w:val="0"/>
                <w:color w:val="auto"/>
                <w:sz w:val="24"/>
                <w:szCs w:val="24"/>
                <w:highlight w:val="none"/>
                <w:u w:val="none"/>
              </w:rPr>
            </w:pPr>
          </w:p>
        </w:tc>
      </w:tr>
      <w:tr w14:paraId="54311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F58A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125FC">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78ACB">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728CD">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1CF1BC">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7269D2">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B8365">
            <w:pPr>
              <w:jc w:val="center"/>
              <w:rPr>
                <w:rFonts w:hint="eastAsia" w:ascii="宋体" w:hAnsi="宋体" w:eastAsia="宋体" w:cs="宋体"/>
                <w:i w:val="0"/>
                <w:iCs w:val="0"/>
                <w:color w:val="auto"/>
                <w:sz w:val="24"/>
                <w:szCs w:val="24"/>
                <w:highlight w:val="none"/>
                <w:u w:val="none"/>
              </w:rPr>
            </w:pPr>
          </w:p>
        </w:tc>
      </w:tr>
      <w:tr w14:paraId="5D329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B284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C3293">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259AE">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BD11A">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43309">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97AE0">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A9AFE">
            <w:pPr>
              <w:jc w:val="center"/>
              <w:rPr>
                <w:rFonts w:hint="eastAsia" w:ascii="宋体" w:hAnsi="宋体" w:eastAsia="宋体" w:cs="宋体"/>
                <w:i w:val="0"/>
                <w:iCs w:val="0"/>
                <w:color w:val="auto"/>
                <w:sz w:val="24"/>
                <w:szCs w:val="24"/>
                <w:highlight w:val="none"/>
                <w:u w:val="none"/>
              </w:rPr>
            </w:pPr>
          </w:p>
        </w:tc>
      </w:tr>
      <w:tr w14:paraId="59F38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9972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87306">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065E3">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7EC67">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E68D6">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64C93">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99AC2">
            <w:pPr>
              <w:jc w:val="center"/>
              <w:rPr>
                <w:rFonts w:hint="eastAsia" w:ascii="宋体" w:hAnsi="宋体" w:eastAsia="宋体" w:cs="宋体"/>
                <w:i w:val="0"/>
                <w:iCs w:val="0"/>
                <w:color w:val="auto"/>
                <w:sz w:val="24"/>
                <w:szCs w:val="24"/>
                <w:highlight w:val="none"/>
                <w:u w:val="none"/>
              </w:rPr>
            </w:pPr>
          </w:p>
        </w:tc>
      </w:tr>
    </w:tbl>
    <w:p w14:paraId="16D2828D">
      <w:pPr>
        <w:pStyle w:val="11"/>
        <w:rPr>
          <w:rFonts w:hint="eastAsia"/>
          <w:color w:val="auto"/>
          <w:highlight w:val="none"/>
        </w:rPr>
        <w:sectPr>
          <w:pgSz w:w="15840" w:h="12240" w:orient="landscape"/>
          <w:pgMar w:top="1797" w:right="1440" w:bottom="1797" w:left="1440" w:header="720" w:footer="720" w:gutter="0"/>
          <w:cols w:space="425" w:num="1"/>
          <w:docGrid w:linePitch="312" w:charSpace="0"/>
        </w:sectPr>
      </w:pPr>
    </w:p>
    <w:p w14:paraId="084FBCEC">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14:paraId="5A50C995">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14:paraId="2AC55281">
      <w:pPr>
        <w:pStyle w:val="41"/>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广州南沙经济技术开发区港宏房地产开发有限公司</w:t>
      </w:r>
      <w:r>
        <w:rPr>
          <w:rFonts w:hint="eastAsia" w:ascii="宋体" w:hAnsi="宋体" w:eastAsia="宋体"/>
          <w:color w:val="auto"/>
          <w:sz w:val="24"/>
          <w:szCs w:val="24"/>
          <w:highlight w:val="none"/>
          <w:u w:val="single"/>
        </w:rPr>
        <w:t xml:space="preserve"> </w:t>
      </w:r>
    </w:p>
    <w:p w14:paraId="1E118219">
      <w:pPr>
        <w:pStyle w:val="41"/>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rPr>
        <w:t xml:space="preserve"> </w:t>
      </w:r>
      <w:r>
        <w:rPr>
          <w:rFonts w:hint="eastAsia" w:ascii="宋体" w:hAnsi="宋体" w:eastAsia="宋体"/>
          <w:color w:val="auto"/>
          <w:spacing w:val="20"/>
          <w:sz w:val="24"/>
          <w:szCs w:val="24"/>
          <w:highlight w:val="none"/>
          <w:u w:val="single"/>
          <w:lang w:eastAsia="zh-CN"/>
        </w:rPr>
        <w:t>海湾小区N地块项目（领航科技大楼）专用电房高低压配电工程施工</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14:paraId="129C6696">
      <w:pPr>
        <w:pStyle w:val="41"/>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14:paraId="2F6FCAB4">
      <w:pPr>
        <w:pStyle w:val="41"/>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14:paraId="630B349C">
      <w:pPr>
        <w:pStyle w:val="41"/>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14:paraId="6066774C">
      <w:pPr>
        <w:pStyle w:val="41"/>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14:paraId="5B406A1D">
      <w:pPr>
        <w:pStyle w:val="41"/>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，本公司保证上述单位不参加本次投标</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14:paraId="07DBE091">
      <w:pPr>
        <w:pStyle w:val="41"/>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14:paraId="5B9AC0E1">
      <w:pPr>
        <w:pStyle w:val="41"/>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14:paraId="7E2DCF3F">
      <w:pPr>
        <w:pStyle w:val="42"/>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14:paraId="6AE560DC">
      <w:pPr>
        <w:pStyle w:val="41"/>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14:paraId="4778328A">
      <w:pPr>
        <w:pStyle w:val="41"/>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14:paraId="6FD2439E">
      <w:pPr>
        <w:rPr>
          <w:rFonts w:hint="default"/>
          <w:color w:val="auto"/>
          <w:highlight w:val="none"/>
        </w:rPr>
      </w:pPr>
      <w:r>
        <w:rPr>
          <w:rFonts w:hint="default"/>
          <w:color w:val="auto"/>
          <w:highlight w:val="none"/>
        </w:rPr>
        <w:br w:type="page"/>
      </w:r>
    </w:p>
    <w:p w14:paraId="3D77426E">
      <w:pPr>
        <w:rPr>
          <w:rFonts w:hint="default" w:eastAsiaTheme="minorEastAsia"/>
          <w:color w:val="auto"/>
          <w:highlight w:val="none"/>
          <w:lang w:val="en-US" w:eastAsia="zh-CN"/>
        </w:rPr>
      </w:pPr>
      <w:r>
        <w:rPr>
          <w:rFonts w:hint="eastAsia"/>
          <w:color w:val="auto"/>
          <w:highlight w:val="none"/>
          <w:lang w:eastAsia="zh-CN"/>
        </w:rPr>
        <w:t>附件</w:t>
      </w:r>
      <w:r>
        <w:rPr>
          <w:rFonts w:hint="eastAsia"/>
          <w:color w:val="auto"/>
          <w:highlight w:val="none"/>
          <w:lang w:val="en-US" w:eastAsia="zh-CN"/>
        </w:rPr>
        <w:t>4、品牌表</w:t>
      </w:r>
    </w:p>
    <w:tbl>
      <w:tblPr>
        <w:tblStyle w:val="19"/>
        <w:tblW w:w="8648" w:type="dxa"/>
        <w:jc w:val="center"/>
        <w:tblLayout w:type="fixed"/>
        <w:tblCellMar>
          <w:top w:w="0" w:type="dxa"/>
          <w:left w:w="0" w:type="dxa"/>
          <w:bottom w:w="0" w:type="dxa"/>
          <w:right w:w="0" w:type="dxa"/>
        </w:tblCellMar>
      </w:tblPr>
      <w:tblGrid>
        <w:gridCol w:w="673"/>
        <w:gridCol w:w="2305"/>
        <w:gridCol w:w="3402"/>
        <w:gridCol w:w="2268"/>
      </w:tblGrid>
      <w:tr w14:paraId="2377B492">
        <w:tblPrEx>
          <w:tblCellMar>
            <w:top w:w="0" w:type="dxa"/>
            <w:left w:w="0" w:type="dxa"/>
            <w:bottom w:w="0" w:type="dxa"/>
            <w:right w:w="0" w:type="dxa"/>
          </w:tblCellMar>
        </w:tblPrEx>
        <w:trPr>
          <w:trHeight w:val="397" w:hRule="exact"/>
          <w:jc w:val="center"/>
        </w:trPr>
        <w:tc>
          <w:tcPr>
            <w:tcW w:w="673" w:type="dxa"/>
            <w:tcBorders>
              <w:top w:val="single" w:color="000000" w:sz="4" w:space="0"/>
              <w:left w:val="single" w:color="000000" w:sz="4" w:space="0"/>
              <w:bottom w:val="single" w:color="000000" w:sz="4" w:space="0"/>
              <w:right w:val="single" w:color="000000" w:sz="4" w:space="0"/>
            </w:tcBorders>
            <w:vAlign w:val="center"/>
          </w:tcPr>
          <w:p w14:paraId="4B08440C">
            <w:pPr>
              <w:ind w:right="-20"/>
              <w:rPr>
                <w:rFonts w:hint="eastAsia" w:eastAsia="仿宋"/>
                <w:b/>
                <w:color w:val="auto"/>
                <w:szCs w:val="21"/>
                <w:highlight w:val="none"/>
              </w:rPr>
            </w:pPr>
            <w:r>
              <w:rPr>
                <w:rFonts w:hint="eastAsia" w:hAnsi="仿宋" w:eastAsia="仿宋"/>
                <w:b/>
                <w:color w:val="auto"/>
                <w:szCs w:val="21"/>
                <w:highlight w:val="none"/>
              </w:rPr>
              <w:t>序号</w:t>
            </w:r>
          </w:p>
        </w:tc>
        <w:tc>
          <w:tcPr>
            <w:tcW w:w="2305" w:type="dxa"/>
            <w:tcBorders>
              <w:top w:val="single" w:color="000000" w:sz="4" w:space="0"/>
              <w:left w:val="single" w:color="000000" w:sz="4" w:space="0"/>
              <w:bottom w:val="single" w:color="000000" w:sz="4" w:space="0"/>
              <w:right w:val="single" w:color="000000" w:sz="4" w:space="0"/>
            </w:tcBorders>
            <w:vAlign w:val="center"/>
          </w:tcPr>
          <w:p w14:paraId="17275974">
            <w:pPr>
              <w:ind w:right="-20" w:firstLine="409" w:firstLineChars="194"/>
              <w:rPr>
                <w:rFonts w:hint="eastAsia" w:eastAsia="仿宋"/>
                <w:b/>
                <w:color w:val="auto"/>
                <w:szCs w:val="21"/>
                <w:highlight w:val="none"/>
              </w:rPr>
            </w:pPr>
            <w:r>
              <w:rPr>
                <w:rFonts w:hAnsi="仿宋" w:eastAsia="仿宋"/>
                <w:b/>
                <w:color w:val="auto"/>
                <w:szCs w:val="21"/>
                <w:highlight w:val="none"/>
              </w:rPr>
              <w:t>材料设备名称</w:t>
            </w:r>
          </w:p>
        </w:tc>
        <w:tc>
          <w:tcPr>
            <w:tcW w:w="3402" w:type="dxa"/>
            <w:tcBorders>
              <w:top w:val="single" w:color="000000" w:sz="4" w:space="0"/>
              <w:left w:val="single" w:color="000000" w:sz="4" w:space="0"/>
              <w:bottom w:val="single" w:color="000000" w:sz="4" w:space="0"/>
              <w:right w:val="single" w:color="000000" w:sz="4" w:space="0"/>
            </w:tcBorders>
            <w:vAlign w:val="center"/>
          </w:tcPr>
          <w:p w14:paraId="5B9F697E">
            <w:pPr>
              <w:ind w:left="397" w:right="-20" w:firstLine="422"/>
              <w:rPr>
                <w:rFonts w:hint="eastAsia" w:eastAsia="仿宋"/>
                <w:b/>
                <w:color w:val="auto"/>
                <w:szCs w:val="21"/>
                <w:highlight w:val="none"/>
              </w:rPr>
            </w:pPr>
            <w:r>
              <w:rPr>
                <w:rFonts w:hAnsi="仿宋" w:eastAsia="仿宋"/>
                <w:b/>
                <w:color w:val="auto"/>
                <w:szCs w:val="21"/>
                <w:highlight w:val="none"/>
              </w:rPr>
              <w:t>品牌</w:t>
            </w:r>
          </w:p>
        </w:tc>
        <w:tc>
          <w:tcPr>
            <w:tcW w:w="2268" w:type="dxa"/>
            <w:tcBorders>
              <w:top w:val="single" w:color="000000" w:sz="4" w:space="0"/>
              <w:left w:val="single" w:color="000000" w:sz="4" w:space="0"/>
              <w:bottom w:val="single" w:color="000000" w:sz="4" w:space="0"/>
              <w:right w:val="single" w:color="000000" w:sz="4" w:space="0"/>
            </w:tcBorders>
            <w:vAlign w:val="center"/>
          </w:tcPr>
          <w:p w14:paraId="0D9EE303">
            <w:pPr>
              <w:ind w:left="397" w:right="-20"/>
              <w:rPr>
                <w:rFonts w:hint="eastAsia" w:eastAsia="仿宋"/>
                <w:b/>
                <w:color w:val="auto"/>
                <w:szCs w:val="21"/>
                <w:highlight w:val="none"/>
              </w:rPr>
            </w:pPr>
            <w:r>
              <w:rPr>
                <w:rFonts w:hint="eastAsia" w:hAnsi="仿宋" w:eastAsia="仿宋"/>
                <w:b/>
                <w:color w:val="auto"/>
                <w:szCs w:val="21"/>
                <w:highlight w:val="none"/>
              </w:rPr>
              <w:t>备注</w:t>
            </w:r>
          </w:p>
        </w:tc>
      </w:tr>
      <w:tr w14:paraId="46FF8C85">
        <w:tblPrEx>
          <w:tblCellMar>
            <w:top w:w="0" w:type="dxa"/>
            <w:left w:w="0" w:type="dxa"/>
            <w:bottom w:w="0" w:type="dxa"/>
            <w:right w:w="0" w:type="dxa"/>
          </w:tblCellMar>
        </w:tblPrEx>
        <w:trPr>
          <w:trHeight w:val="895" w:hRule="exact"/>
          <w:jc w:val="center"/>
        </w:trPr>
        <w:tc>
          <w:tcPr>
            <w:tcW w:w="673" w:type="dxa"/>
            <w:tcBorders>
              <w:top w:val="single" w:color="000000" w:sz="4" w:space="0"/>
              <w:left w:val="single" w:color="000000" w:sz="4" w:space="0"/>
              <w:bottom w:val="single" w:color="000000" w:sz="4" w:space="0"/>
              <w:right w:val="single" w:color="000000" w:sz="4" w:space="0"/>
            </w:tcBorders>
            <w:vAlign w:val="center"/>
          </w:tcPr>
          <w:p w14:paraId="42570DA5">
            <w:pPr>
              <w:ind w:right="-20" w:firstLine="199" w:firstLineChars="95"/>
              <w:jc w:val="left"/>
              <w:rPr>
                <w:rFonts w:hint="eastAsia" w:eastAsia="仿宋"/>
                <w:color w:val="auto"/>
                <w:szCs w:val="21"/>
                <w:highlight w:val="none"/>
              </w:rPr>
            </w:pPr>
            <w:r>
              <w:rPr>
                <w:rFonts w:eastAsia="仿宋"/>
                <w:color w:val="auto"/>
                <w:szCs w:val="21"/>
                <w:highlight w:val="none"/>
              </w:rPr>
              <w:t>1</w:t>
            </w:r>
          </w:p>
        </w:tc>
        <w:tc>
          <w:tcPr>
            <w:tcW w:w="2305" w:type="dxa"/>
            <w:tcBorders>
              <w:top w:val="single" w:color="000000" w:sz="4" w:space="0"/>
              <w:left w:val="single" w:color="000000" w:sz="4" w:space="0"/>
              <w:bottom w:val="single" w:color="000000" w:sz="4" w:space="0"/>
              <w:right w:val="single" w:color="000000" w:sz="4" w:space="0"/>
            </w:tcBorders>
            <w:vAlign w:val="center"/>
          </w:tcPr>
          <w:p w14:paraId="20B34D28">
            <w:pPr>
              <w:ind w:right="-20" w:firstLine="199" w:firstLineChars="95"/>
              <w:rPr>
                <w:rFonts w:hint="eastAsia" w:hAnsi="仿宋" w:eastAsia="仿宋"/>
                <w:color w:val="auto"/>
                <w:szCs w:val="21"/>
                <w:highlight w:val="none"/>
              </w:rPr>
            </w:pPr>
            <w:r>
              <w:rPr>
                <w:rFonts w:hint="eastAsia" w:hAnsi="仿宋" w:eastAsia="仿宋"/>
                <w:color w:val="auto"/>
                <w:szCs w:val="21"/>
                <w:highlight w:val="none"/>
              </w:rPr>
              <w:t>高、低压柜及配电箱</w:t>
            </w:r>
          </w:p>
        </w:tc>
        <w:tc>
          <w:tcPr>
            <w:tcW w:w="3402" w:type="dxa"/>
            <w:tcBorders>
              <w:top w:val="single" w:color="000000" w:sz="4" w:space="0"/>
              <w:left w:val="single" w:color="000000" w:sz="4" w:space="0"/>
              <w:bottom w:val="single" w:color="000000" w:sz="4" w:space="0"/>
              <w:right w:val="single" w:color="000000" w:sz="4" w:space="0"/>
            </w:tcBorders>
            <w:vAlign w:val="center"/>
          </w:tcPr>
          <w:p w14:paraId="0B7866DB">
            <w:pPr>
              <w:ind w:right="-20"/>
              <w:rPr>
                <w:rFonts w:hint="eastAsia" w:eastAsia="仿宋"/>
                <w:color w:val="auto"/>
                <w:szCs w:val="21"/>
                <w:highlight w:val="none"/>
              </w:rPr>
            </w:pPr>
            <w:r>
              <w:rPr>
                <w:rFonts w:hint="eastAsia" w:eastAsia="仿宋"/>
                <w:color w:val="auto"/>
                <w:szCs w:val="21"/>
                <w:highlight w:val="none"/>
              </w:rPr>
              <w:t>广州白云、广州科铭、东莞南华西</w:t>
            </w:r>
          </w:p>
          <w:p w14:paraId="19A3C5AF">
            <w:pPr>
              <w:ind w:right="-20"/>
              <w:rPr>
                <w:rFonts w:hint="eastAsia" w:eastAsia="仿宋"/>
                <w:color w:val="auto"/>
                <w:szCs w:val="21"/>
                <w:highlight w:val="none"/>
              </w:rPr>
            </w:pPr>
            <w:r>
              <w:rPr>
                <w:rFonts w:hint="eastAsia" w:eastAsia="仿宋"/>
                <w:color w:val="auto"/>
                <w:szCs w:val="21"/>
                <w:highlight w:val="none"/>
              </w:rPr>
              <w:t>中山胜卓扬</w:t>
            </w:r>
          </w:p>
        </w:tc>
        <w:tc>
          <w:tcPr>
            <w:tcW w:w="2268" w:type="dxa"/>
            <w:tcBorders>
              <w:top w:val="single" w:color="000000" w:sz="4" w:space="0"/>
              <w:left w:val="single" w:color="000000" w:sz="4" w:space="0"/>
              <w:bottom w:val="single" w:color="000000" w:sz="4" w:space="0"/>
              <w:right w:val="single" w:color="000000" w:sz="4" w:space="0"/>
            </w:tcBorders>
            <w:vAlign w:val="center"/>
          </w:tcPr>
          <w:p w14:paraId="3AE38F5C">
            <w:pPr>
              <w:ind w:right="-20"/>
              <w:jc w:val="center"/>
              <w:rPr>
                <w:rFonts w:hint="eastAsia" w:eastAsia="仿宋"/>
                <w:color w:val="auto"/>
                <w:szCs w:val="21"/>
                <w:highlight w:val="none"/>
              </w:rPr>
            </w:pPr>
            <w:r>
              <w:rPr>
                <w:rFonts w:hint="eastAsia" w:eastAsia="仿宋"/>
                <w:color w:val="auto"/>
                <w:szCs w:val="21"/>
                <w:highlight w:val="none"/>
              </w:rPr>
              <w:t>或相当于</w:t>
            </w:r>
          </w:p>
        </w:tc>
      </w:tr>
      <w:tr w14:paraId="2AEF4B32">
        <w:tblPrEx>
          <w:tblCellMar>
            <w:top w:w="0" w:type="dxa"/>
            <w:left w:w="0" w:type="dxa"/>
            <w:bottom w:w="0" w:type="dxa"/>
            <w:right w:w="0" w:type="dxa"/>
          </w:tblCellMar>
        </w:tblPrEx>
        <w:trPr>
          <w:trHeight w:val="430" w:hRule="exact"/>
          <w:jc w:val="center"/>
        </w:trPr>
        <w:tc>
          <w:tcPr>
            <w:tcW w:w="673" w:type="dxa"/>
            <w:tcBorders>
              <w:top w:val="single" w:color="000000" w:sz="4" w:space="0"/>
              <w:left w:val="single" w:color="000000" w:sz="4" w:space="0"/>
              <w:bottom w:val="single" w:color="000000" w:sz="4" w:space="0"/>
              <w:right w:val="single" w:color="000000" w:sz="4" w:space="0"/>
            </w:tcBorders>
            <w:vAlign w:val="center"/>
          </w:tcPr>
          <w:p w14:paraId="54BEAAD3">
            <w:pPr>
              <w:ind w:right="-20" w:firstLine="199" w:firstLineChars="95"/>
              <w:jc w:val="left"/>
              <w:rPr>
                <w:rFonts w:hint="eastAsia" w:eastAsia="仿宋"/>
                <w:color w:val="auto"/>
                <w:szCs w:val="21"/>
                <w:highlight w:val="none"/>
              </w:rPr>
            </w:pPr>
            <w:r>
              <w:rPr>
                <w:rFonts w:eastAsia="仿宋"/>
                <w:color w:val="auto"/>
                <w:szCs w:val="21"/>
                <w:highlight w:val="none"/>
              </w:rPr>
              <w:t>2</w:t>
            </w:r>
          </w:p>
        </w:tc>
        <w:tc>
          <w:tcPr>
            <w:tcW w:w="2305" w:type="dxa"/>
            <w:tcBorders>
              <w:top w:val="single" w:color="000000" w:sz="4" w:space="0"/>
              <w:left w:val="single" w:color="000000" w:sz="4" w:space="0"/>
              <w:bottom w:val="single" w:color="000000" w:sz="4" w:space="0"/>
              <w:right w:val="single" w:color="000000" w:sz="4" w:space="0"/>
            </w:tcBorders>
            <w:vAlign w:val="center"/>
          </w:tcPr>
          <w:p w14:paraId="31AC38B2">
            <w:pPr>
              <w:ind w:right="-20" w:firstLine="420"/>
              <w:rPr>
                <w:rFonts w:hint="eastAsia" w:hAnsi="仿宋" w:eastAsia="仿宋"/>
                <w:color w:val="auto"/>
                <w:szCs w:val="21"/>
                <w:highlight w:val="none"/>
              </w:rPr>
            </w:pPr>
            <w:r>
              <w:rPr>
                <w:rFonts w:hint="eastAsia" w:hAnsi="仿宋" w:eastAsia="仿宋"/>
                <w:color w:val="auto"/>
                <w:szCs w:val="21"/>
                <w:highlight w:val="none"/>
              </w:rPr>
              <w:t>变压器</w:t>
            </w:r>
          </w:p>
        </w:tc>
        <w:tc>
          <w:tcPr>
            <w:tcW w:w="3402" w:type="dxa"/>
            <w:tcBorders>
              <w:top w:val="single" w:color="000000" w:sz="4" w:space="0"/>
              <w:left w:val="single" w:color="000000" w:sz="4" w:space="0"/>
              <w:bottom w:val="single" w:color="000000" w:sz="4" w:space="0"/>
              <w:right w:val="single" w:color="000000" w:sz="4" w:space="0"/>
            </w:tcBorders>
            <w:vAlign w:val="center"/>
          </w:tcPr>
          <w:p w14:paraId="3707C88D">
            <w:pPr>
              <w:ind w:right="-20"/>
              <w:rPr>
                <w:rFonts w:hint="eastAsia" w:eastAsia="仿宋"/>
                <w:color w:val="auto"/>
                <w:szCs w:val="21"/>
                <w:highlight w:val="none"/>
              </w:rPr>
            </w:pPr>
            <w:r>
              <w:rPr>
                <w:rFonts w:hint="eastAsia" w:eastAsia="仿宋"/>
                <w:color w:val="auto"/>
                <w:szCs w:val="21"/>
                <w:highlight w:val="none"/>
              </w:rPr>
              <w:t>顺特、许继、粤特电力、广州科铭</w:t>
            </w:r>
          </w:p>
        </w:tc>
        <w:tc>
          <w:tcPr>
            <w:tcW w:w="2268" w:type="dxa"/>
            <w:tcBorders>
              <w:top w:val="single" w:color="000000" w:sz="4" w:space="0"/>
              <w:left w:val="single" w:color="000000" w:sz="4" w:space="0"/>
              <w:bottom w:val="single" w:color="000000" w:sz="4" w:space="0"/>
              <w:right w:val="single" w:color="000000" w:sz="4" w:space="0"/>
            </w:tcBorders>
            <w:vAlign w:val="center"/>
          </w:tcPr>
          <w:p w14:paraId="40A5926E">
            <w:pPr>
              <w:ind w:right="-20" w:firstLine="199" w:firstLineChars="95"/>
              <w:jc w:val="center"/>
              <w:rPr>
                <w:rFonts w:hint="eastAsia" w:eastAsia="仿宋"/>
                <w:color w:val="auto"/>
                <w:szCs w:val="21"/>
                <w:highlight w:val="none"/>
              </w:rPr>
            </w:pPr>
            <w:r>
              <w:rPr>
                <w:rFonts w:hint="eastAsia" w:eastAsia="仿宋"/>
                <w:color w:val="auto"/>
                <w:szCs w:val="21"/>
                <w:highlight w:val="none"/>
              </w:rPr>
              <w:t>或相当于</w:t>
            </w:r>
          </w:p>
        </w:tc>
      </w:tr>
      <w:tr w14:paraId="4BCE5285">
        <w:tblPrEx>
          <w:tblCellMar>
            <w:top w:w="0" w:type="dxa"/>
            <w:left w:w="0" w:type="dxa"/>
            <w:bottom w:w="0" w:type="dxa"/>
            <w:right w:w="0" w:type="dxa"/>
          </w:tblCellMar>
        </w:tblPrEx>
        <w:trPr>
          <w:trHeight w:val="430" w:hRule="exact"/>
          <w:jc w:val="center"/>
        </w:trPr>
        <w:tc>
          <w:tcPr>
            <w:tcW w:w="673" w:type="dxa"/>
            <w:tcBorders>
              <w:top w:val="single" w:color="000000" w:sz="4" w:space="0"/>
              <w:left w:val="single" w:color="000000" w:sz="4" w:space="0"/>
              <w:bottom w:val="single" w:color="000000" w:sz="4" w:space="0"/>
              <w:right w:val="single" w:color="000000" w:sz="4" w:space="0"/>
            </w:tcBorders>
            <w:vAlign w:val="center"/>
          </w:tcPr>
          <w:p w14:paraId="392490B6">
            <w:pPr>
              <w:ind w:right="-20" w:firstLine="199" w:firstLineChars="95"/>
              <w:jc w:val="left"/>
              <w:rPr>
                <w:rFonts w:hint="eastAsia" w:eastAsia="仿宋"/>
                <w:color w:val="auto"/>
                <w:szCs w:val="21"/>
                <w:highlight w:val="none"/>
              </w:rPr>
            </w:pPr>
            <w:r>
              <w:rPr>
                <w:rFonts w:eastAsia="仿宋"/>
                <w:color w:val="auto"/>
                <w:szCs w:val="21"/>
                <w:highlight w:val="none"/>
              </w:rPr>
              <w:t>3</w:t>
            </w:r>
          </w:p>
        </w:tc>
        <w:tc>
          <w:tcPr>
            <w:tcW w:w="2305" w:type="dxa"/>
            <w:tcBorders>
              <w:top w:val="single" w:color="000000" w:sz="4" w:space="0"/>
              <w:left w:val="single" w:color="000000" w:sz="4" w:space="0"/>
              <w:bottom w:val="single" w:color="000000" w:sz="4" w:space="0"/>
              <w:right w:val="single" w:color="000000" w:sz="4" w:space="0"/>
            </w:tcBorders>
            <w:vAlign w:val="center"/>
          </w:tcPr>
          <w:p w14:paraId="4AD05DE6">
            <w:pPr>
              <w:ind w:right="-20" w:firstLine="420"/>
              <w:rPr>
                <w:rFonts w:hint="eastAsia" w:hAnsi="仿宋" w:eastAsia="仿宋"/>
                <w:color w:val="auto"/>
                <w:szCs w:val="21"/>
                <w:highlight w:val="none"/>
              </w:rPr>
            </w:pPr>
            <w:r>
              <w:rPr>
                <w:rFonts w:hAnsi="仿宋" w:eastAsia="仿宋"/>
                <w:color w:val="auto"/>
                <w:szCs w:val="21"/>
                <w:highlight w:val="none"/>
              </w:rPr>
              <w:t>母线</w:t>
            </w:r>
            <w:r>
              <w:rPr>
                <w:rFonts w:hint="eastAsia" w:hAnsi="仿宋" w:eastAsia="仿宋"/>
                <w:color w:val="auto"/>
                <w:szCs w:val="21"/>
                <w:highlight w:val="none"/>
              </w:rPr>
              <w:t>槽</w:t>
            </w:r>
          </w:p>
        </w:tc>
        <w:tc>
          <w:tcPr>
            <w:tcW w:w="3402" w:type="dxa"/>
            <w:tcBorders>
              <w:top w:val="single" w:color="000000" w:sz="4" w:space="0"/>
              <w:left w:val="single" w:color="000000" w:sz="4" w:space="0"/>
              <w:bottom w:val="single" w:color="000000" w:sz="4" w:space="0"/>
              <w:right w:val="single" w:color="000000" w:sz="4" w:space="0"/>
            </w:tcBorders>
            <w:vAlign w:val="center"/>
          </w:tcPr>
          <w:p w14:paraId="36AF1AD8">
            <w:pPr>
              <w:ind w:right="-20"/>
              <w:rPr>
                <w:rFonts w:hint="eastAsia" w:eastAsia="仿宋"/>
                <w:color w:val="auto"/>
                <w:szCs w:val="21"/>
                <w:highlight w:val="none"/>
              </w:rPr>
            </w:pPr>
            <w:r>
              <w:rPr>
                <w:rFonts w:hint="eastAsia" w:eastAsia="仿宋"/>
                <w:color w:val="auto"/>
                <w:szCs w:val="21"/>
                <w:highlight w:val="none"/>
              </w:rPr>
              <w:t>半径、南电、华威</w:t>
            </w:r>
          </w:p>
        </w:tc>
        <w:tc>
          <w:tcPr>
            <w:tcW w:w="2268" w:type="dxa"/>
            <w:tcBorders>
              <w:top w:val="single" w:color="000000" w:sz="4" w:space="0"/>
              <w:left w:val="single" w:color="000000" w:sz="4" w:space="0"/>
              <w:bottom w:val="single" w:color="000000" w:sz="4" w:space="0"/>
              <w:right w:val="single" w:color="000000" w:sz="4" w:space="0"/>
            </w:tcBorders>
            <w:vAlign w:val="center"/>
          </w:tcPr>
          <w:p w14:paraId="76A5A596">
            <w:pPr>
              <w:ind w:right="-20" w:firstLine="409" w:firstLineChars="195"/>
              <w:jc w:val="center"/>
              <w:rPr>
                <w:rFonts w:hint="eastAsia" w:hAnsi="仿宋" w:eastAsia="仿宋"/>
                <w:color w:val="auto"/>
                <w:szCs w:val="21"/>
                <w:highlight w:val="none"/>
              </w:rPr>
            </w:pPr>
            <w:r>
              <w:rPr>
                <w:rFonts w:hint="eastAsia" w:eastAsia="仿宋"/>
                <w:color w:val="auto"/>
                <w:szCs w:val="21"/>
                <w:highlight w:val="none"/>
              </w:rPr>
              <w:t>或相当于</w:t>
            </w:r>
          </w:p>
        </w:tc>
      </w:tr>
      <w:tr w14:paraId="07F1679A">
        <w:tblPrEx>
          <w:tblCellMar>
            <w:top w:w="0" w:type="dxa"/>
            <w:left w:w="0" w:type="dxa"/>
            <w:bottom w:w="0" w:type="dxa"/>
            <w:right w:w="0" w:type="dxa"/>
          </w:tblCellMar>
        </w:tblPrEx>
        <w:trPr>
          <w:trHeight w:val="551" w:hRule="exact"/>
          <w:jc w:val="center"/>
        </w:trPr>
        <w:tc>
          <w:tcPr>
            <w:tcW w:w="673" w:type="dxa"/>
            <w:tcBorders>
              <w:top w:val="single" w:color="000000" w:sz="4" w:space="0"/>
              <w:left w:val="single" w:color="000000" w:sz="4" w:space="0"/>
              <w:bottom w:val="single" w:color="000000" w:sz="4" w:space="0"/>
              <w:right w:val="single" w:color="000000" w:sz="4" w:space="0"/>
            </w:tcBorders>
            <w:vAlign w:val="center"/>
          </w:tcPr>
          <w:p w14:paraId="454088DD">
            <w:pPr>
              <w:ind w:right="-20" w:firstLine="199" w:firstLineChars="95"/>
              <w:jc w:val="left"/>
              <w:rPr>
                <w:rFonts w:hint="eastAsia" w:eastAsia="仿宋"/>
                <w:color w:val="auto"/>
                <w:szCs w:val="21"/>
                <w:highlight w:val="none"/>
              </w:rPr>
            </w:pPr>
            <w:r>
              <w:rPr>
                <w:rFonts w:eastAsia="仿宋"/>
                <w:color w:val="auto"/>
                <w:szCs w:val="21"/>
                <w:highlight w:val="none"/>
              </w:rPr>
              <w:t>4</w:t>
            </w:r>
          </w:p>
        </w:tc>
        <w:tc>
          <w:tcPr>
            <w:tcW w:w="2305" w:type="dxa"/>
            <w:tcBorders>
              <w:top w:val="single" w:color="000000" w:sz="4" w:space="0"/>
              <w:left w:val="single" w:color="000000" w:sz="4" w:space="0"/>
              <w:bottom w:val="single" w:color="000000" w:sz="4" w:space="0"/>
              <w:right w:val="single" w:color="000000" w:sz="4" w:space="0"/>
            </w:tcBorders>
            <w:vAlign w:val="center"/>
          </w:tcPr>
          <w:p w14:paraId="57CF6A3D">
            <w:pPr>
              <w:ind w:right="-20" w:firstLine="420"/>
              <w:rPr>
                <w:rFonts w:hint="eastAsia" w:eastAsia="仿宋"/>
                <w:color w:val="auto"/>
                <w:szCs w:val="21"/>
                <w:highlight w:val="none"/>
              </w:rPr>
            </w:pPr>
            <w:r>
              <w:rPr>
                <w:rFonts w:hint="eastAsia" w:ascii="仿宋" w:hAnsi="仿宋" w:eastAsia="仿宋"/>
                <w:color w:val="auto"/>
                <w:szCs w:val="21"/>
                <w:highlight w:val="none"/>
              </w:rPr>
              <w:t>电缆桥架与线槽</w:t>
            </w:r>
          </w:p>
        </w:tc>
        <w:tc>
          <w:tcPr>
            <w:tcW w:w="3402" w:type="dxa"/>
            <w:tcBorders>
              <w:top w:val="single" w:color="000000" w:sz="4" w:space="0"/>
              <w:left w:val="single" w:color="000000" w:sz="4" w:space="0"/>
              <w:bottom w:val="single" w:color="000000" w:sz="4" w:space="0"/>
              <w:right w:val="single" w:color="000000" w:sz="4" w:space="0"/>
            </w:tcBorders>
            <w:vAlign w:val="center"/>
          </w:tcPr>
          <w:p w14:paraId="4B2B8BD6">
            <w:pPr>
              <w:ind w:right="-20"/>
              <w:rPr>
                <w:rFonts w:hint="eastAsia" w:eastAsia="仿宋"/>
                <w:color w:val="auto"/>
                <w:szCs w:val="21"/>
                <w:highlight w:val="none"/>
              </w:rPr>
            </w:pPr>
            <w:r>
              <w:rPr>
                <w:rFonts w:hint="eastAsia" w:eastAsia="仿宋"/>
                <w:color w:val="auto"/>
                <w:szCs w:val="21"/>
                <w:highlight w:val="none"/>
              </w:rPr>
              <w:t>文兴、金来、中兴</w:t>
            </w:r>
          </w:p>
        </w:tc>
        <w:tc>
          <w:tcPr>
            <w:tcW w:w="2268" w:type="dxa"/>
            <w:tcBorders>
              <w:top w:val="single" w:color="000000" w:sz="4" w:space="0"/>
              <w:left w:val="single" w:color="000000" w:sz="4" w:space="0"/>
              <w:bottom w:val="single" w:color="000000" w:sz="4" w:space="0"/>
              <w:right w:val="single" w:color="000000" w:sz="4" w:space="0"/>
            </w:tcBorders>
            <w:vAlign w:val="center"/>
          </w:tcPr>
          <w:p w14:paraId="60A07D3D">
            <w:pPr>
              <w:ind w:right="-20" w:firstLine="420" w:firstLineChars="200"/>
              <w:jc w:val="center"/>
              <w:rPr>
                <w:rFonts w:hint="eastAsia" w:eastAsia="仿宋"/>
                <w:color w:val="auto"/>
                <w:szCs w:val="21"/>
                <w:highlight w:val="none"/>
              </w:rPr>
            </w:pPr>
            <w:r>
              <w:rPr>
                <w:rFonts w:hint="eastAsia" w:eastAsia="仿宋"/>
                <w:color w:val="auto"/>
                <w:szCs w:val="21"/>
                <w:highlight w:val="none"/>
              </w:rPr>
              <w:t>或相当于</w:t>
            </w:r>
          </w:p>
        </w:tc>
      </w:tr>
      <w:tr w14:paraId="44AE6742">
        <w:tblPrEx>
          <w:tblCellMar>
            <w:top w:w="0" w:type="dxa"/>
            <w:left w:w="0" w:type="dxa"/>
            <w:bottom w:w="0" w:type="dxa"/>
            <w:right w:w="0" w:type="dxa"/>
          </w:tblCellMar>
        </w:tblPrEx>
        <w:trPr>
          <w:trHeight w:val="904" w:hRule="exact"/>
          <w:jc w:val="center"/>
        </w:trPr>
        <w:tc>
          <w:tcPr>
            <w:tcW w:w="673" w:type="dxa"/>
            <w:tcBorders>
              <w:top w:val="single" w:color="000000" w:sz="4" w:space="0"/>
              <w:left w:val="single" w:color="000000" w:sz="4" w:space="0"/>
              <w:bottom w:val="single" w:color="auto" w:sz="4" w:space="0"/>
              <w:right w:val="single" w:color="000000" w:sz="4" w:space="0"/>
            </w:tcBorders>
            <w:vAlign w:val="center"/>
          </w:tcPr>
          <w:p w14:paraId="53203BA3">
            <w:pPr>
              <w:ind w:right="-20" w:firstLine="199" w:firstLineChars="95"/>
              <w:jc w:val="left"/>
              <w:rPr>
                <w:rFonts w:hint="eastAsia" w:eastAsia="仿宋"/>
                <w:color w:val="auto"/>
                <w:szCs w:val="21"/>
                <w:highlight w:val="none"/>
              </w:rPr>
            </w:pPr>
            <w:r>
              <w:rPr>
                <w:rFonts w:eastAsia="仿宋"/>
                <w:color w:val="auto"/>
                <w:szCs w:val="21"/>
                <w:highlight w:val="none"/>
              </w:rPr>
              <w:t>5</w:t>
            </w:r>
          </w:p>
        </w:tc>
        <w:tc>
          <w:tcPr>
            <w:tcW w:w="2305" w:type="dxa"/>
            <w:tcBorders>
              <w:top w:val="single" w:color="000000" w:sz="4" w:space="0"/>
              <w:left w:val="single" w:color="000000" w:sz="4" w:space="0"/>
              <w:bottom w:val="single" w:color="auto" w:sz="4" w:space="0"/>
              <w:right w:val="single" w:color="000000" w:sz="4" w:space="0"/>
            </w:tcBorders>
            <w:vAlign w:val="center"/>
          </w:tcPr>
          <w:p w14:paraId="169CBB01">
            <w:pPr>
              <w:ind w:right="-20" w:firstLine="420"/>
              <w:rPr>
                <w:rFonts w:hint="eastAsia" w:hAnsi="仿宋" w:eastAsia="仿宋"/>
                <w:color w:val="auto"/>
                <w:szCs w:val="21"/>
                <w:highlight w:val="none"/>
              </w:rPr>
            </w:pPr>
            <w:r>
              <w:rPr>
                <w:rFonts w:hint="eastAsia" w:hAnsi="仿宋" w:eastAsia="仿宋"/>
                <w:color w:val="auto"/>
                <w:szCs w:val="21"/>
                <w:highlight w:val="none"/>
              </w:rPr>
              <w:t>电线电缆</w:t>
            </w:r>
          </w:p>
        </w:tc>
        <w:tc>
          <w:tcPr>
            <w:tcW w:w="3402" w:type="dxa"/>
            <w:tcBorders>
              <w:top w:val="single" w:color="000000" w:sz="4" w:space="0"/>
              <w:left w:val="single" w:color="000000" w:sz="4" w:space="0"/>
              <w:bottom w:val="single" w:color="auto" w:sz="4" w:space="0"/>
              <w:right w:val="single" w:color="000000" w:sz="4" w:space="0"/>
            </w:tcBorders>
            <w:vAlign w:val="center"/>
          </w:tcPr>
          <w:p w14:paraId="15BEC03A">
            <w:pPr>
              <w:rPr>
                <w:rFonts w:hint="eastAsia" w:ascii="仿宋" w:hAnsi="仿宋" w:eastAsia="仿宋" w:cs="宋体"/>
                <w:color w:val="auto"/>
                <w:sz w:val="20"/>
                <w:szCs w:val="20"/>
                <w:highlight w:val="none"/>
              </w:rPr>
            </w:pPr>
            <w:r>
              <w:rPr>
                <w:rFonts w:hint="eastAsia" w:ascii="仿宋" w:hAnsi="仿宋" w:eastAsia="仿宋" w:cs="宋体"/>
                <w:color w:val="auto"/>
                <w:sz w:val="20"/>
                <w:szCs w:val="20"/>
                <w:highlight w:val="none"/>
              </w:rPr>
              <w:t>番禺电缆厂、</w:t>
            </w:r>
            <w:r>
              <w:rPr>
                <w:rFonts w:ascii="仿宋" w:hAnsi="仿宋" w:eastAsia="仿宋" w:cs="宋体"/>
                <w:color w:val="auto"/>
                <w:sz w:val="20"/>
                <w:szCs w:val="20"/>
                <w:highlight w:val="none"/>
              </w:rPr>
              <w:t xml:space="preserve"> </w:t>
            </w:r>
            <w:r>
              <w:rPr>
                <w:rFonts w:hint="eastAsia" w:ascii="仿宋" w:hAnsi="仿宋" w:eastAsia="仿宋" w:cs="宋体"/>
                <w:color w:val="auto"/>
                <w:sz w:val="20"/>
                <w:szCs w:val="20"/>
                <w:highlight w:val="none"/>
              </w:rPr>
              <w:t>广州电缆厂、</w:t>
            </w:r>
            <w:r>
              <w:rPr>
                <w:rFonts w:ascii="仿宋" w:hAnsi="仿宋" w:eastAsia="仿宋" w:cs="宋体"/>
                <w:color w:val="auto"/>
                <w:sz w:val="20"/>
                <w:szCs w:val="20"/>
                <w:highlight w:val="none"/>
              </w:rPr>
              <w:t xml:space="preserve"> </w:t>
            </w:r>
            <w:r>
              <w:rPr>
                <w:rFonts w:hint="eastAsia" w:ascii="仿宋" w:hAnsi="仿宋" w:eastAsia="仿宋" w:cs="宋体"/>
                <w:color w:val="auto"/>
                <w:sz w:val="20"/>
                <w:szCs w:val="20"/>
                <w:highlight w:val="none"/>
              </w:rPr>
              <w:t>南洋电缆</w:t>
            </w:r>
          </w:p>
        </w:tc>
        <w:tc>
          <w:tcPr>
            <w:tcW w:w="2268" w:type="dxa"/>
            <w:tcBorders>
              <w:top w:val="single" w:color="000000" w:sz="4" w:space="0"/>
              <w:left w:val="single" w:color="000000" w:sz="4" w:space="0"/>
              <w:bottom w:val="single" w:color="auto" w:sz="4" w:space="0"/>
              <w:right w:val="single" w:color="000000" w:sz="4" w:space="0"/>
            </w:tcBorders>
            <w:vAlign w:val="center"/>
          </w:tcPr>
          <w:p w14:paraId="51E120A6">
            <w:pPr>
              <w:ind w:right="-20"/>
              <w:jc w:val="center"/>
              <w:rPr>
                <w:rFonts w:hint="eastAsia" w:eastAsia="仿宋"/>
                <w:color w:val="auto"/>
                <w:szCs w:val="21"/>
                <w:highlight w:val="none"/>
              </w:rPr>
            </w:pPr>
            <w:r>
              <w:rPr>
                <w:rFonts w:hint="eastAsia" w:eastAsia="仿宋"/>
                <w:color w:val="auto"/>
                <w:szCs w:val="21"/>
                <w:highlight w:val="none"/>
              </w:rPr>
              <w:t>或相当于</w:t>
            </w:r>
          </w:p>
        </w:tc>
      </w:tr>
      <w:tr w14:paraId="250651E3">
        <w:tblPrEx>
          <w:tblCellMar>
            <w:top w:w="0" w:type="dxa"/>
            <w:left w:w="0" w:type="dxa"/>
            <w:bottom w:w="0" w:type="dxa"/>
            <w:right w:w="0" w:type="dxa"/>
          </w:tblCellMar>
        </w:tblPrEx>
        <w:trPr>
          <w:trHeight w:val="1380" w:hRule="exact"/>
          <w:jc w:val="center"/>
        </w:trPr>
        <w:tc>
          <w:tcPr>
            <w:tcW w:w="673" w:type="dxa"/>
            <w:tcBorders>
              <w:top w:val="single" w:color="auto" w:sz="4" w:space="0"/>
              <w:left w:val="single" w:color="000000" w:sz="4" w:space="0"/>
              <w:bottom w:val="single" w:color="auto" w:sz="4" w:space="0"/>
              <w:right w:val="single" w:color="000000" w:sz="4" w:space="0"/>
            </w:tcBorders>
            <w:vAlign w:val="center"/>
          </w:tcPr>
          <w:p w14:paraId="71BC187A">
            <w:pPr>
              <w:ind w:right="-20" w:firstLine="199" w:firstLineChars="95"/>
              <w:jc w:val="left"/>
              <w:rPr>
                <w:rFonts w:hint="eastAsia" w:eastAsia="仿宋"/>
                <w:color w:val="auto"/>
                <w:szCs w:val="21"/>
                <w:highlight w:val="none"/>
              </w:rPr>
            </w:pPr>
            <w:r>
              <w:rPr>
                <w:rFonts w:eastAsia="仿宋"/>
                <w:color w:val="auto"/>
                <w:szCs w:val="21"/>
                <w:highlight w:val="none"/>
              </w:rPr>
              <w:t>6</w:t>
            </w:r>
          </w:p>
        </w:tc>
        <w:tc>
          <w:tcPr>
            <w:tcW w:w="2305" w:type="dxa"/>
            <w:tcBorders>
              <w:top w:val="single" w:color="auto" w:sz="4" w:space="0"/>
              <w:left w:val="single" w:color="000000" w:sz="4" w:space="0"/>
              <w:bottom w:val="single" w:color="auto" w:sz="4" w:space="0"/>
              <w:right w:val="single" w:color="000000" w:sz="4" w:space="0"/>
            </w:tcBorders>
            <w:vAlign w:val="center"/>
          </w:tcPr>
          <w:p w14:paraId="580407CA">
            <w:pPr>
              <w:ind w:right="-20" w:firstLine="420"/>
              <w:rPr>
                <w:rFonts w:hint="eastAsia" w:hAnsi="仿宋" w:eastAsia="仿宋"/>
                <w:color w:val="auto"/>
                <w:szCs w:val="21"/>
                <w:highlight w:val="none"/>
              </w:rPr>
            </w:pPr>
            <w:r>
              <w:rPr>
                <w:rFonts w:hint="eastAsia" w:hAnsi="仿宋" w:eastAsia="仿宋"/>
                <w:color w:val="auto"/>
                <w:szCs w:val="21"/>
                <w:highlight w:val="none"/>
              </w:rPr>
              <w:t>高、低压元器件</w:t>
            </w:r>
          </w:p>
        </w:tc>
        <w:tc>
          <w:tcPr>
            <w:tcW w:w="3402" w:type="dxa"/>
            <w:tcBorders>
              <w:top w:val="single" w:color="auto" w:sz="4" w:space="0"/>
              <w:left w:val="single" w:color="000000" w:sz="4" w:space="0"/>
              <w:bottom w:val="single" w:color="auto" w:sz="4" w:space="0"/>
              <w:right w:val="single" w:color="000000" w:sz="4" w:space="0"/>
            </w:tcBorders>
            <w:vAlign w:val="center"/>
          </w:tcPr>
          <w:p w14:paraId="2DABB9CF">
            <w:pPr>
              <w:rPr>
                <w:rFonts w:hint="eastAsia" w:ascii="仿宋" w:hAnsi="仿宋" w:eastAsia="仿宋"/>
                <w:color w:val="auto"/>
                <w:sz w:val="20"/>
                <w:szCs w:val="20"/>
                <w:highlight w:val="none"/>
              </w:rPr>
            </w:pPr>
            <w:r>
              <w:rPr>
                <w:rFonts w:hint="eastAsia" w:ascii="仿宋" w:hAnsi="仿宋" w:eastAsia="仿宋"/>
                <w:color w:val="auto"/>
                <w:sz w:val="20"/>
                <w:szCs w:val="20"/>
                <w:highlight w:val="none"/>
              </w:rPr>
              <w:t>施耐德、</w:t>
            </w:r>
            <w:r>
              <w:rPr>
                <w:rFonts w:ascii="仿宋" w:hAnsi="仿宋" w:eastAsia="仿宋"/>
                <w:color w:val="auto"/>
                <w:sz w:val="20"/>
                <w:szCs w:val="20"/>
                <w:highlight w:val="none"/>
              </w:rPr>
              <w:t>ABB、西门子</w:t>
            </w:r>
          </w:p>
        </w:tc>
        <w:tc>
          <w:tcPr>
            <w:tcW w:w="2268" w:type="dxa"/>
            <w:tcBorders>
              <w:top w:val="single" w:color="auto" w:sz="4" w:space="0"/>
              <w:left w:val="single" w:color="000000" w:sz="4" w:space="0"/>
              <w:bottom w:val="single" w:color="auto" w:sz="4" w:space="0"/>
              <w:right w:val="single" w:color="000000" w:sz="4" w:space="0"/>
            </w:tcBorders>
            <w:vAlign w:val="center"/>
          </w:tcPr>
          <w:p w14:paraId="3004037B">
            <w:pPr>
              <w:ind w:right="-20" w:firstLine="420" w:firstLineChars="200"/>
              <w:jc w:val="center"/>
              <w:rPr>
                <w:rFonts w:hint="eastAsia" w:eastAsia="仿宋"/>
                <w:color w:val="auto"/>
                <w:szCs w:val="21"/>
                <w:highlight w:val="none"/>
              </w:rPr>
            </w:pPr>
            <w:r>
              <w:rPr>
                <w:rFonts w:hint="eastAsia" w:eastAsia="仿宋"/>
                <w:color w:val="auto"/>
                <w:szCs w:val="21"/>
                <w:highlight w:val="none"/>
              </w:rPr>
              <w:t>或相当于</w:t>
            </w:r>
          </w:p>
        </w:tc>
      </w:tr>
      <w:tr w14:paraId="3B0FA4FA">
        <w:tblPrEx>
          <w:tblCellMar>
            <w:top w:w="0" w:type="dxa"/>
            <w:left w:w="0" w:type="dxa"/>
            <w:bottom w:w="0" w:type="dxa"/>
            <w:right w:w="0" w:type="dxa"/>
          </w:tblCellMar>
        </w:tblPrEx>
        <w:trPr>
          <w:trHeight w:val="573" w:hRule="exact"/>
          <w:jc w:val="center"/>
        </w:trPr>
        <w:tc>
          <w:tcPr>
            <w:tcW w:w="673" w:type="dxa"/>
            <w:tcBorders>
              <w:top w:val="single" w:color="auto" w:sz="4" w:space="0"/>
              <w:left w:val="single" w:color="000000" w:sz="4" w:space="0"/>
              <w:bottom w:val="single" w:color="auto" w:sz="4" w:space="0"/>
              <w:right w:val="single" w:color="000000" w:sz="4" w:space="0"/>
            </w:tcBorders>
            <w:vAlign w:val="center"/>
          </w:tcPr>
          <w:p w14:paraId="7E8040E3">
            <w:pPr>
              <w:ind w:right="-20" w:firstLine="199" w:firstLineChars="95"/>
              <w:jc w:val="left"/>
              <w:rPr>
                <w:rFonts w:hint="eastAsia" w:eastAsia="仿宋"/>
                <w:color w:val="auto"/>
                <w:szCs w:val="21"/>
                <w:highlight w:val="none"/>
              </w:rPr>
            </w:pPr>
            <w:r>
              <w:rPr>
                <w:rFonts w:eastAsia="仿宋"/>
                <w:color w:val="auto"/>
                <w:szCs w:val="21"/>
                <w:highlight w:val="none"/>
              </w:rPr>
              <w:t>7</w:t>
            </w:r>
          </w:p>
        </w:tc>
        <w:tc>
          <w:tcPr>
            <w:tcW w:w="2305" w:type="dxa"/>
            <w:tcBorders>
              <w:top w:val="single" w:color="auto" w:sz="4" w:space="0"/>
              <w:left w:val="single" w:color="000000" w:sz="4" w:space="0"/>
              <w:bottom w:val="single" w:color="auto" w:sz="4" w:space="0"/>
              <w:right w:val="single" w:color="000000" w:sz="4" w:space="0"/>
            </w:tcBorders>
            <w:vAlign w:val="center"/>
          </w:tcPr>
          <w:p w14:paraId="194632FD">
            <w:pPr>
              <w:ind w:right="-20" w:firstLine="199" w:firstLineChars="95"/>
              <w:rPr>
                <w:rFonts w:hint="eastAsia" w:hAnsi="仿宋" w:eastAsia="仿宋"/>
                <w:color w:val="auto"/>
                <w:szCs w:val="21"/>
                <w:highlight w:val="none"/>
              </w:rPr>
            </w:pPr>
            <w:r>
              <w:rPr>
                <w:rFonts w:hint="eastAsia" w:hAnsi="仿宋" w:eastAsia="仿宋"/>
                <w:color w:val="auto"/>
                <w:szCs w:val="21"/>
                <w:highlight w:val="none"/>
              </w:rPr>
              <w:t>智能电力仪表</w:t>
            </w:r>
          </w:p>
        </w:tc>
        <w:tc>
          <w:tcPr>
            <w:tcW w:w="3402" w:type="dxa"/>
            <w:tcBorders>
              <w:top w:val="single" w:color="auto" w:sz="4" w:space="0"/>
              <w:left w:val="single" w:color="000000" w:sz="4" w:space="0"/>
              <w:bottom w:val="single" w:color="auto" w:sz="4" w:space="0"/>
              <w:right w:val="single" w:color="000000" w:sz="4" w:space="0"/>
            </w:tcBorders>
            <w:vAlign w:val="center"/>
          </w:tcPr>
          <w:p w14:paraId="351EC464">
            <w:pPr>
              <w:rPr>
                <w:rFonts w:hint="eastAsia" w:ascii="仿宋" w:hAnsi="仿宋" w:eastAsia="仿宋"/>
                <w:color w:val="auto"/>
                <w:sz w:val="20"/>
                <w:szCs w:val="20"/>
                <w:highlight w:val="none"/>
              </w:rPr>
            </w:pPr>
            <w:r>
              <w:rPr>
                <w:rFonts w:hint="eastAsia" w:ascii="仿宋" w:hAnsi="仿宋" w:eastAsia="仿宋"/>
                <w:color w:val="auto"/>
                <w:sz w:val="20"/>
                <w:szCs w:val="20"/>
                <w:highlight w:val="none"/>
              </w:rPr>
              <w:t>安科瑞、中电、派诺</w:t>
            </w:r>
          </w:p>
        </w:tc>
        <w:tc>
          <w:tcPr>
            <w:tcW w:w="2268" w:type="dxa"/>
            <w:tcBorders>
              <w:top w:val="single" w:color="auto" w:sz="4" w:space="0"/>
              <w:left w:val="single" w:color="000000" w:sz="4" w:space="0"/>
              <w:bottom w:val="single" w:color="auto" w:sz="4" w:space="0"/>
              <w:right w:val="single" w:color="000000" w:sz="4" w:space="0"/>
            </w:tcBorders>
            <w:vAlign w:val="center"/>
          </w:tcPr>
          <w:p w14:paraId="7860F7CE">
            <w:pPr>
              <w:ind w:right="-20" w:firstLine="420" w:firstLineChars="200"/>
              <w:jc w:val="center"/>
              <w:rPr>
                <w:rFonts w:hint="eastAsia" w:eastAsia="仿宋"/>
                <w:color w:val="auto"/>
                <w:szCs w:val="21"/>
                <w:highlight w:val="none"/>
              </w:rPr>
            </w:pPr>
            <w:r>
              <w:rPr>
                <w:rFonts w:hint="eastAsia" w:eastAsia="仿宋"/>
                <w:color w:val="auto"/>
                <w:szCs w:val="21"/>
                <w:highlight w:val="none"/>
              </w:rPr>
              <w:t>或相当于</w:t>
            </w:r>
          </w:p>
        </w:tc>
      </w:tr>
    </w:tbl>
    <w:p w14:paraId="749284F8">
      <w:pPr>
        <w:rPr>
          <w:rFonts w:hint="default" w:eastAsiaTheme="minorEastAsia"/>
          <w:color w:val="auto"/>
          <w:highlight w:val="none"/>
          <w:lang w:val="en-US" w:eastAsia="zh-CN"/>
        </w:rPr>
      </w:pPr>
      <w:r>
        <w:rPr>
          <w:rFonts w:hint="default" w:eastAsiaTheme="minorEastAsia"/>
          <w:color w:val="auto"/>
          <w:highlight w:val="none"/>
          <w:lang w:val="en-US" w:eastAsia="zh-CN"/>
        </w:rPr>
        <w:br w:type="page"/>
      </w:r>
    </w:p>
    <w:p w14:paraId="3F6B64C2">
      <w:pPr>
        <w:pStyle w:val="47"/>
        <w:ind w:left="0" w:firstLine="0" w:firstLineChars="0"/>
        <w:rPr>
          <w:rFonts w:hint="eastAsia" w:ascii="宋体" w:hAnsi="宋体" w:eastAsia="宋体" w:cs="仿宋_GB2312"/>
          <w:color w:val="auto"/>
          <w:kern w:val="2"/>
          <w:sz w:val="30"/>
          <w:szCs w:val="30"/>
          <w:highlight w:val="none"/>
          <w:lang w:eastAsia="zh-CN"/>
        </w:rPr>
      </w:pPr>
      <w:r>
        <w:rPr>
          <w:rFonts w:hint="eastAsia" w:ascii="宋体" w:hAnsi="宋体" w:eastAsia="宋体" w:cs="仿宋_GB2312"/>
          <w:color w:val="auto"/>
          <w:kern w:val="2"/>
          <w:sz w:val="30"/>
          <w:szCs w:val="30"/>
          <w:highlight w:val="none"/>
          <w:lang w:eastAsia="zh-CN"/>
        </w:rPr>
        <w:t>附件</w:t>
      </w:r>
      <w:r>
        <w:rPr>
          <w:rFonts w:hint="eastAsia" w:ascii="宋体" w:hAnsi="宋体" w:eastAsia="宋体" w:cs="仿宋_GB2312"/>
          <w:color w:val="auto"/>
          <w:kern w:val="2"/>
          <w:sz w:val="30"/>
          <w:szCs w:val="30"/>
          <w:highlight w:val="none"/>
          <w:lang w:val="en-US" w:eastAsia="zh-CN"/>
        </w:rPr>
        <w:t>5</w:t>
      </w:r>
      <w:r>
        <w:rPr>
          <w:rFonts w:hint="eastAsia" w:ascii="宋体" w:hAnsi="宋体" w:eastAsia="宋体" w:cs="仿宋_GB2312"/>
          <w:color w:val="auto"/>
          <w:kern w:val="2"/>
          <w:sz w:val="30"/>
          <w:szCs w:val="30"/>
          <w:highlight w:val="none"/>
          <w:lang w:eastAsia="zh-CN"/>
        </w:rPr>
        <w:t>：</w:t>
      </w:r>
    </w:p>
    <w:p w14:paraId="7AA0AB44">
      <w:pPr>
        <w:pStyle w:val="47"/>
        <w:ind w:left="0" w:firstLine="442" w:firstLineChars="100"/>
        <w:jc w:val="center"/>
        <w:rPr>
          <w:rFonts w:hint="eastAsia" w:ascii="宋体" w:hAnsi="宋体" w:eastAsia="宋体" w:cs="宋体"/>
          <w:b/>
          <w:bCs w:val="0"/>
          <w:color w:val="auto"/>
          <w:kern w:val="0"/>
          <w:sz w:val="44"/>
          <w:szCs w:val="44"/>
          <w:highlight w:val="none"/>
          <w:lang w:eastAsia="zh-CN"/>
        </w:rPr>
      </w:pPr>
      <w:r>
        <w:rPr>
          <w:rFonts w:hint="eastAsia" w:ascii="宋体" w:hAnsi="宋体" w:eastAsia="宋体" w:cs="宋体"/>
          <w:b/>
          <w:bCs w:val="0"/>
          <w:color w:val="auto"/>
          <w:kern w:val="0"/>
          <w:sz w:val="44"/>
          <w:szCs w:val="44"/>
          <w:highlight w:val="none"/>
          <w:lang w:eastAsia="zh-CN"/>
        </w:rPr>
        <w:t>海湾小区N地块项目（领航科技大楼）专用电房高低压配电工程技术要求</w:t>
      </w:r>
    </w:p>
    <w:p w14:paraId="779EB28C">
      <w:pPr>
        <w:pStyle w:val="47"/>
        <w:ind w:left="0" w:firstLine="301" w:firstLineChars="100"/>
        <w:jc w:val="center"/>
        <w:rPr>
          <w:rFonts w:hint="eastAsia" w:ascii="仿宋" w:hAnsi="仿宋" w:eastAsia="仿宋" w:cs="仿宋"/>
          <w:b/>
          <w:bCs/>
          <w:color w:val="auto"/>
          <w:kern w:val="2"/>
          <w:sz w:val="30"/>
          <w:szCs w:val="30"/>
          <w:highlight w:val="none"/>
          <w:lang w:eastAsia="zh-CN"/>
        </w:rPr>
      </w:pPr>
    </w:p>
    <w:p w14:paraId="617E71A7">
      <w:pPr>
        <w:pStyle w:val="4"/>
        <w:spacing w:line="360" w:lineRule="auto"/>
        <w:ind w:firstLine="480" w:firstLineChars="200"/>
        <w:rPr>
          <w:rFonts w:hint="eastAsia" w:ascii="仿宋_GB2312" w:hAnsi="仿宋_GB2312" w:eastAsia="仿宋_GB2312" w:cs="仿宋_GB2312"/>
          <w:b w:val="0"/>
          <w:color w:val="auto"/>
          <w:kern w:val="2"/>
          <w:sz w:val="24"/>
          <w:szCs w:val="24"/>
          <w:highlight w:val="none"/>
          <w:lang w:eastAsia="zh-CN"/>
        </w:rPr>
      </w:pPr>
      <w:bookmarkStart w:id="41" w:name="_Toc495939915"/>
      <w:bookmarkStart w:id="42" w:name="_Toc436410758"/>
      <w:bookmarkStart w:id="43" w:name="_Toc436410925"/>
      <w:bookmarkStart w:id="44" w:name="_Toc495677425"/>
      <w:bookmarkStart w:id="45" w:name="_Toc13153903"/>
      <w:bookmarkStart w:id="46" w:name="_Toc436417272"/>
      <w:r>
        <w:rPr>
          <w:rFonts w:hint="eastAsia" w:ascii="仿宋_GB2312" w:hAnsi="仿宋_GB2312" w:eastAsia="仿宋_GB2312" w:cs="仿宋_GB2312"/>
          <w:b w:val="0"/>
          <w:color w:val="auto"/>
          <w:sz w:val="24"/>
          <w:szCs w:val="24"/>
          <w:highlight w:val="none"/>
          <w:lang w:eastAsia="zh-CN"/>
        </w:rPr>
        <w:t>本</w:t>
      </w:r>
      <w:r>
        <w:rPr>
          <w:rFonts w:hint="eastAsia" w:ascii="仿宋_GB2312" w:hAnsi="仿宋_GB2312" w:eastAsia="仿宋_GB2312" w:cs="仿宋_GB2312"/>
          <w:b w:val="0"/>
          <w:color w:val="auto"/>
          <w:sz w:val="24"/>
          <w:szCs w:val="24"/>
          <w:highlight w:val="none"/>
        </w:rPr>
        <w:t>工程承包内容及范围</w:t>
      </w:r>
      <w:bookmarkEnd w:id="41"/>
      <w:bookmarkEnd w:id="42"/>
      <w:bookmarkEnd w:id="43"/>
      <w:bookmarkEnd w:id="44"/>
      <w:bookmarkEnd w:id="45"/>
      <w:bookmarkEnd w:id="46"/>
      <w:r>
        <w:rPr>
          <w:rFonts w:hint="eastAsia" w:ascii="仿宋_GB2312" w:hAnsi="仿宋_GB2312" w:eastAsia="仿宋_GB2312" w:cs="仿宋_GB2312"/>
          <w:b w:val="0"/>
          <w:color w:val="auto"/>
          <w:sz w:val="24"/>
          <w:szCs w:val="24"/>
          <w:highlight w:val="none"/>
          <w:lang w:eastAsia="zh-CN"/>
        </w:rPr>
        <w:t>（</w:t>
      </w:r>
      <w:r>
        <w:rPr>
          <w:rFonts w:hint="eastAsia" w:ascii="仿宋_GB2312" w:hAnsi="仿宋_GB2312" w:eastAsia="仿宋_GB2312" w:cs="仿宋_GB2312"/>
          <w:b w:val="0"/>
          <w:color w:val="auto"/>
          <w:kern w:val="2"/>
          <w:sz w:val="24"/>
          <w:szCs w:val="24"/>
          <w:highlight w:val="none"/>
        </w:rPr>
        <w:t>以下所述的工程范围及介绍只是概括的，并不能视为完整无缺的</w:t>
      </w:r>
      <w:r>
        <w:rPr>
          <w:rFonts w:hint="eastAsia" w:ascii="仿宋_GB2312" w:hAnsi="仿宋_GB2312" w:eastAsia="仿宋_GB2312" w:cs="仿宋_GB2312"/>
          <w:b w:val="0"/>
          <w:color w:val="auto"/>
          <w:kern w:val="2"/>
          <w:sz w:val="24"/>
          <w:szCs w:val="24"/>
          <w:highlight w:val="none"/>
          <w:lang w:eastAsia="zh-CN"/>
        </w:rPr>
        <w:t>）：</w:t>
      </w:r>
    </w:p>
    <w:p w14:paraId="0DF174CA">
      <w:pPr>
        <w:pStyle w:val="47"/>
        <w:spacing w:line="360" w:lineRule="auto"/>
        <w:ind w:left="0" w:firstLine="480" w:firstLineChars="200"/>
        <w:rPr>
          <w:rFonts w:hint="eastAsia" w:hAnsi="仿宋_GB2312" w:cs="仿宋_GB2312"/>
          <w:color w:val="auto"/>
          <w:sz w:val="24"/>
          <w:szCs w:val="24"/>
          <w:highlight w:val="none"/>
        </w:rPr>
      </w:pPr>
      <w:r>
        <w:rPr>
          <w:rFonts w:hint="eastAsia" w:ascii="仿宋_GB2312" w:hAnsi="仿宋_GB2312" w:eastAsia="仿宋_GB2312" w:cs="仿宋_GB2312"/>
          <w:color w:val="auto"/>
          <w:kern w:val="2"/>
          <w:sz w:val="24"/>
          <w:szCs w:val="24"/>
          <w:highlight w:val="none"/>
        </w:rPr>
        <w:t>投标方应充分研究招标文件，包括投标须知、合同条款、工料规范及工程量及单价表，特别是按图纸去完全了解本工程的实际范围。永久用电工程承包商工程范围：根据发包方提供的招标图（图纸已通过供电局审批）、工料规范，提供“永久用电工程”的所有设备、材料与装置的供应及制造、安装、测试、试运行和维修、施工图深化设计以及与其他承包商的协调工作，并依据甲方供电节点送电。工程必须经完全运行、测试、操作正常及得到当地供电局和有关政府机关及市政配套公司的接收。包括但不限于以下内容：</w:t>
      </w:r>
    </w:p>
    <w:p w14:paraId="28282C9C">
      <w:pPr>
        <w:pStyle w:val="5"/>
        <w:numPr>
          <w:ilvl w:val="-1"/>
          <w:numId w:val="0"/>
        </w:numPr>
        <w:spacing w:line="360" w:lineRule="auto"/>
        <w:ind w:left="0" w:leftChars="0" w:firstLine="482" w:firstLineChars="200"/>
        <w:rPr>
          <w:rFonts w:hint="eastAsia" w:ascii="仿宋_GB2312" w:hAnsi="仿宋_GB2312" w:eastAsia="仿宋_GB2312" w:cs="仿宋_GB2312"/>
          <w:b/>
          <w:bCs/>
          <w:color w:val="auto"/>
          <w:sz w:val="24"/>
          <w:szCs w:val="24"/>
          <w:highlight w:val="none"/>
        </w:rPr>
      </w:pPr>
      <w:bookmarkStart w:id="47" w:name="_Toc13153904"/>
      <w:bookmarkStart w:id="48" w:name="_Toc495939916"/>
      <w:bookmarkStart w:id="49" w:name="_Toc495677426"/>
      <w:r>
        <w:rPr>
          <w:rFonts w:hint="eastAsia" w:ascii="仿宋_GB2312" w:hAnsi="仿宋_GB2312" w:eastAsia="仿宋_GB2312" w:cs="仿宋_GB2312"/>
          <w:b/>
          <w:bCs/>
          <w:color w:val="auto"/>
          <w:sz w:val="24"/>
          <w:szCs w:val="24"/>
          <w:highlight w:val="none"/>
          <w:lang w:val="en-US" w:eastAsia="zh-CN"/>
        </w:rPr>
        <w:t>一、</w:t>
      </w:r>
      <w:r>
        <w:rPr>
          <w:rFonts w:hint="eastAsia" w:ascii="仿宋_GB2312" w:hAnsi="仿宋_GB2312" w:eastAsia="仿宋_GB2312" w:cs="仿宋_GB2312"/>
          <w:b/>
          <w:bCs/>
          <w:color w:val="auto"/>
          <w:sz w:val="24"/>
          <w:szCs w:val="24"/>
          <w:highlight w:val="none"/>
        </w:rPr>
        <w:t>完成实体内容</w:t>
      </w:r>
      <w:bookmarkEnd w:id="47"/>
      <w:bookmarkEnd w:id="48"/>
      <w:bookmarkEnd w:id="49"/>
    </w:p>
    <w:p w14:paraId="3B73DFB4">
      <w:pPr>
        <w:pStyle w:val="48"/>
        <w:numPr>
          <w:ilvl w:val="0"/>
          <w:numId w:val="6"/>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从高压电源取电点（含环网电缆、管沟等）至本小区高压综合房进线柜的电缆及管线及电缆沟及相应配套工程、包含市政破路面的政府协调工作等，含室外电缆沟土方开挖、埋套管、回填石粉、回填土方、路面拆除及恢复、电缆井砌筑工程、电缆井砼工程、电缆井抹灰、电缆井盖板、顶管工程、户外箱式开关房基础等图纸显示的内容相应配套工程等。大市政的管沟及相应配套工程已经配备齐全（除电缆外），但现场可能存在部分需新建管沟，及部分损坏需修复，相应政府协调工作由永电单位负责。</w:t>
      </w:r>
    </w:p>
    <w:p w14:paraId="4B6DB39C">
      <w:pPr>
        <w:pStyle w:val="48"/>
        <w:numPr>
          <w:ilvl w:val="0"/>
          <w:numId w:val="6"/>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负责从10kV综合房高压配电柜到各分配电房高压配电柜以及各分配电房之间高压配电柜的10KV电缆、桥架供应、安装、敷设及接驳。专变低压电房内出线主干桥架由总包单位完成；</w:t>
      </w:r>
    </w:p>
    <w:p w14:paraId="70FC350D">
      <w:pPr>
        <w:pStyle w:val="48"/>
        <w:numPr>
          <w:ilvl w:val="0"/>
          <w:numId w:val="6"/>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负责10KV高压配电柜、低压配电柜（含发电机配电柜）的供应、安装、调试及验收。</w:t>
      </w:r>
    </w:p>
    <w:p w14:paraId="4826BD16">
      <w:pPr>
        <w:pStyle w:val="48"/>
        <w:numPr>
          <w:ilvl w:val="0"/>
          <w:numId w:val="6"/>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负责变配电房内高压配电柜至变压器之间母线槽、10KV电缆敷设、接驳及所需管路供应、敷设及接驳。</w:t>
      </w:r>
    </w:p>
    <w:p w14:paraId="7C37841D">
      <w:pPr>
        <w:pStyle w:val="48"/>
        <w:numPr>
          <w:ilvl w:val="0"/>
          <w:numId w:val="6"/>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负责变配电房内高压配电柜与高压配电柜之间母线槽、联络电缆的供应、安装、敷设及接驳及所需管路供应、安装、敷设及接驳。</w:t>
      </w:r>
    </w:p>
    <w:p w14:paraId="1DB7C2B2">
      <w:pPr>
        <w:pStyle w:val="48"/>
        <w:numPr>
          <w:ilvl w:val="0"/>
          <w:numId w:val="6"/>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变压器至低压配电柜之间封闭式母线槽的供应、安装及接驳。</w:t>
      </w:r>
    </w:p>
    <w:p w14:paraId="70EE1D3F">
      <w:pPr>
        <w:pStyle w:val="48"/>
        <w:numPr>
          <w:ilvl w:val="0"/>
          <w:numId w:val="6"/>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低压配电柜之间联络封闭母线槽的供应、安装及接驳。</w:t>
      </w:r>
    </w:p>
    <w:p w14:paraId="2A13D0DF">
      <w:pPr>
        <w:pStyle w:val="48"/>
        <w:numPr>
          <w:ilvl w:val="0"/>
          <w:numId w:val="6"/>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完成直流屏及直流屏所需进出线电缆及管路的供应、安装、接驳。</w:t>
      </w:r>
    </w:p>
    <w:p w14:paraId="5B65432B">
      <w:pPr>
        <w:pStyle w:val="48"/>
        <w:numPr>
          <w:ilvl w:val="0"/>
          <w:numId w:val="6"/>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完成低压总进线开关与联络开关之间为实行互锁保护功能控制电缆的供应、安装及接驳，变压器温控器与相应高压出线柜之间控制电缆的供应、安装及接驳。</w:t>
      </w:r>
    </w:p>
    <w:p w14:paraId="1C5F3016">
      <w:pPr>
        <w:pStyle w:val="48"/>
        <w:numPr>
          <w:ilvl w:val="0"/>
          <w:numId w:val="6"/>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附属配套设备和材料的供应和安装。供电局验收要求的标识、标牌及挂图（系统图及结线图）等的供应及安装。</w:t>
      </w:r>
    </w:p>
    <w:p w14:paraId="55B24ADB">
      <w:pPr>
        <w:pStyle w:val="48"/>
        <w:numPr>
          <w:ilvl w:val="0"/>
          <w:numId w:val="6"/>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负责发包方所供设备及材料的数量清点、二次搬运及保管工作。</w:t>
      </w:r>
    </w:p>
    <w:p w14:paraId="18622D7A">
      <w:pPr>
        <w:pStyle w:val="48"/>
        <w:numPr>
          <w:ilvl w:val="0"/>
          <w:numId w:val="6"/>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 xml:space="preserve">电房范围包括高低压柜（包括发电机配电柜）、电缆沟砌筑抹灰、成品盖板、回填陶粒、墙面防虫漆、变压器基础、配电柜基础、地坪、电房门、百叶窗，电房照明（含应急照明）、防雷接地、通风、不锈钢电房门、电房内分隔墙砌筑及电房安建环费用（包括不限于电房内的BIM深化图纸）的一切工作内容。 </w:t>
      </w:r>
    </w:p>
    <w:p w14:paraId="480E95A7">
      <w:pPr>
        <w:pStyle w:val="48"/>
        <w:numPr>
          <w:ilvl w:val="0"/>
          <w:numId w:val="6"/>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按规范及验收要求，供应及铺设高、低压配电房的绝缘橡胶垫、线槽内封堵，供应及安装所有高低压配电房房门挡鼠板。</w:t>
      </w:r>
    </w:p>
    <w:p w14:paraId="6687EF9B">
      <w:pPr>
        <w:pStyle w:val="48"/>
        <w:numPr>
          <w:ilvl w:val="0"/>
          <w:numId w:val="6"/>
        </w:numPr>
        <w:spacing w:line="360" w:lineRule="auto"/>
        <w:ind w:left="0" w:leftChars="0" w:firstLine="480" w:firstLineChars="200"/>
        <w:rPr>
          <w:rFonts w:hint="eastAsia" w:hAnsi="仿宋_GB2312" w:cs="仿宋_GB2312"/>
          <w:color w:val="auto"/>
          <w:sz w:val="24"/>
          <w:szCs w:val="24"/>
          <w:highlight w:val="none"/>
        </w:rPr>
      </w:pPr>
      <w:r>
        <w:rPr>
          <w:rFonts w:hint="eastAsia" w:ascii="仿宋_GB2312" w:hAnsi="仿宋_GB2312" w:eastAsia="仿宋_GB2312" w:cs="仿宋_GB2312"/>
          <w:color w:val="auto"/>
          <w:kern w:val="2"/>
          <w:sz w:val="24"/>
          <w:szCs w:val="24"/>
          <w:highlight w:val="none"/>
        </w:rPr>
        <w:t>按规范及验收要求完成所有变配电房内的接地系统及标识，并按施工图纸要求安装总等电位接线箱。施工区域内，母线等穿墙洞的防火封堵。</w:t>
      </w:r>
    </w:p>
    <w:p w14:paraId="3A165F2E">
      <w:pPr>
        <w:pStyle w:val="48"/>
        <w:numPr>
          <w:ilvl w:val="0"/>
          <w:numId w:val="6"/>
        </w:numPr>
        <w:spacing w:line="360" w:lineRule="auto"/>
        <w:ind w:left="0" w:leftChars="0" w:firstLine="480" w:firstLineChars="200"/>
        <w:rPr>
          <w:rFonts w:hint="eastAsia" w:hAnsi="仿宋_GB2312" w:cs="仿宋_GB2312"/>
          <w:color w:val="auto"/>
          <w:sz w:val="24"/>
          <w:szCs w:val="24"/>
          <w:highlight w:val="none"/>
        </w:rPr>
      </w:pPr>
      <w:r>
        <w:rPr>
          <w:rFonts w:hint="eastAsia" w:ascii="仿宋_GB2312" w:hAnsi="仿宋_GB2312" w:eastAsia="仿宋_GB2312" w:cs="仿宋_GB2312"/>
          <w:color w:val="auto"/>
          <w:kern w:val="2"/>
          <w:sz w:val="24"/>
          <w:szCs w:val="24"/>
          <w:highlight w:val="none"/>
        </w:rPr>
        <w:t>负责专变低压柜出线之前的范围，包括高低压配电柜和变压器的供应安装、母线的安装。</w:t>
      </w:r>
    </w:p>
    <w:p w14:paraId="3A65B338">
      <w:pPr>
        <w:pStyle w:val="48"/>
        <w:numPr>
          <w:ilvl w:val="0"/>
          <w:numId w:val="6"/>
        </w:numPr>
        <w:spacing w:line="360" w:lineRule="auto"/>
        <w:ind w:left="0" w:leftChars="0" w:firstLine="480" w:firstLineChars="200"/>
        <w:rPr>
          <w:rFonts w:hint="eastAsia" w:hAnsi="仿宋_GB2312" w:cs="仿宋_GB2312"/>
          <w:color w:val="auto"/>
          <w:sz w:val="24"/>
          <w:szCs w:val="24"/>
          <w:highlight w:val="none"/>
        </w:rPr>
      </w:pPr>
      <w:r>
        <w:rPr>
          <w:rFonts w:hint="eastAsia" w:ascii="仿宋_GB2312" w:hAnsi="仿宋_GB2312" w:eastAsia="仿宋_GB2312" w:cs="仿宋_GB2312"/>
          <w:color w:val="auto"/>
          <w:kern w:val="2"/>
          <w:sz w:val="24"/>
          <w:szCs w:val="24"/>
          <w:highlight w:val="none"/>
        </w:rPr>
        <w:t>永电承包商负责发电机机组配电柜至机组之间，发电机配电柜至低压电源切换柜之间（含控制线）的线路电缆或母线（包括控制信号线）供应、敷设及安装。</w:t>
      </w:r>
    </w:p>
    <w:p w14:paraId="05A720A7">
      <w:pPr>
        <w:pStyle w:val="48"/>
        <w:numPr>
          <w:ilvl w:val="0"/>
          <w:numId w:val="6"/>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负责变配电房手机信号的手机信号放大设备供应、安装、信号开通等工作，保证电房正常获取手机信号源（移动、联通、电信三网版信号源）。</w:t>
      </w:r>
    </w:p>
    <w:p w14:paraId="31D34696">
      <w:pPr>
        <w:pStyle w:val="48"/>
        <w:numPr>
          <w:ilvl w:val="0"/>
          <w:numId w:val="6"/>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负责变配电房监控设备、系统配套管线的供应、安装、调试、连通主机等工作。</w:t>
      </w:r>
    </w:p>
    <w:p w14:paraId="07165011">
      <w:pPr>
        <w:pStyle w:val="48"/>
        <w:numPr>
          <w:ilvl w:val="0"/>
          <w:numId w:val="6"/>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以上未注明品牌之处请以附件甲限乙供表或甲指乙供表为准。</w:t>
      </w:r>
    </w:p>
    <w:p w14:paraId="00312A46">
      <w:pPr>
        <w:pStyle w:val="5"/>
        <w:numPr>
          <w:ilvl w:val="-1"/>
          <w:numId w:val="0"/>
        </w:numPr>
        <w:spacing w:line="360" w:lineRule="auto"/>
        <w:ind w:left="0" w:leftChars="0" w:firstLine="482" w:firstLineChars="200"/>
        <w:rPr>
          <w:rFonts w:hint="eastAsia" w:ascii="仿宋_GB2312" w:hAnsi="仿宋_GB2312" w:eastAsia="仿宋_GB2312" w:cs="仿宋_GB2312"/>
          <w:b/>
          <w:bCs/>
          <w:color w:val="auto"/>
          <w:sz w:val="24"/>
          <w:szCs w:val="24"/>
          <w:highlight w:val="none"/>
        </w:rPr>
      </w:pPr>
      <w:bookmarkStart w:id="50" w:name="_Toc495677427"/>
      <w:bookmarkStart w:id="51" w:name="_Toc495939917"/>
      <w:bookmarkStart w:id="52" w:name="_Toc13153905"/>
      <w:r>
        <w:rPr>
          <w:rFonts w:hint="eastAsia" w:ascii="仿宋_GB2312" w:hAnsi="仿宋_GB2312" w:eastAsia="仿宋_GB2312" w:cs="仿宋_GB2312"/>
          <w:b/>
          <w:bCs/>
          <w:color w:val="auto"/>
          <w:sz w:val="24"/>
          <w:szCs w:val="24"/>
          <w:highlight w:val="none"/>
          <w:lang w:val="en-US" w:eastAsia="zh-CN"/>
        </w:rPr>
        <w:t>二、</w:t>
      </w:r>
      <w:r>
        <w:rPr>
          <w:rFonts w:hint="eastAsia" w:ascii="仿宋_GB2312" w:hAnsi="仿宋_GB2312" w:eastAsia="仿宋_GB2312" w:cs="仿宋_GB2312"/>
          <w:b/>
          <w:bCs/>
          <w:color w:val="auto"/>
          <w:sz w:val="24"/>
          <w:szCs w:val="24"/>
          <w:highlight w:val="none"/>
        </w:rPr>
        <w:t>施工图深化设计</w:t>
      </w:r>
      <w:bookmarkEnd w:id="50"/>
      <w:bookmarkEnd w:id="51"/>
      <w:bookmarkEnd w:id="52"/>
    </w:p>
    <w:p w14:paraId="418CA792">
      <w:pPr>
        <w:pStyle w:val="48"/>
        <w:numPr>
          <w:ilvl w:val="0"/>
          <w:numId w:val="7"/>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本工程承包单位需按变配电柜的平面布置，完成配电房内桥架的走向及现场定位。</w:t>
      </w:r>
    </w:p>
    <w:p w14:paraId="737A4644">
      <w:pPr>
        <w:pStyle w:val="48"/>
        <w:numPr>
          <w:ilvl w:val="0"/>
          <w:numId w:val="7"/>
        </w:numPr>
        <w:spacing w:line="360" w:lineRule="auto"/>
        <w:ind w:left="0" w:leftChars="0" w:firstLine="480" w:firstLineChars="200"/>
        <w:rPr>
          <w:rFonts w:hint="eastAsia" w:hAnsi="仿宋_GB2312" w:cs="仿宋_GB2312"/>
          <w:color w:val="auto"/>
          <w:sz w:val="24"/>
          <w:szCs w:val="24"/>
          <w:highlight w:val="none"/>
        </w:rPr>
      </w:pPr>
      <w:r>
        <w:rPr>
          <w:rFonts w:hint="eastAsia" w:ascii="仿宋_GB2312" w:hAnsi="仿宋_GB2312" w:eastAsia="仿宋_GB2312" w:cs="仿宋_GB2312"/>
          <w:color w:val="auto"/>
          <w:kern w:val="2"/>
          <w:sz w:val="24"/>
          <w:szCs w:val="24"/>
          <w:highlight w:val="none"/>
        </w:rPr>
        <w:t>施工深化设计的图纸份数及其他要求需符合发包方深化设计管理细则要求。</w:t>
      </w:r>
    </w:p>
    <w:p w14:paraId="1155B920">
      <w:pPr>
        <w:pStyle w:val="5"/>
        <w:numPr>
          <w:ilvl w:val="-1"/>
          <w:numId w:val="0"/>
        </w:numPr>
        <w:spacing w:line="360" w:lineRule="auto"/>
        <w:ind w:left="420" w:leftChars="200" w:firstLine="0"/>
        <w:rPr>
          <w:rFonts w:hint="eastAsia" w:ascii="仿宋_GB2312" w:hAnsi="仿宋_GB2312" w:eastAsia="仿宋_GB2312" w:cs="仿宋_GB2312"/>
          <w:b/>
          <w:bCs/>
          <w:color w:val="auto"/>
          <w:sz w:val="24"/>
          <w:szCs w:val="24"/>
          <w:highlight w:val="none"/>
        </w:rPr>
      </w:pPr>
      <w:bookmarkStart w:id="53" w:name="_Toc13153906"/>
      <w:bookmarkStart w:id="54" w:name="_Toc495677428"/>
      <w:bookmarkStart w:id="55" w:name="_Toc495939918"/>
      <w:r>
        <w:rPr>
          <w:rFonts w:hint="eastAsia" w:ascii="仿宋_GB2312" w:hAnsi="仿宋_GB2312" w:eastAsia="仿宋_GB2312" w:cs="仿宋_GB2312"/>
          <w:b/>
          <w:bCs/>
          <w:color w:val="auto"/>
          <w:sz w:val="24"/>
          <w:szCs w:val="24"/>
          <w:highlight w:val="none"/>
          <w:lang w:val="en-US" w:eastAsia="zh-CN"/>
        </w:rPr>
        <w:t>三、</w:t>
      </w:r>
      <w:r>
        <w:rPr>
          <w:rFonts w:hint="eastAsia" w:ascii="仿宋_GB2312" w:hAnsi="仿宋_GB2312" w:eastAsia="仿宋_GB2312" w:cs="仿宋_GB2312"/>
          <w:b/>
          <w:bCs/>
          <w:color w:val="auto"/>
          <w:sz w:val="24"/>
          <w:szCs w:val="24"/>
          <w:highlight w:val="none"/>
        </w:rPr>
        <w:t>其它说明事项</w:t>
      </w:r>
      <w:bookmarkEnd w:id="53"/>
      <w:bookmarkEnd w:id="54"/>
      <w:bookmarkEnd w:id="55"/>
    </w:p>
    <w:p w14:paraId="09E33DF8">
      <w:pPr>
        <w:pStyle w:val="48"/>
        <w:numPr>
          <w:ilvl w:val="0"/>
          <w:numId w:val="8"/>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高低压配电项目的施工、安装、调试、报验、检测、入网、供电部门计量电表（包含电表箱内电表）的领取、安装、验收、接火、送电等，以及变配电工程对供电局的报建、安装、调试、验收手续。</w:t>
      </w:r>
    </w:p>
    <w:p w14:paraId="61AA6E91">
      <w:pPr>
        <w:pStyle w:val="48"/>
        <w:numPr>
          <w:ilvl w:val="0"/>
          <w:numId w:val="8"/>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报价除上述费用外，还必须包含新设备和材料的交接试验费等一切费用。</w:t>
      </w:r>
    </w:p>
    <w:p w14:paraId="52687DBB">
      <w:pPr>
        <w:pStyle w:val="48"/>
        <w:numPr>
          <w:ilvl w:val="0"/>
          <w:numId w:val="8"/>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使本分包工程项目正常运行所需之一切工作及费用。</w:t>
      </w:r>
    </w:p>
    <w:p w14:paraId="1A974521">
      <w:pPr>
        <w:pStyle w:val="48"/>
        <w:numPr>
          <w:ilvl w:val="0"/>
          <w:numId w:val="8"/>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工程报建、验收、送电及相关手续完成后，承包单位须负责送电后移交至甲方或物业公司的变配电房的管理、操作、运行及维护等工作。</w:t>
      </w:r>
    </w:p>
    <w:p w14:paraId="6E5D121A">
      <w:pPr>
        <w:pStyle w:val="48"/>
        <w:numPr>
          <w:ilvl w:val="0"/>
          <w:numId w:val="8"/>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因精装修或其他专业设计变化引起的路由调整导致的管线增加予以计算变更工程量。管线综合过程中，因处理管线碰撞所做的管线调整导致的某一系统或回路的工程量变化超过施工图对应工程量的10%情况下，超出10%工程量的变更工程量予以计算。</w:t>
      </w:r>
    </w:p>
    <w:p w14:paraId="64A2581C">
      <w:pPr>
        <w:pStyle w:val="4"/>
        <w:spacing w:line="360" w:lineRule="auto"/>
        <w:ind w:firstLine="482" w:firstLineChars="200"/>
        <w:rPr>
          <w:rFonts w:hint="eastAsia" w:ascii="仿宋_GB2312" w:hAnsi="仿宋_GB2312" w:eastAsia="仿宋_GB2312" w:cs="仿宋_GB2312"/>
          <w:b/>
          <w:bCs/>
          <w:color w:val="auto"/>
          <w:sz w:val="24"/>
          <w:szCs w:val="24"/>
          <w:highlight w:val="none"/>
        </w:rPr>
      </w:pPr>
      <w:bookmarkStart w:id="56" w:name="_Toc436417277"/>
      <w:bookmarkStart w:id="57" w:name="_Toc436410930"/>
      <w:bookmarkStart w:id="58" w:name="_Toc495677429"/>
      <w:bookmarkStart w:id="59" w:name="_Toc13153907"/>
      <w:bookmarkStart w:id="60" w:name="_Toc495939919"/>
      <w:bookmarkStart w:id="61" w:name="_Toc436410763"/>
      <w:r>
        <w:rPr>
          <w:rFonts w:hint="eastAsia" w:ascii="仿宋_GB2312" w:hAnsi="仿宋_GB2312" w:eastAsia="仿宋_GB2312" w:cs="仿宋_GB2312"/>
          <w:b/>
          <w:bCs/>
          <w:color w:val="auto"/>
          <w:sz w:val="24"/>
          <w:szCs w:val="24"/>
          <w:highlight w:val="none"/>
          <w:lang w:val="en-US" w:eastAsia="zh-CN"/>
        </w:rPr>
        <w:t>四、</w:t>
      </w:r>
      <w:r>
        <w:rPr>
          <w:rFonts w:hint="eastAsia" w:ascii="仿宋_GB2312" w:hAnsi="仿宋_GB2312" w:eastAsia="仿宋_GB2312" w:cs="仿宋_GB2312"/>
          <w:b/>
          <w:bCs/>
          <w:color w:val="auto"/>
          <w:sz w:val="24"/>
          <w:szCs w:val="24"/>
          <w:highlight w:val="none"/>
        </w:rPr>
        <w:t>永久用电工程承包商与各单位之间的工程界面划分</w:t>
      </w:r>
      <w:bookmarkEnd w:id="56"/>
      <w:bookmarkEnd w:id="57"/>
      <w:bookmarkEnd w:id="58"/>
      <w:bookmarkEnd w:id="59"/>
      <w:bookmarkEnd w:id="60"/>
      <w:bookmarkEnd w:id="61"/>
    </w:p>
    <w:p w14:paraId="2AE24723">
      <w:pPr>
        <w:pStyle w:val="5"/>
        <w:numPr>
          <w:ilvl w:val="-1"/>
          <w:numId w:val="0"/>
        </w:numPr>
        <w:spacing w:line="360" w:lineRule="auto"/>
        <w:ind w:left="420" w:leftChars="200" w:firstLine="0"/>
        <w:rPr>
          <w:rFonts w:hint="eastAsia" w:ascii="仿宋_GB2312" w:hAnsi="仿宋_GB2312" w:eastAsia="仿宋_GB2312" w:cs="仿宋_GB2312"/>
          <w:b/>
          <w:bCs/>
          <w:color w:val="auto"/>
          <w:sz w:val="24"/>
          <w:szCs w:val="24"/>
          <w:highlight w:val="none"/>
        </w:rPr>
      </w:pPr>
      <w:bookmarkStart w:id="62" w:name="_Toc495939920"/>
      <w:bookmarkStart w:id="63" w:name="_Toc495677430"/>
      <w:bookmarkStart w:id="64" w:name="_Toc13153908"/>
      <w:bookmarkStart w:id="65" w:name="_Toc436410931"/>
      <w:bookmarkStart w:id="66" w:name="_Toc436410764"/>
      <w:bookmarkStart w:id="67" w:name="_Toc436417278"/>
      <w:r>
        <w:rPr>
          <w:rFonts w:hint="eastAsia" w:ascii="仿宋_GB2312" w:hAnsi="仿宋_GB2312" w:eastAsia="仿宋_GB2312" w:cs="仿宋_GB2312"/>
          <w:b/>
          <w:bCs/>
          <w:color w:val="auto"/>
          <w:sz w:val="24"/>
          <w:szCs w:val="24"/>
          <w:highlight w:val="none"/>
          <w:lang w:val="en-US" w:eastAsia="zh-CN"/>
        </w:rPr>
        <w:t>4.1</w:t>
      </w:r>
      <w:r>
        <w:rPr>
          <w:rFonts w:hint="eastAsia" w:ascii="仿宋_GB2312" w:hAnsi="仿宋_GB2312" w:eastAsia="仿宋_GB2312" w:cs="仿宋_GB2312"/>
          <w:b/>
          <w:bCs/>
          <w:color w:val="auto"/>
          <w:sz w:val="24"/>
          <w:szCs w:val="24"/>
          <w:highlight w:val="none"/>
        </w:rPr>
        <w:t>与各有关政府部门及市政配套机构之协调和合作</w:t>
      </w:r>
      <w:bookmarkEnd w:id="62"/>
      <w:bookmarkEnd w:id="63"/>
      <w:bookmarkEnd w:id="64"/>
    </w:p>
    <w:p w14:paraId="077944DB">
      <w:pPr>
        <w:pStyle w:val="3"/>
        <w:numPr>
          <w:ilvl w:val="0"/>
          <w:numId w:val="0"/>
        </w:numPr>
        <w:spacing w:line="360" w:lineRule="auto"/>
        <w:ind w:left="0" w:leftChars="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永久用电工程承包商须负责与各有关政府部门及市政配套机构协调和合作。承包商须按政府有关部门及市政配套机构的要求,在施工进行中及施工完成后,申请取得运行的行政许可之中,提供所需的有关资料包括图纸、样品、产品说明等给各有关政府部门及市政配套机构作审批之用。承包商须注意，若所有需要送审的有关资料未能达到有关政府部门的要求而需作重新送审，因此而引致工期延误及所引起的一切费用损失等全由承包商负责。</w:t>
      </w:r>
    </w:p>
    <w:p w14:paraId="2D09CE56">
      <w:pPr>
        <w:pStyle w:val="3"/>
        <w:numPr>
          <w:ilvl w:val="0"/>
          <w:numId w:val="0"/>
        </w:numPr>
        <w:spacing w:line="360" w:lineRule="auto"/>
        <w:ind w:left="0" w:leftChars="0"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如因与有关政府部门及市政配套机构缺乏协调和合作而导致已安装的设备或系统需作更改或拆除，承包商除须负起所有有关的费用和因此而导致工期延误的责任外，仍须对发包人作出相应的赔偿。</w:t>
      </w:r>
    </w:p>
    <w:p w14:paraId="7C101C13">
      <w:pPr>
        <w:pStyle w:val="5"/>
        <w:numPr>
          <w:ilvl w:val="-1"/>
          <w:numId w:val="0"/>
        </w:numPr>
        <w:spacing w:line="360" w:lineRule="auto"/>
        <w:ind w:left="0" w:leftChars="0" w:firstLine="482" w:firstLineChars="200"/>
        <w:rPr>
          <w:rFonts w:hint="eastAsia" w:ascii="仿宋_GB2312" w:hAnsi="仿宋_GB2312" w:eastAsia="仿宋_GB2312" w:cs="仿宋_GB2312"/>
          <w:b/>
          <w:bCs/>
          <w:color w:val="auto"/>
          <w:sz w:val="24"/>
          <w:szCs w:val="24"/>
          <w:highlight w:val="none"/>
        </w:rPr>
      </w:pPr>
      <w:bookmarkStart w:id="68" w:name="_Toc495939921"/>
      <w:bookmarkStart w:id="69" w:name="_Toc13153909"/>
      <w:bookmarkStart w:id="70" w:name="_Toc495677431"/>
      <w:r>
        <w:rPr>
          <w:rFonts w:hint="eastAsia" w:ascii="仿宋_GB2312" w:hAnsi="仿宋_GB2312" w:eastAsia="仿宋_GB2312" w:cs="仿宋_GB2312"/>
          <w:b/>
          <w:bCs/>
          <w:color w:val="auto"/>
          <w:sz w:val="24"/>
          <w:szCs w:val="24"/>
          <w:highlight w:val="none"/>
          <w:lang w:val="en-US" w:eastAsia="zh-CN"/>
        </w:rPr>
        <w:t>4.2</w:t>
      </w:r>
      <w:r>
        <w:rPr>
          <w:rFonts w:hint="eastAsia" w:ascii="仿宋_GB2312" w:hAnsi="仿宋_GB2312" w:eastAsia="仿宋_GB2312" w:cs="仿宋_GB2312"/>
          <w:b/>
          <w:bCs/>
          <w:color w:val="auto"/>
          <w:sz w:val="24"/>
          <w:szCs w:val="24"/>
          <w:highlight w:val="none"/>
        </w:rPr>
        <w:t>与总承包的工程界面划分</w:t>
      </w:r>
      <w:bookmarkEnd w:id="65"/>
      <w:bookmarkEnd w:id="66"/>
      <w:bookmarkEnd w:id="67"/>
      <w:bookmarkEnd w:id="68"/>
      <w:bookmarkEnd w:id="69"/>
      <w:bookmarkEnd w:id="70"/>
    </w:p>
    <w:p w14:paraId="6299418E">
      <w:pPr>
        <w:pStyle w:val="3"/>
        <w:numPr>
          <w:ilvl w:val="0"/>
          <w:numId w:val="9"/>
        </w:num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外电单位负责按供电局审批后的图纸完成电房内部土建工程，负责变配电房内地面防静电油漆施工。</w:t>
      </w:r>
    </w:p>
    <w:p w14:paraId="75302D7E">
      <w:pPr>
        <w:pStyle w:val="3"/>
        <w:numPr>
          <w:ilvl w:val="0"/>
          <w:numId w:val="9"/>
        </w:num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承包方负责按永久用电工程承包商提供的资料或设计院提供的图纸，预留变配电设备运输或吊装所需的孔洞及吊钩（如有）及后期恢复，永久用电工程承包商与总承包方主动沟通协调，做好大型设备吊装及运输通道的协调和配合。</w:t>
      </w:r>
    </w:p>
    <w:p w14:paraId="6D9EBEF8">
      <w:pPr>
        <w:pStyle w:val="3"/>
        <w:numPr>
          <w:ilvl w:val="0"/>
          <w:numId w:val="9"/>
        </w:num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总承包方负责按图纸设计要求提供机房内接地点，永久用电工程承包商负责配电室内接地系统的安装。</w:t>
      </w:r>
    </w:p>
    <w:p w14:paraId="6A1C6A9B">
      <w:pPr>
        <w:pStyle w:val="3"/>
        <w:numPr>
          <w:ilvl w:val="0"/>
          <w:numId w:val="9"/>
        </w:num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永电承包商负责配电房的照明，包括照明灯具（含应急照明）、插座、管道、电线等采购、安装。</w:t>
      </w:r>
    </w:p>
    <w:p w14:paraId="58E5461C">
      <w:pPr>
        <w:pStyle w:val="3"/>
        <w:numPr>
          <w:ilvl w:val="0"/>
          <w:numId w:val="9"/>
        </w:num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变系统：总承包方负责自低压柜出线起至电源箱的范围，包括电缆、分户计量表箱、电源箱的安装，低压柜馈出母线、分户计量表的供应及安装，与低压柜的接驳等；永久用电工程承包单位负责低压柜之前的范围，包括高低压配电柜和变压器的安装、低压柜内电缆安装、母线的供应及安装。</w:t>
      </w:r>
    </w:p>
    <w:p w14:paraId="66D0912A">
      <w:pPr>
        <w:pStyle w:val="3"/>
        <w:numPr>
          <w:ilvl w:val="0"/>
          <w:numId w:val="9"/>
        </w:num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永久用电工程承包商负责送电验收，总承包方需进行现场配合。</w:t>
      </w:r>
    </w:p>
    <w:p w14:paraId="398CF9BE">
      <w:pPr>
        <w:pStyle w:val="5"/>
        <w:numPr>
          <w:ilvl w:val="-1"/>
          <w:numId w:val="0"/>
        </w:numPr>
        <w:spacing w:line="360" w:lineRule="auto"/>
        <w:ind w:left="420" w:leftChars="200" w:firstLine="0"/>
        <w:rPr>
          <w:rFonts w:hint="eastAsia" w:hAnsi="仿宋_GB2312" w:cs="仿宋_GB2312"/>
          <w:b/>
          <w:bCs/>
          <w:color w:val="auto"/>
          <w:sz w:val="24"/>
          <w:szCs w:val="24"/>
          <w:highlight w:val="none"/>
        </w:rPr>
      </w:pPr>
      <w:bookmarkStart w:id="71" w:name="_Toc495940016"/>
      <w:bookmarkStart w:id="72" w:name="_Toc495677525"/>
      <w:bookmarkStart w:id="73" w:name="_Toc13153964"/>
      <w:r>
        <w:rPr>
          <w:rFonts w:hint="eastAsia" w:hAnsi="仿宋_GB2312" w:cs="仿宋_GB2312"/>
          <w:b/>
          <w:bCs/>
          <w:color w:val="auto"/>
          <w:sz w:val="24"/>
          <w:szCs w:val="24"/>
          <w:highlight w:val="none"/>
          <w:lang w:eastAsia="zh-CN"/>
        </w:rPr>
        <w:t>五、</w:t>
      </w:r>
      <w:r>
        <w:rPr>
          <w:rFonts w:hint="eastAsia" w:hAnsi="仿宋_GB2312" w:cs="仿宋_GB2312"/>
          <w:b/>
          <w:bCs/>
          <w:color w:val="auto"/>
          <w:sz w:val="24"/>
          <w:szCs w:val="24"/>
          <w:highlight w:val="none"/>
        </w:rPr>
        <w:t>施工组织设计具体内容</w:t>
      </w:r>
      <w:bookmarkEnd w:id="71"/>
      <w:bookmarkEnd w:id="72"/>
      <w:bookmarkEnd w:id="73"/>
    </w:p>
    <w:p w14:paraId="285209FF">
      <w:pPr>
        <w:pStyle w:val="48"/>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投标单位应针对本项目的技术要求，编制详细的施工组织设计，并提供设备安装与调试方案。施工组织方案须将深化设计、采购、制作、运输、施工与安装、调试、试运行、验收、技术培训及质保期服务等过程进行详细说明。同时也应对系统使用的主要设备部件、材料作详细安装说明。具体内容包括但不限于：</w:t>
      </w:r>
    </w:p>
    <w:p w14:paraId="34FFCBBB">
      <w:pPr>
        <w:pStyle w:val="49"/>
        <w:numPr>
          <w:ilvl w:val="0"/>
          <w:numId w:val="10"/>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施工部署（包括但不限于）</w:t>
      </w:r>
    </w:p>
    <w:p w14:paraId="653110D3">
      <w:pPr>
        <w:pStyle w:val="50"/>
        <w:numPr>
          <w:ilvl w:val="0"/>
          <w:numId w:val="11"/>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项目经理部组织机构</w:t>
      </w:r>
    </w:p>
    <w:p w14:paraId="0CF76C57">
      <w:pPr>
        <w:pStyle w:val="50"/>
        <w:numPr>
          <w:ilvl w:val="0"/>
          <w:numId w:val="11"/>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要求提供具有</w:t>
      </w:r>
      <w:r>
        <w:rPr>
          <w:rFonts w:hint="eastAsia" w:hAnsi="仿宋_GB2312" w:cs="仿宋_GB2312"/>
          <w:color w:val="auto"/>
          <w:kern w:val="2"/>
          <w:sz w:val="24"/>
          <w:szCs w:val="24"/>
          <w:highlight w:val="none"/>
          <w:lang w:eastAsia="zh-CN"/>
        </w:rPr>
        <w:t>二</w:t>
      </w:r>
      <w:r>
        <w:rPr>
          <w:rFonts w:hint="eastAsia" w:ascii="仿宋_GB2312" w:hAnsi="仿宋_GB2312" w:eastAsia="仿宋_GB2312" w:cs="仿宋_GB2312"/>
          <w:color w:val="auto"/>
          <w:kern w:val="2"/>
          <w:sz w:val="24"/>
          <w:szCs w:val="24"/>
          <w:highlight w:val="none"/>
        </w:rPr>
        <w:t>级建造师或具有相应资历的工程师在现场管理资历文件，并提供其相应的资料</w:t>
      </w:r>
    </w:p>
    <w:p w14:paraId="47B062FB">
      <w:pPr>
        <w:pStyle w:val="50"/>
        <w:numPr>
          <w:ilvl w:val="0"/>
          <w:numId w:val="11"/>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人员投入计划</w:t>
      </w:r>
    </w:p>
    <w:p w14:paraId="7CA0830B">
      <w:pPr>
        <w:pStyle w:val="50"/>
        <w:numPr>
          <w:ilvl w:val="0"/>
          <w:numId w:val="11"/>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主要管理人员列表</w:t>
      </w:r>
    </w:p>
    <w:p w14:paraId="404624B6">
      <w:pPr>
        <w:pStyle w:val="50"/>
        <w:numPr>
          <w:ilvl w:val="0"/>
          <w:numId w:val="11"/>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施工管理总流程图</w:t>
      </w:r>
    </w:p>
    <w:p w14:paraId="4AC95790">
      <w:pPr>
        <w:pStyle w:val="50"/>
        <w:numPr>
          <w:ilvl w:val="0"/>
          <w:numId w:val="11"/>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项目经理部工作分解及责任矩阵</w:t>
      </w:r>
    </w:p>
    <w:p w14:paraId="48EE2BFF">
      <w:pPr>
        <w:pStyle w:val="50"/>
        <w:numPr>
          <w:ilvl w:val="0"/>
          <w:numId w:val="11"/>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投标单位根据招标文件的要求结合项目管理与施工的实际需要，按附表1《投入主要管理及主要技术人员表》、附表2 《主要管理及技术人员简历表》填报拟投入本项目的主要管理及技术人员等，并按各表格的附注要求提供相应的证明材料。</w:t>
      </w:r>
    </w:p>
    <w:p w14:paraId="38ACCB19">
      <w:pPr>
        <w:pStyle w:val="49"/>
        <w:numPr>
          <w:ilvl w:val="0"/>
          <w:numId w:val="10"/>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施工方案</w:t>
      </w:r>
    </w:p>
    <w:p w14:paraId="104A485F">
      <w:pPr>
        <w:pStyle w:val="50"/>
        <w:numPr>
          <w:ilvl w:val="0"/>
          <w:numId w:val="12"/>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施工段划分及主要施工流程</w:t>
      </w:r>
    </w:p>
    <w:p w14:paraId="7DC9CF8E">
      <w:pPr>
        <w:pStyle w:val="50"/>
        <w:numPr>
          <w:ilvl w:val="0"/>
          <w:numId w:val="12"/>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施工重点及难点</w:t>
      </w:r>
    </w:p>
    <w:p w14:paraId="1345A234">
      <w:pPr>
        <w:pStyle w:val="50"/>
        <w:numPr>
          <w:ilvl w:val="0"/>
          <w:numId w:val="12"/>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施工配备的机械工具等清单（列表：包括数量、用途等）</w:t>
      </w:r>
    </w:p>
    <w:p w14:paraId="16009CDC">
      <w:pPr>
        <w:pStyle w:val="50"/>
        <w:numPr>
          <w:ilvl w:val="0"/>
          <w:numId w:val="12"/>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施工方法及工艺</w:t>
      </w:r>
    </w:p>
    <w:p w14:paraId="24EBFBCB">
      <w:pPr>
        <w:pStyle w:val="50"/>
        <w:numPr>
          <w:ilvl w:val="0"/>
          <w:numId w:val="12"/>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系统调试方案</w:t>
      </w:r>
    </w:p>
    <w:p w14:paraId="3747EA53">
      <w:pPr>
        <w:pStyle w:val="49"/>
        <w:numPr>
          <w:ilvl w:val="0"/>
          <w:numId w:val="10"/>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工程进度管理</w:t>
      </w:r>
    </w:p>
    <w:p w14:paraId="15FF1596">
      <w:pPr>
        <w:pStyle w:val="50"/>
        <w:numPr>
          <w:ilvl w:val="0"/>
          <w:numId w:val="13"/>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详细的项目工作分解结构</w:t>
      </w:r>
    </w:p>
    <w:p w14:paraId="67D4AFC4">
      <w:pPr>
        <w:pStyle w:val="50"/>
        <w:numPr>
          <w:ilvl w:val="0"/>
          <w:numId w:val="13"/>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进度计划</w:t>
      </w:r>
    </w:p>
    <w:p w14:paraId="0D17390A">
      <w:pPr>
        <w:pStyle w:val="50"/>
        <w:numPr>
          <w:ilvl w:val="0"/>
          <w:numId w:val="13"/>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进度保证措施</w:t>
      </w:r>
    </w:p>
    <w:p w14:paraId="77AC1CA3">
      <w:pPr>
        <w:pStyle w:val="49"/>
        <w:numPr>
          <w:ilvl w:val="0"/>
          <w:numId w:val="10"/>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质量管理及保证措施</w:t>
      </w:r>
    </w:p>
    <w:p w14:paraId="45627FFD">
      <w:pPr>
        <w:pStyle w:val="50"/>
        <w:numPr>
          <w:ilvl w:val="0"/>
          <w:numId w:val="14"/>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详细的工程质量目标分解</w:t>
      </w:r>
    </w:p>
    <w:p w14:paraId="7725B95A">
      <w:pPr>
        <w:pStyle w:val="50"/>
        <w:numPr>
          <w:ilvl w:val="0"/>
          <w:numId w:val="14"/>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质量管理体系</w:t>
      </w:r>
    </w:p>
    <w:p w14:paraId="29DE521C">
      <w:pPr>
        <w:pStyle w:val="50"/>
        <w:numPr>
          <w:ilvl w:val="0"/>
          <w:numId w:val="14"/>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质量保证措施</w:t>
      </w:r>
    </w:p>
    <w:p w14:paraId="2AB9BC95">
      <w:pPr>
        <w:pStyle w:val="50"/>
        <w:numPr>
          <w:ilvl w:val="0"/>
          <w:numId w:val="14"/>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安全生产、文明施工的技术组织措施</w:t>
      </w:r>
    </w:p>
    <w:p w14:paraId="53B72316">
      <w:pPr>
        <w:pStyle w:val="49"/>
        <w:numPr>
          <w:ilvl w:val="0"/>
          <w:numId w:val="10"/>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项目竣工验收管理</w:t>
      </w:r>
    </w:p>
    <w:p w14:paraId="17BE962A">
      <w:pPr>
        <w:pStyle w:val="50"/>
        <w:numPr>
          <w:ilvl w:val="0"/>
          <w:numId w:val="15"/>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竣工验收计划</w:t>
      </w:r>
    </w:p>
    <w:p w14:paraId="331BA035">
      <w:pPr>
        <w:pStyle w:val="50"/>
        <w:numPr>
          <w:ilvl w:val="0"/>
          <w:numId w:val="15"/>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竣工验收资料</w:t>
      </w:r>
    </w:p>
    <w:p w14:paraId="7816D6A3">
      <w:pPr>
        <w:pStyle w:val="50"/>
        <w:numPr>
          <w:ilvl w:val="0"/>
          <w:numId w:val="15"/>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检验验收方案</w:t>
      </w:r>
    </w:p>
    <w:p w14:paraId="3CC8F4D5">
      <w:pPr>
        <w:pStyle w:val="49"/>
        <w:numPr>
          <w:ilvl w:val="0"/>
          <w:numId w:val="10"/>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成品保护措施</w:t>
      </w:r>
    </w:p>
    <w:p w14:paraId="032941D8">
      <w:pPr>
        <w:pStyle w:val="49"/>
        <w:numPr>
          <w:ilvl w:val="0"/>
          <w:numId w:val="10"/>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与业主及各分包单位的配合</w:t>
      </w:r>
    </w:p>
    <w:p w14:paraId="670196A1">
      <w:pPr>
        <w:pStyle w:val="49"/>
        <w:numPr>
          <w:ilvl w:val="0"/>
          <w:numId w:val="10"/>
        </w:numPr>
        <w:spacing w:line="360" w:lineRule="auto"/>
        <w:ind w:left="0" w:leftChars="0" w:firstLine="480" w:firstLineChars="200"/>
        <w:rPr>
          <w:rFonts w:hint="eastAsia" w:hAnsi="仿宋_GB2312" w:cs="仿宋_GB2312"/>
          <w:color w:val="auto"/>
          <w:sz w:val="24"/>
          <w:szCs w:val="24"/>
          <w:highlight w:val="none"/>
        </w:rPr>
      </w:pPr>
      <w:r>
        <w:rPr>
          <w:rFonts w:hint="eastAsia" w:ascii="仿宋_GB2312" w:hAnsi="仿宋_GB2312" w:eastAsia="仿宋_GB2312" w:cs="仿宋_GB2312"/>
          <w:color w:val="auto"/>
          <w:kern w:val="2"/>
          <w:sz w:val="24"/>
          <w:szCs w:val="24"/>
          <w:highlight w:val="none"/>
        </w:rPr>
        <w:t>投标单位认为应该补充的内容及建议</w:t>
      </w:r>
    </w:p>
    <w:p w14:paraId="1E5EEA76">
      <w:pPr>
        <w:pStyle w:val="4"/>
        <w:spacing w:line="360" w:lineRule="auto"/>
        <w:ind w:firstLine="484" w:firstLineChars="200"/>
        <w:rPr>
          <w:rFonts w:hint="eastAsia" w:ascii="仿宋_GB2312" w:hAnsi="仿宋_GB2312" w:eastAsia="仿宋_GB2312" w:cs="仿宋_GB2312"/>
          <w:b w:val="0"/>
          <w:color w:val="auto"/>
          <w:spacing w:val="1"/>
          <w:sz w:val="24"/>
          <w:szCs w:val="24"/>
          <w:highlight w:val="none"/>
        </w:rPr>
      </w:pPr>
      <w:bookmarkStart w:id="74" w:name="_Toc495940017"/>
      <w:bookmarkStart w:id="75" w:name="_Toc495677526"/>
      <w:bookmarkStart w:id="76" w:name="_Toc13153965"/>
      <w:r>
        <w:rPr>
          <w:rFonts w:hint="eastAsia" w:ascii="仿宋_GB2312" w:hAnsi="仿宋_GB2312" w:eastAsia="仿宋_GB2312" w:cs="仿宋_GB2312"/>
          <w:b w:val="0"/>
          <w:color w:val="auto"/>
          <w:spacing w:val="1"/>
          <w:sz w:val="24"/>
          <w:szCs w:val="24"/>
          <w:highlight w:val="none"/>
          <w:lang w:eastAsia="zh-CN"/>
        </w:rPr>
        <w:t>六、</w:t>
      </w:r>
      <w:r>
        <w:rPr>
          <w:rFonts w:hint="eastAsia" w:ascii="仿宋_GB2312" w:hAnsi="仿宋_GB2312" w:eastAsia="仿宋_GB2312" w:cs="仿宋_GB2312"/>
          <w:b w:val="0"/>
          <w:color w:val="auto"/>
          <w:spacing w:val="1"/>
          <w:sz w:val="24"/>
          <w:szCs w:val="24"/>
          <w:highlight w:val="none"/>
        </w:rPr>
        <w:t>投标其他说明</w:t>
      </w:r>
      <w:bookmarkEnd w:id="74"/>
      <w:bookmarkEnd w:id="75"/>
      <w:bookmarkEnd w:id="76"/>
    </w:p>
    <w:p w14:paraId="6091EBB6">
      <w:pPr>
        <w:pStyle w:val="5"/>
        <w:numPr>
          <w:ilvl w:val="-1"/>
          <w:numId w:val="0"/>
        </w:numPr>
        <w:spacing w:line="360" w:lineRule="auto"/>
        <w:ind w:left="420" w:leftChars="200" w:firstLine="0"/>
        <w:rPr>
          <w:rFonts w:hint="eastAsia" w:ascii="仿宋_GB2312" w:hAnsi="仿宋_GB2312" w:eastAsia="仿宋_GB2312" w:cs="仿宋_GB2312"/>
          <w:color w:val="auto"/>
          <w:sz w:val="24"/>
          <w:szCs w:val="24"/>
          <w:highlight w:val="none"/>
        </w:rPr>
      </w:pPr>
      <w:bookmarkStart w:id="77" w:name="_Toc495940018"/>
      <w:bookmarkStart w:id="78" w:name="_Toc495677527"/>
      <w:bookmarkStart w:id="79" w:name="_Toc13153966"/>
      <w:r>
        <w:rPr>
          <w:rFonts w:hint="eastAsia" w:ascii="仿宋_GB2312" w:hAnsi="仿宋_GB2312" w:eastAsia="仿宋_GB2312" w:cs="仿宋_GB2312"/>
          <w:color w:val="auto"/>
          <w:sz w:val="24"/>
          <w:szCs w:val="24"/>
          <w:highlight w:val="none"/>
          <w:lang w:val="en-US" w:eastAsia="zh-CN"/>
        </w:rPr>
        <w:t xml:space="preserve">6.1 </w:t>
      </w:r>
      <w:r>
        <w:rPr>
          <w:rFonts w:hint="eastAsia" w:ascii="仿宋_GB2312" w:hAnsi="仿宋_GB2312" w:eastAsia="仿宋_GB2312" w:cs="仿宋_GB2312"/>
          <w:color w:val="auto"/>
          <w:sz w:val="24"/>
          <w:szCs w:val="24"/>
          <w:highlight w:val="none"/>
        </w:rPr>
        <w:t>分期施工的安排</w:t>
      </w:r>
      <w:bookmarkEnd w:id="77"/>
      <w:bookmarkEnd w:id="78"/>
      <w:bookmarkEnd w:id="79"/>
    </w:p>
    <w:p w14:paraId="4573F7A6">
      <w:pPr>
        <w:pStyle w:val="49"/>
        <w:numPr>
          <w:ilvl w:val="0"/>
          <w:numId w:val="16"/>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永久用电工程承包商必须注意--于各期施工完成后，会向政府各有关部门申请验收，并申报分期竣工；因此，承包商必须保证各期施工完成后，本合约内的所有机电系统，能够符合所有国家、广东省及广州市南沙区政府有关部门所颁布的最新法规、法定职责、条例、规范、规格、标准、施工准则、业务条例等各项法定要求。</w:t>
      </w:r>
    </w:p>
    <w:p w14:paraId="2EEE5408">
      <w:pPr>
        <w:pStyle w:val="49"/>
        <w:numPr>
          <w:ilvl w:val="0"/>
          <w:numId w:val="16"/>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承包商必须保证各期施工完成后，本合约内的所有属于该分期范围内的机电系统，已完成所有设备、材料与装置的供应及制造、安装、测试和试运行；即：能够正常运作；</w:t>
      </w:r>
    </w:p>
    <w:p w14:paraId="6F43CD73">
      <w:pPr>
        <w:pStyle w:val="49"/>
        <w:numPr>
          <w:ilvl w:val="0"/>
          <w:numId w:val="16"/>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承包商必须注意，其他仍处于施工阶段的分期，绝对不可以影响已施工完成的分期范围内的所有机电系统（并不只包括本合约内的供配电供应及安装工程系统）的正常运作；因此，承包商必须与其他承包商协调和合作，以保证有关要求；</w:t>
      </w:r>
    </w:p>
    <w:p w14:paraId="4C43F026">
      <w:pPr>
        <w:pStyle w:val="49"/>
        <w:numPr>
          <w:ilvl w:val="0"/>
          <w:numId w:val="16"/>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所有以下工序，承包商必须在不影响已施工完成的分期的正常运作下进行：</w:t>
      </w:r>
    </w:p>
    <w:p w14:paraId="30A4741D">
      <w:pPr>
        <w:pStyle w:val="50"/>
        <w:numPr>
          <w:ilvl w:val="0"/>
          <w:numId w:val="17"/>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本合约内的供配电工程系统，于各分期之间的连接、接驳、测试等工序，包括需要接驳至共用的监控屏等工序；</w:t>
      </w:r>
    </w:p>
    <w:p w14:paraId="2B168DC1">
      <w:pPr>
        <w:pStyle w:val="50"/>
        <w:numPr>
          <w:ilvl w:val="0"/>
          <w:numId w:val="17"/>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如果必须暂停运作已施工完成的分期的任何机电系统，必须在暂停运作有关机电系统前，尽早向监理及发保方提出书面申请，所需提前时间视情况而定，机电系统所容许的暂停运作时间，必须与监理及发保方协商确定。</w:t>
      </w:r>
    </w:p>
    <w:p w14:paraId="5A1EE22A">
      <w:pPr>
        <w:pStyle w:val="50"/>
        <w:numPr>
          <w:ilvl w:val="0"/>
          <w:numId w:val="17"/>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hAnsi="仿宋_GB2312" w:cs="仿宋_GB2312"/>
          <w:color w:val="auto"/>
          <w:kern w:val="2"/>
          <w:sz w:val="24"/>
          <w:szCs w:val="24"/>
          <w:highlight w:val="none"/>
        </w:rPr>
        <w:t>因永电高压接驳点和临电高压接驳点为同一接驳点，需临电高压接驳点拆除后转换为永电高压接驳点，外电送电应保证24h内完成永临转换，保证现场用电不断电，若因24h转换不成功影响现场生产，永电单位应付相应的责任。</w:t>
      </w:r>
    </w:p>
    <w:p w14:paraId="4645F44D">
      <w:pPr>
        <w:pStyle w:val="49"/>
        <w:numPr>
          <w:ilvl w:val="0"/>
          <w:numId w:val="16"/>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基于上述情况，承包商应避免于各分期之间进行不必要的机电系统连接、接驳、测试等工序；承包商应尽量保持本合约内的供配电工程系统的运作，于各分期的独立性。</w:t>
      </w:r>
    </w:p>
    <w:p w14:paraId="134A159A">
      <w:pPr>
        <w:pStyle w:val="49"/>
        <w:numPr>
          <w:ilvl w:val="0"/>
          <w:numId w:val="16"/>
        </w:numPr>
        <w:spacing w:line="360" w:lineRule="auto"/>
        <w:ind w:left="0" w:leftChars="0"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对于因政府有关部门或市政公司的规则制度的约束，承包单位所承担的工程必须全部或部分完成后方可运行的情况，承包单位须于回标文件明确说明。</w:t>
      </w:r>
    </w:p>
    <w:p w14:paraId="5AA948B0">
      <w:pPr>
        <w:pStyle w:val="49"/>
        <w:numPr>
          <w:ilvl w:val="0"/>
          <w:numId w:val="16"/>
        </w:numPr>
        <w:spacing w:line="360" w:lineRule="auto"/>
        <w:ind w:left="0" w:leftChars="0" w:firstLine="480" w:firstLineChars="200"/>
        <w:rPr>
          <w:rFonts w:hint="eastAsia" w:hAnsi="仿宋_GB2312" w:cs="仿宋_GB2312"/>
          <w:color w:val="auto"/>
          <w:sz w:val="24"/>
          <w:szCs w:val="24"/>
          <w:highlight w:val="none"/>
        </w:rPr>
      </w:pPr>
      <w:r>
        <w:rPr>
          <w:rFonts w:hint="eastAsia" w:ascii="仿宋_GB2312" w:hAnsi="仿宋_GB2312" w:eastAsia="仿宋_GB2312" w:cs="仿宋_GB2312"/>
          <w:color w:val="auto"/>
          <w:kern w:val="2"/>
          <w:sz w:val="24"/>
          <w:szCs w:val="24"/>
          <w:highlight w:val="none"/>
        </w:rPr>
        <w:t>承包商必须配合实际情况，根据施工招标图纸作出施工深化设计，以配合上述分期施工、测试、验收及竣工的安排。</w:t>
      </w:r>
    </w:p>
    <w:p w14:paraId="304D5C7A">
      <w:pPr>
        <w:pStyle w:val="49"/>
        <w:spacing w:line="360" w:lineRule="auto"/>
        <w:ind w:left="0" w:leftChars="0" w:firstLine="480" w:firstLineChars="200"/>
        <w:rPr>
          <w:rFonts w:hint="eastAsia" w:ascii="宋体" w:hAnsi="宋体" w:eastAsia="宋体" w:cs="仿宋_GB2312"/>
          <w:color w:val="auto"/>
          <w:kern w:val="2"/>
          <w:sz w:val="24"/>
          <w:szCs w:val="24"/>
          <w:highlight w:val="none"/>
        </w:rPr>
      </w:pPr>
    </w:p>
    <w:p w14:paraId="648AEEF0">
      <w:pPr>
        <w:spacing w:line="360" w:lineRule="auto"/>
        <w:ind w:firstLine="420" w:firstLineChars="200"/>
        <w:rPr>
          <w:rFonts w:hint="default" w:eastAsiaTheme="minorEastAsia"/>
          <w:color w:val="auto"/>
          <w:highlight w:val="none"/>
          <w:lang w:val="en-US" w:eastAsia="zh-CN"/>
        </w:rPr>
      </w:pPr>
    </w:p>
    <w:p w14:paraId="5FD778A0">
      <w:pPr>
        <w:rPr>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4CFBA">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DC00FAF">
                          <w:pPr>
                            <w:pStyle w:val="13"/>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2DC00FAF">
                    <w:pPr>
                      <w:pStyle w:val="13"/>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6CF3A">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2AB3EC8">
                          <w:pPr>
                            <w:pStyle w:val="13"/>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62AB3EC8">
                    <w:pPr>
                      <w:pStyle w:val="13"/>
                    </w:pPr>
                    <w:r>
                      <w:fldChar w:fldCharType="begin"/>
                    </w:r>
                    <w:r>
                      <w:instrText xml:space="preserve"> PAGE  \* MERGEFORMAT </w:instrText>
                    </w:r>
                    <w:r>
                      <w:fldChar w:fldCharType="separate"/>
                    </w:r>
                    <w:r>
                      <w:t>40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00000002"/>
    <w:multiLevelType w:val="multilevel"/>
    <w:tmpl w:val="00000002"/>
    <w:lvl w:ilvl="0" w:tentative="0">
      <w:start w:val="1"/>
      <w:numFmt w:val="decimal"/>
      <w:pStyle w:val="17"/>
      <w:suff w:val="nothing"/>
      <w:lvlText w:val="%1."/>
      <w:lvlJc w:val="left"/>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D617F3D"/>
    <w:multiLevelType w:val="multilevel"/>
    <w:tmpl w:val="0D617F3D"/>
    <w:lvl w:ilvl="0" w:tentative="0">
      <w:start w:val="1"/>
      <w:numFmt w:val="decimal"/>
      <w:lvlText w:val="%1."/>
      <w:lvlJc w:val="left"/>
      <w:pPr>
        <w:ind w:left="2120" w:hanging="420"/>
      </w:pPr>
    </w:lvl>
    <w:lvl w:ilvl="1" w:tentative="0">
      <w:start w:val="1"/>
      <w:numFmt w:val="lowerLetter"/>
      <w:lvlText w:val="%2)"/>
      <w:lvlJc w:val="left"/>
      <w:pPr>
        <w:ind w:left="2540" w:hanging="420"/>
      </w:pPr>
    </w:lvl>
    <w:lvl w:ilvl="2" w:tentative="0">
      <w:start w:val="1"/>
      <w:numFmt w:val="lowerRoman"/>
      <w:lvlText w:val="%3."/>
      <w:lvlJc w:val="right"/>
      <w:pPr>
        <w:ind w:left="2960" w:hanging="420"/>
      </w:pPr>
    </w:lvl>
    <w:lvl w:ilvl="3" w:tentative="0">
      <w:start w:val="1"/>
      <w:numFmt w:val="decimal"/>
      <w:lvlText w:val="%4."/>
      <w:lvlJc w:val="left"/>
      <w:pPr>
        <w:ind w:left="3380" w:hanging="420"/>
      </w:pPr>
    </w:lvl>
    <w:lvl w:ilvl="4" w:tentative="0">
      <w:start w:val="1"/>
      <w:numFmt w:val="lowerLetter"/>
      <w:lvlText w:val="%5)"/>
      <w:lvlJc w:val="left"/>
      <w:pPr>
        <w:ind w:left="3800" w:hanging="420"/>
      </w:pPr>
    </w:lvl>
    <w:lvl w:ilvl="5" w:tentative="0">
      <w:start w:val="1"/>
      <w:numFmt w:val="lowerRoman"/>
      <w:lvlText w:val="%6."/>
      <w:lvlJc w:val="right"/>
      <w:pPr>
        <w:ind w:left="4220" w:hanging="420"/>
      </w:pPr>
    </w:lvl>
    <w:lvl w:ilvl="6" w:tentative="0">
      <w:start w:val="1"/>
      <w:numFmt w:val="decimal"/>
      <w:lvlText w:val="%7."/>
      <w:lvlJc w:val="left"/>
      <w:pPr>
        <w:ind w:left="4640" w:hanging="420"/>
      </w:pPr>
    </w:lvl>
    <w:lvl w:ilvl="7" w:tentative="0">
      <w:start w:val="1"/>
      <w:numFmt w:val="lowerLetter"/>
      <w:lvlText w:val="%8)"/>
      <w:lvlJc w:val="left"/>
      <w:pPr>
        <w:ind w:left="5060" w:hanging="420"/>
      </w:pPr>
    </w:lvl>
    <w:lvl w:ilvl="8" w:tentative="0">
      <w:start w:val="1"/>
      <w:numFmt w:val="lowerRoman"/>
      <w:lvlText w:val="%9."/>
      <w:lvlJc w:val="right"/>
      <w:pPr>
        <w:ind w:left="5480" w:hanging="420"/>
      </w:pPr>
    </w:lvl>
  </w:abstractNum>
  <w:abstractNum w:abstractNumId="3">
    <w:nsid w:val="155463F1"/>
    <w:multiLevelType w:val="multilevel"/>
    <w:tmpl w:val="155463F1"/>
    <w:lvl w:ilvl="0" w:tentative="0">
      <w:start w:val="1"/>
      <w:numFmt w:val="decimal"/>
      <w:lvlText w:val="%1)"/>
      <w:lvlJc w:val="left"/>
      <w:pPr>
        <w:ind w:left="2360" w:hanging="420"/>
      </w:pPr>
    </w:lvl>
    <w:lvl w:ilvl="1" w:tentative="0">
      <w:start w:val="1"/>
      <w:numFmt w:val="lowerLetter"/>
      <w:lvlText w:val="%2)"/>
      <w:lvlJc w:val="left"/>
      <w:pPr>
        <w:ind w:left="2780" w:hanging="420"/>
      </w:pPr>
    </w:lvl>
    <w:lvl w:ilvl="2" w:tentative="0">
      <w:start w:val="1"/>
      <w:numFmt w:val="lowerRoman"/>
      <w:lvlText w:val="%3."/>
      <w:lvlJc w:val="right"/>
      <w:pPr>
        <w:ind w:left="3200" w:hanging="420"/>
      </w:pPr>
    </w:lvl>
    <w:lvl w:ilvl="3" w:tentative="0">
      <w:start w:val="1"/>
      <w:numFmt w:val="decimal"/>
      <w:lvlText w:val="%4."/>
      <w:lvlJc w:val="left"/>
      <w:pPr>
        <w:ind w:left="3620" w:hanging="420"/>
      </w:pPr>
    </w:lvl>
    <w:lvl w:ilvl="4" w:tentative="0">
      <w:start w:val="1"/>
      <w:numFmt w:val="lowerLetter"/>
      <w:lvlText w:val="%5)"/>
      <w:lvlJc w:val="left"/>
      <w:pPr>
        <w:ind w:left="4040" w:hanging="420"/>
      </w:pPr>
    </w:lvl>
    <w:lvl w:ilvl="5" w:tentative="0">
      <w:start w:val="1"/>
      <w:numFmt w:val="lowerRoman"/>
      <w:lvlText w:val="%6."/>
      <w:lvlJc w:val="right"/>
      <w:pPr>
        <w:ind w:left="4460" w:hanging="420"/>
      </w:pPr>
    </w:lvl>
    <w:lvl w:ilvl="6" w:tentative="0">
      <w:start w:val="1"/>
      <w:numFmt w:val="decimal"/>
      <w:lvlText w:val="%7."/>
      <w:lvlJc w:val="left"/>
      <w:pPr>
        <w:ind w:left="4880" w:hanging="420"/>
      </w:pPr>
    </w:lvl>
    <w:lvl w:ilvl="7" w:tentative="0">
      <w:start w:val="1"/>
      <w:numFmt w:val="lowerLetter"/>
      <w:lvlText w:val="%8)"/>
      <w:lvlJc w:val="left"/>
      <w:pPr>
        <w:ind w:left="5300" w:hanging="420"/>
      </w:pPr>
    </w:lvl>
    <w:lvl w:ilvl="8" w:tentative="0">
      <w:start w:val="1"/>
      <w:numFmt w:val="lowerRoman"/>
      <w:lvlText w:val="%9."/>
      <w:lvlJc w:val="right"/>
      <w:pPr>
        <w:ind w:left="5720" w:hanging="420"/>
      </w:pPr>
    </w:lvl>
  </w:abstractNum>
  <w:abstractNum w:abstractNumId="4">
    <w:nsid w:val="18291942"/>
    <w:multiLevelType w:val="multilevel"/>
    <w:tmpl w:val="18291942"/>
    <w:lvl w:ilvl="0" w:tentative="0">
      <w:start w:val="1"/>
      <w:numFmt w:val="decimal"/>
      <w:lvlText w:val="%1)"/>
      <w:lvlJc w:val="left"/>
      <w:pPr>
        <w:ind w:left="1700" w:hanging="420"/>
      </w:pPr>
      <w:rPr>
        <w:rFonts w:hint="eastAsia" w:cs="Times New Roman"/>
      </w:rPr>
    </w:lvl>
    <w:lvl w:ilvl="1" w:tentative="0">
      <w:start w:val="1"/>
      <w:numFmt w:val="lowerLetter"/>
      <w:lvlText w:val="%2)"/>
      <w:lvlJc w:val="left"/>
      <w:pPr>
        <w:ind w:left="2120" w:hanging="420"/>
      </w:pPr>
    </w:lvl>
    <w:lvl w:ilvl="2" w:tentative="0">
      <w:start w:val="1"/>
      <w:numFmt w:val="lowerRoman"/>
      <w:lvlText w:val="%3."/>
      <w:lvlJc w:val="right"/>
      <w:pPr>
        <w:ind w:left="2540" w:hanging="420"/>
      </w:p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
    <w:nsid w:val="25137309"/>
    <w:multiLevelType w:val="multilevel"/>
    <w:tmpl w:val="25137309"/>
    <w:lvl w:ilvl="0" w:tentative="0">
      <w:start w:val="1"/>
      <w:numFmt w:val="decimal"/>
      <w:lvlText w:val="%1)"/>
      <w:lvlJc w:val="left"/>
      <w:pPr>
        <w:ind w:left="1700" w:hanging="420"/>
      </w:pPr>
      <w:rPr>
        <w:rFonts w:hint="eastAsia" w:cs="Times New Roman"/>
      </w:rPr>
    </w:lvl>
    <w:lvl w:ilvl="1" w:tentative="0">
      <w:start w:val="1"/>
      <w:numFmt w:val="lowerLetter"/>
      <w:lvlText w:val="%2)"/>
      <w:lvlJc w:val="left"/>
      <w:pPr>
        <w:ind w:left="2120" w:hanging="420"/>
      </w:pPr>
    </w:lvl>
    <w:lvl w:ilvl="2" w:tentative="0">
      <w:start w:val="1"/>
      <w:numFmt w:val="lowerRoman"/>
      <w:lvlText w:val="%3."/>
      <w:lvlJc w:val="right"/>
      <w:pPr>
        <w:ind w:left="2540" w:hanging="420"/>
      </w:p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6">
    <w:nsid w:val="272D2272"/>
    <w:multiLevelType w:val="multilevel"/>
    <w:tmpl w:val="272D2272"/>
    <w:lvl w:ilvl="0" w:tentative="0">
      <w:start w:val="1"/>
      <w:numFmt w:val="decimal"/>
      <w:lvlText w:val="%1)"/>
      <w:lvlJc w:val="left"/>
      <w:pPr>
        <w:ind w:left="2360" w:hanging="420"/>
      </w:pPr>
    </w:lvl>
    <w:lvl w:ilvl="1" w:tentative="0">
      <w:start w:val="1"/>
      <w:numFmt w:val="lowerLetter"/>
      <w:lvlText w:val="%2)"/>
      <w:lvlJc w:val="left"/>
      <w:pPr>
        <w:ind w:left="2780" w:hanging="420"/>
      </w:pPr>
    </w:lvl>
    <w:lvl w:ilvl="2" w:tentative="0">
      <w:start w:val="1"/>
      <w:numFmt w:val="lowerRoman"/>
      <w:lvlText w:val="%3."/>
      <w:lvlJc w:val="right"/>
      <w:pPr>
        <w:ind w:left="3200" w:hanging="420"/>
      </w:pPr>
    </w:lvl>
    <w:lvl w:ilvl="3" w:tentative="0">
      <w:start w:val="1"/>
      <w:numFmt w:val="decimal"/>
      <w:lvlText w:val="%4."/>
      <w:lvlJc w:val="left"/>
      <w:pPr>
        <w:ind w:left="3620" w:hanging="420"/>
      </w:pPr>
    </w:lvl>
    <w:lvl w:ilvl="4" w:tentative="0">
      <w:start w:val="1"/>
      <w:numFmt w:val="lowerLetter"/>
      <w:lvlText w:val="%5)"/>
      <w:lvlJc w:val="left"/>
      <w:pPr>
        <w:ind w:left="4040" w:hanging="420"/>
      </w:pPr>
    </w:lvl>
    <w:lvl w:ilvl="5" w:tentative="0">
      <w:start w:val="1"/>
      <w:numFmt w:val="lowerRoman"/>
      <w:lvlText w:val="%6."/>
      <w:lvlJc w:val="right"/>
      <w:pPr>
        <w:ind w:left="4460" w:hanging="420"/>
      </w:pPr>
    </w:lvl>
    <w:lvl w:ilvl="6" w:tentative="0">
      <w:start w:val="1"/>
      <w:numFmt w:val="decimal"/>
      <w:lvlText w:val="%7."/>
      <w:lvlJc w:val="left"/>
      <w:pPr>
        <w:ind w:left="4880" w:hanging="420"/>
      </w:pPr>
    </w:lvl>
    <w:lvl w:ilvl="7" w:tentative="0">
      <w:start w:val="1"/>
      <w:numFmt w:val="lowerLetter"/>
      <w:lvlText w:val="%8)"/>
      <w:lvlJc w:val="left"/>
      <w:pPr>
        <w:ind w:left="5300" w:hanging="420"/>
      </w:pPr>
    </w:lvl>
    <w:lvl w:ilvl="8" w:tentative="0">
      <w:start w:val="1"/>
      <w:numFmt w:val="lowerRoman"/>
      <w:lvlText w:val="%9."/>
      <w:lvlJc w:val="right"/>
      <w:pPr>
        <w:ind w:left="5720" w:hanging="420"/>
      </w:pPr>
    </w:lvl>
  </w:abstractNum>
  <w:abstractNum w:abstractNumId="7">
    <w:nsid w:val="27580E9C"/>
    <w:multiLevelType w:val="multilevel"/>
    <w:tmpl w:val="27580E9C"/>
    <w:lvl w:ilvl="0" w:tentative="0">
      <w:start w:val="1"/>
      <w:numFmt w:val="decimal"/>
      <w:lvlText w:val="%1)"/>
      <w:lvlJc w:val="left"/>
      <w:pPr>
        <w:ind w:left="2360" w:hanging="420"/>
      </w:pPr>
    </w:lvl>
    <w:lvl w:ilvl="1" w:tentative="0">
      <w:start w:val="1"/>
      <w:numFmt w:val="lowerLetter"/>
      <w:lvlText w:val="%2)"/>
      <w:lvlJc w:val="left"/>
      <w:pPr>
        <w:ind w:left="2780" w:hanging="420"/>
      </w:pPr>
    </w:lvl>
    <w:lvl w:ilvl="2" w:tentative="0">
      <w:start w:val="1"/>
      <w:numFmt w:val="lowerRoman"/>
      <w:lvlText w:val="%3."/>
      <w:lvlJc w:val="right"/>
      <w:pPr>
        <w:ind w:left="3200" w:hanging="420"/>
      </w:pPr>
    </w:lvl>
    <w:lvl w:ilvl="3" w:tentative="0">
      <w:start w:val="1"/>
      <w:numFmt w:val="decimal"/>
      <w:lvlText w:val="%4."/>
      <w:lvlJc w:val="left"/>
      <w:pPr>
        <w:ind w:left="3620" w:hanging="420"/>
      </w:pPr>
    </w:lvl>
    <w:lvl w:ilvl="4" w:tentative="0">
      <w:start w:val="1"/>
      <w:numFmt w:val="lowerLetter"/>
      <w:lvlText w:val="%5)"/>
      <w:lvlJc w:val="left"/>
      <w:pPr>
        <w:ind w:left="4040" w:hanging="420"/>
      </w:pPr>
    </w:lvl>
    <w:lvl w:ilvl="5" w:tentative="0">
      <w:start w:val="1"/>
      <w:numFmt w:val="lowerRoman"/>
      <w:lvlText w:val="%6."/>
      <w:lvlJc w:val="right"/>
      <w:pPr>
        <w:ind w:left="4460" w:hanging="420"/>
      </w:pPr>
    </w:lvl>
    <w:lvl w:ilvl="6" w:tentative="0">
      <w:start w:val="1"/>
      <w:numFmt w:val="decimal"/>
      <w:lvlText w:val="%7."/>
      <w:lvlJc w:val="left"/>
      <w:pPr>
        <w:ind w:left="4880" w:hanging="420"/>
      </w:pPr>
    </w:lvl>
    <w:lvl w:ilvl="7" w:tentative="0">
      <w:start w:val="1"/>
      <w:numFmt w:val="lowerLetter"/>
      <w:lvlText w:val="%8)"/>
      <w:lvlJc w:val="left"/>
      <w:pPr>
        <w:ind w:left="5300" w:hanging="420"/>
      </w:pPr>
    </w:lvl>
    <w:lvl w:ilvl="8" w:tentative="0">
      <w:start w:val="1"/>
      <w:numFmt w:val="lowerRoman"/>
      <w:lvlText w:val="%9."/>
      <w:lvlJc w:val="right"/>
      <w:pPr>
        <w:ind w:left="5720" w:hanging="420"/>
      </w:pPr>
    </w:lvl>
  </w:abstractNum>
  <w:abstractNum w:abstractNumId="8">
    <w:nsid w:val="355E2009"/>
    <w:multiLevelType w:val="multilevel"/>
    <w:tmpl w:val="355E2009"/>
    <w:lvl w:ilvl="0" w:tentative="0">
      <w:start w:val="1"/>
      <w:numFmt w:val="decimal"/>
      <w:lvlText w:val="%1)"/>
      <w:lvlJc w:val="left"/>
      <w:pPr>
        <w:ind w:left="1700" w:hanging="420"/>
      </w:pPr>
      <w:rPr>
        <w:rFonts w:hint="eastAsia" w:cs="Times New Roman"/>
        <w:color w:val="auto"/>
        <w:sz w:val="21"/>
        <w:szCs w:val="21"/>
      </w:rPr>
    </w:lvl>
    <w:lvl w:ilvl="1" w:tentative="0">
      <w:start w:val="1"/>
      <w:numFmt w:val="lowerLetter"/>
      <w:lvlText w:val="%2)"/>
      <w:lvlJc w:val="left"/>
      <w:pPr>
        <w:ind w:left="2120" w:hanging="420"/>
      </w:pPr>
    </w:lvl>
    <w:lvl w:ilvl="2" w:tentative="0">
      <w:start w:val="1"/>
      <w:numFmt w:val="lowerRoman"/>
      <w:lvlText w:val="%3."/>
      <w:lvlJc w:val="right"/>
      <w:pPr>
        <w:ind w:left="2540" w:hanging="420"/>
      </w:p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9">
    <w:nsid w:val="3A6569A6"/>
    <w:multiLevelType w:val="multilevel"/>
    <w:tmpl w:val="3A6569A6"/>
    <w:lvl w:ilvl="0" w:tentative="0">
      <w:start w:val="1"/>
      <w:numFmt w:val="decimal"/>
      <w:lvlText w:val="%1)"/>
      <w:lvlJc w:val="left"/>
      <w:pPr>
        <w:ind w:left="2360" w:hanging="420"/>
      </w:pPr>
    </w:lvl>
    <w:lvl w:ilvl="1" w:tentative="0">
      <w:start w:val="1"/>
      <w:numFmt w:val="lowerLetter"/>
      <w:lvlText w:val="%2)"/>
      <w:lvlJc w:val="left"/>
      <w:pPr>
        <w:ind w:left="2780" w:hanging="420"/>
      </w:pPr>
    </w:lvl>
    <w:lvl w:ilvl="2" w:tentative="0">
      <w:start w:val="1"/>
      <w:numFmt w:val="lowerRoman"/>
      <w:lvlText w:val="%3."/>
      <w:lvlJc w:val="right"/>
      <w:pPr>
        <w:ind w:left="3200" w:hanging="420"/>
      </w:pPr>
    </w:lvl>
    <w:lvl w:ilvl="3" w:tentative="0">
      <w:start w:val="1"/>
      <w:numFmt w:val="decimal"/>
      <w:lvlText w:val="%4."/>
      <w:lvlJc w:val="left"/>
      <w:pPr>
        <w:ind w:left="3620" w:hanging="420"/>
      </w:pPr>
    </w:lvl>
    <w:lvl w:ilvl="4" w:tentative="0">
      <w:start w:val="1"/>
      <w:numFmt w:val="lowerLetter"/>
      <w:lvlText w:val="%5)"/>
      <w:lvlJc w:val="left"/>
      <w:pPr>
        <w:ind w:left="4040" w:hanging="420"/>
      </w:pPr>
    </w:lvl>
    <w:lvl w:ilvl="5" w:tentative="0">
      <w:start w:val="1"/>
      <w:numFmt w:val="lowerRoman"/>
      <w:lvlText w:val="%6."/>
      <w:lvlJc w:val="right"/>
      <w:pPr>
        <w:ind w:left="4460" w:hanging="420"/>
      </w:pPr>
    </w:lvl>
    <w:lvl w:ilvl="6" w:tentative="0">
      <w:start w:val="1"/>
      <w:numFmt w:val="decimal"/>
      <w:lvlText w:val="%7."/>
      <w:lvlJc w:val="left"/>
      <w:pPr>
        <w:ind w:left="4880" w:hanging="420"/>
      </w:pPr>
    </w:lvl>
    <w:lvl w:ilvl="7" w:tentative="0">
      <w:start w:val="1"/>
      <w:numFmt w:val="lowerLetter"/>
      <w:lvlText w:val="%8)"/>
      <w:lvlJc w:val="left"/>
      <w:pPr>
        <w:ind w:left="5300" w:hanging="420"/>
      </w:pPr>
    </w:lvl>
    <w:lvl w:ilvl="8" w:tentative="0">
      <w:start w:val="1"/>
      <w:numFmt w:val="lowerRoman"/>
      <w:lvlText w:val="%9."/>
      <w:lvlJc w:val="right"/>
      <w:pPr>
        <w:ind w:left="5720" w:hanging="420"/>
      </w:pPr>
    </w:lvl>
  </w:abstractNum>
  <w:abstractNum w:abstractNumId="10">
    <w:nsid w:val="49172F8F"/>
    <w:multiLevelType w:val="multilevel"/>
    <w:tmpl w:val="49172F8F"/>
    <w:lvl w:ilvl="0" w:tentative="0">
      <w:start w:val="1"/>
      <w:numFmt w:val="decimal"/>
      <w:lvlText w:val="%1)"/>
      <w:lvlJc w:val="left"/>
      <w:pPr>
        <w:ind w:left="2360" w:hanging="420"/>
      </w:pPr>
    </w:lvl>
    <w:lvl w:ilvl="1" w:tentative="0">
      <w:start w:val="1"/>
      <w:numFmt w:val="lowerLetter"/>
      <w:lvlText w:val="%2)"/>
      <w:lvlJc w:val="left"/>
      <w:pPr>
        <w:ind w:left="2780" w:hanging="420"/>
      </w:pPr>
    </w:lvl>
    <w:lvl w:ilvl="2" w:tentative="0">
      <w:start w:val="1"/>
      <w:numFmt w:val="lowerRoman"/>
      <w:lvlText w:val="%3."/>
      <w:lvlJc w:val="right"/>
      <w:pPr>
        <w:ind w:left="3200" w:hanging="420"/>
      </w:pPr>
    </w:lvl>
    <w:lvl w:ilvl="3" w:tentative="0">
      <w:start w:val="1"/>
      <w:numFmt w:val="decimal"/>
      <w:lvlText w:val="%4."/>
      <w:lvlJc w:val="left"/>
      <w:pPr>
        <w:ind w:left="3620" w:hanging="420"/>
      </w:pPr>
    </w:lvl>
    <w:lvl w:ilvl="4" w:tentative="0">
      <w:start w:val="1"/>
      <w:numFmt w:val="lowerLetter"/>
      <w:lvlText w:val="%5)"/>
      <w:lvlJc w:val="left"/>
      <w:pPr>
        <w:ind w:left="4040" w:hanging="420"/>
      </w:pPr>
    </w:lvl>
    <w:lvl w:ilvl="5" w:tentative="0">
      <w:start w:val="1"/>
      <w:numFmt w:val="lowerRoman"/>
      <w:lvlText w:val="%6."/>
      <w:lvlJc w:val="right"/>
      <w:pPr>
        <w:ind w:left="4460" w:hanging="420"/>
      </w:pPr>
    </w:lvl>
    <w:lvl w:ilvl="6" w:tentative="0">
      <w:start w:val="1"/>
      <w:numFmt w:val="decimal"/>
      <w:lvlText w:val="%7."/>
      <w:lvlJc w:val="left"/>
      <w:pPr>
        <w:ind w:left="4880" w:hanging="420"/>
      </w:pPr>
    </w:lvl>
    <w:lvl w:ilvl="7" w:tentative="0">
      <w:start w:val="1"/>
      <w:numFmt w:val="lowerLetter"/>
      <w:lvlText w:val="%8)"/>
      <w:lvlJc w:val="left"/>
      <w:pPr>
        <w:ind w:left="5300" w:hanging="420"/>
      </w:pPr>
    </w:lvl>
    <w:lvl w:ilvl="8" w:tentative="0">
      <w:start w:val="1"/>
      <w:numFmt w:val="lowerRoman"/>
      <w:lvlText w:val="%9."/>
      <w:lvlJc w:val="right"/>
      <w:pPr>
        <w:ind w:left="5720" w:hanging="420"/>
      </w:pPr>
    </w:lvl>
  </w:abstractNum>
  <w:abstractNum w:abstractNumId="11">
    <w:nsid w:val="4D852099"/>
    <w:multiLevelType w:val="multilevel"/>
    <w:tmpl w:val="4D852099"/>
    <w:lvl w:ilvl="0" w:tentative="0">
      <w:start w:val="1"/>
      <w:numFmt w:val="decimal"/>
      <w:lvlText w:val="%1."/>
      <w:lvlJc w:val="left"/>
      <w:pPr>
        <w:ind w:left="425" w:hanging="425"/>
      </w:pPr>
      <w:rPr>
        <w:rFonts w:hint="eastAsia"/>
        <w:b/>
      </w:rPr>
    </w:lvl>
    <w:lvl w:ilvl="1" w:tentative="0">
      <w:start w:val="1"/>
      <w:numFmt w:val="decimal"/>
      <w:lvlText w:val="%1.%2."/>
      <w:lvlJc w:val="left"/>
      <w:pPr>
        <w:ind w:left="567" w:hanging="567"/>
      </w:pPr>
    </w:lvl>
    <w:lvl w:ilvl="2" w:tentative="0">
      <w:start w:val="1"/>
      <w:numFmt w:val="decimal"/>
      <w:pStyle w:val="5"/>
      <w:lvlText w:val="%1.%2.%3."/>
      <w:lvlJc w:val="left"/>
      <w:pPr>
        <w:ind w:left="709" w:hanging="709"/>
      </w:pPr>
    </w:lvl>
    <w:lvl w:ilvl="3" w:tentative="0">
      <w:start w:val="1"/>
      <w:numFmt w:val="decimal"/>
      <w:lvlText w:val="%1.%2.%3.%4."/>
      <w:lvlJc w:val="left"/>
      <w:pPr>
        <w:ind w:left="1702"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4DDF1D73"/>
    <w:multiLevelType w:val="multilevel"/>
    <w:tmpl w:val="4DDF1D73"/>
    <w:lvl w:ilvl="0" w:tentative="0">
      <w:start w:val="1"/>
      <w:numFmt w:val="decimal"/>
      <w:lvlText w:val="%1)"/>
      <w:lvlJc w:val="left"/>
      <w:pPr>
        <w:ind w:left="2360" w:hanging="420"/>
      </w:pPr>
    </w:lvl>
    <w:lvl w:ilvl="1" w:tentative="0">
      <w:start w:val="1"/>
      <w:numFmt w:val="lowerLetter"/>
      <w:lvlText w:val="%2)"/>
      <w:lvlJc w:val="left"/>
      <w:pPr>
        <w:ind w:left="2780" w:hanging="420"/>
      </w:pPr>
    </w:lvl>
    <w:lvl w:ilvl="2" w:tentative="0">
      <w:start w:val="1"/>
      <w:numFmt w:val="lowerRoman"/>
      <w:lvlText w:val="%3."/>
      <w:lvlJc w:val="right"/>
      <w:pPr>
        <w:ind w:left="3200" w:hanging="420"/>
      </w:pPr>
    </w:lvl>
    <w:lvl w:ilvl="3" w:tentative="0">
      <w:start w:val="1"/>
      <w:numFmt w:val="decimal"/>
      <w:lvlText w:val="%4."/>
      <w:lvlJc w:val="left"/>
      <w:pPr>
        <w:ind w:left="3620" w:hanging="420"/>
      </w:pPr>
    </w:lvl>
    <w:lvl w:ilvl="4" w:tentative="0">
      <w:start w:val="1"/>
      <w:numFmt w:val="lowerLetter"/>
      <w:lvlText w:val="%5)"/>
      <w:lvlJc w:val="left"/>
      <w:pPr>
        <w:ind w:left="4040" w:hanging="420"/>
      </w:pPr>
    </w:lvl>
    <w:lvl w:ilvl="5" w:tentative="0">
      <w:start w:val="1"/>
      <w:numFmt w:val="lowerRoman"/>
      <w:lvlText w:val="%6."/>
      <w:lvlJc w:val="right"/>
      <w:pPr>
        <w:ind w:left="4460" w:hanging="420"/>
      </w:pPr>
    </w:lvl>
    <w:lvl w:ilvl="6" w:tentative="0">
      <w:start w:val="1"/>
      <w:numFmt w:val="decimal"/>
      <w:lvlText w:val="%7."/>
      <w:lvlJc w:val="left"/>
      <w:pPr>
        <w:ind w:left="4880" w:hanging="420"/>
      </w:pPr>
    </w:lvl>
    <w:lvl w:ilvl="7" w:tentative="0">
      <w:start w:val="1"/>
      <w:numFmt w:val="lowerLetter"/>
      <w:lvlText w:val="%8)"/>
      <w:lvlJc w:val="left"/>
      <w:pPr>
        <w:ind w:left="5300" w:hanging="420"/>
      </w:pPr>
    </w:lvl>
    <w:lvl w:ilvl="8" w:tentative="0">
      <w:start w:val="1"/>
      <w:numFmt w:val="lowerRoman"/>
      <w:lvlText w:val="%9."/>
      <w:lvlJc w:val="right"/>
      <w:pPr>
        <w:ind w:left="5720" w:hanging="420"/>
      </w:pPr>
    </w:lvl>
  </w:abstractNum>
  <w:abstractNum w:abstractNumId="13">
    <w:nsid w:val="591A140F"/>
    <w:multiLevelType w:val="multilevel"/>
    <w:tmpl w:val="591A140F"/>
    <w:lvl w:ilvl="0" w:tentative="0">
      <w:start w:val="1"/>
      <w:numFmt w:val="decimal"/>
      <w:lvlText w:val="%1)"/>
      <w:lvlJc w:val="left"/>
      <w:pPr>
        <w:tabs>
          <w:tab w:val="left" w:pos="-1680"/>
        </w:tabs>
        <w:ind w:left="20" w:hanging="420"/>
      </w:pPr>
      <w:rPr>
        <w:rFonts w:hint="eastAsia" w:cs="Times New Roman"/>
        <w:sz w:val="21"/>
        <w:szCs w:val="21"/>
      </w:rPr>
    </w:lvl>
    <w:lvl w:ilvl="1" w:tentative="0">
      <w:start w:val="1"/>
      <w:numFmt w:val="lowerLetter"/>
      <w:lvlText w:val="%2)"/>
      <w:lvlJc w:val="left"/>
      <w:pPr>
        <w:tabs>
          <w:tab w:val="left" w:pos="-1680"/>
        </w:tabs>
        <w:ind w:left="440" w:hanging="420"/>
      </w:pPr>
    </w:lvl>
    <w:lvl w:ilvl="2" w:tentative="0">
      <w:start w:val="1"/>
      <w:numFmt w:val="lowerRoman"/>
      <w:lvlText w:val="%3."/>
      <w:lvlJc w:val="right"/>
      <w:pPr>
        <w:tabs>
          <w:tab w:val="left" w:pos="-1680"/>
        </w:tabs>
        <w:ind w:left="860" w:hanging="420"/>
      </w:pPr>
    </w:lvl>
    <w:lvl w:ilvl="3" w:tentative="0">
      <w:start w:val="1"/>
      <w:numFmt w:val="decimal"/>
      <w:lvlText w:val="%4."/>
      <w:lvlJc w:val="left"/>
      <w:pPr>
        <w:tabs>
          <w:tab w:val="left" w:pos="-1680"/>
        </w:tabs>
        <w:ind w:left="1280" w:hanging="420"/>
      </w:pPr>
    </w:lvl>
    <w:lvl w:ilvl="4" w:tentative="0">
      <w:start w:val="1"/>
      <w:numFmt w:val="lowerLetter"/>
      <w:lvlText w:val="%5)"/>
      <w:lvlJc w:val="left"/>
      <w:pPr>
        <w:tabs>
          <w:tab w:val="left" w:pos="-1680"/>
        </w:tabs>
        <w:ind w:left="1700" w:hanging="420"/>
      </w:pPr>
    </w:lvl>
    <w:lvl w:ilvl="5" w:tentative="0">
      <w:start w:val="1"/>
      <w:numFmt w:val="lowerRoman"/>
      <w:lvlText w:val="%6."/>
      <w:lvlJc w:val="right"/>
      <w:pPr>
        <w:tabs>
          <w:tab w:val="left" w:pos="-1680"/>
        </w:tabs>
        <w:ind w:left="2120" w:hanging="420"/>
      </w:pPr>
    </w:lvl>
    <w:lvl w:ilvl="6" w:tentative="0">
      <w:start w:val="1"/>
      <w:numFmt w:val="decimal"/>
      <w:lvlText w:val="%7."/>
      <w:lvlJc w:val="left"/>
      <w:pPr>
        <w:tabs>
          <w:tab w:val="left" w:pos="-1680"/>
        </w:tabs>
        <w:ind w:left="2540" w:hanging="420"/>
      </w:pPr>
    </w:lvl>
    <w:lvl w:ilvl="7" w:tentative="0">
      <w:start w:val="1"/>
      <w:numFmt w:val="lowerLetter"/>
      <w:lvlText w:val="%8)"/>
      <w:lvlJc w:val="left"/>
      <w:pPr>
        <w:tabs>
          <w:tab w:val="left" w:pos="-1680"/>
        </w:tabs>
        <w:ind w:left="2960" w:hanging="420"/>
      </w:pPr>
    </w:lvl>
    <w:lvl w:ilvl="8" w:tentative="0">
      <w:start w:val="1"/>
      <w:numFmt w:val="lowerRoman"/>
      <w:lvlText w:val="%9."/>
      <w:lvlJc w:val="right"/>
      <w:pPr>
        <w:tabs>
          <w:tab w:val="left" w:pos="-1680"/>
        </w:tabs>
        <w:ind w:left="3380" w:hanging="420"/>
      </w:pPr>
    </w:lvl>
  </w:abstractNum>
  <w:abstractNum w:abstractNumId="14">
    <w:nsid w:val="71BD1A65"/>
    <w:multiLevelType w:val="singleLevel"/>
    <w:tmpl w:val="71BD1A65"/>
    <w:lvl w:ilvl="0" w:tentative="0">
      <w:start w:val="1"/>
      <w:numFmt w:val="chineseCounting"/>
      <w:suff w:val="nothing"/>
      <w:lvlText w:val="%1、"/>
      <w:lvlJc w:val="left"/>
      <w:rPr>
        <w:rFonts w:hint="eastAsia"/>
      </w:rPr>
    </w:lvl>
  </w:abstractNum>
  <w:abstractNum w:abstractNumId="15">
    <w:nsid w:val="77DC01E7"/>
    <w:multiLevelType w:val="multilevel"/>
    <w:tmpl w:val="77DC01E7"/>
    <w:lvl w:ilvl="0" w:tentative="0">
      <w:start w:val="1"/>
      <w:numFmt w:val="decimal"/>
      <w:lvlText w:val="%1."/>
      <w:lvlJc w:val="left"/>
      <w:pPr>
        <w:ind w:left="2120" w:hanging="420"/>
      </w:pPr>
    </w:lvl>
    <w:lvl w:ilvl="1" w:tentative="0">
      <w:start w:val="1"/>
      <w:numFmt w:val="lowerLetter"/>
      <w:lvlText w:val="%2)"/>
      <w:lvlJc w:val="left"/>
      <w:pPr>
        <w:ind w:left="2540" w:hanging="420"/>
      </w:pPr>
    </w:lvl>
    <w:lvl w:ilvl="2" w:tentative="0">
      <w:start w:val="1"/>
      <w:numFmt w:val="lowerRoman"/>
      <w:lvlText w:val="%3."/>
      <w:lvlJc w:val="right"/>
      <w:pPr>
        <w:ind w:left="2960" w:hanging="420"/>
      </w:pPr>
    </w:lvl>
    <w:lvl w:ilvl="3" w:tentative="0">
      <w:start w:val="1"/>
      <w:numFmt w:val="decimal"/>
      <w:lvlText w:val="%4."/>
      <w:lvlJc w:val="left"/>
      <w:pPr>
        <w:ind w:left="3380" w:hanging="420"/>
      </w:pPr>
    </w:lvl>
    <w:lvl w:ilvl="4" w:tentative="0">
      <w:start w:val="1"/>
      <w:numFmt w:val="lowerLetter"/>
      <w:lvlText w:val="%5)"/>
      <w:lvlJc w:val="left"/>
      <w:pPr>
        <w:ind w:left="3800" w:hanging="420"/>
      </w:pPr>
    </w:lvl>
    <w:lvl w:ilvl="5" w:tentative="0">
      <w:start w:val="1"/>
      <w:numFmt w:val="lowerRoman"/>
      <w:lvlText w:val="%6."/>
      <w:lvlJc w:val="right"/>
      <w:pPr>
        <w:ind w:left="4220" w:hanging="420"/>
      </w:pPr>
    </w:lvl>
    <w:lvl w:ilvl="6" w:tentative="0">
      <w:start w:val="1"/>
      <w:numFmt w:val="decimal"/>
      <w:lvlText w:val="%7."/>
      <w:lvlJc w:val="left"/>
      <w:pPr>
        <w:ind w:left="4640" w:hanging="420"/>
      </w:pPr>
    </w:lvl>
    <w:lvl w:ilvl="7" w:tentative="0">
      <w:start w:val="1"/>
      <w:numFmt w:val="lowerLetter"/>
      <w:lvlText w:val="%8)"/>
      <w:lvlJc w:val="left"/>
      <w:pPr>
        <w:ind w:left="5060" w:hanging="420"/>
      </w:pPr>
    </w:lvl>
    <w:lvl w:ilvl="8" w:tentative="0">
      <w:start w:val="1"/>
      <w:numFmt w:val="lowerRoman"/>
      <w:lvlText w:val="%9."/>
      <w:lvlJc w:val="right"/>
      <w:pPr>
        <w:ind w:left="5480" w:hanging="420"/>
      </w:pPr>
    </w:lvl>
  </w:abstractNum>
  <w:abstractNum w:abstractNumId="16">
    <w:nsid w:val="7A7B36A8"/>
    <w:multiLevelType w:val="singleLevel"/>
    <w:tmpl w:val="7A7B36A8"/>
    <w:lvl w:ilvl="0" w:tentative="0">
      <w:start w:val="33"/>
      <w:numFmt w:val="decimal"/>
      <w:suff w:val="nothing"/>
      <w:lvlText w:val="%1．"/>
      <w:lvlJc w:val="left"/>
    </w:lvl>
  </w:abstractNum>
  <w:num w:numId="1">
    <w:abstractNumId w:val="11"/>
  </w:num>
  <w:num w:numId="2">
    <w:abstractNumId w:val="1"/>
  </w:num>
  <w:num w:numId="3">
    <w:abstractNumId w:val="16"/>
  </w:num>
  <w:num w:numId="4">
    <w:abstractNumId w:val="14"/>
  </w:num>
  <w:num w:numId="5">
    <w:abstractNumId w:val="0"/>
  </w:num>
  <w:num w:numId="6">
    <w:abstractNumId w:val="8"/>
  </w:num>
  <w:num w:numId="7">
    <w:abstractNumId w:val="5"/>
  </w:num>
  <w:num w:numId="8">
    <w:abstractNumId w:val="4"/>
  </w:num>
  <w:num w:numId="9">
    <w:abstractNumId w:val="13"/>
  </w:num>
  <w:num w:numId="10">
    <w:abstractNumId w:val="15"/>
  </w:num>
  <w:num w:numId="11">
    <w:abstractNumId w:val="10"/>
  </w:num>
  <w:num w:numId="12">
    <w:abstractNumId w:val="3"/>
  </w:num>
  <w:num w:numId="13">
    <w:abstractNumId w:val="12"/>
  </w:num>
  <w:num w:numId="14">
    <w:abstractNumId w:val="6"/>
  </w:num>
  <w:num w:numId="15">
    <w:abstractNumId w:val="9"/>
  </w:num>
  <w:num w:numId="16">
    <w:abstractNumId w:val="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embedSystemFonts/>
  <w:trackRevisions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wZWMxOGE0YmY2YWY1YmZjZDA3ZjQwNjk2YzI0ZDEifQ=="/>
  </w:docVars>
  <w:rsids>
    <w:rsidRoot w:val="3B6D4312"/>
    <w:rsid w:val="0002289A"/>
    <w:rsid w:val="0002557B"/>
    <w:rsid w:val="0005254F"/>
    <w:rsid w:val="000744F3"/>
    <w:rsid w:val="00085D0C"/>
    <w:rsid w:val="000B7B0A"/>
    <w:rsid w:val="000E0EC3"/>
    <w:rsid w:val="000F63F4"/>
    <w:rsid w:val="00103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269C8"/>
    <w:rsid w:val="00553FDF"/>
    <w:rsid w:val="00571117"/>
    <w:rsid w:val="005A19E6"/>
    <w:rsid w:val="005C4427"/>
    <w:rsid w:val="00641255"/>
    <w:rsid w:val="00646FE0"/>
    <w:rsid w:val="0065458C"/>
    <w:rsid w:val="0065720F"/>
    <w:rsid w:val="00697CBD"/>
    <w:rsid w:val="006A18B1"/>
    <w:rsid w:val="006D6F3B"/>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8339B"/>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1F3E"/>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7C3F9C"/>
    <w:rsid w:val="02E9680F"/>
    <w:rsid w:val="02F7533D"/>
    <w:rsid w:val="030457ED"/>
    <w:rsid w:val="03562994"/>
    <w:rsid w:val="03CB6D70"/>
    <w:rsid w:val="03ED69A2"/>
    <w:rsid w:val="04177352"/>
    <w:rsid w:val="04364A4F"/>
    <w:rsid w:val="04376975"/>
    <w:rsid w:val="04435BE0"/>
    <w:rsid w:val="044C08C6"/>
    <w:rsid w:val="04982B21"/>
    <w:rsid w:val="04E40895"/>
    <w:rsid w:val="051B7598"/>
    <w:rsid w:val="052E78DA"/>
    <w:rsid w:val="059A4101"/>
    <w:rsid w:val="067736D9"/>
    <w:rsid w:val="073972E4"/>
    <w:rsid w:val="079A3CDA"/>
    <w:rsid w:val="07AD77EA"/>
    <w:rsid w:val="07F66A4C"/>
    <w:rsid w:val="08393BA7"/>
    <w:rsid w:val="083B43B1"/>
    <w:rsid w:val="08757A2C"/>
    <w:rsid w:val="08A9464F"/>
    <w:rsid w:val="08D505E6"/>
    <w:rsid w:val="08E03A6C"/>
    <w:rsid w:val="09062DA7"/>
    <w:rsid w:val="091F7224"/>
    <w:rsid w:val="09577D3C"/>
    <w:rsid w:val="0967478B"/>
    <w:rsid w:val="09A667E8"/>
    <w:rsid w:val="0A31358E"/>
    <w:rsid w:val="0A391C3C"/>
    <w:rsid w:val="0A621C44"/>
    <w:rsid w:val="0B372B92"/>
    <w:rsid w:val="0B534F80"/>
    <w:rsid w:val="0B546680"/>
    <w:rsid w:val="0BFF40FB"/>
    <w:rsid w:val="0C315FAA"/>
    <w:rsid w:val="0C855B7E"/>
    <w:rsid w:val="0C87037B"/>
    <w:rsid w:val="0CF74903"/>
    <w:rsid w:val="0E1A5AD0"/>
    <w:rsid w:val="0E1B10A8"/>
    <w:rsid w:val="0E80564C"/>
    <w:rsid w:val="0E87496A"/>
    <w:rsid w:val="0E8C2C83"/>
    <w:rsid w:val="0EA03B8A"/>
    <w:rsid w:val="0EAC0C18"/>
    <w:rsid w:val="0EB25F9A"/>
    <w:rsid w:val="0EB83A78"/>
    <w:rsid w:val="0ED8481A"/>
    <w:rsid w:val="0F263AB3"/>
    <w:rsid w:val="0F8D0176"/>
    <w:rsid w:val="0FD73768"/>
    <w:rsid w:val="10A4638E"/>
    <w:rsid w:val="10AB649B"/>
    <w:rsid w:val="10AC4C3F"/>
    <w:rsid w:val="10D83B3D"/>
    <w:rsid w:val="11135DC8"/>
    <w:rsid w:val="11D31BC3"/>
    <w:rsid w:val="11F528ED"/>
    <w:rsid w:val="1265210E"/>
    <w:rsid w:val="12D70506"/>
    <w:rsid w:val="12E86716"/>
    <w:rsid w:val="13082AF4"/>
    <w:rsid w:val="130F5872"/>
    <w:rsid w:val="134A310C"/>
    <w:rsid w:val="13E640E2"/>
    <w:rsid w:val="13E744B7"/>
    <w:rsid w:val="14082F52"/>
    <w:rsid w:val="14085DAD"/>
    <w:rsid w:val="14233C6D"/>
    <w:rsid w:val="1435274A"/>
    <w:rsid w:val="14452035"/>
    <w:rsid w:val="1448567A"/>
    <w:rsid w:val="145B3800"/>
    <w:rsid w:val="14725C9B"/>
    <w:rsid w:val="15B036FB"/>
    <w:rsid w:val="15C40BB9"/>
    <w:rsid w:val="16007AF5"/>
    <w:rsid w:val="16E55626"/>
    <w:rsid w:val="173D0A89"/>
    <w:rsid w:val="17463991"/>
    <w:rsid w:val="179E3273"/>
    <w:rsid w:val="17E64D32"/>
    <w:rsid w:val="17E977C8"/>
    <w:rsid w:val="182C4B8E"/>
    <w:rsid w:val="1873680D"/>
    <w:rsid w:val="18E67433"/>
    <w:rsid w:val="18F12637"/>
    <w:rsid w:val="19095239"/>
    <w:rsid w:val="19A846E9"/>
    <w:rsid w:val="19BE3F0C"/>
    <w:rsid w:val="19C37774"/>
    <w:rsid w:val="1A0155B4"/>
    <w:rsid w:val="1A5A3C35"/>
    <w:rsid w:val="1A6525DA"/>
    <w:rsid w:val="1AB46DAB"/>
    <w:rsid w:val="1B6C2995"/>
    <w:rsid w:val="1BB630ED"/>
    <w:rsid w:val="1BC44893"/>
    <w:rsid w:val="1BE136FF"/>
    <w:rsid w:val="1C05708F"/>
    <w:rsid w:val="1C307374"/>
    <w:rsid w:val="1C9203A6"/>
    <w:rsid w:val="1D6E44CC"/>
    <w:rsid w:val="1D7F1C04"/>
    <w:rsid w:val="1E032835"/>
    <w:rsid w:val="1E562810"/>
    <w:rsid w:val="1E707ECB"/>
    <w:rsid w:val="1EB63404"/>
    <w:rsid w:val="1EBD45C4"/>
    <w:rsid w:val="1F1C5732"/>
    <w:rsid w:val="1F234F3D"/>
    <w:rsid w:val="1F584BD1"/>
    <w:rsid w:val="1F7A6193"/>
    <w:rsid w:val="200E0A62"/>
    <w:rsid w:val="205D447F"/>
    <w:rsid w:val="206E043A"/>
    <w:rsid w:val="20AD4C4C"/>
    <w:rsid w:val="20E35285"/>
    <w:rsid w:val="20F27029"/>
    <w:rsid w:val="21424D60"/>
    <w:rsid w:val="215321ED"/>
    <w:rsid w:val="215D5254"/>
    <w:rsid w:val="224A02E7"/>
    <w:rsid w:val="227411DF"/>
    <w:rsid w:val="22934188"/>
    <w:rsid w:val="22BB36DF"/>
    <w:rsid w:val="23EE6B47"/>
    <w:rsid w:val="24856237"/>
    <w:rsid w:val="24DD793C"/>
    <w:rsid w:val="25053D8A"/>
    <w:rsid w:val="25687B33"/>
    <w:rsid w:val="25791876"/>
    <w:rsid w:val="26236584"/>
    <w:rsid w:val="26826F29"/>
    <w:rsid w:val="26B94C66"/>
    <w:rsid w:val="26EC20B9"/>
    <w:rsid w:val="26EC46E5"/>
    <w:rsid w:val="26FF6942"/>
    <w:rsid w:val="272101A5"/>
    <w:rsid w:val="272B74FA"/>
    <w:rsid w:val="2751149E"/>
    <w:rsid w:val="2837076A"/>
    <w:rsid w:val="2865301D"/>
    <w:rsid w:val="28C86C87"/>
    <w:rsid w:val="29051210"/>
    <w:rsid w:val="29175127"/>
    <w:rsid w:val="296119D7"/>
    <w:rsid w:val="2A2D3DE1"/>
    <w:rsid w:val="2A446D64"/>
    <w:rsid w:val="2A97100B"/>
    <w:rsid w:val="2AFF2542"/>
    <w:rsid w:val="2B401296"/>
    <w:rsid w:val="2B5D2502"/>
    <w:rsid w:val="2B7B3A0B"/>
    <w:rsid w:val="2BAE6875"/>
    <w:rsid w:val="2BEC17AE"/>
    <w:rsid w:val="2C0B6D4E"/>
    <w:rsid w:val="2C1B0D4A"/>
    <w:rsid w:val="2C5357E2"/>
    <w:rsid w:val="2C842E83"/>
    <w:rsid w:val="2CD5279B"/>
    <w:rsid w:val="2D0635AD"/>
    <w:rsid w:val="2D691CC1"/>
    <w:rsid w:val="2D907150"/>
    <w:rsid w:val="2DD717BA"/>
    <w:rsid w:val="2DDB1EBF"/>
    <w:rsid w:val="2DE71DA9"/>
    <w:rsid w:val="2DF963B5"/>
    <w:rsid w:val="2E6C5CB5"/>
    <w:rsid w:val="2EA615C5"/>
    <w:rsid w:val="2EC40C57"/>
    <w:rsid w:val="2EE433BF"/>
    <w:rsid w:val="2EED69CE"/>
    <w:rsid w:val="2F740E9D"/>
    <w:rsid w:val="2F777046"/>
    <w:rsid w:val="2F9B6BBA"/>
    <w:rsid w:val="2FE96F27"/>
    <w:rsid w:val="2FEA73B1"/>
    <w:rsid w:val="30136E93"/>
    <w:rsid w:val="30334755"/>
    <w:rsid w:val="3050302C"/>
    <w:rsid w:val="30986BD2"/>
    <w:rsid w:val="309D4424"/>
    <w:rsid w:val="30EC6390"/>
    <w:rsid w:val="311233CC"/>
    <w:rsid w:val="3152520E"/>
    <w:rsid w:val="31B57180"/>
    <w:rsid w:val="326630DC"/>
    <w:rsid w:val="33062754"/>
    <w:rsid w:val="33113670"/>
    <w:rsid w:val="3392223A"/>
    <w:rsid w:val="3411535B"/>
    <w:rsid w:val="34935BA4"/>
    <w:rsid w:val="34A264CA"/>
    <w:rsid w:val="34EA24D1"/>
    <w:rsid w:val="34FA131A"/>
    <w:rsid w:val="351F18AB"/>
    <w:rsid w:val="35830B03"/>
    <w:rsid w:val="360F448A"/>
    <w:rsid w:val="3700775A"/>
    <w:rsid w:val="37A26BD4"/>
    <w:rsid w:val="37A33759"/>
    <w:rsid w:val="37AE7FE3"/>
    <w:rsid w:val="37B20151"/>
    <w:rsid w:val="37F52A06"/>
    <w:rsid w:val="383813C8"/>
    <w:rsid w:val="38417D8A"/>
    <w:rsid w:val="38EE7F12"/>
    <w:rsid w:val="390B4D39"/>
    <w:rsid w:val="39131727"/>
    <w:rsid w:val="392A6A70"/>
    <w:rsid w:val="395D16DF"/>
    <w:rsid w:val="39731517"/>
    <w:rsid w:val="3982123F"/>
    <w:rsid w:val="39F52602"/>
    <w:rsid w:val="39FC703A"/>
    <w:rsid w:val="3A1F234D"/>
    <w:rsid w:val="3AAA60BB"/>
    <w:rsid w:val="3AB74334"/>
    <w:rsid w:val="3AC802EF"/>
    <w:rsid w:val="3B183024"/>
    <w:rsid w:val="3B514788"/>
    <w:rsid w:val="3B6D4312"/>
    <w:rsid w:val="3BB718A6"/>
    <w:rsid w:val="3BBA1D8E"/>
    <w:rsid w:val="3BC04127"/>
    <w:rsid w:val="3C88543E"/>
    <w:rsid w:val="3CA436FC"/>
    <w:rsid w:val="3CB7521C"/>
    <w:rsid w:val="3CBC20D5"/>
    <w:rsid w:val="3CE76215"/>
    <w:rsid w:val="3CF92F31"/>
    <w:rsid w:val="3CFF0303"/>
    <w:rsid w:val="3D242CB8"/>
    <w:rsid w:val="3D7619F9"/>
    <w:rsid w:val="3D957982"/>
    <w:rsid w:val="3D96007A"/>
    <w:rsid w:val="3D965718"/>
    <w:rsid w:val="3DF62488"/>
    <w:rsid w:val="3DF7194C"/>
    <w:rsid w:val="3E817133"/>
    <w:rsid w:val="3ECE4B63"/>
    <w:rsid w:val="3EDC25BB"/>
    <w:rsid w:val="3EF30213"/>
    <w:rsid w:val="3F4915A0"/>
    <w:rsid w:val="3F5F332B"/>
    <w:rsid w:val="3F641BC2"/>
    <w:rsid w:val="3F8502F8"/>
    <w:rsid w:val="3FBE56FE"/>
    <w:rsid w:val="3FD704B2"/>
    <w:rsid w:val="402B37FA"/>
    <w:rsid w:val="40362DEE"/>
    <w:rsid w:val="403B7AF1"/>
    <w:rsid w:val="405854B3"/>
    <w:rsid w:val="408D1DBF"/>
    <w:rsid w:val="409313F9"/>
    <w:rsid w:val="40B7508E"/>
    <w:rsid w:val="40CA2819"/>
    <w:rsid w:val="41A25D3E"/>
    <w:rsid w:val="41EC3A6C"/>
    <w:rsid w:val="42A2655E"/>
    <w:rsid w:val="43120161"/>
    <w:rsid w:val="43420D2F"/>
    <w:rsid w:val="436C5E0D"/>
    <w:rsid w:val="437259B2"/>
    <w:rsid w:val="43952229"/>
    <w:rsid w:val="43F36E83"/>
    <w:rsid w:val="44631084"/>
    <w:rsid w:val="446A549B"/>
    <w:rsid w:val="44755126"/>
    <w:rsid w:val="44800368"/>
    <w:rsid w:val="44E26451"/>
    <w:rsid w:val="44E4666D"/>
    <w:rsid w:val="44E811C0"/>
    <w:rsid w:val="457C68A6"/>
    <w:rsid w:val="45E74C1B"/>
    <w:rsid w:val="46871AD6"/>
    <w:rsid w:val="47025D0E"/>
    <w:rsid w:val="47354B90"/>
    <w:rsid w:val="4735560E"/>
    <w:rsid w:val="47413F22"/>
    <w:rsid w:val="477359B5"/>
    <w:rsid w:val="4792678F"/>
    <w:rsid w:val="47E03B89"/>
    <w:rsid w:val="47E250E6"/>
    <w:rsid w:val="481D5A38"/>
    <w:rsid w:val="482B34F2"/>
    <w:rsid w:val="487975A7"/>
    <w:rsid w:val="48E17BF2"/>
    <w:rsid w:val="48E72086"/>
    <w:rsid w:val="49732ED5"/>
    <w:rsid w:val="499C01CA"/>
    <w:rsid w:val="49EF5898"/>
    <w:rsid w:val="4A1079FD"/>
    <w:rsid w:val="4A1D620C"/>
    <w:rsid w:val="4A2D4613"/>
    <w:rsid w:val="4A761B16"/>
    <w:rsid w:val="4AED722D"/>
    <w:rsid w:val="4B3D40BA"/>
    <w:rsid w:val="4BC136D0"/>
    <w:rsid w:val="4BF328A0"/>
    <w:rsid w:val="4C255A6B"/>
    <w:rsid w:val="4C2E17B4"/>
    <w:rsid w:val="4C372CAF"/>
    <w:rsid w:val="4C81677F"/>
    <w:rsid w:val="4D195C1E"/>
    <w:rsid w:val="4D904DD7"/>
    <w:rsid w:val="4D9C287D"/>
    <w:rsid w:val="4DC04FA6"/>
    <w:rsid w:val="4DC53F66"/>
    <w:rsid w:val="4E2A0E48"/>
    <w:rsid w:val="4F477F24"/>
    <w:rsid w:val="4FC91A1A"/>
    <w:rsid w:val="5049448C"/>
    <w:rsid w:val="508B10C7"/>
    <w:rsid w:val="50DB6247"/>
    <w:rsid w:val="51531E87"/>
    <w:rsid w:val="51552F81"/>
    <w:rsid w:val="51AB2104"/>
    <w:rsid w:val="525A7F6F"/>
    <w:rsid w:val="52760C06"/>
    <w:rsid w:val="52A35200"/>
    <w:rsid w:val="52C2143B"/>
    <w:rsid w:val="530611A9"/>
    <w:rsid w:val="530E35F9"/>
    <w:rsid w:val="531A11E6"/>
    <w:rsid w:val="53427976"/>
    <w:rsid w:val="53A07C03"/>
    <w:rsid w:val="53A63423"/>
    <w:rsid w:val="53B638D1"/>
    <w:rsid w:val="54386D63"/>
    <w:rsid w:val="54A36172"/>
    <w:rsid w:val="54BC0EE8"/>
    <w:rsid w:val="54DC110F"/>
    <w:rsid w:val="55592415"/>
    <w:rsid w:val="55D122F6"/>
    <w:rsid w:val="55D41C4B"/>
    <w:rsid w:val="56391F84"/>
    <w:rsid w:val="5702252D"/>
    <w:rsid w:val="572444C0"/>
    <w:rsid w:val="576D49E8"/>
    <w:rsid w:val="578F5987"/>
    <w:rsid w:val="57B957CF"/>
    <w:rsid w:val="57DA583E"/>
    <w:rsid w:val="594F1692"/>
    <w:rsid w:val="59566C52"/>
    <w:rsid w:val="597674DD"/>
    <w:rsid w:val="5A416E84"/>
    <w:rsid w:val="5AAF5CCA"/>
    <w:rsid w:val="5B6E68B8"/>
    <w:rsid w:val="5B6F6839"/>
    <w:rsid w:val="5B8D6C19"/>
    <w:rsid w:val="5BAA698D"/>
    <w:rsid w:val="5BB92347"/>
    <w:rsid w:val="5BC65072"/>
    <w:rsid w:val="5BCE61FA"/>
    <w:rsid w:val="5C7852D7"/>
    <w:rsid w:val="5C9B134E"/>
    <w:rsid w:val="5CF77B24"/>
    <w:rsid w:val="5D5E6B65"/>
    <w:rsid w:val="5D633297"/>
    <w:rsid w:val="5D8B36D2"/>
    <w:rsid w:val="5DAA1580"/>
    <w:rsid w:val="5DF14932"/>
    <w:rsid w:val="5DFF04E8"/>
    <w:rsid w:val="5E1A6FB5"/>
    <w:rsid w:val="5E7A3CE2"/>
    <w:rsid w:val="5E960581"/>
    <w:rsid w:val="5F355496"/>
    <w:rsid w:val="5F8349F8"/>
    <w:rsid w:val="5F865CD7"/>
    <w:rsid w:val="5F925D77"/>
    <w:rsid w:val="5FDC4484"/>
    <w:rsid w:val="600534B6"/>
    <w:rsid w:val="60BA0556"/>
    <w:rsid w:val="60C45C52"/>
    <w:rsid w:val="60F61E20"/>
    <w:rsid w:val="618B1EF3"/>
    <w:rsid w:val="61A7533B"/>
    <w:rsid w:val="61FC4B9F"/>
    <w:rsid w:val="621244D5"/>
    <w:rsid w:val="629E17B2"/>
    <w:rsid w:val="62A56FE4"/>
    <w:rsid w:val="62B2296D"/>
    <w:rsid w:val="62B247EF"/>
    <w:rsid w:val="632433D0"/>
    <w:rsid w:val="635E4552"/>
    <w:rsid w:val="636147EE"/>
    <w:rsid w:val="63DB6B9E"/>
    <w:rsid w:val="642D7291"/>
    <w:rsid w:val="65652A5B"/>
    <w:rsid w:val="65B441A4"/>
    <w:rsid w:val="65C03100"/>
    <w:rsid w:val="65D8147F"/>
    <w:rsid w:val="66373494"/>
    <w:rsid w:val="663E17E3"/>
    <w:rsid w:val="66591B82"/>
    <w:rsid w:val="66593A91"/>
    <w:rsid w:val="675B4115"/>
    <w:rsid w:val="67D46774"/>
    <w:rsid w:val="68091DC3"/>
    <w:rsid w:val="68550B65"/>
    <w:rsid w:val="68572B2F"/>
    <w:rsid w:val="6898637C"/>
    <w:rsid w:val="68AD09A1"/>
    <w:rsid w:val="68B16D7B"/>
    <w:rsid w:val="68BA7003"/>
    <w:rsid w:val="68C531A9"/>
    <w:rsid w:val="6917406C"/>
    <w:rsid w:val="691C25EA"/>
    <w:rsid w:val="698555C7"/>
    <w:rsid w:val="6A9229AB"/>
    <w:rsid w:val="6B601D2D"/>
    <w:rsid w:val="6BF6265F"/>
    <w:rsid w:val="6C281E78"/>
    <w:rsid w:val="6C307E68"/>
    <w:rsid w:val="6C3A341E"/>
    <w:rsid w:val="6C920572"/>
    <w:rsid w:val="6D6261FE"/>
    <w:rsid w:val="6DB227E4"/>
    <w:rsid w:val="6DBE1759"/>
    <w:rsid w:val="6DC31ECB"/>
    <w:rsid w:val="6E307289"/>
    <w:rsid w:val="6E656845"/>
    <w:rsid w:val="6F174DC6"/>
    <w:rsid w:val="6F2A4AF9"/>
    <w:rsid w:val="6F2B6AC3"/>
    <w:rsid w:val="6F471F5D"/>
    <w:rsid w:val="6F563B40"/>
    <w:rsid w:val="6F891280"/>
    <w:rsid w:val="6F8E74DB"/>
    <w:rsid w:val="6F977CB5"/>
    <w:rsid w:val="70727FF1"/>
    <w:rsid w:val="70836CF8"/>
    <w:rsid w:val="70CF07C8"/>
    <w:rsid w:val="710F157A"/>
    <w:rsid w:val="71137471"/>
    <w:rsid w:val="71840FD7"/>
    <w:rsid w:val="718C3480"/>
    <w:rsid w:val="71CC7A42"/>
    <w:rsid w:val="71D2512F"/>
    <w:rsid w:val="721D56A4"/>
    <w:rsid w:val="7261248D"/>
    <w:rsid w:val="72837847"/>
    <w:rsid w:val="72987FCC"/>
    <w:rsid w:val="72BF7C4E"/>
    <w:rsid w:val="72E43211"/>
    <w:rsid w:val="72F3401B"/>
    <w:rsid w:val="731416B4"/>
    <w:rsid w:val="736C262E"/>
    <w:rsid w:val="73712518"/>
    <w:rsid w:val="73873F96"/>
    <w:rsid w:val="738A0204"/>
    <w:rsid w:val="738E7AB2"/>
    <w:rsid w:val="73AA787E"/>
    <w:rsid w:val="73EF0074"/>
    <w:rsid w:val="74624F7D"/>
    <w:rsid w:val="74B72A06"/>
    <w:rsid w:val="7546516B"/>
    <w:rsid w:val="75AF555B"/>
    <w:rsid w:val="763204BA"/>
    <w:rsid w:val="767D2F83"/>
    <w:rsid w:val="76F3488A"/>
    <w:rsid w:val="77281C38"/>
    <w:rsid w:val="7741229E"/>
    <w:rsid w:val="781828A1"/>
    <w:rsid w:val="781C3DC0"/>
    <w:rsid w:val="784A356A"/>
    <w:rsid w:val="78780B98"/>
    <w:rsid w:val="788E06C1"/>
    <w:rsid w:val="78D76423"/>
    <w:rsid w:val="78D86E43"/>
    <w:rsid w:val="79566D81"/>
    <w:rsid w:val="796E028F"/>
    <w:rsid w:val="79B066BE"/>
    <w:rsid w:val="79B10E72"/>
    <w:rsid w:val="79E02BD8"/>
    <w:rsid w:val="7A2B55F9"/>
    <w:rsid w:val="7A3458D0"/>
    <w:rsid w:val="7A4B048B"/>
    <w:rsid w:val="7A7C35B8"/>
    <w:rsid w:val="7A96669D"/>
    <w:rsid w:val="7AC70013"/>
    <w:rsid w:val="7B2368A0"/>
    <w:rsid w:val="7B672810"/>
    <w:rsid w:val="7B681B66"/>
    <w:rsid w:val="7C561F60"/>
    <w:rsid w:val="7C6B2EC5"/>
    <w:rsid w:val="7C831CEC"/>
    <w:rsid w:val="7CDB7433"/>
    <w:rsid w:val="7D21370D"/>
    <w:rsid w:val="7D3E11F9"/>
    <w:rsid w:val="7D6E2861"/>
    <w:rsid w:val="7DDF7DDD"/>
    <w:rsid w:val="7E300909"/>
    <w:rsid w:val="7E3A59BF"/>
    <w:rsid w:val="7EC84C80"/>
    <w:rsid w:val="7EDA52F8"/>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paragraph" w:styleId="5">
    <w:name w:val="heading 3"/>
    <w:basedOn w:val="1"/>
    <w:next w:val="1"/>
    <w:unhideWhenUsed/>
    <w:qFormat/>
    <w:uiPriority w:val="99"/>
    <w:pPr>
      <w:widowControl/>
      <w:numPr>
        <w:ilvl w:val="2"/>
        <w:numId w:val="1"/>
      </w:numPr>
      <w:ind w:firstLine="0" w:firstLineChars="0"/>
      <w:contextualSpacing/>
      <w:jc w:val="left"/>
      <w:outlineLvl w:val="2"/>
    </w:pPr>
    <w:rPr>
      <w:rFonts w:ascii="仿宋_GB2312" w:eastAsia="仿宋_GB2312"/>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3">
    <w:name w:val="List Paragraph"/>
    <w:basedOn w:val="1"/>
    <w:unhideWhenUsed/>
    <w:qFormat/>
    <w:uiPriority w:val="99"/>
    <w:pPr>
      <w:ind w:firstLine="420" w:firstLineChars="200"/>
    </w:pPr>
  </w:style>
  <w:style w:type="paragraph" w:styleId="6">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7">
    <w:name w:val="Normal Indent"/>
    <w:basedOn w:val="1"/>
    <w:next w:val="1"/>
    <w:qFormat/>
    <w:uiPriority w:val="0"/>
    <w:pPr>
      <w:ind w:firstLine="420"/>
    </w:pPr>
    <w:rPr>
      <w:rFonts w:ascii="Times New Roman" w:hAnsi="Times New Roman" w:eastAsia="宋体" w:cs="Times New Roman"/>
      <w:szCs w:val="20"/>
    </w:rPr>
  </w:style>
  <w:style w:type="paragraph" w:styleId="8">
    <w:name w:val="annotation text"/>
    <w:basedOn w:val="1"/>
    <w:semiHidden/>
    <w:unhideWhenUsed/>
    <w:qFormat/>
    <w:uiPriority w:val="0"/>
    <w:pPr>
      <w:jc w:val="left"/>
    </w:pPr>
  </w:style>
  <w:style w:type="paragraph" w:styleId="9">
    <w:name w:val="Body Text"/>
    <w:basedOn w:val="1"/>
    <w:qFormat/>
    <w:uiPriority w:val="0"/>
  </w:style>
  <w:style w:type="paragraph" w:styleId="10">
    <w:name w:val="Body Text Indent"/>
    <w:basedOn w:val="1"/>
    <w:qFormat/>
    <w:uiPriority w:val="0"/>
    <w:pPr>
      <w:spacing w:after="120" w:afterLines="0" w:afterAutospacing="0"/>
      <w:ind w:left="420" w:leftChars="200"/>
    </w:pPr>
  </w:style>
  <w:style w:type="paragraph" w:styleId="11">
    <w:name w:val="Plain Text"/>
    <w:basedOn w:val="1"/>
    <w:next w:val="1"/>
    <w:link w:val="39"/>
    <w:qFormat/>
    <w:uiPriority w:val="0"/>
    <w:rPr>
      <w:rFonts w:hint="eastAsia" w:ascii="宋体" w:hAnsi="Courier New" w:eastAsia="宋体" w:cs="Times New Roman"/>
      <w:szCs w:val="21"/>
    </w:rPr>
  </w:style>
  <w:style w:type="paragraph" w:styleId="12">
    <w:name w:val="Balloon Text"/>
    <w:basedOn w:val="1"/>
    <w:link w:val="37"/>
    <w:qFormat/>
    <w:uiPriority w:val="0"/>
    <w:rPr>
      <w:sz w:val="18"/>
      <w:szCs w:val="18"/>
    </w:rPr>
  </w:style>
  <w:style w:type="paragraph" w:styleId="13">
    <w:name w:val="footer"/>
    <w:basedOn w:val="1"/>
    <w:link w:val="36"/>
    <w:qFormat/>
    <w:uiPriority w:val="0"/>
    <w:pPr>
      <w:tabs>
        <w:tab w:val="center" w:pos="4153"/>
        <w:tab w:val="right" w:pos="8306"/>
      </w:tabs>
      <w:snapToGrid w:val="0"/>
      <w:jc w:val="left"/>
    </w:pPr>
    <w:rPr>
      <w:sz w:val="18"/>
      <w:szCs w:val="18"/>
    </w:rPr>
  </w:style>
  <w:style w:type="paragraph" w:styleId="14">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rPr>
      <w:rFonts w:ascii="Times New Roman" w:hAnsi="Times New Roman" w:eastAsia="宋体" w:cs="Times New Roman"/>
      <w:szCs w:val="21"/>
    </w:rPr>
  </w:style>
  <w:style w:type="paragraph" w:styleId="16">
    <w:name w:val="Body Text First Indent"/>
    <w:basedOn w:val="9"/>
    <w:link w:val="40"/>
    <w:qFormat/>
    <w:uiPriority w:val="0"/>
    <w:pPr>
      <w:spacing w:beforeAutospacing="1" w:after="120"/>
      <w:ind w:firstLine="420"/>
    </w:pPr>
    <w:rPr>
      <w:rFonts w:ascii="Times New Roman" w:hAnsi="Times New Roman" w:eastAsia="宋体" w:cs="Times New Roman"/>
      <w:szCs w:val="21"/>
    </w:rPr>
  </w:style>
  <w:style w:type="paragraph" w:styleId="17">
    <w:name w:val="Body Text First Indent 2"/>
    <w:basedOn w:val="10"/>
    <w:next w:val="18"/>
    <w:qFormat/>
    <w:uiPriority w:val="0"/>
    <w:pPr>
      <w:numPr>
        <w:ilvl w:val="0"/>
        <w:numId w:val="2"/>
      </w:numPr>
      <w:ind w:firstLine="420"/>
    </w:pPr>
  </w:style>
  <w:style w:type="paragraph" w:customStyle="1" w:styleId="18">
    <w:name w:val="样式 正文首行缩进 2 + Arial"/>
    <w:basedOn w:val="1"/>
    <w:next w:val="1"/>
    <w:qFormat/>
    <w:uiPriority w:val="0"/>
    <w:pPr>
      <w:spacing w:before="100" w:beforeAutospacing="1" w:after="120" w:line="320" w:lineRule="atLeast"/>
      <w:ind w:firstLine="200" w:firstLineChars="200"/>
    </w:pPr>
    <w:rPr>
      <w:rFonts w:ascii="Arial" w:hAnsi="Arial" w:cs="Arial"/>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character" w:styleId="23">
    <w:name w:val="FollowedHyperlink"/>
    <w:basedOn w:val="21"/>
    <w:qFormat/>
    <w:uiPriority w:val="0"/>
    <w:rPr>
      <w:color w:val="0000FF"/>
      <w:u w:val="single"/>
    </w:rPr>
  </w:style>
  <w:style w:type="character" w:styleId="24">
    <w:name w:val="Hyperlink"/>
    <w:basedOn w:val="21"/>
    <w:qFormat/>
    <w:uiPriority w:val="0"/>
    <w:rPr>
      <w:color w:val="0000FF"/>
      <w:u w:val="single"/>
    </w:rPr>
  </w:style>
  <w:style w:type="paragraph" w:customStyle="1" w:styleId="25">
    <w:name w:val="样式 小四 行距: 1.5 倍行距"/>
    <w:basedOn w:val="1"/>
    <w:qFormat/>
    <w:uiPriority w:val="0"/>
    <w:pPr>
      <w:ind w:firstLine="480"/>
    </w:pPr>
    <w:rPr>
      <w:rFonts w:cs="宋体"/>
    </w:rPr>
  </w:style>
  <w:style w:type="paragraph" w:customStyle="1" w:styleId="26">
    <w:name w:val="表格文字"/>
    <w:basedOn w:val="1"/>
    <w:qFormat/>
    <w:uiPriority w:val="0"/>
    <w:pPr>
      <w:spacing w:before="25" w:after="25"/>
      <w:jc w:val="left"/>
    </w:pPr>
    <w:rPr>
      <w:bCs/>
      <w:spacing w:val="10"/>
      <w:kern w:val="0"/>
      <w:sz w:val="24"/>
    </w:rPr>
  </w:style>
  <w:style w:type="paragraph" w:customStyle="1" w:styleId="27">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9">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30">
    <w:name w:val="列出段落1"/>
    <w:basedOn w:val="1"/>
    <w:qFormat/>
    <w:uiPriority w:val="0"/>
    <w:pPr>
      <w:ind w:firstLine="420" w:firstLineChars="200"/>
    </w:pPr>
    <w:rPr>
      <w:rFonts w:ascii="Calibri" w:hAnsi="Calibri" w:eastAsia="宋体" w:cs="Times New Roman"/>
      <w:szCs w:val="21"/>
    </w:rPr>
  </w:style>
  <w:style w:type="paragraph" w:customStyle="1" w:styleId="31">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32">
    <w:name w:val="10"/>
    <w:basedOn w:val="21"/>
    <w:qFormat/>
    <w:uiPriority w:val="0"/>
    <w:rPr>
      <w:rFonts w:hint="default" w:ascii="Times New Roman" w:hAnsi="Times New Roman" w:cs="Times New Roman"/>
    </w:rPr>
  </w:style>
  <w:style w:type="character" w:customStyle="1" w:styleId="33">
    <w:name w:val="15"/>
    <w:basedOn w:val="21"/>
    <w:qFormat/>
    <w:uiPriority w:val="0"/>
    <w:rPr>
      <w:rFonts w:hint="default" w:ascii="Times New Roman" w:hAnsi="Times New Roman" w:cs="Times New Roman"/>
    </w:rPr>
  </w:style>
  <w:style w:type="character" w:customStyle="1" w:styleId="34">
    <w:name w:val="16"/>
    <w:basedOn w:val="21"/>
    <w:qFormat/>
    <w:uiPriority w:val="0"/>
    <w:rPr>
      <w:rFonts w:hint="default" w:ascii="Times New Roman" w:hAnsi="Times New Roman" w:cs="Times New Roman"/>
      <w:color w:val="0000FF"/>
      <w:u w:val="single"/>
    </w:rPr>
  </w:style>
  <w:style w:type="character" w:customStyle="1" w:styleId="35">
    <w:name w:val="页眉 Char"/>
    <w:basedOn w:val="21"/>
    <w:link w:val="14"/>
    <w:qFormat/>
    <w:uiPriority w:val="0"/>
    <w:rPr>
      <w:rFonts w:asciiTheme="minorHAnsi" w:hAnsiTheme="minorHAnsi" w:eastAsiaTheme="minorEastAsia" w:cstheme="minorBidi"/>
      <w:kern w:val="2"/>
      <w:sz w:val="18"/>
      <w:szCs w:val="18"/>
    </w:rPr>
  </w:style>
  <w:style w:type="character" w:customStyle="1" w:styleId="36">
    <w:name w:val="页脚 Char"/>
    <w:basedOn w:val="21"/>
    <w:link w:val="13"/>
    <w:qFormat/>
    <w:uiPriority w:val="0"/>
    <w:rPr>
      <w:rFonts w:asciiTheme="minorHAnsi" w:hAnsiTheme="minorHAnsi" w:eastAsiaTheme="minorEastAsia" w:cstheme="minorBidi"/>
      <w:kern w:val="2"/>
      <w:sz w:val="18"/>
      <w:szCs w:val="18"/>
    </w:rPr>
  </w:style>
  <w:style w:type="character" w:customStyle="1" w:styleId="37">
    <w:name w:val="批注框文本 Char"/>
    <w:basedOn w:val="21"/>
    <w:link w:val="12"/>
    <w:qFormat/>
    <w:uiPriority w:val="0"/>
    <w:rPr>
      <w:rFonts w:asciiTheme="minorHAnsi" w:hAnsiTheme="minorHAnsi" w:eastAsiaTheme="minorEastAsia" w:cstheme="minorBidi"/>
      <w:kern w:val="2"/>
      <w:sz w:val="18"/>
      <w:szCs w:val="18"/>
    </w:rPr>
  </w:style>
  <w:style w:type="paragraph" w:customStyle="1" w:styleId="38">
    <w:name w:val="WPSOffice手动目录 1"/>
    <w:qFormat/>
    <w:uiPriority w:val="0"/>
    <w:rPr>
      <w:rFonts w:ascii="Times New Roman" w:hAnsi="Times New Roman" w:eastAsia="宋体" w:cs="Times New Roman"/>
      <w:lang w:val="en-US" w:eastAsia="zh-CN" w:bidi="ar-SA"/>
    </w:rPr>
  </w:style>
  <w:style w:type="character" w:customStyle="1" w:styleId="39">
    <w:name w:val="纯文本 Char"/>
    <w:link w:val="11"/>
    <w:qFormat/>
    <w:uiPriority w:val="0"/>
    <w:rPr>
      <w:rFonts w:ascii="宋体" w:hAnsi="Courier New"/>
      <w:kern w:val="2"/>
      <w:sz w:val="21"/>
      <w:szCs w:val="21"/>
    </w:rPr>
  </w:style>
  <w:style w:type="character" w:customStyle="1" w:styleId="40">
    <w:name w:val="正文首行缩进 Char"/>
    <w:basedOn w:val="21"/>
    <w:link w:val="16"/>
    <w:qFormat/>
    <w:uiPriority w:val="0"/>
    <w:rPr>
      <w:kern w:val="2"/>
      <w:sz w:val="21"/>
      <w:szCs w:val="21"/>
    </w:rPr>
  </w:style>
  <w:style w:type="paragraph" w:customStyle="1" w:styleId="41">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2">
    <w:name w:val="发文落款"/>
    <w:basedOn w:val="41"/>
    <w:qFormat/>
    <w:uiPriority w:val="0"/>
    <w:pPr>
      <w:ind w:left="4094" w:right="607" w:firstLine="0"/>
      <w:jc w:val="center"/>
    </w:pPr>
  </w:style>
  <w:style w:type="character" w:customStyle="1" w:styleId="43">
    <w:name w:val="c Char1"/>
    <w:link w:val="44"/>
    <w:qFormat/>
    <w:uiPriority w:val="0"/>
    <w:rPr>
      <w:rFonts w:eastAsia="仿宋_GB2312" w:cs="宋体"/>
      <w:sz w:val="28"/>
    </w:rPr>
  </w:style>
  <w:style w:type="paragraph" w:customStyle="1" w:styleId="44">
    <w:name w:val="c"/>
    <w:basedOn w:val="1"/>
    <w:link w:val="43"/>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paragraph" w:customStyle="1" w:styleId="45">
    <w:name w:val="正文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6">
    <w:name w:val="正文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47">
    <w:name w:val="二级正文"/>
    <w:basedOn w:val="1"/>
    <w:qFormat/>
    <w:uiPriority w:val="0"/>
    <w:pPr>
      <w:ind w:left="426" w:firstLine="560"/>
    </w:pPr>
    <w:rPr>
      <w:rFonts w:ascii="仿宋_GB2312" w:eastAsia="仿宋_GB2312"/>
      <w:kern w:val="0"/>
      <w:sz w:val="28"/>
      <w:szCs w:val="28"/>
    </w:rPr>
  </w:style>
  <w:style w:type="paragraph" w:customStyle="1" w:styleId="48">
    <w:name w:val="三级正文"/>
    <w:basedOn w:val="1"/>
    <w:qFormat/>
    <w:uiPriority w:val="0"/>
    <w:pPr>
      <w:ind w:left="630" w:leftChars="300" w:firstLine="560"/>
    </w:pPr>
    <w:rPr>
      <w:rFonts w:ascii="仿宋_GB2312" w:eastAsia="仿宋_GB2312"/>
      <w:kern w:val="0"/>
      <w:sz w:val="28"/>
      <w:szCs w:val="28"/>
    </w:rPr>
  </w:style>
  <w:style w:type="paragraph" w:customStyle="1" w:styleId="49">
    <w:name w:val="三级正文不编号"/>
    <w:basedOn w:val="48"/>
    <w:qFormat/>
    <w:uiPriority w:val="0"/>
    <w:pPr>
      <w:ind w:left="720"/>
    </w:pPr>
  </w:style>
  <w:style w:type="paragraph" w:customStyle="1" w:styleId="50">
    <w:name w:val="四级正文不编号"/>
    <w:basedOn w:val="48"/>
    <w:qFormat/>
    <w:uiPriority w:val="0"/>
    <w:pPr>
      <w:ind w:left="840" w:leftChars="400"/>
    </w:p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427DD8-2C91-4F08-A38B-BE48ACCCE22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48</Pages>
  <Words>19900</Words>
  <Characters>20875</Characters>
  <Lines>138</Lines>
  <Paragraphs>38</Paragraphs>
  <TotalTime>0</TotalTime>
  <ScaleCrop>false</ScaleCrop>
  <LinksUpToDate>false</LinksUpToDate>
  <CharactersWithSpaces>21876</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2020-07-23T07:52:00Z</cp:lastPrinted>
  <dcterms:modified xsi:type="dcterms:W3CDTF">2024-09-05T02:55:41Z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1624E440DF854B4CB3CF0708982AA809_13</vt:lpwstr>
  </property>
</Properties>
</file>