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4"/>
        <w:rPr>
          <w:color w:val="auto"/>
          <w:highlight w:val="none"/>
        </w:rPr>
      </w:pPr>
    </w:p>
    <w:p>
      <w:pPr>
        <w:pStyle w:val="24"/>
        <w:rPr>
          <w:color w:val="auto"/>
          <w:highlight w:val="none"/>
        </w:rPr>
      </w:pPr>
    </w:p>
    <w:p>
      <w:pPr>
        <w:jc w:val="center"/>
        <w:rPr>
          <w:rFonts w:ascii="宋体" w:hAnsi="宋体" w:eastAsia="宋体" w:cs="宋体"/>
          <w:color w:val="auto"/>
          <w:sz w:val="72"/>
          <w:szCs w:val="72"/>
          <w:highlight w:val="none"/>
        </w:rPr>
      </w:pPr>
      <w:r>
        <w:rPr>
          <w:rFonts w:hint="eastAsia" w:ascii="宋体" w:hAnsi="宋体" w:eastAsia="宋体" w:cs="宋体"/>
          <w:b/>
          <w:bCs w:val="0"/>
          <w:color w:val="auto"/>
          <w:sz w:val="44"/>
          <w:szCs w:val="44"/>
          <w:highlight w:val="none"/>
          <w:lang w:val="en-US" w:eastAsia="zh-CN"/>
        </w:rPr>
        <w:t>新垦空气质量监测子站站房和配套设施项目</w:t>
      </w:r>
    </w:p>
    <w:p>
      <w:pP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pStyle w:val="24"/>
        <w:rPr>
          <w:rFonts w:hint="eastAsia" w:ascii="宋体" w:hAnsi="宋体" w:eastAsia="宋体" w:cs="宋体"/>
          <w:color w:val="auto"/>
          <w:sz w:val="72"/>
          <w:szCs w:val="72"/>
          <w:highlight w:val="none"/>
        </w:rPr>
      </w:pPr>
    </w:p>
    <w:p>
      <w:pPr>
        <w:pStyle w:val="24"/>
        <w:rPr>
          <w:rFonts w:hint="eastAsia" w:ascii="宋体" w:hAnsi="宋体" w:eastAsia="宋体" w:cs="宋体"/>
          <w:color w:val="auto"/>
          <w:sz w:val="72"/>
          <w:szCs w:val="72"/>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w:t>
      </w:r>
      <w:r>
        <w:rPr>
          <w:rFonts w:hint="eastAsia" w:ascii="宋体" w:hAnsi="宋体" w:eastAsia="宋体" w:cs="宋体"/>
          <w:b/>
          <w:color w:val="auto"/>
          <w:sz w:val="32"/>
          <w:szCs w:val="32"/>
          <w:highlight w:val="none"/>
          <w:lang w:val="en-US" w:eastAsia="zh-CN"/>
        </w:rPr>
        <w:t>湿地</w:t>
      </w:r>
      <w:r>
        <w:rPr>
          <w:rFonts w:hint="eastAsia" w:ascii="宋体" w:hAnsi="宋体" w:eastAsia="宋体" w:cs="宋体"/>
          <w:b/>
          <w:color w:val="auto"/>
          <w:sz w:val="32"/>
          <w:szCs w:val="32"/>
          <w:highlight w:val="none"/>
          <w:lang w:eastAsia="zh-CN"/>
        </w:rPr>
        <w:t>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9月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hint="eastAsia" w:ascii="宋体" w:hAnsi="宋体" w:eastAsia="宋体" w:cs="宋体"/>
          <w:color w:val="auto"/>
          <w:sz w:val="24"/>
          <w:szCs w:val="24"/>
          <w:highlight w:val="none"/>
        </w:rPr>
      </w:pPr>
    </w:p>
    <w:bookmarkEnd w:id="0"/>
    <w:sdt>
      <w:sdtPr>
        <w:rPr>
          <w:rFonts w:hint="eastAsia" w:ascii="宋体" w:hAnsi="宋体" w:eastAsia="宋体" w:cs="宋体"/>
          <w:color w:val="auto"/>
          <w:sz w:val="24"/>
          <w:highlight w:val="none"/>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pPr>
            <w:pStyle w:val="15"/>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_Toc17503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第1章 投标须知及前附表</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_Toc17503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_Toc28921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第2章 项目需求书</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_Toc28921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12</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_Toc2908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第3章 投标格式文件</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_Toc2908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13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_Toc24523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kern w:val="44"/>
              <w:sz w:val="24"/>
              <w:szCs w:val="24"/>
              <w:highlight w:val="none"/>
            </w:rPr>
            <w:t>第4章 评标办法</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PAGEREF _Toc24523 \h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rPr>
            <w:t>25</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rPr>
            <w:fldChar w:fldCharType="end"/>
          </w:r>
        </w:p>
        <w:p>
          <w:pPr>
            <w:pStyle w:val="15"/>
            <w:tabs>
              <w:tab w:val="right" w:leader="dot" w:pos="9410"/>
            </w:tabs>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color w:val="auto"/>
              <w:sz w:val="24"/>
              <w:szCs w:val="24"/>
              <w:highlight w:val="none"/>
            </w:rPr>
            <w:instrText xml:space="preserve"> HYPERLINK \l _Toc11051 </w:instrText>
          </w:r>
          <w:r>
            <w:rPr>
              <w:rFonts w:hint="eastAsia" w:ascii="宋体" w:hAnsi="宋体" w:eastAsia="宋体" w:cs="宋体"/>
              <w:b w:val="0"/>
              <w:bCs w:val="0"/>
              <w:color w:val="auto"/>
              <w:sz w:val="24"/>
              <w:szCs w:val="24"/>
              <w:highlight w:val="none"/>
            </w:rPr>
            <w:fldChar w:fldCharType="separate"/>
          </w:r>
          <w:r>
            <w:rPr>
              <w:rFonts w:hint="eastAsia" w:ascii="宋体" w:hAnsi="宋体" w:eastAsia="宋体" w:cs="宋体"/>
              <w:b w:val="0"/>
              <w:bCs w:val="0"/>
              <w:color w:val="auto"/>
              <w:sz w:val="24"/>
              <w:szCs w:val="24"/>
              <w:highlight w:val="none"/>
              <w:lang w:val="en-US" w:eastAsia="zh-CN"/>
            </w:rPr>
            <w:t>第5章 附件</w:t>
          </w:r>
          <w:r>
            <w:rPr>
              <w:rFonts w:hint="eastAsia" w:ascii="宋体" w:hAnsi="宋体" w:eastAsia="宋体" w:cs="宋体"/>
              <w:b w:val="0"/>
              <w:bCs w:val="0"/>
              <w:color w:val="auto"/>
              <w:sz w:val="24"/>
              <w:szCs w:val="24"/>
              <w:highlight w:val="none"/>
            </w:rPr>
            <w:tab/>
          </w:r>
          <w:r>
            <w:rPr>
              <w:rFonts w:hint="eastAsia" w:ascii="宋体" w:hAnsi="宋体" w:eastAsia="宋体" w:cs="宋体"/>
              <w:b w:val="0"/>
              <w:bCs w:val="0"/>
              <w:color w:val="auto"/>
              <w:sz w:val="24"/>
              <w:szCs w:val="24"/>
              <w:highlight w:val="none"/>
              <w:lang w:eastAsia="zh-CN"/>
            </w:rPr>
            <w:t>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color w:val="auto"/>
              <w:sz w:val="24"/>
              <w:szCs w:val="24"/>
              <w:highlight w:val="none"/>
              <w:lang w:val="en-US" w:eastAsia="zh-CN"/>
            </w:rPr>
            <w:t>2</w:t>
          </w:r>
        </w:p>
        <w:p>
          <w:pPr>
            <w:pStyle w:val="15"/>
            <w:tabs>
              <w:tab w:val="right" w:leader="dot" w:pos="9410"/>
            </w:tabs>
            <w:rPr>
              <w:color w:val="auto"/>
              <w:sz w:val="24"/>
              <w:szCs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18"/>
        <w:widowControl/>
        <w:spacing w:beforeAutospacing="0" w:after="0"/>
        <w:ind w:firstLine="0"/>
        <w:rPr>
          <w:rFonts w:hint="eastAsia" w:ascii="宋体" w:hAnsi="宋体" w:eastAsia="宋体" w:cs="宋体"/>
          <w:color w:val="auto"/>
          <w:sz w:val="24"/>
          <w:szCs w:val="24"/>
          <w:highlight w:val="none"/>
        </w:rPr>
        <w:sectPr>
          <w:pgSz w:w="11906" w:h="16840"/>
          <w:pgMar w:top="1247" w:right="1135" w:bottom="1247" w:left="1361" w:header="720" w:footer="720" w:gutter="0"/>
          <w:cols w:space="425" w:num="1"/>
          <w:docGrid w:type="lines" w:linePitch="285" w:charSpace="0"/>
        </w:sectPr>
      </w:pPr>
      <w:r>
        <w:rPr>
          <w:rFonts w:hint="eastAsia" w:ascii="宋体" w:hAnsi="宋体" w:eastAsia="宋体" w:cs="宋体"/>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3388"/>
      <w:bookmarkStart w:id="3" w:name="_Toc9159"/>
      <w:bookmarkStart w:id="4" w:name="_Toc374128472"/>
      <w:bookmarkStart w:id="5" w:name="_Toc23838"/>
      <w:bookmarkStart w:id="6" w:name="_Toc17503"/>
      <w:bookmarkStart w:id="7" w:name="_Toc8549"/>
      <w:bookmarkStart w:id="8" w:name="_Toc13302"/>
      <w:bookmarkStart w:id="9" w:name="_Toc20698"/>
      <w:bookmarkStart w:id="10" w:name="_Toc27659"/>
      <w:r>
        <w:rPr>
          <w:rFonts w:hint="eastAsia" w:ascii="黑体" w:hAnsi="宋体" w:cs="黑体"/>
          <w:b/>
          <w:color w:val="auto"/>
          <w:kern w:val="44"/>
          <w:sz w:val="44"/>
          <w:szCs w:val="44"/>
          <w:highlight w:val="none"/>
        </w:rPr>
        <w:t>第1章 投标须知及前附表</w:t>
      </w:r>
      <w:bookmarkEnd w:id="2"/>
      <w:bookmarkEnd w:id="3"/>
      <w:bookmarkEnd w:id="4"/>
      <w:bookmarkEnd w:id="5"/>
      <w:bookmarkEnd w:id="6"/>
      <w:bookmarkEnd w:id="7"/>
      <w:bookmarkEnd w:id="8"/>
      <w:bookmarkEnd w:id="9"/>
      <w:bookmarkEnd w:id="10"/>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9"/>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8"/>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eastAsia" w:ascii="宋体" w:hAnsi="宋体" w:eastAsia="宋体" w:cs="宋体"/>
                <w:b w:val="0"/>
                <w:bCs w:val="0"/>
                <w:color w:val="auto"/>
                <w:sz w:val="21"/>
                <w:szCs w:val="21"/>
                <w:highlight w:val="none"/>
                <w:lang w:val="en-US" w:eastAsia="zh-CN"/>
              </w:rPr>
              <w:t>新垦空气质量监测子站站房和配套设施项目</w:t>
            </w:r>
          </w:p>
        </w:tc>
      </w:tr>
      <w:tr>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widowControl/>
              <w:spacing w:after="0" w:line="32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kern w:val="2"/>
                <w:position w:val="0"/>
                <w:sz w:val="21"/>
                <w:szCs w:val="21"/>
                <w:highlight w:val="none"/>
              </w:rPr>
              <w:t>广州市南沙区万顷沙镇</w:t>
            </w:r>
          </w:p>
        </w:tc>
      </w:tr>
      <w:tr>
        <w:tblPrEx>
          <w:tblCellMar>
            <w:top w:w="0" w:type="dxa"/>
            <w:left w:w="108" w:type="dxa"/>
            <w:bottom w:w="0" w:type="dxa"/>
            <w:right w:w="108" w:type="dxa"/>
          </w:tblCellMar>
        </w:tblPrEx>
        <w:trPr>
          <w:trHeight w:val="90"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snapToGrid/>
                <w:color w:val="auto"/>
                <w:kern w:val="2"/>
                <w:sz w:val="21"/>
                <w:szCs w:val="21"/>
                <w:highlight w:val="none"/>
                <w:lang w:val="en-US" w:eastAsia="zh-CN" w:bidi="ar-SA"/>
              </w:rPr>
              <w:t>本项目站房建设主要为南沙区新垦空气质量监测子站、新垦臭氧立体监测子站站房建设，站房计划建于南沙区万顷沙镇十八涌南沙湿地监测站楼顶。站房建设尺寸面积约为46㎡。</w:t>
            </w:r>
            <w:r>
              <w:rPr>
                <w:rFonts w:hint="eastAsia" w:ascii="宋体" w:hAnsi="宋体" w:cs="宋体"/>
                <w:snapToGrid/>
                <w:color w:val="auto"/>
                <w:kern w:val="2"/>
                <w:sz w:val="21"/>
                <w:szCs w:val="21"/>
                <w:highlight w:val="none"/>
                <w:lang w:val="en-US" w:eastAsia="zh-CN" w:bidi="ar-SA"/>
              </w:rPr>
              <w:t>项目</w:t>
            </w: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40</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u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spacing w:line="440" w:lineRule="exact"/>
              <w:ind w:firstLine="0"/>
              <w:jc w:val="left"/>
              <w:rPr>
                <w:rFonts w:hint="eastAsia" w:ascii="宋体" w:hAnsi="宋体" w:eastAsia="宋体" w:cs="宋体"/>
                <w:color w:val="auto"/>
                <w:highlight w:val="none"/>
                <w:u w:val="none"/>
                <w:lang w:val="en-US" w:eastAsia="zh-CN"/>
              </w:rPr>
            </w:pPr>
            <w:r>
              <w:rPr>
                <w:rFonts w:hint="eastAsia" w:ascii="宋体" w:hAnsi="宋体" w:eastAsia="宋体" w:cs="宋体"/>
                <w:color w:val="auto"/>
                <w:highlight w:val="none"/>
              </w:rPr>
              <w:t>综合单价包干，工程量按实结算，</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color w:val="auto"/>
                <w:highlight w:val="none"/>
              </w:rPr>
              <w:t>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40</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90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widowControl/>
              <w:spacing w:after="0" w:line="440" w:lineRule="exact"/>
              <w:ind w:firstLine="0"/>
              <w:jc w:val="left"/>
              <w:rPr>
                <w:rFonts w:hint="eastAsia" w:ascii="宋体" w:hAnsi="宋体" w:eastAsia="宋体" w:cs="宋体"/>
                <w:color w:val="auto"/>
                <w:kern w:val="2"/>
                <w:sz w:val="21"/>
                <w:szCs w:val="21"/>
                <w:highlight w:val="none"/>
                <w:u w:val="none"/>
              </w:rPr>
            </w:pPr>
            <w:r>
              <w:rPr>
                <w:rFonts w:hint="eastAsia" w:ascii="宋体" w:hAnsi="宋体" w:eastAsia="宋体" w:cs="宋体"/>
                <w:color w:val="auto"/>
                <w:spacing w:val="0"/>
                <w:sz w:val="21"/>
                <w:szCs w:val="21"/>
                <w:highlight w:val="none"/>
                <w:lang w:val="en-US" w:eastAsia="zh-CN"/>
              </w:rPr>
              <w:t>完成新垦空气质量监测子站站房及配套设施建设，包括站房结构及装修、安装等，具体以实际施工图纸、工程量清单为准。投标人需按招标文件、图纸规范等要求进行施工，如设计图纸有调整时，必须服从要求调整。</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widowControl/>
              <w:spacing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45日历</w:t>
            </w:r>
            <w:r>
              <w:rPr>
                <w:rFonts w:hint="eastAsia" w:ascii="宋体" w:hAnsi="宋体" w:eastAsia="宋体" w:cs="宋体"/>
                <w:color w:val="auto"/>
                <w:sz w:val="21"/>
                <w:szCs w:val="21"/>
                <w:highlight w:val="none"/>
                <w:u w:val="none"/>
                <w:lang w:val="en-US" w:eastAsia="zh-CN"/>
              </w:rPr>
              <w:t>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8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widowControl/>
              <w:numPr>
                <w:ilvl w:val="-1"/>
                <w:numId w:val="0"/>
              </w:numPr>
              <w:spacing w:after="0" w:line="440" w:lineRule="exact"/>
              <w:ind w:firstLine="0"/>
              <w:jc w:val="lef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投标人</w:t>
            </w:r>
            <w:r>
              <w:rPr>
                <w:rFonts w:hint="eastAsia" w:ascii="宋体" w:hAnsi="宋体" w:eastAsia="宋体" w:cs="宋体"/>
                <w:color w:val="auto"/>
                <w:sz w:val="21"/>
                <w:szCs w:val="21"/>
                <w:highlight w:val="none"/>
                <w:lang w:val="en-US" w:eastAsia="zh-CN"/>
              </w:rPr>
              <w:t>须</w:t>
            </w:r>
            <w:r>
              <w:rPr>
                <w:rFonts w:hint="eastAsia" w:ascii="宋体" w:hAnsi="宋体" w:eastAsia="宋体" w:cs="宋体"/>
                <w:i w:val="0"/>
                <w:iCs w:val="0"/>
                <w:caps w:val="0"/>
                <w:color w:val="auto"/>
                <w:spacing w:val="-4"/>
                <w:sz w:val="21"/>
                <w:szCs w:val="21"/>
                <w:highlight w:val="none"/>
                <w:shd w:val="clear" w:fill="FFFFFF"/>
              </w:rPr>
              <w:t>具备建筑工程施工总承包</w:t>
            </w:r>
            <w:r>
              <w:rPr>
                <w:rFonts w:hint="eastAsia" w:ascii="宋体" w:hAnsi="宋体" w:cs="宋体"/>
                <w:i w:val="0"/>
                <w:iCs w:val="0"/>
                <w:caps w:val="0"/>
                <w:color w:val="auto"/>
                <w:spacing w:val="-4"/>
                <w:sz w:val="21"/>
                <w:szCs w:val="21"/>
                <w:highlight w:val="none"/>
                <w:shd w:val="clear" w:fill="FFFFFF"/>
                <w:lang w:val="en-US" w:eastAsia="zh-CN"/>
              </w:rPr>
              <w:t>三</w:t>
            </w:r>
            <w:r>
              <w:rPr>
                <w:rFonts w:hint="eastAsia" w:ascii="宋体" w:hAnsi="宋体" w:eastAsia="宋体" w:cs="宋体"/>
                <w:i w:val="0"/>
                <w:iCs w:val="0"/>
                <w:caps w:val="0"/>
                <w:color w:val="auto"/>
                <w:spacing w:val="-4"/>
                <w:sz w:val="21"/>
                <w:szCs w:val="21"/>
                <w:highlight w:val="none"/>
                <w:shd w:val="clear" w:fill="FFFFFF"/>
              </w:rPr>
              <w:t>级及以上资质</w:t>
            </w:r>
            <w:r>
              <w:rPr>
                <w:rFonts w:hint="eastAsia" w:ascii="宋体" w:hAnsi="宋体" w:eastAsia="宋体" w:cs="宋体"/>
                <w:i w:val="0"/>
                <w:iCs w:val="0"/>
                <w:caps w:val="0"/>
                <w:color w:val="auto"/>
                <w:spacing w:val="-4"/>
                <w:sz w:val="21"/>
                <w:szCs w:val="21"/>
                <w:highlight w:val="none"/>
                <w:shd w:val="clear" w:fill="FFFFFF"/>
                <w:lang w:eastAsia="zh-CN"/>
              </w:rPr>
              <w:t>，具有有效的建设行政主管部门核发的安全生产许可证</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8"/>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1"/>
              </w:numPr>
              <w:spacing w:line="360" w:lineRule="auto"/>
              <w:ind w:firstLine="0" w:firstLineChars="0"/>
              <w:rPr>
                <w:rFonts w:hint="default"/>
                <w:color w:val="auto"/>
                <w:highlight w:val="none"/>
                <w:u w:val="none"/>
              </w:rPr>
            </w:pPr>
            <w:r>
              <w:rPr>
                <w:rFonts w:hint="default" w:asciiTheme="minorHAnsi" w:hAnsiTheme="minorHAnsi" w:eastAsiaTheme="minorEastAsia" w:cstheme="minorBidi"/>
                <w:color w:val="auto"/>
                <w:sz w:val="21"/>
                <w:szCs w:val="24"/>
                <w:highlight w:val="none"/>
                <w:u w:val="none"/>
              </w:rPr>
              <w:t>投标</w:t>
            </w:r>
            <w:r>
              <w:rPr>
                <w:rFonts w:hint="default" w:asciiTheme="minorHAnsi" w:hAnsiTheme="minorHAnsi" w:eastAsiaTheme="minorEastAsia" w:cstheme="minorBidi"/>
                <w:color w:val="auto"/>
                <w:sz w:val="21"/>
                <w:szCs w:val="24"/>
                <w:highlight w:val="none"/>
                <w:u w:val="none"/>
                <w:lang w:eastAsia="zh-CN"/>
              </w:rPr>
              <w:t>人</w:t>
            </w:r>
            <w:r>
              <w:rPr>
                <w:rFonts w:hint="default" w:asciiTheme="minorHAnsi" w:hAnsiTheme="minorHAnsi" w:eastAsiaTheme="minorEastAsia" w:cstheme="minorBidi"/>
                <w:color w:val="auto"/>
                <w:sz w:val="21"/>
                <w:szCs w:val="24"/>
                <w:highlight w:val="none"/>
                <w:u w:val="none"/>
              </w:rPr>
              <w:t>委派的项目负责人</w:t>
            </w:r>
            <w:r>
              <w:rPr>
                <w:rFonts w:hint="default" w:asciiTheme="minorHAnsi" w:hAnsiTheme="minorHAnsi" w:eastAsiaTheme="minorEastAsia" w:cstheme="minorBidi"/>
                <w:color w:val="auto"/>
                <w:sz w:val="21"/>
                <w:szCs w:val="24"/>
                <w:highlight w:val="none"/>
                <w:u w:val="none"/>
                <w:lang w:eastAsia="zh-CN"/>
              </w:rPr>
              <w:t>为：</w:t>
            </w:r>
            <w:r>
              <w:rPr>
                <w:rFonts w:hint="eastAsia" w:cstheme="minorBidi"/>
                <w:color w:val="auto"/>
                <w:sz w:val="21"/>
                <w:szCs w:val="24"/>
                <w:highlight w:val="none"/>
                <w:u w:val="none"/>
                <w:lang w:val="en-US" w:eastAsia="zh-CN"/>
              </w:rPr>
              <w:t>建筑</w:t>
            </w:r>
            <w:r>
              <w:rPr>
                <w:rFonts w:hint="default" w:asciiTheme="minorHAnsi" w:hAnsiTheme="minorHAnsi" w:eastAsiaTheme="minorEastAsia" w:cstheme="minorBidi"/>
                <w:color w:val="auto"/>
                <w:sz w:val="21"/>
                <w:szCs w:val="24"/>
                <w:highlight w:val="none"/>
                <w:u w:val="none"/>
              </w:rPr>
              <w:t>工程专业</w:t>
            </w:r>
            <w:r>
              <w:rPr>
                <w:rFonts w:hint="default" w:asciiTheme="minorHAnsi" w:hAnsiTheme="minorHAnsi" w:eastAsiaTheme="minorEastAsia" w:cstheme="minorBidi"/>
                <w:color w:val="auto"/>
                <w:sz w:val="21"/>
                <w:szCs w:val="24"/>
                <w:highlight w:val="none"/>
                <w:u w:val="none"/>
                <w:lang w:val="en-US" w:eastAsia="zh-CN"/>
              </w:rPr>
              <w:t>二</w:t>
            </w:r>
            <w:r>
              <w:rPr>
                <w:rFonts w:hint="default" w:asciiTheme="minorHAnsi" w:hAnsiTheme="minorHAnsi" w:eastAsiaTheme="minorEastAsia" w:cstheme="minorBidi"/>
                <w:color w:val="auto"/>
                <w:sz w:val="21"/>
                <w:szCs w:val="24"/>
                <w:highlight w:val="none"/>
                <w:u w:val="none"/>
              </w:rPr>
              <w:t>级或以上级别的注册建造师</w:t>
            </w:r>
            <w:r>
              <w:rPr>
                <w:rFonts w:hint="default" w:asciiTheme="minorHAnsi" w:hAnsiTheme="minorHAnsi" w:eastAsiaTheme="minorEastAsia" w:cstheme="minorBidi"/>
                <w:color w:val="auto"/>
                <w:sz w:val="21"/>
                <w:szCs w:val="24"/>
                <w:highlight w:val="none"/>
                <w:u w:val="none"/>
                <w:lang w:eastAsia="zh-CN"/>
              </w:rPr>
              <w:t>。</w:t>
            </w:r>
            <w:r>
              <w:rPr>
                <w:rFonts w:hint="default" w:asciiTheme="minorHAnsi" w:hAnsiTheme="minorHAnsi" w:eastAsiaTheme="minorEastAsia" w:cstheme="minorBidi"/>
                <w:b w:val="0"/>
                <w:bCs w:val="0"/>
                <w:color w:val="auto"/>
                <w:sz w:val="21"/>
                <w:szCs w:val="24"/>
                <w:highlight w:val="none"/>
                <w:u w:val="none"/>
              </w:rPr>
              <w:t>项目负责人</w:t>
            </w:r>
            <w:r>
              <w:rPr>
                <w:rFonts w:hint="default" w:asciiTheme="minorHAnsi" w:hAnsiTheme="minorHAnsi" w:eastAsiaTheme="minorEastAsia" w:cstheme="minorBidi"/>
                <w:color w:val="auto"/>
                <w:sz w:val="21"/>
                <w:szCs w:val="24"/>
                <w:highlight w:val="none"/>
                <w:u w:val="none"/>
              </w:rPr>
              <w:t>持有安全培训考核合格证（B类）</w:t>
            </w:r>
            <w:r>
              <w:rPr>
                <w:rFonts w:hint="default" w:asciiTheme="minorHAnsi" w:hAnsiTheme="minorHAnsi" w:eastAsiaTheme="minorEastAsia" w:cstheme="minorBidi"/>
                <w:b w:val="0"/>
                <w:bCs w:val="0"/>
                <w:color w:val="auto"/>
                <w:sz w:val="21"/>
                <w:szCs w:val="24"/>
                <w:highlight w:val="none"/>
                <w:u w:val="none"/>
              </w:rPr>
              <w:t>。</w:t>
            </w:r>
          </w:p>
          <w:p>
            <w:pPr>
              <w:numPr>
                <w:ilvl w:val="-1"/>
                <w:numId w:val="0"/>
              </w:numPr>
              <w:spacing w:line="360" w:lineRule="auto"/>
              <w:ind w:firstLine="0"/>
              <w:rPr>
                <w:rFonts w:hint="default" w:asciiTheme="minorHAnsi" w:hAnsiTheme="minorHAnsi" w:eastAsiaTheme="minorEastAsia" w:cstheme="minorBidi"/>
                <w:color w:val="auto"/>
                <w:kern w:val="2"/>
                <w:sz w:val="21"/>
                <w:szCs w:val="24"/>
                <w:highlight w:val="none"/>
                <w:u w:val="none"/>
                <w:lang w:val="en-US" w:eastAsia="zh-CN" w:bidi="ar-SA"/>
              </w:rPr>
            </w:pPr>
            <w:r>
              <w:rPr>
                <w:rFonts w:hint="eastAsia" w:cstheme="minorBidi"/>
                <w:b w:val="0"/>
                <w:bCs w:val="0"/>
                <w:color w:val="auto"/>
                <w:sz w:val="21"/>
                <w:szCs w:val="24"/>
                <w:highlight w:val="none"/>
                <w:u w:val="none"/>
                <w:lang w:val="en-US" w:eastAsia="zh-CN"/>
              </w:rPr>
              <w:t>2、</w:t>
            </w:r>
            <w:r>
              <w:rPr>
                <w:rFonts w:hint="default" w:asciiTheme="minorHAnsi" w:hAnsiTheme="minorHAnsi" w:eastAsiaTheme="minorEastAsia" w:cstheme="minorBidi"/>
                <w:b w:val="0"/>
                <w:bCs w:val="0"/>
                <w:color w:val="auto"/>
                <w:sz w:val="21"/>
                <w:szCs w:val="24"/>
                <w:highlight w:val="none"/>
                <w:u w:val="none"/>
              </w:rPr>
              <w:t>专职安全员须具有</w:t>
            </w:r>
            <w:r>
              <w:rPr>
                <w:rFonts w:hint="default" w:asciiTheme="minorHAnsi" w:hAnsiTheme="minorHAnsi" w:eastAsiaTheme="minorEastAsia" w:cstheme="minorBidi"/>
                <w:color w:val="auto"/>
                <w:sz w:val="21"/>
                <w:szCs w:val="24"/>
                <w:highlight w:val="none"/>
                <w:u w:val="none"/>
              </w:rPr>
              <w:t>安全生产考核合格证（C类）</w:t>
            </w:r>
            <w:r>
              <w:rPr>
                <w:rFonts w:hint="default" w:asciiTheme="minorHAnsi" w:hAnsiTheme="minorHAnsi" w:eastAsiaTheme="minorEastAsia" w:cstheme="minorBidi"/>
                <w:color w:val="auto"/>
                <w:kern w:val="2"/>
                <w:sz w:val="21"/>
                <w:szCs w:val="24"/>
                <w:highlight w:val="none"/>
                <w:u w:val="none"/>
              </w:rPr>
              <w:t>或建筑施工企业专职安全生产管理人员安全生产考核合格证书</w:t>
            </w:r>
            <w:r>
              <w:rPr>
                <w:rFonts w:hint="default" w:asciiTheme="minorHAnsi" w:hAnsiTheme="minorHAnsi" w:eastAsiaTheme="minorEastAsia" w:cstheme="minorBidi"/>
                <w:b w:val="0"/>
                <w:bCs w:val="0"/>
                <w:color w:val="auto"/>
                <w:sz w:val="21"/>
                <w:szCs w:val="24"/>
                <w:highlight w:val="none"/>
                <w:u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4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before="0" w:beforeAutospacing="0" w:after="0" w:line="440" w:lineRule="exact"/>
              <w:ind w:left="0" w:leftChars="0" w:right="0" w:rightChars="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spacing w:line="440" w:lineRule="exact"/>
              <w:ind w:firstLine="0"/>
              <w:jc w:val="both"/>
              <w:rPr>
                <w:rFonts w:hint="eastAsia" w:ascii="宋体" w:hAnsi="宋体" w:eastAsia="宋体" w:cs="宋体"/>
                <w:color w:val="auto"/>
                <w:sz w:val="21"/>
                <w:szCs w:val="21"/>
                <w:highlight w:val="none"/>
                <w:u w:val="none"/>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193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360" w:lineRule="auto"/>
              <w:ind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招标控制价为</w:t>
            </w:r>
            <w:r>
              <w:rPr>
                <w:rFonts w:hint="eastAsia" w:ascii="宋体" w:hAnsi="宋体" w:eastAsia="宋体" w:cs="宋体"/>
                <w:color w:val="auto"/>
                <w:highlight w:val="none"/>
                <w:lang w:val="en-US" w:eastAsia="zh-CN"/>
              </w:rPr>
              <w:t>¥350,410.75</w:t>
            </w:r>
            <w:r>
              <w:rPr>
                <w:rFonts w:hint="eastAsia" w:ascii="宋体" w:hAnsi="宋体" w:eastAsia="宋体" w:cs="宋体"/>
                <w:color w:val="auto"/>
                <w:highlight w:val="none"/>
              </w:rPr>
              <w:t>元</w:t>
            </w:r>
            <w:r>
              <w:rPr>
                <w:rFonts w:hint="eastAsia" w:ascii="宋体" w:hAnsi="宋体" w:eastAsia="宋体" w:cs="宋体"/>
                <w:color w:val="auto"/>
                <w:highlight w:val="none"/>
                <w:lang w:eastAsia="zh-CN"/>
              </w:rPr>
              <w:t>（大写：人民币</w:t>
            </w:r>
            <w:r>
              <w:rPr>
                <w:rFonts w:hint="eastAsia" w:ascii="宋体" w:hAnsi="宋体" w:eastAsia="宋体" w:cs="宋体"/>
                <w:color w:val="auto"/>
                <w:highlight w:val="none"/>
                <w:lang w:val="en-US" w:eastAsia="zh-CN"/>
              </w:rPr>
              <w:t>叁拾伍万零肆佰壹拾元柒角伍分</w:t>
            </w:r>
            <w:r>
              <w:rPr>
                <w:rFonts w:hint="eastAsia" w:ascii="宋体" w:hAnsi="宋体" w:eastAsia="宋体" w:cs="宋体"/>
                <w:color w:val="auto"/>
                <w:highlight w:val="none"/>
                <w:lang w:eastAsia="zh-CN"/>
              </w:rPr>
              <w:t>），其中，绿色施工安全防护措施费为</w:t>
            </w:r>
            <w:r>
              <w:rPr>
                <w:rFonts w:hint="eastAsia" w:ascii="宋体" w:hAnsi="宋体" w:eastAsia="宋体" w:cs="宋体"/>
                <w:color w:val="auto"/>
                <w:highlight w:val="none"/>
                <w:lang w:val="en-US" w:eastAsia="zh-CN"/>
              </w:rPr>
              <w:t>¥11,316.72元（固定值）</w:t>
            </w:r>
            <w:r>
              <w:rPr>
                <w:rFonts w:hint="eastAsia" w:ascii="宋体" w:hAnsi="宋体" w:eastAsia="宋体" w:cs="宋体"/>
                <w:color w:val="auto"/>
                <w:highlight w:val="none"/>
                <w:lang w:eastAsia="zh-CN"/>
              </w:rPr>
              <w:t>。</w:t>
            </w:r>
          </w:p>
          <w:p>
            <w:pPr>
              <w:pStyle w:val="2"/>
              <w:widowControl/>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投标单位自行报价，投标总报价不能超过招标控制价，否则按无效投标处理。（小数点后保留二位小数，第三位小数四舍五入）</w:t>
            </w:r>
          </w:p>
        </w:tc>
      </w:tr>
      <w:tr>
        <w:tblPrEx>
          <w:tblCellMar>
            <w:top w:w="0" w:type="dxa"/>
            <w:left w:w="108" w:type="dxa"/>
            <w:bottom w:w="0" w:type="dxa"/>
            <w:right w:w="108" w:type="dxa"/>
          </w:tblCellMar>
        </w:tblPrEx>
        <w:trPr>
          <w:trHeight w:val="43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326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color w:val="auto"/>
                <w:highlight w:val="none"/>
              </w:rPr>
            </w:pPr>
            <w:r>
              <w:rPr>
                <w:rFonts w:hint="eastAsia"/>
                <w:color w:val="auto"/>
                <w:highlight w:val="none"/>
              </w:rPr>
              <w:t>1、金额：人民币</w:t>
            </w:r>
            <w:r>
              <w:rPr>
                <w:rFonts w:hint="eastAsia"/>
                <w:color w:val="auto"/>
                <w:highlight w:val="none"/>
                <w:lang w:val="en-US" w:eastAsia="zh-CN"/>
              </w:rPr>
              <w:t>伍仟</w:t>
            </w:r>
            <w:r>
              <w:rPr>
                <w:rFonts w:hint="eastAsia"/>
                <w:color w:val="auto"/>
                <w:highlight w:val="none"/>
              </w:rPr>
              <w:t>元。</w:t>
            </w:r>
          </w:p>
          <w:p>
            <w:pPr>
              <w:numPr>
                <w:ilvl w:val="-1"/>
                <w:numId w:val="0"/>
              </w:numPr>
              <w:adjustRightInd w:val="0"/>
              <w:snapToGrid w:val="0"/>
              <w:spacing w:line="360" w:lineRule="auto"/>
              <w:rPr>
                <w:rFonts w:hint="eastAsia"/>
                <w:color w:val="auto"/>
                <w:highlight w:val="none"/>
                <w:lang w:eastAsia="zh-CN"/>
              </w:rPr>
            </w:pPr>
            <w:r>
              <w:rPr>
                <w:rFonts w:hint="eastAsia"/>
                <w:color w:val="auto"/>
                <w:highlight w:val="none"/>
              </w:rPr>
              <w:t>2、缴纳方式：</w:t>
            </w:r>
            <w:r>
              <w:rPr>
                <w:rFonts w:hint="eastAsia"/>
                <w:color w:val="auto"/>
                <w:highlight w:val="none"/>
                <w:lang w:eastAsia="zh-CN"/>
              </w:rPr>
              <w:t>银行转账。</w:t>
            </w:r>
          </w:p>
          <w:p>
            <w:pPr>
              <w:numPr>
                <w:ilvl w:val="-1"/>
                <w:numId w:val="0"/>
              </w:numPr>
              <w:adjustRightInd w:val="0"/>
              <w:spacing w:line="360" w:lineRule="auto"/>
              <w:rPr>
                <w:rFonts w:hint="eastAsia"/>
                <w:color w:val="auto"/>
                <w:highlight w:val="none"/>
                <w:lang w:eastAsia="zh-CN"/>
              </w:rPr>
            </w:pPr>
            <w:r>
              <w:rPr>
                <w:rFonts w:hint="eastAsia"/>
                <w:color w:val="auto"/>
                <w:highlight w:val="none"/>
              </w:rPr>
              <w:t>账户名称：</w:t>
            </w:r>
            <w:r>
              <w:rPr>
                <w:color w:val="auto"/>
                <w:highlight w:val="none"/>
              </w:rPr>
              <w:t>广州南沙</w:t>
            </w:r>
            <w:r>
              <w:rPr>
                <w:rFonts w:hint="eastAsia" w:asciiTheme="minorHAnsi" w:eastAsiaTheme="minorEastAsia"/>
                <w:color w:val="auto"/>
                <w:highlight w:val="none"/>
                <w:lang w:val="en-US" w:eastAsia="zh-CN"/>
              </w:rPr>
              <w:t>湿地旅游发展</w:t>
            </w:r>
            <w:r>
              <w:rPr>
                <w:color w:val="auto"/>
                <w:highlight w:val="none"/>
              </w:rPr>
              <w:t>有限公司</w:t>
            </w:r>
          </w:p>
          <w:p>
            <w:pPr>
              <w:numPr>
                <w:ilvl w:val="-1"/>
                <w:numId w:val="0"/>
              </w:numPr>
              <w:tabs>
                <w:tab w:val="left" w:pos="2940"/>
              </w:tabs>
              <w:adjustRightInd w:val="0"/>
              <w:spacing w:line="360" w:lineRule="auto"/>
              <w:rPr>
                <w:rFonts w:hint="default"/>
                <w:color w:val="auto"/>
                <w:highlight w:val="none"/>
                <w:lang w:eastAsia="zh-CN"/>
              </w:rPr>
            </w:pPr>
            <w:r>
              <w:rPr>
                <w:rFonts w:hint="eastAsia"/>
                <w:color w:val="auto"/>
                <w:highlight w:val="none"/>
              </w:rPr>
              <w:t>开户银行：</w:t>
            </w:r>
            <w:r>
              <w:rPr>
                <w:rFonts w:hint="default"/>
                <w:color w:val="auto"/>
                <w:highlight w:val="none"/>
                <w:lang w:val="en-US" w:eastAsia="zh-CN"/>
              </w:rPr>
              <w:t>广州农村商业银行新丰分理处</w:t>
            </w:r>
          </w:p>
          <w:p>
            <w:pPr>
              <w:numPr>
                <w:ilvl w:val="-1"/>
                <w:numId w:val="0"/>
              </w:numPr>
              <w:adjustRightInd w:val="0"/>
              <w:spacing w:line="360" w:lineRule="auto"/>
              <w:rPr>
                <w:rFonts w:hint="default"/>
                <w:color w:val="auto"/>
                <w:highlight w:val="none"/>
                <w:lang w:val="en-US" w:eastAsia="zh-CN"/>
              </w:rPr>
            </w:pPr>
            <w:r>
              <w:rPr>
                <w:rFonts w:hint="eastAsia"/>
                <w:color w:val="auto"/>
                <w:highlight w:val="none"/>
              </w:rPr>
              <w:t>账号</w:t>
            </w:r>
            <w:r>
              <w:rPr>
                <w:rFonts w:hint="default"/>
                <w:color w:val="auto"/>
                <w:highlight w:val="none"/>
              </w:rPr>
              <w:t>：05621949000000074</w:t>
            </w:r>
          </w:p>
          <w:p>
            <w:pPr>
              <w:numPr>
                <w:ilvl w:val="0"/>
                <w:numId w:val="2"/>
              </w:numPr>
              <w:adjustRightInd w:val="0"/>
              <w:snapToGrid w:val="0"/>
              <w:spacing w:line="360" w:lineRule="auto"/>
              <w:rPr>
                <w:rFonts w:hint="eastAsia"/>
                <w:color w:val="auto"/>
                <w:highlight w:val="none"/>
                <w:lang w:val="en-US" w:eastAsia="zh-CN"/>
              </w:rPr>
            </w:pPr>
            <w:r>
              <w:rPr>
                <w:rFonts w:hint="eastAsia"/>
                <w:color w:val="auto"/>
                <w:highlight w:val="none"/>
              </w:rPr>
              <w:t>缴纳时间：投标单位须在202</w:t>
            </w:r>
            <w:r>
              <w:rPr>
                <w:rFonts w:hint="eastAsia"/>
                <w:color w:val="auto"/>
                <w:highlight w:val="none"/>
                <w:lang w:val="en-US" w:eastAsia="zh-CN"/>
              </w:rPr>
              <w:t>4</w:t>
            </w:r>
            <w:r>
              <w:rPr>
                <w:rFonts w:hint="eastAsia"/>
                <w:color w:val="auto"/>
                <w:highlight w:val="none"/>
              </w:rPr>
              <w:t>年</w:t>
            </w:r>
            <w:r>
              <w:rPr>
                <w:rFonts w:hint="eastAsia"/>
                <w:color w:val="auto"/>
                <w:highlight w:val="none"/>
                <w:lang w:val="en-US" w:eastAsia="zh-CN"/>
              </w:rPr>
              <w:t>9月12</w:t>
            </w:r>
            <w:r>
              <w:rPr>
                <w:rFonts w:hint="eastAsia"/>
                <w:color w:val="auto"/>
                <w:highlight w:val="none"/>
              </w:rPr>
              <w:t>日</w:t>
            </w:r>
            <w:r>
              <w:rPr>
                <w:rFonts w:hint="eastAsia"/>
                <w:color w:val="auto"/>
                <w:highlight w:val="none"/>
                <w:lang w:eastAsia="zh-CN"/>
              </w:rPr>
              <w:t>（星期</w:t>
            </w:r>
            <w:r>
              <w:rPr>
                <w:rFonts w:hint="eastAsia"/>
                <w:color w:val="auto"/>
                <w:highlight w:val="none"/>
                <w:lang w:val="en-US" w:eastAsia="zh-CN"/>
              </w:rPr>
              <w:t>四</w:t>
            </w:r>
            <w:r>
              <w:rPr>
                <w:rFonts w:hint="eastAsia"/>
                <w:color w:val="auto"/>
                <w:highlight w:val="none"/>
                <w:lang w:eastAsia="zh-CN"/>
              </w:rPr>
              <w:t>）</w:t>
            </w:r>
            <w:r>
              <w:rPr>
                <w:rFonts w:hint="eastAsia"/>
                <w:color w:val="auto"/>
                <w:highlight w:val="none"/>
                <w:lang w:val="en-US" w:eastAsia="zh-CN"/>
              </w:rPr>
              <w:t>16</w:t>
            </w:r>
            <w:r>
              <w:rPr>
                <w:rFonts w:hint="eastAsia"/>
                <w:color w:val="auto"/>
                <w:highlight w:val="none"/>
              </w:rPr>
              <w:t>时</w:t>
            </w:r>
            <w:r>
              <w:rPr>
                <w:rFonts w:hint="eastAsia"/>
                <w:color w:val="auto"/>
                <w:highlight w:val="none"/>
                <w:lang w:val="en-US" w:eastAsia="zh-CN"/>
              </w:rPr>
              <w:t>30</w:t>
            </w:r>
            <w:r>
              <w:rPr>
                <w:rFonts w:hint="eastAsia"/>
                <w:color w:val="auto"/>
                <w:highlight w:val="none"/>
              </w:rPr>
              <w:t>分</w:t>
            </w:r>
            <w:r>
              <w:rPr>
                <w:rFonts w:hint="eastAsia"/>
                <w:color w:val="auto"/>
                <w:highlight w:val="none"/>
                <w:lang w:eastAsia="zh-CN"/>
              </w:rPr>
              <w:t>前</w:t>
            </w:r>
            <w:r>
              <w:rPr>
                <w:rFonts w:hint="eastAsia"/>
                <w:color w:val="auto"/>
                <w:highlight w:val="none"/>
              </w:rPr>
              <w:t>以投标人转出【以招标单位查询的信息为准，汇款时备注：</w:t>
            </w:r>
            <w:r>
              <w:rPr>
                <w:rFonts w:hint="eastAsia" w:ascii="宋体" w:hAnsi="宋体" w:eastAsia="宋体" w:cs="宋体"/>
                <w:b w:val="0"/>
                <w:bCs w:val="0"/>
                <w:color w:val="auto"/>
                <w:sz w:val="21"/>
                <w:szCs w:val="21"/>
                <w:highlight w:val="none"/>
                <w:lang w:val="en-US" w:eastAsia="zh-CN"/>
              </w:rPr>
              <w:t>新垦空气质量监测子站站房和配套设施项目</w:t>
            </w:r>
            <w:r>
              <w:rPr>
                <w:rFonts w:hint="eastAsia"/>
                <w:color w:val="auto"/>
                <w:highlight w:val="none"/>
              </w:rPr>
              <w:t>投标保证金】</w:t>
            </w:r>
          </w:p>
          <w:p>
            <w:pPr>
              <w:pStyle w:val="2"/>
              <w:numPr>
                <w:ilvl w:val="-1"/>
                <w:numId w:val="0"/>
              </w:numPr>
              <w:spacing w:line="360" w:lineRule="auto"/>
              <w:rPr>
                <w:rFonts w:hint="eastAsia"/>
                <w:color w:val="auto"/>
                <w:highlight w:val="none"/>
                <w:lang w:val="en-US" w:eastAsia="zh-CN"/>
              </w:rPr>
            </w:pP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8"/>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281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8"/>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8"/>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9月13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9月13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8"/>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9月13</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8"/>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8"/>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rPr>
              <w:t>综合评</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rPr>
              <w:t>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pPr>
        <w:spacing w:line="240" w:lineRule="auto"/>
        <w:jc w:val="center"/>
        <w:outlineLvl w:val="9"/>
        <w:rPr>
          <w:rFonts w:hint="eastAsia" w:ascii="宋体" w:hAnsi="宋体" w:eastAsia="宋体" w:cs="宋体"/>
          <w:b/>
          <w:color w:val="auto"/>
          <w:sz w:val="36"/>
          <w:szCs w:val="36"/>
          <w:highlight w:val="none"/>
        </w:rPr>
      </w:pPr>
    </w:p>
    <w:p>
      <w:pPr>
        <w:spacing w:line="240" w:lineRule="auto"/>
        <w:jc w:val="center"/>
        <w:outlineLvl w:val="9"/>
        <w:rPr>
          <w:rFonts w:hint="eastAsia" w:ascii="宋体" w:hAnsi="宋体" w:eastAsia="宋体" w:cs="宋体"/>
          <w:b/>
          <w:color w:val="auto"/>
          <w:sz w:val="36"/>
          <w:szCs w:val="36"/>
          <w:highlight w:val="none"/>
        </w:rPr>
      </w:pPr>
    </w:p>
    <w:p>
      <w:pPr>
        <w:pStyle w:val="2"/>
        <w:rPr>
          <w:rFonts w:hint="eastAsia" w:ascii="宋体" w:hAnsi="宋体" w:eastAsia="宋体" w:cs="宋体"/>
          <w:b/>
          <w:color w:val="auto"/>
          <w:sz w:val="36"/>
          <w:szCs w:val="36"/>
          <w:highlight w:val="none"/>
        </w:rPr>
      </w:pPr>
    </w:p>
    <w:p>
      <w:pPr>
        <w:rPr>
          <w:rFonts w:hint="eastAsia" w:ascii="宋体" w:hAnsi="宋体" w:eastAsia="宋体" w:cs="宋体"/>
          <w:b/>
          <w:color w:val="auto"/>
          <w:sz w:val="36"/>
          <w:szCs w:val="36"/>
          <w:highlight w:val="none"/>
        </w:rPr>
      </w:pPr>
    </w:p>
    <w:p>
      <w:pPr>
        <w:pStyle w:val="2"/>
        <w:rPr>
          <w:rFonts w:hint="eastAsia" w:ascii="宋体" w:hAnsi="宋体" w:eastAsia="宋体" w:cs="宋体"/>
          <w:b/>
          <w:color w:val="auto"/>
          <w:sz w:val="36"/>
          <w:szCs w:val="36"/>
          <w:highlight w:val="none"/>
        </w:rPr>
      </w:pPr>
    </w:p>
    <w:p>
      <w:pPr>
        <w:rPr>
          <w:rFonts w:hint="eastAsia"/>
          <w:color w:val="auto"/>
          <w:highlight w:val="none"/>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color w:val="auto"/>
          <w:highlight w:val="none"/>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8"/>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bookmarkStart w:id="97" w:name="_GoBack"/>
      <w:bookmarkEnd w:id="97"/>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8.2招标答疑会会议纪要将在提交投标文件截止时间1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8.3答疑会会议纪要为招标文件的一部分。</w:t>
      </w:r>
    </w:p>
    <w:p>
      <w:pPr>
        <w:spacing w:line="360" w:lineRule="auto"/>
        <w:ind w:firstLine="480" w:firstLineChars="200"/>
        <w:outlineLvl w:val="3"/>
        <w:rPr>
          <w:rFonts w:hint="eastAsia" w:ascii="宋体" w:hAnsi="宋体" w:cs="宋体"/>
          <w:b/>
          <w:color w:val="auto"/>
          <w:sz w:val="24"/>
          <w:highlight w:val="none"/>
        </w:rPr>
      </w:pPr>
      <w:r>
        <w:rPr>
          <w:rFonts w:hint="eastAsia" w:ascii="宋体" w:hAnsi="宋体" w:eastAsia="宋体" w:cs="宋体"/>
          <w:color w:val="auto"/>
          <w:kern w:val="2"/>
          <w:sz w:val="24"/>
          <w:szCs w:val="24"/>
          <w:highlight w:val="none"/>
          <w:lang w:val="en-US" w:eastAsia="zh-CN" w:bidi="ar-SA"/>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8"/>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8"/>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8"/>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8"/>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color w:val="auto"/>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项目负责人相关经验及业绩</w:t>
      </w:r>
      <w:r>
        <w:rPr>
          <w:rFonts w:hint="eastAsia" w:ascii="宋体" w:hAnsi="宋体" w:eastAsia="宋体" w:cs="宋体"/>
          <w:color w:val="auto"/>
          <w:sz w:val="24"/>
          <w:highlight w:val="none"/>
        </w:rPr>
        <w:t>（按招标文件第3章格式填写）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13</w:t>
      </w:r>
      <w:r>
        <w:rPr>
          <w:rFonts w:hint="eastAsia" w:ascii="宋体" w:hAnsi="宋体" w:eastAsia="宋体" w:cs="宋体"/>
          <w:color w:val="auto"/>
          <w:sz w:val="24"/>
          <w:highlight w:val="none"/>
        </w:rPr>
        <w:t>投标文件电子版（</w:t>
      </w:r>
      <w:r>
        <w:rPr>
          <w:rFonts w:hAnsi="宋体" w:cs="宋体"/>
          <w:color w:val="auto"/>
          <w:sz w:val="24"/>
          <w:highlight w:val="none"/>
        </w:rPr>
        <w:t>刻录光盘或提供U盘，需为公司盖章版本</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11.14投标申请人声明。</w:t>
      </w:r>
    </w:p>
    <w:p>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 xml:space="preserve">11.15施工组织方案。 </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11.17投标人认为需要提供的其他文件。</w:t>
      </w:r>
    </w:p>
    <w:p>
      <w:pPr>
        <w:pStyle w:val="18"/>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8"/>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18"/>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8"/>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8"/>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8"/>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8"/>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8"/>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8"/>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8"/>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18"/>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8"/>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8"/>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8"/>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8"/>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8"/>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8"/>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8"/>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8"/>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8"/>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8"/>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8"/>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11" w:name="_Toc1632"/>
      <w:bookmarkStart w:id="12"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13" w:name="_Toc28984"/>
      <w:bookmarkStart w:id="14" w:name="_Toc7252"/>
      <w:bookmarkStart w:id="15" w:name="_Toc8409"/>
      <w:bookmarkStart w:id="16" w:name="_Toc22411"/>
      <w:bookmarkStart w:id="17" w:name="_Toc10474"/>
      <w:bookmarkStart w:id="18" w:name="_Toc8457"/>
      <w:bookmarkStart w:id="19" w:name="_Toc28921"/>
      <w:r>
        <w:rPr>
          <w:rFonts w:hint="eastAsia" w:ascii="方正小标宋简体" w:hAnsi="方正小标宋简体" w:eastAsia="方正小标宋简体" w:cs="方正小标宋简体"/>
          <w:b/>
          <w:color w:val="auto"/>
          <w:kern w:val="44"/>
          <w:sz w:val="36"/>
          <w:szCs w:val="36"/>
          <w:highlight w:val="none"/>
        </w:rPr>
        <w:t>第2章 项目需求书</w:t>
      </w:r>
      <w:bookmarkEnd w:id="11"/>
      <w:bookmarkEnd w:id="13"/>
      <w:bookmarkEnd w:id="14"/>
      <w:bookmarkEnd w:id="15"/>
      <w:bookmarkEnd w:id="16"/>
      <w:bookmarkEnd w:id="17"/>
      <w:bookmarkEnd w:id="18"/>
      <w:bookmarkEnd w:id="19"/>
    </w:p>
    <w:p>
      <w:pPr>
        <w:rPr>
          <w:rFonts w:ascii="宋体" w:hAnsi="宋体" w:eastAsia="宋体" w:cs="宋体"/>
          <w:b/>
          <w:color w:val="auto"/>
          <w:sz w:val="30"/>
          <w:szCs w:val="30"/>
          <w:highlight w:val="none"/>
        </w:rPr>
      </w:pPr>
    </w:p>
    <w:p>
      <w:pPr>
        <w:pStyle w:val="8"/>
        <w:spacing w:line="560" w:lineRule="exact"/>
        <w:rPr>
          <w:rFonts w:hint="eastAsia" w:ascii="宋体" w:hAnsi="宋体" w:eastAsia="宋体" w:cs="Times New Roman"/>
          <w:b/>
          <w:color w:val="auto"/>
          <w:kern w:val="0"/>
          <w:sz w:val="28"/>
          <w:szCs w:val="20"/>
          <w:highlight w:val="none"/>
          <w:u w:val="none"/>
          <w:lang w:val="en-US" w:eastAsia="zh-CN"/>
        </w:rPr>
      </w:pPr>
      <w:bookmarkStart w:id="20" w:name="_Toc23673"/>
      <w:r>
        <w:rPr>
          <w:rFonts w:hint="eastAsia" w:ascii="宋体" w:hAnsi="宋体" w:eastAsia="宋体" w:cs="Times New Roman"/>
          <w:b/>
          <w:color w:val="auto"/>
          <w:kern w:val="0"/>
          <w:sz w:val="28"/>
          <w:szCs w:val="20"/>
          <w:highlight w:val="none"/>
          <w:u w:val="none"/>
        </w:rPr>
        <w:t>一、项目</w:t>
      </w:r>
      <w:r>
        <w:rPr>
          <w:rFonts w:hint="eastAsia" w:ascii="宋体" w:hAnsi="宋体" w:eastAsia="宋体" w:cs="Times New Roman"/>
          <w:b/>
          <w:color w:val="auto"/>
          <w:kern w:val="0"/>
          <w:sz w:val="28"/>
          <w:szCs w:val="20"/>
          <w:highlight w:val="none"/>
          <w:u w:val="none"/>
          <w:lang w:val="en-US" w:eastAsia="zh-CN"/>
        </w:rPr>
        <w:t>概况</w:t>
      </w:r>
      <w:bookmarkEnd w:id="20"/>
    </w:p>
    <w:p>
      <w:pPr>
        <w:pStyle w:val="5"/>
        <w:spacing w:line="560" w:lineRule="exact"/>
        <w:ind w:firstLine="560" w:firstLineChars="200"/>
        <w:rPr>
          <w:rFonts w:hint="eastAsia" w:ascii="宋体" w:hAnsi="宋体" w:eastAsia="宋体" w:cs="宋体"/>
          <w:b w:val="0"/>
          <w:bCs w:val="0"/>
          <w:snapToGrid/>
          <w:color w:val="auto"/>
          <w:kern w:val="2"/>
          <w:sz w:val="28"/>
          <w:szCs w:val="28"/>
          <w:highlight w:val="none"/>
          <w:u w:val="none"/>
          <w:lang w:val="en-US" w:eastAsia="zh-CN" w:bidi="ar-SA"/>
        </w:rPr>
      </w:pPr>
      <w:r>
        <w:rPr>
          <w:rFonts w:hint="eastAsia" w:ascii="宋体" w:hAnsi="宋体" w:eastAsia="宋体" w:cs="宋体"/>
          <w:b w:val="0"/>
          <w:bCs w:val="0"/>
          <w:snapToGrid/>
          <w:color w:val="auto"/>
          <w:kern w:val="2"/>
          <w:sz w:val="28"/>
          <w:szCs w:val="28"/>
          <w:highlight w:val="none"/>
          <w:u w:val="none"/>
          <w:lang w:val="en-US" w:eastAsia="zh-CN" w:bidi="ar-SA"/>
        </w:rPr>
        <w:t>本项目站房建设主要为南沙区新垦空气质量监测子站、新垦臭氧立体监测子站站房建设，站房计划建于南沙区万顷沙镇十八涌南沙湿地监测站楼顶。站房建设尺寸面积约为46㎡。项目总投资约40万元。</w:t>
      </w:r>
    </w:p>
    <w:p>
      <w:pPr>
        <w:pStyle w:val="5"/>
        <w:spacing w:line="560" w:lineRule="exact"/>
        <w:ind w:firstLine="0" w:firstLineChars="0"/>
        <w:rPr>
          <w:rFonts w:hint="eastAsia" w:ascii="宋体" w:hAnsi="宋体" w:eastAsia="宋体" w:cs="宋体"/>
          <w:b/>
          <w:color w:val="auto"/>
          <w:kern w:val="0"/>
          <w:sz w:val="28"/>
          <w:szCs w:val="20"/>
          <w:highlight w:val="none"/>
        </w:rPr>
      </w:pPr>
      <w:r>
        <w:rPr>
          <w:rFonts w:hint="eastAsia" w:ascii="宋体" w:hAnsi="宋体" w:eastAsia="宋体" w:cs="宋体"/>
          <w:b/>
          <w:color w:val="auto"/>
          <w:kern w:val="0"/>
          <w:sz w:val="28"/>
          <w:szCs w:val="20"/>
          <w:highlight w:val="none"/>
          <w:lang w:eastAsia="zh-CN"/>
        </w:rPr>
        <w:t>二、招标范围</w:t>
      </w:r>
    </w:p>
    <w:p>
      <w:pPr>
        <w:spacing w:line="560" w:lineRule="exact"/>
        <w:ind w:firstLine="560" w:firstLineChars="200"/>
        <w:rPr>
          <w:rFonts w:hint="eastAsia" w:ascii="宋体" w:hAnsi="宋体" w:eastAsia="宋体" w:cs="宋体"/>
          <w:b w:val="0"/>
          <w:color w:val="auto"/>
          <w:kern w:val="2"/>
          <w:sz w:val="28"/>
          <w:szCs w:val="28"/>
          <w:highlight w:val="none"/>
          <w:u w:val="none"/>
        </w:rPr>
      </w:pPr>
      <w:r>
        <w:rPr>
          <w:rFonts w:hint="eastAsia" w:ascii="宋体" w:hAnsi="宋体" w:eastAsia="宋体" w:cs="宋体"/>
          <w:b w:val="0"/>
          <w:bCs w:val="0"/>
          <w:color w:val="auto"/>
          <w:sz w:val="28"/>
          <w:szCs w:val="28"/>
          <w:highlight w:val="none"/>
          <w:u w:val="none"/>
          <w:lang w:val="en-US" w:eastAsia="zh-CN"/>
        </w:rPr>
        <w:t>完成新垦空气质量监测子站站房及配套设施建设，包括</w:t>
      </w:r>
      <w:r>
        <w:rPr>
          <w:rFonts w:hint="eastAsia" w:ascii="宋体" w:hAnsi="宋体" w:eastAsia="宋体" w:cs="宋体"/>
          <w:color w:val="auto"/>
          <w:spacing w:val="0"/>
          <w:sz w:val="28"/>
          <w:szCs w:val="28"/>
          <w:highlight w:val="none"/>
          <w:u w:val="none"/>
          <w:lang w:val="en-US" w:eastAsia="zh-CN"/>
        </w:rPr>
        <w:t>站房结构及装修、安装等，具体以实际施工图纸、工程量清单为准。</w:t>
      </w:r>
      <w:r>
        <w:rPr>
          <w:rFonts w:hint="eastAsia" w:ascii="宋体" w:hAnsi="宋体" w:eastAsia="宋体" w:cs="宋体"/>
          <w:color w:val="auto"/>
          <w:kern w:val="2"/>
          <w:sz w:val="28"/>
          <w:szCs w:val="28"/>
          <w:highlight w:val="none"/>
          <w:u w:val="none"/>
          <w:lang w:val="en-US" w:eastAsia="zh-CN"/>
        </w:rPr>
        <w:t>投标</w:t>
      </w:r>
      <w:r>
        <w:rPr>
          <w:rFonts w:hint="eastAsia" w:ascii="宋体" w:hAnsi="宋体" w:eastAsia="宋体" w:cs="宋体"/>
          <w:color w:val="auto"/>
          <w:kern w:val="2"/>
          <w:sz w:val="28"/>
          <w:szCs w:val="28"/>
          <w:highlight w:val="none"/>
          <w:u w:val="none"/>
        </w:rPr>
        <w:t>人需按</w:t>
      </w:r>
      <w:r>
        <w:rPr>
          <w:rFonts w:hint="eastAsia" w:ascii="宋体" w:hAnsi="宋体" w:eastAsia="宋体" w:cs="宋体"/>
          <w:color w:val="auto"/>
          <w:kern w:val="2"/>
          <w:sz w:val="28"/>
          <w:szCs w:val="28"/>
          <w:highlight w:val="none"/>
          <w:u w:val="none"/>
          <w:lang w:val="en-US" w:eastAsia="zh-CN"/>
        </w:rPr>
        <w:t>招标文件、图纸规范等</w:t>
      </w:r>
      <w:r>
        <w:rPr>
          <w:rFonts w:hint="eastAsia" w:ascii="宋体" w:hAnsi="宋体" w:eastAsia="宋体" w:cs="宋体"/>
          <w:color w:val="auto"/>
          <w:kern w:val="2"/>
          <w:sz w:val="28"/>
          <w:szCs w:val="28"/>
          <w:highlight w:val="none"/>
          <w:u w:val="none"/>
        </w:rPr>
        <w:t>要求</w:t>
      </w:r>
      <w:r>
        <w:rPr>
          <w:rFonts w:hint="eastAsia" w:ascii="宋体" w:hAnsi="宋体" w:eastAsia="宋体" w:cs="宋体"/>
          <w:color w:val="auto"/>
          <w:kern w:val="2"/>
          <w:sz w:val="28"/>
          <w:szCs w:val="28"/>
          <w:highlight w:val="none"/>
          <w:u w:val="none"/>
          <w:lang w:val="en-US" w:eastAsia="zh-CN"/>
        </w:rPr>
        <w:t>进行</w:t>
      </w:r>
      <w:r>
        <w:rPr>
          <w:rFonts w:hint="eastAsia" w:ascii="宋体" w:hAnsi="宋体" w:eastAsia="宋体" w:cs="宋体"/>
          <w:color w:val="auto"/>
          <w:kern w:val="2"/>
          <w:sz w:val="28"/>
          <w:szCs w:val="28"/>
          <w:highlight w:val="none"/>
          <w:u w:val="none"/>
        </w:rPr>
        <w:t>施工，</w:t>
      </w:r>
      <w:r>
        <w:rPr>
          <w:rFonts w:hint="eastAsia" w:ascii="宋体" w:hAnsi="宋体" w:eastAsia="宋体" w:cs="宋体"/>
          <w:color w:val="auto"/>
          <w:kern w:val="2"/>
          <w:sz w:val="28"/>
          <w:szCs w:val="28"/>
          <w:highlight w:val="none"/>
          <w:u w:val="none"/>
          <w:lang w:val="en-US" w:eastAsia="zh-CN"/>
        </w:rPr>
        <w:t>如</w:t>
      </w:r>
      <w:r>
        <w:rPr>
          <w:rFonts w:hint="eastAsia" w:ascii="宋体" w:hAnsi="宋体" w:eastAsia="宋体" w:cs="宋体"/>
          <w:color w:val="auto"/>
          <w:kern w:val="2"/>
          <w:sz w:val="28"/>
          <w:szCs w:val="28"/>
          <w:highlight w:val="none"/>
          <w:u w:val="none"/>
        </w:rPr>
        <w:t>设计图纸有调整时，必须服从要求调整</w:t>
      </w:r>
      <w:r>
        <w:rPr>
          <w:rFonts w:hint="eastAsia" w:ascii="宋体" w:hAnsi="宋体" w:eastAsia="宋体" w:cs="宋体"/>
          <w:bCs w:val="0"/>
          <w:color w:val="auto"/>
          <w:sz w:val="28"/>
          <w:szCs w:val="28"/>
          <w:highlight w:val="none"/>
          <w:u w:val="none"/>
          <w:lang w:eastAsia="zh-CN"/>
        </w:rPr>
        <w:t>。</w:t>
      </w:r>
      <w:r>
        <w:rPr>
          <w:rFonts w:hint="eastAsia" w:ascii="宋体" w:hAnsi="宋体" w:eastAsia="宋体" w:cs="宋体"/>
          <w:b w:val="0"/>
          <w:color w:val="auto"/>
          <w:kern w:val="2"/>
          <w:sz w:val="28"/>
          <w:szCs w:val="28"/>
          <w:highlight w:val="none"/>
          <w:u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21" w:name="_Toc27735"/>
      <w:bookmarkStart w:id="22" w:name="_Toc2266"/>
      <w:bookmarkStart w:id="23" w:name="_Toc10090"/>
      <w:bookmarkStart w:id="24" w:name="_Toc2908"/>
      <w:bookmarkStart w:id="25" w:name="_Toc5931"/>
      <w:bookmarkStart w:id="26" w:name="_Toc28153"/>
      <w:bookmarkStart w:id="27" w:name="_Toc19076"/>
      <w:r>
        <w:rPr>
          <w:rFonts w:hint="eastAsia" w:ascii="黑体" w:hAnsi="宋体" w:cs="黑体"/>
          <w:b/>
          <w:color w:val="auto"/>
          <w:kern w:val="44"/>
          <w:sz w:val="44"/>
          <w:szCs w:val="44"/>
          <w:highlight w:val="none"/>
        </w:rPr>
        <w:t>第3章  投标格式文件</w:t>
      </w:r>
      <w:bookmarkEnd w:id="12"/>
      <w:bookmarkEnd w:id="21"/>
      <w:bookmarkEnd w:id="22"/>
      <w:bookmarkEnd w:id="23"/>
      <w:bookmarkEnd w:id="24"/>
      <w:bookmarkEnd w:id="25"/>
      <w:bookmarkEnd w:id="26"/>
      <w:bookmarkEnd w:id="27"/>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宋体"/>
          <w:b w:val="0"/>
          <w:bCs w:val="0"/>
          <w:color w:val="auto"/>
          <w:sz w:val="24"/>
          <w:szCs w:val="24"/>
          <w:highlight w:val="none"/>
          <w:u w:val="single"/>
          <w:lang w:val="en-US" w:eastAsia="zh-CN"/>
        </w:rPr>
        <w:t>新垦空气质量监测子站站房和配套设施项目</w:t>
      </w:r>
      <w:r>
        <w:rPr>
          <w:rFonts w:hint="eastAsia" w:ascii="宋体" w:hAnsi="宋体" w:eastAsia="宋体" w:cs="宋体"/>
          <w:b w:val="0"/>
          <w:bCs w:val="0"/>
          <w:color w:val="auto"/>
          <w:sz w:val="24"/>
          <w:szCs w:val="24"/>
          <w:highlight w:val="none"/>
          <w:u w:val="non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b w:val="0"/>
          <w:bCs w:val="0"/>
          <w:color w:val="auto"/>
          <w:sz w:val="24"/>
          <w:szCs w:val="24"/>
          <w:highlight w:val="none"/>
          <w:u w:val="single"/>
          <w:lang w:val="en-US" w:eastAsia="zh-CN"/>
        </w:rPr>
        <w:t>新垦空气质量监测子站站房和配套设施项目</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w:t>
      </w:r>
      <w:r>
        <w:rPr>
          <w:rFonts w:hint="eastAsia" w:ascii="宋体" w:hAnsi="宋体" w:eastAsia="宋体" w:cs="Times New Roman"/>
          <w:color w:val="auto"/>
          <w:spacing w:val="20"/>
          <w:sz w:val="24"/>
          <w:highlight w:val="none"/>
          <w:u w:val="single"/>
          <w:lang w:val="en-US" w:eastAsia="zh-CN"/>
        </w:rPr>
        <w:t>湿地</w:t>
      </w:r>
      <w:r>
        <w:rPr>
          <w:rFonts w:hint="eastAsia" w:ascii="宋体" w:hAnsi="宋体" w:eastAsia="宋体" w:cs="Times New Roman"/>
          <w:color w:val="auto"/>
          <w:spacing w:val="20"/>
          <w:sz w:val="24"/>
          <w:highlight w:val="none"/>
          <w:u w:val="single"/>
          <w:lang w:eastAsia="zh-CN"/>
        </w:rPr>
        <w:t>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8"/>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8" w:name="_Toc216145749"/>
      <w:bookmarkEnd w:id="28"/>
      <w:bookmarkStart w:id="29" w:name="_Toc223342668"/>
      <w:bookmarkEnd w:id="29"/>
      <w:r>
        <w:rPr>
          <w:rFonts w:hint="eastAsia" w:ascii="宋体" w:hAnsi="宋体" w:eastAsia="宋体" w:cs="黑体"/>
          <w:color w:val="auto"/>
          <w:sz w:val="28"/>
          <w:szCs w:val="28"/>
          <w:highlight w:val="none"/>
        </w:rPr>
        <w:t>格式三：</w:t>
      </w:r>
    </w:p>
    <w:p>
      <w:pPr>
        <w:pStyle w:val="30"/>
        <w:widowControl/>
        <w:ind w:firstLine="0" w:firstLineChars="0"/>
        <w:jc w:val="center"/>
        <w:outlineLvl w:val="2"/>
        <w:rPr>
          <w:color w:val="auto"/>
          <w:kern w:val="44"/>
          <w:highlight w:val="none"/>
        </w:rPr>
      </w:pPr>
      <w:bookmarkStart w:id="30" w:name="_Toc172416501"/>
      <w:bookmarkEnd w:id="30"/>
      <w:r>
        <w:rPr>
          <w:rFonts w:hint="eastAsia" w:ascii="宋体" w:hAnsi="宋体" w:cs="宋体"/>
          <w:b/>
          <w:color w:val="auto"/>
          <w:sz w:val="30"/>
          <w:szCs w:val="30"/>
          <w:highlight w:val="none"/>
        </w:rPr>
        <w:t>法定代表人证明书</w:t>
      </w:r>
    </w:p>
    <w:p>
      <w:pPr>
        <w:pStyle w:val="30"/>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30"/>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5543550" cy="2790825"/>
                    </a:xfrm>
                    <a:prstGeom prst="rect">
                      <a:avLst/>
                    </a:prstGeom>
                    <a:noFill/>
                    <a:ln w="9525">
                      <a:noFill/>
                    </a:ln>
                  </pic:spPr>
                </pic:pic>
              </a:graphicData>
            </a:graphic>
          </wp:inline>
        </w:drawing>
      </w:r>
    </w:p>
    <w:p>
      <w:pPr>
        <w:pStyle w:val="30"/>
        <w:widowControl/>
        <w:ind w:firstLine="618"/>
        <w:rPr>
          <w:b/>
          <w:color w:val="auto"/>
          <w:sz w:val="30"/>
          <w:szCs w:val="30"/>
          <w:highlight w:val="none"/>
        </w:rPr>
      </w:pPr>
      <w:r>
        <w:rPr>
          <w:b/>
          <w:color w:val="auto"/>
          <w:sz w:val="30"/>
          <w:szCs w:val="30"/>
          <w:highlight w:val="none"/>
        </w:rPr>
        <w:t xml:space="preserve"> </w:t>
      </w:r>
    </w:p>
    <w:p>
      <w:pPr>
        <w:pStyle w:val="30"/>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30"/>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30"/>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10" cstate="print"/>
                    <a:stretch>
                      <a:fillRect/>
                    </a:stretch>
                  </pic:blipFill>
                  <pic:spPr>
                    <a:xfrm>
                      <a:off x="0" y="0"/>
                      <a:ext cx="5543550" cy="2838450"/>
                    </a:xfrm>
                    <a:prstGeom prst="rect">
                      <a:avLst/>
                    </a:prstGeom>
                    <a:noFill/>
                    <a:ln w="9525">
                      <a:noFill/>
                    </a:ln>
                  </pic:spPr>
                </pic:pic>
              </a:graphicData>
            </a:graphic>
          </wp:inline>
        </w:drawing>
      </w:r>
    </w:p>
    <w:p>
      <w:pPr>
        <w:pStyle w:val="28"/>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31" w:name="_Toc216145759"/>
      <w:bookmarkEnd w:id="31"/>
      <w:bookmarkStart w:id="32"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8"/>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32"/>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33" w:name="_Toc41822704"/>
      <w:bookmarkEnd w:id="33"/>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w:t>
      </w:r>
      <w:r>
        <w:rPr>
          <w:rFonts w:hint="eastAsia" w:ascii="宋体" w:hAnsi="宋体" w:eastAsia="宋体" w:cs="宋体"/>
          <w:color w:val="auto"/>
          <w:sz w:val="24"/>
          <w:highlight w:val="none"/>
          <w:u w:val="single"/>
          <w:lang w:val="en-US" w:eastAsia="zh-CN"/>
        </w:rPr>
        <w:t>湿地</w:t>
      </w:r>
      <w:r>
        <w:rPr>
          <w:rFonts w:hint="eastAsia" w:ascii="宋体" w:hAnsi="宋体" w:eastAsia="宋体" w:cs="宋体"/>
          <w:color w:val="auto"/>
          <w:sz w:val="24"/>
          <w:highlight w:val="none"/>
          <w:u w:val="single"/>
          <w:lang w:eastAsia="zh-CN"/>
        </w:rPr>
        <w:t>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none"/>
        </w:rPr>
        <w:t>：</w:t>
      </w:r>
      <w:r>
        <w:rPr>
          <w:rFonts w:hint="eastAsia" w:ascii="宋体" w:hAnsi="宋体" w:eastAsia="宋体" w:cs="宋体"/>
          <w:b w:val="0"/>
          <w:bCs w:val="0"/>
          <w:color w:val="auto"/>
          <w:sz w:val="24"/>
          <w:szCs w:val="24"/>
          <w:highlight w:val="none"/>
          <w:u w:val="single"/>
          <w:lang w:val="en-US" w:eastAsia="zh-CN"/>
        </w:rPr>
        <w:t>新垦空气质量监测子站站房和配套设施项目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8"/>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9"/>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2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34" w:name="_Toc199647676"/>
      <w:bookmarkEnd w:id="34"/>
      <w:bookmarkStart w:id="35" w:name="_Toc415728298"/>
      <w:bookmarkEnd w:id="35"/>
      <w:bookmarkStart w:id="36" w:name="_Toc459403395"/>
      <w:bookmarkEnd w:id="36"/>
      <w:bookmarkStart w:id="37" w:name="_Toc415833504"/>
      <w:bookmarkEnd w:id="37"/>
      <w:bookmarkStart w:id="38" w:name="_Toc196037098"/>
      <w:bookmarkEnd w:id="38"/>
      <w:bookmarkStart w:id="39" w:name="_Toc196130014"/>
      <w:bookmarkEnd w:id="39"/>
      <w:bookmarkStart w:id="40" w:name="_Toc196130111"/>
      <w:bookmarkEnd w:id="40"/>
      <w:bookmarkStart w:id="41" w:name="_Toc326909214"/>
      <w:bookmarkEnd w:id="41"/>
      <w:bookmarkStart w:id="42" w:name="_Toc197235849"/>
      <w:bookmarkEnd w:id="42"/>
      <w:bookmarkStart w:id="43" w:name="_Toc196036942"/>
      <w:bookmarkEnd w:id="43"/>
      <w:bookmarkStart w:id="44" w:name="_Toc462911099"/>
    </w:p>
    <w:bookmarkEnd w:id="4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3" w:type="default"/>
          <w:footerReference r:id="rId4" w:type="default"/>
          <w:pgSz w:w="11906" w:h="16840"/>
          <w:pgMar w:top="1247" w:right="1135" w:bottom="1247" w:left="1361" w:header="720" w:footer="720" w:gutter="0"/>
          <w:pgNumType w:fmt="decimal" w:start="1"/>
          <w:cols w:space="425" w:num="1"/>
          <w:docGrid w:linePitch="285" w:charSpace="0"/>
        </w:sectPr>
      </w:pPr>
    </w:p>
    <w:p>
      <w:pPr>
        <w:outlineLvl w:val="1"/>
        <w:rPr>
          <w:rFonts w:hint="eastAsia"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widowControl w:val="0"/>
        <w:ind w:firstLine="480"/>
        <w:jc w:val="both"/>
        <w:rPr>
          <w:rFonts w:hint="eastAsia" w:ascii="仿宋" w:hAnsi="仿宋" w:eastAsia="仿宋" w:cs="宋体"/>
          <w:color w:val="auto"/>
          <w:kern w:val="2"/>
          <w:sz w:val="28"/>
          <w:szCs w:val="28"/>
          <w:highlight w:val="none"/>
          <w:lang w:val="en-US" w:eastAsia="zh-CN" w:bidi="ar-SA"/>
        </w:rPr>
      </w:pPr>
    </w:p>
    <w:p>
      <w:pPr>
        <w:widowControl w:val="0"/>
        <w:ind w:firstLine="480"/>
        <w:jc w:val="both"/>
        <w:rPr>
          <w:rFonts w:hint="eastAsia" w:ascii="仿宋" w:hAnsi="仿宋" w:eastAsia="仿宋" w:cs="宋体"/>
          <w:color w:val="auto"/>
          <w:kern w:val="2"/>
          <w:sz w:val="28"/>
          <w:szCs w:val="28"/>
          <w:highlight w:val="none"/>
          <w:lang w:val="en-US" w:eastAsia="zh-CN" w:bidi="ar-SA"/>
        </w:rPr>
      </w:pPr>
    </w:p>
    <w:p>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keepLines/>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p>
        </w:tc>
        <w:tc>
          <w:tcPr>
            <w:tcW w:w="3420" w:type="dxa"/>
            <w:gridSpan w:val="4"/>
            <w:vAlign w:val="center"/>
          </w:tcPr>
          <w:p>
            <w:pPr>
              <w:keepLines/>
              <w:spacing w:line="460" w:lineRule="exact"/>
              <w:jc w:val="left"/>
              <w:rPr>
                <w:rFonts w:ascii="宋体" w:hAnsi="宋体" w:eastAsia="宋体" w:cs="宋体"/>
                <w:color w:val="auto"/>
                <w:szCs w:val="21"/>
                <w:highlight w:val="none"/>
              </w:rPr>
            </w:pPr>
          </w:p>
        </w:tc>
        <w:tc>
          <w:tcPr>
            <w:tcW w:w="1261" w:type="dxa"/>
            <w:vAlign w:val="center"/>
          </w:tcPr>
          <w:p>
            <w:pPr>
              <w:keepLines/>
              <w:spacing w:line="460" w:lineRule="exact"/>
              <w:jc w:val="left"/>
              <w:rPr>
                <w:rFonts w:ascii="宋体" w:hAnsi="宋体" w:eastAsia="宋体" w:cs="宋体"/>
                <w:color w:val="auto"/>
                <w:szCs w:val="21"/>
                <w:highlight w:val="none"/>
              </w:rPr>
            </w:pPr>
          </w:p>
        </w:tc>
        <w:tc>
          <w:tcPr>
            <w:tcW w:w="2296" w:type="dxa"/>
            <w:gridSpan w:val="2"/>
            <w:vAlign w:val="center"/>
          </w:tcPr>
          <w:p>
            <w:pPr>
              <w:keepLines/>
              <w:spacing w:line="460" w:lineRule="exact"/>
              <w:jc w:val="left"/>
              <w:rPr>
                <w:rFonts w:ascii="宋体" w:hAnsi="宋体" w:eastAsia="宋体" w:cs="宋体"/>
                <w:color w:val="auto"/>
                <w:szCs w:val="21"/>
                <w:highlight w:val="none"/>
              </w:rPr>
            </w:pPr>
          </w:p>
        </w:tc>
      </w:tr>
    </w:tbl>
    <w:p>
      <w:pPr>
        <w:keepLines/>
        <w:rPr>
          <w:rFonts w:ascii="仿宋" w:hAnsi="仿宋" w:eastAsia="仿宋" w:cs="仿宋"/>
          <w:color w:val="auto"/>
          <w:szCs w:val="21"/>
          <w:highlight w:val="none"/>
        </w:rPr>
      </w:pPr>
    </w:p>
    <w:p>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keepLines/>
        <w:ind w:firstLine="424" w:firstLineChars="202"/>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3、业绩证明资料须提供：合同；相关证明资料中必须能反映出评标所需指标、人员姓名和岗位等</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否则相应子项不予计分。</w:t>
      </w:r>
    </w:p>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val="0"/>
        <w:ind w:firstLine="480"/>
        <w:jc w:val="both"/>
        <w:rPr>
          <w:rFonts w:hint="eastAsia" w:ascii="仿宋" w:hAnsi="仿宋" w:eastAsia="仿宋" w:cs="仿宋"/>
          <w:color w:val="auto"/>
          <w:kern w:val="2"/>
          <w:sz w:val="24"/>
          <w:szCs w:val="24"/>
          <w:highlight w:val="none"/>
          <w:lang w:val="en-US" w:eastAsia="zh-CN" w:bidi="ar-SA"/>
        </w:rPr>
      </w:pP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color w:val="auto"/>
          <w:kern w:val="0"/>
          <w:sz w:val="30"/>
          <w:szCs w:val="20"/>
          <w:highlight w:val="none"/>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color w:val="auto"/>
          <w:kern w:val="2"/>
          <w:sz w:val="28"/>
          <w:szCs w:val="28"/>
          <w:highlight w:val="none"/>
          <w:lang w:val="en-US" w:eastAsia="zh-CN" w:bidi="ar-SA"/>
        </w:rPr>
      </w:pPr>
      <w:bookmarkStart w:id="45" w:name="_Toc196130015"/>
      <w:bookmarkEnd w:id="45"/>
      <w:bookmarkStart w:id="46" w:name="_Toc196037099"/>
      <w:bookmarkEnd w:id="46"/>
      <w:bookmarkStart w:id="47" w:name="_Toc196036943"/>
      <w:bookmarkEnd w:id="47"/>
      <w:bookmarkStart w:id="48" w:name="_Toc199647677"/>
      <w:bookmarkEnd w:id="48"/>
      <w:bookmarkStart w:id="49" w:name="_Toc196130112"/>
      <w:bookmarkEnd w:id="49"/>
      <w:bookmarkStart w:id="50" w:name="_Toc197235850"/>
      <w:bookmarkEnd w:id="50"/>
      <w:bookmarkStart w:id="51" w:name="_Toc41822705"/>
      <w:bookmarkEnd w:id="51"/>
      <w:r>
        <w:rPr>
          <w:rFonts w:hint="eastAsia" w:ascii="宋体" w:hAnsi="宋体" w:eastAsia="宋体" w:cs="Times New Roman"/>
          <w:b/>
          <w:bCs/>
          <w:color w:val="auto"/>
          <w:kern w:val="2"/>
          <w:sz w:val="28"/>
          <w:szCs w:val="28"/>
          <w:highlight w:val="none"/>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color w:val="auto"/>
          <w:kern w:val="2"/>
          <w:sz w:val="24"/>
          <w:highlight w:val="none"/>
          <w:u w:val="none"/>
          <w:lang w:val="en-US" w:eastAsia="zh-CN" w:bidi="ar-SA"/>
        </w:rPr>
      </w:pPr>
      <w:r>
        <w:rPr>
          <w:rFonts w:hint="eastAsia" w:ascii="宋体" w:hAnsi="宋体" w:eastAsia="宋体" w:cs="Times New Roman"/>
          <w:b/>
          <w:bCs/>
          <w:color w:val="auto"/>
          <w:kern w:val="2"/>
          <w:sz w:val="24"/>
          <w:highlight w:val="none"/>
          <w:u w:val="none"/>
          <w:lang w:val="en-US" w:eastAsia="zh-CN" w:bidi="ar-SA"/>
        </w:rPr>
        <w:t xml:space="preserve">项目名称：                  </w:t>
      </w:r>
    </w:p>
    <w:tbl>
      <w:tblPr>
        <w:tblStyle w:val="19"/>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color w:val="auto"/>
                <w:kern w:val="2"/>
                <w:sz w:val="24"/>
                <w:szCs w:val="20"/>
                <w:highlight w:val="none"/>
              </w:rPr>
            </w:pPr>
            <w:r>
              <w:rPr>
                <w:rFonts w:hint="eastAsia" w:ascii="宋体" w:hAnsi="宋体" w:eastAsia="宋体" w:cs="Times New Roman"/>
                <w:color w:val="auto"/>
                <w:kern w:val="0"/>
                <w:sz w:val="24"/>
                <w:szCs w:val="20"/>
                <w:highlight w:val="none"/>
              </w:rPr>
              <w:t>序号</w:t>
            </w:r>
          </w:p>
        </w:tc>
        <w:tc>
          <w:tcPr>
            <w:tcW w:w="1707" w:type="dxa"/>
            <w:noWrap w:val="0"/>
            <w:vAlign w:val="center"/>
          </w:tcPr>
          <w:p>
            <w:pPr>
              <w:ind w:firstLine="240" w:firstLineChars="100"/>
              <w:jc w:val="left"/>
              <w:rPr>
                <w:rFonts w:hint="eastAsia" w:ascii="宋体" w:hAnsi="宋体" w:eastAsia="宋体" w:cs="Times New Roman"/>
                <w:bCs/>
                <w:color w:val="auto"/>
                <w:kern w:val="2"/>
                <w:sz w:val="24"/>
                <w:szCs w:val="20"/>
                <w:highlight w:val="none"/>
              </w:rPr>
            </w:pPr>
            <w:r>
              <w:rPr>
                <w:rFonts w:hint="eastAsia" w:ascii="宋体" w:hAnsi="宋体" w:eastAsia="宋体" w:cs="Times New Roman"/>
                <w:color w:val="auto"/>
                <w:kern w:val="0"/>
                <w:sz w:val="24"/>
                <w:szCs w:val="20"/>
                <w:highlight w:val="none"/>
              </w:rPr>
              <w:t>项目名称</w:t>
            </w:r>
          </w:p>
        </w:tc>
        <w:tc>
          <w:tcPr>
            <w:tcW w:w="1707" w:type="dxa"/>
            <w:noWrap w:val="0"/>
            <w:vAlign w:val="center"/>
          </w:tcPr>
          <w:p>
            <w:pPr>
              <w:ind w:firstLine="480" w:firstLineChars="200"/>
              <w:jc w:val="left"/>
              <w:rPr>
                <w:rFonts w:hint="eastAsia" w:ascii="宋体" w:hAnsi="宋体" w:eastAsia="宋体" w:cs="Times New Roman"/>
                <w:bCs/>
                <w:color w:val="auto"/>
                <w:kern w:val="2"/>
                <w:sz w:val="24"/>
                <w:szCs w:val="20"/>
                <w:highlight w:val="none"/>
              </w:rPr>
            </w:pPr>
            <w:r>
              <w:rPr>
                <w:rFonts w:hint="eastAsia" w:ascii="宋体" w:hAnsi="宋体" w:eastAsia="宋体" w:cs="Times New Roman"/>
                <w:color w:val="auto"/>
                <w:kern w:val="0"/>
                <w:sz w:val="24"/>
                <w:szCs w:val="20"/>
                <w:highlight w:val="none"/>
              </w:rPr>
              <w:t>规模</w:t>
            </w:r>
          </w:p>
        </w:tc>
        <w:tc>
          <w:tcPr>
            <w:tcW w:w="1707" w:type="dxa"/>
            <w:noWrap w:val="0"/>
            <w:vAlign w:val="center"/>
          </w:tcPr>
          <w:p>
            <w:pPr>
              <w:ind w:left="239" w:leftChars="114" w:firstLine="0" w:firstLineChars="0"/>
              <w:jc w:val="left"/>
              <w:rPr>
                <w:rFonts w:hint="eastAsia" w:ascii="宋体" w:hAnsi="宋体" w:eastAsia="宋体" w:cs="Times New Roman"/>
                <w:bCs/>
                <w:color w:val="auto"/>
                <w:kern w:val="2"/>
                <w:sz w:val="24"/>
                <w:szCs w:val="20"/>
                <w:highlight w:val="none"/>
                <w:lang w:eastAsia="zh-CN"/>
              </w:rPr>
            </w:pPr>
            <w:r>
              <w:rPr>
                <w:rFonts w:hint="eastAsia" w:ascii="宋体" w:hAnsi="宋体" w:eastAsia="宋体" w:cs="Times New Roman"/>
                <w:color w:val="auto"/>
                <w:kern w:val="0"/>
                <w:sz w:val="24"/>
                <w:szCs w:val="20"/>
                <w:highlight w:val="none"/>
              </w:rPr>
              <w:t>合同总价</w:t>
            </w:r>
            <w:r>
              <w:rPr>
                <w:rFonts w:hint="eastAsia" w:ascii="宋体" w:hAnsi="宋体" w:eastAsia="宋体" w:cs="Times New Roman"/>
                <w:color w:val="auto"/>
                <w:kern w:val="0"/>
                <w:sz w:val="24"/>
                <w:szCs w:val="20"/>
                <w:highlight w:val="none"/>
                <w:lang w:eastAsia="zh-CN"/>
              </w:rPr>
              <w:t>（</w:t>
            </w:r>
            <w:r>
              <w:rPr>
                <w:rFonts w:hint="eastAsia" w:ascii="宋体" w:hAnsi="宋体" w:eastAsia="宋体" w:cs="Times New Roman"/>
                <w:color w:val="auto"/>
                <w:kern w:val="0"/>
                <w:sz w:val="24"/>
                <w:szCs w:val="20"/>
                <w:highlight w:val="none"/>
                <w:lang w:val="en-US" w:eastAsia="zh-CN"/>
              </w:rPr>
              <w:t>万元</w:t>
            </w:r>
            <w:r>
              <w:rPr>
                <w:rFonts w:hint="eastAsia" w:ascii="宋体" w:hAnsi="宋体" w:eastAsia="宋体" w:cs="Times New Roman"/>
                <w:color w:val="auto"/>
                <w:kern w:val="0"/>
                <w:sz w:val="24"/>
                <w:szCs w:val="20"/>
                <w:highlight w:val="none"/>
                <w:lang w:eastAsia="zh-CN"/>
              </w:rPr>
              <w:t>）</w:t>
            </w:r>
          </w:p>
        </w:tc>
        <w:tc>
          <w:tcPr>
            <w:tcW w:w="1707" w:type="dxa"/>
            <w:noWrap w:val="0"/>
            <w:vAlign w:val="center"/>
          </w:tcPr>
          <w:p>
            <w:pPr>
              <w:ind w:firstLine="240" w:firstLineChars="100"/>
              <w:jc w:val="left"/>
              <w:rPr>
                <w:rFonts w:hint="default" w:ascii="宋体" w:hAnsi="宋体" w:eastAsia="宋体" w:cs="Times New Roman"/>
                <w:bCs/>
                <w:color w:val="auto"/>
                <w:kern w:val="2"/>
                <w:sz w:val="24"/>
                <w:szCs w:val="20"/>
                <w:highlight w:val="none"/>
                <w:lang w:val="en-US"/>
              </w:rPr>
            </w:pPr>
            <w:r>
              <w:rPr>
                <w:rFonts w:hint="eastAsia" w:ascii="宋体" w:hAnsi="宋体" w:eastAsia="宋体" w:cs="Times New Roman"/>
                <w:color w:val="auto"/>
                <w:kern w:val="0"/>
                <w:sz w:val="24"/>
                <w:szCs w:val="20"/>
                <w:highlight w:val="none"/>
                <w:lang w:val="en-US" w:eastAsia="zh-CN"/>
              </w:rPr>
              <w:t>开始</w:t>
            </w:r>
            <w:r>
              <w:rPr>
                <w:rFonts w:hint="eastAsia" w:ascii="宋体" w:hAnsi="宋体" w:eastAsia="宋体" w:cs="Times New Roman"/>
                <w:color w:val="auto"/>
                <w:kern w:val="0"/>
                <w:sz w:val="24"/>
                <w:szCs w:val="20"/>
                <w:highlight w:val="none"/>
              </w:rPr>
              <w:t>时间</w:t>
            </w:r>
          </w:p>
        </w:tc>
        <w:tc>
          <w:tcPr>
            <w:tcW w:w="1708" w:type="dxa"/>
            <w:noWrap w:val="0"/>
            <w:vAlign w:val="center"/>
          </w:tcPr>
          <w:p>
            <w:pPr>
              <w:jc w:val="left"/>
              <w:rPr>
                <w:rFonts w:hint="default" w:ascii="宋体" w:hAnsi="宋体" w:eastAsia="宋体" w:cs="Times New Roman"/>
                <w:color w:val="auto"/>
                <w:kern w:val="0"/>
                <w:sz w:val="24"/>
                <w:szCs w:val="20"/>
                <w:highlight w:val="none"/>
                <w:lang w:val="en-US"/>
              </w:rPr>
            </w:pPr>
            <w:r>
              <w:rPr>
                <w:rFonts w:hint="default" w:ascii="宋体" w:hAnsi="宋体" w:eastAsia="宋体" w:cs="Times New Roman"/>
                <w:color w:val="auto"/>
                <w:kern w:val="0"/>
                <w:sz w:val="24"/>
                <w:szCs w:val="20"/>
                <w:highlight w:val="none"/>
                <w:lang w:val="en-US"/>
              </w:rPr>
              <w:t>业主单位、</w:t>
            </w:r>
          </w:p>
          <w:p>
            <w:pPr>
              <w:jc w:val="left"/>
              <w:rPr>
                <w:rFonts w:hint="default" w:ascii="宋体" w:hAnsi="宋体" w:eastAsia="宋体" w:cs="Times New Roman"/>
                <w:bCs/>
                <w:color w:val="auto"/>
                <w:kern w:val="2"/>
                <w:sz w:val="24"/>
                <w:szCs w:val="20"/>
                <w:highlight w:val="none"/>
                <w:lang w:val="en-US" w:eastAsia="zh-CN"/>
              </w:rPr>
            </w:pPr>
            <w:r>
              <w:rPr>
                <w:rFonts w:hint="default" w:ascii="宋体" w:hAnsi="宋体" w:eastAsia="宋体" w:cs="Times New Roman"/>
                <w:color w:val="auto"/>
                <w:kern w:val="0"/>
                <w:sz w:val="24"/>
                <w:szCs w:val="20"/>
                <w:highlight w:val="none"/>
                <w:lang w:val="en-US"/>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8" w:type="dxa"/>
            <w:noWrap w:val="0"/>
            <w:vAlign w:val="center"/>
          </w:tcPr>
          <w:p>
            <w:pPr>
              <w:spacing w:line="360" w:lineRule="auto"/>
              <w:jc w:val="left"/>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7" w:type="dxa"/>
            <w:noWrap w:val="0"/>
            <w:vAlign w:val="center"/>
          </w:tcPr>
          <w:p>
            <w:pPr>
              <w:spacing w:line="360" w:lineRule="auto"/>
              <w:jc w:val="left"/>
              <w:rPr>
                <w:rFonts w:ascii="宋体" w:hAnsi="宋体" w:eastAsia="宋体" w:cs="Times New Roman"/>
                <w:color w:val="auto"/>
                <w:kern w:val="2"/>
                <w:sz w:val="24"/>
                <w:szCs w:val="20"/>
                <w:highlight w:val="none"/>
              </w:rPr>
            </w:pPr>
          </w:p>
        </w:tc>
        <w:tc>
          <w:tcPr>
            <w:tcW w:w="1708" w:type="dxa"/>
            <w:noWrap w:val="0"/>
            <w:vAlign w:val="center"/>
          </w:tcPr>
          <w:p>
            <w:pPr>
              <w:spacing w:line="360" w:lineRule="auto"/>
              <w:jc w:val="left"/>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highlight w:val="none"/>
                <w:lang w:val="en-US" w:eastAsia="zh-CN" w:bidi="ar-SA"/>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7" w:type="dxa"/>
            <w:noWrap w:val="0"/>
            <w:vAlign w:val="center"/>
          </w:tcPr>
          <w:p>
            <w:pPr>
              <w:spacing w:line="360" w:lineRule="auto"/>
              <w:rPr>
                <w:rFonts w:ascii="宋体" w:hAnsi="宋体" w:eastAsia="宋体" w:cs="Times New Roman"/>
                <w:color w:val="auto"/>
                <w:kern w:val="2"/>
                <w:sz w:val="24"/>
                <w:szCs w:val="20"/>
                <w:highlight w:val="none"/>
              </w:rPr>
            </w:pPr>
          </w:p>
        </w:tc>
        <w:tc>
          <w:tcPr>
            <w:tcW w:w="1708" w:type="dxa"/>
            <w:noWrap w:val="0"/>
            <w:vAlign w:val="center"/>
          </w:tcPr>
          <w:p>
            <w:pPr>
              <w:spacing w:line="360" w:lineRule="auto"/>
              <w:rPr>
                <w:rFonts w:ascii="宋体" w:hAnsi="宋体" w:eastAsia="宋体" w:cs="Times New Roman"/>
                <w:color w:val="auto"/>
                <w:kern w:val="2"/>
                <w:sz w:val="24"/>
                <w:szCs w:val="20"/>
                <w:highlight w:val="none"/>
              </w:rPr>
            </w:pPr>
          </w:p>
        </w:tc>
      </w:tr>
    </w:tbl>
    <w:p>
      <w:pPr>
        <w:spacing w:line="360" w:lineRule="auto"/>
        <w:rPr>
          <w:rFonts w:ascii="宋体" w:hAnsi="宋体" w:eastAsia="宋体" w:cs="Times New Roman"/>
          <w:color w:val="auto"/>
          <w:kern w:val="2"/>
          <w:sz w:val="24"/>
          <w:szCs w:val="20"/>
          <w:highlight w:val="none"/>
        </w:rPr>
      </w:pPr>
    </w:p>
    <w:p>
      <w:pPr>
        <w:spacing w:line="360" w:lineRule="auto"/>
        <w:rPr>
          <w:rFonts w:ascii="宋体" w:hAnsi="宋体" w:eastAsia="宋体" w:cs="Times New Roman"/>
          <w:color w:val="auto"/>
          <w:kern w:val="2"/>
          <w:sz w:val="24"/>
          <w:szCs w:val="20"/>
          <w:highlight w:val="none"/>
        </w:rPr>
      </w:pPr>
      <w:r>
        <w:rPr>
          <w:rFonts w:hint="eastAsia" w:ascii="宋体" w:hAnsi="宋体" w:eastAsia="宋体" w:cs="Times New Roman"/>
          <w:color w:val="auto"/>
          <w:kern w:val="2"/>
          <w:sz w:val="24"/>
          <w:szCs w:val="20"/>
          <w:highlight w:val="none"/>
        </w:rPr>
        <w:t>投标人全称（盖公章）：</w:t>
      </w:r>
    </w:p>
    <w:p>
      <w:pPr>
        <w:spacing w:line="360" w:lineRule="auto"/>
        <w:rPr>
          <w:rFonts w:ascii="宋体" w:hAnsi="宋体" w:eastAsia="宋体" w:cs="Times New Roman"/>
          <w:color w:val="auto"/>
          <w:kern w:val="2"/>
          <w:sz w:val="24"/>
          <w:szCs w:val="20"/>
          <w:highlight w:val="none"/>
        </w:rPr>
      </w:pPr>
      <w:r>
        <w:rPr>
          <w:rFonts w:hint="eastAsia" w:ascii="宋体" w:hAnsi="宋体" w:eastAsia="宋体" w:cs="Times New Roman"/>
          <w:color w:val="auto"/>
          <w:kern w:val="2"/>
          <w:sz w:val="24"/>
          <w:szCs w:val="20"/>
          <w:highlight w:val="none"/>
        </w:rPr>
        <w:t>法定代表人或投标授权代表（签字或签章）：</w:t>
      </w:r>
    </w:p>
    <w:p>
      <w:pPr>
        <w:spacing w:line="360" w:lineRule="auto"/>
        <w:rPr>
          <w:rFonts w:ascii="宋体" w:hAnsi="宋体" w:eastAsia="宋体" w:cs="Times New Roman"/>
          <w:color w:val="auto"/>
          <w:kern w:val="2"/>
          <w:sz w:val="24"/>
          <w:szCs w:val="20"/>
          <w:highlight w:val="none"/>
        </w:rPr>
      </w:pPr>
      <w:r>
        <w:rPr>
          <w:rFonts w:hint="eastAsia" w:ascii="宋体" w:hAnsi="宋体" w:eastAsia="宋体" w:cs="Times New Roman"/>
          <w:color w:val="auto"/>
          <w:kern w:val="2"/>
          <w:sz w:val="24"/>
          <w:szCs w:val="20"/>
          <w:highlight w:val="none"/>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color w:val="auto"/>
          <w:kern w:val="2"/>
          <w:sz w:val="21"/>
          <w:szCs w:val="20"/>
          <w:highlight w:val="none"/>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color w:val="auto"/>
          <w:kern w:val="2"/>
          <w:sz w:val="21"/>
          <w:szCs w:val="20"/>
          <w:highlight w:val="none"/>
          <w:lang w:val="en-US" w:eastAsia="zh-CN" w:bidi="ar-SA"/>
        </w:rPr>
      </w:pPr>
      <w:r>
        <w:rPr>
          <w:rFonts w:hint="eastAsia" w:ascii="宋体" w:hAnsi="宋体" w:eastAsia="宋体" w:cs="Times New Roman"/>
          <w:b/>
          <w:color w:val="auto"/>
          <w:kern w:val="2"/>
          <w:sz w:val="21"/>
          <w:szCs w:val="20"/>
          <w:highlight w:val="none"/>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color w:val="auto"/>
          <w:kern w:val="2"/>
          <w:sz w:val="21"/>
          <w:szCs w:val="20"/>
          <w:highlight w:val="none"/>
          <w:lang w:val="en-US" w:eastAsia="zh-CN"/>
        </w:rPr>
      </w:pPr>
      <w:r>
        <w:rPr>
          <w:rFonts w:hint="eastAsia" w:ascii="Calibri" w:hAnsi="Calibri" w:eastAsia="宋体" w:cs="Times New Roman"/>
          <w:b/>
          <w:bCs/>
          <w:color w:val="auto"/>
          <w:kern w:val="2"/>
          <w:sz w:val="21"/>
          <w:szCs w:val="20"/>
          <w:highlight w:val="none"/>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color w:val="auto"/>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pStyle w:val="4"/>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9"/>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技术负责人</w:t>
      </w:r>
      <w:r>
        <w:rPr>
          <w:rFonts w:hint="eastAsia" w:ascii="仿宋" w:hAnsi="仿宋" w:eastAsia="仿宋" w:cs="仿宋"/>
          <w:color w:val="auto"/>
          <w:szCs w:val="21"/>
          <w:highlight w:val="none"/>
        </w:rPr>
        <w:t>）等。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九</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9"/>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0" w:firstLineChars="0"/>
              <w:jc w:val="left"/>
              <w:rPr>
                <w:rFonts w:hint="eastAsia" w:ascii="宋体" w:hAnsi="宋体" w:cs="宋体"/>
                <w:bCs/>
                <w:color w:val="auto"/>
                <w:szCs w:val="21"/>
                <w:highlight w:val="none"/>
                <w:u w:val="none"/>
                <w:lang w:val="en-US"/>
              </w:rPr>
            </w:pPr>
            <w:r>
              <w:rPr>
                <w:rFonts w:hint="eastAsia" w:ascii="宋体" w:hAnsi="宋体" w:cs="宋体" w:eastAsiaTheme="minorEastAsia"/>
                <w:b w:val="0"/>
                <w:bCs/>
                <w:color w:val="auto"/>
                <w:sz w:val="21"/>
                <w:szCs w:val="21"/>
                <w:highlight w:val="none"/>
                <w:u w:val="none"/>
                <w:lang w:val="en-US" w:eastAsia="zh-CN"/>
              </w:rPr>
              <w:t>新垦空气质量监测子站站房和配套设施项目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2711" w:type="dxa"/>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 w:val="0"/>
                <w:bCs/>
                <w:color w:val="auto"/>
                <w:sz w:val="21"/>
                <w:szCs w:val="21"/>
                <w:highlight w:val="none"/>
                <w:lang w:val="zh-CN"/>
              </w:rPr>
              <w:t>投标总工期</w:t>
            </w:r>
          </w:p>
        </w:tc>
        <w:tc>
          <w:tcPr>
            <w:tcW w:w="6699" w:type="dxa"/>
            <w:vAlign w:val="center"/>
          </w:tcPr>
          <w:p>
            <w:pPr>
              <w:autoSpaceDE w:val="0"/>
              <w:autoSpaceDN w:val="0"/>
              <w:adjustRightInd w:val="0"/>
              <w:snapToGrid w:val="0"/>
              <w:spacing w:line="360" w:lineRule="auto"/>
              <w:jc w:val="center"/>
              <w:rPr>
                <w:rFonts w:hint="eastAsia"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630" w:firstLineChars="300"/>
        <w:rPr>
          <w:rFonts w:hint="default" w:ascii="宋体" w:hAnsi="宋体" w:eastAsia="宋体" w:cs="宋体"/>
          <w:bCs/>
          <w:color w:val="auto"/>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bCs/>
          <w:color w:val="auto"/>
          <w:kern w:val="2"/>
          <w:sz w:val="21"/>
          <w:szCs w:val="21"/>
          <w:highlight w:val="none"/>
          <w:u w:val="none"/>
          <w:lang w:val="en-US" w:eastAsia="zh-CN" w:bidi="ar-SA"/>
        </w:rPr>
        <w:t>投标单位自行报价，投标总报价不能超过招标控制价，否则按</w:t>
      </w:r>
      <w:r>
        <w:rPr>
          <w:rFonts w:hint="eastAsia" w:hAnsi="宋体" w:cs="宋体"/>
          <w:bCs/>
          <w:color w:val="auto"/>
          <w:kern w:val="2"/>
          <w:sz w:val="21"/>
          <w:szCs w:val="21"/>
          <w:highlight w:val="none"/>
          <w:u w:val="none"/>
          <w:lang w:val="en-US" w:eastAsia="zh-CN" w:bidi="ar-SA"/>
        </w:rPr>
        <w:t>无效投标</w:t>
      </w:r>
      <w:r>
        <w:rPr>
          <w:rFonts w:hint="eastAsia" w:ascii="宋体" w:hAnsi="宋体" w:eastAsia="宋体" w:cs="宋体"/>
          <w:bCs/>
          <w:color w:val="auto"/>
          <w:kern w:val="2"/>
          <w:sz w:val="21"/>
          <w:szCs w:val="21"/>
          <w:highlight w:val="none"/>
          <w:u w:val="none"/>
          <w:lang w:val="en-US" w:eastAsia="zh-CN" w:bidi="ar-SA"/>
        </w:rPr>
        <w:t>处理。（小数点后保留二位小数，第三位小数四舍五入）</w:t>
      </w:r>
    </w:p>
    <w:p>
      <w:pPr>
        <w:pStyle w:val="2"/>
        <w:spacing w:line="360" w:lineRule="auto"/>
        <w:ind w:firstLine="630" w:firstLineChars="300"/>
        <w:rPr>
          <w:rFonts w:hint="eastAsia" w:ascii="宋体" w:hAnsi="宋体" w:eastAsia="宋体" w:cs="宋体"/>
          <w:color w:val="auto"/>
          <w:sz w:val="21"/>
          <w:szCs w:val="21"/>
          <w:highlight w:val="none"/>
        </w:rPr>
      </w:pP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52" w:name="_Toc374128477"/>
      <w:bookmarkEnd w:id="52"/>
      <w:bookmarkStart w:id="53"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4" w:name="_Toc24523"/>
      <w:bookmarkStart w:id="55" w:name="_Toc4893"/>
      <w:bookmarkStart w:id="56" w:name="_Toc25010"/>
      <w:bookmarkStart w:id="57" w:name="_Toc17859"/>
      <w:bookmarkStart w:id="58" w:name="_Toc8367"/>
      <w:bookmarkStart w:id="59" w:name="_Toc26234"/>
      <w:bookmarkStart w:id="60" w:name="_Toc23233"/>
      <w:r>
        <w:rPr>
          <w:rFonts w:hint="eastAsia" w:ascii="黑体" w:hAnsi="宋体" w:cs="黑体"/>
          <w:b/>
          <w:color w:val="auto"/>
          <w:kern w:val="44"/>
          <w:sz w:val="44"/>
          <w:szCs w:val="44"/>
          <w:highlight w:val="none"/>
        </w:rPr>
        <w:t>第4章 评标办法</w:t>
      </w:r>
      <w:bookmarkEnd w:id="53"/>
      <w:bookmarkEnd w:id="54"/>
      <w:bookmarkEnd w:id="55"/>
      <w:bookmarkEnd w:id="56"/>
      <w:bookmarkEnd w:id="57"/>
      <w:bookmarkEnd w:id="58"/>
      <w:bookmarkEnd w:id="59"/>
      <w:bookmarkEnd w:id="60"/>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w:t>
      </w:r>
      <w:r>
        <w:rPr>
          <w:rFonts w:hint="eastAsia" w:ascii="仿宋" w:hAnsi="仿宋" w:eastAsia="仿宋" w:cs="仿宋"/>
          <w:b/>
          <w:color w:val="auto"/>
          <w:sz w:val="28"/>
          <w:szCs w:val="28"/>
          <w:highlight w:val="none"/>
          <w:u w:val="none"/>
        </w:rPr>
        <w:t>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2"/>
        <w:rPr>
          <w:rFonts w:hint="default" w:ascii="仿宋" w:hAnsi="仿宋" w:eastAsia="仿宋" w:cs="仿宋"/>
          <w:color w:val="auto"/>
          <w:sz w:val="28"/>
          <w:szCs w:val="28"/>
          <w:highlight w:val="none"/>
        </w:rPr>
      </w:pPr>
    </w:p>
    <w:p>
      <w:pPr>
        <w:pStyle w:val="2"/>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61" w:name="_Toc26593"/>
      <w:r>
        <w:rPr>
          <w:rFonts w:hint="eastAsia" w:ascii="黑体" w:hAnsi="宋体" w:cs="黑体"/>
          <w:b/>
          <w:color w:val="auto"/>
          <w:kern w:val="44"/>
          <w:sz w:val="44"/>
          <w:szCs w:val="44"/>
          <w:highlight w:val="none"/>
        </w:rPr>
        <w:br w:type="page"/>
      </w:r>
    </w:p>
    <w:p>
      <w:pPr>
        <w:numPr>
          <w:ilvl w:val="0"/>
          <w:numId w:val="5"/>
        </w:numPr>
        <w:snapToGrid w:val="0"/>
        <w:spacing w:line="360" w:lineRule="auto"/>
        <w:ind w:firstLine="663" w:firstLineChars="150"/>
        <w:jc w:val="center"/>
        <w:rPr>
          <w:rFonts w:hint="eastAsia" w:ascii="黑体" w:hAnsi="宋体" w:cs="黑体"/>
          <w:b/>
          <w:color w:val="auto"/>
          <w:kern w:val="44"/>
          <w:sz w:val="44"/>
          <w:szCs w:val="44"/>
          <w:highlight w:val="none"/>
        </w:rPr>
      </w:pPr>
      <w:r>
        <w:rPr>
          <w:rFonts w:hint="eastAsia" w:ascii="黑体" w:hAnsi="宋体" w:cs="黑体"/>
          <w:b/>
          <w:color w:val="auto"/>
          <w:kern w:val="44"/>
          <w:sz w:val="44"/>
          <w:szCs w:val="44"/>
          <w:highlight w:val="none"/>
        </w:rPr>
        <w:t>附件</w:t>
      </w:r>
      <w:bookmarkEnd w:id="61"/>
    </w:p>
    <w:p>
      <w:pPr>
        <w:widowControl/>
        <w:spacing w:line="360" w:lineRule="auto"/>
        <w:ind w:firstLine="562" w:firstLineChars="200"/>
        <w:jc w:val="both"/>
        <w:rPr>
          <w:rFonts w:hint="default"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附件1 符合性审查表</w:t>
      </w:r>
    </w:p>
    <w:p>
      <w:pPr>
        <w:widowControl/>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bookmarkStart w:id="62" w:name="OLE_LINK3"/>
      <w:bookmarkEnd w:id="62"/>
      <w:r>
        <w:rPr>
          <w:rFonts w:hint="eastAsia" w:ascii="仿宋" w:hAnsi="仿宋" w:eastAsia="仿宋" w:cs="仿宋"/>
          <w:b/>
          <w:color w:val="auto"/>
          <w:kern w:val="0"/>
          <w:sz w:val="28"/>
          <w:szCs w:val="28"/>
          <w:highlight w:val="none"/>
          <w:u w:val="single"/>
          <w:lang w:val="en-US" w:eastAsia="zh-CN" w:bidi="ar-SA"/>
        </w:rPr>
        <w:t>附件2 综合评分表</w:t>
      </w:r>
    </w:p>
    <w:p>
      <w:pPr>
        <w:widowControl/>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附件3 投标申请人声明</w:t>
      </w:r>
    </w:p>
    <w:p>
      <w:pPr>
        <w:widowControl/>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附件4 图纸（另附）</w:t>
      </w:r>
    </w:p>
    <w:p>
      <w:pPr>
        <w:widowControl/>
        <w:spacing w:line="360" w:lineRule="auto"/>
        <w:ind w:firstLine="562" w:firstLineChars="200"/>
        <w:jc w:val="both"/>
        <w:rPr>
          <w:rFonts w:hint="default"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附件5 工程量清单（另附）</w:t>
      </w:r>
    </w:p>
    <w:p>
      <w:pPr>
        <w:pStyle w:val="2"/>
        <w:numPr>
          <w:ilvl w:val="-1"/>
          <w:numId w:val="0"/>
        </w:numPr>
        <w:rPr>
          <w:color w:val="auto"/>
          <w:highlight w:val="none"/>
        </w:rPr>
      </w:pPr>
    </w:p>
    <w:p>
      <w:pPr>
        <w:pStyle w:val="27"/>
        <w:widowControl/>
        <w:ind w:firstLine="562"/>
        <w:rPr>
          <w:rFonts w:hint="eastAsia" w:ascii="仿宋" w:hAnsi="仿宋" w:eastAsia="仿宋" w:cs="仿宋"/>
          <w:b/>
          <w:color w:val="auto"/>
          <w:kern w:val="0"/>
          <w:sz w:val="28"/>
          <w:szCs w:val="28"/>
          <w:highlight w:val="none"/>
          <w:u w:val="single"/>
          <w:lang w:val="en-US" w:eastAsia="zh-CN"/>
        </w:rPr>
      </w:pP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63" w:name="_Toc13788"/>
      <w:bookmarkStart w:id="64" w:name="_Toc20865"/>
      <w:bookmarkStart w:id="65" w:name="_Toc18242"/>
      <w:bookmarkStart w:id="66" w:name="_Toc5919"/>
      <w:bookmarkStart w:id="67" w:name="_Toc3331"/>
      <w:bookmarkStart w:id="68" w:name="_Toc12170"/>
      <w:bookmarkStart w:id="69" w:name="_Toc6823"/>
      <w:bookmarkStart w:id="70" w:name="_Toc11051"/>
      <w:r>
        <w:rPr>
          <w:rFonts w:hint="eastAsia" w:ascii="宋体" w:hAnsi="宋体" w:eastAsia="宋体" w:cs="宋体"/>
          <w:color w:val="auto"/>
          <w:sz w:val="21"/>
          <w:szCs w:val="21"/>
          <w:highlight w:val="none"/>
        </w:rPr>
        <w:t>附件1：符合性审查表</w:t>
      </w:r>
      <w:bookmarkEnd w:id="63"/>
      <w:bookmarkEnd w:id="64"/>
      <w:bookmarkEnd w:id="65"/>
      <w:bookmarkEnd w:id="66"/>
      <w:bookmarkEnd w:id="67"/>
      <w:bookmarkEnd w:id="68"/>
      <w:bookmarkEnd w:id="69"/>
      <w:bookmarkEnd w:id="70"/>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9"/>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投标文件封面有法定代表人或其委托代理人签字</w:t>
            </w:r>
            <w:r>
              <w:rPr>
                <w:rFonts w:hint="eastAsia" w:ascii="仿宋" w:hAnsi="仿宋" w:eastAsia="仿宋" w:cs="仿宋"/>
                <w:color w:val="auto"/>
                <w:szCs w:val="21"/>
                <w:highlight w:val="none"/>
                <w:lang w:val="en-US" w:eastAsia="zh-CN"/>
              </w:rPr>
              <w:t>并加盖投标单位公章</w:t>
            </w:r>
            <w:r>
              <w:rPr>
                <w:rFonts w:hint="eastAsia" w:ascii="仿宋" w:hAnsi="仿宋" w:eastAsia="仿宋" w:cs="仿宋"/>
                <w:color w:val="auto"/>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5" w:type="default"/>
          <w:pgSz w:w="11906" w:h="16838"/>
          <w:pgMar w:top="1440" w:right="1797" w:bottom="1440" w:left="1797" w:header="720" w:footer="720" w:gutter="0"/>
          <w:pgNumType w:fmt="decimal"/>
          <w:cols w:space="0" w:num="1"/>
          <w:rtlGutter w:val="0"/>
          <w:docGrid w:linePitch="312" w:charSpace="0"/>
        </w:sectPr>
      </w:pPr>
      <w:bookmarkStart w:id="71" w:name="_Toc18783"/>
    </w:p>
    <w:bookmarkEnd w:id="71"/>
    <w:p>
      <w:pPr>
        <w:widowControl/>
        <w:kinsoku w:val="0"/>
        <w:autoSpaceDE w:val="0"/>
        <w:autoSpaceDN w:val="0"/>
        <w:adjustRightInd w:val="0"/>
        <w:snapToGrid w:val="0"/>
        <w:spacing w:line="14" w:lineRule="auto"/>
        <w:jc w:val="left"/>
        <w:textAlignment w:val="baseline"/>
        <w:rPr>
          <w:rFonts w:ascii="Arial" w:hAnsi="Arial" w:eastAsia="Arial" w:cs="Arial"/>
          <w:snapToGrid w:val="0"/>
          <w:color w:val="auto"/>
          <w:kern w:val="0"/>
          <w:sz w:val="2"/>
          <w:szCs w:val="21"/>
          <w:highlight w:val="none"/>
          <w:lang w:eastAsia="en-US"/>
        </w:rPr>
      </w:pPr>
      <w:bookmarkStart w:id="72" w:name="_Toc15249"/>
      <w:bookmarkStart w:id="73" w:name="_Toc4185"/>
      <w:bookmarkStart w:id="74" w:name="_Toc13000"/>
      <w:bookmarkStart w:id="75" w:name="_Toc12016"/>
      <w:bookmarkStart w:id="76" w:name="_Toc18739"/>
      <w:bookmarkStart w:id="77" w:name="_Toc31760"/>
      <w:bookmarkStart w:id="78" w:name="_Toc2642"/>
      <w:bookmarkStart w:id="79" w:name="_Toc32519"/>
      <w:bookmarkStart w:id="80" w:name="_Toc6504"/>
      <w:bookmarkStart w:id="81" w:name="_Toc20704"/>
      <w:bookmarkStart w:id="82" w:name="_Toc15156"/>
      <w:bookmarkStart w:id="83" w:name="_Toc5297"/>
      <w:bookmarkStart w:id="84" w:name="_Toc22905"/>
    </w:p>
    <w:p>
      <w:pPr>
        <w:snapToGrid w:val="0"/>
        <w:ind w:left="74"/>
        <w:outlineLvl w:val="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附件2综合评分表（100分）</w:t>
      </w:r>
    </w:p>
    <w:p>
      <w:pPr>
        <w:widowControl w:val="0"/>
        <w:jc w:val="both"/>
        <w:rPr>
          <w:rFonts w:hint="eastAsia" w:ascii="宋体" w:hAnsi="Courier New" w:eastAsia="宋体" w:cs="Times New Roman"/>
          <w:b w:val="0"/>
          <w:bCs w:val="0"/>
          <w:color w:val="auto"/>
          <w:kern w:val="2"/>
          <w:sz w:val="21"/>
          <w:szCs w:val="21"/>
          <w:highlight w:val="none"/>
          <w:lang w:val="en-US" w:eastAsia="zh-CN" w:bidi="ar-SA"/>
        </w:rPr>
      </w:pPr>
    </w:p>
    <w:tbl>
      <w:tblPr>
        <w:tblStyle w:val="19"/>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560"/>
        <w:gridCol w:w="735"/>
        <w:gridCol w:w="8646"/>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1090" w:type="dxa"/>
            <w:shd w:val="clear" w:color="auto" w:fill="auto"/>
            <w:vAlign w:val="center"/>
          </w:tcPr>
          <w:p>
            <w:pPr>
              <w:snapToGrid w:val="0"/>
              <w:ind w:left="-2" w:leftChars="-1"/>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评审项目</w:t>
            </w:r>
          </w:p>
        </w:tc>
        <w:tc>
          <w:tcPr>
            <w:tcW w:w="1560"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35"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8646" w:type="dxa"/>
            <w:shd w:val="clear" w:color="auto" w:fill="auto"/>
            <w:vAlign w:val="center"/>
          </w:tcPr>
          <w:p>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764"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2" w:hRule="atLeast"/>
          <w:jc w:val="center"/>
        </w:trPr>
        <w:tc>
          <w:tcPr>
            <w:tcW w:w="1090" w:type="dxa"/>
            <w:vMerge w:val="restart"/>
            <w:shd w:val="clear" w:color="auto" w:fill="auto"/>
            <w:vAlign w:val="center"/>
          </w:tcPr>
          <w:p>
            <w:pPr>
              <w:snapToGrid w:val="0"/>
              <w:ind w:left="-2" w:leftChars="-1"/>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商务部分（50分）</w:t>
            </w:r>
          </w:p>
          <w:p>
            <w:pPr>
              <w:pStyle w:val="10"/>
              <w:rPr>
                <w:rFonts w:hint="eastAsia" w:ascii="宋体" w:hAnsi="宋体" w:eastAsia="宋体" w:cs="宋体"/>
                <w:color w:val="auto"/>
                <w:highlight w:val="none"/>
                <w:lang w:val="en-US" w:eastAsia="zh-CN"/>
              </w:rPr>
            </w:pPr>
          </w:p>
        </w:tc>
        <w:tc>
          <w:tcPr>
            <w:tcW w:w="1560" w:type="dxa"/>
            <w:shd w:val="clear" w:color="auto" w:fill="auto"/>
            <w:vAlign w:val="center"/>
          </w:tcPr>
          <w:p>
            <w:pPr>
              <w:widowControl/>
              <w:spacing w:line="360" w:lineRule="auto"/>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spacing w:val="-2"/>
                <w:szCs w:val="21"/>
                <w:highlight w:val="none"/>
              </w:rPr>
              <w:t>企业业绩</w:t>
            </w:r>
          </w:p>
        </w:tc>
        <w:tc>
          <w:tcPr>
            <w:tcW w:w="735" w:type="dxa"/>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20</w:t>
            </w:r>
          </w:p>
        </w:tc>
        <w:tc>
          <w:tcPr>
            <w:tcW w:w="8646" w:type="dxa"/>
            <w:shd w:val="clear" w:color="auto" w:fill="auto"/>
            <w:vAlign w:val="center"/>
          </w:tcPr>
          <w:p>
            <w:pPr>
              <w:kinsoku w:val="0"/>
              <w:autoSpaceDE w:val="0"/>
              <w:autoSpaceDN w:val="0"/>
              <w:adjustRightInd w:val="0"/>
              <w:snapToGrid w:val="0"/>
              <w:spacing w:before="75" w:line="360" w:lineRule="auto"/>
              <w:ind w:left="103"/>
              <w:jc w:val="left"/>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 w:val="21"/>
                <w:szCs w:val="21"/>
                <w:highlight w:val="none"/>
                <w:lang w:val="en-US" w:eastAsia="en-US" w:bidi="ar-SA"/>
              </w:rPr>
              <w:t>投标人2020年1月1日至今(以合同签订时间为准)承接过类似项目业绩（类似项目业绩指单个合同金额在23万元以上（含23万元）的钢结构</w:t>
            </w:r>
            <w:r>
              <w:rPr>
                <w:rFonts w:hint="eastAsia" w:ascii="宋体" w:hAnsi="宋体" w:eastAsia="宋体" w:cs="宋体"/>
                <w:snapToGrid w:val="0"/>
                <w:color w:val="auto"/>
                <w:kern w:val="0"/>
                <w:sz w:val="21"/>
                <w:szCs w:val="21"/>
                <w:highlight w:val="none"/>
                <w:lang w:val="en-US" w:eastAsia="zh-CN" w:bidi="ar-SA"/>
              </w:rPr>
              <w:t>项目</w:t>
            </w:r>
            <w:r>
              <w:rPr>
                <w:rFonts w:hint="eastAsia" w:ascii="宋体" w:hAnsi="宋体" w:eastAsia="宋体" w:cs="宋体"/>
                <w:snapToGrid w:val="0"/>
                <w:color w:val="auto"/>
                <w:kern w:val="0"/>
                <w:sz w:val="21"/>
                <w:szCs w:val="21"/>
                <w:highlight w:val="none"/>
                <w:lang w:val="en-US" w:eastAsia="en-US" w:bidi="ar-SA"/>
              </w:rPr>
              <w:t>业绩），每提供一个得4分，本项最高得20分。</w:t>
            </w:r>
          </w:p>
          <w:p>
            <w:pPr>
              <w:spacing w:line="360" w:lineRule="auto"/>
              <w:jc w:val="left"/>
              <w:rPr>
                <w:rFonts w:hint="eastAsia" w:ascii="宋体" w:hAnsi="宋体" w:eastAsia="宋体" w:cs="宋体"/>
                <w:color w:val="auto"/>
                <w:szCs w:val="21"/>
                <w:highlight w:val="none"/>
              </w:rPr>
            </w:pPr>
            <w:r>
              <w:rPr>
                <w:rFonts w:ascii="宋体" w:hAnsi="宋体" w:eastAsia="宋体" w:cs="宋体"/>
                <w:snapToGrid w:val="0"/>
                <w:color w:val="auto"/>
                <w:kern w:val="0"/>
                <w:sz w:val="21"/>
                <w:szCs w:val="21"/>
                <w:highlight w:val="none"/>
                <w:lang w:val="en-US" w:eastAsia="en-US" w:bidi="ar-SA"/>
              </w:rPr>
              <w:t>注：需提供合同关键页复印件(体现施工内容及金额的页面、盖章页等),不</w:t>
            </w:r>
            <w:r>
              <w:rPr>
                <w:rFonts w:ascii="宋体" w:hAnsi="宋体" w:eastAsia="宋体" w:cs="宋体"/>
                <w:snapToGrid w:val="0"/>
                <w:color w:val="auto"/>
                <w:spacing w:val="-1"/>
                <w:kern w:val="0"/>
                <w:sz w:val="21"/>
                <w:szCs w:val="21"/>
                <w:highlight w:val="none"/>
                <w:lang w:val="en-US" w:eastAsia="en-US" w:bidi="ar-SA"/>
              </w:rPr>
              <w:t>提供、提供不全或</w:t>
            </w:r>
            <w:r>
              <w:rPr>
                <w:rFonts w:ascii="宋体" w:hAnsi="宋体" w:eastAsia="宋体" w:cs="宋体"/>
                <w:snapToGrid w:val="0"/>
                <w:color w:val="auto"/>
                <w:kern w:val="0"/>
                <w:sz w:val="21"/>
                <w:szCs w:val="21"/>
                <w:highlight w:val="none"/>
                <w:lang w:val="en-US" w:eastAsia="en-US" w:bidi="ar-SA"/>
              </w:rPr>
              <w:t>专家无法认定的不得分，业绩时间以合同签订时间为准。</w:t>
            </w:r>
          </w:p>
        </w:tc>
        <w:tc>
          <w:tcPr>
            <w:tcW w:w="764"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8" w:hRule="atLeast"/>
          <w:jc w:val="center"/>
        </w:trPr>
        <w:tc>
          <w:tcPr>
            <w:tcW w:w="1090" w:type="dxa"/>
            <w:vMerge w:val="continue"/>
            <w:shd w:val="clear" w:color="auto" w:fill="auto"/>
            <w:vAlign w:val="center"/>
          </w:tcPr>
          <w:p>
            <w:pPr>
              <w:pStyle w:val="10"/>
              <w:rPr>
                <w:rFonts w:hint="eastAsia" w:ascii="宋体" w:hAnsi="宋体" w:eastAsia="宋体" w:cs="宋体"/>
                <w:color w:val="auto"/>
                <w:highlight w:val="none"/>
                <w:lang w:val="en-US" w:eastAsia="zh-CN"/>
              </w:rPr>
            </w:pPr>
          </w:p>
        </w:tc>
        <w:tc>
          <w:tcPr>
            <w:tcW w:w="1560" w:type="dxa"/>
            <w:shd w:val="clear" w:color="auto" w:fill="auto"/>
            <w:vAlign w:val="top"/>
          </w:tcPr>
          <w:p>
            <w:pPr>
              <w:widowControl/>
              <w:spacing w:line="360" w:lineRule="auto"/>
              <w:ind w:left="-42" w:right="-61"/>
              <w:jc w:val="center"/>
              <w:rPr>
                <w:rFonts w:hint="eastAsia" w:ascii="宋体" w:hAnsi="宋体" w:eastAsia="宋体" w:cs="宋体"/>
                <w:color w:val="auto"/>
                <w:spacing w:val="-2"/>
                <w:sz w:val="21"/>
                <w:szCs w:val="21"/>
                <w:highlight w:val="none"/>
                <w:lang w:val="en-US" w:eastAsia="zh-CN"/>
              </w:rPr>
            </w:pPr>
          </w:p>
          <w:p>
            <w:pPr>
              <w:widowControl/>
              <w:spacing w:line="360" w:lineRule="auto"/>
              <w:ind w:left="-42" w:right="-61"/>
              <w:jc w:val="center"/>
              <w:rPr>
                <w:rFonts w:hint="eastAsia" w:ascii="宋体" w:hAnsi="宋体" w:eastAsia="宋体" w:cs="宋体"/>
                <w:color w:val="auto"/>
                <w:spacing w:val="-2"/>
                <w:sz w:val="21"/>
                <w:szCs w:val="21"/>
                <w:highlight w:val="none"/>
                <w:lang w:eastAsia="zh-CN"/>
              </w:rPr>
            </w:pPr>
            <w:r>
              <w:rPr>
                <w:rFonts w:hint="eastAsia" w:ascii="宋体" w:hAnsi="宋体" w:eastAsia="宋体" w:cs="宋体"/>
                <w:color w:val="auto"/>
                <w:spacing w:val="-2"/>
                <w:sz w:val="21"/>
                <w:szCs w:val="21"/>
                <w:highlight w:val="none"/>
                <w:lang w:val="en-US" w:eastAsia="zh-CN"/>
              </w:rPr>
              <w:t>企业资质</w:t>
            </w:r>
          </w:p>
        </w:tc>
        <w:tc>
          <w:tcPr>
            <w:tcW w:w="735" w:type="dxa"/>
            <w:shd w:val="clear" w:color="auto" w:fill="auto"/>
            <w:vAlign w:val="top"/>
          </w:tcPr>
          <w:p>
            <w:pPr>
              <w:widowControl/>
              <w:spacing w:line="360" w:lineRule="auto"/>
              <w:ind w:left="-42" w:right="-61"/>
              <w:jc w:val="center"/>
              <w:rPr>
                <w:rFonts w:hint="eastAsia" w:ascii="宋体" w:hAnsi="宋体" w:eastAsia="宋体" w:cs="宋体"/>
                <w:color w:val="auto"/>
                <w:spacing w:val="-2"/>
                <w:sz w:val="21"/>
                <w:szCs w:val="21"/>
                <w:highlight w:val="none"/>
                <w:lang w:val="en-US" w:eastAsia="zh-CN"/>
              </w:rPr>
            </w:pPr>
          </w:p>
          <w:p>
            <w:pPr>
              <w:widowControl/>
              <w:spacing w:line="360" w:lineRule="auto"/>
              <w:ind w:left="-42" w:right="-61"/>
              <w:jc w:val="center"/>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4</w:t>
            </w:r>
          </w:p>
        </w:tc>
        <w:tc>
          <w:tcPr>
            <w:tcW w:w="8646" w:type="dxa"/>
            <w:shd w:val="clear" w:color="auto" w:fill="auto"/>
            <w:vAlign w:val="top"/>
          </w:tcPr>
          <w:p>
            <w:pPr>
              <w:widowControl/>
              <w:spacing w:line="360" w:lineRule="auto"/>
              <w:ind w:left="-42" w:right="-61"/>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rPr>
              <w:t>投标人</w:t>
            </w:r>
            <w:r>
              <w:rPr>
                <w:rFonts w:hint="eastAsia" w:ascii="宋体" w:hAnsi="宋体" w:eastAsia="宋体" w:cs="宋体"/>
                <w:color w:val="auto"/>
                <w:spacing w:val="-2"/>
                <w:sz w:val="21"/>
                <w:szCs w:val="21"/>
                <w:highlight w:val="none"/>
                <w:lang w:val="en-US" w:eastAsia="zh-CN"/>
              </w:rPr>
              <w:t>具有</w:t>
            </w:r>
            <w:r>
              <w:rPr>
                <w:rFonts w:hint="eastAsia" w:ascii="宋体" w:hAnsi="宋体" w:eastAsia="宋体" w:cs="宋体"/>
                <w:color w:val="auto"/>
                <w:spacing w:val="-2"/>
                <w:sz w:val="21"/>
                <w:szCs w:val="21"/>
                <w:highlight w:val="none"/>
              </w:rPr>
              <w:t>建筑工程</w:t>
            </w:r>
            <w:r>
              <w:rPr>
                <w:rFonts w:hint="eastAsia" w:ascii="宋体" w:hAnsi="宋体" w:eastAsia="宋体" w:cs="宋体"/>
                <w:color w:val="auto"/>
                <w:spacing w:val="-2"/>
                <w:sz w:val="21"/>
                <w:szCs w:val="21"/>
                <w:highlight w:val="none"/>
                <w:lang w:val="en-US" w:eastAsia="zh-CN"/>
              </w:rPr>
              <w:t>施工</w:t>
            </w:r>
            <w:r>
              <w:rPr>
                <w:rFonts w:hint="eastAsia" w:ascii="宋体" w:hAnsi="宋体" w:eastAsia="宋体" w:cs="宋体"/>
                <w:color w:val="auto"/>
                <w:spacing w:val="-2"/>
                <w:sz w:val="21"/>
                <w:szCs w:val="21"/>
                <w:highlight w:val="none"/>
                <w:u w:val="none"/>
              </w:rPr>
              <w:t>总承包</w:t>
            </w:r>
            <w:r>
              <w:rPr>
                <w:rFonts w:hint="eastAsia" w:ascii="宋体" w:hAnsi="宋体" w:eastAsia="宋体" w:cs="宋体"/>
                <w:color w:val="auto"/>
                <w:spacing w:val="-2"/>
                <w:sz w:val="21"/>
                <w:szCs w:val="21"/>
                <w:highlight w:val="none"/>
                <w:u w:val="none"/>
                <w:lang w:val="en-US" w:eastAsia="zh-CN"/>
              </w:rPr>
              <w:t>二</w:t>
            </w:r>
            <w:r>
              <w:rPr>
                <w:rFonts w:hint="eastAsia" w:ascii="宋体" w:hAnsi="宋体" w:eastAsia="宋体" w:cs="宋体"/>
                <w:color w:val="auto"/>
                <w:spacing w:val="-2"/>
                <w:sz w:val="21"/>
                <w:szCs w:val="21"/>
                <w:highlight w:val="none"/>
                <w:u w:val="none"/>
              </w:rPr>
              <w:t>级</w:t>
            </w:r>
            <w:r>
              <w:rPr>
                <w:rFonts w:hint="eastAsia" w:ascii="宋体" w:hAnsi="宋体" w:eastAsia="宋体" w:cs="宋体"/>
                <w:color w:val="auto"/>
                <w:spacing w:val="-2"/>
                <w:sz w:val="21"/>
                <w:szCs w:val="21"/>
                <w:highlight w:val="none"/>
                <w:u w:val="none"/>
                <w:lang w:eastAsia="zh-CN"/>
              </w:rPr>
              <w:t>（</w:t>
            </w:r>
            <w:r>
              <w:rPr>
                <w:rFonts w:hint="eastAsia" w:ascii="宋体" w:hAnsi="宋体" w:eastAsia="宋体" w:cs="宋体"/>
                <w:color w:val="auto"/>
                <w:spacing w:val="-2"/>
                <w:sz w:val="21"/>
                <w:szCs w:val="21"/>
                <w:highlight w:val="none"/>
              </w:rPr>
              <w:t>或以上</w:t>
            </w:r>
            <w:r>
              <w:rPr>
                <w:rFonts w:hint="eastAsia" w:ascii="宋体" w:hAnsi="宋体" w:eastAsia="宋体" w:cs="宋体"/>
                <w:color w:val="auto"/>
                <w:spacing w:val="-2"/>
                <w:sz w:val="21"/>
                <w:szCs w:val="21"/>
                <w:highlight w:val="none"/>
                <w:lang w:eastAsia="zh-CN"/>
              </w:rPr>
              <w:t>）</w:t>
            </w:r>
            <w:r>
              <w:rPr>
                <w:rFonts w:hint="eastAsia" w:ascii="宋体" w:hAnsi="宋体" w:eastAsia="宋体" w:cs="宋体"/>
                <w:color w:val="auto"/>
                <w:spacing w:val="-2"/>
                <w:sz w:val="21"/>
                <w:szCs w:val="21"/>
                <w:highlight w:val="none"/>
              </w:rPr>
              <w:t>资质</w:t>
            </w:r>
            <w:r>
              <w:rPr>
                <w:rFonts w:hint="eastAsia" w:ascii="宋体" w:hAnsi="宋体" w:eastAsia="宋体" w:cs="宋体"/>
                <w:color w:val="auto"/>
                <w:spacing w:val="-2"/>
                <w:sz w:val="21"/>
                <w:szCs w:val="21"/>
                <w:highlight w:val="none"/>
                <w:lang w:val="en-US" w:eastAsia="zh-CN"/>
              </w:rPr>
              <w:t>的得4分。</w:t>
            </w:r>
          </w:p>
          <w:p>
            <w:pPr>
              <w:widowControl/>
              <w:spacing w:line="360" w:lineRule="auto"/>
              <w:ind w:left="-42" w:right="-61"/>
              <w:jc w:val="left"/>
              <w:rPr>
                <w:rFonts w:hint="eastAsia" w:ascii="宋体" w:hAnsi="宋体" w:eastAsia="宋体" w:cs="宋体"/>
                <w:color w:val="auto"/>
                <w:spacing w:val="-2"/>
                <w:sz w:val="21"/>
                <w:szCs w:val="21"/>
                <w:highlight w:val="none"/>
                <w:lang w:val="en-US" w:eastAsia="zh-CN"/>
              </w:rPr>
            </w:pPr>
            <w:r>
              <w:rPr>
                <w:rFonts w:hint="eastAsia" w:ascii="宋体" w:hAnsi="宋体" w:eastAsia="宋体" w:cs="宋体"/>
                <w:color w:val="auto"/>
                <w:spacing w:val="-2"/>
                <w:sz w:val="21"/>
                <w:szCs w:val="21"/>
                <w:highlight w:val="none"/>
                <w:lang w:val="en-US" w:eastAsia="zh-CN"/>
              </w:rPr>
              <w:t>注：需提供证书复印件，不符合，不提供不得分。</w:t>
            </w:r>
          </w:p>
        </w:tc>
        <w:tc>
          <w:tcPr>
            <w:tcW w:w="764"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8" w:hRule="atLeast"/>
          <w:jc w:val="center"/>
        </w:trPr>
        <w:tc>
          <w:tcPr>
            <w:tcW w:w="1090" w:type="dxa"/>
            <w:vMerge w:val="continue"/>
            <w:shd w:val="clear" w:color="auto" w:fill="auto"/>
            <w:vAlign w:val="center"/>
          </w:tcPr>
          <w:p>
            <w:pPr>
              <w:pStyle w:val="10"/>
              <w:rPr>
                <w:rFonts w:hint="eastAsia" w:ascii="宋体" w:hAnsi="宋体" w:eastAsia="宋体" w:cs="宋体"/>
                <w:color w:val="auto"/>
                <w:highlight w:val="none"/>
                <w:lang w:val="en-US" w:eastAsia="zh-CN"/>
              </w:rPr>
            </w:pPr>
          </w:p>
        </w:tc>
        <w:tc>
          <w:tcPr>
            <w:tcW w:w="1560" w:type="dxa"/>
            <w:shd w:val="clear" w:color="auto" w:fill="auto"/>
            <w:vAlign w:val="top"/>
          </w:tcPr>
          <w:p>
            <w:pPr>
              <w:pStyle w:val="71"/>
              <w:spacing w:before="52" w:line="360" w:lineRule="auto"/>
              <w:ind w:left="260"/>
              <w:jc w:val="center"/>
              <w:rPr>
                <w:rFonts w:hint="eastAsia" w:ascii="宋体" w:hAnsi="宋体" w:eastAsia="宋体" w:cs="宋体"/>
                <w:color w:val="auto"/>
                <w:sz w:val="21"/>
                <w:szCs w:val="21"/>
                <w:highlight w:val="none"/>
              </w:rPr>
            </w:pPr>
          </w:p>
          <w:p>
            <w:pPr>
              <w:pStyle w:val="71"/>
              <w:spacing w:before="52" w:line="360" w:lineRule="auto"/>
              <w:ind w:left="260" w:leftChars="0"/>
              <w:jc w:val="both"/>
              <w:rPr>
                <w:color w:val="auto"/>
                <w:spacing w:val="3"/>
                <w:sz w:val="21"/>
                <w:szCs w:val="21"/>
                <w:highlight w:val="none"/>
              </w:rPr>
            </w:pPr>
          </w:p>
          <w:p>
            <w:pPr>
              <w:pStyle w:val="71"/>
              <w:spacing w:before="52" w:line="360" w:lineRule="auto"/>
              <w:ind w:left="260" w:leftChars="0"/>
              <w:jc w:val="both"/>
              <w:rPr>
                <w:rFonts w:hint="eastAsia"/>
                <w:color w:val="auto"/>
                <w:spacing w:val="3"/>
                <w:sz w:val="21"/>
                <w:szCs w:val="21"/>
                <w:highlight w:val="none"/>
              </w:rPr>
            </w:pPr>
            <w:r>
              <w:rPr>
                <w:color w:val="auto"/>
                <w:spacing w:val="3"/>
                <w:sz w:val="21"/>
                <w:szCs w:val="21"/>
                <w:highlight w:val="none"/>
              </w:rPr>
              <w:t>认证体系</w:t>
            </w:r>
          </w:p>
        </w:tc>
        <w:tc>
          <w:tcPr>
            <w:tcW w:w="735" w:type="dxa"/>
            <w:shd w:val="clear" w:color="auto" w:fill="auto"/>
            <w:vAlign w:val="top"/>
          </w:tcPr>
          <w:p>
            <w:pPr>
              <w:spacing w:line="360" w:lineRule="auto"/>
              <w:jc w:val="center"/>
              <w:rPr>
                <w:rFonts w:hint="eastAsia" w:ascii="宋体" w:hAnsi="宋体" w:eastAsia="宋体" w:cs="宋体"/>
                <w:color w:val="auto"/>
                <w:sz w:val="21"/>
                <w:szCs w:val="21"/>
                <w:highlight w:val="none"/>
              </w:rPr>
            </w:pPr>
          </w:p>
          <w:p>
            <w:pPr>
              <w:pStyle w:val="71"/>
              <w:spacing w:before="52" w:line="360" w:lineRule="auto"/>
              <w:ind w:left="232" w:leftChars="0"/>
              <w:jc w:val="both"/>
              <w:rPr>
                <w:rFonts w:hint="eastAsia"/>
                <w:color w:val="auto"/>
                <w:sz w:val="21"/>
                <w:szCs w:val="21"/>
                <w:highlight w:val="none"/>
                <w:lang w:val="en-US" w:eastAsia="zh-CN"/>
              </w:rPr>
            </w:pPr>
          </w:p>
          <w:p>
            <w:pPr>
              <w:pStyle w:val="71"/>
              <w:spacing w:before="52" w:line="360" w:lineRule="auto"/>
              <w:ind w:left="232" w:leftChars="0"/>
              <w:jc w:val="both"/>
              <w:rPr>
                <w:rFonts w:hint="eastAsia" w:ascii="宋体" w:hAnsi="宋体" w:eastAsia="宋体" w:cs="宋体"/>
                <w:color w:val="auto"/>
                <w:sz w:val="21"/>
                <w:szCs w:val="21"/>
                <w:highlight w:val="none"/>
              </w:rPr>
            </w:pPr>
            <w:r>
              <w:rPr>
                <w:rFonts w:hint="eastAsia"/>
                <w:color w:val="auto"/>
                <w:sz w:val="21"/>
                <w:szCs w:val="21"/>
                <w:highlight w:val="none"/>
                <w:lang w:val="en-US" w:eastAsia="zh-CN"/>
              </w:rPr>
              <w:t>6</w:t>
            </w:r>
          </w:p>
        </w:tc>
        <w:tc>
          <w:tcPr>
            <w:tcW w:w="8646" w:type="dxa"/>
            <w:shd w:val="clear" w:color="auto" w:fill="auto"/>
            <w:vAlign w:val="top"/>
          </w:tcPr>
          <w:p>
            <w:pPr>
              <w:pStyle w:val="71"/>
              <w:spacing w:before="67" w:line="360" w:lineRule="auto"/>
              <w:ind w:left="93" w:right="8" w:hanging="10"/>
              <w:jc w:val="left"/>
              <w:rPr>
                <w:color w:val="auto"/>
                <w:sz w:val="21"/>
                <w:szCs w:val="21"/>
                <w:highlight w:val="none"/>
              </w:rPr>
            </w:pPr>
            <w:r>
              <w:rPr>
                <w:color w:val="auto"/>
                <w:sz w:val="21"/>
                <w:szCs w:val="21"/>
                <w:highlight w:val="none"/>
              </w:rPr>
              <w:t>投标人具有有效的质量管理体系认证证书、环境管理体系认证证书、职</w:t>
            </w:r>
            <w:r>
              <w:rPr>
                <w:color w:val="auto"/>
                <w:spacing w:val="-1"/>
                <w:sz w:val="21"/>
                <w:szCs w:val="21"/>
                <w:highlight w:val="none"/>
              </w:rPr>
              <w:t>业健康安全管理体系认</w:t>
            </w:r>
            <w:r>
              <w:rPr>
                <w:color w:val="auto"/>
                <w:sz w:val="21"/>
                <w:szCs w:val="21"/>
                <w:highlight w:val="none"/>
              </w:rPr>
              <w:t>证证书，每有一个证书得</w:t>
            </w:r>
            <w:r>
              <w:rPr>
                <w:rFonts w:hint="eastAsia"/>
                <w:color w:val="auto"/>
                <w:sz w:val="21"/>
                <w:szCs w:val="21"/>
                <w:highlight w:val="none"/>
                <w:lang w:val="en-US" w:eastAsia="zh-CN"/>
              </w:rPr>
              <w:t>2</w:t>
            </w:r>
            <w:r>
              <w:rPr>
                <w:color w:val="auto"/>
                <w:sz w:val="21"/>
                <w:szCs w:val="21"/>
                <w:highlight w:val="none"/>
              </w:rPr>
              <w:t>分。本项最高得</w:t>
            </w:r>
            <w:r>
              <w:rPr>
                <w:rFonts w:hint="eastAsia"/>
                <w:color w:val="auto"/>
                <w:sz w:val="21"/>
                <w:szCs w:val="21"/>
                <w:highlight w:val="none"/>
                <w:lang w:val="en-US" w:eastAsia="zh-CN"/>
              </w:rPr>
              <w:t>6</w:t>
            </w:r>
            <w:r>
              <w:rPr>
                <w:color w:val="auto"/>
                <w:sz w:val="21"/>
                <w:szCs w:val="21"/>
                <w:highlight w:val="none"/>
              </w:rPr>
              <w:t>分。</w:t>
            </w:r>
          </w:p>
          <w:p>
            <w:pPr>
              <w:pStyle w:val="71"/>
              <w:spacing w:before="49" w:line="360" w:lineRule="auto"/>
              <w:ind w:left="93" w:leftChars="0" w:right="686" w:rightChars="0" w:firstLine="29" w:firstLineChars="0"/>
              <w:jc w:val="left"/>
              <w:rPr>
                <w:rFonts w:hint="eastAsia" w:ascii="宋体" w:hAnsi="宋体" w:eastAsia="宋体" w:cs="宋体"/>
                <w:color w:val="auto"/>
                <w:sz w:val="21"/>
                <w:szCs w:val="21"/>
                <w:highlight w:val="none"/>
              </w:rPr>
            </w:pPr>
            <w:r>
              <w:rPr>
                <w:color w:val="auto"/>
                <w:spacing w:val="-2"/>
                <w:sz w:val="21"/>
                <w:szCs w:val="21"/>
                <w:highlight w:val="none"/>
              </w:rPr>
              <w:t>注：(须提供以上有效期内的证书复印件以及在全国认证认</w:t>
            </w:r>
            <w:r>
              <w:rPr>
                <w:color w:val="auto"/>
                <w:spacing w:val="-3"/>
                <w:sz w:val="21"/>
                <w:szCs w:val="21"/>
                <w:highlight w:val="none"/>
              </w:rPr>
              <w:t>可信息公共服务平台上</w:t>
            </w:r>
            <w:r>
              <w:rPr>
                <w:color w:val="auto"/>
                <w:sz w:val="21"/>
                <w:szCs w:val="21"/>
                <w:highlight w:val="none"/>
              </w:rPr>
              <w:t xml:space="preserve"> http</w:t>
            </w:r>
            <w:r>
              <w:rPr>
                <w:color w:val="auto"/>
                <w:spacing w:val="1"/>
                <w:sz w:val="21"/>
                <w:szCs w:val="21"/>
                <w:highlight w:val="none"/>
              </w:rPr>
              <w:t>://</w:t>
            </w:r>
            <w:r>
              <w:rPr>
                <w:color w:val="auto"/>
                <w:sz w:val="21"/>
                <w:szCs w:val="21"/>
                <w:highlight w:val="none"/>
              </w:rPr>
              <w:t>cx</w:t>
            </w:r>
            <w:r>
              <w:rPr>
                <w:color w:val="auto"/>
                <w:spacing w:val="1"/>
                <w:sz w:val="21"/>
                <w:szCs w:val="21"/>
                <w:highlight w:val="none"/>
              </w:rPr>
              <w:t>.</w:t>
            </w:r>
            <w:r>
              <w:rPr>
                <w:color w:val="auto"/>
                <w:sz w:val="21"/>
                <w:szCs w:val="21"/>
                <w:highlight w:val="none"/>
              </w:rPr>
              <w:t>cnca</w:t>
            </w:r>
            <w:r>
              <w:rPr>
                <w:color w:val="auto"/>
                <w:spacing w:val="1"/>
                <w:sz w:val="21"/>
                <w:szCs w:val="21"/>
                <w:highlight w:val="none"/>
              </w:rPr>
              <w:t>.</w:t>
            </w:r>
            <w:r>
              <w:rPr>
                <w:color w:val="auto"/>
                <w:sz w:val="21"/>
                <w:szCs w:val="21"/>
                <w:highlight w:val="none"/>
              </w:rPr>
              <w:t>cn</w:t>
            </w:r>
            <w:r>
              <w:rPr>
                <w:color w:val="auto"/>
                <w:spacing w:val="1"/>
                <w:sz w:val="21"/>
                <w:szCs w:val="21"/>
                <w:highlight w:val="none"/>
              </w:rPr>
              <w:t>查询结果的截图，证书状态必须为“有效”,否则不得分。)</w:t>
            </w:r>
          </w:p>
        </w:tc>
        <w:tc>
          <w:tcPr>
            <w:tcW w:w="764"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7" w:hRule="atLeast"/>
          <w:jc w:val="center"/>
        </w:trPr>
        <w:tc>
          <w:tcPr>
            <w:tcW w:w="1090" w:type="dxa"/>
            <w:vMerge w:val="continue"/>
            <w:shd w:val="clear" w:color="auto" w:fill="auto"/>
            <w:vAlign w:val="center"/>
          </w:tcPr>
          <w:p>
            <w:pPr>
              <w:pStyle w:val="10"/>
              <w:rPr>
                <w:rFonts w:hint="eastAsia"/>
                <w:color w:val="auto"/>
                <w:highlight w:val="none"/>
                <w:lang w:val="en-US" w:eastAsia="zh-CN"/>
              </w:rPr>
            </w:pPr>
          </w:p>
        </w:tc>
        <w:tc>
          <w:tcPr>
            <w:tcW w:w="1560" w:type="dxa"/>
            <w:vMerge w:val="restart"/>
            <w:shd w:val="clear" w:color="auto" w:fill="auto"/>
            <w:vAlign w:val="top"/>
          </w:tcPr>
          <w:p>
            <w:pPr>
              <w:spacing w:line="360" w:lineRule="auto"/>
              <w:jc w:val="center"/>
              <w:rPr>
                <w:rFonts w:hint="eastAsia" w:ascii="宋体" w:hAnsi="宋体" w:eastAsia="宋体" w:cs="宋体"/>
                <w:color w:val="auto"/>
                <w:sz w:val="21"/>
                <w:szCs w:val="21"/>
                <w:highlight w:val="none"/>
              </w:rPr>
            </w:pPr>
          </w:p>
          <w:p>
            <w:pPr>
              <w:spacing w:line="360" w:lineRule="auto"/>
              <w:jc w:val="center"/>
              <w:rPr>
                <w:rFonts w:hint="eastAsia" w:ascii="宋体" w:hAnsi="宋体" w:eastAsia="宋体" w:cs="宋体"/>
                <w:color w:val="auto"/>
                <w:spacing w:val="0"/>
                <w:sz w:val="21"/>
                <w:szCs w:val="21"/>
                <w:highlight w:val="none"/>
              </w:rPr>
            </w:pPr>
          </w:p>
          <w:p>
            <w:pPr>
              <w:spacing w:line="360" w:lineRule="auto"/>
              <w:jc w:val="center"/>
              <w:rPr>
                <w:rFonts w:hint="eastAsia" w:ascii="宋体" w:hAnsi="宋体" w:eastAsia="宋体" w:cs="宋体"/>
                <w:color w:val="auto"/>
                <w:spacing w:val="0"/>
                <w:sz w:val="21"/>
                <w:szCs w:val="21"/>
                <w:highlight w:val="none"/>
              </w:rPr>
            </w:pPr>
          </w:p>
          <w:p>
            <w:pPr>
              <w:spacing w:line="360" w:lineRule="auto"/>
              <w:jc w:val="center"/>
              <w:rPr>
                <w:rFonts w:hint="eastAsia" w:ascii="宋体" w:hAnsi="宋体" w:eastAsia="宋体" w:cs="宋体"/>
                <w:color w:val="auto"/>
                <w:spacing w:val="0"/>
                <w:sz w:val="21"/>
                <w:szCs w:val="21"/>
                <w:highlight w:val="none"/>
              </w:rPr>
            </w:pPr>
          </w:p>
          <w:p>
            <w:pPr>
              <w:spacing w:line="360" w:lineRule="auto"/>
              <w:jc w:val="center"/>
              <w:rPr>
                <w:rFonts w:hint="eastAsia" w:ascii="宋体" w:hAnsi="宋体" w:eastAsia="宋体" w:cs="宋体"/>
                <w:color w:val="auto"/>
                <w:spacing w:val="0"/>
                <w:sz w:val="21"/>
                <w:szCs w:val="21"/>
                <w:highlight w:val="none"/>
              </w:rPr>
            </w:pPr>
          </w:p>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拟派本项目团队情况</w:t>
            </w:r>
          </w:p>
        </w:tc>
        <w:tc>
          <w:tcPr>
            <w:tcW w:w="735" w:type="dxa"/>
            <w:shd w:val="clear" w:color="auto" w:fill="auto"/>
            <w:vAlign w:val="top"/>
          </w:tcPr>
          <w:p>
            <w:pPr>
              <w:spacing w:line="360" w:lineRule="auto"/>
              <w:jc w:val="center"/>
              <w:rPr>
                <w:rFonts w:hint="eastAsia" w:ascii="宋体" w:hAnsi="宋体" w:eastAsia="宋体" w:cs="宋体"/>
                <w:color w:val="auto"/>
                <w:sz w:val="21"/>
                <w:szCs w:val="21"/>
                <w:highlight w:val="none"/>
              </w:rPr>
            </w:pPr>
          </w:p>
          <w:p>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8646" w:type="dxa"/>
            <w:shd w:val="clear" w:color="auto" w:fill="auto"/>
            <w:vAlign w:val="top"/>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项目负责人具有</w:t>
            </w:r>
            <w:r>
              <w:rPr>
                <w:rFonts w:hint="eastAsia" w:ascii="宋体" w:hAnsi="宋体" w:eastAsia="宋体" w:cs="宋体"/>
                <w:color w:val="auto"/>
                <w:sz w:val="21"/>
                <w:szCs w:val="21"/>
                <w:highlight w:val="none"/>
                <w:u w:val="none"/>
              </w:rPr>
              <w:t>市政公用工程专业</w:t>
            </w:r>
            <w:r>
              <w:rPr>
                <w:rFonts w:hint="eastAsia" w:ascii="宋体" w:hAnsi="宋体" w:eastAsia="宋体" w:cs="宋体"/>
                <w:color w:val="auto"/>
                <w:sz w:val="21"/>
                <w:szCs w:val="21"/>
                <w:highlight w:val="none"/>
                <w:u w:val="none"/>
                <w:lang w:val="en-US" w:eastAsia="zh-CN"/>
              </w:rPr>
              <w:t>二</w:t>
            </w:r>
            <w:r>
              <w:rPr>
                <w:rFonts w:hint="eastAsia" w:ascii="宋体" w:hAnsi="宋体" w:eastAsia="宋体" w:cs="宋体"/>
                <w:color w:val="auto"/>
                <w:sz w:val="21"/>
                <w:szCs w:val="21"/>
                <w:highlight w:val="none"/>
                <w:u w:val="none"/>
              </w:rPr>
              <w:t>级或以上级别</w:t>
            </w:r>
            <w:r>
              <w:rPr>
                <w:rFonts w:hint="eastAsia" w:ascii="宋体" w:hAnsi="宋体" w:eastAsia="宋体" w:cs="宋体"/>
                <w:color w:val="auto"/>
                <w:sz w:val="21"/>
                <w:szCs w:val="21"/>
                <w:highlight w:val="none"/>
              </w:rPr>
              <w:t>的注册建造师得5</w:t>
            </w:r>
            <w:r>
              <w:rPr>
                <w:rFonts w:hint="eastAsia" w:ascii="宋体" w:hAnsi="宋体" w:eastAsia="宋体" w:cs="宋体"/>
                <w:color w:val="auto"/>
                <w:spacing w:val="0"/>
                <w:sz w:val="21"/>
                <w:szCs w:val="21"/>
                <w:highlight w:val="none"/>
              </w:rPr>
              <w:t>分。</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注：需提供人员相关证书、身份证复印件、</w:t>
            </w:r>
            <w:r>
              <w:rPr>
                <w:rFonts w:hint="eastAsia" w:ascii="宋体" w:hAnsi="宋体" w:eastAsia="宋体" w:cs="宋体"/>
                <w:color w:val="auto"/>
                <w:sz w:val="21"/>
                <w:szCs w:val="21"/>
                <w:highlight w:val="none"/>
              </w:rPr>
              <w:t>及投标人为其购买至投标截止日期近2个月(截止投标当月的上一月</w:t>
            </w:r>
            <w:r>
              <w:rPr>
                <w:rFonts w:hint="eastAsia" w:ascii="宋体" w:hAnsi="宋体" w:eastAsia="宋体" w:cs="宋体"/>
                <w:color w:val="auto"/>
                <w:spacing w:val="0"/>
                <w:sz w:val="21"/>
                <w:szCs w:val="21"/>
                <w:highlight w:val="none"/>
              </w:rPr>
              <w:t>份)有效的社会保险证明文件复印件，提供不齐或不提供不得分。</w:t>
            </w:r>
          </w:p>
        </w:tc>
        <w:tc>
          <w:tcPr>
            <w:tcW w:w="764"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0" w:hRule="atLeast"/>
          <w:jc w:val="center"/>
        </w:trPr>
        <w:tc>
          <w:tcPr>
            <w:tcW w:w="1090" w:type="dxa"/>
            <w:vMerge w:val="continue"/>
            <w:shd w:val="clear" w:color="auto" w:fill="auto"/>
            <w:vAlign w:val="center"/>
          </w:tcPr>
          <w:p>
            <w:pPr>
              <w:pStyle w:val="10"/>
              <w:rPr>
                <w:rFonts w:hint="eastAsia"/>
                <w:color w:val="auto"/>
                <w:highlight w:val="none"/>
                <w:lang w:val="en-US" w:eastAsia="zh-CN"/>
              </w:rPr>
            </w:pPr>
          </w:p>
        </w:tc>
        <w:tc>
          <w:tcPr>
            <w:tcW w:w="1560" w:type="dxa"/>
            <w:vMerge w:val="continue"/>
            <w:shd w:val="clear" w:color="auto" w:fill="auto"/>
            <w:vAlign w:val="top"/>
          </w:tcPr>
          <w:p>
            <w:pPr>
              <w:rPr>
                <w:rFonts w:hint="eastAsia" w:ascii="宋体" w:hAnsi="宋体" w:eastAsia="宋体" w:cs="宋体"/>
                <w:color w:val="auto"/>
                <w:sz w:val="21"/>
                <w:szCs w:val="21"/>
                <w:highlight w:val="none"/>
              </w:rPr>
            </w:pPr>
          </w:p>
        </w:tc>
        <w:tc>
          <w:tcPr>
            <w:tcW w:w="735" w:type="dxa"/>
            <w:shd w:val="clear" w:color="auto" w:fill="auto"/>
            <w:vAlign w:val="top"/>
          </w:tcPr>
          <w:p>
            <w:pPr>
              <w:spacing w:line="272" w:lineRule="auto"/>
              <w:rPr>
                <w:rFonts w:hint="eastAsia" w:ascii="宋体" w:hAnsi="宋体" w:eastAsia="宋体" w:cs="宋体"/>
                <w:color w:val="auto"/>
                <w:sz w:val="21"/>
                <w:szCs w:val="21"/>
                <w:highlight w:val="none"/>
              </w:rPr>
            </w:pPr>
          </w:p>
          <w:p>
            <w:pPr>
              <w:spacing w:line="273" w:lineRule="auto"/>
              <w:rPr>
                <w:rFonts w:hint="eastAsia" w:ascii="宋体" w:hAnsi="宋体" w:eastAsia="宋体" w:cs="宋体"/>
                <w:color w:val="auto"/>
                <w:sz w:val="21"/>
                <w:szCs w:val="21"/>
                <w:highlight w:val="none"/>
              </w:rPr>
            </w:pPr>
          </w:p>
          <w:p>
            <w:pPr>
              <w:spacing w:line="273" w:lineRule="auto"/>
              <w:rPr>
                <w:rFonts w:hint="eastAsia" w:ascii="宋体" w:hAnsi="宋体" w:eastAsia="宋体" w:cs="宋体"/>
                <w:color w:val="auto"/>
                <w:sz w:val="21"/>
                <w:szCs w:val="21"/>
                <w:highlight w:val="none"/>
              </w:rPr>
            </w:pPr>
          </w:p>
          <w:p>
            <w:pPr>
              <w:pStyle w:val="71"/>
              <w:spacing w:before="52" w:line="184" w:lineRule="auto"/>
              <w:ind w:left="0" w:leftChars="0" w:firstLine="200" w:firstLineChars="100"/>
              <w:rPr>
                <w:rFonts w:hint="eastAsia" w:ascii="宋体" w:hAnsi="宋体" w:eastAsia="宋体" w:cs="宋体"/>
                <w:color w:val="auto"/>
                <w:sz w:val="21"/>
                <w:szCs w:val="21"/>
                <w:highlight w:val="none"/>
                <w:lang w:val="en-US" w:eastAsia="zh-CN"/>
              </w:rPr>
            </w:pPr>
            <w:r>
              <w:rPr>
                <w:color w:val="auto"/>
                <w:spacing w:val="-5"/>
                <w:sz w:val="21"/>
                <w:szCs w:val="21"/>
                <w:highlight w:val="none"/>
              </w:rPr>
              <w:t>15</w:t>
            </w:r>
          </w:p>
        </w:tc>
        <w:tc>
          <w:tcPr>
            <w:tcW w:w="8646" w:type="dxa"/>
            <w:shd w:val="clear" w:color="auto" w:fill="auto"/>
            <w:vAlign w:val="top"/>
          </w:tcPr>
          <w:p>
            <w:pPr>
              <w:pStyle w:val="71"/>
              <w:spacing w:before="60" w:line="246" w:lineRule="auto"/>
              <w:ind w:left="93"/>
              <w:jc w:val="left"/>
              <w:rPr>
                <w:rFonts w:hint="eastAsia"/>
                <w:color w:val="auto"/>
                <w:spacing w:val="-1"/>
                <w:sz w:val="21"/>
                <w:szCs w:val="21"/>
                <w:highlight w:val="none"/>
              </w:rPr>
            </w:pPr>
            <w:r>
              <w:rPr>
                <w:rFonts w:hint="eastAsia"/>
                <w:color w:val="auto"/>
                <w:spacing w:val="-1"/>
                <w:sz w:val="21"/>
                <w:szCs w:val="21"/>
                <w:highlight w:val="none"/>
              </w:rPr>
              <w:t>拟委派的除项目负责人外的其他人员：</w:t>
            </w:r>
          </w:p>
          <w:p>
            <w:pPr>
              <w:pStyle w:val="71"/>
              <w:spacing w:before="60" w:line="246" w:lineRule="auto"/>
              <w:ind w:left="93"/>
              <w:jc w:val="left"/>
              <w:rPr>
                <w:rFonts w:hint="eastAsia"/>
                <w:color w:val="auto"/>
                <w:spacing w:val="-1"/>
                <w:sz w:val="21"/>
                <w:szCs w:val="21"/>
                <w:highlight w:val="none"/>
              </w:rPr>
            </w:pPr>
            <w:r>
              <w:rPr>
                <w:rFonts w:hint="eastAsia"/>
                <w:color w:val="auto"/>
                <w:spacing w:val="-1"/>
                <w:sz w:val="21"/>
                <w:szCs w:val="21"/>
                <w:highlight w:val="none"/>
              </w:rPr>
              <w:t>1.</w:t>
            </w:r>
            <w:r>
              <w:rPr>
                <w:rFonts w:hint="eastAsia" w:ascii="宋体" w:hAnsi="宋体" w:eastAsia="宋体" w:cs="宋体"/>
                <w:color w:val="auto"/>
                <w:spacing w:val="-1"/>
                <w:kern w:val="2"/>
                <w:position w:val="0"/>
                <w:sz w:val="21"/>
                <w:szCs w:val="21"/>
                <w:highlight w:val="none"/>
                <w:lang w:val="en-US" w:eastAsia="zh-CN" w:bidi="ar-SA"/>
              </w:rPr>
              <w:t>技术负责人1名：</w:t>
            </w:r>
            <w:r>
              <w:rPr>
                <w:rFonts w:hint="eastAsia"/>
                <w:color w:val="auto"/>
                <w:spacing w:val="-1"/>
                <w:sz w:val="21"/>
                <w:szCs w:val="21"/>
                <w:highlight w:val="none"/>
              </w:rPr>
              <w:t>具有建筑工程类高级工程师职称得5分。</w:t>
            </w:r>
          </w:p>
          <w:p>
            <w:pPr>
              <w:pStyle w:val="71"/>
              <w:spacing w:before="60" w:line="246" w:lineRule="auto"/>
              <w:ind w:left="93"/>
              <w:jc w:val="left"/>
              <w:rPr>
                <w:rFonts w:hint="eastAsia"/>
                <w:color w:val="auto"/>
                <w:spacing w:val="-1"/>
                <w:sz w:val="21"/>
                <w:szCs w:val="21"/>
                <w:highlight w:val="none"/>
              </w:rPr>
            </w:pPr>
            <w:r>
              <w:rPr>
                <w:rFonts w:hint="eastAsia"/>
                <w:color w:val="auto"/>
                <w:spacing w:val="-1"/>
                <w:sz w:val="21"/>
                <w:szCs w:val="21"/>
                <w:highlight w:val="none"/>
              </w:rPr>
              <w:t>2.</w:t>
            </w:r>
            <w:r>
              <w:rPr>
                <w:rFonts w:hint="eastAsia" w:ascii="宋体" w:hAnsi="宋体" w:eastAsia="宋体" w:cs="宋体"/>
                <w:color w:val="auto"/>
                <w:spacing w:val="-1"/>
                <w:kern w:val="2"/>
                <w:position w:val="0"/>
                <w:sz w:val="21"/>
                <w:szCs w:val="21"/>
                <w:highlight w:val="none"/>
                <w:lang w:val="en-US" w:eastAsia="zh-CN" w:bidi="ar-SA"/>
              </w:rPr>
              <w:t>造价负责人1名：</w:t>
            </w:r>
            <w:r>
              <w:rPr>
                <w:rFonts w:hint="eastAsia"/>
                <w:color w:val="auto"/>
                <w:spacing w:val="-1"/>
                <w:sz w:val="21"/>
                <w:szCs w:val="21"/>
                <w:highlight w:val="none"/>
                <w:lang w:eastAsia="zh-CN"/>
              </w:rPr>
              <w:t>具有一级注册造价工程师（土木建筑专业）</w:t>
            </w:r>
            <w:r>
              <w:rPr>
                <w:rFonts w:hint="eastAsia"/>
                <w:color w:val="auto"/>
                <w:spacing w:val="-1"/>
                <w:sz w:val="21"/>
                <w:szCs w:val="21"/>
                <w:highlight w:val="none"/>
              </w:rPr>
              <w:t>得5分。</w:t>
            </w:r>
          </w:p>
          <w:p>
            <w:pPr>
              <w:pStyle w:val="71"/>
              <w:spacing w:before="60" w:line="246" w:lineRule="auto"/>
              <w:ind w:left="93"/>
              <w:jc w:val="left"/>
              <w:rPr>
                <w:rFonts w:hint="eastAsia"/>
                <w:color w:val="auto"/>
                <w:spacing w:val="-1"/>
                <w:sz w:val="21"/>
                <w:szCs w:val="21"/>
                <w:highlight w:val="none"/>
              </w:rPr>
            </w:pPr>
            <w:r>
              <w:rPr>
                <w:rFonts w:hint="eastAsia"/>
                <w:color w:val="auto"/>
                <w:spacing w:val="-1"/>
                <w:sz w:val="21"/>
                <w:szCs w:val="21"/>
                <w:highlight w:val="none"/>
              </w:rPr>
              <w:t>3.具有</w:t>
            </w:r>
            <w:r>
              <w:rPr>
                <w:rFonts w:hint="eastAsia" w:ascii="宋体" w:hAnsi="宋体" w:eastAsia="宋体" w:cs="宋体"/>
                <w:color w:val="auto"/>
                <w:spacing w:val="-1"/>
                <w:sz w:val="21"/>
                <w:szCs w:val="21"/>
                <w:highlight w:val="none"/>
              </w:rPr>
              <w:t>专职安全员1名</w:t>
            </w:r>
            <w:r>
              <w:rPr>
                <w:rFonts w:hint="eastAsia" w:ascii="宋体" w:hAnsi="宋体" w:eastAsia="宋体" w:cs="宋体"/>
                <w:color w:val="auto"/>
                <w:spacing w:val="-1"/>
                <w:sz w:val="21"/>
                <w:szCs w:val="21"/>
                <w:highlight w:val="none"/>
                <w:lang w:eastAsia="zh-CN"/>
              </w:rPr>
              <w:t>、</w:t>
            </w:r>
            <w:r>
              <w:rPr>
                <w:rFonts w:hint="eastAsia"/>
                <w:color w:val="auto"/>
                <w:spacing w:val="-1"/>
                <w:sz w:val="21"/>
                <w:szCs w:val="21"/>
                <w:highlight w:val="none"/>
              </w:rPr>
              <w:t>施工员1名、质量员1名、材料员1名、资料员1名，满足上述人员配置要求得5分，其他不得分。</w:t>
            </w:r>
          </w:p>
          <w:p>
            <w:pPr>
              <w:pStyle w:val="71"/>
              <w:spacing w:before="60" w:line="246" w:lineRule="auto"/>
              <w:ind w:left="93"/>
              <w:jc w:val="left"/>
              <w:rPr>
                <w:rFonts w:hint="eastAsia"/>
                <w:color w:val="auto"/>
                <w:spacing w:val="-1"/>
                <w:sz w:val="21"/>
                <w:szCs w:val="21"/>
                <w:highlight w:val="none"/>
              </w:rPr>
            </w:pPr>
            <w:r>
              <w:rPr>
                <w:rFonts w:hint="eastAsia"/>
                <w:color w:val="auto"/>
                <w:spacing w:val="-1"/>
                <w:sz w:val="21"/>
                <w:szCs w:val="21"/>
                <w:highlight w:val="none"/>
              </w:rPr>
              <w:t>本项最高得15分。</w:t>
            </w:r>
          </w:p>
          <w:p>
            <w:pPr>
              <w:pStyle w:val="71"/>
              <w:spacing w:before="60" w:line="246" w:lineRule="auto"/>
              <w:ind w:left="93" w:leftChars="0" w:right="0" w:rightChars="0" w:firstLine="0" w:firstLineChars="0"/>
              <w:jc w:val="left"/>
              <w:rPr>
                <w:rFonts w:hint="eastAsia" w:ascii="宋体" w:hAnsi="宋体" w:eastAsia="宋体" w:cs="宋体"/>
                <w:color w:val="auto"/>
                <w:sz w:val="21"/>
                <w:szCs w:val="21"/>
                <w:highlight w:val="none"/>
                <w:lang w:val="en-US" w:eastAsia="zh-CN"/>
              </w:rPr>
            </w:pPr>
            <w:r>
              <w:rPr>
                <w:rFonts w:hint="eastAsia"/>
                <w:color w:val="auto"/>
                <w:spacing w:val="-1"/>
                <w:sz w:val="21"/>
                <w:szCs w:val="21"/>
                <w:highlight w:val="none"/>
              </w:rPr>
              <w:t>注：拟投入本项目所有人员只能担任一个岗位，不得兼任，需提供人员相关证书、身份证复印件，及投标人为其购买至投标截止日期近2个月(截止投标当月的上一月份)有效的社会保险证明文件复印件，提供不齐或不提供不得分。</w:t>
            </w:r>
          </w:p>
        </w:tc>
        <w:tc>
          <w:tcPr>
            <w:tcW w:w="764" w:type="dxa"/>
            <w:shd w:val="clear" w:color="auto" w:fill="auto"/>
            <w:vAlign w:val="center"/>
          </w:tcPr>
          <w:p>
            <w:pPr>
              <w:snapToGrid w:val="0"/>
              <w:ind w:left="-2" w:leftChars="-1"/>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5" w:hRule="atLeast"/>
          <w:jc w:val="center"/>
        </w:trPr>
        <w:tc>
          <w:tcPr>
            <w:tcW w:w="1090"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lang w:eastAsia="zh-CN"/>
              </w:rPr>
            </w:pPr>
          </w:p>
          <w:p>
            <w:pPr>
              <w:snapToGrid w:val="0"/>
              <w:ind w:left="-2" w:leftChars="-1"/>
              <w:jc w:val="center"/>
              <w:rPr>
                <w:rFonts w:hint="eastAsia" w:ascii="宋体" w:hAnsi="宋体" w:eastAsia="宋体" w:cs="宋体"/>
                <w:color w:val="auto"/>
                <w:szCs w:val="21"/>
                <w:highlight w:val="none"/>
                <w:lang w:eastAsia="zh-CN"/>
              </w:rPr>
            </w:pPr>
          </w:p>
          <w:p>
            <w:pPr>
              <w:snapToGrid w:val="0"/>
              <w:ind w:left="0" w:leftChars="0"/>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50分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widowControl/>
              <w:snapToGrid/>
              <w:ind w:left="-42" w:right="-61"/>
              <w:jc w:val="center"/>
              <w:rPr>
                <w:rFonts w:hint="eastAsia" w:ascii="宋体" w:hAnsi="宋体" w:eastAsia="宋体" w:cs="宋体"/>
                <w:b w:val="0"/>
                <w:bCs w:val="0"/>
                <w:color w:val="auto"/>
                <w:spacing w:val="-5"/>
                <w:sz w:val="21"/>
                <w:szCs w:val="21"/>
                <w:highlight w:val="none"/>
              </w:rPr>
            </w:pPr>
            <w:r>
              <w:rPr>
                <w:rFonts w:hint="eastAsia" w:ascii="宋体" w:hAnsi="宋体" w:eastAsia="宋体" w:cs="宋体"/>
                <w:color w:val="auto"/>
                <w:spacing w:val="-5"/>
                <w:szCs w:val="21"/>
                <w:highlight w:val="none"/>
              </w:rPr>
              <w:t>工程概况及总 体施工部署</w:t>
            </w:r>
          </w:p>
        </w:tc>
        <w:tc>
          <w:tcPr>
            <w:tcW w:w="735" w:type="dxa"/>
            <w:shd w:val="clear" w:color="auto" w:fill="auto"/>
            <w:vAlign w:val="center"/>
          </w:tcPr>
          <w:p>
            <w:pPr>
              <w:widowControl/>
              <w:snapToGrid/>
              <w:ind w:left="-42" w:right="-61"/>
              <w:jc w:val="center"/>
              <w:rPr>
                <w:rFonts w:hint="eastAsia" w:ascii="宋体" w:hAnsi="宋体" w:eastAsia="宋体" w:cs="宋体"/>
                <w:b w:val="0"/>
                <w:bCs w:val="0"/>
                <w:color w:val="auto"/>
                <w:spacing w:val="-5"/>
                <w:sz w:val="21"/>
                <w:szCs w:val="21"/>
                <w:highlight w:val="none"/>
                <w:lang w:val="en-US" w:eastAsia="zh-CN"/>
              </w:rPr>
            </w:pPr>
            <w:r>
              <w:rPr>
                <w:rFonts w:hint="eastAsia" w:ascii="宋体" w:hAnsi="宋体" w:eastAsia="宋体" w:cs="宋体"/>
                <w:color w:val="auto"/>
                <w:spacing w:val="-5"/>
                <w:sz w:val="21"/>
                <w:szCs w:val="21"/>
                <w:highlight w:val="none"/>
                <w:lang w:val="en-US" w:eastAsia="zh-CN"/>
              </w:rPr>
              <w:t>10</w:t>
            </w:r>
          </w:p>
        </w:tc>
        <w:tc>
          <w:tcPr>
            <w:tcW w:w="8646" w:type="dxa"/>
            <w:shd w:val="clear" w:color="auto" w:fill="auto"/>
            <w:vAlign w:val="center"/>
          </w:tcPr>
          <w:p>
            <w:pPr>
              <w:numPr>
                <w:ilvl w:val="-1"/>
                <w:numId w:val="0"/>
              </w:numPr>
              <w:ind w:left="0"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zh-CN" w:bidi="ar-SA"/>
              </w:rPr>
              <w:t>1.</w:t>
            </w:r>
            <w:r>
              <w:rPr>
                <w:rFonts w:hint="eastAsia" w:ascii="宋体" w:hAnsi="宋体" w:eastAsia="宋体" w:cs="宋体"/>
                <w:snapToGrid/>
                <w:color w:val="auto"/>
                <w:spacing w:val="-5"/>
                <w:kern w:val="2"/>
                <w:sz w:val="21"/>
                <w:szCs w:val="21"/>
                <w:highlight w:val="none"/>
                <w:lang w:val="en-US" w:eastAsia="en-US" w:bidi="ar-SA"/>
              </w:rPr>
              <w:t>工程概况描述十分详细，总体施工部署科学、可靠、完善，完全可行的，得10-8分；</w:t>
            </w:r>
          </w:p>
          <w:p>
            <w:pPr>
              <w:numPr>
                <w:ilvl w:val="-1"/>
                <w:numId w:val="0"/>
              </w:numPr>
              <w:ind w:left="0"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zh-CN" w:bidi="ar-SA"/>
              </w:rPr>
              <w:t>2.</w:t>
            </w:r>
            <w:r>
              <w:rPr>
                <w:rFonts w:hint="eastAsia" w:ascii="宋体" w:hAnsi="宋体" w:eastAsia="宋体" w:cs="宋体"/>
                <w:snapToGrid/>
                <w:color w:val="auto"/>
                <w:spacing w:val="-5"/>
                <w:kern w:val="2"/>
                <w:sz w:val="21"/>
                <w:szCs w:val="21"/>
                <w:highlight w:val="none"/>
                <w:lang w:val="en-US" w:eastAsia="en-US" w:bidi="ar-SA"/>
              </w:rPr>
              <w:t>工程概况描述较详细，总体施工部署较科学、较完善，较可行的，得7-5分；</w:t>
            </w:r>
          </w:p>
          <w:p>
            <w:pPr>
              <w:numPr>
                <w:ilvl w:val="-1"/>
                <w:numId w:val="0"/>
              </w:numPr>
              <w:ind w:left="0"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zh-CN" w:bidi="ar-SA"/>
              </w:rPr>
              <w:t>3.</w:t>
            </w:r>
            <w:r>
              <w:rPr>
                <w:rFonts w:hint="eastAsia" w:ascii="宋体" w:hAnsi="宋体" w:eastAsia="宋体" w:cs="宋体"/>
                <w:snapToGrid/>
                <w:color w:val="auto"/>
                <w:spacing w:val="-5"/>
                <w:kern w:val="2"/>
                <w:sz w:val="21"/>
                <w:szCs w:val="21"/>
                <w:highlight w:val="none"/>
                <w:lang w:val="en-US" w:eastAsia="en-US" w:bidi="ar-SA"/>
              </w:rPr>
              <w:t xml:space="preserve">工程概况描述一般详细，总体施工部署基本完善，基本可行的，得4-3分； </w:t>
            </w:r>
          </w:p>
          <w:p>
            <w:pPr>
              <w:numPr>
                <w:ilvl w:val="-1"/>
                <w:numId w:val="0"/>
              </w:numPr>
              <w:ind w:left="0"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zh-CN" w:bidi="ar-SA"/>
              </w:rPr>
              <w:t>4.</w:t>
            </w:r>
            <w:r>
              <w:rPr>
                <w:rFonts w:hint="eastAsia" w:ascii="宋体" w:hAnsi="宋体" w:eastAsia="宋体" w:cs="宋体"/>
                <w:snapToGrid/>
                <w:color w:val="auto"/>
                <w:spacing w:val="-5"/>
                <w:kern w:val="2"/>
                <w:sz w:val="21"/>
                <w:szCs w:val="21"/>
                <w:highlight w:val="none"/>
                <w:lang w:val="en-US" w:eastAsia="en-US" w:bidi="ar-SA"/>
              </w:rPr>
              <w:t>工程概况描述不详细，总体施工部署不完善，不可行的，得2-0分；</w:t>
            </w:r>
          </w:p>
          <w:p>
            <w:pPr>
              <w:widowControl/>
              <w:ind w:left="-42" w:right="-61"/>
              <w:jc w:val="left"/>
              <w:rPr>
                <w:rFonts w:hint="eastAsia" w:ascii="宋体" w:hAnsi="宋体" w:eastAsia="宋体" w:cs="宋体"/>
                <w:b w:val="0"/>
                <w:bCs w:val="0"/>
                <w:color w:val="auto"/>
                <w:spacing w:val="-5"/>
                <w:sz w:val="21"/>
                <w:szCs w:val="21"/>
                <w:highlight w:val="none"/>
                <w:lang w:val="en-US" w:eastAsia="zh-CN"/>
              </w:rPr>
            </w:pPr>
            <w:r>
              <w:rPr>
                <w:rFonts w:hint="eastAsia" w:ascii="宋体" w:hAnsi="宋体" w:eastAsia="宋体" w:cs="宋体"/>
                <w:snapToGrid/>
                <w:color w:val="auto"/>
                <w:spacing w:val="-5"/>
                <w:kern w:val="2"/>
                <w:sz w:val="21"/>
                <w:szCs w:val="21"/>
                <w:highlight w:val="none"/>
                <w:lang w:val="en-US" w:eastAsia="en-US" w:bidi="ar-SA"/>
              </w:rPr>
              <w:t>不提供不得分</w:t>
            </w:r>
          </w:p>
        </w:tc>
        <w:tc>
          <w:tcPr>
            <w:tcW w:w="764"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8"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widowControl/>
              <w:snapToGrid/>
              <w:ind w:left="-42" w:leftChars="0" w:right="-61"/>
              <w:jc w:val="center"/>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Cs w:val="21"/>
                <w:highlight w:val="none"/>
              </w:rPr>
              <w:t>施工组织方案 与技术措施</w:t>
            </w:r>
          </w:p>
        </w:tc>
        <w:tc>
          <w:tcPr>
            <w:tcW w:w="735" w:type="dxa"/>
            <w:shd w:val="clear" w:color="auto" w:fill="auto"/>
            <w:vAlign w:val="center"/>
          </w:tcPr>
          <w:p>
            <w:pPr>
              <w:widowControl/>
              <w:snapToGrid/>
              <w:ind w:left="-42" w:leftChars="0" w:right="-61"/>
              <w:jc w:val="center"/>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 w:val="21"/>
                <w:szCs w:val="21"/>
                <w:highlight w:val="none"/>
                <w:lang w:val="en-US" w:eastAsia="zh-CN"/>
              </w:rPr>
              <w:t>10</w:t>
            </w:r>
          </w:p>
        </w:tc>
        <w:tc>
          <w:tcPr>
            <w:tcW w:w="8646" w:type="dxa"/>
            <w:shd w:val="clear" w:color="auto" w:fill="auto"/>
            <w:vAlign w:val="center"/>
          </w:tcPr>
          <w:p>
            <w:pPr>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1.施工组织方案与技术措施科学、可靠、完善，完全可行的，得10-8分；</w:t>
            </w:r>
          </w:p>
          <w:p>
            <w:pPr>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position w:val="0"/>
                <w:sz w:val="21"/>
                <w:szCs w:val="21"/>
                <w:highlight w:val="none"/>
                <w:lang w:val="en-US" w:eastAsia="en-US" w:bidi="ar-SA"/>
              </w:rPr>
              <w:t>2.施工组织方案与技术措施较科学、较完善，较可行的，得7-5分；</w:t>
            </w:r>
          </w:p>
          <w:p>
            <w:pPr>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3.施工组织方案与技术措施基本完善，基本可行的，得4-3分；</w:t>
            </w:r>
          </w:p>
          <w:p>
            <w:pPr>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4.施工组织方案与技术措施不完善，不可行的，得2-0分；</w:t>
            </w:r>
          </w:p>
          <w:p>
            <w:pPr>
              <w:widowControl/>
              <w:snapToGrid/>
              <w:ind w:left="-42" w:leftChars="0" w:right="-61"/>
              <w:jc w:val="left"/>
              <w:rPr>
                <w:rFonts w:hint="eastAsia" w:ascii="宋体" w:hAnsi="宋体" w:eastAsia="宋体" w:cs="宋体"/>
                <w:b w:val="0"/>
                <w:bCs w:val="0"/>
                <w:color w:val="auto"/>
                <w:spacing w:val="-5"/>
                <w:sz w:val="21"/>
                <w:szCs w:val="21"/>
                <w:highlight w:val="none"/>
                <w:lang w:val="en-US" w:eastAsia="zh-CN"/>
              </w:rPr>
            </w:pPr>
            <w:r>
              <w:rPr>
                <w:rFonts w:hint="eastAsia" w:ascii="宋体" w:hAnsi="宋体" w:eastAsia="宋体" w:cs="宋体"/>
                <w:snapToGrid/>
                <w:color w:val="auto"/>
                <w:spacing w:val="-5"/>
                <w:kern w:val="2"/>
                <w:sz w:val="21"/>
                <w:szCs w:val="21"/>
                <w:highlight w:val="none"/>
                <w:lang w:val="en-US" w:eastAsia="en-US" w:bidi="ar-SA"/>
              </w:rPr>
              <w:t>不提供不得分</w:t>
            </w:r>
          </w:p>
        </w:tc>
        <w:tc>
          <w:tcPr>
            <w:tcW w:w="764"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3"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snapToGrid/>
              <w:ind w:left="-42" w:right="-61"/>
              <w:jc w:val="center"/>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进度计划安排</w:t>
            </w:r>
          </w:p>
          <w:p>
            <w:pPr>
              <w:snapToGrid/>
              <w:ind w:left="-42" w:right="-61"/>
              <w:jc w:val="center"/>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及工期保证措</w:t>
            </w:r>
          </w:p>
          <w:p>
            <w:pPr>
              <w:snapToGrid/>
              <w:ind w:left="-42" w:right="-61"/>
              <w:jc w:val="center"/>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施、劳动力、施</w:t>
            </w:r>
          </w:p>
          <w:p>
            <w:pPr>
              <w:snapToGrid/>
              <w:ind w:left="-42" w:right="-61"/>
              <w:jc w:val="center"/>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工设备等资源</w:t>
            </w:r>
          </w:p>
          <w:p>
            <w:pPr>
              <w:widowControl/>
              <w:snapToGrid/>
              <w:ind w:left="-42" w:leftChars="0" w:right="-61"/>
              <w:jc w:val="center"/>
              <w:rPr>
                <w:rFonts w:hint="eastAsia" w:ascii="宋体" w:hAnsi="宋体" w:eastAsia="宋体" w:cs="宋体"/>
                <w:color w:val="auto"/>
                <w:spacing w:val="-5"/>
                <w:sz w:val="21"/>
                <w:szCs w:val="21"/>
                <w:highlight w:val="none"/>
              </w:rPr>
            </w:pPr>
            <w:r>
              <w:rPr>
                <w:rFonts w:hint="eastAsia" w:ascii="宋体" w:hAnsi="宋体" w:eastAsia="宋体" w:cs="宋体"/>
                <w:snapToGrid/>
                <w:color w:val="auto"/>
                <w:spacing w:val="-5"/>
                <w:kern w:val="2"/>
                <w:sz w:val="21"/>
                <w:szCs w:val="21"/>
                <w:highlight w:val="none"/>
                <w:lang w:val="en-US" w:eastAsia="en-US" w:bidi="ar-SA"/>
              </w:rPr>
              <w:t>配备计划</w:t>
            </w:r>
          </w:p>
        </w:tc>
        <w:tc>
          <w:tcPr>
            <w:tcW w:w="735" w:type="dxa"/>
            <w:shd w:val="clear" w:color="auto" w:fill="auto"/>
            <w:vAlign w:val="center"/>
          </w:tcPr>
          <w:p>
            <w:pPr>
              <w:widowControl/>
              <w:snapToGrid/>
              <w:ind w:left="-42" w:leftChars="0" w:right="-61"/>
              <w:jc w:val="center"/>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 w:val="21"/>
                <w:szCs w:val="21"/>
                <w:highlight w:val="none"/>
                <w:lang w:val="en-US" w:eastAsia="zh-CN"/>
              </w:rPr>
              <w:t>10</w:t>
            </w:r>
          </w:p>
        </w:tc>
        <w:tc>
          <w:tcPr>
            <w:tcW w:w="8646" w:type="dxa"/>
            <w:shd w:val="clear" w:color="auto" w:fill="auto"/>
            <w:vAlign w:val="center"/>
          </w:tcPr>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1.进度计划安排及工期保证措施、劳动力、施工设备等资源配备计划科学、可靠、完善，完全可行的，得10-8分；</w:t>
            </w:r>
          </w:p>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2.进度计划安排及工期保证措施、劳动力、施工设备等资源配备计划较科学、较完善，较可行的，得7-5分；</w:t>
            </w:r>
          </w:p>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3.进度计划安排及工期保证措施、劳动力、施工设备等资源配备计划基本完善，基本可行的， 得4- 3分；</w:t>
            </w:r>
          </w:p>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4.进度计划安排及工期保证措施、劳动力、施工设备等资源配备计划不完善，不可行的，得2-</w:t>
            </w:r>
          </w:p>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0 分 ；</w:t>
            </w:r>
          </w:p>
          <w:p>
            <w:pPr>
              <w:widowControl/>
              <w:snapToGrid/>
              <w:ind w:left="-42" w:leftChars="0" w:right="-61"/>
              <w:jc w:val="left"/>
              <w:rPr>
                <w:rFonts w:hint="eastAsia" w:ascii="宋体" w:hAnsi="宋体" w:eastAsia="宋体" w:cs="宋体"/>
                <w:color w:val="auto"/>
                <w:spacing w:val="-5"/>
                <w:sz w:val="21"/>
                <w:szCs w:val="21"/>
                <w:highlight w:val="none"/>
                <w:lang w:val="en-US" w:eastAsia="zh-CN"/>
              </w:rPr>
            </w:pPr>
            <w:r>
              <w:rPr>
                <w:rFonts w:hint="eastAsia" w:ascii="宋体" w:hAnsi="宋体" w:eastAsia="宋体" w:cs="宋体"/>
                <w:snapToGrid/>
                <w:color w:val="auto"/>
                <w:spacing w:val="-5"/>
                <w:kern w:val="2"/>
                <w:sz w:val="21"/>
                <w:szCs w:val="21"/>
                <w:highlight w:val="none"/>
                <w:lang w:val="en-US" w:eastAsia="en-US" w:bidi="ar-SA"/>
              </w:rPr>
              <w:t>不提供不得分</w:t>
            </w:r>
          </w:p>
        </w:tc>
        <w:tc>
          <w:tcPr>
            <w:tcW w:w="764"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8"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widowControl/>
              <w:snapToGrid/>
              <w:ind w:left="-42" w:leftChars="0" w:right="-61"/>
              <w:jc w:val="center"/>
              <w:rPr>
                <w:rFonts w:hint="eastAsia" w:ascii="宋体" w:hAnsi="宋体" w:eastAsia="宋体" w:cs="宋体"/>
                <w:color w:val="auto"/>
                <w:spacing w:val="-5"/>
                <w:sz w:val="21"/>
                <w:szCs w:val="21"/>
                <w:highlight w:val="none"/>
              </w:rPr>
            </w:pPr>
            <w:r>
              <w:rPr>
                <w:rFonts w:hint="eastAsia" w:ascii="宋体" w:hAnsi="宋体" w:eastAsia="宋体" w:cs="宋体"/>
                <w:color w:val="auto"/>
                <w:spacing w:val="-5"/>
                <w:szCs w:val="21"/>
                <w:highlight w:val="none"/>
              </w:rPr>
              <w:t>质量保证措施</w:t>
            </w:r>
          </w:p>
        </w:tc>
        <w:tc>
          <w:tcPr>
            <w:tcW w:w="735" w:type="dxa"/>
            <w:shd w:val="clear" w:color="auto" w:fill="auto"/>
            <w:vAlign w:val="center"/>
          </w:tcPr>
          <w:p>
            <w:pPr>
              <w:widowControl/>
              <w:snapToGrid/>
              <w:ind w:left="-42" w:leftChars="0" w:right="-61"/>
              <w:jc w:val="center"/>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 w:val="21"/>
                <w:szCs w:val="21"/>
                <w:highlight w:val="none"/>
                <w:lang w:val="en-US" w:eastAsia="zh-CN"/>
              </w:rPr>
              <w:t>10</w:t>
            </w:r>
          </w:p>
        </w:tc>
        <w:tc>
          <w:tcPr>
            <w:tcW w:w="8646" w:type="dxa"/>
            <w:shd w:val="clear" w:color="auto" w:fill="auto"/>
            <w:vAlign w:val="center"/>
          </w:tcPr>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position w:val="0"/>
                <w:sz w:val="21"/>
                <w:szCs w:val="21"/>
                <w:highlight w:val="none"/>
                <w:lang w:val="en-US" w:eastAsia="en-US" w:bidi="ar-SA"/>
              </w:rPr>
              <w:t>1.质量保证措施科学、可靠、完善，完全可行的，得10-8分；</w:t>
            </w:r>
          </w:p>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2.质量保证措施较科学、较完善，较可行的，得7-5分；</w:t>
            </w:r>
          </w:p>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position w:val="0"/>
                <w:sz w:val="21"/>
                <w:szCs w:val="21"/>
                <w:highlight w:val="none"/>
                <w:lang w:val="en-US" w:eastAsia="en-US" w:bidi="ar-SA"/>
              </w:rPr>
              <w:t>3.质量保证措施基本完善，基本可行的，得4-3分；</w:t>
            </w:r>
          </w:p>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4.质量保证措施不完善，不可行的，得2-0分；</w:t>
            </w:r>
          </w:p>
          <w:p>
            <w:pPr>
              <w:widowControl/>
              <w:snapToGrid/>
              <w:ind w:left="-42" w:leftChars="0" w:right="-61"/>
              <w:jc w:val="left"/>
              <w:rPr>
                <w:rFonts w:hint="eastAsia" w:ascii="宋体" w:hAnsi="宋体" w:eastAsia="宋体" w:cs="宋体"/>
                <w:color w:val="auto"/>
                <w:spacing w:val="-5"/>
                <w:sz w:val="21"/>
                <w:szCs w:val="21"/>
                <w:highlight w:val="none"/>
                <w:lang w:val="en-US" w:eastAsia="zh-CN"/>
              </w:rPr>
            </w:pPr>
            <w:r>
              <w:rPr>
                <w:rFonts w:hint="eastAsia" w:ascii="宋体" w:hAnsi="宋体" w:eastAsia="宋体" w:cs="宋体"/>
                <w:snapToGrid/>
                <w:color w:val="auto"/>
                <w:spacing w:val="-5"/>
                <w:kern w:val="2"/>
                <w:sz w:val="21"/>
                <w:szCs w:val="21"/>
                <w:highlight w:val="none"/>
                <w:lang w:val="en-US" w:eastAsia="en-US" w:bidi="ar-SA"/>
              </w:rPr>
              <w:t>不提供不得分</w:t>
            </w:r>
          </w:p>
        </w:tc>
        <w:tc>
          <w:tcPr>
            <w:tcW w:w="764"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6"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none"/>
              </w:rPr>
            </w:pPr>
          </w:p>
        </w:tc>
        <w:tc>
          <w:tcPr>
            <w:tcW w:w="1560" w:type="dxa"/>
            <w:shd w:val="clear" w:color="auto" w:fill="auto"/>
            <w:vAlign w:val="center"/>
          </w:tcPr>
          <w:p>
            <w:pPr>
              <w:widowControl/>
              <w:snapToGrid/>
              <w:ind w:left="-42" w:leftChars="0" w:right="-61"/>
              <w:jc w:val="center"/>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Cs w:val="21"/>
                <w:highlight w:val="none"/>
              </w:rPr>
              <w:t>安全文明施工 措施</w:t>
            </w:r>
          </w:p>
        </w:tc>
        <w:tc>
          <w:tcPr>
            <w:tcW w:w="735" w:type="dxa"/>
            <w:shd w:val="clear" w:color="auto" w:fill="auto"/>
            <w:vAlign w:val="center"/>
          </w:tcPr>
          <w:p>
            <w:pPr>
              <w:widowControl/>
              <w:snapToGrid/>
              <w:ind w:left="-42" w:leftChars="0" w:right="-61"/>
              <w:jc w:val="center"/>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 w:val="21"/>
                <w:szCs w:val="21"/>
                <w:highlight w:val="none"/>
                <w:lang w:val="en-US" w:eastAsia="zh-CN"/>
              </w:rPr>
              <w:t>10</w:t>
            </w:r>
          </w:p>
        </w:tc>
        <w:tc>
          <w:tcPr>
            <w:tcW w:w="8646" w:type="dxa"/>
            <w:shd w:val="clear" w:color="auto" w:fill="auto"/>
            <w:vAlign w:val="center"/>
          </w:tcPr>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position w:val="0"/>
                <w:sz w:val="21"/>
                <w:szCs w:val="21"/>
                <w:highlight w:val="none"/>
                <w:lang w:val="en-US" w:eastAsia="en-US" w:bidi="ar-SA"/>
              </w:rPr>
              <w:t>1.安全文明施工措施科学、可靠、完善，完全可行的，得10-8分；</w:t>
            </w:r>
          </w:p>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2.安全文明施工措施较科学、较完善，较可行的，得7-5分；</w:t>
            </w:r>
          </w:p>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position w:val="0"/>
                <w:sz w:val="21"/>
                <w:szCs w:val="21"/>
                <w:highlight w:val="none"/>
                <w:lang w:val="en-US" w:eastAsia="en-US" w:bidi="ar-SA"/>
              </w:rPr>
              <w:t>3.安全文明施工措施基本完善，基本可行的，得4-3分；</w:t>
            </w:r>
          </w:p>
          <w:p>
            <w:pPr>
              <w:snapToGrid/>
              <w:ind w:left="-42" w:right="-61"/>
              <w:jc w:val="left"/>
              <w:rPr>
                <w:rFonts w:hint="eastAsia" w:ascii="宋体" w:hAnsi="宋体" w:eastAsia="宋体" w:cs="宋体"/>
                <w:snapToGrid/>
                <w:color w:val="auto"/>
                <w:spacing w:val="-5"/>
                <w:kern w:val="2"/>
                <w:sz w:val="21"/>
                <w:szCs w:val="21"/>
                <w:highlight w:val="none"/>
                <w:lang w:val="en-US" w:eastAsia="en-US" w:bidi="ar-SA"/>
              </w:rPr>
            </w:pPr>
            <w:r>
              <w:rPr>
                <w:rFonts w:hint="eastAsia" w:ascii="宋体" w:hAnsi="宋体" w:eastAsia="宋体" w:cs="宋体"/>
                <w:snapToGrid/>
                <w:color w:val="auto"/>
                <w:spacing w:val="-5"/>
                <w:kern w:val="2"/>
                <w:sz w:val="21"/>
                <w:szCs w:val="21"/>
                <w:highlight w:val="none"/>
                <w:lang w:val="en-US" w:eastAsia="en-US" w:bidi="ar-SA"/>
              </w:rPr>
              <w:t>4.安全文明施工措施不完善，不可行的，得2-0分；</w:t>
            </w:r>
          </w:p>
          <w:p>
            <w:pPr>
              <w:widowControl/>
              <w:snapToGrid/>
              <w:ind w:left="-42" w:leftChars="0" w:right="-61"/>
              <w:jc w:val="left"/>
              <w:rPr>
                <w:rFonts w:hint="eastAsia" w:ascii="宋体" w:hAnsi="宋体" w:eastAsia="宋体" w:cs="宋体"/>
                <w:b w:val="0"/>
                <w:bCs w:val="0"/>
                <w:color w:val="auto"/>
                <w:spacing w:val="-5"/>
                <w:sz w:val="21"/>
                <w:szCs w:val="21"/>
                <w:highlight w:val="none"/>
                <w:lang w:val="en-US" w:eastAsia="zh-CN"/>
              </w:rPr>
            </w:pPr>
            <w:r>
              <w:rPr>
                <w:rFonts w:hint="eastAsia" w:ascii="宋体" w:hAnsi="宋体" w:eastAsia="宋体" w:cs="宋体"/>
                <w:snapToGrid/>
                <w:color w:val="auto"/>
                <w:spacing w:val="-5"/>
                <w:kern w:val="2"/>
                <w:sz w:val="21"/>
                <w:szCs w:val="21"/>
                <w:highlight w:val="none"/>
                <w:lang w:val="en-US" w:eastAsia="en-US" w:bidi="ar-SA"/>
              </w:rPr>
              <w:t>不提供不得分</w:t>
            </w:r>
          </w:p>
        </w:tc>
        <w:tc>
          <w:tcPr>
            <w:tcW w:w="764" w:type="dxa"/>
            <w:shd w:val="clear" w:color="auto" w:fill="auto"/>
            <w:vAlign w:val="center"/>
          </w:tcPr>
          <w:p>
            <w:pPr>
              <w:snapToGrid w:val="0"/>
              <w:spacing w:line="360" w:lineRule="exact"/>
              <w:ind w:left="-2" w:leftChars="-1"/>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650" w:type="dxa"/>
            <w:gridSpan w:val="2"/>
            <w:shd w:val="clear" w:color="auto" w:fill="auto"/>
            <w:vAlign w:val="center"/>
          </w:tcPr>
          <w:p>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35" w:type="dxa"/>
            <w:shd w:val="clear" w:color="auto" w:fill="auto"/>
            <w:vAlign w:val="center"/>
          </w:tcPr>
          <w:p>
            <w:pPr>
              <w:spacing w:line="360" w:lineRule="exact"/>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8646"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c>
          <w:tcPr>
            <w:tcW w:w="764" w:type="dxa"/>
            <w:shd w:val="clear" w:color="auto" w:fill="auto"/>
            <w:vAlign w:val="center"/>
          </w:tcPr>
          <w:p>
            <w:pPr>
              <w:spacing w:line="360" w:lineRule="exact"/>
              <w:ind w:left="-2" w:leftChars="-1"/>
              <w:rPr>
                <w:rFonts w:hint="eastAsia" w:ascii="宋体" w:hAnsi="宋体" w:eastAsia="宋体" w:cs="宋体"/>
                <w:color w:val="auto"/>
                <w:sz w:val="21"/>
                <w:szCs w:val="21"/>
                <w:highlight w:val="none"/>
              </w:rPr>
            </w:pPr>
          </w:p>
        </w:tc>
      </w:tr>
    </w:tbl>
    <w:p>
      <w:pPr>
        <w:snapToGrid w:val="0"/>
        <w:spacing w:line="360" w:lineRule="exact"/>
        <w:ind w:left="74" w:firstLine="0" w:firstLineChars="0"/>
        <w:jc w:val="left"/>
        <w:rPr>
          <w:rFonts w:ascii="Calibri" w:hAnsi="Calibri" w:eastAsia="宋体" w:cs="Times New Roman"/>
          <w:color w:val="auto"/>
          <w:highlight w:val="none"/>
        </w:rPr>
      </w:pPr>
      <w:r>
        <w:rPr>
          <w:rFonts w:hint="eastAsia" w:ascii="仿宋" w:hAnsi="仿宋" w:eastAsia="仿宋" w:cs="宋体"/>
          <w:color w:val="auto"/>
          <w:sz w:val="24"/>
          <w:highlight w:val="none"/>
        </w:rPr>
        <w:t xml:space="preserve"> </w:t>
      </w:r>
      <w:r>
        <w:rPr>
          <w:rFonts w:hint="eastAsia" w:ascii="仿宋" w:hAnsi="仿宋" w:eastAsia="仿宋" w:cs="宋体"/>
          <w:color w:val="auto"/>
          <w:sz w:val="24"/>
          <w:highlight w:val="none"/>
          <w:lang w:val="en-US" w:eastAsia="zh-CN"/>
        </w:rPr>
        <w:t xml:space="preserve">   </w:t>
      </w:r>
      <w:r>
        <w:rPr>
          <w:rFonts w:hint="eastAsia" w:ascii="宋体" w:hAnsi="宋体" w:eastAsia="宋体" w:cs="宋体"/>
          <w:color w:val="auto"/>
          <w:szCs w:val="21"/>
          <w:highlight w:val="none"/>
        </w:rPr>
        <w:t>说明：</w:t>
      </w:r>
      <w:r>
        <w:rPr>
          <w:rFonts w:hint="eastAsia" w:ascii="宋体" w:hAnsi="宋体" w:eastAsia="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eastAsia="宋体" w:cs="宋体"/>
          <w:color w:val="auto"/>
          <w:szCs w:val="18"/>
          <w:highlight w:val="none"/>
          <w:lang w:eastAsia="zh-CN"/>
        </w:rPr>
        <w:t>。</w:t>
      </w: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ind w:firstLine="630" w:firstLineChars="300"/>
        <w:rPr>
          <w:rFonts w:ascii="Calibri" w:hAnsi="Calibri" w:eastAsia="宋体" w:cs="Times New Roman"/>
          <w:color w:val="auto"/>
          <w:highlight w:val="none"/>
        </w:rPr>
      </w:pPr>
      <w:r>
        <w:rPr>
          <w:rFonts w:hint="eastAsia" w:ascii="宋体" w:hAnsi="宋体" w:eastAsia="宋体" w:cs="Times New Roman"/>
          <w:b w:val="0"/>
          <w:bCs/>
          <w:color w:val="auto"/>
          <w:sz w:val="21"/>
          <w:szCs w:val="21"/>
          <w:highlight w:val="none"/>
        </w:rPr>
        <w:t>评标专家</w:t>
      </w:r>
      <w:r>
        <w:rPr>
          <w:rFonts w:hint="eastAsia" w:ascii="宋体" w:hAnsi="宋体" w:eastAsia="宋体" w:cs="Times New Roman"/>
          <w:b w:val="0"/>
          <w:bCs/>
          <w:color w:val="auto"/>
          <w:sz w:val="21"/>
          <w:szCs w:val="21"/>
          <w:highlight w:val="none"/>
          <w:lang w:val="en-US" w:eastAsia="zh-CN"/>
        </w:rPr>
        <w:t>签名：                                                      日期：</w:t>
      </w:r>
    </w:p>
    <w:bookmarkEnd w:id="72"/>
    <w:bookmarkEnd w:id="73"/>
    <w:bookmarkEnd w:id="74"/>
    <w:bookmarkEnd w:id="75"/>
    <w:bookmarkEnd w:id="76"/>
    <w:bookmarkEnd w:id="77"/>
    <w:bookmarkEnd w:id="78"/>
    <w:bookmarkEnd w:id="79"/>
    <w:bookmarkEnd w:id="80"/>
    <w:bookmarkEnd w:id="81"/>
    <w:bookmarkEnd w:id="82"/>
    <w:bookmarkEnd w:id="83"/>
    <w:bookmarkEnd w:id="84"/>
    <w:p>
      <w:pPr>
        <w:rPr>
          <w:rFonts w:hint="eastAsia"/>
          <w:color w:val="auto"/>
          <w:highlight w:val="none"/>
        </w:rPr>
      </w:pPr>
    </w:p>
    <w:p>
      <w:pPr>
        <w:widowControl w:val="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附件3：经济部分评分表</w:t>
      </w:r>
    </w:p>
    <w:p>
      <w:pPr>
        <w:widowControl w:val="0"/>
        <w:jc w:val="both"/>
        <w:rPr>
          <w:rFonts w:hint="default" w:ascii="宋体" w:hAnsi="宋体" w:eastAsia="宋体" w:cs="宋体"/>
          <w:color w:val="auto"/>
          <w:kern w:val="2"/>
          <w:sz w:val="21"/>
          <w:szCs w:val="21"/>
          <w:highlight w:val="none"/>
          <w:lang w:val="en-US" w:eastAsia="zh-CN" w:bidi="ar-SA"/>
        </w:rPr>
      </w:pPr>
    </w:p>
    <w:tbl>
      <w:tblPr>
        <w:tblStyle w:val="19"/>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3"/>
        <w:gridCol w:w="1700"/>
        <w:gridCol w:w="1409"/>
        <w:gridCol w:w="1440"/>
        <w:gridCol w:w="5115"/>
        <w:gridCol w:w="111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投标人名称</w:t>
            </w:r>
          </w:p>
        </w:tc>
        <w:tc>
          <w:tcPr>
            <w:tcW w:w="1409"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Calibri" w:hAnsi="Calibri" w:eastAsia="宋体" w:cs="Calibri"/>
                <w:i w:val="0"/>
                <w:iCs w:val="0"/>
                <w:color w:val="auto"/>
                <w:sz w:val="21"/>
                <w:szCs w:val="21"/>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投标报价等于基准价为满分100分，高于基准价的1%扣1分，低于基准价的1%扣0.5分，以此类推。最低得分0分。得分保留两位小数。计算公式如下：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1、报价等于基准价的，得分=100。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2、报价高于基准价的，得分=100-[（报价-基准价）/基准价]×100×1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bl>
    <w:p>
      <w:pPr>
        <w:snapToGrid w:val="0"/>
        <w:spacing w:line="360" w:lineRule="auto"/>
        <w:jc w:val="left"/>
        <w:rPr>
          <w:rFonts w:hint="eastAsia" w:ascii="宋体" w:hAnsi="宋体"/>
          <w:color w:val="auto"/>
          <w:sz w:val="21"/>
          <w:szCs w:val="21"/>
          <w:highlight w:val="none"/>
        </w:rPr>
      </w:pPr>
    </w:p>
    <w:p>
      <w:pPr>
        <w:snapToGrid w:val="0"/>
        <w:spacing w:line="20" w:lineRule="atLeast"/>
        <w:jc w:val="left"/>
        <w:rPr>
          <w:rFonts w:hint="eastAsia" w:ascii="宋体" w:hAnsi="宋体"/>
          <w:color w:val="auto"/>
          <w:sz w:val="21"/>
          <w:szCs w:val="21"/>
          <w:highlight w:val="none"/>
        </w:rPr>
      </w:pPr>
    </w:p>
    <w:p>
      <w:pPr>
        <w:snapToGrid w:val="0"/>
        <w:spacing w:line="360" w:lineRule="auto"/>
        <w:jc w:val="left"/>
        <w:rPr>
          <w:rFonts w:hint="eastAsia" w:ascii="宋体" w:hAnsi="宋体"/>
          <w:color w:val="auto"/>
          <w:sz w:val="21"/>
          <w:szCs w:val="21"/>
          <w:highlight w:val="none"/>
        </w:rPr>
      </w:pPr>
    </w:p>
    <w:p>
      <w:pPr>
        <w:pStyle w:val="2"/>
        <w:rPr>
          <w:rFonts w:hint="eastAsia" w:ascii="宋体" w:hAnsi="宋体"/>
          <w:color w:val="auto"/>
          <w:sz w:val="21"/>
          <w:szCs w:val="21"/>
          <w:highlight w:val="none"/>
        </w:rPr>
        <w:sectPr>
          <w:pgSz w:w="16838" w:h="11906" w:orient="landscape"/>
          <w:pgMar w:top="1800" w:right="1440" w:bottom="1800" w:left="1440" w:header="851" w:footer="992" w:gutter="0"/>
          <w:pgNumType w:fmt="decimal"/>
          <w:cols w:space="720" w:num="1"/>
          <w:docGrid w:type="lines" w:linePitch="312" w:charSpace="0"/>
        </w:sect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85" w:name="_Toc27349"/>
      <w:bookmarkStart w:id="86" w:name="_Toc17392"/>
      <w:bookmarkStart w:id="87" w:name="_Toc17416"/>
      <w:bookmarkStart w:id="88" w:name="_Toc4858"/>
      <w:bookmarkStart w:id="89" w:name="_Toc17435"/>
      <w:bookmarkStart w:id="90" w:name="_Toc10364"/>
      <w:bookmarkStart w:id="91" w:name="_Toc17298"/>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85"/>
      <w:bookmarkEnd w:id="86"/>
      <w:bookmarkEnd w:id="87"/>
      <w:bookmarkEnd w:id="88"/>
      <w:bookmarkEnd w:id="89"/>
      <w:bookmarkEnd w:id="90"/>
      <w:bookmarkEnd w:id="91"/>
    </w:p>
    <w:p>
      <w:pPr>
        <w:pStyle w:val="41"/>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lang w:eastAsia="zh-CN"/>
        </w:rPr>
        <w:t>广州南沙</w:t>
      </w:r>
      <w:r>
        <w:rPr>
          <w:rFonts w:hint="eastAsia" w:ascii="宋体" w:hAnsi="宋体" w:eastAsia="宋体"/>
          <w:color w:val="auto"/>
          <w:sz w:val="24"/>
          <w:szCs w:val="24"/>
          <w:highlight w:val="none"/>
          <w:u w:val="single"/>
          <w:lang w:val="en-US" w:eastAsia="zh-CN"/>
        </w:rPr>
        <w:t>湿地</w:t>
      </w:r>
      <w:r>
        <w:rPr>
          <w:rFonts w:hint="eastAsia" w:ascii="宋体" w:hAnsi="宋体" w:eastAsia="宋体"/>
          <w:color w:val="auto"/>
          <w:sz w:val="24"/>
          <w:szCs w:val="24"/>
          <w:highlight w:val="none"/>
          <w:u w:val="single"/>
          <w:lang w:eastAsia="zh-CN"/>
        </w:rPr>
        <w:t>旅游发展有限公司</w:t>
      </w:r>
    </w:p>
    <w:p>
      <w:pPr>
        <w:pStyle w:val="41"/>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b w:val="0"/>
          <w:bCs w:val="0"/>
          <w:color w:val="auto"/>
          <w:sz w:val="24"/>
          <w:szCs w:val="24"/>
          <w:highlight w:val="none"/>
          <w:u w:val="single"/>
          <w:lang w:val="en-US" w:eastAsia="zh-CN"/>
        </w:rPr>
        <w:t>新垦空气质量监测子站站房和配套设施项目</w:t>
      </w:r>
      <w:r>
        <w:rPr>
          <w:rFonts w:hint="eastAsia" w:ascii="宋体" w:hAnsi="宋体" w:eastAsia="宋体"/>
          <w:color w:val="auto"/>
          <w:sz w:val="24"/>
          <w:szCs w:val="24"/>
          <w:highlight w:val="none"/>
        </w:rPr>
        <w:t>投标工作，做出郑重声明：</w:t>
      </w:r>
    </w:p>
    <w:p>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1"/>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1"/>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2"/>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1"/>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1"/>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p>
      <w:pPr>
        <w:rPr>
          <w:rFonts w:hint="default"/>
          <w:color w:val="auto"/>
          <w:highlight w:val="none"/>
        </w:rPr>
      </w:pPr>
    </w:p>
    <w:p>
      <w:pPr>
        <w:pStyle w:val="4"/>
        <w:rPr>
          <w:rFonts w:hint="default"/>
          <w:color w:val="auto"/>
          <w:highlight w:val="none"/>
        </w:rPr>
      </w:pPr>
    </w:p>
    <w:p>
      <w:pPr>
        <w:rPr>
          <w:rFonts w:hint="default"/>
          <w:color w:val="auto"/>
          <w:highlight w:val="none"/>
        </w:rPr>
      </w:pPr>
    </w:p>
    <w:p>
      <w:pPr>
        <w:pStyle w:val="4"/>
        <w:rPr>
          <w:rFonts w:hint="default"/>
          <w:color w:val="auto"/>
          <w:highlight w:val="none"/>
        </w:rPr>
      </w:pPr>
    </w:p>
    <w:p>
      <w:pPr>
        <w:rPr>
          <w:rFonts w:hint="default"/>
          <w:color w:val="auto"/>
          <w:highlight w:val="none"/>
        </w:rPr>
      </w:pPr>
    </w:p>
    <w:p>
      <w:pPr>
        <w:pStyle w:val="2"/>
        <w:rPr>
          <w:rFonts w:hint="default"/>
          <w:color w:val="auto"/>
          <w:highlight w:val="none"/>
        </w:rPr>
      </w:pPr>
    </w:p>
    <w:p>
      <w:pPr>
        <w:rPr>
          <w:rFonts w:hint="default"/>
          <w:color w:val="auto"/>
          <w:highlight w:val="none"/>
        </w:rPr>
      </w:pPr>
    </w:p>
    <w:p>
      <w:pPr>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92" w:name="_Toc26871"/>
      <w:bookmarkStart w:id="93" w:name="_Toc9237"/>
      <w:bookmarkStart w:id="94" w:name="_Toc17693"/>
      <w:bookmarkStart w:id="95" w:name="_Toc3465"/>
      <w:bookmarkStart w:id="96" w:name="_Toc24807"/>
      <w:r>
        <w:rPr>
          <w:rFonts w:hint="eastAsia" w:ascii="宋体" w:hAnsi="宋体" w:cs="宋体" w:eastAsiaTheme="minorEastAsia"/>
          <w:b/>
          <w:color w:val="auto"/>
          <w:kern w:val="0"/>
          <w:sz w:val="28"/>
          <w:szCs w:val="28"/>
          <w:highlight w:val="none"/>
          <w:lang w:val="en-US" w:eastAsia="zh-CN"/>
        </w:rPr>
        <w:t>非联合体投标声明（格式自拟）</w:t>
      </w:r>
      <w:bookmarkEnd w:id="92"/>
      <w:bookmarkEnd w:id="93"/>
      <w:bookmarkEnd w:id="94"/>
      <w:bookmarkEnd w:id="95"/>
      <w:bookmarkEnd w:id="96"/>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汉仪细圆简">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A75DCC2A"/>
    <w:multiLevelType w:val="singleLevel"/>
    <w:tmpl w:val="A75DCC2A"/>
    <w:lvl w:ilvl="0" w:tentative="0">
      <w:start w:val="1"/>
      <w:numFmt w:val="decimal"/>
      <w:suff w:val="nothing"/>
      <w:lvlText w:val="%1、"/>
      <w:lvlJc w:val="left"/>
    </w:lvl>
  </w:abstractNum>
  <w:abstractNum w:abstractNumId="2">
    <w:nsid w:val="CB8718C6"/>
    <w:multiLevelType w:val="singleLevel"/>
    <w:tmpl w:val="CB8718C6"/>
    <w:lvl w:ilvl="0" w:tentative="0">
      <w:start w:val="3"/>
      <w:numFmt w:val="decimal"/>
      <w:suff w:val="nothing"/>
      <w:lvlText w:val="%1、"/>
      <w:lvlJc w:val="left"/>
    </w:lvl>
  </w:abstractNum>
  <w:abstractNum w:abstractNumId="3">
    <w:nsid w:val="32452743"/>
    <w:multiLevelType w:val="singleLevel"/>
    <w:tmpl w:val="32452743"/>
    <w:lvl w:ilvl="0" w:tentative="0">
      <w:start w:val="5"/>
      <w:numFmt w:val="decimal"/>
      <w:suff w:val="space"/>
      <w:lvlText w:val="第%1章"/>
      <w:lvlJc w:val="left"/>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 w:name="KSO_WPS_MARK_KEY" w:val="dcc34e8b-285d-400f-b82c-10351cc556af"/>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1E52F34"/>
    <w:rsid w:val="025A13E2"/>
    <w:rsid w:val="02C80459"/>
    <w:rsid w:val="02E9680F"/>
    <w:rsid w:val="02F7533D"/>
    <w:rsid w:val="030457ED"/>
    <w:rsid w:val="03562994"/>
    <w:rsid w:val="03CB6D70"/>
    <w:rsid w:val="04364A4F"/>
    <w:rsid w:val="04376975"/>
    <w:rsid w:val="04D330E5"/>
    <w:rsid w:val="04E40895"/>
    <w:rsid w:val="05031424"/>
    <w:rsid w:val="050E236F"/>
    <w:rsid w:val="051B7598"/>
    <w:rsid w:val="052E78DA"/>
    <w:rsid w:val="0557469B"/>
    <w:rsid w:val="059A4101"/>
    <w:rsid w:val="073B0CB2"/>
    <w:rsid w:val="07746BCF"/>
    <w:rsid w:val="07F66A4C"/>
    <w:rsid w:val="083B43B1"/>
    <w:rsid w:val="08757A2C"/>
    <w:rsid w:val="089D5EE4"/>
    <w:rsid w:val="08A9464F"/>
    <w:rsid w:val="08C43471"/>
    <w:rsid w:val="08D505E6"/>
    <w:rsid w:val="09062DA7"/>
    <w:rsid w:val="09A667E8"/>
    <w:rsid w:val="0A621C44"/>
    <w:rsid w:val="0A9867C9"/>
    <w:rsid w:val="0B372B92"/>
    <w:rsid w:val="0BFF40FB"/>
    <w:rsid w:val="0C855B7E"/>
    <w:rsid w:val="0C87037B"/>
    <w:rsid w:val="0CC51EC7"/>
    <w:rsid w:val="0CF74903"/>
    <w:rsid w:val="0D2A3B3D"/>
    <w:rsid w:val="0DA863B4"/>
    <w:rsid w:val="0E1B10A8"/>
    <w:rsid w:val="0E80564C"/>
    <w:rsid w:val="0EA03B8A"/>
    <w:rsid w:val="0EAC0C18"/>
    <w:rsid w:val="0EB25F9A"/>
    <w:rsid w:val="0EE07B74"/>
    <w:rsid w:val="0F656FB0"/>
    <w:rsid w:val="0F8D0176"/>
    <w:rsid w:val="0F912314"/>
    <w:rsid w:val="0FD73768"/>
    <w:rsid w:val="10A4638E"/>
    <w:rsid w:val="10D83B3D"/>
    <w:rsid w:val="11135DC8"/>
    <w:rsid w:val="11235643"/>
    <w:rsid w:val="11F528ED"/>
    <w:rsid w:val="12E86716"/>
    <w:rsid w:val="130F5872"/>
    <w:rsid w:val="134A310C"/>
    <w:rsid w:val="138E253F"/>
    <w:rsid w:val="138E7BA2"/>
    <w:rsid w:val="13E640E2"/>
    <w:rsid w:val="13E744B7"/>
    <w:rsid w:val="14082F52"/>
    <w:rsid w:val="14085DAD"/>
    <w:rsid w:val="14233C6D"/>
    <w:rsid w:val="14452035"/>
    <w:rsid w:val="1448567A"/>
    <w:rsid w:val="145B3800"/>
    <w:rsid w:val="14DA40AE"/>
    <w:rsid w:val="15B036FB"/>
    <w:rsid w:val="15EC4007"/>
    <w:rsid w:val="16007AF5"/>
    <w:rsid w:val="163A7468"/>
    <w:rsid w:val="16853385"/>
    <w:rsid w:val="17463991"/>
    <w:rsid w:val="179E3273"/>
    <w:rsid w:val="17DF6EBB"/>
    <w:rsid w:val="17E977C8"/>
    <w:rsid w:val="1873680D"/>
    <w:rsid w:val="18E67433"/>
    <w:rsid w:val="18F12637"/>
    <w:rsid w:val="19095239"/>
    <w:rsid w:val="19A70069"/>
    <w:rsid w:val="1A361CF4"/>
    <w:rsid w:val="1AA864E1"/>
    <w:rsid w:val="1AB46DAB"/>
    <w:rsid w:val="1B6C2995"/>
    <w:rsid w:val="1BB630ED"/>
    <w:rsid w:val="1BC44893"/>
    <w:rsid w:val="1BE136FF"/>
    <w:rsid w:val="1C05708F"/>
    <w:rsid w:val="1C307374"/>
    <w:rsid w:val="1C4306F9"/>
    <w:rsid w:val="1C9203A6"/>
    <w:rsid w:val="1E032835"/>
    <w:rsid w:val="1E562810"/>
    <w:rsid w:val="1E7A1CAB"/>
    <w:rsid w:val="1EBD45C4"/>
    <w:rsid w:val="1F1C5732"/>
    <w:rsid w:val="1F584BD1"/>
    <w:rsid w:val="205D447F"/>
    <w:rsid w:val="206E043A"/>
    <w:rsid w:val="20AD4C4C"/>
    <w:rsid w:val="21076203"/>
    <w:rsid w:val="21424D60"/>
    <w:rsid w:val="215321ED"/>
    <w:rsid w:val="224A02E7"/>
    <w:rsid w:val="227411DF"/>
    <w:rsid w:val="232E3EB1"/>
    <w:rsid w:val="23A43B04"/>
    <w:rsid w:val="24856237"/>
    <w:rsid w:val="25053D8A"/>
    <w:rsid w:val="25687B33"/>
    <w:rsid w:val="25791876"/>
    <w:rsid w:val="26236584"/>
    <w:rsid w:val="26B94C66"/>
    <w:rsid w:val="26FF6942"/>
    <w:rsid w:val="272101A5"/>
    <w:rsid w:val="272B74FA"/>
    <w:rsid w:val="2751149E"/>
    <w:rsid w:val="2765008E"/>
    <w:rsid w:val="2776675E"/>
    <w:rsid w:val="2837076A"/>
    <w:rsid w:val="2865301D"/>
    <w:rsid w:val="28C86C87"/>
    <w:rsid w:val="28D56736"/>
    <w:rsid w:val="28D70FCF"/>
    <w:rsid w:val="29051210"/>
    <w:rsid w:val="296119D7"/>
    <w:rsid w:val="2A97100B"/>
    <w:rsid w:val="2B401296"/>
    <w:rsid w:val="2BEC17AE"/>
    <w:rsid w:val="2C1B0D4A"/>
    <w:rsid w:val="2C5357E2"/>
    <w:rsid w:val="2D0635AD"/>
    <w:rsid w:val="2DB80F46"/>
    <w:rsid w:val="2DDB1EBF"/>
    <w:rsid w:val="2DE261EA"/>
    <w:rsid w:val="2DE71DA9"/>
    <w:rsid w:val="2DF963B5"/>
    <w:rsid w:val="2E6C5CB5"/>
    <w:rsid w:val="2EC40C57"/>
    <w:rsid w:val="2EE433BF"/>
    <w:rsid w:val="2F9B6BBA"/>
    <w:rsid w:val="2FEA73B1"/>
    <w:rsid w:val="30136E93"/>
    <w:rsid w:val="30334755"/>
    <w:rsid w:val="30EC6390"/>
    <w:rsid w:val="311233CC"/>
    <w:rsid w:val="317D3131"/>
    <w:rsid w:val="31B57180"/>
    <w:rsid w:val="321A656D"/>
    <w:rsid w:val="3283717A"/>
    <w:rsid w:val="330D305A"/>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77019F"/>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5180D62"/>
    <w:rsid w:val="457E617A"/>
    <w:rsid w:val="46871AD6"/>
    <w:rsid w:val="47025D0E"/>
    <w:rsid w:val="471A3A95"/>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D195C1E"/>
    <w:rsid w:val="4D904DD7"/>
    <w:rsid w:val="4D9C287D"/>
    <w:rsid w:val="4DC04FA6"/>
    <w:rsid w:val="4DC53F66"/>
    <w:rsid w:val="4E165AE9"/>
    <w:rsid w:val="4E2A0E48"/>
    <w:rsid w:val="4E2A7035"/>
    <w:rsid w:val="4E8B3D2A"/>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4BF6370"/>
    <w:rsid w:val="55055F70"/>
    <w:rsid w:val="55D41C4B"/>
    <w:rsid w:val="5702252D"/>
    <w:rsid w:val="572444C0"/>
    <w:rsid w:val="57692898"/>
    <w:rsid w:val="576D49E8"/>
    <w:rsid w:val="57951FF3"/>
    <w:rsid w:val="579C393A"/>
    <w:rsid w:val="583D3C73"/>
    <w:rsid w:val="59205A63"/>
    <w:rsid w:val="594F1692"/>
    <w:rsid w:val="59566C52"/>
    <w:rsid w:val="597674DD"/>
    <w:rsid w:val="59F07874"/>
    <w:rsid w:val="5A416E84"/>
    <w:rsid w:val="5AAF5CCA"/>
    <w:rsid w:val="5B6E68B8"/>
    <w:rsid w:val="5B8D6C19"/>
    <w:rsid w:val="5BAA698D"/>
    <w:rsid w:val="5BCE61FA"/>
    <w:rsid w:val="5C4F2C59"/>
    <w:rsid w:val="5C9B134E"/>
    <w:rsid w:val="5DAA1580"/>
    <w:rsid w:val="5DF14932"/>
    <w:rsid w:val="5DFF04E8"/>
    <w:rsid w:val="5E1A6FB5"/>
    <w:rsid w:val="5E7A3CE2"/>
    <w:rsid w:val="5E960581"/>
    <w:rsid w:val="5F355496"/>
    <w:rsid w:val="5F8349F8"/>
    <w:rsid w:val="5F865CD7"/>
    <w:rsid w:val="5FB4440E"/>
    <w:rsid w:val="5FDC4484"/>
    <w:rsid w:val="60BA0556"/>
    <w:rsid w:val="60F61E20"/>
    <w:rsid w:val="6118527D"/>
    <w:rsid w:val="61A7533B"/>
    <w:rsid w:val="61AA37BB"/>
    <w:rsid w:val="621244D5"/>
    <w:rsid w:val="62B2296D"/>
    <w:rsid w:val="62B247EF"/>
    <w:rsid w:val="636147EE"/>
    <w:rsid w:val="63DB6B9E"/>
    <w:rsid w:val="64A86918"/>
    <w:rsid w:val="65B441A4"/>
    <w:rsid w:val="65D8147F"/>
    <w:rsid w:val="66373494"/>
    <w:rsid w:val="66591B82"/>
    <w:rsid w:val="66A2527C"/>
    <w:rsid w:val="66CF4630"/>
    <w:rsid w:val="66E005EB"/>
    <w:rsid w:val="672A46AF"/>
    <w:rsid w:val="68550B65"/>
    <w:rsid w:val="6898637C"/>
    <w:rsid w:val="68B16D7B"/>
    <w:rsid w:val="68BA7003"/>
    <w:rsid w:val="69A1245C"/>
    <w:rsid w:val="6B121E8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F7DDD"/>
    <w:rsid w:val="7E262745"/>
    <w:rsid w:val="7E300909"/>
    <w:rsid w:val="7EC84C80"/>
    <w:rsid w:val="7EF434D2"/>
    <w:rsid w:val="7EF55FF4"/>
    <w:rsid w:val="7F0627ED"/>
    <w:rsid w:val="7FA52E31"/>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5">
    <w:name w:val="heading 3"/>
    <w:next w:val="1"/>
    <w:link w:val="45"/>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8"/>
    <w:qFormat/>
    <w:uiPriority w:val="0"/>
    <w:rPr>
      <w:rFonts w:hint="eastAsia" w:ascii="宋体" w:hAnsi="Courier New" w:eastAsia="宋体" w:cs="Times New Roman"/>
      <w:szCs w:val="21"/>
    </w:rPr>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9">
    <w:name w:val="annotation text"/>
    <w:basedOn w:val="1"/>
    <w:semiHidden/>
    <w:unhideWhenUsed/>
    <w:qFormat/>
    <w:uiPriority w:val="0"/>
    <w:pPr>
      <w:jc w:val="left"/>
    </w:pPr>
  </w:style>
  <w:style w:type="paragraph" w:styleId="10">
    <w:name w:val="Body Text"/>
    <w:basedOn w:val="1"/>
    <w:next w:val="11"/>
    <w:qFormat/>
    <w:uiPriority w:val="0"/>
  </w:style>
  <w:style w:type="paragraph" w:customStyle="1" w:styleId="11">
    <w:name w:val="Default"/>
    <w:qFormat/>
    <w:uiPriority w:val="0"/>
    <w:pPr>
      <w:widowControl w:val="0"/>
      <w:autoSpaceDE w:val="0"/>
      <w:autoSpaceDN w:val="0"/>
      <w:adjustRightInd w:val="0"/>
      <w:spacing w:line="276" w:lineRule="auto"/>
      <w:jc w:val="both"/>
    </w:pPr>
    <w:rPr>
      <w:rFonts w:ascii="汉仪细圆简" w:hAnsi="Times New Roman" w:eastAsia="汉仪细圆简" w:cs="汉仪细圆简"/>
      <w:color w:val="000000"/>
      <w:sz w:val="24"/>
      <w:szCs w:val="24"/>
      <w:lang w:val="en-US" w:eastAsia="zh-CN" w:bidi="ar-SA"/>
    </w:rPr>
  </w:style>
  <w:style w:type="paragraph" w:styleId="12">
    <w:name w:val="Balloon Text"/>
    <w:basedOn w:val="1"/>
    <w:link w:val="36"/>
    <w:qFormat/>
    <w:uiPriority w:val="0"/>
    <w:rPr>
      <w:sz w:val="18"/>
      <w:szCs w:val="18"/>
    </w:rPr>
  </w:style>
  <w:style w:type="paragraph" w:styleId="13">
    <w:name w:val="footer"/>
    <w:basedOn w:val="1"/>
    <w:link w:val="35"/>
    <w:qFormat/>
    <w:uiPriority w:val="0"/>
    <w:pPr>
      <w:tabs>
        <w:tab w:val="center" w:pos="4153"/>
        <w:tab w:val="right" w:pos="8306"/>
      </w:tabs>
      <w:snapToGrid w:val="0"/>
      <w:jc w:val="left"/>
    </w:pPr>
    <w:rPr>
      <w:sz w:val="18"/>
      <w:szCs w:val="18"/>
    </w:rPr>
  </w:style>
  <w:style w:type="paragraph" w:styleId="14">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rPr>
      <w:rFonts w:ascii="Times New Roman" w:hAnsi="Times New Roman" w:eastAsia="宋体" w:cs="Times New Roman"/>
      <w:szCs w:val="21"/>
    </w:rPr>
  </w:style>
  <w:style w:type="paragraph" w:styleId="16">
    <w:name w:val="Subtitle"/>
    <w:next w:val="1"/>
    <w:qFormat/>
    <w:uiPriority w:val="0"/>
    <w:pPr>
      <w:widowControl w:val="0"/>
      <w:spacing w:before="240" w:after="60" w:line="312" w:lineRule="auto"/>
      <w:jc w:val="center"/>
      <w:outlineLvl w:val="1"/>
    </w:pPr>
    <w:rPr>
      <w:rFonts w:ascii="Arial" w:hAnsi="Arial" w:eastAsia="宋体" w:cs="Arial"/>
      <w:b/>
      <w:bCs/>
      <w:kern w:val="28"/>
      <w:sz w:val="32"/>
      <w:szCs w:val="32"/>
      <w:lang w:val="en-US" w:eastAsia="zh-CN" w:bidi="ar-SA"/>
    </w:rPr>
  </w:style>
  <w:style w:type="paragraph" w:styleId="17">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paragraph" w:styleId="18">
    <w:name w:val="Body Text First Indent"/>
    <w:basedOn w:val="10"/>
    <w:link w:val="39"/>
    <w:qFormat/>
    <w:uiPriority w:val="0"/>
    <w:pPr>
      <w:spacing w:beforeAutospacing="1" w:after="120"/>
      <w:ind w:firstLine="420"/>
    </w:pPr>
    <w:rPr>
      <w:rFonts w:ascii="Times New Roman" w:hAnsi="Times New Roman" w:eastAsia="宋体" w:cs="Times New Roman"/>
      <w:szCs w:val="21"/>
    </w:rPr>
  </w:style>
  <w:style w:type="character" w:styleId="21">
    <w:name w:val="page number"/>
    <w:basedOn w:val="20"/>
    <w:qFormat/>
    <w:uiPriority w:val="0"/>
  </w:style>
  <w:style w:type="character" w:styleId="22">
    <w:name w:val="FollowedHyperlink"/>
    <w:basedOn w:val="20"/>
    <w:qFormat/>
    <w:uiPriority w:val="0"/>
    <w:rPr>
      <w:color w:val="0000FF"/>
      <w:u w:val="single"/>
    </w:rPr>
  </w:style>
  <w:style w:type="character" w:styleId="23">
    <w:name w:val="Hyperlink"/>
    <w:basedOn w:val="20"/>
    <w:qFormat/>
    <w:uiPriority w:val="0"/>
    <w:rPr>
      <w:color w:val="0000FF"/>
      <w:u w:val="single"/>
    </w:rPr>
  </w:style>
  <w:style w:type="paragraph" w:customStyle="1" w:styleId="24">
    <w:name w:val="样式 小四 行距: 1.5 倍行距"/>
    <w:basedOn w:val="1"/>
    <w:qFormat/>
    <w:uiPriority w:val="0"/>
    <w:pPr>
      <w:ind w:firstLine="480"/>
    </w:pPr>
    <w:rPr>
      <w:rFonts w:cs="宋体"/>
    </w:rPr>
  </w:style>
  <w:style w:type="paragraph" w:customStyle="1" w:styleId="25">
    <w:name w:val="表格文字"/>
    <w:basedOn w:val="1"/>
    <w:qFormat/>
    <w:uiPriority w:val="0"/>
    <w:pPr>
      <w:spacing w:before="25" w:after="25"/>
      <w:jc w:val="left"/>
    </w:pPr>
    <w:rPr>
      <w:bCs/>
      <w:spacing w:val="10"/>
      <w:kern w:val="0"/>
      <w:sz w:val="24"/>
    </w:rPr>
  </w:style>
  <w:style w:type="paragraph" w:customStyle="1" w:styleId="26">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7">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8">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9">
    <w:name w:val="列出段落1"/>
    <w:basedOn w:val="1"/>
    <w:qFormat/>
    <w:uiPriority w:val="0"/>
    <w:pPr>
      <w:ind w:firstLine="420" w:firstLineChars="200"/>
    </w:pPr>
    <w:rPr>
      <w:rFonts w:ascii="Calibri" w:hAnsi="Calibri" w:eastAsia="宋体" w:cs="Times New Roman"/>
      <w:szCs w:val="21"/>
    </w:rPr>
  </w:style>
  <w:style w:type="paragraph" w:customStyle="1" w:styleId="30">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1">
    <w:name w:val="10"/>
    <w:basedOn w:val="20"/>
    <w:qFormat/>
    <w:uiPriority w:val="0"/>
    <w:rPr>
      <w:rFonts w:hint="default" w:ascii="Times New Roman" w:hAnsi="Times New Roman" w:cs="Times New Roman"/>
    </w:rPr>
  </w:style>
  <w:style w:type="character" w:customStyle="1" w:styleId="32">
    <w:name w:val="15"/>
    <w:basedOn w:val="20"/>
    <w:qFormat/>
    <w:uiPriority w:val="0"/>
    <w:rPr>
      <w:rFonts w:hint="default" w:ascii="Times New Roman" w:hAnsi="Times New Roman" w:cs="Times New Roman"/>
    </w:rPr>
  </w:style>
  <w:style w:type="character" w:customStyle="1" w:styleId="33">
    <w:name w:val="16"/>
    <w:basedOn w:val="20"/>
    <w:qFormat/>
    <w:uiPriority w:val="0"/>
    <w:rPr>
      <w:rFonts w:hint="default" w:ascii="Times New Roman" w:hAnsi="Times New Roman" w:cs="Times New Roman"/>
      <w:color w:val="0000FF"/>
      <w:u w:val="single"/>
    </w:rPr>
  </w:style>
  <w:style w:type="character" w:customStyle="1" w:styleId="34">
    <w:name w:val="页眉 Char"/>
    <w:basedOn w:val="20"/>
    <w:link w:val="14"/>
    <w:qFormat/>
    <w:uiPriority w:val="0"/>
    <w:rPr>
      <w:rFonts w:asciiTheme="minorHAnsi" w:hAnsiTheme="minorHAnsi" w:eastAsiaTheme="minorEastAsia" w:cstheme="minorBidi"/>
      <w:kern w:val="2"/>
      <w:sz w:val="18"/>
      <w:szCs w:val="18"/>
    </w:rPr>
  </w:style>
  <w:style w:type="character" w:customStyle="1" w:styleId="35">
    <w:name w:val="页脚 Char"/>
    <w:basedOn w:val="20"/>
    <w:link w:val="13"/>
    <w:qFormat/>
    <w:uiPriority w:val="0"/>
    <w:rPr>
      <w:rFonts w:asciiTheme="minorHAnsi" w:hAnsiTheme="minorHAnsi" w:eastAsiaTheme="minorEastAsia" w:cstheme="minorBidi"/>
      <w:kern w:val="2"/>
      <w:sz w:val="18"/>
      <w:szCs w:val="18"/>
    </w:rPr>
  </w:style>
  <w:style w:type="character" w:customStyle="1" w:styleId="36">
    <w:name w:val="批注框文本 Char"/>
    <w:basedOn w:val="20"/>
    <w:link w:val="12"/>
    <w:qFormat/>
    <w:uiPriority w:val="0"/>
    <w:rPr>
      <w:rFonts w:asciiTheme="minorHAnsi" w:hAnsiTheme="minorHAnsi" w:eastAsiaTheme="minorEastAsia" w:cstheme="minorBidi"/>
      <w:kern w:val="2"/>
      <w:sz w:val="18"/>
      <w:szCs w:val="18"/>
    </w:rPr>
  </w:style>
  <w:style w:type="paragraph" w:customStyle="1" w:styleId="37">
    <w:name w:val="WPSOffice手动目录 1"/>
    <w:qFormat/>
    <w:uiPriority w:val="0"/>
    <w:rPr>
      <w:rFonts w:ascii="Times New Roman" w:hAnsi="Times New Roman" w:eastAsia="宋体" w:cs="Times New Roman"/>
      <w:lang w:val="en-US" w:eastAsia="zh-CN" w:bidi="ar-SA"/>
    </w:rPr>
  </w:style>
  <w:style w:type="character" w:customStyle="1" w:styleId="38">
    <w:name w:val="纯文本 Char"/>
    <w:link w:val="2"/>
    <w:qFormat/>
    <w:uiPriority w:val="0"/>
    <w:rPr>
      <w:rFonts w:ascii="宋体" w:hAnsi="Courier New"/>
      <w:kern w:val="2"/>
      <w:sz w:val="21"/>
      <w:szCs w:val="21"/>
    </w:rPr>
  </w:style>
  <w:style w:type="character" w:customStyle="1" w:styleId="39">
    <w:name w:val="正文首行缩进 Char"/>
    <w:basedOn w:val="20"/>
    <w:link w:val="18"/>
    <w:qFormat/>
    <w:uiPriority w:val="0"/>
    <w:rPr>
      <w:kern w:val="2"/>
      <w:sz w:val="21"/>
      <w:szCs w:val="21"/>
    </w:rPr>
  </w:style>
  <w:style w:type="paragraph" w:styleId="40">
    <w:name w:val="List Paragraph"/>
    <w:basedOn w:val="1"/>
    <w:unhideWhenUsed/>
    <w:qFormat/>
    <w:uiPriority w:val="99"/>
    <w:pPr>
      <w:ind w:firstLine="420" w:firstLineChars="200"/>
    </w:pPr>
  </w:style>
  <w:style w:type="paragraph" w:customStyle="1" w:styleId="41">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2">
    <w:name w:val="发文落款"/>
    <w:basedOn w:val="41"/>
    <w:qFormat/>
    <w:uiPriority w:val="0"/>
    <w:pPr>
      <w:ind w:left="4094" w:right="607" w:firstLine="0"/>
      <w:jc w:val="center"/>
    </w:pPr>
  </w:style>
  <w:style w:type="character" w:customStyle="1" w:styleId="43">
    <w:name w:val="c Char1"/>
    <w:link w:val="44"/>
    <w:qFormat/>
    <w:uiPriority w:val="0"/>
    <w:rPr>
      <w:rFonts w:eastAsia="仿宋_GB2312" w:cs="宋体"/>
      <w:sz w:val="28"/>
    </w:rPr>
  </w:style>
  <w:style w:type="paragraph" w:customStyle="1" w:styleId="44">
    <w:name w:val="c"/>
    <w:basedOn w:val="1"/>
    <w:link w:val="43"/>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5">
    <w:name w:val="标题 3 Char"/>
    <w:link w:val="5"/>
    <w:qFormat/>
    <w:uiPriority w:val="0"/>
    <w:rPr>
      <w:rFonts w:ascii="宋体" w:hAnsi="宋体"/>
      <w:b/>
      <w:sz w:val="28"/>
      <w:lang w:val="en-US" w:eastAsia="zh-CN" w:bidi="ar-SA"/>
    </w:rPr>
  </w:style>
  <w:style w:type="character" w:customStyle="1" w:styleId="46">
    <w:name w:val="active2"/>
    <w:basedOn w:val="20"/>
    <w:qFormat/>
    <w:uiPriority w:val="0"/>
    <w:rPr>
      <w:color w:val="00FF00"/>
      <w:shd w:val="clear" w:fill="111111"/>
    </w:rPr>
  </w:style>
  <w:style w:type="character" w:customStyle="1" w:styleId="47">
    <w:name w:val="cdropright"/>
    <w:basedOn w:val="20"/>
    <w:qFormat/>
    <w:uiPriority w:val="0"/>
  </w:style>
  <w:style w:type="character" w:customStyle="1" w:styleId="48">
    <w:name w:val="drapbtn"/>
    <w:basedOn w:val="20"/>
    <w:qFormat/>
    <w:uiPriority w:val="0"/>
  </w:style>
  <w:style w:type="character" w:customStyle="1" w:styleId="49">
    <w:name w:val="after"/>
    <w:basedOn w:val="20"/>
    <w:qFormat/>
    <w:uiPriority w:val="0"/>
    <w:rPr>
      <w:sz w:val="0"/>
      <w:szCs w:val="0"/>
    </w:rPr>
  </w:style>
  <w:style w:type="character" w:customStyle="1" w:styleId="50">
    <w:name w:val="pagechatarealistclose_box"/>
    <w:basedOn w:val="20"/>
    <w:qFormat/>
    <w:uiPriority w:val="0"/>
  </w:style>
  <w:style w:type="character" w:customStyle="1" w:styleId="51">
    <w:name w:val="pagechatarealistclose_box1"/>
    <w:basedOn w:val="20"/>
    <w:qFormat/>
    <w:uiPriority w:val="0"/>
  </w:style>
  <w:style w:type="character" w:customStyle="1" w:styleId="52">
    <w:name w:val="hilite5"/>
    <w:basedOn w:val="20"/>
    <w:qFormat/>
    <w:uiPriority w:val="0"/>
    <w:rPr>
      <w:color w:val="FFFFFF"/>
      <w:shd w:val="clear" w:fill="666666"/>
    </w:rPr>
  </w:style>
  <w:style w:type="character" w:customStyle="1" w:styleId="53">
    <w:name w:val="associateddata"/>
    <w:basedOn w:val="20"/>
    <w:qFormat/>
    <w:uiPriority w:val="0"/>
    <w:rPr>
      <w:shd w:val="clear" w:fill="50A6F9"/>
    </w:rPr>
  </w:style>
  <w:style w:type="character" w:customStyle="1" w:styleId="54">
    <w:name w:val="cy"/>
    <w:basedOn w:val="20"/>
    <w:qFormat/>
    <w:uiPriority w:val="0"/>
  </w:style>
  <w:style w:type="character" w:customStyle="1" w:styleId="55">
    <w:name w:val="cdropleft"/>
    <w:basedOn w:val="20"/>
    <w:qFormat/>
    <w:uiPriority w:val="0"/>
  </w:style>
  <w:style w:type="character" w:customStyle="1" w:styleId="56">
    <w:name w:val="ico1654"/>
    <w:basedOn w:val="20"/>
    <w:qFormat/>
    <w:uiPriority w:val="0"/>
  </w:style>
  <w:style w:type="character" w:customStyle="1" w:styleId="57">
    <w:name w:val="ico1655"/>
    <w:basedOn w:val="20"/>
    <w:qFormat/>
    <w:uiPriority w:val="0"/>
  </w:style>
  <w:style w:type="character" w:customStyle="1" w:styleId="58">
    <w:name w:val="layui-layer-tabnow"/>
    <w:basedOn w:val="20"/>
    <w:qFormat/>
    <w:uiPriority w:val="0"/>
    <w:rPr>
      <w:bdr w:val="single" w:color="CCCCCC" w:sz="6" w:space="0"/>
      <w:shd w:val="clear" w:fill="FFFFFF"/>
    </w:rPr>
  </w:style>
  <w:style w:type="character" w:customStyle="1" w:styleId="59">
    <w:name w:val="button4"/>
    <w:basedOn w:val="20"/>
    <w:qFormat/>
    <w:uiPriority w:val="0"/>
  </w:style>
  <w:style w:type="character" w:customStyle="1" w:styleId="60">
    <w:name w:val="w32"/>
    <w:basedOn w:val="20"/>
    <w:qFormat/>
    <w:uiPriority w:val="0"/>
  </w:style>
  <w:style w:type="character" w:customStyle="1" w:styleId="61">
    <w:name w:val="tmpztreemove_arrow"/>
    <w:basedOn w:val="20"/>
    <w:qFormat/>
    <w:uiPriority w:val="0"/>
  </w:style>
  <w:style w:type="character" w:customStyle="1" w:styleId="62">
    <w:name w:val="icontext1"/>
    <w:basedOn w:val="20"/>
    <w:qFormat/>
    <w:uiPriority w:val="0"/>
  </w:style>
  <w:style w:type="character" w:customStyle="1" w:styleId="63">
    <w:name w:val="icontext11"/>
    <w:basedOn w:val="20"/>
    <w:qFormat/>
    <w:uiPriority w:val="0"/>
  </w:style>
  <w:style w:type="character" w:customStyle="1" w:styleId="64">
    <w:name w:val="icontext12"/>
    <w:basedOn w:val="20"/>
    <w:qFormat/>
    <w:uiPriority w:val="0"/>
  </w:style>
  <w:style w:type="character" w:customStyle="1" w:styleId="65">
    <w:name w:val="iconline2"/>
    <w:basedOn w:val="20"/>
    <w:qFormat/>
    <w:uiPriority w:val="0"/>
  </w:style>
  <w:style w:type="character" w:customStyle="1" w:styleId="66">
    <w:name w:val="iconline21"/>
    <w:basedOn w:val="20"/>
    <w:qFormat/>
    <w:uiPriority w:val="0"/>
  </w:style>
  <w:style w:type="character" w:customStyle="1" w:styleId="67">
    <w:name w:val="icontext2"/>
    <w:basedOn w:val="20"/>
    <w:qFormat/>
    <w:uiPriority w:val="0"/>
  </w:style>
  <w:style w:type="character" w:customStyle="1" w:styleId="68">
    <w:name w:val="icontext3"/>
    <w:basedOn w:val="20"/>
    <w:qFormat/>
    <w:uiPriority w:val="0"/>
  </w:style>
  <w:style w:type="character" w:customStyle="1" w:styleId="69">
    <w:name w:val="first-child"/>
    <w:basedOn w:val="20"/>
    <w:qFormat/>
    <w:uiPriority w:val="0"/>
  </w:style>
  <w:style w:type="table" w:customStyle="1" w:styleId="70">
    <w:name w:val="Table Normal"/>
    <w:semiHidden/>
    <w:unhideWhenUsed/>
    <w:qFormat/>
    <w:uiPriority w:val="0"/>
    <w:tblPr>
      <w:tblCellMar>
        <w:top w:w="0" w:type="dxa"/>
        <w:left w:w="0" w:type="dxa"/>
        <w:bottom w:w="0" w:type="dxa"/>
        <w:right w:w="0" w:type="dxa"/>
      </w:tblCellMar>
    </w:tblPr>
  </w:style>
  <w:style w:type="paragraph" w:customStyle="1" w:styleId="71">
    <w:name w:val="Table Text"/>
    <w:basedOn w:val="1"/>
    <w:semiHidden/>
    <w:qFormat/>
    <w:uiPriority w:val="0"/>
    <w:rPr>
      <w:rFonts w:ascii="宋体" w:hAnsi="宋体" w:eastAsia="宋体" w:cs="宋体"/>
      <w:sz w:val="16"/>
      <w:szCs w:val="16"/>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14980</Words>
  <Characters>15844</Characters>
  <Lines>131</Lines>
  <Paragraphs>37</Paragraphs>
  <TotalTime>15</TotalTime>
  <ScaleCrop>false</ScaleCrop>
  <LinksUpToDate>false</LinksUpToDate>
  <CharactersWithSpaces>16919</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作者</cp:lastModifiedBy>
  <cp:lastPrinted>2024-09-10T01:45:05Z</cp:lastPrinted>
  <dcterms:modified xsi:type="dcterms:W3CDTF">2024-09-10T01:54:07Z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C157783928124F33BC6DA45DC6CCA2B2_13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