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5"/>
        <w:rPr>
          <w:color w:val="auto"/>
          <w:highlight w:val="none"/>
        </w:rPr>
      </w:pPr>
    </w:p>
    <w:p>
      <w:pPr>
        <w:pStyle w:val="25"/>
        <w:rPr>
          <w:color w:val="auto"/>
          <w:highlight w:val="none"/>
        </w:rPr>
      </w:pPr>
    </w:p>
    <w:p>
      <w:pPr>
        <w:jc w:val="center"/>
        <w:rPr>
          <w:rFonts w:ascii="宋体" w:hAnsi="宋体" w:eastAsia="宋体" w:cs="宋体"/>
          <w:color w:val="auto"/>
          <w:sz w:val="72"/>
          <w:szCs w:val="72"/>
          <w:highlight w:val="none"/>
        </w:rPr>
      </w:pPr>
      <w:r>
        <w:rPr>
          <w:rFonts w:hint="default" w:ascii="宋体" w:hAnsi="宋体" w:eastAsia="宋体" w:cs="宋体"/>
          <w:b/>
          <w:bCs w:val="0"/>
          <w:color w:val="auto"/>
          <w:sz w:val="44"/>
          <w:szCs w:val="44"/>
          <w:highlight w:val="none"/>
          <w:lang w:val="en-US" w:eastAsia="zh-CN"/>
        </w:rPr>
        <w:t>南沙滨海音乐节地块临电箱变工程</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5"/>
        <w:rPr>
          <w:rFonts w:hint="eastAsia" w:ascii="宋体" w:hAnsi="宋体" w:eastAsia="宋体" w:cs="宋体"/>
          <w:color w:val="auto"/>
          <w:sz w:val="72"/>
          <w:szCs w:val="72"/>
          <w:highlight w:val="none"/>
        </w:rPr>
      </w:pPr>
    </w:p>
    <w:p>
      <w:pPr>
        <w:pStyle w:val="25"/>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bookmarkStart w:id="97" w:name="_GoBack"/>
      <w:r>
        <w:rPr>
          <w:rFonts w:hint="eastAsia" w:ascii="宋体" w:hAnsi="宋体" w:eastAsia="宋体" w:cs="宋体"/>
          <w:b/>
          <w:color w:val="auto"/>
          <w:sz w:val="32"/>
          <w:szCs w:val="32"/>
          <w:highlight w:val="none"/>
          <w:lang w:eastAsia="zh-CN"/>
        </w:rPr>
        <w:t>广州南沙旅游发展有限公司</w:t>
      </w:r>
      <w:bookmarkEnd w:id="97"/>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10月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_Toc17503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第1章 投标须知及前附表</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_Toc17503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_Toc28921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第2章 项目需求书</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_Toc28921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12</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_Toc2908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第3章 投标格式文件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_Toc2908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_Toc24523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第4章 评标办法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_Toc24523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_Toc11051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lang w:val="en-US" w:eastAsia="zh-CN"/>
            </w:rPr>
            <w:t>第5章 附件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lang w:val="en-US" w:eastAsia="zh-CN"/>
            </w:rPr>
            <w:t>2</w:t>
          </w:r>
        </w:p>
        <w:p>
          <w:pPr>
            <w:pStyle w:val="14"/>
            <w:tabs>
              <w:tab w:val="right" w:leader="dot" w:pos="9410"/>
            </w:tabs>
            <w:rPr>
              <w:color w:val="auto"/>
              <w:sz w:val="24"/>
              <w:szCs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88"/>
      <w:bookmarkStart w:id="3" w:name="_Toc9159"/>
      <w:bookmarkStart w:id="4" w:name="_Toc17503"/>
      <w:bookmarkStart w:id="5" w:name="_Toc374128472"/>
      <w:bookmarkStart w:id="6" w:name="_Toc23838"/>
      <w:bookmarkStart w:id="7" w:name="_Toc13302"/>
      <w:bookmarkStart w:id="8" w:name="_Toc20698"/>
      <w:bookmarkStart w:id="9" w:name="_Toc8549"/>
      <w:bookmarkStart w:id="10"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default" w:ascii="宋体" w:hAnsi="宋体" w:eastAsia="宋体" w:cs="宋体"/>
                <w:b w:val="0"/>
                <w:bCs w:val="0"/>
                <w:color w:val="auto"/>
                <w:sz w:val="21"/>
                <w:szCs w:val="21"/>
                <w:highlight w:val="none"/>
                <w:lang w:val="en-US" w:eastAsia="zh-CN"/>
              </w:rPr>
              <w:t>南沙滨海音乐节地块临电箱变工程</w:t>
            </w:r>
          </w:p>
        </w:tc>
      </w:tr>
      <w:tr>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广州市南沙区滨海公园西门、南沙资讯科技园对面</w:t>
            </w:r>
          </w:p>
        </w:tc>
      </w:tr>
      <w:tr>
        <w:tblPrEx>
          <w:tblCellMar>
            <w:top w:w="0" w:type="dxa"/>
            <w:left w:w="108" w:type="dxa"/>
            <w:bottom w:w="0" w:type="dxa"/>
            <w:right w:w="108" w:type="dxa"/>
          </w:tblCellMar>
        </w:tblPrEx>
        <w:trPr>
          <w:trHeight w:val="90"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firstLineChars="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highlight w:val="none"/>
              </w:rPr>
              <w:t>本项目地块地处广州市南沙区南沙湾片区，位于</w:t>
            </w:r>
            <w:r>
              <w:rPr>
                <w:rFonts w:hint="eastAsia" w:ascii="宋体" w:hAnsi="宋体" w:eastAsia="宋体" w:cs="宋体"/>
                <w:color w:val="auto"/>
                <w:kern w:val="2"/>
                <w:sz w:val="21"/>
                <w:highlight w:val="none"/>
                <w:lang w:val="en-US" w:eastAsia="zh-CN"/>
              </w:rPr>
              <w:t>南沙</w:t>
            </w:r>
            <w:r>
              <w:rPr>
                <w:rFonts w:hint="eastAsia" w:ascii="宋体" w:hAnsi="宋体" w:eastAsia="宋体" w:cs="宋体"/>
                <w:color w:val="auto"/>
                <w:kern w:val="2"/>
                <w:sz w:val="21"/>
                <w:highlight w:val="none"/>
                <w:u w:val="none"/>
              </w:rPr>
              <w:t>滨海公园西门、南沙资讯科技园对面，东临漾滨路、南临科院路、北临环市大道、西临海滨路，</w:t>
            </w:r>
            <w:r>
              <w:rPr>
                <w:rFonts w:hint="eastAsia" w:ascii="宋体" w:hAnsi="宋体" w:eastAsia="宋体" w:cs="宋体"/>
                <w:color w:val="auto"/>
                <w:kern w:val="2"/>
                <w:sz w:val="21"/>
                <w:highlight w:val="none"/>
                <w:u w:val="none"/>
                <w:lang w:val="en-US" w:eastAsia="zh-CN"/>
              </w:rPr>
              <w:t>本次拟</w:t>
            </w:r>
            <w:r>
              <w:rPr>
                <w:rFonts w:hint="eastAsia" w:ascii="宋体" w:hAnsi="宋体" w:eastAsia="宋体" w:cs="宋体"/>
                <w:color w:val="auto"/>
                <w:kern w:val="2"/>
                <w:sz w:val="21"/>
                <w:highlight w:val="none"/>
                <w:u w:val="none"/>
              </w:rPr>
              <w:t>开发利用面积14.3万平方米，作为音乐节配套项目用地</w:t>
            </w:r>
            <w:r>
              <w:rPr>
                <w:rFonts w:hint="eastAsia" w:ascii="宋体" w:hAnsi="宋体" w:eastAsia="宋体" w:cs="宋体"/>
                <w:color w:val="auto"/>
                <w:sz w:val="21"/>
                <w:highlight w:val="none"/>
                <w:lang w:bidi="ar"/>
              </w:rPr>
              <w:t>。</w:t>
            </w:r>
            <w:r>
              <w:rPr>
                <w:rFonts w:hint="eastAsia" w:ascii="宋体" w:hAnsi="宋体" w:eastAsia="宋体" w:cs="宋体"/>
                <w:color w:val="auto"/>
                <w:sz w:val="21"/>
                <w:szCs w:val="21"/>
                <w:highlight w:val="none"/>
                <w:u w:val="none"/>
                <w:lang w:eastAsia="zh-CN"/>
              </w:rPr>
              <w:t>项目总投资为638万元（其中外电报装费用99万元）。</w:t>
            </w:r>
          </w:p>
        </w:tc>
      </w:tr>
      <w:tr>
        <w:tblPrEx>
          <w:tblCellMar>
            <w:top w:w="0" w:type="dxa"/>
            <w:left w:w="108" w:type="dxa"/>
            <w:bottom w:w="0" w:type="dxa"/>
            <w:right w:w="108" w:type="dxa"/>
          </w:tblCellMar>
        </w:tblPrEx>
        <w:trPr>
          <w:trHeight w:val="9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left"/>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lang w:eastAsia="zh-CN"/>
              </w:rPr>
              <w:t>项目总投资为638万元（其中外电报装费用99万元）。</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90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left"/>
              <w:rPr>
                <w:rFonts w:hint="eastAsia" w:ascii="宋体" w:hAnsi="宋体" w:eastAsia="宋体" w:cs="宋体"/>
                <w:color w:val="auto"/>
                <w:kern w:val="2"/>
                <w:sz w:val="21"/>
                <w:szCs w:val="21"/>
                <w:highlight w:val="none"/>
                <w:u w:val="none"/>
              </w:rPr>
            </w:pPr>
            <w:r>
              <w:rPr>
                <w:rFonts w:hint="eastAsia" w:ascii="宋体" w:hAnsi="宋体" w:eastAsia="宋体" w:cs="宋体"/>
                <w:b w:val="0"/>
                <w:bCs/>
                <w:color w:val="auto"/>
                <w:sz w:val="21"/>
                <w:szCs w:val="21"/>
                <w:highlight w:val="none"/>
                <w:lang w:eastAsia="zh-CN"/>
              </w:rPr>
              <w:t>项目建设内容包括但不限于：</w:t>
            </w:r>
            <w:r>
              <w:rPr>
                <w:rFonts w:hint="eastAsia" w:ascii="宋体" w:hAnsi="宋体" w:cs="宋体"/>
                <w:color w:val="auto"/>
                <w:highlight w:val="none"/>
              </w:rPr>
              <w:t>10kV箱变1台；10kV全绝缘全封闭开关柜1套；防雷保护及接地及其他相关内容</w:t>
            </w:r>
            <w:r>
              <w:rPr>
                <w:rFonts w:hint="eastAsia" w:ascii="宋体" w:hAnsi="宋体" w:eastAsia="宋体" w:cs="宋体"/>
                <w:color w:val="auto"/>
                <w:spacing w:val="0"/>
                <w:sz w:val="21"/>
                <w:szCs w:val="21"/>
                <w:highlight w:val="none"/>
                <w:lang w:val="en-US" w:eastAsia="zh-CN"/>
              </w:rPr>
              <w:t>等，</w:t>
            </w:r>
            <w:r>
              <w:rPr>
                <w:rFonts w:hint="eastAsia" w:ascii="宋体" w:hAnsi="宋体" w:cs="宋体"/>
                <w:color w:val="auto"/>
                <w:spacing w:val="0"/>
                <w:sz w:val="21"/>
                <w:szCs w:val="21"/>
                <w:highlight w:val="none"/>
                <w:lang w:val="en-US" w:eastAsia="zh-CN"/>
              </w:rPr>
              <w:t>最终</w:t>
            </w:r>
            <w:r>
              <w:rPr>
                <w:rFonts w:hint="eastAsia" w:ascii="宋体" w:hAnsi="宋体" w:eastAsia="宋体" w:cs="宋体"/>
                <w:color w:val="auto"/>
                <w:spacing w:val="0"/>
                <w:sz w:val="21"/>
                <w:szCs w:val="21"/>
                <w:highlight w:val="none"/>
                <w:lang w:val="en-US" w:eastAsia="zh-CN"/>
              </w:rPr>
              <w:t>以实际施工图纸、工程量清单为准。投标人需按招标文件、图纸规范等要求进行施工，如设计图纸有调整时，必须服从要求调整。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color w:val="auto"/>
                <w:sz w:val="21"/>
                <w:szCs w:val="21"/>
                <w:highlight w:val="none"/>
                <w:lang w:val="en-US" w:eastAsia="zh-CN"/>
              </w:rPr>
              <w:t>2024年11月20日前验收合格送电。</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numPr>
                <w:ilvl w:val="-1"/>
                <w:numId w:val="0"/>
              </w:numPr>
              <w:spacing w:after="0" w:line="440" w:lineRule="exact"/>
              <w:ind w:firstLine="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color w:val="auto"/>
                <w:sz w:val="21"/>
                <w:szCs w:val="21"/>
                <w:highlight w:val="none"/>
              </w:rPr>
              <w:t>投标人具有</w:t>
            </w:r>
            <w:r>
              <w:rPr>
                <w:rFonts w:hint="eastAsia" w:ascii="宋体" w:hAnsi="宋体" w:eastAsia="宋体" w:cs="宋体"/>
                <w:bCs/>
                <w:color w:val="auto"/>
                <w:sz w:val="21"/>
                <w:szCs w:val="21"/>
                <w:highlight w:val="none"/>
                <w:u w:val="none"/>
                <w:lang w:val="en-US" w:eastAsia="zh-CN"/>
              </w:rPr>
              <w:t>电力</w:t>
            </w:r>
            <w:r>
              <w:rPr>
                <w:rFonts w:hint="eastAsia" w:ascii="宋体" w:hAnsi="宋体" w:eastAsia="宋体" w:cs="宋体"/>
                <w:bCs/>
                <w:color w:val="auto"/>
                <w:sz w:val="21"/>
                <w:szCs w:val="21"/>
                <w:highlight w:val="none"/>
                <w:u w:val="none"/>
              </w:rPr>
              <w:t>工程</w:t>
            </w:r>
            <w:r>
              <w:rPr>
                <w:rFonts w:hint="eastAsia" w:ascii="宋体" w:hAnsi="宋体" w:eastAsia="宋体" w:cs="宋体"/>
                <w:bCs/>
                <w:color w:val="auto"/>
                <w:sz w:val="21"/>
                <w:szCs w:val="21"/>
                <w:highlight w:val="none"/>
                <w:u w:val="none"/>
                <w:lang w:val="en-US" w:eastAsia="zh-CN"/>
              </w:rPr>
              <w:t>施工总</w:t>
            </w:r>
            <w:r>
              <w:rPr>
                <w:rFonts w:hint="eastAsia" w:ascii="宋体" w:hAnsi="宋体" w:eastAsia="宋体" w:cs="宋体"/>
                <w:bCs/>
                <w:color w:val="auto"/>
                <w:sz w:val="21"/>
                <w:szCs w:val="21"/>
                <w:highlight w:val="none"/>
                <w:u w:val="none"/>
              </w:rPr>
              <w:t>承包</w:t>
            </w:r>
            <w:r>
              <w:rPr>
                <w:rFonts w:hint="eastAsia" w:ascii="宋体" w:hAnsi="宋体" w:eastAsia="宋体" w:cs="宋体"/>
                <w:bCs/>
                <w:color w:val="auto"/>
                <w:sz w:val="21"/>
                <w:szCs w:val="21"/>
                <w:highlight w:val="none"/>
                <w:u w:val="none"/>
                <w:lang w:val="en-US" w:eastAsia="zh-CN"/>
              </w:rPr>
              <w:t>三</w:t>
            </w:r>
            <w:r>
              <w:rPr>
                <w:rFonts w:hint="eastAsia" w:ascii="宋体" w:hAnsi="宋体" w:eastAsia="宋体" w:cs="宋体"/>
                <w:bCs/>
                <w:color w:val="auto"/>
                <w:sz w:val="21"/>
                <w:szCs w:val="21"/>
                <w:highlight w:val="none"/>
                <w:u w:val="none"/>
              </w:rPr>
              <w:t>级或以上资质（</w:t>
            </w:r>
            <w:r>
              <w:rPr>
                <w:rFonts w:hint="eastAsia" w:ascii="宋体" w:hAnsi="宋体" w:eastAsia="宋体" w:cs="宋体"/>
                <w:bCs/>
                <w:color w:val="auto"/>
                <w:sz w:val="21"/>
                <w:szCs w:val="21"/>
                <w:highlight w:val="none"/>
                <w:u w:val="none"/>
                <w:lang w:val="en-US" w:eastAsia="zh-CN"/>
              </w:rPr>
              <w:t>或输变电工程专业承包三级或以上资质</w:t>
            </w:r>
            <w:r>
              <w:rPr>
                <w:rFonts w:hint="eastAsia" w:ascii="宋体" w:hAnsi="宋体" w:eastAsia="宋体" w:cs="宋体"/>
                <w:bCs/>
                <w:color w:val="auto"/>
                <w:sz w:val="21"/>
                <w:szCs w:val="21"/>
                <w:highlight w:val="none"/>
                <w:u w:val="none"/>
              </w:rPr>
              <w:t>）</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具有</w:t>
            </w:r>
            <w:r>
              <w:rPr>
                <w:rFonts w:hint="eastAsia" w:ascii="宋体" w:hAnsi="宋体" w:eastAsia="宋体" w:cs="宋体"/>
                <w:bCs/>
                <w:color w:val="auto"/>
                <w:sz w:val="21"/>
                <w:szCs w:val="21"/>
                <w:highlight w:val="none"/>
                <w:u w:val="none"/>
              </w:rPr>
              <w:t>《承装（修、试）电力设施许可证》承装类五级或以上资质并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r>
              <w:rPr>
                <w:rFonts w:hint="eastAsia" w:ascii="宋体" w:hAnsi="宋体" w:cs="宋体"/>
                <w:bCs/>
                <w:color w:val="auto"/>
                <w:sz w:val="21"/>
                <w:szCs w:val="21"/>
                <w:highlight w:val="none"/>
                <w:u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color w:val="auto"/>
                <w:highlight w:val="none"/>
                <w:u w:val="none"/>
              </w:rPr>
            </w:pPr>
            <w:r>
              <w:rPr>
                <w:rFonts w:hint="default" w:asciiTheme="minorHAnsi" w:hAnsiTheme="minorHAnsi" w:eastAsiaTheme="minorEastAsia" w:cstheme="minorBidi"/>
                <w:color w:val="auto"/>
                <w:sz w:val="21"/>
                <w:szCs w:val="24"/>
                <w:highlight w:val="none"/>
                <w:u w:val="none"/>
              </w:rPr>
              <w:t>投标</w:t>
            </w:r>
            <w:r>
              <w:rPr>
                <w:rFonts w:hint="default" w:asciiTheme="minorHAnsi" w:hAnsiTheme="minorHAnsi" w:eastAsiaTheme="minorEastAsia" w:cstheme="minorBidi"/>
                <w:color w:val="auto"/>
                <w:sz w:val="21"/>
                <w:szCs w:val="24"/>
                <w:highlight w:val="none"/>
                <w:u w:val="none"/>
                <w:lang w:eastAsia="zh-CN"/>
              </w:rPr>
              <w:t>人</w:t>
            </w:r>
            <w:r>
              <w:rPr>
                <w:rFonts w:hint="default" w:asciiTheme="minorHAnsi" w:hAnsiTheme="minorHAnsi" w:eastAsiaTheme="minorEastAsia" w:cstheme="minorBidi"/>
                <w:color w:val="auto"/>
                <w:sz w:val="21"/>
                <w:szCs w:val="24"/>
                <w:highlight w:val="none"/>
                <w:u w:val="none"/>
              </w:rPr>
              <w:t>委派的项目负责人</w:t>
            </w:r>
            <w:r>
              <w:rPr>
                <w:rFonts w:hint="default" w:asciiTheme="minorHAnsi" w:hAnsiTheme="minorHAnsi" w:eastAsiaTheme="minorEastAsia" w:cstheme="minorBidi"/>
                <w:color w:val="auto"/>
                <w:sz w:val="21"/>
                <w:szCs w:val="24"/>
                <w:highlight w:val="none"/>
                <w:u w:val="none"/>
                <w:lang w:eastAsia="zh-CN"/>
              </w:rPr>
              <w:t>为：</w:t>
            </w:r>
            <w:r>
              <w:rPr>
                <w:rFonts w:hint="eastAsia" w:cstheme="minorBidi"/>
                <w:color w:val="auto"/>
                <w:sz w:val="21"/>
                <w:szCs w:val="24"/>
                <w:highlight w:val="none"/>
                <w:u w:val="none"/>
                <w:lang w:val="en-US" w:eastAsia="zh-CN"/>
              </w:rPr>
              <w:t>机电工程专业二级（或以上）注册建造师</w:t>
            </w:r>
            <w:r>
              <w:rPr>
                <w:rFonts w:hint="default" w:asciiTheme="minorHAnsi" w:hAnsiTheme="minorHAnsi" w:eastAsiaTheme="minorEastAsia" w:cstheme="minorBidi"/>
                <w:color w:val="auto"/>
                <w:sz w:val="21"/>
                <w:szCs w:val="24"/>
                <w:highlight w:val="none"/>
                <w:u w:val="none"/>
                <w:lang w:eastAsia="zh-CN"/>
              </w:rPr>
              <w:t>。</w:t>
            </w:r>
            <w:r>
              <w:rPr>
                <w:rFonts w:hint="default" w:asciiTheme="minorHAnsi" w:hAnsiTheme="minorHAnsi" w:eastAsiaTheme="minorEastAsia" w:cstheme="minorBidi"/>
                <w:b w:val="0"/>
                <w:bCs w:val="0"/>
                <w:color w:val="auto"/>
                <w:sz w:val="21"/>
                <w:szCs w:val="24"/>
                <w:highlight w:val="none"/>
                <w:u w:val="none"/>
              </w:rPr>
              <w:t>项目负责人</w:t>
            </w:r>
            <w:r>
              <w:rPr>
                <w:rFonts w:hint="default" w:asciiTheme="minorHAnsi" w:hAnsiTheme="minorHAnsi" w:eastAsiaTheme="minorEastAsia" w:cstheme="minorBidi"/>
                <w:color w:val="auto"/>
                <w:sz w:val="21"/>
                <w:szCs w:val="24"/>
                <w:highlight w:val="none"/>
                <w:u w:val="none"/>
              </w:rPr>
              <w:t>持有安全培训考核合格证（B类）</w:t>
            </w:r>
            <w:r>
              <w:rPr>
                <w:rFonts w:hint="default" w:asciiTheme="minorHAnsi" w:hAnsiTheme="minorHAnsi" w:eastAsiaTheme="minorEastAsia" w:cstheme="minorBidi"/>
                <w:b w:val="0"/>
                <w:bCs w:val="0"/>
                <w:color w:val="auto"/>
                <w:sz w:val="21"/>
                <w:szCs w:val="24"/>
                <w:highlight w:val="none"/>
                <w:u w:val="none"/>
              </w:rPr>
              <w:t>。</w:t>
            </w:r>
          </w:p>
          <w:p>
            <w:pPr>
              <w:numPr>
                <w:ilvl w:val="-1"/>
                <w:numId w:val="0"/>
              </w:numPr>
              <w:spacing w:line="360" w:lineRule="auto"/>
              <w:ind w:firstLine="0"/>
              <w:rPr>
                <w:rFonts w:hint="default" w:asciiTheme="minorHAnsi" w:hAnsiTheme="minorHAnsi" w:eastAsiaTheme="minorEastAsia" w:cstheme="minorBidi"/>
                <w:color w:val="auto"/>
                <w:kern w:val="2"/>
                <w:sz w:val="21"/>
                <w:szCs w:val="24"/>
                <w:highlight w:val="none"/>
                <w:u w:val="none"/>
                <w:lang w:val="en-US" w:eastAsia="zh-CN" w:bidi="ar-SA"/>
              </w:rPr>
            </w:pPr>
            <w:r>
              <w:rPr>
                <w:rFonts w:hint="eastAsia" w:cstheme="minorBidi"/>
                <w:b w:val="0"/>
                <w:bCs w:val="0"/>
                <w:color w:val="auto"/>
                <w:sz w:val="21"/>
                <w:szCs w:val="24"/>
                <w:highlight w:val="none"/>
                <w:u w:val="none"/>
                <w:lang w:val="en-US" w:eastAsia="zh-CN"/>
              </w:rPr>
              <w:t>2、</w:t>
            </w:r>
            <w:r>
              <w:rPr>
                <w:rFonts w:hint="default" w:asciiTheme="minorHAnsi" w:hAnsiTheme="minorHAnsi" w:eastAsiaTheme="minorEastAsia" w:cstheme="minorBidi"/>
                <w:b w:val="0"/>
                <w:bCs w:val="0"/>
                <w:color w:val="auto"/>
                <w:sz w:val="21"/>
                <w:szCs w:val="24"/>
                <w:highlight w:val="none"/>
                <w:u w:val="none"/>
              </w:rPr>
              <w:t>专职安全员须具有</w:t>
            </w:r>
            <w:r>
              <w:rPr>
                <w:rFonts w:hint="default" w:asciiTheme="minorHAnsi" w:hAnsiTheme="minorHAnsi" w:eastAsiaTheme="minorEastAsia" w:cstheme="minorBidi"/>
                <w:color w:val="auto"/>
                <w:sz w:val="21"/>
                <w:szCs w:val="24"/>
                <w:highlight w:val="none"/>
                <w:u w:val="none"/>
              </w:rPr>
              <w:t>安全生产考核合格证（C类）</w:t>
            </w:r>
            <w:r>
              <w:rPr>
                <w:rFonts w:hint="default" w:asciiTheme="minorHAnsi" w:hAnsiTheme="minorHAnsi" w:eastAsiaTheme="minorEastAsia" w:cstheme="minorBidi"/>
                <w:color w:val="auto"/>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color w:val="auto"/>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3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0"/>
              <w:widowControl/>
              <w:spacing w:line="360" w:lineRule="auto"/>
              <w:ind w:firstLine="42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招标控制价为</w:t>
            </w:r>
            <w:r>
              <w:rPr>
                <w:rFonts w:hint="eastAsia" w:ascii="宋体" w:hAnsi="宋体" w:eastAsia="宋体" w:cs="宋体"/>
                <w:bCs/>
                <w:color w:val="auto"/>
                <w:highlight w:val="none"/>
                <w:lang w:val="en-US" w:eastAsia="zh-CN"/>
              </w:rPr>
              <w:t>¥822,962.60</w:t>
            </w:r>
            <w:r>
              <w:rPr>
                <w:rFonts w:hint="eastAsia" w:ascii="宋体" w:hAnsi="宋体" w:eastAsia="宋体" w:cs="宋体"/>
                <w:bCs/>
                <w:color w:val="auto"/>
                <w:highlight w:val="none"/>
              </w:rPr>
              <w:t>元</w:t>
            </w:r>
            <w:r>
              <w:rPr>
                <w:rFonts w:hint="eastAsia" w:ascii="宋体" w:hAnsi="宋体" w:eastAsia="宋体" w:cs="宋体"/>
                <w:bCs/>
                <w:color w:val="auto"/>
                <w:highlight w:val="none"/>
                <w:lang w:eastAsia="zh-CN"/>
              </w:rPr>
              <w:t>（大写：人民币</w:t>
            </w:r>
            <w:r>
              <w:rPr>
                <w:rFonts w:hint="eastAsia" w:ascii="宋体" w:hAnsi="宋体" w:eastAsia="宋体" w:cs="宋体"/>
                <w:bCs/>
                <w:color w:val="auto"/>
                <w:highlight w:val="none"/>
                <w:lang w:val="en-US" w:eastAsia="zh-CN"/>
              </w:rPr>
              <w:t>捌拾贰万贰仟玖佰陆拾贰元陆角</w:t>
            </w:r>
            <w:r>
              <w:rPr>
                <w:rFonts w:hint="eastAsia" w:ascii="宋体" w:hAnsi="宋体" w:eastAsia="宋体" w:cs="宋体"/>
                <w:bCs/>
                <w:color w:val="auto"/>
                <w:highlight w:val="none"/>
                <w:lang w:eastAsia="zh-CN"/>
              </w:rPr>
              <w:t>），其中，绿色施工安全防护措施费为</w:t>
            </w:r>
            <w:r>
              <w:rPr>
                <w:rFonts w:hint="eastAsia" w:ascii="宋体" w:hAnsi="宋体" w:eastAsia="宋体" w:cs="宋体"/>
                <w:bCs/>
                <w:color w:val="auto"/>
                <w:highlight w:val="none"/>
                <w:lang w:val="en-US" w:eastAsia="zh-CN"/>
              </w:rPr>
              <w:t>¥</w:t>
            </w:r>
            <w:r>
              <w:rPr>
                <w:rFonts w:hint="eastAsia" w:ascii="宋体" w:hAnsi="宋体" w:eastAsia="宋体" w:cs="宋体"/>
                <w:bCs/>
                <w:color w:val="auto"/>
                <w:kern w:val="2"/>
                <w:position w:val="0"/>
                <w:sz w:val="21"/>
                <w:szCs w:val="21"/>
                <w:highlight w:val="none"/>
                <w:lang w:val="en-US" w:eastAsia="zh-CN"/>
              </w:rPr>
              <w:t xml:space="preserve">15,156.97 </w:t>
            </w:r>
            <w:r>
              <w:rPr>
                <w:rFonts w:hint="eastAsia" w:ascii="宋体" w:hAnsi="宋体" w:eastAsia="宋体" w:cs="宋体"/>
                <w:bCs/>
                <w:color w:val="auto"/>
                <w:highlight w:val="none"/>
                <w:lang w:val="en-US" w:eastAsia="zh-CN"/>
              </w:rPr>
              <w:t>元（固定值）</w:t>
            </w:r>
            <w:r>
              <w:rPr>
                <w:rFonts w:hint="eastAsia" w:hAnsi="宋体" w:cs="宋体"/>
                <w:bCs/>
                <w:color w:val="auto"/>
                <w:highlight w:val="none"/>
                <w:lang w:val="en-US" w:eastAsia="zh-CN"/>
              </w:rPr>
              <w:t>，暂列金额35,059.72 元</w:t>
            </w:r>
            <w:r>
              <w:rPr>
                <w:rFonts w:hint="eastAsia" w:ascii="宋体" w:hAnsi="宋体" w:eastAsia="宋体" w:cs="宋体"/>
                <w:bCs/>
                <w:color w:val="auto"/>
                <w:highlight w:val="none"/>
                <w:lang w:eastAsia="zh-CN"/>
              </w:rPr>
              <w:t>。</w:t>
            </w:r>
          </w:p>
          <w:p>
            <w:pPr>
              <w:pStyle w:val="10"/>
              <w:widowControl/>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bCs/>
                <w:color w:val="auto"/>
                <w:highlight w:val="none"/>
                <w:lang w:val="en-US" w:eastAsia="zh-CN"/>
              </w:rPr>
              <w:t>投标单位自行报价，投标总报价不能超过招标控制价，否则按无效投标处理。（小数点后保留二位小数，第三位小数四舍五入）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326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color w:val="auto"/>
                <w:highlight w:val="none"/>
              </w:rPr>
            </w:pPr>
            <w:r>
              <w:rPr>
                <w:rFonts w:hint="eastAsia"/>
                <w:color w:val="auto"/>
                <w:highlight w:val="none"/>
              </w:rPr>
              <w:t>1、金额：人民币</w:t>
            </w:r>
            <w:r>
              <w:rPr>
                <w:rFonts w:hint="eastAsia"/>
                <w:color w:val="auto"/>
                <w:highlight w:val="none"/>
                <w:lang w:val="en-US" w:eastAsia="zh-CN"/>
              </w:rPr>
              <w:t>伍仟</w:t>
            </w:r>
            <w:r>
              <w:rPr>
                <w:rFonts w:hint="eastAsia"/>
                <w:color w:val="auto"/>
                <w:highlight w:val="none"/>
              </w:rPr>
              <w:t>元。</w:t>
            </w:r>
          </w:p>
          <w:p>
            <w:pPr>
              <w:numPr>
                <w:ilvl w:val="-1"/>
                <w:numId w:val="0"/>
              </w:numPr>
              <w:adjustRightInd w:val="0"/>
              <w:snapToGrid w:val="0"/>
              <w:spacing w:line="360" w:lineRule="auto"/>
              <w:rPr>
                <w:rFonts w:hint="eastAsia"/>
                <w:color w:val="auto"/>
                <w:highlight w:val="none"/>
                <w:lang w:eastAsia="zh-CN"/>
              </w:rPr>
            </w:pPr>
            <w:r>
              <w:rPr>
                <w:rFonts w:hint="eastAsia"/>
                <w:color w:val="auto"/>
                <w:highlight w:val="none"/>
              </w:rPr>
              <w:t>2、缴纳方式：</w:t>
            </w:r>
            <w:r>
              <w:rPr>
                <w:rFonts w:hint="eastAsia"/>
                <w:color w:val="auto"/>
                <w:highlight w:val="none"/>
                <w:lang w:eastAsia="zh-CN"/>
              </w:rPr>
              <w:t>银行转账。</w:t>
            </w:r>
          </w:p>
          <w:p>
            <w:pPr>
              <w:numPr>
                <w:ilvl w:val="0"/>
                <w:numId w:val="2"/>
              </w:numPr>
              <w:adjustRightInd w:val="0"/>
              <w:snapToGrid w:val="0"/>
              <w:spacing w:line="360" w:lineRule="auto"/>
              <w:rPr>
                <w:rFonts w:hint="eastAsia"/>
                <w:color w:val="auto"/>
                <w:highlight w:val="none"/>
                <w:lang w:eastAsia="zh-CN"/>
              </w:rPr>
            </w:pPr>
            <w:r>
              <w:rPr>
                <w:rFonts w:hint="eastAsia"/>
                <w:color w:val="auto"/>
                <w:highlight w:val="none"/>
              </w:rPr>
              <w:t>账户名称：广州南沙</w:t>
            </w:r>
            <w:r>
              <w:rPr>
                <w:rFonts w:hint="eastAsia"/>
                <w:color w:val="auto"/>
                <w:highlight w:val="none"/>
                <w:lang w:val="en-US" w:eastAsia="zh-CN"/>
              </w:rPr>
              <w:t>旅游发展</w:t>
            </w:r>
            <w:r>
              <w:rPr>
                <w:rFonts w:hint="eastAsia"/>
                <w:color w:val="auto"/>
                <w:highlight w:val="none"/>
              </w:rPr>
              <w:t>有限公司</w:t>
            </w:r>
          </w:p>
          <w:p>
            <w:pPr>
              <w:numPr>
                <w:ilvl w:val="0"/>
                <w:numId w:val="2"/>
              </w:numPr>
              <w:adjustRightInd w:val="0"/>
              <w:snapToGrid w:val="0"/>
              <w:spacing w:line="360" w:lineRule="auto"/>
              <w:rPr>
                <w:rFonts w:hint="eastAsia"/>
                <w:color w:val="auto"/>
                <w:highlight w:val="none"/>
              </w:rPr>
            </w:pPr>
            <w:r>
              <w:rPr>
                <w:rFonts w:hint="eastAsia"/>
                <w:color w:val="auto"/>
                <w:highlight w:val="none"/>
              </w:rPr>
              <w:t>开户银行：中国银行广州南沙科技园区支行</w:t>
            </w:r>
          </w:p>
          <w:p>
            <w:pPr>
              <w:numPr>
                <w:ilvl w:val="0"/>
                <w:numId w:val="2"/>
              </w:numPr>
              <w:adjustRightInd w:val="0"/>
              <w:snapToGrid w:val="0"/>
              <w:spacing w:line="360" w:lineRule="auto"/>
              <w:rPr>
                <w:rFonts w:hint="eastAsia"/>
                <w:color w:val="auto"/>
                <w:highlight w:val="none"/>
                <w:lang w:val="en-US" w:eastAsia="zh-CN"/>
              </w:rPr>
            </w:pPr>
            <w:r>
              <w:rPr>
                <w:rFonts w:hint="eastAsia"/>
                <w:color w:val="auto"/>
                <w:highlight w:val="none"/>
              </w:rPr>
              <w:t>账号：644457756045</w:t>
            </w:r>
          </w:p>
          <w:p>
            <w:pPr>
              <w:numPr>
                <w:ilvl w:val="0"/>
                <w:numId w:val="2"/>
              </w:numPr>
              <w:adjustRightInd w:val="0"/>
              <w:snapToGrid w:val="0"/>
              <w:spacing w:line="360" w:lineRule="auto"/>
              <w:rPr>
                <w:rFonts w:hint="eastAsia"/>
                <w:color w:val="auto"/>
                <w:highlight w:val="none"/>
                <w:lang w:val="en-US" w:eastAsia="zh-CN"/>
              </w:rPr>
            </w:pPr>
            <w:r>
              <w:rPr>
                <w:rFonts w:hint="eastAsia"/>
                <w:color w:val="auto"/>
                <w:highlight w:val="none"/>
              </w:rPr>
              <w:t>缴纳时间：投标单位须在202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10月17</w:t>
            </w:r>
            <w:r>
              <w:rPr>
                <w:rFonts w:hint="eastAsia"/>
                <w:color w:val="auto"/>
                <w:highlight w:val="none"/>
              </w:rPr>
              <w:t>日</w:t>
            </w:r>
            <w:r>
              <w:rPr>
                <w:rFonts w:hint="eastAsia"/>
                <w:color w:val="auto"/>
                <w:highlight w:val="none"/>
                <w:lang w:eastAsia="zh-CN"/>
              </w:rPr>
              <w:t>（星期</w:t>
            </w:r>
            <w:r>
              <w:rPr>
                <w:rFonts w:hint="eastAsia"/>
                <w:color w:val="auto"/>
                <w:highlight w:val="none"/>
                <w:lang w:val="en-US" w:eastAsia="zh-CN"/>
              </w:rPr>
              <w:t>四</w:t>
            </w:r>
            <w:r>
              <w:rPr>
                <w:rFonts w:hint="eastAsia"/>
                <w:color w:val="auto"/>
                <w:highlight w:val="none"/>
                <w:lang w:eastAsia="zh-CN"/>
              </w:rPr>
              <w:t>）</w:t>
            </w:r>
            <w:r>
              <w:rPr>
                <w:rFonts w:hint="eastAsia"/>
                <w:color w:val="auto"/>
                <w:highlight w:val="none"/>
                <w:lang w:val="en-US" w:eastAsia="zh-CN"/>
              </w:rPr>
              <w:t>12</w:t>
            </w:r>
            <w:r>
              <w:rPr>
                <w:rFonts w:hint="eastAsia"/>
                <w:color w:val="auto"/>
                <w:highlight w:val="none"/>
              </w:rPr>
              <w:t>时</w:t>
            </w:r>
            <w:r>
              <w:rPr>
                <w:rFonts w:hint="eastAsia"/>
                <w:color w:val="auto"/>
                <w:highlight w:val="none"/>
                <w:lang w:val="en-US" w:eastAsia="zh-CN"/>
              </w:rPr>
              <w:t>00</w:t>
            </w:r>
            <w:r>
              <w:rPr>
                <w:rFonts w:hint="eastAsia"/>
                <w:color w:val="auto"/>
                <w:highlight w:val="none"/>
              </w:rPr>
              <w:t>分</w:t>
            </w:r>
            <w:r>
              <w:rPr>
                <w:rFonts w:hint="eastAsia"/>
                <w:color w:val="auto"/>
                <w:highlight w:val="none"/>
                <w:lang w:eastAsia="zh-CN"/>
              </w:rPr>
              <w:t>前</w:t>
            </w:r>
            <w:r>
              <w:rPr>
                <w:rFonts w:hint="eastAsia"/>
                <w:color w:val="auto"/>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南沙滨海音乐节地块临电箱变工程</w:t>
            </w:r>
            <w:r>
              <w:rPr>
                <w:rFonts w:hint="eastAsia"/>
                <w:color w:val="auto"/>
                <w:highlight w:val="none"/>
              </w:rPr>
              <w:t>投标保证金】</w:t>
            </w:r>
          </w:p>
          <w:p>
            <w:pPr>
              <w:pStyle w:val="10"/>
              <w:numPr>
                <w:ilvl w:val="-1"/>
                <w:numId w:val="0"/>
              </w:numPr>
              <w:spacing w:line="360" w:lineRule="auto"/>
              <w:rPr>
                <w:rFonts w:hint="eastAsia"/>
                <w:color w:val="auto"/>
                <w:highlight w:val="none"/>
                <w:lang w:val="en-US" w:eastAsia="zh-CN"/>
              </w:rPr>
            </w:pP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10"/>
        <w:rPr>
          <w:rFonts w:hint="eastAsia" w:ascii="宋体" w:hAnsi="宋体" w:eastAsia="宋体" w:cs="宋体"/>
          <w:b/>
          <w:color w:val="auto"/>
          <w:sz w:val="36"/>
          <w:szCs w:val="36"/>
          <w:highlight w:val="none"/>
        </w:rPr>
      </w:pPr>
    </w:p>
    <w:p>
      <w:pPr>
        <w:pStyle w:val="10"/>
        <w:rPr>
          <w:rFonts w:hint="eastAsia" w:ascii="宋体" w:hAnsi="宋体" w:eastAsia="宋体" w:cs="宋体"/>
          <w:b/>
          <w:color w:val="auto"/>
          <w:sz w:val="36"/>
          <w:szCs w:val="36"/>
          <w:highlight w:val="none"/>
        </w:rPr>
      </w:pPr>
    </w:p>
    <w:p>
      <w:pPr>
        <w:rPr>
          <w:rFonts w:hint="eastAsia"/>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color w:val="auto"/>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color w:val="auto"/>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 xml:space="preserve">11.15施工组织方案。 </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22411"/>
      <w:bookmarkStart w:id="14" w:name="_Toc28921"/>
      <w:bookmarkStart w:id="15" w:name="_Toc8409"/>
      <w:bookmarkStart w:id="16" w:name="_Toc28984"/>
      <w:bookmarkStart w:id="17" w:name="_Toc7252"/>
      <w:bookmarkStart w:id="18" w:name="_Toc10474"/>
      <w:bookmarkStart w:id="19" w:name="_Toc8457"/>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8"/>
        <w:spacing w:line="560" w:lineRule="exact"/>
        <w:rPr>
          <w:rFonts w:hint="eastAsia" w:ascii="宋体" w:hAnsi="宋体" w:eastAsia="宋体" w:cs="Times New Roman"/>
          <w:b/>
          <w:color w:val="auto"/>
          <w:kern w:val="0"/>
          <w:sz w:val="28"/>
          <w:szCs w:val="20"/>
          <w:highlight w:val="none"/>
          <w:u w:val="none"/>
          <w:lang w:val="en-US" w:eastAsia="zh-CN"/>
        </w:rPr>
      </w:pPr>
      <w:bookmarkStart w:id="20" w:name="_Toc23673"/>
      <w:r>
        <w:rPr>
          <w:rFonts w:hint="eastAsia" w:ascii="宋体" w:hAnsi="宋体" w:eastAsia="宋体" w:cs="Times New Roman"/>
          <w:b/>
          <w:color w:val="auto"/>
          <w:kern w:val="0"/>
          <w:sz w:val="28"/>
          <w:szCs w:val="20"/>
          <w:highlight w:val="none"/>
          <w:u w:val="none"/>
        </w:rPr>
        <w:t>一、项目</w:t>
      </w:r>
      <w:r>
        <w:rPr>
          <w:rFonts w:hint="eastAsia" w:ascii="宋体" w:hAnsi="宋体" w:eastAsia="宋体" w:cs="Times New Roman"/>
          <w:b/>
          <w:color w:val="auto"/>
          <w:kern w:val="0"/>
          <w:sz w:val="28"/>
          <w:szCs w:val="20"/>
          <w:highlight w:val="none"/>
          <w:u w:val="none"/>
          <w:lang w:val="en-US" w:eastAsia="zh-CN"/>
        </w:rPr>
        <w:t>概况</w:t>
      </w:r>
      <w:bookmarkEnd w:id="20"/>
    </w:p>
    <w:p>
      <w:pPr>
        <w:pStyle w:val="5"/>
        <w:spacing w:line="560" w:lineRule="exact"/>
        <w:ind w:firstLine="560" w:firstLineChars="200"/>
        <w:rPr>
          <w:rFonts w:hint="eastAsia" w:ascii="宋体" w:hAnsi="宋体" w:eastAsia="宋体" w:cs="宋体"/>
          <w:b w:val="0"/>
          <w:bCs w:val="0"/>
          <w:snapToGrid/>
          <w:color w:val="auto"/>
          <w:kern w:val="2"/>
          <w:sz w:val="28"/>
          <w:szCs w:val="28"/>
          <w:highlight w:val="none"/>
          <w:u w:val="none"/>
          <w:lang w:val="en-US" w:eastAsia="zh-CN" w:bidi="ar-SA"/>
        </w:rPr>
      </w:pPr>
      <w:r>
        <w:rPr>
          <w:rFonts w:hint="eastAsia" w:ascii="宋体" w:hAnsi="宋体" w:eastAsia="宋体" w:cs="宋体"/>
          <w:b w:val="0"/>
          <w:bCs w:val="0"/>
          <w:snapToGrid/>
          <w:color w:val="auto"/>
          <w:kern w:val="2"/>
          <w:sz w:val="28"/>
          <w:szCs w:val="28"/>
          <w:highlight w:val="none"/>
          <w:u w:val="none"/>
          <w:lang w:val="en-US" w:eastAsia="zh-CN" w:bidi="ar-SA"/>
        </w:rPr>
        <w:t>本项目地块地处广州市南沙区南沙湾片区，位于南沙滨海公园西门、南沙资讯科技园对面，东临漾滨路、南临科院路、北临环市大道、西临海滨路，本次拟开发利用面积14.3万平方米，作为音乐节配套项目用地。项目总投资为638万元，其中外电报装费用99万元。</w:t>
      </w:r>
    </w:p>
    <w:p>
      <w:pPr>
        <w:pStyle w:val="5"/>
        <w:spacing w:line="560" w:lineRule="exact"/>
        <w:ind w:firstLine="0" w:firstLineChars="0"/>
        <w:rPr>
          <w:rFonts w:hint="eastAsia" w:ascii="宋体" w:hAnsi="宋体" w:eastAsia="宋体" w:cs="宋体"/>
          <w:b/>
          <w:color w:val="auto"/>
          <w:kern w:val="0"/>
          <w:sz w:val="28"/>
          <w:szCs w:val="20"/>
          <w:highlight w:val="none"/>
        </w:rPr>
      </w:pPr>
      <w:r>
        <w:rPr>
          <w:rFonts w:hint="eastAsia" w:ascii="宋体" w:hAnsi="宋体" w:eastAsia="宋体" w:cs="宋体"/>
          <w:b/>
          <w:color w:val="auto"/>
          <w:kern w:val="0"/>
          <w:sz w:val="28"/>
          <w:szCs w:val="20"/>
          <w:highlight w:val="none"/>
          <w:lang w:eastAsia="zh-CN"/>
        </w:rPr>
        <w:t>二、招标范围</w:t>
      </w:r>
    </w:p>
    <w:p>
      <w:pPr>
        <w:spacing w:line="560" w:lineRule="exact"/>
        <w:ind w:firstLine="560" w:firstLineChars="200"/>
        <w:rPr>
          <w:rFonts w:hint="eastAsia" w:ascii="宋体" w:hAnsi="宋体" w:eastAsia="宋体" w:cs="宋体"/>
          <w:b w:val="0"/>
          <w:color w:val="auto"/>
          <w:kern w:val="2"/>
          <w:sz w:val="28"/>
          <w:szCs w:val="28"/>
          <w:highlight w:val="none"/>
          <w:u w:val="none"/>
        </w:rPr>
      </w:pPr>
      <w:r>
        <w:rPr>
          <w:rFonts w:hint="eastAsia" w:ascii="宋体" w:hAnsi="宋体" w:eastAsia="宋体" w:cs="宋体"/>
          <w:color w:val="auto"/>
          <w:sz w:val="28"/>
          <w:szCs w:val="28"/>
          <w:highlight w:val="none"/>
          <w:u w:val="none"/>
        </w:rPr>
        <w:t>项目建设内容包括但不限于：10kV箱变1台；10kV全绝缘全封闭开关柜1套；防雷保护及接地及其他相关内容等，具体以实际施工图纸、工程量清单为准。投标人需按招标文件、图纸规范等要求进行施工，如设计图纸有调整时，必须服从要求调整。</w:t>
      </w:r>
      <w:r>
        <w:rPr>
          <w:rFonts w:hint="eastAsia" w:ascii="宋体" w:hAnsi="宋体" w:eastAsia="宋体" w:cs="宋体"/>
          <w:b w:val="0"/>
          <w:color w:val="auto"/>
          <w:kern w:val="2"/>
          <w:sz w:val="28"/>
          <w:szCs w:val="28"/>
          <w:highlight w:val="none"/>
          <w:u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10090"/>
      <w:bookmarkStart w:id="22" w:name="_Toc5931"/>
      <w:bookmarkStart w:id="23" w:name="_Toc19076"/>
      <w:bookmarkStart w:id="24" w:name="_Toc27735"/>
      <w:bookmarkStart w:id="25" w:name="_Toc2908"/>
      <w:bookmarkStart w:id="26" w:name="_Toc2266"/>
      <w:bookmarkStart w:id="27" w:name="_Toc28153"/>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南沙滨海音乐节地块临电箱变工程</w:t>
      </w:r>
      <w:r>
        <w:rPr>
          <w:rFonts w:hint="eastAsia" w:ascii="宋体" w:hAnsi="宋体" w:eastAsia="宋体" w:cs="宋体"/>
          <w:b w:val="0"/>
          <w:bCs w:val="0"/>
          <w:color w:val="auto"/>
          <w:sz w:val="24"/>
          <w:szCs w:val="24"/>
          <w:highlight w:val="none"/>
          <w:u w:val="non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南沙滨海音乐节地块临电箱变工程</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31"/>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31"/>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31"/>
        <w:widowControl/>
        <w:ind w:firstLine="618"/>
        <w:rPr>
          <w:b/>
          <w:color w:val="auto"/>
          <w:sz w:val="30"/>
          <w:szCs w:val="30"/>
          <w:highlight w:val="none"/>
        </w:rPr>
      </w:pPr>
      <w:r>
        <w:rPr>
          <w:b/>
          <w:color w:val="auto"/>
          <w:sz w:val="30"/>
          <w:szCs w:val="30"/>
          <w:highlight w:val="none"/>
        </w:rPr>
        <w:t xml:space="preserve"> </w:t>
      </w:r>
    </w:p>
    <w:p>
      <w:pPr>
        <w:pStyle w:val="3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31"/>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南沙滨海音乐节地块临电箱变工程</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9"/>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415833504"/>
      <w:bookmarkEnd w:id="34"/>
      <w:bookmarkStart w:id="35" w:name="_Toc199647676"/>
      <w:bookmarkEnd w:id="35"/>
      <w:bookmarkStart w:id="36" w:name="_Toc197235849"/>
      <w:bookmarkEnd w:id="36"/>
      <w:bookmarkStart w:id="37" w:name="_Toc196130111"/>
      <w:bookmarkEnd w:id="37"/>
      <w:bookmarkStart w:id="38" w:name="_Toc415728298"/>
      <w:bookmarkEnd w:id="38"/>
      <w:bookmarkStart w:id="39" w:name="_Toc196036942"/>
      <w:bookmarkEnd w:id="39"/>
      <w:bookmarkStart w:id="40" w:name="_Toc459403395"/>
      <w:bookmarkEnd w:id="40"/>
      <w:bookmarkStart w:id="41" w:name="_Toc196037098"/>
      <w:bookmarkEnd w:id="41"/>
      <w:bookmarkStart w:id="42" w:name="_Toc196130014"/>
      <w:bookmarkEnd w:id="42"/>
      <w:bookmarkStart w:id="43" w:name="_Toc326909214"/>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3、业绩证明资料须提供：合同；相关证明资料中必须能反映出评标所需指标、人员姓名和岗位等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color w:val="auto"/>
          <w:kern w:val="2"/>
          <w:sz w:val="28"/>
          <w:szCs w:val="28"/>
          <w:highlight w:val="none"/>
          <w:lang w:val="en-US" w:eastAsia="zh-CN" w:bidi="ar-SA"/>
        </w:rPr>
      </w:pPr>
      <w:bookmarkStart w:id="45" w:name="_Toc196036943"/>
      <w:bookmarkEnd w:id="45"/>
      <w:bookmarkStart w:id="46" w:name="_Toc41822705"/>
      <w:bookmarkEnd w:id="46"/>
      <w:bookmarkStart w:id="47" w:name="_Toc196130112"/>
      <w:bookmarkEnd w:id="47"/>
      <w:bookmarkStart w:id="48" w:name="_Toc197235850"/>
      <w:bookmarkEnd w:id="48"/>
      <w:bookmarkStart w:id="49" w:name="_Toc196130015"/>
      <w:bookmarkEnd w:id="49"/>
      <w:bookmarkStart w:id="50" w:name="_Toc196037099"/>
      <w:bookmarkEnd w:id="50"/>
      <w:bookmarkStart w:id="51" w:name="_Toc199647677"/>
      <w:bookmarkEnd w:id="51"/>
      <w:r>
        <w:rPr>
          <w:rFonts w:hint="eastAsia" w:ascii="宋体" w:hAnsi="宋体" w:eastAsia="宋体" w:cs="Times New Roman"/>
          <w:b/>
          <w:bCs/>
          <w:color w:val="auto"/>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color w:val="auto"/>
          <w:kern w:val="2"/>
          <w:sz w:val="24"/>
          <w:highlight w:val="none"/>
          <w:u w:val="none"/>
          <w:lang w:val="en-US" w:eastAsia="zh-CN" w:bidi="ar-SA"/>
        </w:rPr>
      </w:pPr>
      <w:r>
        <w:rPr>
          <w:rFonts w:hint="eastAsia" w:ascii="宋体" w:hAnsi="宋体" w:eastAsia="宋体" w:cs="Times New Roman"/>
          <w:b/>
          <w:bCs/>
          <w:color w:val="auto"/>
          <w:kern w:val="2"/>
          <w:sz w:val="24"/>
          <w:highlight w:val="none"/>
          <w:u w:val="none"/>
          <w:lang w:val="en-US" w:eastAsia="zh-CN" w:bidi="ar-SA"/>
        </w:rPr>
        <w:t xml:space="preserve">项目名称：                  </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color w:val="auto"/>
                <w:kern w:val="2"/>
                <w:sz w:val="24"/>
                <w:szCs w:val="20"/>
                <w:highlight w:val="none"/>
                <w:lang w:eastAsia="zh-CN"/>
              </w:rPr>
            </w:pPr>
            <w:r>
              <w:rPr>
                <w:rFonts w:hint="eastAsia" w:ascii="宋体" w:hAnsi="宋体" w:eastAsia="宋体" w:cs="Times New Roman"/>
                <w:color w:val="auto"/>
                <w:kern w:val="0"/>
                <w:sz w:val="24"/>
                <w:szCs w:val="20"/>
                <w:highlight w:val="none"/>
              </w:rPr>
              <w:t>合同总价</w:t>
            </w:r>
            <w:r>
              <w:rPr>
                <w:rFonts w:hint="eastAsia" w:ascii="宋体" w:hAnsi="宋体" w:eastAsia="宋体" w:cs="Times New Roman"/>
                <w:color w:val="auto"/>
                <w:kern w:val="0"/>
                <w:sz w:val="24"/>
                <w:szCs w:val="20"/>
                <w:highlight w:val="none"/>
                <w:lang w:eastAsia="zh-CN"/>
              </w:rPr>
              <w:t>（</w:t>
            </w:r>
            <w:r>
              <w:rPr>
                <w:rFonts w:hint="eastAsia" w:ascii="宋体" w:hAnsi="宋体" w:eastAsia="宋体" w:cs="Times New Roman"/>
                <w:color w:val="auto"/>
                <w:kern w:val="0"/>
                <w:sz w:val="24"/>
                <w:szCs w:val="20"/>
                <w:highlight w:val="none"/>
                <w:lang w:val="en-US" w:eastAsia="zh-CN"/>
              </w:rPr>
              <w:t>万元</w:t>
            </w:r>
            <w:r>
              <w:rPr>
                <w:rFonts w:hint="eastAsia" w:ascii="宋体" w:hAnsi="宋体" w:eastAsia="宋体" w:cs="Times New Roman"/>
                <w:color w:val="auto"/>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color w:val="auto"/>
                <w:kern w:val="2"/>
                <w:sz w:val="24"/>
                <w:szCs w:val="20"/>
                <w:highlight w:val="none"/>
                <w:lang w:val="en-US"/>
              </w:rPr>
            </w:pPr>
            <w:r>
              <w:rPr>
                <w:rFonts w:hint="eastAsia" w:ascii="宋体" w:hAnsi="宋体" w:eastAsia="宋体" w:cs="Times New Roman"/>
                <w:color w:val="auto"/>
                <w:kern w:val="0"/>
                <w:sz w:val="24"/>
                <w:szCs w:val="20"/>
                <w:highlight w:val="none"/>
                <w:lang w:val="en-US" w:eastAsia="zh-CN"/>
              </w:rPr>
              <w:t>竣工</w:t>
            </w:r>
            <w:r>
              <w:rPr>
                <w:rFonts w:hint="eastAsia" w:ascii="宋体" w:hAnsi="宋体" w:eastAsia="宋体" w:cs="Times New Roman"/>
                <w:color w:val="auto"/>
                <w:kern w:val="0"/>
                <w:sz w:val="24"/>
                <w:szCs w:val="20"/>
                <w:highlight w:val="none"/>
              </w:rPr>
              <w:t>时间</w:t>
            </w:r>
          </w:p>
        </w:tc>
        <w:tc>
          <w:tcPr>
            <w:tcW w:w="1708" w:type="dxa"/>
            <w:noWrap w:val="0"/>
            <w:vAlign w:val="center"/>
          </w:tcPr>
          <w:p>
            <w:pPr>
              <w:jc w:val="left"/>
              <w:rPr>
                <w:rFonts w:hint="default" w:ascii="宋体" w:hAnsi="宋体" w:eastAsia="宋体" w:cs="Times New Roman"/>
                <w:color w:val="auto"/>
                <w:kern w:val="0"/>
                <w:sz w:val="24"/>
                <w:szCs w:val="20"/>
                <w:highlight w:val="none"/>
                <w:lang w:val="en-US"/>
              </w:rPr>
            </w:pPr>
            <w:r>
              <w:rPr>
                <w:rFonts w:hint="default" w:ascii="宋体" w:hAnsi="宋体" w:eastAsia="宋体" w:cs="Times New Roman"/>
                <w:color w:val="auto"/>
                <w:kern w:val="0"/>
                <w:sz w:val="24"/>
                <w:szCs w:val="20"/>
                <w:highlight w:val="none"/>
                <w:lang w:val="en-US"/>
              </w:rPr>
              <w:t>业主单位、</w:t>
            </w:r>
          </w:p>
          <w:p>
            <w:pPr>
              <w:jc w:val="left"/>
              <w:rPr>
                <w:rFonts w:hint="default" w:ascii="宋体" w:hAnsi="宋体" w:eastAsia="宋体" w:cs="Times New Roman"/>
                <w:bCs/>
                <w:color w:val="auto"/>
                <w:kern w:val="2"/>
                <w:sz w:val="24"/>
                <w:szCs w:val="20"/>
                <w:highlight w:val="none"/>
                <w:lang w:val="en-US" w:eastAsia="zh-CN"/>
              </w:rPr>
            </w:pPr>
            <w:r>
              <w:rPr>
                <w:rFonts w:hint="default" w:ascii="宋体" w:hAnsi="宋体" w:eastAsia="宋体" w:cs="Times New Roman"/>
                <w:color w:val="auto"/>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bl>
    <w:p>
      <w:pPr>
        <w:spacing w:line="360" w:lineRule="auto"/>
        <w:rPr>
          <w:rFonts w:ascii="宋体" w:hAnsi="宋体" w:eastAsia="宋体" w:cs="Times New Roman"/>
          <w:color w:val="auto"/>
          <w:kern w:val="2"/>
          <w:sz w:val="24"/>
          <w:szCs w:val="20"/>
          <w:highlight w:val="none"/>
        </w:rPr>
      </w:pP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投标人全称（盖公章）：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法定代表人或投标授权代表（签字或签章）：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color w:val="auto"/>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color w:val="auto"/>
          <w:kern w:val="2"/>
          <w:sz w:val="21"/>
          <w:szCs w:val="20"/>
          <w:highlight w:val="none"/>
          <w:lang w:val="en-US" w:eastAsia="zh-CN"/>
        </w:rPr>
      </w:pPr>
      <w:r>
        <w:rPr>
          <w:rFonts w:hint="eastAsia" w:ascii="Calibri" w:hAnsi="Calibri" w:eastAsia="宋体" w:cs="Times New Roman"/>
          <w:b/>
          <w:bCs/>
          <w:color w:val="auto"/>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color w:val="auto"/>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b w:val="0"/>
                <w:bCs/>
                <w:color w:val="auto"/>
                <w:sz w:val="21"/>
                <w:szCs w:val="21"/>
                <w:highlight w:val="none"/>
                <w:u w:val="none"/>
                <w:lang w:val="en-US" w:eastAsia="zh-CN"/>
              </w:rPr>
              <w:t>南沙滨海音乐节地块临电箱变工程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 w:val="0"/>
                <w:bCs/>
                <w:color w:val="auto"/>
                <w:sz w:val="21"/>
                <w:szCs w:val="21"/>
                <w:highlight w:val="none"/>
                <w:lang w:val="zh-CN"/>
              </w:rPr>
              <w:t>投标总工期</w:t>
            </w:r>
          </w:p>
        </w:tc>
        <w:tc>
          <w:tcPr>
            <w:tcW w:w="6699"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0"/>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0"/>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10"/>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0"/>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4893"/>
      <w:bookmarkStart w:id="55" w:name="_Toc26234"/>
      <w:bookmarkStart w:id="56" w:name="_Toc8367"/>
      <w:bookmarkStart w:id="57" w:name="_Toc23233"/>
      <w:bookmarkStart w:id="58" w:name="_Toc25010"/>
      <w:bookmarkStart w:id="59" w:name="_Toc17859"/>
      <w:bookmarkStart w:id="60" w:name="_Toc24523"/>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0"/>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0"/>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0"/>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分</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0"/>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0"/>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0"/>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0"/>
        <w:rPr>
          <w:rFonts w:hint="default" w:ascii="仿宋" w:hAnsi="仿宋" w:eastAsia="仿宋" w:cs="仿宋"/>
          <w:color w:val="auto"/>
          <w:sz w:val="28"/>
          <w:szCs w:val="28"/>
          <w:highlight w:val="none"/>
        </w:rPr>
      </w:pPr>
    </w:p>
    <w:p>
      <w:pPr>
        <w:pStyle w:val="10"/>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numPr>
          <w:ilvl w:val="0"/>
          <w:numId w:val="5"/>
        </w:numPr>
        <w:snapToGrid w:val="0"/>
        <w:spacing w:line="360" w:lineRule="auto"/>
        <w:ind w:firstLine="663" w:firstLineChars="150"/>
        <w:jc w:val="center"/>
        <w:rPr>
          <w:rFonts w:hint="eastAsia" w:ascii="黑体" w:hAnsi="宋体" w:cs="黑体"/>
          <w:b/>
          <w:color w:val="auto"/>
          <w:kern w:val="44"/>
          <w:sz w:val="44"/>
          <w:szCs w:val="44"/>
          <w:highlight w:val="none"/>
        </w:rPr>
      </w:pPr>
      <w:r>
        <w:rPr>
          <w:rFonts w:hint="eastAsia" w:ascii="黑体" w:hAnsi="宋体" w:cs="黑体"/>
          <w:b/>
          <w:color w:val="auto"/>
          <w:kern w:val="44"/>
          <w:sz w:val="44"/>
          <w:szCs w:val="44"/>
          <w:highlight w:val="none"/>
        </w:rPr>
        <w:t>附件</w:t>
      </w:r>
      <w:bookmarkEnd w:id="61"/>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附件1 符合性审查表</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bookmarkStart w:id="62" w:name="OLE_LINK3"/>
      <w:bookmarkEnd w:id="62"/>
      <w:r>
        <w:rPr>
          <w:rFonts w:hint="eastAsia" w:ascii="仿宋" w:hAnsi="仿宋" w:eastAsia="仿宋" w:cs="仿宋"/>
          <w:b/>
          <w:color w:val="auto"/>
          <w:kern w:val="0"/>
          <w:sz w:val="28"/>
          <w:szCs w:val="28"/>
          <w:highlight w:val="none"/>
          <w:u w:val="single"/>
          <w:lang w:val="en-US" w:eastAsia="zh-CN" w:bidi="ar-SA"/>
        </w:rPr>
        <w:t>附件2 综合评分表</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附件3 投标申请人声明</w:t>
      </w:r>
    </w:p>
    <w:p>
      <w:pPr>
        <w:widowControl/>
        <w:spacing w:line="360" w:lineRule="auto"/>
        <w:ind w:firstLine="562" w:firstLineChars="200"/>
        <w:rPr>
          <w:rFonts w:hint="eastAsia"/>
          <w:highlight w:val="none"/>
          <w:lang w:val="en-US" w:eastAsia="zh-CN"/>
        </w:rPr>
      </w:pPr>
      <w:r>
        <w:rPr>
          <w:rFonts w:hint="eastAsia" w:ascii="仿宋" w:hAnsi="仿宋" w:eastAsia="仿宋" w:cs="仿宋"/>
          <w:b/>
          <w:color w:val="auto"/>
          <w:kern w:val="0"/>
          <w:sz w:val="28"/>
          <w:szCs w:val="28"/>
          <w:highlight w:val="none"/>
          <w:u w:val="single"/>
          <w:lang w:val="en-US" w:eastAsia="zh-CN" w:bidi="ar-SA"/>
        </w:rPr>
        <w:t>附件4 品牌表（另附）</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 图纸（另附）</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附件6工程量清单（另附）</w:t>
      </w:r>
    </w:p>
    <w:p>
      <w:pPr>
        <w:pStyle w:val="10"/>
        <w:numPr>
          <w:ilvl w:val="-1"/>
          <w:numId w:val="0"/>
        </w:numPr>
        <w:rPr>
          <w:highlight w:val="none"/>
        </w:rPr>
      </w:pPr>
    </w:p>
    <w:p>
      <w:pPr>
        <w:pStyle w:val="28"/>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3" w:name="_Toc13788"/>
      <w:bookmarkStart w:id="64" w:name="_Toc3331"/>
      <w:bookmarkStart w:id="65" w:name="_Toc20865"/>
      <w:bookmarkStart w:id="66" w:name="_Toc5919"/>
      <w:bookmarkStart w:id="67" w:name="_Toc18242"/>
      <w:bookmarkStart w:id="68" w:name="_Toc12170"/>
      <w:bookmarkStart w:id="69" w:name="_Toc6823"/>
      <w:bookmarkStart w:id="70" w:name="_Toc11051"/>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投标文件封面有法定代表人或其委托代理人签字</w:t>
            </w:r>
            <w:r>
              <w:rPr>
                <w:rFonts w:hint="eastAsia" w:ascii="仿宋" w:hAnsi="仿宋" w:eastAsia="仿宋" w:cs="仿宋"/>
                <w:color w:val="auto"/>
                <w:szCs w:val="21"/>
                <w:highlight w:val="none"/>
                <w:lang w:val="en-US" w:eastAsia="zh-CN"/>
              </w:rPr>
              <w:t>并加盖投标单位公章</w:t>
            </w:r>
            <w:r>
              <w:rPr>
                <w:rFonts w:hint="eastAsia" w:ascii="仿宋" w:hAnsi="仿宋" w:eastAsia="仿宋" w:cs="仿宋"/>
                <w:color w:val="auto"/>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highlight w:val="none"/>
          <w:lang w:eastAsia="en-US"/>
        </w:rPr>
      </w:pPr>
      <w:bookmarkStart w:id="72" w:name="_Toc20704"/>
      <w:bookmarkStart w:id="73" w:name="_Toc32519"/>
      <w:bookmarkStart w:id="74" w:name="_Toc2642"/>
      <w:bookmarkStart w:id="75" w:name="_Toc5297"/>
      <w:bookmarkStart w:id="76" w:name="_Toc15249"/>
      <w:bookmarkStart w:id="77" w:name="_Toc12016"/>
      <w:bookmarkStart w:id="78" w:name="_Toc6504"/>
      <w:bookmarkStart w:id="79" w:name="_Toc15156"/>
      <w:bookmarkStart w:id="80" w:name="_Toc13000"/>
      <w:bookmarkStart w:id="81" w:name="_Toc18739"/>
      <w:bookmarkStart w:id="82" w:name="_Toc4185"/>
      <w:bookmarkStart w:id="83" w:name="_Toc22905"/>
      <w:bookmarkStart w:id="84" w:name="_Toc31760"/>
    </w:p>
    <w:p>
      <w:pPr>
        <w:snapToGrid w:val="0"/>
        <w:ind w:left="74"/>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附件2综合评分表（100分）</w:t>
      </w:r>
    </w:p>
    <w:p>
      <w:pPr>
        <w:pStyle w:val="2"/>
        <w:rPr>
          <w:rFonts w:hint="eastAsia"/>
          <w:highlight w:val="none"/>
        </w:rPr>
      </w:pPr>
    </w:p>
    <w:tbl>
      <w:tblPr>
        <w:tblStyle w:val="19"/>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724"/>
        <w:gridCol w:w="529"/>
        <w:gridCol w:w="807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39"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评分项目</w:t>
            </w:r>
          </w:p>
        </w:tc>
        <w:tc>
          <w:tcPr>
            <w:tcW w:w="1724"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评分内容</w:t>
            </w:r>
          </w:p>
        </w:tc>
        <w:tc>
          <w:tcPr>
            <w:tcW w:w="529"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分值</w:t>
            </w:r>
          </w:p>
        </w:tc>
        <w:tc>
          <w:tcPr>
            <w:tcW w:w="8075"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评审标准</w:t>
            </w:r>
          </w:p>
        </w:tc>
        <w:tc>
          <w:tcPr>
            <w:tcW w:w="689" w:type="dxa"/>
            <w:vAlign w:val="center"/>
          </w:tcPr>
          <w:p>
            <w:pPr>
              <w:spacing w:line="360" w:lineRule="exact"/>
              <w:jc w:val="center"/>
              <w:rPr>
                <w:rFonts w:hint="eastAsia" w:eastAsia="宋体"/>
                <w:szCs w:val="21"/>
                <w:highlight w:val="none"/>
                <w:lang w:val="en-US" w:eastAsia="zh-CN"/>
              </w:rPr>
            </w:pPr>
            <w:r>
              <w:rPr>
                <w:rFonts w:hint="eastAsia"/>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1539" w:type="dxa"/>
            <w:vMerge w:val="restart"/>
            <w:vAlign w:val="center"/>
          </w:tcPr>
          <w:p>
            <w:pPr>
              <w:spacing w:line="360" w:lineRule="exact"/>
              <w:jc w:val="center"/>
              <w:rPr>
                <w:rFonts w:hint="eastAsia" w:ascii="宋体" w:hAnsi="宋体" w:cs="宋体"/>
                <w:b w:val="0"/>
                <w:sz w:val="21"/>
                <w:szCs w:val="21"/>
                <w:highlight w:val="none"/>
                <w:vertAlign w:val="baseline"/>
                <w:lang w:eastAsia="zh-CN"/>
              </w:rPr>
            </w:pPr>
            <w:r>
              <w:rPr>
                <w:rFonts w:hint="eastAsia" w:ascii="宋体" w:hAnsi="宋体" w:cs="宋体"/>
                <w:b w:val="0"/>
                <w:sz w:val="21"/>
                <w:szCs w:val="21"/>
                <w:highlight w:val="none"/>
                <w:vertAlign w:val="baseline"/>
                <w:lang w:eastAsia="zh-CN"/>
              </w:rPr>
              <w:t>商务部分</w:t>
            </w:r>
          </w:p>
          <w:p>
            <w:pPr>
              <w:spacing w:line="360" w:lineRule="exact"/>
              <w:jc w:val="center"/>
              <w:rPr>
                <w:rFonts w:hint="eastAsia" w:ascii="Calibri" w:hAnsi="Calibri"/>
                <w:b w:val="0"/>
                <w:sz w:val="21"/>
                <w:szCs w:val="21"/>
                <w:highlight w:val="none"/>
                <w:vertAlign w:val="baseline"/>
              </w:rPr>
            </w:pPr>
            <w:r>
              <w:rPr>
                <w:rFonts w:hint="eastAsia" w:ascii="宋体" w:hAnsi="宋体" w:cs="宋体"/>
                <w:b w:val="0"/>
                <w:sz w:val="21"/>
                <w:szCs w:val="21"/>
                <w:highlight w:val="none"/>
                <w:vertAlign w:val="baseline"/>
              </w:rPr>
              <w:t>（</w:t>
            </w:r>
            <w:r>
              <w:rPr>
                <w:rFonts w:hint="eastAsia" w:ascii="宋体" w:hAnsi="宋体" w:cs="宋体"/>
                <w:b w:val="0"/>
                <w:sz w:val="21"/>
                <w:szCs w:val="21"/>
                <w:highlight w:val="none"/>
                <w:vertAlign w:val="baseline"/>
                <w:lang w:val="en-US" w:eastAsia="zh-CN"/>
              </w:rPr>
              <w:t>50</w:t>
            </w:r>
            <w:r>
              <w:rPr>
                <w:rFonts w:hint="eastAsia" w:ascii="宋体" w:hAnsi="宋体" w:cs="宋体"/>
                <w:b w:val="0"/>
                <w:sz w:val="21"/>
                <w:szCs w:val="21"/>
                <w:highlight w:val="none"/>
                <w:vertAlign w:val="baseline"/>
              </w:rPr>
              <w:t>分）</w:t>
            </w:r>
          </w:p>
        </w:tc>
        <w:tc>
          <w:tcPr>
            <w:tcW w:w="1724" w:type="dxa"/>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企业业绩</w:t>
            </w:r>
          </w:p>
        </w:tc>
        <w:tc>
          <w:tcPr>
            <w:tcW w:w="529" w:type="dxa"/>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eastAsia="宋体" w:cs="宋体"/>
                <w:b w:val="0"/>
                <w:sz w:val="21"/>
                <w:szCs w:val="21"/>
                <w:highlight w:val="none"/>
                <w:vertAlign w:val="baseline"/>
                <w:lang w:val="en-US" w:eastAsia="zh-CN"/>
              </w:rPr>
              <w:t>20</w:t>
            </w:r>
          </w:p>
        </w:tc>
        <w:tc>
          <w:tcPr>
            <w:tcW w:w="8075" w:type="dxa"/>
            <w:vAlign w:val="center"/>
          </w:tcPr>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20</w:t>
            </w:r>
            <w:r>
              <w:rPr>
                <w:rFonts w:hint="eastAsia" w:ascii="宋体" w:hAnsi="宋体" w:cs="宋体"/>
                <w:color w:val="auto"/>
                <w:sz w:val="21"/>
                <w:szCs w:val="21"/>
                <w:highlight w:val="none"/>
                <w:u w:val="none"/>
                <w:lang w:val="en-US" w:eastAsia="zh-CN"/>
              </w:rPr>
              <w:t>21</w:t>
            </w:r>
            <w:r>
              <w:rPr>
                <w:rFonts w:hint="eastAsia" w:ascii="宋体" w:hAnsi="宋体" w:eastAsia="宋体" w:cs="宋体"/>
                <w:color w:val="auto"/>
                <w:sz w:val="21"/>
                <w:szCs w:val="21"/>
                <w:highlight w:val="none"/>
                <w:u w:val="none"/>
                <w:lang w:val="en-US" w:eastAsia="zh-CN"/>
              </w:rPr>
              <w:t>年1月1日至今完成过质量合格的10kV电力工程，且中标金额大于或等于</w:t>
            </w:r>
            <w:r>
              <w:rPr>
                <w:rFonts w:hint="eastAsia" w:ascii="宋体" w:hAnsi="宋体" w:cs="宋体"/>
                <w:color w:val="auto"/>
                <w:sz w:val="21"/>
                <w:szCs w:val="21"/>
                <w:highlight w:val="none"/>
                <w:u w:val="none"/>
                <w:lang w:val="en-US" w:eastAsia="zh-CN"/>
              </w:rPr>
              <w:t>80万</w:t>
            </w:r>
            <w:r>
              <w:rPr>
                <w:rFonts w:hint="eastAsia" w:ascii="宋体" w:hAnsi="宋体" w:eastAsia="宋体" w:cs="宋体"/>
                <w:color w:val="auto"/>
                <w:sz w:val="21"/>
                <w:szCs w:val="21"/>
                <w:highlight w:val="none"/>
                <w:u w:val="none"/>
                <w:lang w:val="en-US" w:eastAsia="zh-CN"/>
              </w:rPr>
              <w:t>元的一项得</w:t>
            </w:r>
            <w:r>
              <w:rPr>
                <w:rFonts w:hint="eastAsia" w:ascii="宋体" w:hAnsi="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lang w:val="en-US" w:eastAsia="zh-CN"/>
              </w:rPr>
              <w:t>分，</w:t>
            </w:r>
            <w:r>
              <w:rPr>
                <w:rFonts w:hint="eastAsia" w:ascii="宋体" w:hAnsi="宋体" w:cs="宋体"/>
                <w:color w:val="auto"/>
                <w:sz w:val="21"/>
                <w:szCs w:val="21"/>
                <w:highlight w:val="none"/>
                <w:u w:val="none"/>
                <w:lang w:val="en-US" w:eastAsia="zh-CN"/>
              </w:rPr>
              <w:t>金额不足80万元但大于50万元的一项得0.5分，其他不得分，</w:t>
            </w:r>
            <w:r>
              <w:rPr>
                <w:rFonts w:hint="eastAsia" w:ascii="宋体" w:hAnsi="宋体" w:eastAsia="宋体" w:cs="宋体"/>
                <w:color w:val="auto"/>
                <w:sz w:val="21"/>
                <w:szCs w:val="21"/>
                <w:highlight w:val="none"/>
                <w:u w:val="none"/>
                <w:lang w:val="en-US" w:eastAsia="zh-CN"/>
              </w:rPr>
              <w:t>最多得20分。</w:t>
            </w:r>
          </w:p>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注：①需同时提供中标通知书或免招标的相关证明、施工合同、竣工验收报告或竣工验收证明。如以上资料不能证明业绩规模的技术指标（指电压等级、金额等）的，须另提供可证明业绩技术指标的其他资料；完成时间以竣工验收时间为准（有效业绩认定时限：竣工报告的时间在20</w:t>
            </w:r>
            <w:r>
              <w:rPr>
                <w:rFonts w:hint="eastAsia" w:ascii="宋体" w:hAnsi="宋体" w:cs="宋体"/>
                <w:color w:val="auto"/>
                <w:sz w:val="21"/>
                <w:szCs w:val="21"/>
                <w:highlight w:val="none"/>
                <w:u w:val="none"/>
                <w:lang w:val="en-US" w:eastAsia="zh-CN"/>
              </w:rPr>
              <w:t>21</w:t>
            </w:r>
            <w:r>
              <w:rPr>
                <w:rFonts w:hint="eastAsia" w:ascii="宋体" w:hAnsi="宋体" w:eastAsia="宋体" w:cs="宋体"/>
                <w:color w:val="auto"/>
                <w:sz w:val="21"/>
                <w:szCs w:val="21"/>
                <w:highlight w:val="none"/>
                <w:u w:val="none"/>
                <w:lang w:val="en-US" w:eastAsia="zh-CN"/>
              </w:rPr>
              <w:t>年1月1日至今）。</w:t>
            </w:r>
          </w:p>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②业绩金额按以下方式认定</w:t>
            </w:r>
          </w:p>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施工总承包项目：金额以中标通知书为准，中标通知书上没有金额或免招标的，以施工合同（不含补充合同）为准；</w:t>
            </w:r>
          </w:p>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施工专业承包项目：单独发包的专业工程的业绩金额以中标通知书为准，中标通知书上没有金额或免招标的，以施工合同（不含补充合同）为准；</w:t>
            </w:r>
          </w:p>
          <w:p>
            <w:pPr>
              <w:numPr>
                <w:ilvl w:val="0"/>
                <w:numId w:val="0"/>
              </w:numPr>
              <w:spacing w:line="24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如中标通知书未能体现对应的专业工程金额，则以施工合同载明的对应的专业工程金额为准，如中标通知书与施工合同均不能单独体现对应的专业工程金额，则以建设单位提供的证明资料中载明的对应专业金额为准。</w:t>
            </w:r>
          </w:p>
          <w:p>
            <w:pPr>
              <w:pStyle w:val="73"/>
              <w:wordWrap w:val="0"/>
              <w:topLinePunct/>
              <w:autoSpaceDE w:val="0"/>
              <w:autoSpaceDN w:val="0"/>
              <w:adjustRightInd w:val="0"/>
              <w:rPr>
                <w:rFonts w:hint="eastAsia" w:ascii="宋体" w:hAnsi="宋体" w:cs="宋体"/>
                <w:b w:val="0"/>
                <w:kern w:val="0"/>
                <w:sz w:val="21"/>
                <w:szCs w:val="21"/>
                <w:highlight w:val="none"/>
                <w:vertAlign w:val="baseline"/>
              </w:rPr>
            </w:pPr>
            <w:r>
              <w:rPr>
                <w:rFonts w:hint="eastAsia" w:ascii="宋体" w:hAnsi="宋体" w:eastAsia="宋体" w:cs="宋体"/>
                <w:color w:val="auto"/>
                <w:sz w:val="21"/>
                <w:szCs w:val="21"/>
                <w:highlight w:val="none"/>
                <w:u w:val="none"/>
                <w:lang w:val="en-US" w:eastAsia="zh-CN"/>
              </w:rPr>
              <w:t>③投标单位提供的施工合同文件证明材料。（可提供合同关键页，但应至少包括合同封面、合同指标金额规模页、合同盖章页）。</w:t>
            </w:r>
          </w:p>
        </w:tc>
        <w:tc>
          <w:tcPr>
            <w:tcW w:w="689" w:type="dxa"/>
            <w:vAlign w:val="center"/>
          </w:tcPr>
          <w:p>
            <w:pPr>
              <w:pStyle w:val="73"/>
              <w:wordWrap w:val="0"/>
              <w:topLinePunct/>
              <w:autoSpaceDE w:val="0"/>
              <w:autoSpaceDN w:val="0"/>
              <w:adjustRightInd w:val="0"/>
              <w:rPr>
                <w:rFonts w:hint="eastAsia" w:ascii="宋体" w:hAnsi="宋体" w:eastAsia="宋体" w:cs="宋体"/>
                <w:b w:val="0"/>
                <w:bCs w:val="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539" w:type="dxa"/>
            <w:vMerge w:val="continue"/>
            <w:vAlign w:val="center"/>
          </w:tcPr>
          <w:p>
            <w:pPr>
              <w:spacing w:line="360" w:lineRule="exact"/>
              <w:jc w:val="center"/>
              <w:rPr>
                <w:rFonts w:hint="eastAsia" w:ascii="Calibri" w:hAnsi="Calibri"/>
                <w:b w:val="0"/>
                <w:sz w:val="21"/>
                <w:szCs w:val="21"/>
                <w:highlight w:val="none"/>
                <w:vertAlign w:val="baseline"/>
              </w:rPr>
            </w:pPr>
          </w:p>
        </w:tc>
        <w:tc>
          <w:tcPr>
            <w:tcW w:w="1724" w:type="dxa"/>
            <w:vAlign w:val="center"/>
          </w:tcPr>
          <w:p>
            <w:pPr>
              <w:spacing w:line="360" w:lineRule="exact"/>
              <w:jc w:val="center"/>
              <w:rPr>
                <w:rFonts w:hint="eastAsia" w:ascii="Calibri" w:hAnsi="Calibri"/>
                <w:b w:val="0"/>
                <w:sz w:val="21"/>
                <w:szCs w:val="21"/>
                <w:highlight w:val="none"/>
                <w:vertAlign w:val="baseline"/>
              </w:rPr>
            </w:pPr>
            <w:r>
              <w:rPr>
                <w:rFonts w:hint="eastAsia" w:hAnsi="宋体" w:cs="宋体"/>
                <w:color w:val="auto"/>
                <w:sz w:val="21"/>
                <w:szCs w:val="21"/>
                <w:highlight w:val="none"/>
                <w:lang w:val="en-US" w:eastAsia="zh-CN"/>
              </w:rPr>
              <w:t>管理团队</w:t>
            </w:r>
          </w:p>
        </w:tc>
        <w:tc>
          <w:tcPr>
            <w:tcW w:w="529" w:type="dxa"/>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cs="宋体"/>
                <w:color w:val="FF0000"/>
                <w:sz w:val="21"/>
                <w:szCs w:val="21"/>
                <w:highlight w:val="none"/>
                <w:lang w:val="en-US" w:eastAsia="zh-CN"/>
              </w:rPr>
              <w:t>12</w:t>
            </w:r>
          </w:p>
        </w:tc>
        <w:tc>
          <w:tcPr>
            <w:tcW w:w="8075" w:type="dxa"/>
            <w:vAlign w:val="center"/>
          </w:tcPr>
          <w:p>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1、项目负责人为机电专业一级注册建造师得1分，为电力类专业高级工程师的得1分，本项最高得2分；</w:t>
            </w:r>
          </w:p>
          <w:p>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2、技术负责人为机电专业一级注册建造师得0.5分，为电力类专业高级工程师的得1分，本项最高得1.5分；</w:t>
            </w:r>
          </w:p>
          <w:p>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3、造价负责人为安装专业一级注册造价工程师的得0.5分，为电力类专业高级工程师的得1分，本项最高得1.5分；</w:t>
            </w:r>
          </w:p>
          <w:p>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4、安全负责人具备注册安全工程师的得1分。</w:t>
            </w:r>
          </w:p>
          <w:p>
            <w:pPr>
              <w:widowControl/>
              <w:snapToGrid w:val="0"/>
              <w:ind w:left="180" w:hanging="210" w:hangingChars="100"/>
              <w:textAlignment w:val="center"/>
              <w:rPr>
                <w:rFonts w:hint="eastAsia" w:ascii="宋体" w:hAnsi="宋体" w:eastAsia="宋体" w:cs="Times New Roman"/>
                <w:caps/>
                <w:color w:val="auto"/>
                <w:kern w:val="2"/>
                <w:sz w:val="21"/>
                <w:szCs w:val="21"/>
                <w:highlight w:val="none"/>
                <w:lang w:val="en-US" w:eastAsia="zh-CN" w:bidi="ar-SA"/>
              </w:rPr>
            </w:pPr>
            <w:r>
              <w:rPr>
                <w:rFonts w:hint="eastAsia" w:ascii="宋体" w:hAnsi="宋体" w:eastAsia="宋体" w:cs="Times New Roman"/>
                <w:caps/>
                <w:color w:val="auto"/>
                <w:kern w:val="2"/>
                <w:sz w:val="21"/>
                <w:szCs w:val="21"/>
                <w:highlight w:val="none"/>
                <w:lang w:val="en-US" w:eastAsia="zh-CN" w:bidi="ar-SA"/>
              </w:rPr>
              <w:t>5、项目管理机构中除项目负责人、技术负责人和造价负责人外，每增加一名电力类专业高级工程师的加</w:t>
            </w:r>
            <w:r>
              <w:rPr>
                <w:rFonts w:hint="eastAsia" w:ascii="宋体" w:hAnsi="宋体" w:cs="Times New Roman"/>
                <w:caps/>
                <w:color w:val="FF0000"/>
                <w:kern w:val="2"/>
                <w:sz w:val="21"/>
                <w:szCs w:val="21"/>
                <w:highlight w:val="none"/>
                <w:lang w:val="en-US" w:eastAsia="zh-CN" w:bidi="ar-SA"/>
              </w:rPr>
              <w:t>2</w:t>
            </w:r>
            <w:r>
              <w:rPr>
                <w:rFonts w:hint="eastAsia" w:ascii="宋体" w:hAnsi="宋体" w:eastAsia="宋体" w:cs="Times New Roman"/>
                <w:caps/>
                <w:color w:val="auto"/>
                <w:kern w:val="2"/>
                <w:sz w:val="21"/>
                <w:szCs w:val="21"/>
                <w:highlight w:val="none"/>
                <w:lang w:val="en-US" w:eastAsia="zh-CN" w:bidi="ar-SA"/>
              </w:rPr>
              <w:t>分。最高得</w:t>
            </w:r>
            <w:r>
              <w:rPr>
                <w:rFonts w:hint="eastAsia" w:ascii="宋体" w:hAnsi="宋体" w:cs="Times New Roman"/>
                <w:caps/>
                <w:color w:val="FF0000"/>
                <w:kern w:val="2"/>
                <w:sz w:val="21"/>
                <w:szCs w:val="21"/>
                <w:highlight w:val="none"/>
                <w:lang w:val="en-US" w:eastAsia="zh-CN" w:bidi="ar-SA"/>
              </w:rPr>
              <w:t>6</w:t>
            </w:r>
            <w:r>
              <w:rPr>
                <w:rFonts w:hint="eastAsia" w:ascii="宋体" w:hAnsi="宋体" w:eastAsia="宋体" w:cs="Times New Roman"/>
                <w:caps/>
                <w:color w:val="auto"/>
                <w:kern w:val="2"/>
                <w:sz w:val="21"/>
                <w:szCs w:val="21"/>
                <w:highlight w:val="none"/>
                <w:lang w:val="en-US" w:eastAsia="zh-CN" w:bidi="ar-SA"/>
              </w:rPr>
              <w:t>分。</w:t>
            </w:r>
          </w:p>
          <w:p>
            <w:pPr>
              <w:widowControl/>
              <w:snapToGrid w:val="0"/>
              <w:ind w:left="180" w:hanging="210" w:hangingChars="100"/>
              <w:textAlignment w:val="center"/>
              <w:rPr>
                <w:rFonts w:hint="eastAsia" w:ascii="Calibri" w:hAnsi="Calibri" w:eastAsia="宋体" w:cs="Times New Roman"/>
                <w:b w:val="0"/>
                <w:sz w:val="21"/>
                <w:szCs w:val="21"/>
                <w:highlight w:val="none"/>
                <w:vertAlign w:val="baseline"/>
                <w:lang w:eastAsia="zh-CN"/>
              </w:rPr>
            </w:pPr>
            <w:r>
              <w:rPr>
                <w:rFonts w:hint="eastAsia" w:ascii="宋体" w:hAnsi="宋体" w:eastAsia="宋体" w:cs="Times New Roman"/>
                <w:caps/>
                <w:color w:val="auto"/>
                <w:kern w:val="2"/>
                <w:sz w:val="21"/>
                <w:szCs w:val="21"/>
                <w:highlight w:val="none"/>
                <w:lang w:val="en-US" w:eastAsia="zh-CN" w:bidi="ar-SA"/>
              </w:rPr>
              <w:t>注：提供有效的注册证书、职称证书。据住房城乡建设部、交通运输部、水利部、人力资源和社会保障部关于印发《造价工程师职业资格制度规定》《造价工程师职业资格考试实施办法》的通知（建人〔2018〕67号）第三十二条规定，根据原人事部、原建设部发布的《造价工程师执业资格制度暂行规定》（人发〔1996〕77号）取得的造价工程师注册执业证书与一级造价工程师注册执业证书效用等同。另需提供投标截止日前一个月（2024年</w:t>
            </w:r>
            <w:r>
              <w:rPr>
                <w:rFonts w:hint="eastAsia" w:ascii="宋体" w:hAnsi="宋体" w:cs="Times New Roman"/>
                <w:caps/>
                <w:color w:val="auto"/>
                <w:kern w:val="2"/>
                <w:sz w:val="21"/>
                <w:szCs w:val="21"/>
                <w:highlight w:val="none"/>
                <w:lang w:val="en-US" w:eastAsia="zh-CN" w:bidi="ar-SA"/>
              </w:rPr>
              <w:t>9</w:t>
            </w:r>
            <w:r>
              <w:rPr>
                <w:rFonts w:hint="eastAsia" w:ascii="宋体" w:hAnsi="宋体" w:eastAsia="宋体" w:cs="Times New Roman"/>
                <w:caps/>
                <w:color w:val="auto"/>
                <w:kern w:val="2"/>
                <w:sz w:val="21"/>
                <w:szCs w:val="21"/>
                <w:highlight w:val="none"/>
                <w:lang w:val="en-US" w:eastAsia="zh-CN" w:bidi="ar-SA"/>
              </w:rPr>
              <w:t>月）有效的社保证明。</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9" w:type="dxa"/>
            <w:vAlign w:val="center"/>
          </w:tcPr>
          <w:p>
            <w:pPr>
              <w:pStyle w:val="73"/>
              <w:wordWrap w:val="0"/>
              <w:topLinePunct/>
              <w:autoSpaceDE w:val="0"/>
              <w:autoSpaceDN w:val="0"/>
              <w:adjustRightInd w:val="0"/>
              <w:spacing w:line="360" w:lineRule="exact"/>
              <w:jc w:val="left"/>
              <w:rPr>
                <w:rFonts w:hint="eastAsia"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539" w:type="dxa"/>
            <w:vMerge w:val="continue"/>
            <w:vAlign w:val="center"/>
          </w:tcPr>
          <w:p>
            <w:pPr>
              <w:spacing w:line="360" w:lineRule="exact"/>
              <w:jc w:val="center"/>
              <w:rPr>
                <w:rFonts w:hint="eastAsia" w:ascii="Calibri" w:hAnsi="Calibri"/>
                <w:b w:val="0"/>
                <w:sz w:val="21"/>
                <w:szCs w:val="21"/>
                <w:highlight w:val="none"/>
                <w:vertAlign w:val="baseline"/>
              </w:rPr>
            </w:pPr>
          </w:p>
        </w:tc>
        <w:tc>
          <w:tcPr>
            <w:tcW w:w="1724" w:type="dxa"/>
            <w:vAlign w:val="center"/>
          </w:tcPr>
          <w:p>
            <w:pPr>
              <w:spacing w:line="360" w:lineRule="exact"/>
              <w:jc w:val="center"/>
              <w:rPr>
                <w:rFonts w:hint="eastAsia" w:ascii="Calibri" w:hAnsi="Calibri"/>
                <w:b w:val="0"/>
                <w:sz w:val="21"/>
                <w:szCs w:val="21"/>
                <w:highlight w:val="none"/>
                <w:vertAlign w:val="baseline"/>
              </w:rPr>
            </w:pPr>
            <w:r>
              <w:rPr>
                <w:rFonts w:hint="eastAsia" w:ascii="宋体" w:hAnsi="宋体" w:eastAsia="宋体" w:cs="宋体"/>
                <w:color w:val="auto"/>
                <w:sz w:val="21"/>
                <w:szCs w:val="21"/>
                <w:highlight w:val="none"/>
                <w:lang w:val="en-US" w:eastAsia="zh-CN"/>
              </w:rPr>
              <w:t>第三方评价</w:t>
            </w:r>
          </w:p>
        </w:tc>
        <w:tc>
          <w:tcPr>
            <w:tcW w:w="529" w:type="dxa"/>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cs="宋体"/>
                <w:color w:val="FF0000"/>
                <w:szCs w:val="21"/>
                <w:highlight w:val="none"/>
                <w:lang w:val="en-US" w:eastAsia="zh-CN"/>
              </w:rPr>
              <w:t>10</w:t>
            </w:r>
          </w:p>
        </w:tc>
        <w:tc>
          <w:tcPr>
            <w:tcW w:w="8075" w:type="dxa"/>
            <w:vAlign w:val="center"/>
          </w:tcPr>
          <w:p>
            <w:pPr>
              <w:spacing w:line="360" w:lineRule="exact"/>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投标人至今（含最近评审年份）被评为纳税信用A级纳税人称号的：</w:t>
            </w:r>
          </w:p>
          <w:p>
            <w:pPr>
              <w:spacing w:line="360" w:lineRule="exact"/>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1.连续9年被评为纳税信用A级纳税人称号的得</w:t>
            </w:r>
            <w:r>
              <w:rPr>
                <w:rFonts w:hint="eastAsia" w:ascii="Calibri" w:hAnsi="Calibri"/>
                <w:b w:val="0"/>
                <w:color w:val="FF0000"/>
                <w:sz w:val="21"/>
                <w:szCs w:val="21"/>
                <w:highlight w:val="none"/>
                <w:vertAlign w:val="baseline"/>
                <w:lang w:val="en-US" w:eastAsia="zh-CN"/>
              </w:rPr>
              <w:t>10</w:t>
            </w:r>
            <w:r>
              <w:rPr>
                <w:rFonts w:hint="eastAsia" w:ascii="Calibri" w:hAnsi="Calibri"/>
                <w:b w:val="0"/>
                <w:sz w:val="21"/>
                <w:szCs w:val="21"/>
                <w:highlight w:val="none"/>
                <w:vertAlign w:val="baseline"/>
              </w:rPr>
              <w:t>分，连续7至8年的得</w:t>
            </w:r>
            <w:r>
              <w:rPr>
                <w:rFonts w:hint="eastAsia" w:ascii="Calibri" w:hAnsi="Calibri"/>
                <w:b w:val="0"/>
                <w:color w:val="FF0000"/>
                <w:sz w:val="21"/>
                <w:szCs w:val="21"/>
                <w:highlight w:val="none"/>
                <w:vertAlign w:val="baseline"/>
                <w:lang w:val="en-US" w:eastAsia="zh-CN"/>
              </w:rPr>
              <w:t>5</w:t>
            </w:r>
            <w:r>
              <w:rPr>
                <w:rFonts w:hint="eastAsia" w:ascii="Calibri" w:hAnsi="Calibri"/>
                <w:b w:val="0"/>
                <w:sz w:val="21"/>
                <w:szCs w:val="21"/>
                <w:highlight w:val="none"/>
                <w:vertAlign w:val="baseline"/>
              </w:rPr>
              <w:t>分，连续5至6年得</w:t>
            </w:r>
            <w:r>
              <w:rPr>
                <w:rFonts w:hint="eastAsia" w:ascii="Calibri" w:hAnsi="Calibri"/>
                <w:b w:val="0"/>
                <w:color w:val="FF0000"/>
                <w:sz w:val="21"/>
                <w:szCs w:val="21"/>
                <w:highlight w:val="none"/>
                <w:vertAlign w:val="baseline"/>
                <w:lang w:val="en-US" w:eastAsia="zh-CN"/>
              </w:rPr>
              <w:t>1</w:t>
            </w:r>
            <w:r>
              <w:rPr>
                <w:rFonts w:hint="eastAsia" w:ascii="Calibri" w:hAnsi="Calibri"/>
                <w:b w:val="0"/>
                <w:sz w:val="21"/>
                <w:szCs w:val="21"/>
                <w:highlight w:val="none"/>
                <w:vertAlign w:val="baseline"/>
              </w:rPr>
              <w:t>分，连续4年及以下得</w:t>
            </w:r>
            <w:r>
              <w:rPr>
                <w:rFonts w:hint="eastAsia" w:ascii="Calibri" w:hAnsi="Calibri"/>
                <w:b w:val="0"/>
                <w:color w:val="FF0000"/>
                <w:sz w:val="21"/>
                <w:szCs w:val="21"/>
                <w:highlight w:val="none"/>
                <w:vertAlign w:val="baseline"/>
                <w:lang w:val="en-US" w:eastAsia="zh-CN"/>
              </w:rPr>
              <w:t>0.5</w:t>
            </w:r>
            <w:r>
              <w:rPr>
                <w:rFonts w:hint="eastAsia" w:ascii="Calibri" w:hAnsi="Calibri"/>
                <w:b w:val="0"/>
                <w:sz w:val="21"/>
                <w:szCs w:val="21"/>
                <w:highlight w:val="none"/>
                <w:vertAlign w:val="baseline"/>
              </w:rPr>
              <w:t>分，无的得0分。</w:t>
            </w:r>
          </w:p>
          <w:p>
            <w:pPr>
              <w:spacing w:line="360" w:lineRule="exact"/>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其他情况不得分。</w:t>
            </w:r>
          </w:p>
          <w:p>
            <w:pPr>
              <w:spacing w:line="360" w:lineRule="exact"/>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注：“纳税信用A级纳税人”称号须同时提供证书复印件和省级或以上税务局网站纳税信用信息查询结果网页截图。“纳税信用A级纳税人”称号仅计算投标人自身（不包括子公司、分公司及分支机构），须含最新评审年度（2023年度）。不符合上述条件或未提供上述资料的不得分。</w:t>
            </w:r>
          </w:p>
        </w:tc>
        <w:tc>
          <w:tcPr>
            <w:tcW w:w="689" w:type="dxa"/>
            <w:vAlign w:val="center"/>
          </w:tcPr>
          <w:p>
            <w:pPr>
              <w:spacing w:line="360" w:lineRule="exact"/>
              <w:jc w:val="left"/>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39" w:type="dxa"/>
            <w:vMerge w:val="continue"/>
            <w:vAlign w:val="center"/>
          </w:tcPr>
          <w:p>
            <w:pPr>
              <w:spacing w:line="360" w:lineRule="exact"/>
              <w:jc w:val="center"/>
              <w:rPr>
                <w:rFonts w:hint="eastAsia" w:ascii="Calibri" w:hAnsi="Calibri"/>
                <w:b w:val="0"/>
                <w:sz w:val="21"/>
                <w:szCs w:val="21"/>
                <w:highlight w:val="none"/>
                <w:vertAlign w:val="baseline"/>
              </w:rPr>
            </w:pPr>
          </w:p>
        </w:tc>
        <w:tc>
          <w:tcPr>
            <w:tcW w:w="1724" w:type="dxa"/>
            <w:vAlign w:val="center"/>
          </w:tcPr>
          <w:p>
            <w:pPr>
              <w:spacing w:line="360" w:lineRule="exact"/>
              <w:jc w:val="center"/>
              <w:rPr>
                <w:rFonts w:hint="eastAsia" w:ascii="Calibri" w:hAnsi="Calibri"/>
                <w:b w:val="0"/>
                <w:sz w:val="21"/>
                <w:szCs w:val="21"/>
                <w:highlight w:val="none"/>
                <w:vertAlign w:val="baseline"/>
              </w:rPr>
            </w:pPr>
            <w:r>
              <w:rPr>
                <w:rFonts w:hint="eastAsia" w:ascii="宋体" w:hAnsi="宋体" w:eastAsia="宋体" w:cs="宋体"/>
                <w:color w:val="auto"/>
                <w:sz w:val="21"/>
                <w:szCs w:val="21"/>
                <w:highlight w:val="none"/>
                <w:u w:val="none"/>
                <w:lang w:val="en-US" w:eastAsia="zh-CN"/>
              </w:rPr>
              <w:t>施工技术人员投入情况</w:t>
            </w:r>
          </w:p>
        </w:tc>
        <w:tc>
          <w:tcPr>
            <w:tcW w:w="529" w:type="dxa"/>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eastAsia="宋体" w:cs="宋体"/>
                <w:sz w:val="21"/>
                <w:szCs w:val="21"/>
                <w:highlight w:val="none"/>
                <w:lang w:val="en-US" w:eastAsia="zh-CN"/>
              </w:rPr>
              <w:t>8</w:t>
            </w:r>
          </w:p>
        </w:tc>
        <w:tc>
          <w:tcPr>
            <w:tcW w:w="8075" w:type="dxa"/>
            <w:vAlign w:val="center"/>
          </w:tcPr>
          <w:p>
            <w:pPr>
              <w:spacing w:line="240" w:lineRule="auto"/>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拟投入施工技术人员需持有电力工程相关的特种作业操作证（包括高压电工作业，低压电工作业，电力电缆作业，高处安装、维护、拆除作业，登高架设作业，电气试验作业，继电保护作业，熔化焊接与热切割），以上人员齐全（每个特种作业操作证至少各两名的得</w:t>
            </w:r>
            <w:r>
              <w:rPr>
                <w:rFonts w:hint="eastAsia" w:ascii="Calibri" w:hAnsi="Calibri"/>
                <w:b w:val="0"/>
                <w:sz w:val="21"/>
                <w:szCs w:val="21"/>
                <w:highlight w:val="none"/>
                <w:vertAlign w:val="baseline"/>
                <w:lang w:val="en-US" w:eastAsia="zh-CN"/>
              </w:rPr>
              <w:t>4</w:t>
            </w:r>
            <w:r>
              <w:rPr>
                <w:rFonts w:hint="eastAsia" w:ascii="Calibri" w:hAnsi="Calibri"/>
                <w:b w:val="0"/>
                <w:sz w:val="21"/>
                <w:szCs w:val="21"/>
                <w:highlight w:val="none"/>
                <w:vertAlign w:val="baseline"/>
              </w:rPr>
              <w:t>分）基础上每增加一名高压电工作业或电力电缆作业特种作业人员加1分。</w:t>
            </w:r>
            <w:r>
              <w:rPr>
                <w:rFonts w:hAnsi="宋体" w:cs="宋体"/>
                <w:color w:val="auto"/>
                <w:highlight w:val="none"/>
              </w:rPr>
              <w:t>没有提供或不符合要求的不得分</w:t>
            </w:r>
            <w:r>
              <w:rPr>
                <w:rFonts w:hint="eastAsia" w:hAnsi="宋体" w:cs="宋体"/>
                <w:color w:val="auto"/>
                <w:highlight w:val="none"/>
                <w:lang w:eastAsia="zh-CN"/>
              </w:rPr>
              <w:t>，</w:t>
            </w:r>
            <w:r>
              <w:rPr>
                <w:rFonts w:hint="eastAsia" w:ascii="Calibri" w:hAnsi="Calibri"/>
                <w:b w:val="0"/>
                <w:sz w:val="21"/>
                <w:szCs w:val="21"/>
                <w:highlight w:val="none"/>
                <w:vertAlign w:val="baseline"/>
              </w:rPr>
              <w:t>本项最高得8分。</w:t>
            </w:r>
          </w:p>
          <w:p>
            <w:pPr>
              <w:spacing w:line="240" w:lineRule="auto"/>
              <w:jc w:val="left"/>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注：人员均不得兼任，同一人只计算一次。需同时提供①特种作业操作证；②投标截止时间前近一个月（2024年9月）有效社保证明</w:t>
            </w:r>
            <w:r>
              <w:rPr>
                <w:rFonts w:hint="eastAsia" w:ascii="Calibri" w:hAnsi="Calibri"/>
                <w:b w:val="0"/>
                <w:sz w:val="21"/>
                <w:szCs w:val="21"/>
                <w:highlight w:val="none"/>
                <w:vertAlign w:val="baseline"/>
                <w:lang w:eastAsia="zh-CN"/>
              </w:rPr>
              <w:t>，</w:t>
            </w:r>
            <w:r>
              <w:rPr>
                <w:rFonts w:hint="eastAsia" w:ascii="宋体" w:hAnsi="宋体" w:eastAsia="宋体" w:cs="宋体"/>
                <w:b w:val="0"/>
                <w:bCs w:val="0"/>
                <w:color w:val="auto"/>
                <w:kern w:val="2"/>
                <w:sz w:val="21"/>
                <w:szCs w:val="21"/>
                <w:highlight w:val="none"/>
                <w:lang w:eastAsia="zh-CN"/>
              </w:rPr>
              <w:t>以上所有文件加盖公章。</w:t>
            </w:r>
            <w:r>
              <w:rPr>
                <w:rFonts w:hint="eastAsia" w:ascii="Calibri" w:hAnsi="Calibri"/>
                <w:b w:val="0"/>
                <w:sz w:val="21"/>
                <w:szCs w:val="21"/>
                <w:highlight w:val="none"/>
                <w:vertAlign w:val="baseline"/>
              </w:rPr>
              <w:t>不满足上述要求的不得分。</w:t>
            </w:r>
          </w:p>
        </w:tc>
        <w:tc>
          <w:tcPr>
            <w:tcW w:w="689" w:type="dxa"/>
            <w:vAlign w:val="center"/>
          </w:tcPr>
          <w:p>
            <w:pPr>
              <w:spacing w:line="240" w:lineRule="auto"/>
              <w:jc w:val="left"/>
              <w:rPr>
                <w:rFonts w:hint="eastAsia" w:ascii="宋体" w:hAnsi="宋体" w:cs="宋体"/>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39" w:type="dxa"/>
            <w:vMerge w:val="restart"/>
            <w:vAlign w:val="center"/>
          </w:tcPr>
          <w:p>
            <w:pPr>
              <w:spacing w:line="360" w:lineRule="exact"/>
              <w:jc w:val="center"/>
              <w:rPr>
                <w:rFonts w:hint="eastAsia"/>
                <w:highlight w:val="none"/>
                <w:lang w:eastAsia="zh-CN"/>
              </w:rPr>
            </w:pPr>
            <w:r>
              <w:rPr>
                <w:rFonts w:hint="eastAsia"/>
                <w:highlight w:val="none"/>
                <w:lang w:eastAsia="zh-CN"/>
              </w:rPr>
              <w:t>技术部分</w:t>
            </w:r>
          </w:p>
          <w:p>
            <w:pPr>
              <w:spacing w:line="360" w:lineRule="exact"/>
              <w:jc w:val="center"/>
              <w:rPr>
                <w:rFonts w:hint="eastAsia"/>
                <w:highlight w:val="none"/>
              </w:rPr>
            </w:pPr>
            <w:r>
              <w:rPr>
                <w:rFonts w:hint="eastAsia"/>
                <w:highlight w:val="none"/>
              </w:rPr>
              <w:t>（</w:t>
            </w:r>
            <w:r>
              <w:rPr>
                <w:rFonts w:hint="eastAsia"/>
                <w:highlight w:val="none"/>
                <w:lang w:val="en-US" w:eastAsia="zh-CN"/>
              </w:rPr>
              <w:t>50</w:t>
            </w:r>
            <w:r>
              <w:rPr>
                <w:rFonts w:hint="eastAsia"/>
                <w:highlight w:val="none"/>
              </w:rPr>
              <w:t>分）</w:t>
            </w:r>
          </w:p>
          <w:p>
            <w:pPr>
              <w:pStyle w:val="25"/>
              <w:rPr>
                <w:rFonts w:hint="eastAsia"/>
                <w:highlight w:val="none"/>
              </w:rPr>
            </w:pPr>
          </w:p>
        </w:tc>
        <w:tc>
          <w:tcPr>
            <w:tcW w:w="1724" w:type="dxa"/>
            <w:vAlign w:val="center"/>
          </w:tcPr>
          <w:p>
            <w:pPr>
              <w:autoSpaceDE w:val="0"/>
              <w:autoSpaceDN w:val="0"/>
              <w:adjustRightInd w:val="0"/>
              <w:snapToGrid w:val="0"/>
              <w:rPr>
                <w:rFonts w:hint="eastAsia" w:ascii="Calibri" w:hAnsi="Calibri" w:eastAsia="宋体" w:cs="Times New Roman"/>
                <w:b w:val="0"/>
                <w:sz w:val="21"/>
                <w:szCs w:val="21"/>
                <w:highlight w:val="none"/>
                <w:vertAlign w:val="baseline"/>
                <w:lang w:eastAsia="zh-CN"/>
              </w:rPr>
            </w:pPr>
            <w:r>
              <w:rPr>
                <w:rFonts w:hint="eastAsia" w:ascii="Calibri" w:hAnsi="Calibri" w:eastAsia="宋体" w:cs="Times New Roman"/>
                <w:b w:val="0"/>
                <w:sz w:val="21"/>
                <w:szCs w:val="21"/>
                <w:highlight w:val="none"/>
                <w:vertAlign w:val="baseline"/>
                <w:lang w:eastAsia="zh-CN"/>
              </w:rPr>
              <w:t>施工组织方案与技术措施</w:t>
            </w:r>
          </w:p>
        </w:tc>
        <w:tc>
          <w:tcPr>
            <w:tcW w:w="529" w:type="dxa"/>
            <w:vAlign w:val="center"/>
          </w:tcPr>
          <w:p>
            <w:pPr>
              <w:autoSpaceDE w:val="0"/>
              <w:autoSpaceDN w:val="0"/>
              <w:adjustRightInd w:val="0"/>
              <w:snapToGrid w:val="0"/>
              <w:rPr>
                <w:rFonts w:hint="default" w:ascii="宋体" w:hAnsi="宋体" w:eastAsia="宋体" w:cs="宋体"/>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jc w:val="left"/>
              <w:rPr>
                <w:highlight w:val="none"/>
              </w:rPr>
            </w:pPr>
            <w:r>
              <w:rPr>
                <w:rFonts w:hint="eastAsia"/>
                <w:highlight w:val="none"/>
              </w:rPr>
              <w:t>1.优：有，且针对项目的特点，重点、难点分析到位，认识准确，有反映设备安装及调试等主要工序的工艺，并针对重点、难点分析情况，提出可行、有效、经济、安全的处理措施，得</w:t>
            </w:r>
            <w:r>
              <w:rPr>
                <w:rFonts w:hint="eastAsia"/>
                <w:highlight w:val="none"/>
                <w:lang w:val="en-US" w:eastAsia="zh-CN"/>
              </w:rPr>
              <w:t>8-10</w:t>
            </w:r>
            <w:r>
              <w:rPr>
                <w:rFonts w:hint="eastAsia"/>
                <w:highlight w:val="none"/>
              </w:rPr>
              <w:t>分；</w:t>
            </w:r>
          </w:p>
          <w:p>
            <w:pPr>
              <w:jc w:val="left"/>
              <w:rPr>
                <w:highlight w:val="none"/>
              </w:rPr>
            </w:pPr>
            <w:r>
              <w:rPr>
                <w:rFonts w:hint="eastAsia"/>
                <w:highlight w:val="none"/>
              </w:rPr>
              <w:t>2.良：有，且针对项目的特点，重点、难点分析基本到位，有反映设备安装及调试等主要工序的工艺，并针对重点、难点分析情况，提出合理的处理措施，得</w:t>
            </w:r>
            <w:r>
              <w:rPr>
                <w:rFonts w:hint="eastAsia"/>
                <w:highlight w:val="none"/>
                <w:lang w:val="en-US" w:eastAsia="zh-CN"/>
              </w:rPr>
              <w:t>6-7</w:t>
            </w:r>
            <w:r>
              <w:rPr>
                <w:rFonts w:hint="eastAsia"/>
                <w:highlight w:val="none"/>
              </w:rPr>
              <w:t>分；</w:t>
            </w:r>
          </w:p>
          <w:p>
            <w:pPr>
              <w:jc w:val="left"/>
              <w:rPr>
                <w:rFonts w:hint="eastAsia"/>
                <w:highlight w:val="none"/>
              </w:rPr>
            </w:pPr>
            <w:r>
              <w:rPr>
                <w:rFonts w:hint="eastAsia"/>
                <w:highlight w:val="none"/>
              </w:rPr>
              <w:t>3.差：有，且有项目重点、难点分析，有反映设备安装及调试等主要工序的工艺，得0-</w:t>
            </w:r>
            <w:r>
              <w:rPr>
                <w:rFonts w:hint="eastAsia"/>
                <w:highlight w:val="none"/>
                <w:lang w:val="en-US" w:eastAsia="zh-CN"/>
              </w:rPr>
              <w:t>5</w:t>
            </w:r>
            <w:r>
              <w:rPr>
                <w:rFonts w:hint="eastAsia"/>
                <w:highlight w:val="none"/>
              </w:rPr>
              <w:t>分；</w:t>
            </w:r>
          </w:p>
          <w:p>
            <w:pPr>
              <w:pStyle w:val="2"/>
              <w:rPr>
                <w:rFonts w:hint="eastAsia"/>
                <w:highlight w:val="none"/>
                <w:lang w:eastAsia="zh-CN"/>
              </w:rPr>
            </w:pPr>
            <w:r>
              <w:rPr>
                <w:rFonts w:hint="eastAsia" w:ascii="宋体" w:hAnsi="宋体" w:eastAsia="宋体" w:cs="宋体"/>
                <w:color w:val="auto"/>
                <w:szCs w:val="21"/>
                <w:highlight w:val="none"/>
              </w:rPr>
              <w:t>不提供方案不得分。</w:t>
            </w:r>
          </w:p>
        </w:tc>
        <w:tc>
          <w:tcPr>
            <w:tcW w:w="689" w:type="dxa"/>
            <w:vAlign w:val="center"/>
          </w:tcPr>
          <w:p>
            <w:pPr>
              <w:spacing w:line="360" w:lineRule="exact"/>
              <w:jc w:val="lef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39" w:type="dxa"/>
            <w:vMerge w:val="continue"/>
            <w:vAlign w:val="center"/>
          </w:tcPr>
          <w:p>
            <w:pPr>
              <w:spacing w:line="360" w:lineRule="exact"/>
              <w:jc w:val="left"/>
              <w:rPr>
                <w:rFonts w:hint="eastAsia" w:ascii="宋体" w:hAnsi="宋体" w:cs="宋体"/>
                <w:b w:val="0"/>
                <w:sz w:val="21"/>
                <w:szCs w:val="21"/>
                <w:highlight w:val="none"/>
                <w:vertAlign w:val="baseline"/>
              </w:rPr>
            </w:pPr>
          </w:p>
        </w:tc>
        <w:tc>
          <w:tcPr>
            <w:tcW w:w="1724" w:type="dxa"/>
            <w:vAlign w:val="center"/>
          </w:tcPr>
          <w:p>
            <w:pPr>
              <w:autoSpaceDE w:val="0"/>
              <w:autoSpaceDN w:val="0"/>
              <w:adjustRightInd w:val="0"/>
              <w:snapToGrid w:val="0"/>
              <w:rPr>
                <w:rFonts w:hint="eastAsia" w:ascii="宋体" w:hAnsi="宋体" w:eastAsia="宋体" w:cs="宋体"/>
                <w:b w:val="0"/>
                <w:sz w:val="21"/>
                <w:szCs w:val="21"/>
                <w:highlight w:val="none"/>
                <w:vertAlign w:val="baseline"/>
                <w:lang w:eastAsia="zh-CN"/>
              </w:rPr>
            </w:pPr>
            <w:r>
              <w:rPr>
                <w:rFonts w:hint="eastAsia" w:ascii="宋体" w:hAnsi="宋体" w:eastAsia="宋体" w:cs="宋体"/>
                <w:b w:val="0"/>
                <w:sz w:val="21"/>
                <w:szCs w:val="21"/>
                <w:highlight w:val="none"/>
                <w:vertAlign w:val="baseline"/>
                <w:lang w:eastAsia="zh-CN"/>
              </w:rPr>
              <w:t>工期计划</w:t>
            </w:r>
          </w:p>
        </w:tc>
        <w:tc>
          <w:tcPr>
            <w:tcW w:w="529" w:type="dxa"/>
            <w:vAlign w:val="center"/>
          </w:tcPr>
          <w:p>
            <w:pPr>
              <w:autoSpaceDE w:val="0"/>
              <w:autoSpaceDN w:val="0"/>
              <w:adjustRightInd w:val="0"/>
              <w:snapToGrid w:val="0"/>
              <w:rPr>
                <w:rFonts w:hint="default" w:ascii="宋体" w:hAnsi="宋体" w:cs="宋体"/>
                <w:b w:val="0"/>
                <w:sz w:val="21"/>
                <w:szCs w:val="21"/>
                <w:highlight w:val="none"/>
                <w:vertAlign w:val="baseline"/>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highlight w:val="none"/>
              </w:rPr>
            </w:pPr>
            <w:r>
              <w:rPr>
                <w:rFonts w:hint="eastAsia"/>
                <w:highlight w:val="none"/>
              </w:rPr>
              <w:t>1、优：从项目的前期准备、实施、验收、进度控制等方面考虑，工期及施工进度安排科学合理，有横道图和网络图，施工设备及材料安排等详细充分</w:t>
            </w:r>
            <w:r>
              <w:rPr>
                <w:rFonts w:hint="eastAsia"/>
                <w:highlight w:val="none"/>
                <w:lang w:val="en-US" w:eastAsia="zh-CN"/>
              </w:rPr>
              <w:t>,</w:t>
            </w:r>
            <w:r>
              <w:rPr>
                <w:rFonts w:hint="eastAsia"/>
                <w:highlight w:val="none"/>
              </w:rPr>
              <w:t>得</w:t>
            </w:r>
            <w:r>
              <w:rPr>
                <w:rFonts w:hint="eastAsia"/>
                <w:highlight w:val="none"/>
                <w:lang w:val="en-US" w:eastAsia="zh-CN"/>
              </w:rPr>
              <w:t>8-10</w:t>
            </w:r>
            <w:r>
              <w:rPr>
                <w:rFonts w:hint="eastAsia"/>
                <w:highlight w:val="none"/>
              </w:rPr>
              <w:t xml:space="preserve">分； </w:t>
            </w:r>
          </w:p>
          <w:p>
            <w:pPr>
              <w:autoSpaceDE w:val="0"/>
              <w:autoSpaceDN w:val="0"/>
              <w:adjustRightInd w:val="0"/>
              <w:snapToGrid w:val="0"/>
              <w:rPr>
                <w:highlight w:val="none"/>
              </w:rPr>
            </w:pPr>
            <w:r>
              <w:rPr>
                <w:rFonts w:hint="eastAsia"/>
                <w:highlight w:val="none"/>
              </w:rPr>
              <w:t>2、中：从项目的前期准备、实施、验收、进度控制等方面考虑，工期及施工进度安排合理，有横道图和网络图，施工设备及材料安排等合理，得</w:t>
            </w:r>
            <w:r>
              <w:rPr>
                <w:rFonts w:hint="eastAsia"/>
                <w:highlight w:val="none"/>
                <w:lang w:val="en-US" w:eastAsia="zh-CN"/>
              </w:rPr>
              <w:t>6-7</w:t>
            </w:r>
            <w:r>
              <w:rPr>
                <w:rFonts w:hint="eastAsia"/>
                <w:highlight w:val="none"/>
              </w:rPr>
              <w:t xml:space="preserve">分； </w:t>
            </w:r>
          </w:p>
          <w:p>
            <w:pPr>
              <w:autoSpaceDE w:val="0"/>
              <w:autoSpaceDN w:val="0"/>
              <w:adjustRightInd w:val="0"/>
              <w:snapToGrid w:val="0"/>
              <w:rPr>
                <w:rFonts w:hint="eastAsia"/>
                <w:highlight w:val="none"/>
              </w:rPr>
            </w:pPr>
            <w:r>
              <w:rPr>
                <w:rFonts w:hint="eastAsia"/>
                <w:highlight w:val="none"/>
              </w:rPr>
              <w:t>3、差：没有从项目的前期准备、实施、验收、进度控制等方面考虑，工期及施工进度安排基本合理，横道图和网络图不齐全，施工设备及材料的安排简单，得0-</w:t>
            </w:r>
            <w:r>
              <w:rPr>
                <w:rFonts w:hint="eastAsia"/>
                <w:highlight w:val="none"/>
                <w:lang w:val="en-US" w:eastAsia="zh-CN"/>
              </w:rPr>
              <w:t>5</w:t>
            </w:r>
            <w:r>
              <w:rPr>
                <w:rFonts w:hint="eastAsia"/>
                <w:highlight w:val="none"/>
              </w:rPr>
              <w:t xml:space="preserve">分。 </w:t>
            </w:r>
          </w:p>
          <w:p>
            <w:pPr>
              <w:pStyle w:val="2"/>
              <w:rPr>
                <w:rFonts w:hint="eastAsia"/>
                <w:highlight w:val="none"/>
              </w:rPr>
            </w:pPr>
            <w:r>
              <w:rPr>
                <w:rFonts w:hint="eastAsia" w:ascii="宋体" w:hAnsi="宋体" w:eastAsia="宋体" w:cs="宋体"/>
                <w:color w:val="auto"/>
                <w:szCs w:val="21"/>
                <w:highlight w:val="none"/>
              </w:rPr>
              <w:t>不提供方案不得分。</w:t>
            </w:r>
          </w:p>
        </w:tc>
        <w:tc>
          <w:tcPr>
            <w:tcW w:w="689" w:type="dxa"/>
            <w:vAlign w:val="center"/>
          </w:tcPr>
          <w:p>
            <w:pPr>
              <w:spacing w:line="240" w:lineRule="auto"/>
              <w:jc w:val="left"/>
              <w:rPr>
                <w:rFonts w:hint="default"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539" w:type="dxa"/>
            <w:vMerge w:val="continue"/>
            <w:vAlign w:val="center"/>
          </w:tcPr>
          <w:p>
            <w:pPr>
              <w:spacing w:line="240" w:lineRule="auto"/>
              <w:jc w:val="left"/>
              <w:rPr>
                <w:rFonts w:hint="eastAsia" w:ascii="宋体" w:hAnsi="宋体" w:cs="宋体"/>
                <w:b w:val="0"/>
                <w:sz w:val="21"/>
                <w:szCs w:val="21"/>
                <w:highlight w:val="none"/>
                <w:vertAlign w:val="baseline"/>
              </w:rPr>
            </w:pPr>
          </w:p>
        </w:tc>
        <w:tc>
          <w:tcPr>
            <w:tcW w:w="1724" w:type="dxa"/>
            <w:vAlign w:val="center"/>
          </w:tcPr>
          <w:p>
            <w:pPr>
              <w:autoSpaceDE w:val="0"/>
              <w:autoSpaceDN w:val="0"/>
              <w:adjustRightInd w:val="0"/>
              <w:snapToGrid w:val="0"/>
              <w:rPr>
                <w:rFonts w:hint="eastAsia" w:ascii="宋体" w:hAnsi="宋体" w:cs="宋体"/>
                <w:szCs w:val="21"/>
                <w:highlight w:val="none"/>
              </w:rPr>
            </w:pPr>
            <w:r>
              <w:rPr>
                <w:rFonts w:hint="eastAsia" w:ascii="宋体" w:hAnsi="宋体" w:cs="宋体"/>
                <w:szCs w:val="21"/>
                <w:highlight w:val="none"/>
              </w:rPr>
              <w:t>施工质量目标</w:t>
            </w:r>
          </w:p>
        </w:tc>
        <w:tc>
          <w:tcPr>
            <w:tcW w:w="529" w:type="dxa"/>
            <w:vAlign w:val="center"/>
          </w:tcPr>
          <w:p>
            <w:pPr>
              <w:autoSpaceDE w:val="0"/>
              <w:autoSpaceDN w:val="0"/>
              <w:adjustRightInd w:val="0"/>
              <w:snapToGrid w:val="0"/>
              <w:rPr>
                <w:rFonts w:hint="default" w:ascii="宋体" w:hAnsi="宋体" w:eastAsia="宋体" w:cs="宋体"/>
                <w:b w:val="0"/>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质量目标符合工程实际，有管理组织机构及职责，主要职责无遗漏，职责界面清晰，质量管理制度完备，质量管理覆盖全面，质量保证管理、技术及工艺控制措施可行、有效、有针对性，满足质量管理要求，针对工程特殊部位、薄弱环节、重大方案有针对性的控制措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质量目标基本符合工程实际，有管理组织机构及职责，主要职责清晰，有基本的质量管理制度，质量管理覆盖全面，质量保证管理、技术及工艺控制措施合理，满足质量管理要求，工程特殊部位、薄弱环节、重大方案较简单，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3、差：质量目标简单，有管理组织机构及职责，有基本 的质量管理制度，质量管理覆盖不全面，质量保证管理、技术及工艺控制措施基本可行，基本满足质量管理要求，得0-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pPr>
              <w:autoSpaceDE w:val="0"/>
              <w:autoSpaceDN w:val="0"/>
              <w:adjustRightInd w:val="0"/>
              <w:snapToGrid w:val="0"/>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szCs w:val="21"/>
                <w:highlight w:val="none"/>
              </w:rPr>
              <w:t>不提供方案不得分。</w:t>
            </w:r>
            <w:r>
              <w:rPr>
                <w:rFonts w:hint="eastAsia" w:ascii="宋体" w:hAnsi="宋体" w:eastAsia="宋体" w:cs="宋体"/>
                <w:color w:val="auto"/>
                <w:spacing w:val="-5"/>
                <w:szCs w:val="21"/>
                <w:highlight w:val="none"/>
              </w:rPr>
              <w:t xml:space="preserve"> </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39" w:type="dxa"/>
            <w:vMerge w:val="continue"/>
            <w:vAlign w:val="center"/>
          </w:tcPr>
          <w:p>
            <w:pPr>
              <w:spacing w:line="240" w:lineRule="auto"/>
              <w:jc w:val="left"/>
              <w:rPr>
                <w:rFonts w:hint="eastAsia" w:ascii="宋体" w:hAnsi="宋体" w:cs="宋体"/>
                <w:b w:val="0"/>
                <w:sz w:val="21"/>
                <w:szCs w:val="21"/>
                <w:highlight w:val="none"/>
                <w:vertAlign w:val="baseline"/>
              </w:rPr>
            </w:pPr>
          </w:p>
        </w:tc>
        <w:tc>
          <w:tcPr>
            <w:tcW w:w="1724" w:type="dxa"/>
            <w:vAlign w:val="center"/>
          </w:tcPr>
          <w:p>
            <w:pPr>
              <w:autoSpaceDE w:val="0"/>
              <w:autoSpaceDN w:val="0"/>
              <w:adjustRightInd w:val="0"/>
              <w:snapToGrid w:val="0"/>
              <w:rPr>
                <w:rFonts w:hint="default" w:eastAsia="宋体"/>
                <w:szCs w:val="21"/>
                <w:highlight w:val="none"/>
                <w:lang w:val="en-US" w:eastAsia="zh-CN"/>
              </w:rPr>
            </w:pPr>
            <w:r>
              <w:rPr>
                <w:rFonts w:hint="default" w:eastAsia="宋体"/>
                <w:szCs w:val="21"/>
                <w:highlight w:val="none"/>
                <w:lang w:val="en-US" w:eastAsia="zh-CN"/>
              </w:rPr>
              <w:t>服务响应及保障能力</w:t>
            </w:r>
          </w:p>
        </w:tc>
        <w:tc>
          <w:tcPr>
            <w:tcW w:w="529" w:type="dxa"/>
            <w:vAlign w:val="center"/>
          </w:tcPr>
          <w:p>
            <w:pPr>
              <w:autoSpaceDE w:val="0"/>
              <w:autoSpaceDN w:val="0"/>
              <w:adjustRightInd w:val="0"/>
              <w:snapToGrid w:val="0"/>
              <w:rPr>
                <w:rFonts w:hint="eastAsia" w:ascii="宋体" w:hAnsi="宋体" w:cs="宋体"/>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1、优：有完善的服务响应机制，配备满足施工需求及服务响应需求的工程车辆（15 辆或以上，年检均在有效期内），能在30 分钟内快速响应，解决施工中或售后发生的故障，得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2、中：有完善的服务响应机制，配备满足施工需求及服务响应需求的工程车辆（8-14辆及以上，年检均在有效期内），能在45 分钟内快速响应，解决施工中或售后发生的故障，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3、差：有合理的服务响应机制，配备较为满足施工需求或服务响应需求的工程车辆（1-7辆，年检均在有效期内），能在90分钟内响应，解决施工中或售后发生的故障，得0-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pPr>
              <w:autoSpaceDE w:val="0"/>
              <w:autoSpaceDN w:val="0"/>
              <w:adjustRightInd w:val="0"/>
              <w:snapToGrid w:val="0"/>
              <w:rPr>
                <w:rFonts w:hint="default" w:ascii="宋体" w:hAnsi="宋体" w:eastAsia="宋体" w:cs="宋体"/>
                <w:kern w:val="2"/>
                <w:szCs w:val="21"/>
                <w:highlight w:val="none"/>
                <w:lang w:val="en-US" w:eastAsia="zh-CN"/>
              </w:rPr>
            </w:pPr>
            <w:r>
              <w:rPr>
                <w:rFonts w:hint="eastAsia" w:ascii="宋体" w:hAnsi="宋体" w:eastAsia="宋体" w:cs="宋体"/>
                <w:color w:val="auto"/>
                <w:szCs w:val="21"/>
                <w:highlight w:val="none"/>
              </w:rPr>
              <w:t>不提供方案不得分。</w:t>
            </w:r>
            <w:r>
              <w:rPr>
                <w:rFonts w:hint="eastAsia" w:ascii="宋体" w:hAnsi="宋体" w:eastAsia="宋体" w:cs="宋体"/>
                <w:color w:val="auto"/>
                <w:spacing w:val="-5"/>
                <w:szCs w:val="21"/>
                <w:highlight w:val="none"/>
              </w:rPr>
              <w:t xml:space="preserve"> </w:t>
            </w:r>
          </w:p>
        </w:tc>
        <w:tc>
          <w:tcPr>
            <w:tcW w:w="689"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39" w:type="dxa"/>
            <w:vMerge w:val="continue"/>
            <w:vAlign w:val="center"/>
          </w:tcPr>
          <w:p>
            <w:pPr>
              <w:spacing w:line="240" w:lineRule="auto"/>
              <w:jc w:val="left"/>
              <w:rPr>
                <w:rFonts w:hint="eastAsia" w:ascii="宋体" w:hAnsi="宋体" w:cs="宋体"/>
                <w:b w:val="0"/>
                <w:sz w:val="21"/>
                <w:szCs w:val="21"/>
                <w:highlight w:val="none"/>
                <w:vertAlign w:val="baseline"/>
              </w:rPr>
            </w:pPr>
          </w:p>
        </w:tc>
        <w:tc>
          <w:tcPr>
            <w:tcW w:w="1724" w:type="dxa"/>
            <w:vAlign w:val="center"/>
          </w:tcPr>
          <w:p>
            <w:pPr>
              <w:autoSpaceDE w:val="0"/>
              <w:autoSpaceDN w:val="0"/>
              <w:adjustRightInd w:val="0"/>
              <w:snapToGrid w:val="0"/>
              <w:rPr>
                <w:rFonts w:hint="eastAsia"/>
                <w:szCs w:val="21"/>
                <w:highlight w:val="none"/>
                <w:lang w:val="en-US" w:eastAsia="zh-CN"/>
              </w:rPr>
            </w:pPr>
            <w:r>
              <w:rPr>
                <w:rFonts w:hint="eastAsia"/>
                <w:szCs w:val="21"/>
                <w:highlight w:val="none"/>
                <w:lang w:val="en-US" w:eastAsia="zh-CN"/>
              </w:rPr>
              <w:t>施工安全、文明施工与环境保护保障措施</w:t>
            </w:r>
          </w:p>
        </w:tc>
        <w:tc>
          <w:tcPr>
            <w:tcW w:w="529" w:type="dxa"/>
            <w:vAlign w:val="center"/>
          </w:tcPr>
          <w:p>
            <w:pPr>
              <w:autoSpaceDE w:val="0"/>
              <w:autoSpaceDN w:val="0"/>
              <w:adjustRightInd w:val="0"/>
              <w:snapToGrid w:val="0"/>
              <w:rPr>
                <w:rFonts w:hint="eastAsia" w:ascii="宋体" w:hAnsi="宋体" w:cs="宋体"/>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pStyle w:val="10"/>
              <w:rPr>
                <w:rFonts w:hint="eastAsia"/>
                <w:highlight w:val="none"/>
              </w:rPr>
            </w:pPr>
            <w:r>
              <w:rPr>
                <w:rFonts w:hint="eastAsia"/>
                <w:highlight w:val="none"/>
              </w:rPr>
              <w:t>1、优：</w:t>
            </w:r>
            <w:r>
              <w:rPr>
                <w:rFonts w:hint="eastAsia"/>
                <w:highlight w:val="none"/>
                <w:lang w:eastAsia="zh-CN"/>
              </w:rPr>
              <w:t>安全</w:t>
            </w:r>
            <w:r>
              <w:rPr>
                <w:rFonts w:hint="eastAsia"/>
                <w:highlight w:val="none"/>
                <w:lang w:val="en-US" w:eastAsia="zh-CN"/>
              </w:rPr>
              <w:t>及文明施工</w:t>
            </w:r>
            <w:r>
              <w:rPr>
                <w:rFonts w:hint="eastAsia"/>
                <w:highlight w:val="none"/>
                <w:lang w:eastAsia="zh-CN"/>
              </w:rPr>
              <w:t>组织</w:t>
            </w:r>
            <w:r>
              <w:rPr>
                <w:rFonts w:hint="eastAsia"/>
                <w:highlight w:val="none"/>
                <w:lang w:val="en-US" w:eastAsia="zh-CN"/>
              </w:rPr>
              <w:t>管理、</w:t>
            </w:r>
            <w:r>
              <w:rPr>
                <w:rFonts w:hint="eastAsia"/>
                <w:highlight w:val="none"/>
                <w:lang w:eastAsia="zh-CN"/>
              </w:rPr>
              <w:t>技术措施全面</w:t>
            </w:r>
            <w:r>
              <w:rPr>
                <w:rFonts w:hint="eastAsia"/>
                <w:highlight w:val="none"/>
                <w:lang w:val="en-US" w:eastAsia="zh-CN"/>
              </w:rPr>
              <w:t>并</w:t>
            </w:r>
            <w:r>
              <w:rPr>
                <w:rFonts w:hint="eastAsia"/>
                <w:highlight w:val="none"/>
                <w:lang w:eastAsia="zh-CN"/>
              </w:rPr>
              <w:t>符合相关规定</w:t>
            </w:r>
            <w:r>
              <w:rPr>
                <w:rFonts w:hint="eastAsia"/>
                <w:highlight w:val="none"/>
                <w:lang w:val="en-US" w:eastAsia="zh-CN"/>
              </w:rPr>
              <w:t>要求</w:t>
            </w:r>
            <w:r>
              <w:rPr>
                <w:rFonts w:hint="eastAsia"/>
                <w:highlight w:val="none"/>
                <w:lang w:eastAsia="zh-CN"/>
              </w:rPr>
              <w:t>，对工程危险点、薄弱环节分析到位，</w:t>
            </w:r>
            <w:r>
              <w:rPr>
                <w:rFonts w:hint="eastAsia"/>
                <w:highlight w:val="none"/>
                <w:lang w:val="en-US" w:eastAsia="zh-CN"/>
              </w:rPr>
              <w:t>提出的预案及</w:t>
            </w:r>
            <w:r>
              <w:rPr>
                <w:rFonts w:hint="eastAsia"/>
                <w:highlight w:val="none"/>
              </w:rPr>
              <w:t>保证措施</w:t>
            </w:r>
            <w:r>
              <w:rPr>
                <w:rFonts w:hint="eastAsia"/>
                <w:highlight w:val="none"/>
                <w:lang w:val="en-US" w:eastAsia="zh-CN"/>
              </w:rPr>
              <w:t>完整、合理</w:t>
            </w:r>
            <w:r>
              <w:rPr>
                <w:rFonts w:hint="eastAsia"/>
                <w:highlight w:val="none"/>
                <w:lang w:eastAsia="zh-CN"/>
              </w:rPr>
              <w:t>、</w:t>
            </w:r>
            <w:r>
              <w:rPr>
                <w:rFonts w:hint="eastAsia"/>
                <w:highlight w:val="none"/>
              </w:rPr>
              <w:t>操作性强，得</w:t>
            </w:r>
            <w:r>
              <w:rPr>
                <w:rFonts w:hint="eastAsia"/>
                <w:highlight w:val="none"/>
                <w:lang w:val="en-US" w:eastAsia="zh-CN"/>
              </w:rPr>
              <w:t>8-10</w:t>
            </w:r>
            <w:r>
              <w:rPr>
                <w:rFonts w:hint="eastAsia"/>
                <w:highlight w:val="none"/>
              </w:rPr>
              <w:t>分；</w:t>
            </w:r>
          </w:p>
          <w:p>
            <w:pPr>
              <w:pStyle w:val="10"/>
              <w:rPr>
                <w:rFonts w:hint="eastAsia"/>
                <w:highlight w:val="none"/>
              </w:rPr>
            </w:pPr>
            <w:r>
              <w:rPr>
                <w:rFonts w:hint="eastAsia"/>
                <w:highlight w:val="none"/>
              </w:rPr>
              <w:t xml:space="preserve">2、中：安全及文明施工组织管理、技术措施合理并符合相关规定要求，有对工程危险点、薄弱环节的分析，提出的预案及保证措施基本完整、基本合理、具有可操作性， 得6-7分； </w:t>
            </w:r>
          </w:p>
          <w:p>
            <w:pPr>
              <w:pStyle w:val="10"/>
              <w:rPr>
                <w:rFonts w:hint="eastAsia"/>
                <w:highlight w:val="none"/>
              </w:rPr>
            </w:pPr>
            <w:r>
              <w:rPr>
                <w:rFonts w:hint="eastAsia"/>
                <w:highlight w:val="none"/>
              </w:rPr>
              <w:t xml:space="preserve">3、差：有安全及文明施工组织管理、技术措施，提出的预案及保证措施基本符合项目要求，得0-5分。 </w:t>
            </w:r>
          </w:p>
          <w:p>
            <w:pPr>
              <w:rPr>
                <w:rFonts w:hint="eastAsia"/>
                <w:highlight w:val="none"/>
                <w:lang w:val="en-US" w:eastAsia="zh-CN"/>
              </w:rPr>
            </w:pPr>
            <w:r>
              <w:rPr>
                <w:rFonts w:hint="eastAsia" w:ascii="宋体" w:hAnsi="宋体" w:eastAsia="宋体" w:cs="宋体"/>
                <w:color w:val="auto"/>
                <w:szCs w:val="21"/>
                <w:highlight w:val="none"/>
              </w:rPr>
              <w:t>不提供方案不得分。</w:t>
            </w:r>
          </w:p>
        </w:tc>
        <w:tc>
          <w:tcPr>
            <w:tcW w:w="689"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63" w:type="dxa"/>
            <w:gridSpan w:val="2"/>
            <w:vAlign w:val="center"/>
          </w:tcPr>
          <w:p>
            <w:pPr>
              <w:jc w:val="center"/>
              <w:rPr>
                <w:rFonts w:hint="eastAsia"/>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pPr>
              <w:spacing w:line="220" w:lineRule="exact"/>
              <w:ind w:left="-2" w:leftChars="-1"/>
              <w:jc w:val="center"/>
              <w:rPr>
                <w:rFonts w:hint="eastAsia"/>
                <w:szCs w:val="21"/>
                <w:highlight w:val="none"/>
                <w:lang w:val="en-US" w:eastAsia="zh-CN"/>
              </w:rPr>
            </w:pPr>
            <w:r>
              <w:rPr>
                <w:rFonts w:hint="eastAsia" w:ascii="宋体" w:hAnsi="宋体" w:eastAsia="宋体" w:cs="宋体"/>
                <w:color w:val="auto"/>
                <w:szCs w:val="21"/>
                <w:highlight w:val="none"/>
              </w:rPr>
              <w:t>100</w:t>
            </w:r>
          </w:p>
        </w:tc>
        <w:tc>
          <w:tcPr>
            <w:tcW w:w="8075" w:type="dxa"/>
            <w:vAlign w:val="center"/>
          </w:tcPr>
          <w:p>
            <w:pPr>
              <w:spacing w:line="220" w:lineRule="exact"/>
              <w:ind w:left="-2" w:leftChars="-1"/>
              <w:rPr>
                <w:rFonts w:hint="eastAsia" w:ascii="宋体" w:hAnsi="宋体" w:cs="宋体"/>
                <w:kern w:val="2"/>
                <w:szCs w:val="21"/>
                <w:highlight w:val="none"/>
                <w:lang w:val="en-US" w:eastAsia="zh-CN"/>
              </w:rPr>
            </w:pPr>
          </w:p>
        </w:tc>
        <w:tc>
          <w:tcPr>
            <w:tcW w:w="689" w:type="dxa"/>
            <w:vAlign w:val="center"/>
          </w:tcPr>
          <w:p>
            <w:pPr>
              <w:spacing w:line="240" w:lineRule="auto"/>
              <w:jc w:val="left"/>
              <w:rPr>
                <w:rFonts w:hint="eastAsia" w:ascii="宋体" w:hAnsi="宋体" w:eastAsia="宋体" w:cs="宋体"/>
                <w:kern w:val="2"/>
                <w:szCs w:val="21"/>
                <w:highlight w:val="none"/>
              </w:rPr>
            </w:pPr>
          </w:p>
        </w:tc>
      </w:tr>
    </w:tbl>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pStyle w:val="27"/>
        <w:rPr>
          <w:rFonts w:hint="eastAsia" w:ascii="宋体" w:hAnsi="宋体" w:cs="宋体"/>
          <w:color w:val="auto"/>
          <w:szCs w:val="21"/>
          <w:highlight w:val="none"/>
          <w:lang w:val="en-US" w:eastAsia="zh-CN"/>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630" w:firstLineChars="300"/>
        <w:rPr>
          <w:rFonts w:ascii="Calibri" w:hAnsi="Calibri" w:eastAsia="宋体" w:cs="Times New Roman"/>
          <w:color w:val="auto"/>
          <w:highlight w:val="none"/>
        </w:rPr>
      </w:pPr>
      <w:r>
        <w:rPr>
          <w:rFonts w:hint="eastAsia" w:ascii="宋体" w:hAnsi="宋体" w:eastAsia="宋体" w:cs="Times New Roman"/>
          <w:b w:val="0"/>
          <w:bCs/>
          <w:color w:val="auto"/>
          <w:sz w:val="21"/>
          <w:szCs w:val="21"/>
          <w:highlight w:val="none"/>
        </w:rPr>
        <w:t>评标专家</w:t>
      </w:r>
      <w:r>
        <w:rPr>
          <w:rFonts w:hint="eastAsia" w:ascii="宋体" w:hAnsi="宋体" w:eastAsia="宋体" w:cs="Times New Roman"/>
          <w:b w:val="0"/>
          <w:bCs/>
          <w:color w:val="auto"/>
          <w:sz w:val="21"/>
          <w:szCs w:val="21"/>
          <w:highlight w:val="none"/>
          <w:lang w:val="en-US" w:eastAsia="zh-CN"/>
        </w:rPr>
        <w:t>签名：                                                      日期：</w:t>
      </w:r>
    </w:p>
    <w:bookmarkEnd w:id="72"/>
    <w:bookmarkEnd w:id="73"/>
    <w:bookmarkEnd w:id="74"/>
    <w:bookmarkEnd w:id="75"/>
    <w:bookmarkEnd w:id="76"/>
    <w:bookmarkEnd w:id="77"/>
    <w:bookmarkEnd w:id="78"/>
    <w:bookmarkEnd w:id="79"/>
    <w:bookmarkEnd w:id="80"/>
    <w:bookmarkEnd w:id="81"/>
    <w:bookmarkEnd w:id="82"/>
    <w:bookmarkEnd w:id="83"/>
    <w:bookmarkEnd w:id="84"/>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snapToGrid w:val="0"/>
        <w:spacing w:line="20" w:lineRule="atLeast"/>
        <w:jc w:val="left"/>
        <w:rPr>
          <w:rFonts w:hint="eastAsia" w:ascii="宋体" w:hAnsi="宋体"/>
          <w:color w:val="auto"/>
          <w:sz w:val="21"/>
          <w:szCs w:val="21"/>
          <w:highlight w:val="none"/>
        </w:rPr>
      </w:pPr>
    </w:p>
    <w:p>
      <w:pPr>
        <w:pStyle w:val="27"/>
        <w:rPr>
          <w:rFonts w:hint="default" w:ascii="宋体" w:hAnsi="宋体" w:cs="宋体"/>
          <w:color w:val="auto"/>
          <w:szCs w:val="21"/>
          <w:highlight w:val="none"/>
          <w:lang w:val="en-US" w:eastAsia="zh-CN"/>
        </w:rPr>
      </w:pPr>
    </w:p>
    <w:tbl>
      <w:tblPr>
        <w:tblStyle w:val="18"/>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700"/>
        <w:gridCol w:w="1409"/>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40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bl>
    <w:p>
      <w:pPr>
        <w:pStyle w:val="10"/>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5" w:name="_Toc17298"/>
      <w:bookmarkStart w:id="86" w:name="_Toc17435"/>
      <w:bookmarkStart w:id="87" w:name="_Toc17392"/>
      <w:bookmarkStart w:id="88" w:name="_Toc17416"/>
      <w:bookmarkStart w:id="89" w:name="_Toc10364"/>
      <w:bookmarkStart w:id="90" w:name="_Toc27349"/>
      <w:bookmarkStart w:id="91" w:name="_Toc485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5"/>
      <w:bookmarkEnd w:id="86"/>
      <w:bookmarkEnd w:id="87"/>
      <w:bookmarkEnd w:id="88"/>
      <w:bookmarkEnd w:id="89"/>
      <w:bookmarkEnd w:id="90"/>
      <w:bookmarkEnd w:id="91"/>
    </w:p>
    <w:p>
      <w:pPr>
        <w:pStyle w:val="42"/>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42"/>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南沙滨海音乐节地块临电箱变工程</w:t>
      </w:r>
      <w:r>
        <w:rPr>
          <w:rFonts w:hint="eastAsia" w:ascii="宋体" w:hAnsi="宋体" w:eastAsia="宋体"/>
          <w:color w:val="auto"/>
          <w:sz w:val="24"/>
          <w:szCs w:val="24"/>
          <w:highlight w:val="none"/>
        </w:rPr>
        <w:t>投标工作，做出郑重声明：</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2"/>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3"/>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2"/>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2"/>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0"/>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10"/>
        <w:rPr>
          <w:rFonts w:hint="default"/>
          <w:color w:val="auto"/>
          <w:highlight w:val="none"/>
        </w:rPr>
      </w:pPr>
    </w:p>
    <w:p>
      <w:pPr>
        <w:rPr>
          <w:rFonts w:hint="default"/>
          <w:color w:val="auto"/>
          <w:highlight w:val="none"/>
        </w:rPr>
      </w:pPr>
    </w:p>
    <w:p>
      <w:pPr>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2" w:name="_Toc24807"/>
      <w:bookmarkStart w:id="93" w:name="_Toc3465"/>
      <w:bookmarkStart w:id="94" w:name="_Toc26871"/>
      <w:bookmarkStart w:id="95" w:name="_Toc17693"/>
      <w:bookmarkStart w:id="96" w:name="_Toc9237"/>
      <w:r>
        <w:rPr>
          <w:rFonts w:hint="eastAsia" w:ascii="宋体" w:hAnsi="宋体" w:cs="宋体" w:eastAsiaTheme="minorEastAsia"/>
          <w:b/>
          <w:color w:val="auto"/>
          <w:kern w:val="0"/>
          <w:sz w:val="28"/>
          <w:szCs w:val="28"/>
          <w:highlight w:val="none"/>
          <w:lang w:val="en-US" w:eastAsia="zh-CN"/>
        </w:rPr>
        <w:t>非联合体投标声明（格式自拟）</w:t>
      </w:r>
      <w:bookmarkEnd w:id="92"/>
      <w:bookmarkEnd w:id="93"/>
      <w:bookmarkEnd w:id="94"/>
      <w:bookmarkEnd w:id="95"/>
      <w:bookmarkEnd w:id="9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仪细圆简">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32452743"/>
    <w:multiLevelType w:val="singleLevel"/>
    <w:tmpl w:val="32452743"/>
    <w:lvl w:ilvl="0" w:tentative="0">
      <w:start w:val="5"/>
      <w:numFmt w:val="decimal"/>
      <w:suff w:val="space"/>
      <w:lvlText w:val="第%1章"/>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E3F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175F28"/>
    <w:rsid w:val="01E200EE"/>
    <w:rsid w:val="01E52F34"/>
    <w:rsid w:val="025A13E2"/>
    <w:rsid w:val="02C80459"/>
    <w:rsid w:val="02E9680F"/>
    <w:rsid w:val="02F7533D"/>
    <w:rsid w:val="030457ED"/>
    <w:rsid w:val="03562994"/>
    <w:rsid w:val="03CB6D70"/>
    <w:rsid w:val="04364A4F"/>
    <w:rsid w:val="04376975"/>
    <w:rsid w:val="04D330E5"/>
    <w:rsid w:val="04E40895"/>
    <w:rsid w:val="05031424"/>
    <w:rsid w:val="050E236F"/>
    <w:rsid w:val="051B7598"/>
    <w:rsid w:val="052E78DA"/>
    <w:rsid w:val="0557469B"/>
    <w:rsid w:val="059A410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DA863B4"/>
    <w:rsid w:val="0DEF1012"/>
    <w:rsid w:val="0E1B10A8"/>
    <w:rsid w:val="0E80564C"/>
    <w:rsid w:val="0EA03B8A"/>
    <w:rsid w:val="0EAC0C18"/>
    <w:rsid w:val="0EB25F9A"/>
    <w:rsid w:val="0EE07B74"/>
    <w:rsid w:val="0F656FB0"/>
    <w:rsid w:val="0F8D0176"/>
    <w:rsid w:val="0F912314"/>
    <w:rsid w:val="0FD73768"/>
    <w:rsid w:val="10A4638E"/>
    <w:rsid w:val="10D83B3D"/>
    <w:rsid w:val="11135DC8"/>
    <w:rsid w:val="11235643"/>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5EC4007"/>
    <w:rsid w:val="16007AF5"/>
    <w:rsid w:val="163A7468"/>
    <w:rsid w:val="16853385"/>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4306F9"/>
    <w:rsid w:val="1C9203A6"/>
    <w:rsid w:val="1D50519A"/>
    <w:rsid w:val="1E032835"/>
    <w:rsid w:val="1E562810"/>
    <w:rsid w:val="1E7A1CAB"/>
    <w:rsid w:val="1EBD45C4"/>
    <w:rsid w:val="1F1C5732"/>
    <w:rsid w:val="1F584BD1"/>
    <w:rsid w:val="205D447F"/>
    <w:rsid w:val="206E043A"/>
    <w:rsid w:val="20AD4C4C"/>
    <w:rsid w:val="21076203"/>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8D70FCF"/>
    <w:rsid w:val="29051210"/>
    <w:rsid w:val="296119D7"/>
    <w:rsid w:val="2A7B29A6"/>
    <w:rsid w:val="2A97100B"/>
    <w:rsid w:val="2B401296"/>
    <w:rsid w:val="2BEC17AE"/>
    <w:rsid w:val="2C1B0D4A"/>
    <w:rsid w:val="2C5357E2"/>
    <w:rsid w:val="2D0635AD"/>
    <w:rsid w:val="2D57219F"/>
    <w:rsid w:val="2DB80F46"/>
    <w:rsid w:val="2DDB1EBF"/>
    <w:rsid w:val="2DE261EA"/>
    <w:rsid w:val="2DE71DA9"/>
    <w:rsid w:val="2DF963B5"/>
    <w:rsid w:val="2E6C5CB5"/>
    <w:rsid w:val="2EC40C57"/>
    <w:rsid w:val="2EE433BF"/>
    <w:rsid w:val="2F9B6BBA"/>
    <w:rsid w:val="2FEA73B1"/>
    <w:rsid w:val="30136E93"/>
    <w:rsid w:val="30334755"/>
    <w:rsid w:val="30EC6390"/>
    <w:rsid w:val="311233CC"/>
    <w:rsid w:val="31B57180"/>
    <w:rsid w:val="321A656D"/>
    <w:rsid w:val="3283717A"/>
    <w:rsid w:val="330D305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1A3A95"/>
    <w:rsid w:val="4735560E"/>
    <w:rsid w:val="47413F22"/>
    <w:rsid w:val="4792678F"/>
    <w:rsid w:val="47E03B89"/>
    <w:rsid w:val="481D5A38"/>
    <w:rsid w:val="487975A7"/>
    <w:rsid w:val="4894357A"/>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154372"/>
    <w:rsid w:val="54386D63"/>
    <w:rsid w:val="54A36172"/>
    <w:rsid w:val="54BC0EE8"/>
    <w:rsid w:val="54BF6370"/>
    <w:rsid w:val="55055F70"/>
    <w:rsid w:val="552A0B5D"/>
    <w:rsid w:val="55D41C4B"/>
    <w:rsid w:val="5702252D"/>
    <w:rsid w:val="572444C0"/>
    <w:rsid w:val="57692898"/>
    <w:rsid w:val="576D49E8"/>
    <w:rsid w:val="57951FF3"/>
    <w:rsid w:val="579C393A"/>
    <w:rsid w:val="583D3C73"/>
    <w:rsid w:val="59205A63"/>
    <w:rsid w:val="594F1692"/>
    <w:rsid w:val="59566C52"/>
    <w:rsid w:val="597674DD"/>
    <w:rsid w:val="59F07874"/>
    <w:rsid w:val="5A416E84"/>
    <w:rsid w:val="5AAF5CCA"/>
    <w:rsid w:val="5B6E68B8"/>
    <w:rsid w:val="5B8D6C19"/>
    <w:rsid w:val="5BAA698D"/>
    <w:rsid w:val="5BCE61FA"/>
    <w:rsid w:val="5C4F2C59"/>
    <w:rsid w:val="5C9B134E"/>
    <w:rsid w:val="5DAA1580"/>
    <w:rsid w:val="5DF14932"/>
    <w:rsid w:val="5DFF04E8"/>
    <w:rsid w:val="5E1A6FB5"/>
    <w:rsid w:val="5E7A3CE2"/>
    <w:rsid w:val="5E960581"/>
    <w:rsid w:val="5F355496"/>
    <w:rsid w:val="5F8349F8"/>
    <w:rsid w:val="5F865CD7"/>
    <w:rsid w:val="5FB4440E"/>
    <w:rsid w:val="5FDC4484"/>
    <w:rsid w:val="60BA0556"/>
    <w:rsid w:val="60C85AB3"/>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9A1245C"/>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273A98"/>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6"/>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Plain Text"/>
    <w:basedOn w:val="1"/>
    <w:next w:val="1"/>
    <w:link w:val="39"/>
    <w:qFormat/>
    <w:uiPriority w:val="0"/>
    <w:rPr>
      <w:rFonts w:hint="eastAsia" w:ascii="宋体" w:hAnsi="Courier New" w:eastAsia="宋体" w:cs="Times New Roman"/>
      <w:szCs w:val="21"/>
    </w:rPr>
  </w:style>
  <w:style w:type="paragraph" w:styleId="11">
    <w:name w:val="Balloon Text"/>
    <w:basedOn w:val="1"/>
    <w:link w:val="37"/>
    <w:qFormat/>
    <w:uiPriority w:val="0"/>
    <w:rPr>
      <w:sz w:val="18"/>
      <w:szCs w:val="18"/>
    </w:rPr>
  </w:style>
  <w:style w:type="paragraph" w:styleId="12">
    <w:name w:val="footer"/>
    <w:basedOn w:val="1"/>
    <w:link w:val="36"/>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2"/>
    <w:link w:val="40"/>
    <w:qFormat/>
    <w:uiPriority w:val="0"/>
    <w:pPr>
      <w:spacing w:beforeAutospacing="1" w:after="120"/>
      <w:ind w:firstLine="420"/>
    </w:pPr>
    <w:rPr>
      <w:rFonts w:ascii="Times New Roman" w:hAnsi="Times New Roman" w:eastAsia="宋体" w:cs="Times New Roman"/>
      <w:szCs w:val="21"/>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FollowedHyperlink"/>
    <w:basedOn w:val="20"/>
    <w:qFormat/>
    <w:uiPriority w:val="0"/>
    <w:rPr>
      <w:color w:val="0000FF"/>
      <w:u w:val="single"/>
    </w:rPr>
  </w:style>
  <w:style w:type="character" w:styleId="23">
    <w:name w:val="Hyperlink"/>
    <w:basedOn w:val="20"/>
    <w:qFormat/>
    <w:uiPriority w:val="0"/>
    <w:rPr>
      <w:color w:val="0000FF"/>
      <w:u w:val="single"/>
    </w:rPr>
  </w:style>
  <w:style w:type="paragraph" w:customStyle="1" w:styleId="24">
    <w:name w:val="Default"/>
    <w:qFormat/>
    <w:uiPriority w:val="0"/>
    <w:pPr>
      <w:widowControl w:val="0"/>
      <w:autoSpaceDE w:val="0"/>
      <w:autoSpaceDN w:val="0"/>
      <w:adjustRightInd w:val="0"/>
      <w:spacing w:line="276" w:lineRule="auto"/>
      <w:jc w:val="both"/>
    </w:pPr>
    <w:rPr>
      <w:rFonts w:ascii="汉仪细圆简" w:hAnsi="Times New Roman" w:eastAsia="汉仪细圆简" w:cs="汉仪细圆简"/>
      <w:color w:val="000000"/>
      <w:sz w:val="24"/>
      <w:szCs w:val="24"/>
      <w:lang w:val="en-US" w:eastAsia="zh-CN" w:bidi="ar-SA"/>
    </w:rPr>
  </w:style>
  <w:style w:type="paragraph" w:customStyle="1" w:styleId="25">
    <w:name w:val="样式 小四 行距: 1.5 倍行距"/>
    <w:basedOn w:val="1"/>
    <w:qFormat/>
    <w:uiPriority w:val="0"/>
    <w:pPr>
      <w:ind w:firstLine="480"/>
    </w:pPr>
    <w:rPr>
      <w:rFonts w:cs="宋体"/>
    </w:rPr>
  </w:style>
  <w:style w:type="paragraph" w:customStyle="1" w:styleId="26">
    <w:name w:val="表格文字"/>
    <w:basedOn w:val="1"/>
    <w:qFormat/>
    <w:uiPriority w:val="0"/>
    <w:pPr>
      <w:spacing w:before="25" w:after="25"/>
      <w:jc w:val="left"/>
    </w:pPr>
    <w:rPr>
      <w:bCs/>
      <w:spacing w:val="10"/>
      <w:kern w:val="0"/>
      <w:sz w:val="24"/>
    </w:rPr>
  </w:style>
  <w:style w:type="paragraph" w:customStyle="1" w:styleId="2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0">
    <w:name w:val="列出段落1"/>
    <w:basedOn w:val="1"/>
    <w:qFormat/>
    <w:uiPriority w:val="0"/>
    <w:pPr>
      <w:ind w:firstLine="420" w:firstLineChars="200"/>
    </w:pPr>
    <w:rPr>
      <w:rFonts w:ascii="Calibri" w:hAnsi="Calibri" w:eastAsia="宋体" w:cs="Times New Roman"/>
      <w:szCs w:val="21"/>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2">
    <w:name w:val="10"/>
    <w:basedOn w:val="20"/>
    <w:qFormat/>
    <w:uiPriority w:val="0"/>
    <w:rPr>
      <w:rFonts w:hint="default" w:ascii="Times New Roman" w:hAnsi="Times New Roman" w:cs="Times New Roman"/>
    </w:rPr>
  </w:style>
  <w:style w:type="character" w:customStyle="1" w:styleId="33">
    <w:name w:val="15"/>
    <w:basedOn w:val="20"/>
    <w:qFormat/>
    <w:uiPriority w:val="0"/>
    <w:rPr>
      <w:rFonts w:hint="default" w:ascii="Times New Roman" w:hAnsi="Times New Roman" w:cs="Times New Roman"/>
    </w:rPr>
  </w:style>
  <w:style w:type="character" w:customStyle="1" w:styleId="34">
    <w:name w:val="16"/>
    <w:basedOn w:val="20"/>
    <w:qFormat/>
    <w:uiPriority w:val="0"/>
    <w:rPr>
      <w:rFonts w:hint="default" w:ascii="Times New Roman" w:hAnsi="Times New Roman" w:cs="Times New Roman"/>
      <w:color w:val="0000FF"/>
      <w:u w:val="single"/>
    </w:rPr>
  </w:style>
  <w:style w:type="character" w:customStyle="1" w:styleId="35">
    <w:name w:val="页眉 Char"/>
    <w:basedOn w:val="20"/>
    <w:link w:val="13"/>
    <w:qFormat/>
    <w:uiPriority w:val="0"/>
    <w:rPr>
      <w:rFonts w:asciiTheme="minorHAnsi" w:hAnsiTheme="minorHAnsi" w:eastAsiaTheme="minorEastAsia" w:cstheme="minorBidi"/>
      <w:kern w:val="2"/>
      <w:sz w:val="18"/>
      <w:szCs w:val="18"/>
    </w:rPr>
  </w:style>
  <w:style w:type="character" w:customStyle="1" w:styleId="36">
    <w:name w:val="页脚 Char"/>
    <w:basedOn w:val="20"/>
    <w:link w:val="12"/>
    <w:qFormat/>
    <w:uiPriority w:val="0"/>
    <w:rPr>
      <w:rFonts w:asciiTheme="minorHAnsi" w:hAnsiTheme="minorHAnsi" w:eastAsiaTheme="minorEastAsia" w:cstheme="minorBidi"/>
      <w:kern w:val="2"/>
      <w:sz w:val="18"/>
      <w:szCs w:val="18"/>
    </w:rPr>
  </w:style>
  <w:style w:type="character" w:customStyle="1" w:styleId="37">
    <w:name w:val="批注框文本 Char"/>
    <w:basedOn w:val="20"/>
    <w:link w:val="11"/>
    <w:qFormat/>
    <w:uiPriority w:val="0"/>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character" w:customStyle="1" w:styleId="39">
    <w:name w:val="纯文本 Char"/>
    <w:link w:val="10"/>
    <w:qFormat/>
    <w:uiPriority w:val="0"/>
    <w:rPr>
      <w:rFonts w:ascii="宋体" w:hAnsi="Courier New"/>
      <w:kern w:val="2"/>
      <w:sz w:val="21"/>
      <w:szCs w:val="21"/>
    </w:rPr>
  </w:style>
  <w:style w:type="character" w:customStyle="1" w:styleId="40">
    <w:name w:val="正文首行缩进 Char"/>
    <w:basedOn w:val="20"/>
    <w:link w:val="17"/>
    <w:qFormat/>
    <w:uiPriority w:val="0"/>
    <w:rPr>
      <w:kern w:val="2"/>
      <w:sz w:val="21"/>
      <w:szCs w:val="21"/>
    </w:rPr>
  </w:style>
  <w:style w:type="paragraph" w:styleId="41">
    <w:name w:val="List Paragraph"/>
    <w:basedOn w:val="1"/>
    <w:unhideWhenUsed/>
    <w:qFormat/>
    <w:uiPriority w:val="99"/>
    <w:pPr>
      <w:ind w:firstLine="420" w:firstLineChars="200"/>
    </w:pPr>
  </w:style>
  <w:style w:type="paragraph" w:customStyle="1" w:styleId="4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3">
    <w:name w:val="发文落款"/>
    <w:basedOn w:val="42"/>
    <w:qFormat/>
    <w:uiPriority w:val="0"/>
    <w:pPr>
      <w:ind w:left="4094" w:right="607" w:firstLine="0"/>
      <w:jc w:val="center"/>
    </w:pPr>
  </w:style>
  <w:style w:type="character" w:customStyle="1" w:styleId="44">
    <w:name w:val="c Char1"/>
    <w:link w:val="45"/>
    <w:qFormat/>
    <w:uiPriority w:val="0"/>
    <w:rPr>
      <w:rFonts w:eastAsia="仿宋_GB2312" w:cs="宋体"/>
      <w:sz w:val="28"/>
    </w:rPr>
  </w:style>
  <w:style w:type="paragraph" w:customStyle="1" w:styleId="45">
    <w:name w:val="c"/>
    <w:basedOn w:val="1"/>
    <w:link w:val="44"/>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6">
    <w:name w:val="标题 3 Char"/>
    <w:link w:val="5"/>
    <w:qFormat/>
    <w:uiPriority w:val="0"/>
    <w:rPr>
      <w:rFonts w:ascii="宋体" w:hAnsi="宋体"/>
      <w:b/>
      <w:sz w:val="28"/>
      <w:lang w:val="en-US" w:eastAsia="zh-CN" w:bidi="ar-SA"/>
    </w:rPr>
  </w:style>
  <w:style w:type="character" w:customStyle="1" w:styleId="47">
    <w:name w:val="active2"/>
    <w:basedOn w:val="20"/>
    <w:qFormat/>
    <w:uiPriority w:val="0"/>
    <w:rPr>
      <w:color w:val="00FF00"/>
      <w:shd w:val="clear" w:fill="111111"/>
    </w:rPr>
  </w:style>
  <w:style w:type="character" w:customStyle="1" w:styleId="48">
    <w:name w:val="cdropright"/>
    <w:basedOn w:val="20"/>
    <w:qFormat/>
    <w:uiPriority w:val="0"/>
  </w:style>
  <w:style w:type="character" w:customStyle="1" w:styleId="49">
    <w:name w:val="drapbtn"/>
    <w:basedOn w:val="20"/>
    <w:qFormat/>
    <w:uiPriority w:val="0"/>
  </w:style>
  <w:style w:type="character" w:customStyle="1" w:styleId="50">
    <w:name w:val="after"/>
    <w:basedOn w:val="20"/>
    <w:qFormat/>
    <w:uiPriority w:val="0"/>
    <w:rPr>
      <w:sz w:val="0"/>
      <w:szCs w:val="0"/>
    </w:rPr>
  </w:style>
  <w:style w:type="character" w:customStyle="1" w:styleId="51">
    <w:name w:val="pagechatarealistclose_box"/>
    <w:basedOn w:val="20"/>
    <w:qFormat/>
    <w:uiPriority w:val="0"/>
  </w:style>
  <w:style w:type="character" w:customStyle="1" w:styleId="52">
    <w:name w:val="pagechatarealistclose_box1"/>
    <w:basedOn w:val="20"/>
    <w:qFormat/>
    <w:uiPriority w:val="0"/>
  </w:style>
  <w:style w:type="character" w:customStyle="1" w:styleId="53">
    <w:name w:val="hilite5"/>
    <w:basedOn w:val="20"/>
    <w:qFormat/>
    <w:uiPriority w:val="0"/>
    <w:rPr>
      <w:color w:val="FFFFFF"/>
      <w:shd w:val="clear" w:fill="666666"/>
    </w:rPr>
  </w:style>
  <w:style w:type="character" w:customStyle="1" w:styleId="54">
    <w:name w:val="associateddata"/>
    <w:basedOn w:val="20"/>
    <w:qFormat/>
    <w:uiPriority w:val="0"/>
    <w:rPr>
      <w:shd w:val="clear" w:fill="50A6F9"/>
    </w:rPr>
  </w:style>
  <w:style w:type="character" w:customStyle="1" w:styleId="55">
    <w:name w:val="cy"/>
    <w:basedOn w:val="20"/>
    <w:qFormat/>
    <w:uiPriority w:val="0"/>
  </w:style>
  <w:style w:type="character" w:customStyle="1" w:styleId="56">
    <w:name w:val="cdropleft"/>
    <w:basedOn w:val="20"/>
    <w:qFormat/>
    <w:uiPriority w:val="0"/>
  </w:style>
  <w:style w:type="character" w:customStyle="1" w:styleId="57">
    <w:name w:val="ico1654"/>
    <w:basedOn w:val="20"/>
    <w:qFormat/>
    <w:uiPriority w:val="0"/>
  </w:style>
  <w:style w:type="character" w:customStyle="1" w:styleId="58">
    <w:name w:val="ico1655"/>
    <w:basedOn w:val="20"/>
    <w:qFormat/>
    <w:uiPriority w:val="0"/>
  </w:style>
  <w:style w:type="character" w:customStyle="1" w:styleId="59">
    <w:name w:val="layui-layer-tabnow"/>
    <w:basedOn w:val="20"/>
    <w:qFormat/>
    <w:uiPriority w:val="0"/>
    <w:rPr>
      <w:bdr w:val="single" w:color="CCCCCC" w:sz="6" w:space="0"/>
      <w:shd w:val="clear" w:fill="FFFFFF"/>
    </w:rPr>
  </w:style>
  <w:style w:type="character" w:customStyle="1" w:styleId="60">
    <w:name w:val="button4"/>
    <w:basedOn w:val="20"/>
    <w:qFormat/>
    <w:uiPriority w:val="0"/>
  </w:style>
  <w:style w:type="character" w:customStyle="1" w:styleId="61">
    <w:name w:val="w32"/>
    <w:basedOn w:val="20"/>
    <w:qFormat/>
    <w:uiPriority w:val="0"/>
  </w:style>
  <w:style w:type="character" w:customStyle="1" w:styleId="62">
    <w:name w:val="tmpztreemove_arrow"/>
    <w:basedOn w:val="20"/>
    <w:qFormat/>
    <w:uiPriority w:val="0"/>
  </w:style>
  <w:style w:type="character" w:customStyle="1" w:styleId="63">
    <w:name w:val="icontext1"/>
    <w:basedOn w:val="20"/>
    <w:qFormat/>
    <w:uiPriority w:val="0"/>
  </w:style>
  <w:style w:type="character" w:customStyle="1" w:styleId="64">
    <w:name w:val="icontext11"/>
    <w:basedOn w:val="20"/>
    <w:qFormat/>
    <w:uiPriority w:val="0"/>
  </w:style>
  <w:style w:type="character" w:customStyle="1" w:styleId="65">
    <w:name w:val="icontext12"/>
    <w:basedOn w:val="20"/>
    <w:qFormat/>
    <w:uiPriority w:val="0"/>
  </w:style>
  <w:style w:type="character" w:customStyle="1" w:styleId="66">
    <w:name w:val="iconline2"/>
    <w:basedOn w:val="20"/>
    <w:qFormat/>
    <w:uiPriority w:val="0"/>
  </w:style>
  <w:style w:type="character" w:customStyle="1" w:styleId="67">
    <w:name w:val="iconline21"/>
    <w:basedOn w:val="20"/>
    <w:qFormat/>
    <w:uiPriority w:val="0"/>
  </w:style>
  <w:style w:type="character" w:customStyle="1" w:styleId="68">
    <w:name w:val="icontext2"/>
    <w:basedOn w:val="20"/>
    <w:qFormat/>
    <w:uiPriority w:val="0"/>
  </w:style>
  <w:style w:type="character" w:customStyle="1" w:styleId="69">
    <w:name w:val="icontext3"/>
    <w:basedOn w:val="20"/>
    <w:qFormat/>
    <w:uiPriority w:val="0"/>
  </w:style>
  <w:style w:type="character" w:customStyle="1" w:styleId="70">
    <w:name w:val="first-child"/>
    <w:basedOn w:val="20"/>
    <w:qFormat/>
    <w:uiPriority w:val="0"/>
  </w:style>
  <w:style w:type="table" w:customStyle="1" w:styleId="71">
    <w:name w:val="Table Normal"/>
    <w:semiHidden/>
    <w:unhideWhenUsed/>
    <w:qFormat/>
    <w:uiPriority w:val="0"/>
    <w:tblPr>
      <w:tblCellMar>
        <w:top w:w="0" w:type="dxa"/>
        <w:left w:w="0" w:type="dxa"/>
        <w:bottom w:w="0" w:type="dxa"/>
        <w:right w:w="0" w:type="dxa"/>
      </w:tblCellMar>
    </w:tblPr>
  </w:style>
  <w:style w:type="paragraph" w:customStyle="1" w:styleId="72">
    <w:name w:val="Table Text"/>
    <w:basedOn w:val="1"/>
    <w:semiHidden/>
    <w:qFormat/>
    <w:uiPriority w:val="0"/>
    <w:rPr>
      <w:rFonts w:ascii="宋体" w:hAnsi="宋体" w:eastAsia="宋体" w:cs="宋体"/>
      <w:sz w:val="16"/>
      <w:szCs w:val="16"/>
      <w:lang w:val="en-US" w:eastAsia="en-US" w:bidi="ar-SA"/>
    </w:rPr>
  </w:style>
  <w:style w:type="paragraph" w:customStyle="1" w:styleId="73">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15</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2024-10-15T01:04:43Z</cp:lastPrinted>
  <dcterms:modified xsi:type="dcterms:W3CDTF">2024-10-15T01:09:30Z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6092CC5C35AA4FB79EF4B767878EA136_13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